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A74192" w:rsidRDefault="00576A3E" w:rsidP="00D94859">
      <w:pPr>
        <w:pStyle w:val="Styl1"/>
        <w:rPr>
          <w:rFonts w:cs="Arial"/>
          <w:sz w:val="20"/>
        </w:rPr>
      </w:pPr>
    </w:p>
    <w:p w:rsidR="00576A3E" w:rsidRPr="00A74192" w:rsidRDefault="006C21CE" w:rsidP="00D94859">
      <w:pPr>
        <w:spacing w:line="240" w:lineRule="auto"/>
        <w:rPr>
          <w:rFonts w:cs="Arial"/>
          <w:lang w:eastAsia="ar-SA"/>
        </w:rPr>
      </w:pPr>
      <w:r>
        <w:rPr>
          <w:noProof/>
        </w:rPr>
        <w:pict>
          <v:group id="Skupina 37" o:spid="_x0000_s1042" style="position:absolute;margin-left:47.9pt;margin-top:39.95pt;width:171.8pt;height:40.55pt;z-index:251662848;mso-position-horizontal-relative:page;mso-position-vertical-relative:page;mso-width-relative:margin;mso-height-relative:margin" coordsize="1671002,395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">
            <o:lock v:ext="edit" aspectratio="t"/>
            <v:rect id="Rectangle 5" o:spid="_x0000_s1043" style="position:absolute;left:395287;top:4763;width:419100;height:9842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v:rect id="Rectangle 6" o:spid="_x0000_s1044" style="position:absolute;top:147638;width:814705;height:977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okPwQAA&#10;ANoAAAAPAAAAZHJzL2Rvd25yZXYueG1sRI9Bi8IwFITvgv8hPMGbpnpQqUZZVoSFXQ+2gtdn87YN&#10;27yUJtruvzeC4HGYmW+Yza63tbhT641jBbNpAoK4cNpwqeCcHyYrED4ga6wdk4J/8rDbDgcbTLXr&#10;+ET3LJQiQtinqKAKoUml9EVFFv3UNcTR+3WtxRBlW0rdYhfhtpbzJFlIi4bjQoUNfVZU/GU3q8DI&#10;n85mx8veJbcmN5fldeXDt1LjUf+xBhGoD+/wq/2lFSzheSXeAL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l6JD8EAAADaAAAADwAAAAAAAAAAAAAAAACXAgAAZHJzL2Rvd25y&#10;ZXYueG1sUEsFBgAAAAAEAAQA9QAAAIUDAAAAAA==&#10;" fillcolor="#0071bc" stroked="f"/>
            <v:rect id="Rectangle 7" o:spid="_x0000_s1045" style="position:absolute;left:357187;top:295275;width:457200;height:977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R19vgAA&#10;ANoAAAAPAAAAZHJzL2Rvd25yZXYueG1sRE9Ni8IwEL0v+B/CCN7WVA+uVNMiiiC4HrYKXsdmbIPN&#10;pDTRdv+9OSzs8fG+1/lgG/GizhvHCmbTBARx6bThSsHlvP9cgvABWWPjmBT8koc8G32sMdWu5x96&#10;FaESMYR9igrqENpUSl/WZNFPXUscubvrLIYIu0rqDvsYbhs5T5KFtGg4NtTY0ram8lE8rQIjv3tb&#10;nK47lzzbs7l+3ZY+HJWajIfNCkSgIfyL/9wHrSBujVfiDZDZ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8Edfb4AAADaAAAADwAAAAAAAAAAAAAAAACXAgAAZHJzL2Rvd25yZXYu&#10;eG1sUEsFBgAAAAAEAAQA9QAAAIIDAAAAAA==&#10;" fillcolor="#0071bc" stroked="f"/>
            <v:shape id="Freeform 8" o:spid="_x0000_s1046" style="position:absolute;left:862012;top:290513;width:455295;height:104775;visibility:visible;mso-wrap-style:square;v-text-anchor:top" coordsize="1436,3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MxowgAA&#10;ANoAAAAPAAAAZHJzL2Rvd25yZXYueG1sRI9Pi8IwFMTvwn6H8Ba8aaqCf7pGWXZZ9NKD1cMeH82z&#10;KW1eShO1fnsjCB6HmfkNs972thFX6nzlWMFknIAgLpyuuFRwOv6NliB8QNbYOCYFd/Kw3XwM1phq&#10;d+MDXfNQighhn6ICE0KbSukLQxb92LXE0Tu7zmKIsiul7vAW4baR0ySZS4sVxwWDLf0YKur8YhXs&#10;fqvToswO2ap2/3mjZ/U+M7VSw8/++wtEoD68w6/2XitYwfNKvAFy8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zGjCAAAA2gAAAA8AAAAAAAAAAAAAAAAAlwIAAGRycy9kb3du&#10;cmV2LnhtbFBLBQYAAAAABAAEAPUAAACGAw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10957200,1008063;4523781,5141278;402029,12903200;804059,21471890;4925810,28427363;11761576,32459613;20205777,32963803;27242557,30241875;32670904,23689628;34078323,15020290;31665514,7762240;25734630,2016125;17089415,0;19702923,8367078;23321821,10483850;25433108,14012228;25734630,18447703;23824674,22278340;20406791,24798338;16184532,25403175;12163605,23891240;9449274,20766088;8444200,16532225;9449274,12399328;12264113,9375140;16184532,7963853;38199758,1008063;55088159,13004165;78912516,1008063;78007950,19858990;92182019,1008063;120530157,1915478;111482912,403225;103943595,3125153;98816770,8870950;96806307,16834803;98515248,23991888;103642073,29838650;111583420,32862838;120530157,31451550;117212781,24395113;112789825,25201563;107964522,23185438;105652536,19556413;105351014,14919325;107160463,11290300;110276507,8870950;114498766,8266113;119022230,10080625;144354831,1008063;134805050,25302528;134805050,7862888" o:connectangles="0,0,0,0,0,0,0,0,0,0,0,0,0,0,0,0,0,0,0,0,0,0,0,0,0,0,0,0,0,0,0,0,0,0,0,0,0,0,0,0,0,0,0,0,0,0,0,0,0,0,0,0"/>
              <o:lock v:ext="edit" verticies="t"/>
            </v:shape>
            <v:shape id="Freeform 9" o:spid="_x0000_s1047" style="position:absolute;left:862012;top:147638;width:808990;height:102870;visibility:visible;mso-wrap-style:square;v-text-anchor:top" coordsize="2549,3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r18xgAA&#10;ANsAAAAPAAAAZHJzL2Rvd25yZXYueG1sRI/NbsJADITvSLzDykjcYEMRFaQsiB9V6gFVlPQB3Kyb&#10;RGS96e4W0revD5V6szXjmc/rbe9adaMQG88GZtMMFHHpbcOVgffiebIEFROyxdYzGfihCNvNcLDG&#10;3Po7v9HtkiolIRxzNFCn1OVax7Imh3HqO2LRPn1wmGQNlbYB7xLuWv2QZY/aYcPSUGNHh5rK6+Xb&#10;GVjt5lWxWFyPTXj9yM7nU/91KvbGjEf97glUoj79m/+uX6zgC738Ig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r18xgAAANsAAAAPAAAAAAAAAAAAAAAAAJcCAABkcnMv&#10;ZG93bnJldi54bWxQSwUGAAAAAAQABAD1AAAAigM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14303159,100338;6547138,1102133;2014699,6111428;1611632,13124629;5842247,17733205;14001018,20938951;13296127,24746091;7957554,25247147;1309491,29755385;10677145,32360370;18835915,30156103;22663463,23944654;21454897,16530734;15209901,12823932;9669795,9818229;11684494,6812843;17123675,7814638;25080912,7513941;77559893,31658955;64767441,20137515;76351327,601077;101835306,601077;133262139,901774;124800910,100338;118757447,3506443;116440606,10419307;118354380,15929657;127319284,19837134;129635808,23243239;125808260,25647865;119663871,23243239;121879786,31859314;130945299,31658955;136787546,27150716;137693970,18434304;134672238,14527143;125606726,10820025;125506118,7814638;129635808,6812843;161364783,7513941;154717037,7513941;199842746,901774;188158252,1202155;180201015,8515737;178488457,19436100;183625496,28252850;194705707,32560729;200346421,22842521;194202033,24646069;189367135,22642162;186647545,17332171;188057644,11521440;192388867,8115019;198835397,8616075;227643248,31658955;225628866,26248942;239227134,31658955" o:connectangles="0,0,0,0,0,0,0,0,0,0,0,0,0,0,0,0,0,0,0,0,0,0,0,0,0,0,0,0,0,0,0,0,0,0,0,0,0,0,0,0,0,0,0,0,0,0,0,0,0,0,0,0,0,0,0,0,0"/>
              <o:lock v:ext="edit" verticies="t"/>
            </v:shape>
            <v:shape id="Freeform 10" o:spid="_x0000_s1048" style="position:absolute;left:862012;width:421005;height:102870;visibility:visible;mso-wrap-style:square;v-text-anchor:top" coordsize="1327,3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FsiOwQAA&#10;ANsAAAAPAAAAZHJzL2Rvd25yZXYueG1sRE9Ni8IwEL0L/ocwgjdN24PsVmMRQVnBw+oKq7ehGdti&#10;MylN1tZ/bwRhb/N4n7PIelOLO7WusqwgnkYgiHOrKy4UnH42kw8QziNrrC2Tggc5yJbDwQJTbTs+&#10;0P3oCxFC2KWooPS+SaV0eUkG3dQ2xIG72tagD7AtpG6xC+GmlkkUzaTBikNDiQ2tS8pvxz+jYOsP&#10;svs+n2K9TeJq//t5abp+p9R41K/mIDz1/l/8dn/pMD+G1y/hAL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xbIjsEAAADbAAAADwAAAAAAAAAAAAAAAACXAgAAZHJzL2Rvd25y&#10;ZXYueG1sUEsFBgAAAAAEAAQA9QAAAIUDA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18117809,100338;11474686,801436;5938487,3807140;2013019,8515737;201461,14727502;704636,20838930;3120259,26048583;8152966,30256441;14796089,32460391;21238068,31759292;22143848,22842521;18620985,24545732;15198693,24545732;12481037,23543936;9964843,21339669;8555570,18233945;8555570,14627164;9763382,11421419;11977862,9217152;14997550,7914660;18721556,8014997;22244737,9718208;39255306,24746091;40362546,7513941;39255306,24746091;56970511,31658955;65022588,19436100;65022588,7513941;97735343,400718;90991649,400718;85052845,2805344;80624202,7213561;78107690,13024292;78107690,19436100;80121027,24746091;84549670,29455004;90790188,32160011;97332739,32160011;100755031,22241444;97332739,24245351;93809876,24646069;90991649,23844316;88273993,22041084;86562689,19135719;86260657,15428917;87166753,12222855;89179773,9718208;91998000,8215356;95621752,7914660;99245187,9217152;101459667,1602873;105888310,31658955;125515962,31658955;125515962,12723595" o:connectangles="0,0,0,0,0,0,0,0,0,0,0,0,0,0,0,0,0,0,0,0,0,0,0,0,0,0,0,0,0,0,0,0,0,0,0,0,0,0,0,0,0,0,0,0,0,0,0,0,0,0,0,0,0,0"/>
              <o:lock v:ext="edit" verticies="t"/>
            </v:shape>
            <w10:wrap type="square" anchorx="page" anchory="page"/>
            <w10:anchorlock/>
          </v:group>
        </w:pict>
      </w:r>
      <w:r w:rsidR="00787267" w:rsidRPr="00787267">
        <w:rPr>
          <w:noProof/>
        </w:rPr>
        <w:pict>
          <v:shapetype id="_x0000_t202" coordsize="21600,21600" o:spt="202" path="m,l,21600r21600,l21600,xe">
            <v:stroke joinstyle="miter"/>
            <v:path gradientshapeok="t" o:connecttype="rect"/>
          </v:shapetype>
          <v:shape id="Textové pole 2" o:spid="_x0000_s1026"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fD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UuF8O3&#10;AgAArwUAAA4AAAAAAAAAAAAAAAAALgIAAGRycy9lMm9Eb2MueG1sUEsBAi0AFAAGAAgAAAAhAAdl&#10;cHfhAAAADgEAAA8AAAAAAAAAAAAAAAAAEQUAAGRycy9kb3ducmV2LnhtbFBLBQYAAAAABAAEAPMA&#10;AAAfBgAAAAA=&#10;" filled="f" stroked="f">
            <v:textbox inset="0,0,0,0">
              <w:txbxContent>
                <w:p w:rsidR="00486640" w:rsidRPr="00EC53DE" w:rsidRDefault="00486640" w:rsidP="004F191F">
                  <w:pPr>
                    <w:rPr>
                      <w:lang w:val="en-GB"/>
                    </w:rPr>
                  </w:pPr>
                  <w:r w:rsidRPr="00EC53DE">
                    <w:rPr>
                      <w:lang w:val="en-GB"/>
                    </w:rPr>
                    <w:t>Czech Statistical Office, Prague, 2017</w:t>
                  </w:r>
                </w:p>
              </w:txbxContent>
            </v:textbox>
            <w10:wrap anchorx="page" anchory="page"/>
            <w10:anchorlock/>
          </v:shape>
        </w:pict>
      </w:r>
      <w:r w:rsidR="00787267" w:rsidRPr="00787267">
        <w:rPr>
          <w:noProof/>
        </w:rPr>
        <w:pict>
          <v:shape id="_x0000_s1027" type="#_x0000_t202" style="position:absolute;margin-left:134.65pt;margin-top:612.45pt;width:394.6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" filled="f" stroked="f">
            <v:textbox inset="0,0,0,0">
              <w:txbxContent>
                <w:p w:rsidR="00486640" w:rsidRPr="00B73AA5" w:rsidRDefault="00486640" w:rsidP="004F2A73">
                  <w:pPr>
                    <w:pStyle w:val="TL-Identifikace-dole"/>
                    <w:rPr>
                      <w:lang w:val="en-GB"/>
                    </w:rPr>
                  </w:pPr>
                  <w:r w:rsidRPr="00B73AA5">
                    <w:rPr>
                      <w:lang w:val="en-GB"/>
                    </w:rPr>
                    <w:t>Prepared by: Office of the President of the CZSO, Compendious Analyses Unit</w:t>
                  </w:r>
                </w:p>
                <w:p w:rsidR="00486640" w:rsidRPr="00B73AA5" w:rsidRDefault="00486640" w:rsidP="004F191F">
                  <w:pPr>
                    <w:pStyle w:val="TL-Identifikace-dole"/>
                    <w:rPr>
                      <w:lang w:val="en-GB"/>
                    </w:rPr>
                  </w:pPr>
                  <w:r>
                    <w:rPr>
                      <w:lang w:val="en-GB"/>
                    </w:rPr>
                    <w:t>Director</w:t>
                  </w:r>
                  <w:r w:rsidRPr="00B73AA5">
                    <w:rPr>
                      <w:lang w:val="en-GB"/>
                    </w:rPr>
                    <w:t xml:space="preserve">: </w:t>
                  </w:r>
                  <w:proofErr w:type="spellStart"/>
                  <w:r w:rsidRPr="00B73AA5">
                    <w:rPr>
                      <w:lang w:val="en-GB"/>
                    </w:rPr>
                    <w:t>Egor</w:t>
                  </w:r>
                  <w:proofErr w:type="spellEnd"/>
                  <w:r w:rsidRPr="00B73AA5">
                    <w:rPr>
                      <w:lang w:val="en-GB"/>
                    </w:rPr>
                    <w:t xml:space="preserve"> </w:t>
                  </w:r>
                  <w:proofErr w:type="spellStart"/>
                  <w:r w:rsidRPr="00B73AA5">
                    <w:rPr>
                      <w:lang w:val="en-GB"/>
                    </w:rPr>
                    <w:t>Sidorov</w:t>
                  </w:r>
                  <w:proofErr w:type="spellEnd"/>
                  <w:r w:rsidRPr="00B73AA5">
                    <w:rPr>
                      <w:lang w:val="en-GB"/>
                    </w:rPr>
                    <w:t>, Ph.D.</w:t>
                  </w:r>
                </w:p>
                <w:p w:rsidR="00486640" w:rsidRPr="00B73AA5" w:rsidRDefault="00486640" w:rsidP="004F191F">
                  <w:pPr>
                    <w:pStyle w:val="TL-Identifikace-dole"/>
                    <w:rPr>
                      <w:rFonts w:cs="Arial"/>
                      <w:lang w:val="en-GB"/>
                    </w:rPr>
                  </w:pPr>
                  <w:r w:rsidRPr="00B73AA5">
                    <w:rPr>
                      <w:lang w:val="en-GB"/>
                    </w:rPr>
                    <w:t>Aut</w:t>
                  </w:r>
                  <w:r>
                    <w:rPr>
                      <w:lang w:val="en-GB"/>
                    </w:rPr>
                    <w:t>hors of Publication</w:t>
                  </w:r>
                  <w:r w:rsidRPr="00B73AA5">
                    <w:rPr>
                      <w:lang w:val="en-GB"/>
                    </w:rPr>
                    <w:t xml:space="preserve">: </w:t>
                  </w:r>
                  <w:proofErr w:type="spellStart"/>
                  <w:r w:rsidRPr="00B73AA5">
                    <w:rPr>
                      <w:lang w:val="en-GB"/>
                    </w:rPr>
                    <w:t>Bc</w:t>
                  </w:r>
                  <w:proofErr w:type="spellEnd"/>
                  <w:r w:rsidRPr="00B73AA5">
                    <w:rPr>
                      <w:lang w:val="en-GB"/>
                    </w:rPr>
                    <w:t>. Jiří Kamenický, Mgr. Bc. Karolína Súkupová</w:t>
                  </w:r>
                </w:p>
                <w:p w:rsidR="00486640" w:rsidRPr="00B73AA5" w:rsidRDefault="00486640" w:rsidP="00225F36">
                  <w:pPr>
                    <w:pStyle w:val="TL-Identifikace-dole"/>
                    <w:rPr>
                      <w:lang w:val="en-GB"/>
                    </w:rPr>
                  </w:pPr>
                  <w:r>
                    <w:rPr>
                      <w:lang w:val="en-GB"/>
                    </w:rPr>
                    <w:t>Contact person</w:t>
                  </w:r>
                  <w:r w:rsidRPr="00B73AA5">
                    <w:rPr>
                      <w:lang w:val="en-GB"/>
                    </w:rPr>
                    <w:t xml:space="preserve">: Bc. Jiří Kamenický, e-mail: </w:t>
                  </w:r>
                  <w:r w:rsidRPr="00EC53DE">
                    <w:rPr>
                      <w:rStyle w:val="Hypertextovodkaz"/>
                    </w:rPr>
                    <w:t>jiri.kamenicky@czso.cz</w:t>
                  </w:r>
                  <w:r w:rsidRPr="00B73AA5">
                    <w:rPr>
                      <w:lang w:val="en-GB"/>
                    </w:rPr>
                    <w:t xml:space="preserve">, </w:t>
                  </w:r>
                  <w:r>
                    <w:rPr>
                      <w:lang w:val="en-GB"/>
                    </w:rPr>
                    <w:t>ph</w:t>
                  </w:r>
                  <w:r w:rsidRPr="00B73AA5">
                    <w:rPr>
                      <w:lang w:val="en-GB"/>
                    </w:rPr>
                    <w:t>. 274 052 741</w:t>
                  </w:r>
                </w:p>
                <w:p w:rsidR="00486640" w:rsidRDefault="00486640" w:rsidP="004F191F">
                  <w:pPr>
                    <w:pStyle w:val="TL-Identifikace-dole"/>
                  </w:pPr>
                </w:p>
                <w:p w:rsidR="00486640" w:rsidRDefault="00486640" w:rsidP="004F191F">
                  <w:pPr>
                    <w:pStyle w:val="TL-Identifikace-dole"/>
                  </w:pPr>
                  <w:r>
                    <w:t xml:space="preserve">                            e-mail</w:t>
                  </w:r>
                  <w:r w:rsidRPr="006C5577">
                    <w:t>:</w:t>
                  </w:r>
                  <w:r>
                    <w:t xml:space="preserve"> </w:t>
                  </w:r>
                  <w:hyperlink r:id="rId9" w:history="1">
                    <w:r w:rsidRPr="004640D1">
                      <w:rPr>
                        <w:rStyle w:val="Hypertextovodkaz"/>
                      </w:rPr>
                      <w:t>jiri.kamenicky@czso.cz</w:t>
                    </w:r>
                  </w:hyperlink>
                  <w:r>
                    <w:t>, tel: 274 052 741</w:t>
                  </w:r>
                </w:p>
              </w:txbxContent>
            </v:textbox>
            <w10:wrap anchorx="page" anchory="page"/>
            <w10:anchorlock/>
          </v:shape>
        </w:pict>
      </w:r>
      <w:r w:rsidR="00787267" w:rsidRPr="00787267">
        <w:rPr>
          <w:noProof/>
        </w:rPr>
        <w:pict>
          <v:shape id="Text Box 25" o:spid="_x0000_s102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FytAIAALM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" filled="f" stroked="f">
            <v:textbox inset="0,0,0,0">
              <w:txbxContent>
                <w:p w:rsidR="00486640" w:rsidRPr="00B362B5" w:rsidRDefault="00486640" w:rsidP="004F191F">
                  <w:pPr>
                    <w:pStyle w:val="TL-identifikace-sted"/>
                    <w:rPr>
                      <w:lang w:val="en-GB"/>
                    </w:rPr>
                  </w:pPr>
                  <w:r w:rsidRPr="00B362B5">
                    <w:rPr>
                      <w:lang w:val="en-GB"/>
                    </w:rPr>
                    <w:t xml:space="preserve">Summary data on the Czech Republic </w:t>
                  </w:r>
                </w:p>
                <w:p w:rsidR="00486640" w:rsidRPr="00B362B5" w:rsidRDefault="00486640" w:rsidP="004F191F">
                  <w:pPr>
                    <w:pStyle w:val="TL-identifikace-sted"/>
                    <w:rPr>
                      <w:color w:val="000000"/>
                      <w:lang w:val="en-GB"/>
                    </w:rPr>
                  </w:pPr>
                  <w:r w:rsidRPr="00B362B5">
                    <w:rPr>
                      <w:color w:val="000000"/>
                      <w:lang w:val="en-GB"/>
                    </w:rPr>
                    <w:t>Prague, 2</w:t>
                  </w:r>
                  <w:r>
                    <w:rPr>
                      <w:color w:val="000000"/>
                      <w:lang w:val="en-GB"/>
                    </w:rPr>
                    <w:t>4</w:t>
                  </w:r>
                  <w:r w:rsidRPr="00B362B5">
                    <w:rPr>
                      <w:color w:val="000000"/>
                      <w:lang w:val="en-GB"/>
                    </w:rPr>
                    <w:t xml:space="preserve">st </w:t>
                  </w:r>
                  <w:r>
                    <w:rPr>
                      <w:color w:val="000000"/>
                      <w:lang w:val="en-GB"/>
                    </w:rPr>
                    <w:t>Nov</w:t>
                  </w:r>
                  <w:r w:rsidRPr="00B362B5">
                    <w:rPr>
                      <w:color w:val="000000"/>
                      <w:lang w:val="en-GB"/>
                    </w:rPr>
                    <w:t>ember 2017</w:t>
                  </w:r>
                </w:p>
                <w:p w:rsidR="00486640" w:rsidRPr="00B362B5" w:rsidRDefault="00486640" w:rsidP="004F191F">
                  <w:pPr>
                    <w:pStyle w:val="TL-identifikace-sted"/>
                    <w:rPr>
                      <w:lang w:val="en-GB"/>
                    </w:rPr>
                  </w:pPr>
                  <w:r>
                    <w:rPr>
                      <w:lang w:val="en-GB"/>
                    </w:rPr>
                    <w:t>Publication code</w:t>
                  </w:r>
                  <w:r w:rsidRPr="00B362B5">
                    <w:rPr>
                      <w:lang w:val="en-GB"/>
                    </w:rPr>
                    <w:t>: 32019</w:t>
                  </w:r>
                  <w:r>
                    <w:rPr>
                      <w:lang w:val="en-GB"/>
                    </w:rPr>
                    <w:t>4</w:t>
                  </w:r>
                  <w:r w:rsidRPr="00B362B5">
                    <w:rPr>
                      <w:lang w:val="en-GB"/>
                    </w:rPr>
                    <w:t>-17</w:t>
                  </w:r>
                </w:p>
                <w:p w:rsidR="00486640" w:rsidRPr="00B362B5" w:rsidRDefault="00486640" w:rsidP="00EA1CFB">
                  <w:pPr>
                    <w:spacing w:after="200"/>
                    <w:rPr>
                      <w:rFonts w:eastAsia="Times New Roman" w:cs="Arial"/>
                      <w:sz w:val="24"/>
                      <w:lang w:val="en-GB"/>
                    </w:rPr>
                  </w:pPr>
                  <w:r>
                    <w:rPr>
                      <w:rFonts w:cs="Arial"/>
                      <w:color w:val="0D0D0D"/>
                      <w:sz w:val="24"/>
                      <w:lang w:val="en-GB"/>
                    </w:rPr>
                    <w:t xml:space="preserve">Reference No.: </w:t>
                  </w:r>
                  <w:r>
                    <w:rPr>
                      <w:rFonts w:eastAsia="Times New Roman" w:cs="Arial"/>
                      <w:sz w:val="24"/>
                      <w:lang w:val="en-GB"/>
                    </w:rPr>
                    <w:t>2</w:t>
                  </w:r>
                  <w:r w:rsidRPr="000E53BD">
                    <w:rPr>
                      <w:rFonts w:eastAsia="Times New Roman" w:cs="Arial"/>
                      <w:sz w:val="24"/>
                      <w:lang w:val="en-GB"/>
                    </w:rPr>
                    <w:t>449</w:t>
                  </w:r>
                  <w:r>
                    <w:rPr>
                      <w:rFonts w:eastAsia="Times New Roman" w:cs="Arial"/>
                      <w:sz w:val="24"/>
                      <w:lang w:val="en-GB"/>
                    </w:rPr>
                    <w:t>/2017-01</w:t>
                  </w:r>
                </w:p>
                <w:p w:rsidR="00486640" w:rsidRPr="00B362B5" w:rsidRDefault="00486640" w:rsidP="004F191F">
                  <w:pPr>
                    <w:spacing w:after="200"/>
                    <w:rPr>
                      <w:sz w:val="24"/>
                      <w:lang w:val="en-GB"/>
                    </w:rPr>
                  </w:pPr>
                  <w:r w:rsidRPr="00B362B5">
                    <w:rPr>
                      <w:sz w:val="24"/>
                      <w:lang w:val="en-GB"/>
                    </w:rPr>
                    <w:t xml:space="preserve">Yearly publication number: </w:t>
                  </w:r>
                  <w:r>
                    <w:rPr>
                      <w:sz w:val="24"/>
                      <w:lang w:val="en-GB"/>
                    </w:rPr>
                    <w:t>1</w:t>
                  </w:r>
                </w:p>
              </w:txbxContent>
            </v:textbox>
            <w10:wrap anchorx="page" anchory="page"/>
            <w10:anchorlock/>
          </v:shape>
        </w:pict>
      </w:r>
      <w:r w:rsidR="00787267" w:rsidRPr="00787267">
        <w:rPr>
          <w:noProof/>
        </w:rPr>
        <w:pict>
          <v:shape id="_x0000_s1029"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fit-shape-to-text:t" inset="0,0,0,0">
              <w:txbxContent>
                <w:p w:rsidR="00486640" w:rsidRPr="001C357A" w:rsidRDefault="00486640" w:rsidP="001C357A">
                  <w:pPr>
                    <w:pStyle w:val="Podtitul"/>
                    <w:rPr>
                      <w:sz w:val="56"/>
                      <w:szCs w:val="56"/>
                    </w:rPr>
                  </w:pPr>
                  <w:r>
                    <w:rPr>
                      <w:sz w:val="56"/>
                      <w:szCs w:val="56"/>
                    </w:rPr>
                    <w:t>THE CZECH ECONOMY DEVELOPMENT IN THE FIRST HALF OF 2017</w:t>
                  </w:r>
                </w:p>
                <w:p w:rsidR="00486640" w:rsidRPr="009B04D0" w:rsidRDefault="00486640" w:rsidP="004F191F">
                  <w:pPr>
                    <w:pStyle w:val="Podtitul"/>
                  </w:pPr>
                </w:p>
              </w:txbxContent>
            </v:textbox>
            <w10:wrap anchorx="page" anchory="page"/>
            <w10:anchorlock/>
          </v:shape>
        </w:pict>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autoSpaceDE w:val="0"/>
        <w:autoSpaceDN w:val="0"/>
        <w:adjustRightInd w:val="0"/>
        <w:spacing w:line="240" w:lineRule="auto"/>
        <w:jc w:val="both"/>
        <w:rPr>
          <w:rFonts w:cs="Arial"/>
        </w:rPr>
      </w:pPr>
    </w:p>
    <w:p w:rsidR="00576A3E" w:rsidRPr="00A74192" w:rsidRDefault="00787267" w:rsidP="00D94859">
      <w:pPr>
        <w:autoSpaceDE w:val="0"/>
        <w:autoSpaceDN w:val="0"/>
        <w:adjustRightInd w:val="0"/>
        <w:spacing w:line="240" w:lineRule="auto"/>
        <w:jc w:val="both"/>
        <w:rPr>
          <w:rFonts w:cs="Arial"/>
          <w:lang w:eastAsia="ar-SA"/>
        </w:rPr>
      </w:pPr>
      <w:r w:rsidRPr="00787267">
        <w:rPr>
          <w:noProof/>
        </w:rPr>
        <w:pict>
          <v:line id="Přímá spojnice 33" o:spid="_x0000_s1036" style="position:absolute;left:0;text-align:left;z-index:251656704;visibility:visible;mso-wrap-distance-top:-6e-5mm;mso-wrap-distance-bottom:-6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" o:allowincell="f" strokecolor="windowText" strokeweight="1pt">
            <o:lock v:ext="edit" shapetype="f"/>
            <w10:wrap anchorx="page" anchory="page"/>
            <w10:anchorlock/>
          </v:line>
        </w:pict>
      </w:r>
      <w:r w:rsidR="00576A3E" w:rsidRPr="00A74192">
        <w:rPr>
          <w:rFonts w:cs="Arial"/>
        </w:rPr>
        <w:br w:type="page"/>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spacing w:line="240" w:lineRule="auto"/>
        <w:rPr>
          <w:rFonts w:cs="Arial"/>
          <w:lang w:eastAsia="ar-SA"/>
        </w:rPr>
      </w:pPr>
    </w:p>
    <w:p w:rsidR="00576A3E" w:rsidRPr="00A74192" w:rsidRDefault="00576A3E" w:rsidP="00D94859">
      <w:pPr>
        <w:pStyle w:val="Styl1"/>
        <w:rPr>
          <w:rFonts w:cs="Arial"/>
          <w:sz w:val="20"/>
        </w:rPr>
      </w:pPr>
    </w:p>
    <w:p w:rsidR="00576A3E" w:rsidRPr="00A74192" w:rsidRDefault="00787267" w:rsidP="00D94859">
      <w:pPr>
        <w:pStyle w:val="Styl1"/>
        <w:rPr>
          <w:rFonts w:cs="Arial"/>
          <w:color w:val="7DB41E"/>
          <w:sz w:val="20"/>
          <w:szCs w:val="20"/>
        </w:rPr>
      </w:pPr>
      <w:r w:rsidRPr="00787267">
        <w:rPr>
          <w:noProof/>
          <w:lang w:eastAsia="cs-CZ"/>
        </w:rPr>
        <w:pict>
          <v:shape id="_x0000_s1035"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" filled="f" stroked="f">
            <v:textbox inset="0,0,0,0">
              <w:txbxContent>
                <w:p w:rsidR="00486640" w:rsidRPr="00D14EA6" w:rsidRDefault="00486640" w:rsidP="008E4CD7">
                  <w:pPr>
                    <w:pStyle w:val="TL-Kontakty"/>
                    <w:rPr>
                      <w:lang w:val="en-GB"/>
                    </w:rPr>
                  </w:pPr>
                  <w:r w:rsidRPr="00D14EA6">
                    <w:rPr>
                      <w:caps w:val="0"/>
                      <w:lang w:val="en-GB"/>
                    </w:rPr>
                    <w:t>CONTACTS IN THE HEADQUARTERS</w:t>
                  </w:r>
                </w:p>
                <w:p w:rsidR="00486640" w:rsidRPr="00EA4153" w:rsidRDefault="00486640" w:rsidP="00BD366B">
                  <w:pPr>
                    <w:spacing w:after="80" w:line="240" w:lineRule="auto"/>
                    <w:rPr>
                      <w:b/>
                      <w:color w:val="0071BC"/>
                    </w:rPr>
                  </w:pPr>
                  <w:r w:rsidRPr="00D14EA6">
                    <w:rPr>
                      <w:b/>
                      <w:color w:val="0071BC"/>
                      <w:lang w:val="en-GB"/>
                    </w:rPr>
                    <w:t xml:space="preserve">Czech Statistical Office </w:t>
                  </w:r>
                  <w:r>
                    <w:rPr>
                      <w:b/>
                      <w:color w:val="0071BC"/>
                    </w:rPr>
                    <w:t xml:space="preserve">| </w:t>
                  </w:r>
                  <w:r>
                    <w:t xml:space="preserve">Na padesátém 81, 100 82 Praha 10 | ph.: 274 051 111 | </w:t>
                  </w:r>
                  <w:r w:rsidRPr="00841D9F">
                    <w:rPr>
                      <w:b/>
                      <w:bCs/>
                    </w:rPr>
                    <w:t>www.czso.cz</w:t>
                  </w:r>
                </w:p>
                <w:p w:rsidR="00486640" w:rsidRPr="00B27293" w:rsidRDefault="00486640" w:rsidP="00BD366B">
                  <w:pPr>
                    <w:spacing w:after="80" w:line="240" w:lineRule="auto"/>
                  </w:pPr>
                  <w:r w:rsidRPr="009B4830">
                    <w:rPr>
                      <w:b/>
                      <w:lang w:val="fr-FR"/>
                    </w:rPr>
                    <w:t>Information Services</w:t>
                  </w:r>
                  <w:r w:rsidRPr="00EA4153">
                    <w:t xml:space="preserve"> |</w:t>
                  </w:r>
                  <w:r>
                    <w:rPr>
                      <w:b/>
                    </w:rPr>
                    <w:t xml:space="preserve"> </w:t>
                  </w:r>
                  <w:r w:rsidRPr="008E4CD7">
                    <w:t>ph.</w:t>
                  </w:r>
                  <w:r>
                    <w:t>: 274 052 304, 274 052 451 | e-mail: infoservis@czso.cz</w:t>
                  </w:r>
                </w:p>
                <w:p w:rsidR="00486640" w:rsidRPr="00EA4153" w:rsidRDefault="00486640" w:rsidP="00BD366B">
                  <w:pPr>
                    <w:spacing w:after="80" w:line="240" w:lineRule="auto"/>
                    <w:rPr>
                      <w:b/>
                    </w:rPr>
                  </w:pPr>
                  <w:r w:rsidRPr="00D14EA6">
                    <w:rPr>
                      <w:b/>
                      <w:lang w:val="en-GB"/>
                    </w:rPr>
                    <w:t>CZSO Publications Shop</w:t>
                  </w:r>
                  <w:r w:rsidRPr="00D14EA6">
                    <w:rPr>
                      <w:lang w:val="en-GB"/>
                    </w:rPr>
                    <w:t xml:space="preserve"> </w:t>
                  </w:r>
                  <w:r>
                    <w:t>| ph.: 274 052 361 | e-mail: prodejna@czso.cz</w:t>
                  </w:r>
                </w:p>
                <w:p w:rsidR="00486640" w:rsidRPr="00EA4153" w:rsidRDefault="00486640" w:rsidP="00BD366B">
                  <w:pPr>
                    <w:spacing w:after="80" w:line="240" w:lineRule="auto"/>
                    <w:rPr>
                      <w:b/>
                    </w:rPr>
                  </w:pPr>
                  <w:r w:rsidRPr="00D14EA6">
                    <w:rPr>
                      <w:b/>
                      <w:lang w:val="en-GB"/>
                    </w:rPr>
                    <w:t>European data (ESDS), international comparison</w:t>
                  </w:r>
                  <w:r w:rsidRPr="00D14EA6">
                    <w:rPr>
                      <w:lang w:val="en-GB"/>
                    </w:rPr>
                    <w:t xml:space="preserve"> </w:t>
                  </w:r>
                  <w:r>
                    <w:t>| ph.: 274 052 347, 274 052 757 | e-mail: esds@czso.cz</w:t>
                  </w:r>
                </w:p>
                <w:p w:rsidR="00486640" w:rsidRPr="00EA4153" w:rsidRDefault="00486640" w:rsidP="00BD366B">
                  <w:pPr>
                    <w:spacing w:after="80" w:line="240" w:lineRule="auto"/>
                    <w:rPr>
                      <w:b/>
                    </w:rPr>
                  </w:pPr>
                  <w:r w:rsidRPr="00D14EA6">
                    <w:rPr>
                      <w:b/>
                      <w:lang w:val="en-GB"/>
                    </w:rPr>
                    <w:t>Central Statistical Library</w:t>
                  </w:r>
                  <w:r w:rsidRPr="00D14EA6">
                    <w:rPr>
                      <w:lang w:val="en-GB"/>
                    </w:rPr>
                    <w:t xml:space="preserve"> </w:t>
                  </w:r>
                  <w:r>
                    <w:t>| ph.: 274 052 361 | e-mail: knihovna@czso.cz</w:t>
                  </w:r>
                </w:p>
                <w:p w:rsidR="00486640" w:rsidRDefault="00486640" w:rsidP="00BD366B">
                  <w:pPr>
                    <w:spacing w:line="240" w:lineRule="auto"/>
                  </w:pPr>
                </w:p>
                <w:p w:rsidR="00486640" w:rsidRPr="00D14EA6" w:rsidRDefault="00486640" w:rsidP="00337726">
                  <w:pPr>
                    <w:pStyle w:val="TL-Kontakty"/>
                    <w:rPr>
                      <w:lang w:val="en-GB"/>
                    </w:rPr>
                  </w:pPr>
                  <w:r w:rsidRPr="00D14EA6">
                    <w:rPr>
                      <w:lang w:val="en-GB"/>
                    </w:rPr>
                    <w:t>INFORMATION SERVICES IN THE REGIONS</w:t>
                  </w:r>
                </w:p>
                <w:p w:rsidR="00486640" w:rsidRDefault="00486640" w:rsidP="00BD366B">
                  <w:pPr>
                    <w:spacing w:line="240" w:lineRule="auto"/>
                  </w:pPr>
                  <w:r w:rsidRPr="00D14EA6">
                    <w:rPr>
                      <w:b/>
                      <w:color w:val="0071BC"/>
                      <w:lang w:val="en-GB"/>
                    </w:rPr>
                    <w:t>Capital city Prague</w:t>
                  </w:r>
                  <w:r w:rsidRPr="00D14EA6">
                    <w:rPr>
                      <w:lang w:val="en-GB"/>
                    </w:rPr>
                    <w:t xml:space="preserve"> </w:t>
                  </w:r>
                  <w:r>
                    <w:t>| Na padesátém 81, 100 82 Praha 10 | ph.: 274 052 673, 274 054 223</w:t>
                  </w:r>
                </w:p>
                <w:p w:rsidR="00486640" w:rsidRPr="00100014" w:rsidRDefault="00486640" w:rsidP="00BD366B">
                  <w:pPr>
                    <w:spacing w:line="240" w:lineRule="auto"/>
                    <w:rPr>
                      <w:b/>
                    </w:rPr>
                  </w:pPr>
                  <w:r>
                    <w:t xml:space="preserve">e-mail: infoservispraha@czso.cz | </w:t>
                  </w:r>
                  <w:r w:rsidRPr="00100014">
                    <w:rPr>
                      <w:b/>
                    </w:rPr>
                    <w:t>www.praha.czso.cz</w:t>
                  </w:r>
                </w:p>
                <w:p w:rsidR="00486640" w:rsidRDefault="00486640" w:rsidP="00BD366B">
                  <w:pPr>
                    <w:spacing w:line="240" w:lineRule="auto"/>
                  </w:pPr>
                </w:p>
                <w:p w:rsidR="00486640" w:rsidRPr="00B27293" w:rsidRDefault="00486640" w:rsidP="00BD366B">
                  <w:pPr>
                    <w:spacing w:line="240" w:lineRule="auto"/>
                    <w:rPr>
                      <w:b/>
                      <w:color w:val="0071BC"/>
                    </w:rPr>
                  </w:pPr>
                  <w:r w:rsidRPr="00264AF7">
                    <w:rPr>
                      <w:b/>
                      <w:color w:val="0071BC"/>
                      <w:lang w:val="it-IT"/>
                    </w:rPr>
                    <w:t>Central Bohemia</w:t>
                  </w:r>
                  <w:r w:rsidRPr="00264AF7">
                    <w:rPr>
                      <w:lang w:val="it-IT"/>
                    </w:rPr>
                    <w:t xml:space="preserve"> </w:t>
                  </w:r>
                  <w:r>
                    <w:t>| Na padesátém 81, 100 82 Praha 10</w:t>
                  </w:r>
                  <w:r w:rsidRPr="00B27293">
                    <w:t xml:space="preserve"> |</w:t>
                  </w:r>
                  <w:r w:rsidRPr="00B27293">
                    <w:rPr>
                      <w:b/>
                    </w:rPr>
                    <w:t xml:space="preserve"> </w:t>
                  </w:r>
                  <w:r w:rsidRPr="00337726">
                    <w:t>ph.: 274</w:t>
                  </w:r>
                  <w:r>
                    <w:t xml:space="preserve"> 054 175</w:t>
                  </w:r>
                </w:p>
                <w:p w:rsidR="00486640" w:rsidRPr="00B27293" w:rsidRDefault="00486640" w:rsidP="00BD366B">
                  <w:pPr>
                    <w:spacing w:line="240" w:lineRule="auto"/>
                  </w:pPr>
                  <w:r>
                    <w:t xml:space="preserve">e-mail: infoservisstc@czso.cz | </w:t>
                  </w:r>
                  <w:r w:rsidRPr="00100014">
                    <w:rPr>
                      <w:b/>
                    </w:rPr>
                    <w:t>www.stredocesky.czso.cz</w:t>
                  </w:r>
                </w:p>
                <w:p w:rsidR="00486640" w:rsidRDefault="00486640" w:rsidP="00BD366B">
                  <w:pPr>
                    <w:spacing w:line="240" w:lineRule="auto"/>
                  </w:pPr>
                </w:p>
                <w:p w:rsidR="00486640" w:rsidRPr="00B27293" w:rsidRDefault="00486640" w:rsidP="00BD366B">
                  <w:pPr>
                    <w:spacing w:line="240" w:lineRule="auto"/>
                    <w:rPr>
                      <w:b/>
                      <w:color w:val="0071BC"/>
                    </w:rPr>
                  </w:pPr>
                  <w:r w:rsidRPr="00100014">
                    <w:rPr>
                      <w:b/>
                      <w:color w:val="0071BC"/>
                    </w:rPr>
                    <w:t>České Budějovice</w:t>
                  </w:r>
                  <w:r>
                    <w:t xml:space="preserve"> | Žižkova 1, 370 77 České Budějovice | ph.: 386 718 440</w:t>
                  </w:r>
                </w:p>
                <w:p w:rsidR="00486640" w:rsidRPr="00B27293" w:rsidRDefault="00486640" w:rsidP="00BD366B">
                  <w:pPr>
                    <w:spacing w:line="240" w:lineRule="auto"/>
                  </w:pPr>
                  <w:r>
                    <w:t xml:space="preserve">e-mail: infoserviscb@czso.cz | </w:t>
                  </w:r>
                  <w:r w:rsidRPr="00100014">
                    <w:rPr>
                      <w:b/>
                    </w:rPr>
                    <w:t>www.cbudejovice.czso.cz</w:t>
                  </w:r>
                </w:p>
                <w:p w:rsidR="00486640" w:rsidRDefault="00486640" w:rsidP="00BD366B">
                  <w:pPr>
                    <w:spacing w:line="240" w:lineRule="auto"/>
                  </w:pPr>
                </w:p>
                <w:p w:rsidR="00486640" w:rsidRPr="00B27293" w:rsidRDefault="00486640" w:rsidP="00BD366B">
                  <w:pPr>
                    <w:spacing w:line="240" w:lineRule="auto"/>
                    <w:rPr>
                      <w:b/>
                      <w:color w:val="0071BC"/>
                    </w:rPr>
                  </w:pPr>
                  <w:r w:rsidRPr="0071229A">
                    <w:rPr>
                      <w:b/>
                      <w:color w:val="0071BC"/>
                    </w:rPr>
                    <w:t>Plzeň</w:t>
                  </w:r>
                  <w:r>
                    <w:t xml:space="preserve"> | Slovanská alej 36, 326 64 Plzeň | ph.: 377 612 108, 377 612 249</w:t>
                  </w:r>
                </w:p>
                <w:p w:rsidR="00486640" w:rsidRPr="00B27293" w:rsidRDefault="00486640" w:rsidP="00BD366B">
                  <w:pPr>
                    <w:spacing w:line="240" w:lineRule="auto"/>
                  </w:pPr>
                  <w:r>
                    <w:t xml:space="preserve">e-mail: infoservisplzen@czso.cz | </w:t>
                  </w:r>
                  <w:r w:rsidRPr="0071229A">
                    <w:rPr>
                      <w:b/>
                    </w:rPr>
                    <w:t>www.plzen.czso.cz</w:t>
                  </w:r>
                </w:p>
                <w:p w:rsidR="00486640" w:rsidRDefault="00486640" w:rsidP="00BD366B">
                  <w:pPr>
                    <w:spacing w:line="240" w:lineRule="auto"/>
                  </w:pPr>
                </w:p>
                <w:p w:rsidR="00486640" w:rsidRPr="00B27293" w:rsidRDefault="00486640" w:rsidP="00BD366B">
                  <w:pPr>
                    <w:spacing w:line="240" w:lineRule="auto"/>
                    <w:rPr>
                      <w:b/>
                      <w:color w:val="0071BC"/>
                    </w:rPr>
                  </w:pPr>
                  <w:r w:rsidRPr="0071229A">
                    <w:rPr>
                      <w:b/>
                      <w:color w:val="0071BC"/>
                    </w:rPr>
                    <w:t>Karlovy Vary</w:t>
                  </w:r>
                  <w:r>
                    <w:t xml:space="preserve"> | Závodní 360/94, 360 06 Karlovy Vary | ph.: 353 114 529, 353 114 525</w:t>
                  </w:r>
                </w:p>
                <w:p w:rsidR="00486640" w:rsidRDefault="00486640" w:rsidP="00BD366B">
                  <w:pPr>
                    <w:spacing w:line="240" w:lineRule="auto"/>
                    <w:rPr>
                      <w:b/>
                    </w:rPr>
                  </w:pPr>
                  <w:r>
                    <w:t xml:space="preserve">e-mail: infoserviskv@czso.cz | </w:t>
                  </w:r>
                  <w:r>
                    <w:rPr>
                      <w:b/>
                    </w:rPr>
                    <w:t>www.kvary.czso.cz</w:t>
                  </w:r>
                </w:p>
                <w:p w:rsidR="00486640" w:rsidRDefault="00486640" w:rsidP="00BD366B">
                  <w:pPr>
                    <w:spacing w:line="240" w:lineRule="auto"/>
                  </w:pPr>
                </w:p>
                <w:p w:rsidR="00486640" w:rsidRPr="00B27293" w:rsidRDefault="00486640"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ph</w:t>
                  </w:r>
                  <w:r w:rsidRPr="0071229A">
                    <w:rPr>
                      <w:bCs/>
                    </w:rPr>
                    <w:t>.: 472 706 176, 472 706 121</w:t>
                  </w:r>
                </w:p>
                <w:p w:rsidR="00486640" w:rsidRPr="00B27293" w:rsidRDefault="00486640" w:rsidP="00BD366B">
                  <w:pPr>
                    <w:spacing w:line="240" w:lineRule="auto"/>
                    <w:rPr>
                      <w:bCs/>
                    </w:rPr>
                  </w:pPr>
                  <w:r w:rsidRPr="0071229A">
                    <w:rPr>
                      <w:bCs/>
                    </w:rPr>
                    <w:t>e-mail: infoservisul@czso.cz</w:t>
                  </w:r>
                  <w:r>
                    <w:t xml:space="preserve"> | </w:t>
                  </w:r>
                  <w:r w:rsidRPr="0071229A">
                    <w:rPr>
                      <w:b/>
                      <w:bCs/>
                    </w:rPr>
                    <w:t>www.ustinadlabem.czso.cz</w:t>
                  </w:r>
                </w:p>
                <w:p w:rsidR="00486640" w:rsidRPr="0071229A" w:rsidRDefault="00486640" w:rsidP="00BD366B">
                  <w:pPr>
                    <w:spacing w:line="240" w:lineRule="auto"/>
                    <w:rPr>
                      <w:bCs/>
                    </w:rPr>
                  </w:pPr>
                </w:p>
                <w:p w:rsidR="00486640" w:rsidRPr="00B27293" w:rsidRDefault="00486640"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ph</w:t>
                  </w:r>
                  <w:r w:rsidRPr="0071229A">
                    <w:rPr>
                      <w:bCs/>
                    </w:rPr>
                    <w:t>.: 485 238 811</w:t>
                  </w:r>
                </w:p>
                <w:p w:rsidR="00486640" w:rsidRPr="00B27293" w:rsidRDefault="00486640" w:rsidP="00BD366B">
                  <w:pPr>
                    <w:spacing w:line="240" w:lineRule="auto"/>
                    <w:rPr>
                      <w:bCs/>
                    </w:rPr>
                  </w:pPr>
                  <w:r w:rsidRPr="0071229A">
                    <w:rPr>
                      <w:bCs/>
                    </w:rPr>
                    <w:t>e-mail: infoservislbc@czso.cz</w:t>
                  </w:r>
                  <w:r>
                    <w:t xml:space="preserve"> | </w:t>
                  </w:r>
                  <w:r w:rsidRPr="0071229A">
                    <w:rPr>
                      <w:b/>
                      <w:bCs/>
                    </w:rPr>
                    <w:t>www.liberec.czso.cz</w:t>
                  </w:r>
                </w:p>
                <w:p w:rsidR="00486640" w:rsidRPr="0071229A" w:rsidRDefault="00486640" w:rsidP="00BD366B">
                  <w:pPr>
                    <w:spacing w:line="240" w:lineRule="auto"/>
                    <w:rPr>
                      <w:bCs/>
                    </w:rPr>
                  </w:pPr>
                </w:p>
                <w:p w:rsidR="00486640" w:rsidRPr="00B27293" w:rsidRDefault="00486640"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ph</w:t>
                  </w:r>
                  <w:r w:rsidRPr="0071229A">
                    <w:rPr>
                      <w:bCs/>
                    </w:rPr>
                    <w:t>.: 495 762 322, 495 762 317</w:t>
                  </w:r>
                </w:p>
                <w:p w:rsidR="00486640" w:rsidRPr="00B27293" w:rsidRDefault="00486640" w:rsidP="00BD366B">
                  <w:pPr>
                    <w:spacing w:line="240" w:lineRule="auto"/>
                    <w:rPr>
                      <w:bCs/>
                    </w:rPr>
                  </w:pPr>
                  <w:r w:rsidRPr="0071229A">
                    <w:rPr>
                      <w:bCs/>
                    </w:rPr>
                    <w:t>e-mail: infoservishk@czso.cz</w:t>
                  </w:r>
                  <w:r>
                    <w:t xml:space="preserve"> | </w:t>
                  </w:r>
                  <w:r w:rsidRPr="0071229A">
                    <w:rPr>
                      <w:b/>
                      <w:bCs/>
                    </w:rPr>
                    <w:t>www.hradeckralove.czso.cz</w:t>
                  </w:r>
                </w:p>
                <w:p w:rsidR="00486640" w:rsidRPr="0071229A" w:rsidRDefault="00486640" w:rsidP="00BD366B">
                  <w:pPr>
                    <w:spacing w:line="240" w:lineRule="auto"/>
                    <w:rPr>
                      <w:bCs/>
                    </w:rPr>
                  </w:pPr>
                </w:p>
                <w:p w:rsidR="00486640" w:rsidRPr="00B27293" w:rsidRDefault="00486640"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ph</w:t>
                  </w:r>
                  <w:r w:rsidRPr="0071229A">
                    <w:rPr>
                      <w:bCs/>
                    </w:rPr>
                    <w:t>.: 466 743 480, 466 743 418</w:t>
                  </w:r>
                </w:p>
                <w:p w:rsidR="00486640" w:rsidRPr="00B27293" w:rsidRDefault="00486640" w:rsidP="00BD366B">
                  <w:pPr>
                    <w:spacing w:line="240" w:lineRule="auto"/>
                    <w:rPr>
                      <w:bCs/>
                    </w:rPr>
                  </w:pPr>
                  <w:r w:rsidRPr="0071229A">
                    <w:rPr>
                      <w:bCs/>
                    </w:rPr>
                    <w:t>e-mail: infoservispa@czso.cz</w:t>
                  </w:r>
                  <w:r>
                    <w:t xml:space="preserve"> | </w:t>
                  </w:r>
                  <w:r w:rsidRPr="0071229A">
                    <w:rPr>
                      <w:b/>
                      <w:bCs/>
                    </w:rPr>
                    <w:t>www.pardubice.czso.cz</w:t>
                  </w:r>
                </w:p>
                <w:p w:rsidR="00486640" w:rsidRPr="0071229A" w:rsidRDefault="00486640" w:rsidP="00BD366B">
                  <w:pPr>
                    <w:spacing w:line="240" w:lineRule="auto"/>
                    <w:rPr>
                      <w:bCs/>
                    </w:rPr>
                  </w:pPr>
                </w:p>
                <w:p w:rsidR="00486640" w:rsidRPr="00B27293" w:rsidRDefault="00486640"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ph</w:t>
                  </w:r>
                  <w:r w:rsidRPr="0071229A">
                    <w:rPr>
                      <w:bCs/>
                    </w:rPr>
                    <w:t>.: 567 109 062, 567 109 080</w:t>
                  </w:r>
                </w:p>
                <w:p w:rsidR="00486640" w:rsidRPr="00B27293" w:rsidRDefault="00486640" w:rsidP="00BD366B">
                  <w:pPr>
                    <w:spacing w:line="240" w:lineRule="auto"/>
                    <w:rPr>
                      <w:bCs/>
                    </w:rPr>
                  </w:pPr>
                  <w:r w:rsidRPr="0071229A">
                    <w:rPr>
                      <w:bCs/>
                    </w:rPr>
                    <w:t>e-mail: infoservisvys@czso.cz</w:t>
                  </w:r>
                  <w:r>
                    <w:t xml:space="preserve"> | </w:t>
                  </w:r>
                  <w:r w:rsidRPr="0071229A">
                    <w:rPr>
                      <w:b/>
                      <w:bCs/>
                    </w:rPr>
                    <w:t>www.jihlava.czso.cz</w:t>
                  </w:r>
                </w:p>
                <w:p w:rsidR="00486640" w:rsidRPr="0071229A" w:rsidRDefault="00486640" w:rsidP="00BD366B">
                  <w:pPr>
                    <w:spacing w:line="240" w:lineRule="auto"/>
                    <w:rPr>
                      <w:bCs/>
                    </w:rPr>
                  </w:pPr>
                </w:p>
                <w:p w:rsidR="00486640" w:rsidRPr="00B27293" w:rsidRDefault="00486640" w:rsidP="00BD366B">
                  <w:pPr>
                    <w:spacing w:line="240" w:lineRule="auto"/>
                    <w:rPr>
                      <w:b/>
                      <w:bCs/>
                    </w:rPr>
                  </w:pPr>
                  <w:r w:rsidRPr="0071229A">
                    <w:rPr>
                      <w:b/>
                      <w:bCs/>
                      <w:color w:val="0071BC"/>
                    </w:rPr>
                    <w:t>Brno</w:t>
                  </w:r>
                  <w:r>
                    <w:t xml:space="preserve"> | </w:t>
                  </w:r>
                  <w:r w:rsidRPr="0071229A">
                    <w:rPr>
                      <w:bCs/>
                    </w:rPr>
                    <w:t>Jezuitská 2, 601 59 Brno</w:t>
                  </w:r>
                  <w:r>
                    <w:t xml:space="preserve"> | </w:t>
                  </w:r>
                  <w:r>
                    <w:rPr>
                      <w:bCs/>
                    </w:rPr>
                    <w:t>ph</w:t>
                  </w:r>
                  <w:r w:rsidRPr="0071229A">
                    <w:rPr>
                      <w:bCs/>
                    </w:rPr>
                    <w:t>.: 542 528 115, 542 528 105</w:t>
                  </w:r>
                </w:p>
                <w:p w:rsidR="00486640" w:rsidRPr="00B27293" w:rsidRDefault="00486640" w:rsidP="00BD366B">
                  <w:pPr>
                    <w:spacing w:line="240" w:lineRule="auto"/>
                    <w:rPr>
                      <w:bCs/>
                    </w:rPr>
                  </w:pPr>
                  <w:r w:rsidRPr="0071229A">
                    <w:rPr>
                      <w:bCs/>
                    </w:rPr>
                    <w:t>e-mail: infoservisbrno@czso.cz</w:t>
                  </w:r>
                  <w:r>
                    <w:t xml:space="preserve"> | </w:t>
                  </w:r>
                  <w:r w:rsidRPr="0071229A">
                    <w:rPr>
                      <w:b/>
                      <w:bCs/>
                    </w:rPr>
                    <w:t>www.brno.czso.cz</w:t>
                  </w:r>
                </w:p>
                <w:p w:rsidR="00486640" w:rsidRPr="0071229A" w:rsidRDefault="00486640" w:rsidP="00BD366B">
                  <w:pPr>
                    <w:spacing w:line="240" w:lineRule="auto"/>
                    <w:rPr>
                      <w:bCs/>
                    </w:rPr>
                  </w:pPr>
                </w:p>
                <w:p w:rsidR="00486640" w:rsidRPr="00B27293" w:rsidRDefault="00486640" w:rsidP="00BD366B">
                  <w:pPr>
                    <w:spacing w:line="240" w:lineRule="auto"/>
                    <w:rPr>
                      <w:b/>
                      <w:bCs/>
                    </w:rPr>
                  </w:pPr>
                  <w:r w:rsidRPr="0071229A">
                    <w:rPr>
                      <w:b/>
                      <w:bCs/>
                      <w:color w:val="0071BC"/>
                    </w:rPr>
                    <w:t>Olomouc</w:t>
                  </w:r>
                  <w:r>
                    <w:t xml:space="preserve"> | </w:t>
                  </w:r>
                  <w:r w:rsidRPr="0071229A">
                    <w:rPr>
                      <w:bCs/>
                    </w:rPr>
                    <w:t>Jeremenkova 1142/42, 772 11 Olomouc</w:t>
                  </w:r>
                  <w:r>
                    <w:t xml:space="preserve"> | ph</w:t>
                  </w:r>
                  <w:r w:rsidRPr="0071229A">
                    <w:rPr>
                      <w:bCs/>
                    </w:rPr>
                    <w:t>.: 585 731 516, 585 731 509</w:t>
                  </w:r>
                </w:p>
                <w:p w:rsidR="00486640" w:rsidRPr="00B27293" w:rsidRDefault="00486640" w:rsidP="00BD366B">
                  <w:pPr>
                    <w:spacing w:line="240" w:lineRule="auto"/>
                    <w:rPr>
                      <w:bCs/>
                    </w:rPr>
                  </w:pPr>
                  <w:r w:rsidRPr="0071229A">
                    <w:rPr>
                      <w:bCs/>
                    </w:rPr>
                    <w:t>e-mail: infoservisolom@czso.cz</w:t>
                  </w:r>
                  <w:r>
                    <w:t xml:space="preserve"> | </w:t>
                  </w:r>
                  <w:r w:rsidRPr="0071229A">
                    <w:rPr>
                      <w:b/>
                      <w:bCs/>
                    </w:rPr>
                    <w:t>www.olomouc.czso.cz</w:t>
                  </w:r>
                </w:p>
                <w:p w:rsidR="00486640" w:rsidRPr="0071229A" w:rsidRDefault="00486640" w:rsidP="00BD366B">
                  <w:pPr>
                    <w:spacing w:line="240" w:lineRule="auto"/>
                    <w:rPr>
                      <w:bCs/>
                    </w:rPr>
                  </w:pPr>
                </w:p>
                <w:p w:rsidR="00486640" w:rsidRPr="00B27293" w:rsidRDefault="00486640" w:rsidP="00BD366B">
                  <w:pPr>
                    <w:spacing w:line="240" w:lineRule="auto"/>
                    <w:rPr>
                      <w:b/>
                      <w:bCs/>
                    </w:rPr>
                  </w:pPr>
                  <w:r w:rsidRPr="0071229A">
                    <w:rPr>
                      <w:b/>
                      <w:bCs/>
                      <w:color w:val="0071BC"/>
                    </w:rPr>
                    <w:t>Ostrava</w:t>
                  </w:r>
                  <w:r>
                    <w:t xml:space="preserve"> | </w:t>
                  </w:r>
                  <w:r w:rsidRPr="0071229A">
                    <w:rPr>
                      <w:bCs/>
                    </w:rPr>
                    <w:t>Repinova 17, 702 03 Ostrava</w:t>
                  </w:r>
                  <w:r>
                    <w:t xml:space="preserve"> | ph</w:t>
                  </w:r>
                  <w:r w:rsidRPr="0071229A">
                    <w:rPr>
                      <w:bCs/>
                    </w:rPr>
                    <w:t>.: 595 131 230, 595 131 232</w:t>
                  </w:r>
                </w:p>
                <w:p w:rsidR="00486640" w:rsidRPr="00B27293" w:rsidRDefault="00486640" w:rsidP="00BD366B">
                  <w:pPr>
                    <w:spacing w:line="240" w:lineRule="auto"/>
                    <w:rPr>
                      <w:bCs/>
                    </w:rPr>
                  </w:pPr>
                  <w:r w:rsidRPr="0071229A">
                    <w:rPr>
                      <w:bCs/>
                    </w:rPr>
                    <w:t>e-mail: infoservis_ov@czso.cz</w:t>
                  </w:r>
                  <w:r>
                    <w:t xml:space="preserve"> | </w:t>
                  </w:r>
                  <w:r w:rsidRPr="0071229A">
                    <w:rPr>
                      <w:b/>
                      <w:bCs/>
                    </w:rPr>
                    <w:t>www.ostrava.czso.cz</w:t>
                  </w:r>
                </w:p>
                <w:p w:rsidR="00486640" w:rsidRPr="0071229A" w:rsidRDefault="00486640" w:rsidP="00BD366B">
                  <w:pPr>
                    <w:spacing w:line="240" w:lineRule="auto"/>
                    <w:rPr>
                      <w:bCs/>
                    </w:rPr>
                  </w:pPr>
                </w:p>
                <w:p w:rsidR="00486640" w:rsidRPr="0071229A" w:rsidRDefault="00486640" w:rsidP="00BD366B">
                  <w:pPr>
                    <w:spacing w:line="240" w:lineRule="auto"/>
                    <w:rPr>
                      <w:bCs/>
                    </w:rPr>
                  </w:pPr>
                  <w:r w:rsidRPr="0071229A">
                    <w:rPr>
                      <w:b/>
                      <w:bCs/>
                      <w:color w:val="0071BC"/>
                    </w:rPr>
                    <w:t>Zlín</w:t>
                  </w:r>
                  <w:r>
                    <w:t xml:space="preserve"> | </w:t>
                  </w:r>
                  <w:r w:rsidRPr="0071229A">
                    <w:rPr>
                      <w:bCs/>
                    </w:rPr>
                    <w:t>tř. Tomáše Bati 1565, 761 76 Zlín</w:t>
                  </w:r>
                  <w:r>
                    <w:t xml:space="preserve"> | ph</w:t>
                  </w:r>
                  <w:r w:rsidRPr="0071229A">
                    <w:rPr>
                      <w:bCs/>
                    </w:rPr>
                    <w:t>.: 577 004 931, 577 004 935</w:t>
                  </w:r>
                </w:p>
                <w:p w:rsidR="00486640" w:rsidRPr="00B27293" w:rsidRDefault="00486640" w:rsidP="00BD366B">
                  <w:pPr>
                    <w:spacing w:line="240" w:lineRule="auto"/>
                    <w:rPr>
                      <w:bCs/>
                    </w:rPr>
                  </w:pPr>
                  <w:r w:rsidRPr="0071229A">
                    <w:rPr>
                      <w:bCs/>
                    </w:rPr>
                    <w:t>e-mail: infoservis-zl@czso.cz</w:t>
                  </w:r>
                  <w:r>
                    <w:t xml:space="preserve"> | </w:t>
                  </w:r>
                  <w:r w:rsidRPr="0071229A">
                    <w:rPr>
                      <w:b/>
                      <w:bCs/>
                    </w:rPr>
                    <w:t>www.zlin.czso.cz</w:t>
                  </w:r>
                </w:p>
                <w:p w:rsidR="00486640" w:rsidRPr="00B27293" w:rsidRDefault="00486640" w:rsidP="00BD366B">
                  <w:pPr>
                    <w:spacing w:line="240" w:lineRule="auto"/>
                  </w:pPr>
                </w:p>
              </w:txbxContent>
            </v:textbox>
            <w10:wrap anchorx="page" anchory="page"/>
            <w10:anchorlock/>
          </v:shape>
        </w:pict>
      </w:r>
      <w:r w:rsidRPr="00787267">
        <w:rPr>
          <w:noProof/>
          <w:lang w:eastAsia="cs-CZ"/>
        </w:rPr>
        <w:pict>
          <v:shape id="_x0000_s1034" type="#_x0000_t202" style="position:absolute;margin-left:57pt;margin-top:56.85pt;width:518.2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" filled="f" stroked="f">
            <v:textbox style="mso-fit-shape-to-text:t" inset="0,0,0,0">
              <w:txbxContent>
                <w:p w:rsidR="00486640" w:rsidRPr="00F76E62" w:rsidRDefault="00486640" w:rsidP="00EC53DE">
                  <w:pPr>
                    <w:rPr>
                      <w:b/>
                      <w:bCs/>
                      <w:sz w:val="24"/>
                      <w:lang w:val="en-GB"/>
                    </w:rPr>
                  </w:pPr>
                  <w:r w:rsidRPr="00F76E62">
                    <w:rPr>
                      <w:b/>
                      <w:color w:val="0071BC"/>
                      <w:sz w:val="24"/>
                      <w:lang w:val="en-GB"/>
                    </w:rPr>
                    <w:t xml:space="preserve">Are you interested in the latest data connected with inflation, GDP, population, average wages and much more? You can find them on the CZSO web page: </w:t>
                  </w:r>
                  <w:r w:rsidRPr="00F76E62">
                    <w:rPr>
                      <w:b/>
                      <w:bCs/>
                      <w:sz w:val="24"/>
                      <w:lang w:val="en-GB"/>
                    </w:rPr>
                    <w:t>www.czso.cz</w:t>
                  </w:r>
                  <w:r>
                    <w:rPr>
                      <w:b/>
                      <w:bCs/>
                      <w:sz w:val="24"/>
                      <w:lang w:val="en-GB"/>
                    </w:rPr>
                    <w:t>.</w:t>
                  </w:r>
                </w:p>
                <w:p w:rsidR="00486640" w:rsidRPr="004F4353" w:rsidRDefault="00486640" w:rsidP="0060487F">
                  <w:pPr>
                    <w:rPr>
                      <w:b/>
                      <w:bCs/>
                      <w:sz w:val="24"/>
                    </w:rPr>
                  </w:pPr>
                </w:p>
              </w:txbxContent>
            </v:textbox>
            <w10:wrap anchorx="page" anchory="page"/>
            <w10:anchorlock/>
          </v:shape>
        </w:pict>
      </w:r>
      <w:r w:rsidRPr="00787267">
        <w:rPr>
          <w:noProof/>
          <w:lang w:eastAsia="cs-CZ"/>
        </w:rPr>
        <w:pict>
          <v:shape id="_x0000_s1033"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486640" w:rsidRPr="00841D9F" w:rsidRDefault="00486640" w:rsidP="004F06F5"/>
                <w:p w:rsidR="00486640" w:rsidRPr="0006667B" w:rsidRDefault="00486640" w:rsidP="004F06F5">
                  <w:pPr>
                    <w:rPr>
                      <w:lang w:val="en-GB"/>
                    </w:rPr>
                  </w:pPr>
                  <w:r w:rsidRPr="00841D9F">
                    <w:t xml:space="preserve">© </w:t>
                  </w:r>
                  <w:r w:rsidRPr="0006667B">
                    <w:rPr>
                      <w:lang w:val="en-GB"/>
                    </w:rPr>
                    <w:t>Czech Statistical Office, Prague, 2017</w:t>
                  </w:r>
                </w:p>
              </w:txbxContent>
            </v:textbox>
            <w10:wrap anchorx="page" anchory="page"/>
            <w10:anchorlock/>
          </v:shape>
        </w:pict>
      </w:r>
    </w:p>
    <w:p w:rsidR="00576A3E" w:rsidRPr="00A74192" w:rsidRDefault="00576A3E" w:rsidP="00D94859">
      <w:pPr>
        <w:pStyle w:val="Zkladnodstavec"/>
        <w:spacing w:after="240"/>
        <w:rPr>
          <w:rFonts w:ascii="Arial" w:hAnsi="Arial" w:cs="Arial"/>
          <w:b/>
          <w:color w:val="A5007B"/>
          <w:sz w:val="32"/>
          <w:szCs w:val="32"/>
        </w:rPr>
      </w:pPr>
    </w:p>
    <w:p w:rsidR="00576A3E" w:rsidRPr="00A74192" w:rsidRDefault="00576A3E" w:rsidP="00D94859">
      <w:pPr>
        <w:rPr>
          <w:rFonts w:cs="Arial"/>
          <w:b/>
          <w:color w:val="A5007B"/>
          <w:sz w:val="32"/>
          <w:szCs w:val="32"/>
        </w:rPr>
        <w:sectPr w:rsidR="00576A3E" w:rsidRPr="00A74192" w:rsidSect="00E83DAB">
          <w:headerReference w:type="first" r:id="rId10"/>
          <w:pgSz w:w="11906" w:h="16838" w:code="9"/>
          <w:pgMar w:top="1134" w:right="1134" w:bottom="1418" w:left="1134" w:header="709" w:footer="709" w:gutter="0"/>
          <w:cols w:space="708"/>
          <w:titlePg/>
          <w:docGrid w:linePitch="360"/>
        </w:sectPr>
      </w:pPr>
    </w:p>
    <w:p w:rsidR="00576A3E" w:rsidRPr="00157FDA" w:rsidRDefault="00D51CD6" w:rsidP="00D94859">
      <w:pPr>
        <w:pStyle w:val="Nadpis1"/>
        <w:rPr>
          <w:lang w:val="en-GB"/>
        </w:rPr>
      </w:pPr>
      <w:bookmarkStart w:id="0" w:name="_Toc412459447"/>
      <w:bookmarkStart w:id="1" w:name="_Toc469299928"/>
      <w:bookmarkStart w:id="2" w:name="_Toc493683632"/>
      <w:r w:rsidRPr="00157FDA">
        <w:rPr>
          <w:lang w:val="en-GB"/>
        </w:rPr>
        <w:lastRenderedPageBreak/>
        <w:t>Contents</w:t>
      </w:r>
      <w:bookmarkEnd w:id="0"/>
      <w:bookmarkEnd w:id="1"/>
      <w:bookmarkEnd w:id="2"/>
    </w:p>
    <w:p w:rsidR="00DD0726" w:rsidRDefault="00787267">
      <w:pPr>
        <w:pStyle w:val="Obsah1"/>
        <w:rPr>
          <w:rFonts w:asciiTheme="minorHAnsi" w:eastAsiaTheme="minorEastAsia" w:hAnsiTheme="minorHAnsi" w:cstheme="minorBidi"/>
          <w:b w:val="0"/>
          <w:sz w:val="22"/>
          <w:szCs w:val="22"/>
          <w:lang w:eastAsia="cs-CZ"/>
        </w:rPr>
      </w:pPr>
      <w:r w:rsidRPr="00787267">
        <w:fldChar w:fldCharType="begin"/>
      </w:r>
      <w:r w:rsidR="00576A3E" w:rsidRPr="00A74192">
        <w:instrText xml:space="preserve"> TOC \o "1-3" \h \z \u </w:instrText>
      </w:r>
      <w:r w:rsidRPr="00787267">
        <w:fldChar w:fldCharType="separate"/>
      </w:r>
      <w:hyperlink w:anchor="_Toc493683632" w:history="1">
        <w:r w:rsidR="00D51CD6">
          <w:rPr>
            <w:rStyle w:val="Hypertextovodkaz"/>
          </w:rPr>
          <w:t>Contents</w:t>
        </w:r>
        <w:r w:rsidR="00DD0726">
          <w:rPr>
            <w:webHidden/>
          </w:rPr>
          <w:tab/>
        </w:r>
        <w:r>
          <w:rPr>
            <w:webHidden/>
          </w:rPr>
          <w:fldChar w:fldCharType="begin"/>
        </w:r>
        <w:r w:rsidR="00DD0726">
          <w:rPr>
            <w:webHidden/>
          </w:rPr>
          <w:instrText xml:space="preserve"> PAGEREF _Toc493683632 \h </w:instrText>
        </w:r>
        <w:r>
          <w:rPr>
            <w:webHidden/>
          </w:rPr>
        </w:r>
        <w:r>
          <w:rPr>
            <w:webHidden/>
          </w:rPr>
          <w:fldChar w:fldCharType="separate"/>
        </w:r>
        <w:r w:rsidR="00E910C5">
          <w:rPr>
            <w:webHidden/>
          </w:rPr>
          <w:t>3</w:t>
        </w:r>
        <w:r>
          <w:rPr>
            <w:webHidden/>
          </w:rPr>
          <w:fldChar w:fldCharType="end"/>
        </w:r>
      </w:hyperlink>
    </w:p>
    <w:p w:rsidR="00DD0726" w:rsidRDefault="00787267">
      <w:pPr>
        <w:pStyle w:val="Obsah1"/>
        <w:rPr>
          <w:rFonts w:asciiTheme="minorHAnsi" w:eastAsiaTheme="minorEastAsia" w:hAnsiTheme="minorHAnsi" w:cstheme="minorBidi"/>
          <w:b w:val="0"/>
          <w:sz w:val="22"/>
          <w:szCs w:val="22"/>
          <w:lang w:eastAsia="cs-CZ"/>
        </w:rPr>
      </w:pPr>
      <w:hyperlink w:anchor="_Toc493683633" w:history="1">
        <w:r w:rsidR="00DD0726" w:rsidRPr="00261951">
          <w:rPr>
            <w:rStyle w:val="Hypertextovodkaz"/>
          </w:rPr>
          <w:t>1.</w:t>
        </w:r>
        <w:r w:rsidR="00DD0726">
          <w:rPr>
            <w:rFonts w:asciiTheme="minorHAnsi" w:eastAsiaTheme="minorEastAsia" w:hAnsiTheme="minorHAnsi" w:cstheme="minorBidi"/>
            <w:b w:val="0"/>
            <w:sz w:val="22"/>
            <w:szCs w:val="22"/>
            <w:lang w:eastAsia="cs-CZ"/>
          </w:rPr>
          <w:tab/>
        </w:r>
        <w:r w:rsidR="00DD0726" w:rsidRPr="00261951">
          <w:rPr>
            <w:rStyle w:val="Hypertextovodkaz"/>
          </w:rPr>
          <w:t>S</w:t>
        </w:r>
        <w:r w:rsidR="00157FDA">
          <w:rPr>
            <w:rStyle w:val="Hypertextovodkaz"/>
          </w:rPr>
          <w:t>ummary</w:t>
        </w:r>
        <w:r w:rsidR="00DD0726">
          <w:rPr>
            <w:webHidden/>
          </w:rPr>
          <w:tab/>
        </w:r>
        <w:r>
          <w:rPr>
            <w:webHidden/>
          </w:rPr>
          <w:fldChar w:fldCharType="begin"/>
        </w:r>
        <w:r w:rsidR="00DD0726">
          <w:rPr>
            <w:webHidden/>
          </w:rPr>
          <w:instrText xml:space="preserve"> PAGEREF _Toc493683633 \h </w:instrText>
        </w:r>
        <w:r>
          <w:rPr>
            <w:webHidden/>
          </w:rPr>
        </w:r>
        <w:r>
          <w:rPr>
            <w:webHidden/>
          </w:rPr>
          <w:fldChar w:fldCharType="separate"/>
        </w:r>
        <w:r w:rsidR="00E910C5">
          <w:rPr>
            <w:webHidden/>
          </w:rPr>
          <w:t>4</w:t>
        </w:r>
        <w:r>
          <w:rPr>
            <w:webHidden/>
          </w:rPr>
          <w:fldChar w:fldCharType="end"/>
        </w:r>
      </w:hyperlink>
    </w:p>
    <w:p w:rsidR="00DD0726" w:rsidRDefault="00787267">
      <w:pPr>
        <w:pStyle w:val="Obsah1"/>
        <w:rPr>
          <w:rFonts w:asciiTheme="minorHAnsi" w:eastAsiaTheme="minorEastAsia" w:hAnsiTheme="minorHAnsi" w:cstheme="minorBidi"/>
          <w:b w:val="0"/>
          <w:sz w:val="22"/>
          <w:szCs w:val="22"/>
          <w:lang w:eastAsia="cs-CZ"/>
        </w:rPr>
      </w:pPr>
      <w:hyperlink w:anchor="_Toc493683634" w:history="1">
        <w:r w:rsidR="00DD0726" w:rsidRPr="00261951">
          <w:rPr>
            <w:rStyle w:val="Hypertextovodkaz"/>
          </w:rPr>
          <w:t>2.</w:t>
        </w:r>
        <w:r w:rsidR="00DD0726">
          <w:rPr>
            <w:rFonts w:asciiTheme="minorHAnsi" w:eastAsiaTheme="minorEastAsia" w:hAnsiTheme="minorHAnsi" w:cstheme="minorBidi"/>
            <w:b w:val="0"/>
            <w:sz w:val="22"/>
            <w:szCs w:val="22"/>
            <w:lang w:eastAsia="cs-CZ"/>
          </w:rPr>
          <w:tab/>
        </w:r>
        <w:r w:rsidR="00157FDA">
          <w:rPr>
            <w:rStyle w:val="Hypertextovodkaz"/>
          </w:rPr>
          <w:t>Overall Economic Performance</w:t>
        </w:r>
        <w:r w:rsidR="00DD0726">
          <w:rPr>
            <w:webHidden/>
          </w:rPr>
          <w:tab/>
        </w:r>
        <w:r>
          <w:rPr>
            <w:webHidden/>
          </w:rPr>
          <w:fldChar w:fldCharType="begin"/>
        </w:r>
        <w:r w:rsidR="00DD0726">
          <w:rPr>
            <w:webHidden/>
          </w:rPr>
          <w:instrText xml:space="preserve"> PAGEREF _Toc493683634 \h </w:instrText>
        </w:r>
        <w:r>
          <w:rPr>
            <w:webHidden/>
          </w:rPr>
        </w:r>
        <w:r>
          <w:rPr>
            <w:webHidden/>
          </w:rPr>
          <w:fldChar w:fldCharType="separate"/>
        </w:r>
        <w:r w:rsidR="00E910C5">
          <w:rPr>
            <w:webHidden/>
          </w:rPr>
          <w:t>5</w:t>
        </w:r>
        <w:r>
          <w:rPr>
            <w:webHidden/>
          </w:rPr>
          <w:fldChar w:fldCharType="end"/>
        </w:r>
      </w:hyperlink>
    </w:p>
    <w:p w:rsidR="00DD0726" w:rsidRDefault="00787267">
      <w:pPr>
        <w:pStyle w:val="Obsah1"/>
        <w:rPr>
          <w:rFonts w:asciiTheme="minorHAnsi" w:eastAsiaTheme="minorEastAsia" w:hAnsiTheme="minorHAnsi" w:cstheme="minorBidi"/>
          <w:b w:val="0"/>
          <w:sz w:val="22"/>
          <w:szCs w:val="22"/>
          <w:lang w:eastAsia="cs-CZ"/>
        </w:rPr>
      </w:pPr>
      <w:hyperlink w:anchor="_Toc493683635" w:history="1">
        <w:r w:rsidR="00DD0726" w:rsidRPr="00261951">
          <w:rPr>
            <w:rStyle w:val="Hypertextovodkaz"/>
          </w:rPr>
          <w:t>3.</w:t>
        </w:r>
        <w:r w:rsidR="00DD0726">
          <w:rPr>
            <w:rFonts w:asciiTheme="minorHAnsi" w:eastAsiaTheme="minorEastAsia" w:hAnsiTheme="minorHAnsi" w:cstheme="minorBidi"/>
            <w:b w:val="0"/>
            <w:sz w:val="22"/>
            <w:szCs w:val="22"/>
            <w:lang w:eastAsia="cs-CZ"/>
          </w:rPr>
          <w:tab/>
        </w:r>
        <w:r w:rsidR="00157FDA">
          <w:rPr>
            <w:rStyle w:val="Hypertextovodkaz"/>
          </w:rPr>
          <w:t>Branches Performance</w:t>
        </w:r>
        <w:r w:rsidR="00DD0726">
          <w:rPr>
            <w:webHidden/>
          </w:rPr>
          <w:tab/>
        </w:r>
        <w:r>
          <w:rPr>
            <w:webHidden/>
          </w:rPr>
          <w:fldChar w:fldCharType="begin"/>
        </w:r>
        <w:r w:rsidR="00DD0726">
          <w:rPr>
            <w:webHidden/>
          </w:rPr>
          <w:instrText xml:space="preserve"> PAGEREF _Toc493683635 \h </w:instrText>
        </w:r>
        <w:r>
          <w:rPr>
            <w:webHidden/>
          </w:rPr>
        </w:r>
        <w:r>
          <w:rPr>
            <w:webHidden/>
          </w:rPr>
          <w:fldChar w:fldCharType="separate"/>
        </w:r>
        <w:r w:rsidR="00E910C5">
          <w:rPr>
            <w:webHidden/>
          </w:rPr>
          <w:t>10</w:t>
        </w:r>
        <w:r>
          <w:rPr>
            <w:webHidden/>
          </w:rPr>
          <w:fldChar w:fldCharType="end"/>
        </w:r>
      </w:hyperlink>
    </w:p>
    <w:p w:rsidR="00DD0726" w:rsidRDefault="00787267">
      <w:pPr>
        <w:pStyle w:val="Obsah1"/>
        <w:rPr>
          <w:rFonts w:asciiTheme="minorHAnsi" w:eastAsiaTheme="minorEastAsia" w:hAnsiTheme="minorHAnsi" w:cstheme="minorBidi"/>
          <w:b w:val="0"/>
          <w:sz w:val="22"/>
          <w:szCs w:val="22"/>
          <w:lang w:eastAsia="cs-CZ"/>
        </w:rPr>
      </w:pPr>
      <w:hyperlink w:anchor="_Toc493683636" w:history="1">
        <w:r w:rsidR="00DD0726" w:rsidRPr="00261951">
          <w:rPr>
            <w:rStyle w:val="Hypertextovodkaz"/>
          </w:rPr>
          <w:t>4.</w:t>
        </w:r>
        <w:r w:rsidR="00DD0726">
          <w:rPr>
            <w:rFonts w:asciiTheme="minorHAnsi" w:eastAsiaTheme="minorEastAsia" w:hAnsiTheme="minorHAnsi" w:cstheme="minorBidi"/>
            <w:b w:val="0"/>
            <w:sz w:val="22"/>
            <w:szCs w:val="22"/>
            <w:lang w:eastAsia="cs-CZ"/>
          </w:rPr>
          <w:tab/>
        </w:r>
        <w:r w:rsidR="00157FDA">
          <w:rPr>
            <w:rStyle w:val="Hypertextovodkaz"/>
          </w:rPr>
          <w:t>External Economic Relations</w:t>
        </w:r>
        <w:r w:rsidR="00DD0726">
          <w:rPr>
            <w:webHidden/>
          </w:rPr>
          <w:tab/>
        </w:r>
        <w:r>
          <w:rPr>
            <w:webHidden/>
          </w:rPr>
          <w:fldChar w:fldCharType="begin"/>
        </w:r>
        <w:r w:rsidR="00DD0726">
          <w:rPr>
            <w:webHidden/>
          </w:rPr>
          <w:instrText xml:space="preserve"> PAGEREF _Toc493683636 \h </w:instrText>
        </w:r>
        <w:r>
          <w:rPr>
            <w:webHidden/>
          </w:rPr>
        </w:r>
        <w:r>
          <w:rPr>
            <w:webHidden/>
          </w:rPr>
          <w:fldChar w:fldCharType="separate"/>
        </w:r>
        <w:r w:rsidR="00E910C5">
          <w:rPr>
            <w:webHidden/>
          </w:rPr>
          <w:t>16</w:t>
        </w:r>
        <w:r>
          <w:rPr>
            <w:webHidden/>
          </w:rPr>
          <w:fldChar w:fldCharType="end"/>
        </w:r>
      </w:hyperlink>
    </w:p>
    <w:p w:rsidR="00DD0726" w:rsidRDefault="00787267">
      <w:pPr>
        <w:pStyle w:val="Obsah1"/>
        <w:rPr>
          <w:rFonts w:asciiTheme="minorHAnsi" w:eastAsiaTheme="minorEastAsia" w:hAnsiTheme="minorHAnsi" w:cstheme="minorBidi"/>
          <w:b w:val="0"/>
          <w:sz w:val="22"/>
          <w:szCs w:val="22"/>
          <w:lang w:eastAsia="cs-CZ"/>
        </w:rPr>
      </w:pPr>
      <w:hyperlink w:anchor="_Toc493683637" w:history="1">
        <w:r w:rsidR="00DD0726" w:rsidRPr="00261951">
          <w:rPr>
            <w:rStyle w:val="Hypertextovodkaz"/>
          </w:rPr>
          <w:t>5.</w:t>
        </w:r>
        <w:r w:rsidR="00DD0726">
          <w:rPr>
            <w:rFonts w:asciiTheme="minorHAnsi" w:eastAsiaTheme="minorEastAsia" w:hAnsiTheme="minorHAnsi" w:cstheme="minorBidi"/>
            <w:b w:val="0"/>
            <w:sz w:val="22"/>
            <w:szCs w:val="22"/>
            <w:lang w:eastAsia="cs-CZ"/>
          </w:rPr>
          <w:tab/>
        </w:r>
        <w:r w:rsidR="00157FDA">
          <w:rPr>
            <w:rStyle w:val="Hypertextovodkaz"/>
          </w:rPr>
          <w:t>Prices</w:t>
        </w:r>
        <w:r w:rsidR="00DD0726">
          <w:rPr>
            <w:webHidden/>
          </w:rPr>
          <w:tab/>
        </w:r>
        <w:r>
          <w:rPr>
            <w:webHidden/>
          </w:rPr>
          <w:fldChar w:fldCharType="begin"/>
        </w:r>
        <w:r w:rsidR="00DD0726">
          <w:rPr>
            <w:webHidden/>
          </w:rPr>
          <w:instrText xml:space="preserve"> PAGEREF _Toc493683637 \h </w:instrText>
        </w:r>
        <w:r>
          <w:rPr>
            <w:webHidden/>
          </w:rPr>
        </w:r>
        <w:r>
          <w:rPr>
            <w:webHidden/>
          </w:rPr>
          <w:fldChar w:fldCharType="separate"/>
        </w:r>
        <w:r w:rsidR="00E910C5">
          <w:rPr>
            <w:webHidden/>
          </w:rPr>
          <w:t>19</w:t>
        </w:r>
        <w:r>
          <w:rPr>
            <w:webHidden/>
          </w:rPr>
          <w:fldChar w:fldCharType="end"/>
        </w:r>
      </w:hyperlink>
    </w:p>
    <w:p w:rsidR="00DD0726" w:rsidRDefault="00787267">
      <w:pPr>
        <w:pStyle w:val="Obsah1"/>
        <w:rPr>
          <w:rFonts w:asciiTheme="minorHAnsi" w:eastAsiaTheme="minorEastAsia" w:hAnsiTheme="minorHAnsi" w:cstheme="minorBidi"/>
          <w:b w:val="0"/>
          <w:sz w:val="22"/>
          <w:szCs w:val="22"/>
          <w:lang w:eastAsia="cs-CZ"/>
        </w:rPr>
      </w:pPr>
      <w:hyperlink w:anchor="_Toc493683638" w:history="1">
        <w:r w:rsidR="00DD0726" w:rsidRPr="00261951">
          <w:rPr>
            <w:rStyle w:val="Hypertextovodkaz"/>
          </w:rPr>
          <w:t>6.</w:t>
        </w:r>
        <w:r w:rsidR="00DD0726">
          <w:rPr>
            <w:rFonts w:asciiTheme="minorHAnsi" w:eastAsiaTheme="minorEastAsia" w:hAnsiTheme="minorHAnsi" w:cstheme="minorBidi"/>
            <w:b w:val="0"/>
            <w:sz w:val="22"/>
            <w:szCs w:val="22"/>
            <w:lang w:eastAsia="cs-CZ"/>
          </w:rPr>
          <w:tab/>
        </w:r>
        <w:r w:rsidR="00157FDA">
          <w:rPr>
            <w:rStyle w:val="Hypertextovodkaz"/>
          </w:rPr>
          <w:t>Labour Market</w:t>
        </w:r>
        <w:r w:rsidR="00DD0726">
          <w:rPr>
            <w:webHidden/>
          </w:rPr>
          <w:tab/>
        </w:r>
        <w:r>
          <w:rPr>
            <w:webHidden/>
          </w:rPr>
          <w:fldChar w:fldCharType="begin"/>
        </w:r>
        <w:r w:rsidR="00DD0726">
          <w:rPr>
            <w:webHidden/>
          </w:rPr>
          <w:instrText xml:space="preserve"> PAGEREF _Toc493683638 \h </w:instrText>
        </w:r>
        <w:r>
          <w:rPr>
            <w:webHidden/>
          </w:rPr>
        </w:r>
        <w:r>
          <w:rPr>
            <w:webHidden/>
          </w:rPr>
          <w:fldChar w:fldCharType="separate"/>
        </w:r>
        <w:r w:rsidR="00E910C5">
          <w:rPr>
            <w:webHidden/>
          </w:rPr>
          <w:t>24</w:t>
        </w:r>
        <w:r>
          <w:rPr>
            <w:webHidden/>
          </w:rPr>
          <w:fldChar w:fldCharType="end"/>
        </w:r>
      </w:hyperlink>
    </w:p>
    <w:p w:rsidR="00DD0726" w:rsidRDefault="00787267">
      <w:pPr>
        <w:pStyle w:val="Obsah1"/>
        <w:rPr>
          <w:rFonts w:asciiTheme="minorHAnsi" w:eastAsiaTheme="minorEastAsia" w:hAnsiTheme="minorHAnsi" w:cstheme="minorBidi"/>
          <w:b w:val="0"/>
          <w:sz w:val="22"/>
          <w:szCs w:val="22"/>
          <w:lang w:eastAsia="cs-CZ"/>
        </w:rPr>
      </w:pPr>
      <w:hyperlink w:anchor="_Toc493683639" w:history="1">
        <w:r w:rsidR="00DD0726" w:rsidRPr="00261951">
          <w:rPr>
            <w:rStyle w:val="Hypertextovodkaz"/>
          </w:rPr>
          <w:t>7.</w:t>
        </w:r>
        <w:r w:rsidR="00DD0726">
          <w:rPr>
            <w:rFonts w:asciiTheme="minorHAnsi" w:eastAsiaTheme="minorEastAsia" w:hAnsiTheme="minorHAnsi" w:cstheme="minorBidi"/>
            <w:b w:val="0"/>
            <w:sz w:val="22"/>
            <w:szCs w:val="22"/>
            <w:lang w:eastAsia="cs-CZ"/>
          </w:rPr>
          <w:tab/>
        </w:r>
        <w:r w:rsidR="00DD0726" w:rsidRPr="00261951">
          <w:rPr>
            <w:rStyle w:val="Hypertextovodkaz"/>
          </w:rPr>
          <w:t>M</w:t>
        </w:r>
        <w:r w:rsidR="00157FDA">
          <w:rPr>
            <w:rStyle w:val="Hypertextovodkaz"/>
          </w:rPr>
          <w:t>onetary Conditions</w:t>
        </w:r>
        <w:r w:rsidR="00DD0726">
          <w:rPr>
            <w:webHidden/>
          </w:rPr>
          <w:tab/>
        </w:r>
        <w:r>
          <w:rPr>
            <w:webHidden/>
          </w:rPr>
          <w:fldChar w:fldCharType="begin"/>
        </w:r>
        <w:r w:rsidR="00DD0726">
          <w:rPr>
            <w:webHidden/>
          </w:rPr>
          <w:instrText xml:space="preserve"> PAGEREF _Toc493683639 \h </w:instrText>
        </w:r>
        <w:r>
          <w:rPr>
            <w:webHidden/>
          </w:rPr>
        </w:r>
        <w:r>
          <w:rPr>
            <w:webHidden/>
          </w:rPr>
          <w:fldChar w:fldCharType="separate"/>
        </w:r>
        <w:r w:rsidR="00E910C5">
          <w:rPr>
            <w:webHidden/>
          </w:rPr>
          <w:t>28</w:t>
        </w:r>
        <w:r>
          <w:rPr>
            <w:webHidden/>
          </w:rPr>
          <w:fldChar w:fldCharType="end"/>
        </w:r>
      </w:hyperlink>
    </w:p>
    <w:p w:rsidR="00DD0726" w:rsidRDefault="00787267">
      <w:pPr>
        <w:pStyle w:val="Obsah1"/>
        <w:rPr>
          <w:rFonts w:asciiTheme="minorHAnsi" w:eastAsiaTheme="minorEastAsia" w:hAnsiTheme="minorHAnsi" w:cstheme="minorBidi"/>
          <w:b w:val="0"/>
          <w:sz w:val="22"/>
          <w:szCs w:val="22"/>
          <w:lang w:eastAsia="cs-CZ"/>
        </w:rPr>
      </w:pPr>
      <w:hyperlink w:anchor="_Toc493683640" w:history="1">
        <w:r w:rsidR="00DD0726" w:rsidRPr="00261951">
          <w:rPr>
            <w:rStyle w:val="Hypertextovodkaz"/>
          </w:rPr>
          <w:t>8.</w:t>
        </w:r>
        <w:r w:rsidR="00DD0726">
          <w:rPr>
            <w:rFonts w:asciiTheme="minorHAnsi" w:eastAsiaTheme="minorEastAsia" w:hAnsiTheme="minorHAnsi" w:cstheme="minorBidi"/>
            <w:b w:val="0"/>
            <w:sz w:val="22"/>
            <w:szCs w:val="22"/>
            <w:lang w:eastAsia="cs-CZ"/>
          </w:rPr>
          <w:tab/>
        </w:r>
        <w:r w:rsidR="00DD0726" w:rsidRPr="00261951">
          <w:rPr>
            <w:rStyle w:val="Hypertextovodkaz"/>
          </w:rPr>
          <w:t>St</w:t>
        </w:r>
        <w:r w:rsidR="00157FDA">
          <w:rPr>
            <w:rStyle w:val="Hypertextovodkaz"/>
          </w:rPr>
          <w:t>ate Budget</w:t>
        </w:r>
        <w:r w:rsidR="00DD0726">
          <w:rPr>
            <w:webHidden/>
          </w:rPr>
          <w:tab/>
        </w:r>
        <w:r>
          <w:rPr>
            <w:webHidden/>
          </w:rPr>
          <w:fldChar w:fldCharType="begin"/>
        </w:r>
        <w:r w:rsidR="00DD0726">
          <w:rPr>
            <w:webHidden/>
          </w:rPr>
          <w:instrText xml:space="preserve"> PAGEREF _Toc493683640 \h </w:instrText>
        </w:r>
        <w:r>
          <w:rPr>
            <w:webHidden/>
          </w:rPr>
        </w:r>
        <w:r>
          <w:rPr>
            <w:webHidden/>
          </w:rPr>
          <w:fldChar w:fldCharType="separate"/>
        </w:r>
        <w:r w:rsidR="00E910C5">
          <w:rPr>
            <w:webHidden/>
          </w:rPr>
          <w:t>30</w:t>
        </w:r>
        <w:r>
          <w:rPr>
            <w:webHidden/>
          </w:rPr>
          <w:fldChar w:fldCharType="end"/>
        </w:r>
      </w:hyperlink>
    </w:p>
    <w:p w:rsidR="00576A3E" w:rsidRPr="00A74192" w:rsidRDefault="00787267" w:rsidP="00D94859">
      <w:pPr>
        <w:pStyle w:val="Nadpis1"/>
        <w:spacing w:before="200"/>
        <w:rPr>
          <w:rFonts w:cs="Arial"/>
          <w:sz w:val="20"/>
          <w:szCs w:val="20"/>
        </w:rPr>
      </w:pPr>
      <w:r w:rsidRPr="00A74192">
        <w:fldChar w:fldCharType="end"/>
      </w:r>
    </w:p>
    <w:p w:rsidR="00576A3E" w:rsidRPr="00157FDA" w:rsidRDefault="00157FDA" w:rsidP="00D94859">
      <w:pPr>
        <w:rPr>
          <w:rFonts w:cs="Arial"/>
          <w:b/>
          <w:lang w:val="en-GB"/>
        </w:rPr>
      </w:pPr>
      <w:r w:rsidRPr="00157FDA">
        <w:rPr>
          <w:rFonts w:cs="Arial"/>
          <w:b/>
          <w:lang w:val="en-GB"/>
        </w:rPr>
        <w:t>Chapters prepared by</w:t>
      </w:r>
      <w:r w:rsidR="00576A3E" w:rsidRPr="00157FDA">
        <w:rPr>
          <w:rFonts w:cs="Arial"/>
          <w:b/>
          <w:lang w:val="en-GB"/>
        </w:rPr>
        <w:t>:</w:t>
      </w:r>
    </w:p>
    <w:p w:rsidR="00576A3E" w:rsidRPr="00157FDA" w:rsidRDefault="00576A3E" w:rsidP="00D94859">
      <w:pPr>
        <w:rPr>
          <w:rFonts w:cs="Arial"/>
          <w:lang w:val="en-GB"/>
        </w:rPr>
      </w:pPr>
    </w:p>
    <w:p w:rsidR="00466AAE" w:rsidRPr="00157FDA" w:rsidRDefault="00466AAE" w:rsidP="00D94859">
      <w:pPr>
        <w:spacing w:after="120" w:line="276" w:lineRule="auto"/>
        <w:rPr>
          <w:rFonts w:cs="Arial"/>
          <w:lang w:val="en-GB"/>
        </w:rPr>
      </w:pPr>
      <w:proofErr w:type="spellStart"/>
      <w:r w:rsidRPr="00157FDA">
        <w:rPr>
          <w:rFonts w:cs="Arial"/>
          <w:lang w:val="en-GB"/>
        </w:rPr>
        <w:t>Jiří</w:t>
      </w:r>
      <w:proofErr w:type="spellEnd"/>
      <w:r w:rsidRPr="00157FDA">
        <w:rPr>
          <w:rFonts w:cs="Arial"/>
          <w:lang w:val="en-GB"/>
        </w:rPr>
        <w:t xml:space="preserve"> </w:t>
      </w:r>
      <w:proofErr w:type="spellStart"/>
      <w:r w:rsidRPr="00157FDA">
        <w:rPr>
          <w:rFonts w:cs="Arial"/>
          <w:lang w:val="en-GB"/>
        </w:rPr>
        <w:t>Kamenický</w:t>
      </w:r>
      <w:proofErr w:type="spellEnd"/>
      <w:r w:rsidRPr="00157FDA">
        <w:rPr>
          <w:rFonts w:cs="Arial"/>
          <w:lang w:val="en-GB"/>
        </w:rPr>
        <w:tab/>
      </w:r>
      <w:r w:rsidRPr="00157FDA">
        <w:rPr>
          <w:rFonts w:cs="Arial"/>
          <w:lang w:val="en-GB"/>
        </w:rPr>
        <w:tab/>
        <w:t>S</w:t>
      </w:r>
      <w:r w:rsidR="00157FDA">
        <w:rPr>
          <w:rFonts w:cs="Arial"/>
          <w:lang w:val="en-GB"/>
        </w:rPr>
        <w:t>ummary</w:t>
      </w:r>
      <w:r w:rsidRPr="00157FDA">
        <w:rPr>
          <w:rFonts w:cs="Arial"/>
          <w:lang w:val="en-GB"/>
        </w:rPr>
        <w:t xml:space="preserve"> (</w:t>
      </w:r>
      <w:r w:rsidR="00157FDA">
        <w:rPr>
          <w:rFonts w:cs="Arial"/>
          <w:lang w:val="en-GB"/>
        </w:rPr>
        <w:t>Chap</w:t>
      </w:r>
      <w:r w:rsidRPr="00157FDA">
        <w:rPr>
          <w:rFonts w:cs="Arial"/>
          <w:lang w:val="en-GB"/>
        </w:rPr>
        <w:t xml:space="preserve">. 1), </w:t>
      </w:r>
      <w:r w:rsidR="00157FDA">
        <w:rPr>
          <w:rFonts w:cs="Arial"/>
          <w:lang w:val="en-GB"/>
        </w:rPr>
        <w:t>Chap</w:t>
      </w:r>
      <w:r w:rsidRPr="00157FDA">
        <w:rPr>
          <w:rFonts w:cs="Arial"/>
          <w:color w:val="000000"/>
          <w:lang w:val="en-GB"/>
        </w:rPr>
        <w:t>. 3,</w:t>
      </w:r>
      <w:r w:rsidRPr="00157FDA">
        <w:rPr>
          <w:rFonts w:cs="Arial"/>
          <w:lang w:val="en-GB"/>
        </w:rPr>
        <w:t xml:space="preserve"> </w:t>
      </w:r>
      <w:r w:rsidR="00157FDA">
        <w:rPr>
          <w:rFonts w:cs="Arial"/>
          <w:lang w:val="en-GB"/>
        </w:rPr>
        <w:t>Chap</w:t>
      </w:r>
      <w:r w:rsidRPr="00157FDA">
        <w:rPr>
          <w:rFonts w:cs="Arial"/>
          <w:lang w:val="en-GB"/>
        </w:rPr>
        <w:t xml:space="preserve">. 6, </w:t>
      </w:r>
      <w:r w:rsidR="00157FDA">
        <w:rPr>
          <w:rFonts w:cs="Arial"/>
          <w:lang w:val="en-GB"/>
        </w:rPr>
        <w:t>Chap</w:t>
      </w:r>
      <w:r w:rsidRPr="00157FDA">
        <w:rPr>
          <w:rFonts w:cs="Arial"/>
          <w:lang w:val="en-GB"/>
        </w:rPr>
        <w:t>. 8</w:t>
      </w:r>
    </w:p>
    <w:p w:rsidR="00466AAE" w:rsidRPr="00157FDA" w:rsidRDefault="004A7670" w:rsidP="00D94859">
      <w:pPr>
        <w:spacing w:after="120" w:line="276" w:lineRule="auto"/>
        <w:rPr>
          <w:rFonts w:cs="Arial"/>
          <w:lang w:val="en-GB"/>
        </w:rPr>
      </w:pPr>
      <w:proofErr w:type="spellStart"/>
      <w:r w:rsidRPr="00157FDA">
        <w:rPr>
          <w:rFonts w:cs="Arial"/>
          <w:lang w:val="en-GB"/>
        </w:rPr>
        <w:t>Karolína</w:t>
      </w:r>
      <w:proofErr w:type="spellEnd"/>
      <w:r w:rsidRPr="00157FDA">
        <w:rPr>
          <w:rFonts w:cs="Arial"/>
          <w:lang w:val="en-GB"/>
        </w:rPr>
        <w:t xml:space="preserve"> </w:t>
      </w:r>
      <w:proofErr w:type="spellStart"/>
      <w:r w:rsidRPr="00157FDA">
        <w:rPr>
          <w:rFonts w:cs="Arial"/>
          <w:lang w:val="en-GB"/>
        </w:rPr>
        <w:t>Súkupová</w:t>
      </w:r>
      <w:proofErr w:type="spellEnd"/>
      <w:r w:rsidRPr="00157FDA">
        <w:rPr>
          <w:rFonts w:cs="Arial"/>
          <w:lang w:val="en-GB"/>
        </w:rPr>
        <w:tab/>
      </w:r>
      <w:r w:rsidR="00466AAE" w:rsidRPr="00157FDA">
        <w:rPr>
          <w:rFonts w:cs="Arial"/>
          <w:lang w:val="en-GB"/>
        </w:rPr>
        <w:t>S</w:t>
      </w:r>
      <w:r w:rsidR="00157FDA">
        <w:rPr>
          <w:rFonts w:cs="Arial"/>
          <w:lang w:val="en-GB"/>
        </w:rPr>
        <w:t>ummary</w:t>
      </w:r>
      <w:r w:rsidR="00466AAE" w:rsidRPr="00157FDA">
        <w:rPr>
          <w:rFonts w:cs="Arial"/>
          <w:lang w:val="en-GB"/>
        </w:rPr>
        <w:t xml:space="preserve"> (</w:t>
      </w:r>
      <w:r w:rsidR="00157FDA">
        <w:rPr>
          <w:rFonts w:cs="Arial"/>
          <w:lang w:val="en-GB"/>
        </w:rPr>
        <w:t>Chap</w:t>
      </w:r>
      <w:r w:rsidR="00466AAE" w:rsidRPr="00157FDA">
        <w:rPr>
          <w:rFonts w:cs="Arial"/>
          <w:lang w:val="en-GB"/>
        </w:rPr>
        <w:t xml:space="preserve">. 1), </w:t>
      </w:r>
      <w:r w:rsidR="00157FDA">
        <w:rPr>
          <w:rFonts w:cs="Arial"/>
          <w:lang w:val="en-GB"/>
        </w:rPr>
        <w:t>Chap</w:t>
      </w:r>
      <w:r w:rsidR="00466AAE" w:rsidRPr="00157FDA">
        <w:rPr>
          <w:rFonts w:cs="Arial"/>
          <w:lang w:val="en-GB"/>
        </w:rPr>
        <w:t>. 2</w:t>
      </w:r>
      <w:r w:rsidRPr="00157FDA">
        <w:rPr>
          <w:rFonts w:cs="Arial"/>
          <w:lang w:val="en-GB"/>
        </w:rPr>
        <w:t xml:space="preserve">, </w:t>
      </w:r>
      <w:r w:rsidR="00157FDA">
        <w:rPr>
          <w:rFonts w:cs="Arial"/>
          <w:lang w:val="en-GB"/>
        </w:rPr>
        <w:t>Chap</w:t>
      </w:r>
      <w:r w:rsidRPr="00157FDA">
        <w:rPr>
          <w:rFonts w:cs="Arial"/>
          <w:lang w:val="en-GB"/>
        </w:rPr>
        <w:t xml:space="preserve">. 4, </w:t>
      </w:r>
      <w:r w:rsidR="00157FDA">
        <w:rPr>
          <w:rFonts w:cs="Arial"/>
          <w:lang w:val="en-GB"/>
        </w:rPr>
        <w:t>Chap</w:t>
      </w:r>
      <w:r w:rsidRPr="00157FDA">
        <w:rPr>
          <w:rFonts w:cs="Arial"/>
          <w:lang w:val="en-GB"/>
        </w:rPr>
        <w:t xml:space="preserve">. 5, </w:t>
      </w:r>
      <w:r w:rsidR="00157FDA">
        <w:rPr>
          <w:rFonts w:cs="Arial"/>
          <w:lang w:val="en-GB"/>
        </w:rPr>
        <w:t>Chap</w:t>
      </w:r>
      <w:r w:rsidRPr="00157FDA">
        <w:rPr>
          <w:rFonts w:cs="Arial"/>
          <w:lang w:val="en-GB"/>
        </w:rPr>
        <w:t>. 7</w:t>
      </w:r>
    </w:p>
    <w:p w:rsidR="00466AAE" w:rsidRDefault="00466AA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4D16B2" w:rsidRDefault="00251B1E" w:rsidP="008A03DE">
      <w:pPr>
        <w:pStyle w:val="Textpoznpodarou"/>
        <w:jc w:val="both"/>
        <w:rPr>
          <w:rFonts w:cs="Arial"/>
          <w:color w:val="000000"/>
          <w:lang w:val="en-GB"/>
        </w:rPr>
      </w:pPr>
      <w:r w:rsidRPr="001A6D52">
        <w:rPr>
          <w:rFonts w:cs="Arial"/>
          <w:color w:val="000000" w:themeColor="text1"/>
          <w:spacing w:val="-2"/>
          <w:lang w:val="en-GB"/>
        </w:rPr>
        <w:t>Sources of data in the whole analysis</w:t>
      </w:r>
      <w:r w:rsidR="00EA1CFB" w:rsidRPr="001A6D52">
        <w:rPr>
          <w:rFonts w:cs="Arial"/>
          <w:color w:val="000000"/>
          <w:lang w:val="en-GB"/>
        </w:rPr>
        <w:t xml:space="preserve">: </w:t>
      </w:r>
    </w:p>
    <w:p w:rsidR="008A03DE" w:rsidRPr="001A6D52" w:rsidRDefault="004D16B2" w:rsidP="008A03DE">
      <w:pPr>
        <w:pStyle w:val="Textpoznpodarou"/>
        <w:jc w:val="both"/>
        <w:rPr>
          <w:rFonts w:cs="Arial"/>
          <w:color w:val="000000"/>
          <w:lang w:val="en-GB"/>
        </w:rPr>
      </w:pPr>
      <w:r>
        <w:rPr>
          <w:rFonts w:cs="Arial"/>
          <w:color w:val="000000"/>
          <w:lang w:val="en-GB"/>
        </w:rPr>
        <w:t>Czech Statistical Office (</w:t>
      </w:r>
      <w:r w:rsidR="00251B1E" w:rsidRPr="001A6D52">
        <w:rPr>
          <w:rFonts w:cs="Arial"/>
          <w:color w:val="000000"/>
          <w:lang w:val="en-GB"/>
        </w:rPr>
        <w:t>CZSO</w:t>
      </w:r>
      <w:r>
        <w:rPr>
          <w:rFonts w:cs="Arial"/>
          <w:color w:val="000000"/>
          <w:lang w:val="en-GB"/>
        </w:rPr>
        <w:t>)</w:t>
      </w:r>
      <w:r w:rsidR="00EA1CFB" w:rsidRPr="001A6D52">
        <w:rPr>
          <w:rFonts w:cs="Arial"/>
          <w:color w:val="000000"/>
          <w:lang w:val="en-GB"/>
        </w:rPr>
        <w:t xml:space="preserve">, </w:t>
      </w:r>
      <w:r>
        <w:rPr>
          <w:rFonts w:cs="Arial"/>
          <w:color w:val="000000"/>
          <w:lang w:val="en-GB"/>
        </w:rPr>
        <w:t>Czech National Bank (</w:t>
      </w:r>
      <w:r w:rsidR="00251B1E" w:rsidRPr="001A6D52">
        <w:rPr>
          <w:rFonts w:cs="Arial"/>
          <w:color w:val="000000"/>
          <w:lang w:val="en-GB"/>
        </w:rPr>
        <w:t>C</w:t>
      </w:r>
      <w:r w:rsidR="00EA1CFB" w:rsidRPr="001A6D52">
        <w:rPr>
          <w:rFonts w:cs="Arial"/>
          <w:color w:val="000000"/>
          <w:lang w:val="en-GB"/>
        </w:rPr>
        <w:t>NB</w:t>
      </w:r>
      <w:r>
        <w:rPr>
          <w:rFonts w:cs="Arial"/>
          <w:color w:val="000000"/>
          <w:lang w:val="en-GB"/>
        </w:rPr>
        <w:t>)</w:t>
      </w:r>
      <w:r w:rsidR="00EA1CFB" w:rsidRPr="001A6D52">
        <w:rPr>
          <w:rFonts w:cs="Arial"/>
          <w:color w:val="000000"/>
          <w:lang w:val="en-GB"/>
        </w:rPr>
        <w:t xml:space="preserve">, </w:t>
      </w:r>
      <w:r>
        <w:rPr>
          <w:rFonts w:cs="Arial"/>
          <w:color w:val="000000"/>
          <w:lang w:val="en-GB"/>
        </w:rPr>
        <w:t>Ministry of Finance (</w:t>
      </w:r>
      <w:r w:rsidR="00EA1CFB" w:rsidRPr="001A6D52">
        <w:rPr>
          <w:rFonts w:cs="Arial"/>
          <w:color w:val="000000"/>
          <w:lang w:val="en-GB"/>
        </w:rPr>
        <w:t>MF</w:t>
      </w:r>
      <w:r w:rsidR="00251B1E" w:rsidRPr="001A6D52">
        <w:rPr>
          <w:rFonts w:cs="Arial"/>
          <w:color w:val="000000"/>
          <w:lang w:val="en-GB"/>
        </w:rPr>
        <w:t xml:space="preserve"> CR</w:t>
      </w:r>
      <w:r>
        <w:rPr>
          <w:rFonts w:cs="Arial"/>
          <w:color w:val="000000"/>
          <w:lang w:val="en-GB"/>
        </w:rPr>
        <w:t>)</w:t>
      </w:r>
      <w:r w:rsidR="00EA1CFB" w:rsidRPr="001A6D52">
        <w:rPr>
          <w:rFonts w:cs="Arial"/>
          <w:color w:val="000000"/>
          <w:lang w:val="en-GB"/>
        </w:rPr>
        <w:t>,</w:t>
      </w:r>
      <w:r w:rsidR="008A03DE" w:rsidRPr="001A6D52">
        <w:rPr>
          <w:rFonts w:cs="Arial"/>
          <w:color w:val="000000"/>
          <w:lang w:val="en-GB"/>
        </w:rPr>
        <w:t xml:space="preserve"> </w:t>
      </w:r>
      <w:r>
        <w:rPr>
          <w:rFonts w:cs="Arial"/>
          <w:color w:val="000000"/>
          <w:lang w:val="en-GB"/>
        </w:rPr>
        <w:t>Ministry of Labour and Social Affairs (</w:t>
      </w:r>
      <w:r w:rsidR="008A03DE" w:rsidRPr="001A6D52">
        <w:rPr>
          <w:rFonts w:cs="Arial"/>
          <w:color w:val="000000"/>
          <w:lang w:val="en-GB"/>
        </w:rPr>
        <w:t>M</w:t>
      </w:r>
      <w:r w:rsidR="00251B1E" w:rsidRPr="001A6D52">
        <w:rPr>
          <w:rFonts w:cs="Arial"/>
          <w:color w:val="000000"/>
          <w:lang w:val="en-GB"/>
        </w:rPr>
        <w:t>LSA</w:t>
      </w:r>
      <w:r>
        <w:rPr>
          <w:rFonts w:cs="Arial"/>
          <w:color w:val="000000"/>
          <w:lang w:val="en-GB"/>
        </w:rPr>
        <w:t>)</w:t>
      </w:r>
      <w:r w:rsidR="008A03DE" w:rsidRPr="001A6D52">
        <w:rPr>
          <w:rFonts w:cs="Arial"/>
          <w:color w:val="000000"/>
          <w:lang w:val="en-GB"/>
        </w:rPr>
        <w:t xml:space="preserve">, </w:t>
      </w:r>
      <w:r>
        <w:rPr>
          <w:rFonts w:cs="Arial"/>
          <w:color w:val="000000"/>
          <w:lang w:val="en-GB"/>
        </w:rPr>
        <w:t>Czech Social Security Administration (</w:t>
      </w:r>
      <w:r w:rsidR="00251B1E" w:rsidRPr="001A6D52">
        <w:rPr>
          <w:rFonts w:cs="Arial"/>
          <w:color w:val="000000"/>
          <w:lang w:val="en-GB"/>
        </w:rPr>
        <w:t>CSSA</w:t>
      </w:r>
      <w:r>
        <w:rPr>
          <w:rFonts w:cs="Arial"/>
          <w:color w:val="000000"/>
          <w:lang w:val="en-GB"/>
        </w:rPr>
        <w:t>)</w:t>
      </w:r>
      <w:r w:rsidR="008A03DE" w:rsidRPr="001A6D52">
        <w:rPr>
          <w:rFonts w:cs="Arial"/>
          <w:color w:val="000000"/>
          <w:lang w:val="en-GB"/>
        </w:rPr>
        <w:t xml:space="preserve">, </w:t>
      </w:r>
      <w:proofErr w:type="spellStart"/>
      <w:r w:rsidR="008A03DE" w:rsidRPr="001A6D52">
        <w:rPr>
          <w:rFonts w:cs="Arial"/>
          <w:color w:val="000000"/>
          <w:lang w:val="en-GB"/>
        </w:rPr>
        <w:t>Eurostat</w:t>
      </w:r>
      <w:proofErr w:type="spellEnd"/>
      <w:r w:rsidR="008A03DE" w:rsidRPr="001A6D52">
        <w:rPr>
          <w:rFonts w:cs="Arial"/>
          <w:color w:val="000000"/>
          <w:lang w:val="en-GB"/>
        </w:rPr>
        <w:t xml:space="preserve">, </w:t>
      </w:r>
      <w:r w:rsidR="00251B1E" w:rsidRPr="001A6D52">
        <w:rPr>
          <w:rFonts w:cs="Arial"/>
          <w:color w:val="000000"/>
          <w:lang w:val="en-GB"/>
        </w:rPr>
        <w:t>CZSO calculations</w:t>
      </w:r>
      <w:r w:rsidR="008A03DE" w:rsidRPr="001A6D52">
        <w:rPr>
          <w:rFonts w:cs="Arial"/>
          <w:color w:val="000000"/>
          <w:lang w:val="en-GB"/>
        </w:rPr>
        <w:t>.</w:t>
      </w:r>
    </w:p>
    <w:p w:rsidR="004A7670" w:rsidRPr="001A6D52" w:rsidRDefault="00251B1E" w:rsidP="008A03DE">
      <w:pPr>
        <w:pStyle w:val="Textpoznpodarou"/>
        <w:jc w:val="both"/>
        <w:rPr>
          <w:rFonts w:cs="Arial"/>
          <w:color w:val="000000"/>
          <w:lang w:val="en-GB"/>
        </w:rPr>
      </w:pPr>
      <w:r w:rsidRPr="001A6D52">
        <w:rPr>
          <w:rFonts w:cs="Arial"/>
          <w:color w:val="000000" w:themeColor="text1"/>
          <w:spacing w:val="-2"/>
          <w:lang w:val="en-GB"/>
        </w:rPr>
        <w:t>Latest information provided in this report has been dated the</w:t>
      </w:r>
      <w:r w:rsidRPr="001A6D52">
        <w:rPr>
          <w:rFonts w:cs="Arial"/>
          <w:color w:val="000000"/>
          <w:lang w:val="en-GB"/>
        </w:rPr>
        <w:t xml:space="preserve"> </w:t>
      </w:r>
      <w:r w:rsidR="00CE7158" w:rsidRPr="001A6D52">
        <w:rPr>
          <w:rFonts w:cs="Arial"/>
          <w:color w:val="000000"/>
          <w:lang w:val="en-GB"/>
        </w:rPr>
        <w:t>1</w:t>
      </w:r>
      <w:r w:rsidR="00BD557B" w:rsidRPr="001A6D52">
        <w:rPr>
          <w:rFonts w:cs="Arial"/>
          <w:color w:val="000000"/>
          <w:lang w:val="en-GB"/>
        </w:rPr>
        <w:t>3</w:t>
      </w:r>
      <w:r w:rsidRPr="001A6D52">
        <w:rPr>
          <w:rFonts w:cs="Arial"/>
          <w:color w:val="000000"/>
          <w:lang w:val="en-GB"/>
        </w:rPr>
        <w:t xml:space="preserve">th September </w:t>
      </w:r>
      <w:r w:rsidR="008A03DE" w:rsidRPr="001A6D52">
        <w:rPr>
          <w:rFonts w:cs="Arial"/>
          <w:color w:val="000000"/>
          <w:lang w:val="en-GB"/>
        </w:rPr>
        <w:t>2017.</w:t>
      </w:r>
    </w:p>
    <w:p w:rsidR="00576A3E" w:rsidRPr="001A6D52" w:rsidRDefault="00576A3E" w:rsidP="00D94859">
      <w:pPr>
        <w:rPr>
          <w:lang w:val="en-GB"/>
        </w:rPr>
        <w:sectPr w:rsidR="00576A3E" w:rsidRPr="001A6D52" w:rsidSect="00311204">
          <w:headerReference w:type="even" r:id="rId11"/>
          <w:headerReference w:type="default" r:id="rId12"/>
          <w:footerReference w:type="default" r:id="rId13"/>
          <w:pgSz w:w="11906" w:h="16838" w:code="9"/>
          <w:pgMar w:top="1134" w:right="1134" w:bottom="1418" w:left="1134" w:header="680" w:footer="680" w:gutter="0"/>
          <w:cols w:space="708"/>
          <w:titlePg/>
          <w:docGrid w:linePitch="360"/>
        </w:sectPr>
      </w:pPr>
    </w:p>
    <w:p w:rsidR="000C60D8" w:rsidRPr="001A6D52" w:rsidRDefault="00960769" w:rsidP="000C60D8">
      <w:pPr>
        <w:pStyle w:val="Nadpis1"/>
        <w:numPr>
          <w:ilvl w:val="0"/>
          <w:numId w:val="12"/>
        </w:numPr>
        <w:ind w:left="709"/>
        <w:rPr>
          <w:lang w:val="en-GB"/>
        </w:rPr>
      </w:pPr>
      <w:bookmarkStart w:id="3" w:name="_Toc469299929"/>
      <w:bookmarkStart w:id="4" w:name="_Toc493683633"/>
      <w:r w:rsidRPr="001A6D52">
        <w:rPr>
          <w:lang w:val="en-GB"/>
        </w:rPr>
        <w:lastRenderedPageBreak/>
        <w:t>S</w:t>
      </w:r>
      <w:r w:rsidR="001A6D52">
        <w:rPr>
          <w:lang w:val="en-GB"/>
        </w:rPr>
        <w:t>ummary</w:t>
      </w:r>
      <w:bookmarkEnd w:id="3"/>
      <w:bookmarkEnd w:id="4"/>
    </w:p>
    <w:p w:rsidR="00DD0726" w:rsidRPr="008167A9" w:rsidRDefault="00D37AB3" w:rsidP="00DD0726">
      <w:pPr>
        <w:pStyle w:val="Odstavecseseznamem"/>
        <w:numPr>
          <w:ilvl w:val="0"/>
          <w:numId w:val="18"/>
        </w:numPr>
        <w:spacing w:line="240" w:lineRule="auto"/>
        <w:ind w:left="426"/>
        <w:contextualSpacing/>
        <w:jc w:val="both"/>
        <w:rPr>
          <w:rFonts w:cs="Arial"/>
          <w:spacing w:val="-2"/>
          <w:szCs w:val="20"/>
          <w:lang w:val="en-GB"/>
        </w:rPr>
      </w:pPr>
      <w:r w:rsidRPr="00FA3844">
        <w:rPr>
          <w:rFonts w:cs="Arial"/>
          <w:color w:val="000000"/>
          <w:szCs w:val="20"/>
          <w:lang w:val="en-GB"/>
        </w:rPr>
        <w:t>Gross domestic product (GDP) grew by 4.7</w:t>
      </w:r>
      <w:r w:rsidR="00954C8E">
        <w:rPr>
          <w:rFonts w:cs="Arial"/>
          <w:color w:val="000000"/>
          <w:szCs w:val="20"/>
          <w:lang w:val="en-GB"/>
        </w:rPr>
        <w:t>%</w:t>
      </w:r>
      <w:r w:rsidRPr="00FA3844">
        <w:rPr>
          <w:rFonts w:cs="Arial"/>
          <w:color w:val="000000"/>
          <w:szCs w:val="20"/>
          <w:lang w:val="en-GB"/>
        </w:rPr>
        <w:t xml:space="preserve"> year-on-year in Q2 2017</w:t>
      </w:r>
      <w:r w:rsidR="00A85F18" w:rsidRPr="00FA3844">
        <w:rPr>
          <w:rStyle w:val="Znakapoznpodarou"/>
          <w:spacing w:val="-2"/>
          <w:szCs w:val="20"/>
          <w:lang w:val="en-GB"/>
        </w:rPr>
        <w:footnoteReference w:id="1"/>
      </w:r>
      <w:r w:rsidR="002370B4" w:rsidRPr="00FA3844">
        <w:rPr>
          <w:rFonts w:cs="Arial"/>
          <w:color w:val="000000"/>
          <w:szCs w:val="20"/>
          <w:lang w:val="en-GB"/>
        </w:rPr>
        <w:t xml:space="preserve">. </w:t>
      </w:r>
      <w:r w:rsidRPr="00FA3844">
        <w:rPr>
          <w:rFonts w:cs="Arial"/>
          <w:color w:val="000000"/>
          <w:szCs w:val="20"/>
          <w:lang w:val="en-GB"/>
        </w:rPr>
        <w:t xml:space="preserve">Strong growth of the household consumption as well as the foreign trade balance supported quickening of the pace compared both to the previous quarter and the whole year 2016. The growth of </w:t>
      </w:r>
      <w:r w:rsidR="00924DC8">
        <w:rPr>
          <w:rFonts w:cs="Arial"/>
          <w:color w:val="000000"/>
          <w:szCs w:val="20"/>
          <w:lang w:val="en-GB"/>
        </w:rPr>
        <w:t xml:space="preserve">the </w:t>
      </w:r>
      <w:r w:rsidRPr="00FA3844">
        <w:rPr>
          <w:rFonts w:cs="Arial"/>
          <w:color w:val="000000"/>
          <w:szCs w:val="20"/>
          <w:lang w:val="en-GB"/>
        </w:rPr>
        <w:t>gross fixed capital expenditure also contributed. Quarter-on-quarter growth of the GDP</w:t>
      </w:r>
      <w:r w:rsidRPr="008167A9">
        <w:rPr>
          <w:rFonts w:cs="Arial"/>
          <w:color w:val="000000"/>
          <w:szCs w:val="20"/>
          <w:lang w:val="en-GB"/>
        </w:rPr>
        <w:t xml:space="preserve"> attained 2.5</w:t>
      </w:r>
      <w:r w:rsidR="00954C8E">
        <w:rPr>
          <w:rFonts w:cs="Arial"/>
          <w:color w:val="000000"/>
          <w:szCs w:val="20"/>
          <w:lang w:val="en-GB"/>
        </w:rPr>
        <w:t>%</w:t>
      </w:r>
      <w:r w:rsidRPr="008167A9">
        <w:rPr>
          <w:rFonts w:cs="Arial"/>
          <w:color w:val="000000"/>
          <w:szCs w:val="20"/>
          <w:lang w:val="en-GB"/>
        </w:rPr>
        <w:t>. Household consumption was supported by markedly expanding volume of paid out wages and it increased by 4.4</w:t>
      </w:r>
      <w:r w:rsidR="00954C8E">
        <w:rPr>
          <w:rFonts w:cs="Arial"/>
          <w:color w:val="000000"/>
          <w:szCs w:val="20"/>
          <w:lang w:val="en-GB"/>
        </w:rPr>
        <w:t>%</w:t>
      </w:r>
      <w:r w:rsidRPr="008167A9">
        <w:rPr>
          <w:rFonts w:cs="Arial"/>
          <w:color w:val="000000"/>
          <w:szCs w:val="20"/>
          <w:lang w:val="en-GB"/>
        </w:rPr>
        <w:t xml:space="preserve"> year-on-year. Growth of investment expenditure was concentrated into the sector of non-financial businesses. Year-on-year revival of expenditure on infrastructure projects also assisted the total growth of investment </w:t>
      </w:r>
      <w:proofErr w:type="gramStart"/>
      <w:r w:rsidRPr="008167A9">
        <w:rPr>
          <w:rFonts w:cs="Arial"/>
          <w:color w:val="000000"/>
          <w:szCs w:val="20"/>
          <w:lang w:val="en-GB"/>
        </w:rPr>
        <w:t>expenditure,</w:t>
      </w:r>
      <w:proofErr w:type="gramEnd"/>
      <w:r w:rsidRPr="008167A9">
        <w:rPr>
          <w:rFonts w:cs="Arial"/>
          <w:color w:val="000000"/>
          <w:szCs w:val="20"/>
          <w:lang w:val="en-GB"/>
        </w:rPr>
        <w:t xml:space="preserve"> however the investment activity of the government sector remained weak.</w:t>
      </w:r>
    </w:p>
    <w:p w:rsidR="00134DFD" w:rsidRPr="008167A9" w:rsidRDefault="00134DFD" w:rsidP="00DD0726">
      <w:pPr>
        <w:pStyle w:val="Odstavecseseznamem"/>
        <w:spacing w:line="240" w:lineRule="auto"/>
        <w:ind w:left="426"/>
        <w:contextualSpacing/>
        <w:jc w:val="both"/>
        <w:rPr>
          <w:rFonts w:cs="Arial"/>
          <w:spacing w:val="-2"/>
          <w:sz w:val="15"/>
          <w:szCs w:val="15"/>
          <w:lang w:val="en-GB"/>
        </w:rPr>
      </w:pPr>
    </w:p>
    <w:p w:rsidR="00A219FE" w:rsidRPr="008167A9" w:rsidRDefault="00212530" w:rsidP="00A219FE">
      <w:pPr>
        <w:pStyle w:val="Odstavecseseznamem"/>
        <w:numPr>
          <w:ilvl w:val="0"/>
          <w:numId w:val="18"/>
        </w:numPr>
        <w:spacing w:line="240" w:lineRule="auto"/>
        <w:ind w:left="426"/>
        <w:contextualSpacing/>
        <w:jc w:val="both"/>
        <w:rPr>
          <w:rFonts w:cs="Arial"/>
          <w:spacing w:val="-2"/>
          <w:szCs w:val="20"/>
          <w:lang w:val="en-GB"/>
        </w:rPr>
      </w:pPr>
      <w:r w:rsidRPr="008167A9">
        <w:rPr>
          <w:rFonts w:cs="Arial"/>
          <w:spacing w:val="-2"/>
          <w:lang w:val="en-GB"/>
        </w:rPr>
        <w:t>Year-on-year growth of the gross value added (GVA) reached 4.7</w:t>
      </w:r>
      <w:r w:rsidR="00954C8E">
        <w:rPr>
          <w:rFonts w:cs="Arial"/>
          <w:spacing w:val="-2"/>
          <w:lang w:val="en-GB"/>
        </w:rPr>
        <w:t>%</w:t>
      </w:r>
      <w:r w:rsidRPr="008167A9">
        <w:rPr>
          <w:rFonts w:cs="Arial"/>
          <w:spacing w:val="-2"/>
          <w:lang w:val="en-GB"/>
        </w:rPr>
        <w:t xml:space="preserve"> in Q2 and increased by 1</w:t>
      </w:r>
      <w:r w:rsidR="008C25FD">
        <w:rPr>
          <w:rFonts w:cs="Arial"/>
          <w:spacing w:val="-2"/>
          <w:lang w:val="en-GB"/>
        </w:rPr>
        <w:t>.</w:t>
      </w:r>
      <w:r w:rsidRPr="008167A9">
        <w:rPr>
          <w:rFonts w:cs="Arial"/>
          <w:spacing w:val="-2"/>
          <w:lang w:val="en-GB"/>
        </w:rPr>
        <w:t xml:space="preserve">7 p. p. compared to the preceding quarter. </w:t>
      </w:r>
      <w:r w:rsidR="00566DD6" w:rsidRPr="008167A9">
        <w:rPr>
          <w:rFonts w:cs="Arial"/>
          <w:spacing w:val="-2"/>
          <w:lang w:val="en-GB"/>
        </w:rPr>
        <w:t xml:space="preserve">The </w:t>
      </w:r>
      <w:r w:rsidR="00CF1016" w:rsidRPr="008167A9">
        <w:rPr>
          <w:rFonts w:cs="Arial"/>
          <w:spacing w:val="-2"/>
          <w:lang w:val="en-GB"/>
        </w:rPr>
        <w:t xml:space="preserve">strengthening </w:t>
      </w:r>
      <w:r w:rsidR="00566DD6" w:rsidRPr="008167A9">
        <w:rPr>
          <w:rFonts w:cs="Arial"/>
          <w:spacing w:val="-2"/>
          <w:lang w:val="en-GB"/>
        </w:rPr>
        <w:t xml:space="preserve">of the services sector assisted this acceleration, with total contribution to the GVA growth of 2.2 p. p. </w:t>
      </w:r>
      <w:r w:rsidR="00020AD0" w:rsidRPr="008167A9">
        <w:rPr>
          <w:rFonts w:cs="Arial"/>
          <w:spacing w:val="-2"/>
          <w:lang w:val="en-GB"/>
        </w:rPr>
        <w:t xml:space="preserve">The role of manufacturing also kept staying strong. The manufacturing of motor vehicles incl. </w:t>
      </w:r>
      <w:r w:rsidR="00EF28C5">
        <w:rPr>
          <w:rFonts w:cs="Arial"/>
          <w:spacing w:val="-2"/>
          <w:lang w:val="en-GB"/>
        </w:rPr>
        <w:t xml:space="preserve">the subcontractor fields </w:t>
      </w:r>
      <w:r w:rsidR="00020AD0" w:rsidRPr="008167A9">
        <w:rPr>
          <w:rFonts w:cs="Arial"/>
          <w:spacing w:val="-2"/>
          <w:lang w:val="en-GB"/>
        </w:rPr>
        <w:t xml:space="preserve">prospered. Output of machinery also increased, the renewal of production capacities of the chemical industry also had a positive effect. </w:t>
      </w:r>
      <w:r w:rsidR="00CF1016" w:rsidRPr="008167A9">
        <w:rPr>
          <w:rFonts w:cs="Arial"/>
          <w:spacing w:val="-2"/>
          <w:lang w:val="en-GB"/>
        </w:rPr>
        <w:t>Expanding disposable incomes of households w</w:t>
      </w:r>
      <w:r w:rsidR="00EF28C5">
        <w:rPr>
          <w:rFonts w:cs="Arial"/>
          <w:spacing w:val="-2"/>
          <w:lang w:val="en-GB"/>
        </w:rPr>
        <w:t>as</w:t>
      </w:r>
      <w:r w:rsidR="00CF1016" w:rsidRPr="008167A9">
        <w:rPr>
          <w:rFonts w:cs="Arial"/>
          <w:spacing w:val="-2"/>
          <w:lang w:val="en-GB"/>
        </w:rPr>
        <w:t xml:space="preserve"> reflected in the strong growth of </w:t>
      </w:r>
      <w:r w:rsidR="00F815A8">
        <w:rPr>
          <w:rFonts w:cs="Arial"/>
          <w:spacing w:val="-2"/>
          <w:lang w:val="en-GB"/>
        </w:rPr>
        <w:t xml:space="preserve">retail </w:t>
      </w:r>
      <w:r w:rsidR="00CF1016" w:rsidRPr="008167A9">
        <w:rPr>
          <w:rFonts w:cs="Arial"/>
          <w:spacing w:val="-2"/>
          <w:lang w:val="en-GB"/>
        </w:rPr>
        <w:t>sales for non-food goods (+9.4</w:t>
      </w:r>
      <w:r w:rsidR="00954C8E">
        <w:rPr>
          <w:rFonts w:cs="Arial"/>
          <w:spacing w:val="-2"/>
          <w:lang w:val="en-GB"/>
        </w:rPr>
        <w:t>%</w:t>
      </w:r>
      <w:r w:rsidR="00CF1016" w:rsidRPr="008167A9">
        <w:rPr>
          <w:rFonts w:cs="Arial"/>
          <w:spacing w:val="-2"/>
          <w:lang w:val="en-GB"/>
        </w:rPr>
        <w:t xml:space="preserve">) in </w:t>
      </w:r>
      <w:r w:rsidR="00177267" w:rsidRPr="008167A9">
        <w:rPr>
          <w:rFonts w:cs="Arial"/>
          <w:spacing w:val="-2"/>
          <w:lang w:val="en-GB"/>
        </w:rPr>
        <w:t xml:space="preserve">Q2, </w:t>
      </w:r>
      <w:r w:rsidR="00E30C7B" w:rsidRPr="008167A9">
        <w:rPr>
          <w:spacing w:val="-2"/>
          <w:lang w:val="en-GB"/>
        </w:rPr>
        <w:t xml:space="preserve">which was the fourth largest among the EU states. </w:t>
      </w:r>
    </w:p>
    <w:p w:rsidR="00134DFD" w:rsidRPr="008167A9" w:rsidRDefault="00134DFD" w:rsidP="0037290D">
      <w:pPr>
        <w:spacing w:line="240" w:lineRule="auto"/>
        <w:jc w:val="both"/>
        <w:rPr>
          <w:rFonts w:cs="Arial"/>
          <w:spacing w:val="-2"/>
          <w:sz w:val="15"/>
          <w:szCs w:val="15"/>
          <w:highlight w:val="yellow"/>
          <w:lang w:val="en-GB"/>
        </w:rPr>
      </w:pPr>
    </w:p>
    <w:p w:rsidR="00134DFD" w:rsidRPr="008167A9" w:rsidRDefault="00D37AB3" w:rsidP="00134DFD">
      <w:pPr>
        <w:pStyle w:val="Odstavecseseznamem"/>
        <w:numPr>
          <w:ilvl w:val="0"/>
          <w:numId w:val="18"/>
        </w:numPr>
        <w:spacing w:line="240" w:lineRule="auto"/>
        <w:ind w:left="426"/>
        <w:contextualSpacing/>
        <w:jc w:val="both"/>
        <w:rPr>
          <w:rFonts w:cs="Arial"/>
          <w:spacing w:val="-2"/>
          <w:szCs w:val="20"/>
          <w:lang w:val="en-GB"/>
        </w:rPr>
      </w:pPr>
      <w:r w:rsidRPr="008167A9">
        <w:rPr>
          <w:rFonts w:cs="Arial"/>
          <w:color w:val="000000"/>
          <w:szCs w:val="20"/>
          <w:lang w:val="en-GB"/>
        </w:rPr>
        <w:t xml:space="preserve">Current account of the balance of payments was in surplus also in H1 2017, especially thanks to the marked surplus of the balance with goods and services. </w:t>
      </w:r>
      <w:r w:rsidR="009A443B">
        <w:rPr>
          <w:rFonts w:cs="Arial"/>
          <w:color w:val="000000"/>
          <w:szCs w:val="20"/>
          <w:lang w:val="en-GB"/>
        </w:rPr>
        <w:t xml:space="preserve">The significant outflow of incomes from investment worked in the direction of deficit, reaching 143.7 </w:t>
      </w:r>
      <w:proofErr w:type="spellStart"/>
      <w:r w:rsidR="009A443B">
        <w:rPr>
          <w:rFonts w:cs="Arial"/>
          <w:color w:val="000000"/>
          <w:szCs w:val="20"/>
          <w:lang w:val="en-GB"/>
        </w:rPr>
        <w:t>bn</w:t>
      </w:r>
      <w:proofErr w:type="spellEnd"/>
      <w:r w:rsidR="009A443B">
        <w:rPr>
          <w:rFonts w:cs="Arial"/>
          <w:color w:val="000000"/>
          <w:szCs w:val="20"/>
          <w:lang w:val="en-GB"/>
        </w:rPr>
        <w:t xml:space="preserve"> in H1. T</w:t>
      </w:r>
      <w:r w:rsidRPr="008167A9">
        <w:rPr>
          <w:rFonts w:cs="Arial"/>
          <w:color w:val="000000"/>
          <w:szCs w:val="20"/>
          <w:lang w:val="en-GB"/>
        </w:rPr>
        <w:t xml:space="preserve">he value of export in the national conception increased by 111.0 </w:t>
      </w:r>
      <w:r w:rsidR="00467B4F">
        <w:rPr>
          <w:rFonts w:cs="Arial"/>
          <w:color w:val="000000"/>
          <w:szCs w:val="20"/>
          <w:lang w:val="en-GB"/>
        </w:rPr>
        <w:t xml:space="preserve">CZK </w:t>
      </w:r>
      <w:proofErr w:type="spellStart"/>
      <w:r w:rsidR="00467B4F">
        <w:rPr>
          <w:rFonts w:cs="Arial"/>
          <w:color w:val="000000"/>
          <w:szCs w:val="20"/>
          <w:lang w:val="en-GB"/>
        </w:rPr>
        <w:t>bn</w:t>
      </w:r>
      <w:proofErr w:type="spellEnd"/>
      <w:r w:rsidRPr="008167A9">
        <w:rPr>
          <w:rFonts w:cs="Arial"/>
          <w:color w:val="000000"/>
          <w:szCs w:val="20"/>
          <w:lang w:val="en-GB"/>
        </w:rPr>
        <w:t xml:space="preserve"> year-on-year and reached 1 796.9 </w:t>
      </w:r>
      <w:r w:rsidR="00572045">
        <w:rPr>
          <w:rFonts w:cs="Arial"/>
          <w:color w:val="000000"/>
          <w:szCs w:val="20"/>
          <w:lang w:val="en-GB"/>
        </w:rPr>
        <w:t xml:space="preserve">CZK </w:t>
      </w:r>
      <w:r w:rsidRPr="008167A9">
        <w:rPr>
          <w:rFonts w:cs="Arial"/>
          <w:color w:val="000000"/>
          <w:szCs w:val="20"/>
          <w:lang w:val="en-GB"/>
        </w:rPr>
        <w:t xml:space="preserve">bn. </w:t>
      </w:r>
      <w:proofErr w:type="gramStart"/>
      <w:r w:rsidR="00954C8E">
        <w:rPr>
          <w:rFonts w:cs="Arial"/>
          <w:color w:val="000000"/>
          <w:szCs w:val="20"/>
          <w:lang w:val="en-GB"/>
        </w:rPr>
        <w:t>Traditionally</w:t>
      </w:r>
      <w:proofErr w:type="gramEnd"/>
      <w:r w:rsidR="00995CE4">
        <w:rPr>
          <w:rFonts w:cs="Arial"/>
          <w:color w:val="000000"/>
          <w:szCs w:val="20"/>
          <w:lang w:val="en-GB"/>
        </w:rPr>
        <w:t xml:space="preserve">, motor vehicles participated to the major extent on the export, the export of machinery and equipment however also fared well. </w:t>
      </w:r>
      <w:r w:rsidRPr="008167A9">
        <w:rPr>
          <w:rFonts w:cs="Arial"/>
          <w:color w:val="000000"/>
          <w:szCs w:val="20"/>
          <w:lang w:val="en-GB"/>
        </w:rPr>
        <w:t xml:space="preserve">The value of import, which expanded by 118.1 </w:t>
      </w:r>
      <w:r w:rsidR="00467B4F">
        <w:rPr>
          <w:rFonts w:cs="Arial"/>
          <w:color w:val="000000"/>
          <w:szCs w:val="20"/>
          <w:lang w:val="en-GB"/>
        </w:rPr>
        <w:t xml:space="preserve">CZK </w:t>
      </w:r>
      <w:proofErr w:type="spellStart"/>
      <w:r w:rsidR="00467B4F">
        <w:rPr>
          <w:rFonts w:cs="Arial"/>
          <w:color w:val="000000"/>
          <w:szCs w:val="20"/>
          <w:lang w:val="en-GB"/>
        </w:rPr>
        <w:t>bn</w:t>
      </w:r>
      <w:proofErr w:type="spellEnd"/>
      <w:r w:rsidRPr="008167A9">
        <w:rPr>
          <w:rFonts w:cs="Arial"/>
          <w:color w:val="000000"/>
          <w:szCs w:val="20"/>
          <w:lang w:val="en-GB"/>
        </w:rPr>
        <w:t xml:space="preserve"> </w:t>
      </w:r>
      <w:proofErr w:type="gramStart"/>
      <w:r w:rsidRPr="008167A9">
        <w:rPr>
          <w:rFonts w:cs="Arial"/>
          <w:color w:val="000000"/>
          <w:szCs w:val="20"/>
          <w:lang w:val="en-GB"/>
        </w:rPr>
        <w:t>year-on-year</w:t>
      </w:r>
      <w:proofErr w:type="gramEnd"/>
      <w:r w:rsidRPr="008167A9">
        <w:rPr>
          <w:rFonts w:cs="Arial"/>
          <w:color w:val="000000"/>
          <w:szCs w:val="20"/>
          <w:lang w:val="en-GB"/>
        </w:rPr>
        <w:t>, was also affected by raised price of oil and natural gas year-on-year. This was mirrored in the results of trade with countries outside the EU, mostly Russia.</w:t>
      </w:r>
      <w:r w:rsidR="005A77F6" w:rsidRPr="008167A9">
        <w:rPr>
          <w:rFonts w:cs="Arial"/>
          <w:spacing w:val="-2"/>
          <w:szCs w:val="20"/>
          <w:lang w:val="en-GB"/>
        </w:rPr>
        <w:t xml:space="preserve"> </w:t>
      </w:r>
    </w:p>
    <w:p w:rsidR="0078778C" w:rsidRPr="0093161F" w:rsidRDefault="0078778C" w:rsidP="0078778C">
      <w:pPr>
        <w:spacing w:line="240" w:lineRule="auto"/>
        <w:contextualSpacing/>
        <w:jc w:val="both"/>
        <w:rPr>
          <w:rFonts w:cs="Arial"/>
          <w:spacing w:val="-2"/>
          <w:sz w:val="15"/>
          <w:szCs w:val="15"/>
        </w:rPr>
      </w:pPr>
    </w:p>
    <w:p w:rsidR="00134DFD" w:rsidRPr="0029358C" w:rsidRDefault="00177267" w:rsidP="00134DFD">
      <w:pPr>
        <w:pStyle w:val="Odstavecseseznamem"/>
        <w:numPr>
          <w:ilvl w:val="0"/>
          <w:numId w:val="18"/>
        </w:numPr>
        <w:spacing w:line="240" w:lineRule="auto"/>
        <w:ind w:left="426"/>
        <w:contextualSpacing/>
        <w:jc w:val="both"/>
        <w:rPr>
          <w:rFonts w:cs="Arial"/>
          <w:spacing w:val="-2"/>
          <w:szCs w:val="20"/>
          <w:lang w:val="en-GB"/>
        </w:rPr>
      </w:pPr>
      <w:r w:rsidRPr="0029358C">
        <w:rPr>
          <w:rFonts w:cs="Arial"/>
          <w:spacing w:val="-2"/>
          <w:szCs w:val="20"/>
          <w:lang w:val="en-GB"/>
        </w:rPr>
        <w:t>Despite not experiencing further acceleration, the price growth continued in Q2. Consumer prices were thus raised by 2.2</w:t>
      </w:r>
      <w:r w:rsidR="00954C8E">
        <w:rPr>
          <w:rFonts w:cs="Arial"/>
          <w:spacing w:val="-2"/>
          <w:szCs w:val="20"/>
          <w:lang w:val="en-GB"/>
        </w:rPr>
        <w:t>%</w:t>
      </w:r>
      <w:r w:rsidRPr="0029358C">
        <w:rPr>
          <w:rFonts w:cs="Arial"/>
          <w:spacing w:val="-2"/>
          <w:szCs w:val="20"/>
          <w:lang w:val="en-GB"/>
        </w:rPr>
        <w:t xml:space="preserve"> year-on-year. </w:t>
      </w:r>
      <w:r w:rsidR="009025B0" w:rsidRPr="0029358C">
        <w:rPr>
          <w:rFonts w:cs="Arial"/>
          <w:spacing w:val="-2"/>
          <w:szCs w:val="20"/>
          <w:lang w:val="en-GB"/>
        </w:rPr>
        <w:t>Acceleration of the prices of food was the main contributor</w:t>
      </w:r>
      <w:r w:rsidR="00DD0726" w:rsidRPr="0029358C">
        <w:rPr>
          <w:rFonts w:cs="Arial"/>
          <w:spacing w:val="-2"/>
          <w:szCs w:val="20"/>
          <w:lang w:val="en-GB"/>
        </w:rPr>
        <w:t xml:space="preserve"> </w:t>
      </w:r>
      <w:r w:rsidR="00EB78D5" w:rsidRPr="0029358C">
        <w:rPr>
          <w:rFonts w:cs="Arial"/>
          <w:spacing w:val="-2"/>
          <w:szCs w:val="20"/>
          <w:lang w:val="en-GB"/>
        </w:rPr>
        <w:t xml:space="preserve">on the contrary the prices of oil and transportation did not feature such fast growth as in the previous quarter. </w:t>
      </w:r>
      <w:r w:rsidR="009D009C" w:rsidRPr="0029358C">
        <w:rPr>
          <w:rFonts w:cs="Arial"/>
          <w:spacing w:val="-2"/>
          <w:szCs w:val="20"/>
          <w:lang w:val="en-GB"/>
        </w:rPr>
        <w:t xml:space="preserve">Prices of housing and </w:t>
      </w:r>
      <w:r w:rsidR="00130E89">
        <w:rPr>
          <w:rFonts w:cs="Arial"/>
          <w:spacing w:val="-2"/>
          <w:szCs w:val="20"/>
          <w:lang w:val="en-GB"/>
        </w:rPr>
        <w:t>energies</w:t>
      </w:r>
      <w:r w:rsidR="009D009C" w:rsidRPr="0029358C">
        <w:rPr>
          <w:rFonts w:cs="Arial"/>
          <w:spacing w:val="-2"/>
          <w:szCs w:val="20"/>
          <w:lang w:val="en-GB"/>
        </w:rPr>
        <w:t xml:space="preserve"> went also mildly up year-on-year. </w:t>
      </w:r>
      <w:r w:rsidR="00BE632F" w:rsidRPr="0029358C">
        <w:rPr>
          <w:rFonts w:cs="Arial"/>
          <w:spacing w:val="-2"/>
          <w:szCs w:val="20"/>
          <w:lang w:val="en-GB"/>
        </w:rPr>
        <w:t>Year-on-year producer prices also slowed down in Q</w:t>
      </w:r>
      <w:r w:rsidR="00DD0726" w:rsidRPr="0029358C">
        <w:rPr>
          <w:rFonts w:cs="Arial"/>
          <w:spacing w:val="-2"/>
          <w:szCs w:val="20"/>
          <w:lang w:val="en-GB"/>
        </w:rPr>
        <w:t xml:space="preserve">2. </w:t>
      </w:r>
      <w:r w:rsidR="00C531C7" w:rsidRPr="0029358C">
        <w:rPr>
          <w:rFonts w:cs="Arial"/>
          <w:spacing w:val="-2"/>
          <w:szCs w:val="20"/>
          <w:lang w:val="en-GB"/>
        </w:rPr>
        <w:t>Prices of agricultural prices represented the exception, growing by 11.3</w:t>
      </w:r>
      <w:r w:rsidR="00954C8E">
        <w:rPr>
          <w:rFonts w:cs="Arial"/>
          <w:spacing w:val="-2"/>
          <w:szCs w:val="20"/>
          <w:lang w:val="en-GB"/>
        </w:rPr>
        <w:t>%</w:t>
      </w:r>
      <w:r w:rsidR="00C531C7" w:rsidRPr="0029358C">
        <w:rPr>
          <w:rFonts w:cs="Arial"/>
          <w:spacing w:val="-2"/>
          <w:szCs w:val="20"/>
          <w:lang w:val="en-GB"/>
        </w:rPr>
        <w:t xml:space="preserve"> </w:t>
      </w:r>
      <w:r w:rsidR="00003DAF" w:rsidRPr="0029358C">
        <w:rPr>
          <w:rFonts w:cs="Arial"/>
          <w:spacing w:val="-2"/>
          <w:szCs w:val="20"/>
          <w:lang w:val="en-GB"/>
        </w:rPr>
        <w:t xml:space="preserve">year-on-year in Q2. It constituted the first year-on-year growth since the end of year </w:t>
      </w:r>
      <w:r w:rsidR="00DD0726" w:rsidRPr="0029358C">
        <w:rPr>
          <w:rFonts w:cs="Arial"/>
          <w:spacing w:val="-2"/>
          <w:szCs w:val="20"/>
          <w:lang w:val="en-GB"/>
        </w:rPr>
        <w:t xml:space="preserve">2015. </w:t>
      </w:r>
      <w:r w:rsidR="00811107" w:rsidRPr="0029358C">
        <w:rPr>
          <w:rFonts w:cs="Arial"/>
          <w:spacing w:val="-2"/>
          <w:szCs w:val="20"/>
          <w:lang w:val="en-GB"/>
        </w:rPr>
        <w:t>Especially the animal production was behin</w:t>
      </w:r>
      <w:r w:rsidR="0029358C" w:rsidRPr="0029358C">
        <w:rPr>
          <w:rFonts w:cs="Arial"/>
          <w:spacing w:val="-2"/>
          <w:szCs w:val="20"/>
          <w:lang w:val="en-GB"/>
        </w:rPr>
        <w:t>d th</w:t>
      </w:r>
      <w:r w:rsidR="00811107" w:rsidRPr="0029358C">
        <w:rPr>
          <w:rFonts w:cs="Arial"/>
          <w:spacing w:val="-2"/>
          <w:szCs w:val="20"/>
          <w:lang w:val="en-GB"/>
        </w:rPr>
        <w:t>is</w:t>
      </w:r>
      <w:r w:rsidR="0029358C" w:rsidRPr="0029358C">
        <w:rPr>
          <w:rFonts w:cs="Arial"/>
          <w:spacing w:val="-2"/>
          <w:szCs w:val="20"/>
          <w:lang w:val="en-GB"/>
        </w:rPr>
        <w:t xml:space="preserve"> growth, nevertheless the prices of plant production, having been falling since Q2 2016, also increased. </w:t>
      </w:r>
      <w:r w:rsidR="00DD1DC1" w:rsidRPr="0029358C">
        <w:rPr>
          <w:rFonts w:cs="Arial"/>
          <w:spacing w:val="-2"/>
          <w:szCs w:val="20"/>
          <w:lang w:val="en-GB"/>
        </w:rPr>
        <w:t xml:space="preserve"> </w:t>
      </w:r>
    </w:p>
    <w:p w:rsidR="00666883" w:rsidRPr="0029358C" w:rsidRDefault="00666883" w:rsidP="00666883">
      <w:pPr>
        <w:spacing w:line="240" w:lineRule="auto"/>
        <w:contextualSpacing/>
        <w:jc w:val="both"/>
        <w:rPr>
          <w:rFonts w:cs="Arial"/>
          <w:spacing w:val="-2"/>
          <w:sz w:val="15"/>
          <w:szCs w:val="15"/>
          <w:lang w:val="en-GB"/>
        </w:rPr>
      </w:pPr>
    </w:p>
    <w:p w:rsidR="00DD1DC1" w:rsidRPr="0029358C" w:rsidRDefault="000D1668" w:rsidP="00DD1DC1">
      <w:pPr>
        <w:pStyle w:val="Odstavecseseznamem"/>
        <w:numPr>
          <w:ilvl w:val="0"/>
          <w:numId w:val="18"/>
        </w:numPr>
        <w:spacing w:line="240" w:lineRule="auto"/>
        <w:ind w:left="426"/>
        <w:contextualSpacing/>
        <w:jc w:val="both"/>
        <w:rPr>
          <w:rFonts w:cs="Arial"/>
          <w:spacing w:val="-2"/>
          <w:szCs w:val="20"/>
          <w:lang w:val="en-GB"/>
        </w:rPr>
      </w:pPr>
      <w:r>
        <w:rPr>
          <w:rFonts w:cs="Arial"/>
          <w:spacing w:val="-2"/>
          <w:szCs w:val="20"/>
          <w:lang w:val="en-GB"/>
        </w:rPr>
        <w:t xml:space="preserve">A significant change occurred </w:t>
      </w:r>
      <w:r w:rsidR="00C16E16">
        <w:rPr>
          <w:rFonts w:cs="Arial"/>
          <w:spacing w:val="-2"/>
          <w:szCs w:val="20"/>
          <w:lang w:val="en-GB"/>
        </w:rPr>
        <w:t>in the area of the monetary policy in Q2, specifically the ending of the</w:t>
      </w:r>
      <w:r w:rsidR="00512CAA">
        <w:rPr>
          <w:rFonts w:cs="Arial"/>
          <w:spacing w:val="-2"/>
          <w:szCs w:val="20"/>
          <w:lang w:val="en-GB"/>
        </w:rPr>
        <w:t xml:space="preserve"> exchange rate commitment. </w:t>
      </w:r>
      <w:r w:rsidR="00C16E16">
        <w:rPr>
          <w:rFonts w:cs="Arial"/>
          <w:spacing w:val="-2"/>
          <w:szCs w:val="20"/>
          <w:lang w:val="en-GB"/>
        </w:rPr>
        <w:t xml:space="preserve">As expected, the gradual strengthening of the </w:t>
      </w:r>
      <w:r w:rsidR="00512CAA">
        <w:rPr>
          <w:rFonts w:cs="Arial"/>
          <w:spacing w:val="-2"/>
          <w:szCs w:val="20"/>
          <w:lang w:val="en-GB"/>
        </w:rPr>
        <w:t xml:space="preserve">koruna exchange rate </w:t>
      </w:r>
      <w:r w:rsidR="00C16E16">
        <w:rPr>
          <w:rFonts w:cs="Arial"/>
          <w:spacing w:val="-2"/>
          <w:szCs w:val="20"/>
          <w:lang w:val="en-GB"/>
        </w:rPr>
        <w:t xml:space="preserve">followed. It did now however break through the limit of 26 crowns per euro. </w:t>
      </w:r>
      <w:r w:rsidR="00AF24FD">
        <w:rPr>
          <w:rFonts w:cs="Arial"/>
          <w:spacing w:val="-2"/>
          <w:szCs w:val="20"/>
          <w:lang w:val="en-GB"/>
        </w:rPr>
        <w:t xml:space="preserve">Monetary-policy rates have remained at constant level so far. The fall of the interbank rates however halted and partially also that of the government bonds´ yields. </w:t>
      </w:r>
      <w:r w:rsidR="001023AA">
        <w:rPr>
          <w:rFonts w:cs="Arial"/>
          <w:spacing w:val="-2"/>
          <w:szCs w:val="20"/>
          <w:lang w:val="en-GB"/>
        </w:rPr>
        <w:t xml:space="preserve">Low interest rates continued to motivate the households as well as firms to the credit financing. </w:t>
      </w:r>
      <w:r w:rsidR="00DD1DC1" w:rsidRPr="0029358C">
        <w:rPr>
          <w:rFonts w:cs="Arial"/>
          <w:spacing w:val="-2"/>
          <w:szCs w:val="20"/>
          <w:lang w:val="en-GB"/>
        </w:rPr>
        <w:t xml:space="preserve"> </w:t>
      </w:r>
    </w:p>
    <w:p w:rsidR="00C466D1" w:rsidRPr="0093161F" w:rsidRDefault="00C466D1" w:rsidP="00FF288B">
      <w:pPr>
        <w:spacing w:line="240" w:lineRule="auto"/>
        <w:contextualSpacing/>
        <w:jc w:val="both"/>
        <w:rPr>
          <w:rFonts w:cs="Arial"/>
          <w:spacing w:val="-2"/>
          <w:sz w:val="15"/>
          <w:szCs w:val="15"/>
          <w:highlight w:val="yellow"/>
        </w:rPr>
      </w:pPr>
    </w:p>
    <w:p w:rsidR="00FF288B" w:rsidRPr="002071D8" w:rsidRDefault="00141E8A" w:rsidP="00FF288B">
      <w:pPr>
        <w:pStyle w:val="Odstavecseseznamem"/>
        <w:numPr>
          <w:ilvl w:val="0"/>
          <w:numId w:val="18"/>
        </w:numPr>
        <w:spacing w:line="240" w:lineRule="auto"/>
        <w:ind w:left="426"/>
        <w:contextualSpacing/>
        <w:jc w:val="both"/>
        <w:rPr>
          <w:rFonts w:cs="Arial"/>
          <w:spacing w:val="-2"/>
          <w:szCs w:val="20"/>
          <w:lang w:val="en-GB"/>
        </w:rPr>
      </w:pPr>
      <w:r w:rsidRPr="005809ED">
        <w:rPr>
          <w:rFonts w:cs="Arial"/>
          <w:spacing w:val="-2"/>
          <w:szCs w:val="20"/>
          <w:lang w:val="en-GB"/>
        </w:rPr>
        <w:t xml:space="preserve">The situation kept further improving on the labour market. </w:t>
      </w:r>
      <w:r w:rsidR="00D50980" w:rsidRPr="005809ED">
        <w:rPr>
          <w:rFonts w:cs="Arial"/>
          <w:spacing w:val="-2"/>
          <w:szCs w:val="20"/>
          <w:lang w:val="en-GB"/>
        </w:rPr>
        <w:t>The pace of growth of the total employment</w:t>
      </w:r>
      <w:r w:rsidR="00540D25" w:rsidRPr="005809ED">
        <w:rPr>
          <w:rStyle w:val="Znakapoznpodarou"/>
          <w:spacing w:val="-2"/>
          <w:szCs w:val="20"/>
          <w:lang w:val="en-GB"/>
        </w:rPr>
        <w:footnoteReference w:id="2"/>
      </w:r>
      <w:r w:rsidR="00D50980" w:rsidRPr="005809ED">
        <w:rPr>
          <w:rFonts w:cs="Arial"/>
          <w:spacing w:val="-2"/>
          <w:szCs w:val="20"/>
          <w:lang w:val="en-GB"/>
        </w:rPr>
        <w:t xml:space="preserve"> did not </w:t>
      </w:r>
      <w:r w:rsidR="004A7695">
        <w:rPr>
          <w:rFonts w:cs="Arial"/>
          <w:spacing w:val="-2"/>
          <w:szCs w:val="20"/>
          <w:lang w:val="en-GB"/>
        </w:rPr>
        <w:t>ease up</w:t>
      </w:r>
      <w:r w:rsidR="00D50980" w:rsidRPr="005809ED">
        <w:rPr>
          <w:rFonts w:cs="Arial"/>
          <w:spacing w:val="-2"/>
          <w:szCs w:val="20"/>
          <w:lang w:val="en-GB"/>
        </w:rPr>
        <w:t>, the number of workers increased by 1.4</w:t>
      </w:r>
      <w:r w:rsidR="00954C8E">
        <w:rPr>
          <w:rFonts w:cs="Arial"/>
          <w:spacing w:val="-2"/>
          <w:szCs w:val="20"/>
          <w:lang w:val="en-GB"/>
        </w:rPr>
        <w:t>%</w:t>
      </w:r>
      <w:r w:rsidR="00D50980" w:rsidRPr="005809ED">
        <w:rPr>
          <w:rFonts w:cs="Arial"/>
          <w:spacing w:val="-2"/>
          <w:szCs w:val="20"/>
          <w:lang w:val="en-GB"/>
        </w:rPr>
        <w:t xml:space="preserve"> year-on-year. </w:t>
      </w:r>
      <w:r w:rsidR="00F8752F" w:rsidRPr="005809ED">
        <w:rPr>
          <w:rFonts w:cs="Arial"/>
          <w:spacing w:val="-2"/>
          <w:szCs w:val="20"/>
          <w:lang w:val="en-GB"/>
        </w:rPr>
        <w:t xml:space="preserve">The </w:t>
      </w:r>
      <w:r w:rsidR="00AE7921" w:rsidRPr="005809ED">
        <w:rPr>
          <w:rFonts w:cs="Arial"/>
          <w:spacing w:val="-2"/>
          <w:szCs w:val="20"/>
          <w:lang w:val="en-GB"/>
        </w:rPr>
        <w:t>tertiary</w:t>
      </w:r>
      <w:r w:rsidR="00F8752F" w:rsidRPr="005809ED">
        <w:rPr>
          <w:rFonts w:cs="Arial"/>
          <w:spacing w:val="-2"/>
          <w:szCs w:val="20"/>
          <w:lang w:val="en-GB"/>
        </w:rPr>
        <w:t xml:space="preserve"> sector was contributing still more to the higher employment, where especially the professional, scientific, technical and administrative activities fared well. </w:t>
      </w:r>
      <w:r w:rsidR="00521973" w:rsidRPr="005809ED">
        <w:rPr>
          <w:rFonts w:cs="Arial"/>
          <w:spacing w:val="-2"/>
          <w:szCs w:val="20"/>
          <w:lang w:val="en-GB"/>
        </w:rPr>
        <w:t xml:space="preserve">The self-employed also contributed to the growth of the </w:t>
      </w:r>
      <w:r w:rsidR="00486640">
        <w:rPr>
          <w:rFonts w:cs="Arial"/>
          <w:spacing w:val="-2"/>
          <w:szCs w:val="20"/>
          <w:lang w:val="en-GB"/>
        </w:rPr>
        <w:t xml:space="preserve">total </w:t>
      </w:r>
      <w:r w:rsidR="00521973" w:rsidRPr="005809ED">
        <w:rPr>
          <w:rFonts w:cs="Arial"/>
          <w:spacing w:val="-2"/>
          <w:szCs w:val="20"/>
          <w:lang w:val="en-GB"/>
        </w:rPr>
        <w:t xml:space="preserve">number of workers similarly to year 2016. The creation of new jobs markedly accelerated during H1, the job offices registered 183.5 thousand </w:t>
      </w:r>
      <w:r w:rsidR="002D0DB0" w:rsidRPr="005809ED">
        <w:rPr>
          <w:rFonts w:cs="Arial"/>
          <w:spacing w:val="-2"/>
          <w:szCs w:val="20"/>
          <w:lang w:val="en-GB"/>
        </w:rPr>
        <w:t xml:space="preserve">vacancies at the end of June. 1.6 job applicants </w:t>
      </w:r>
      <w:r w:rsidR="00FA3A11">
        <w:rPr>
          <w:rFonts w:cs="Arial"/>
          <w:spacing w:val="-2"/>
          <w:szCs w:val="20"/>
          <w:lang w:val="en-GB"/>
        </w:rPr>
        <w:t>were</w:t>
      </w:r>
      <w:r w:rsidR="00AE7921">
        <w:rPr>
          <w:rFonts w:cs="Arial"/>
          <w:spacing w:val="-2"/>
          <w:szCs w:val="20"/>
          <w:lang w:val="en-GB"/>
        </w:rPr>
        <w:t xml:space="preserve"> assigned to </w:t>
      </w:r>
      <w:r w:rsidR="002D0DB0" w:rsidRPr="005809ED">
        <w:rPr>
          <w:rFonts w:cs="Arial"/>
          <w:spacing w:val="-2"/>
          <w:szCs w:val="20"/>
          <w:lang w:val="en-GB"/>
        </w:rPr>
        <w:t>one vacancy – the least since the half of nineties. The general unemployment rate lowered to record 2.9</w:t>
      </w:r>
      <w:r w:rsidR="00954C8E">
        <w:rPr>
          <w:rFonts w:cs="Arial"/>
          <w:spacing w:val="-2"/>
          <w:szCs w:val="20"/>
          <w:lang w:val="en-GB"/>
        </w:rPr>
        <w:t>%</w:t>
      </w:r>
      <w:r w:rsidR="002D0DB0" w:rsidRPr="005809ED">
        <w:rPr>
          <w:rFonts w:cs="Arial"/>
          <w:spacing w:val="-2"/>
          <w:szCs w:val="20"/>
          <w:lang w:val="en-GB"/>
        </w:rPr>
        <w:t xml:space="preserve"> based on the seasonally adjusted data in June. Favourable financial situation of firms as well as the rising difficulties to find new workers pushed further </w:t>
      </w:r>
      <w:r w:rsidR="00AE7921">
        <w:rPr>
          <w:rFonts w:cs="Arial"/>
          <w:spacing w:val="-2"/>
          <w:szCs w:val="20"/>
          <w:lang w:val="en-GB"/>
        </w:rPr>
        <w:t xml:space="preserve">the </w:t>
      </w:r>
      <w:r w:rsidR="002D0DB0" w:rsidRPr="005809ED">
        <w:rPr>
          <w:rFonts w:cs="Arial"/>
          <w:spacing w:val="-2"/>
          <w:szCs w:val="20"/>
          <w:lang w:val="en-GB"/>
        </w:rPr>
        <w:t>raising of wages. Those accelerated to 7.6</w:t>
      </w:r>
      <w:r w:rsidR="00954C8E">
        <w:rPr>
          <w:rFonts w:cs="Arial"/>
          <w:spacing w:val="-2"/>
          <w:szCs w:val="20"/>
          <w:lang w:val="en-GB"/>
        </w:rPr>
        <w:t>%</w:t>
      </w:r>
      <w:r w:rsidR="002D0DB0" w:rsidRPr="005809ED">
        <w:rPr>
          <w:rFonts w:cs="Arial"/>
          <w:spacing w:val="-2"/>
          <w:szCs w:val="20"/>
          <w:lang w:val="en-GB"/>
        </w:rPr>
        <w:t xml:space="preserve"> in Q2, their nominal </w:t>
      </w:r>
      <w:r w:rsidR="00486640">
        <w:rPr>
          <w:rFonts w:cs="Arial"/>
          <w:spacing w:val="-2"/>
          <w:szCs w:val="20"/>
          <w:lang w:val="en-GB"/>
        </w:rPr>
        <w:t xml:space="preserve">year-on-year </w:t>
      </w:r>
      <w:r w:rsidR="002D0DB0" w:rsidRPr="005809ED">
        <w:rPr>
          <w:rFonts w:cs="Arial"/>
          <w:spacing w:val="-2"/>
          <w:szCs w:val="20"/>
          <w:lang w:val="en-GB"/>
        </w:rPr>
        <w:t xml:space="preserve">growth neared the dynamics of the peak phase in the last decade. The slight fall of the wage differentiation continued. </w:t>
      </w:r>
      <w:r w:rsidR="007E6C28" w:rsidRPr="005809ED">
        <w:rPr>
          <w:rFonts w:cs="Arial"/>
          <w:spacing w:val="-2"/>
          <w:szCs w:val="20"/>
          <w:lang w:val="en-GB"/>
        </w:rPr>
        <w:t xml:space="preserve">The purchasing power of wages grew despite the </w:t>
      </w:r>
      <w:r w:rsidR="0019160F" w:rsidRPr="005809ED">
        <w:rPr>
          <w:rFonts w:cs="Arial"/>
          <w:spacing w:val="-2"/>
          <w:szCs w:val="20"/>
          <w:lang w:val="en-GB"/>
        </w:rPr>
        <w:t>strengthening</w:t>
      </w:r>
      <w:r w:rsidR="007E6C28" w:rsidRPr="005809ED">
        <w:rPr>
          <w:rFonts w:cs="Arial"/>
          <w:spacing w:val="-2"/>
          <w:szCs w:val="20"/>
          <w:lang w:val="en-GB"/>
        </w:rPr>
        <w:t xml:space="preserve"> inflation. </w:t>
      </w:r>
      <w:r w:rsidR="00004BF2">
        <w:rPr>
          <w:rFonts w:cs="Arial"/>
          <w:spacing w:val="-2"/>
          <w:szCs w:val="20"/>
          <w:lang w:val="en-GB"/>
        </w:rPr>
        <w:t>Real wages</w:t>
      </w:r>
      <w:r w:rsidR="007E6C28" w:rsidRPr="005809ED">
        <w:rPr>
          <w:rFonts w:cs="Arial"/>
          <w:spacing w:val="-2"/>
          <w:szCs w:val="20"/>
          <w:lang w:val="en-GB"/>
        </w:rPr>
        <w:t xml:space="preserve"> rose to 5.3</w:t>
      </w:r>
      <w:r w:rsidR="00954C8E">
        <w:rPr>
          <w:rFonts w:cs="Arial"/>
          <w:spacing w:val="-2"/>
          <w:szCs w:val="20"/>
          <w:lang w:val="en-GB"/>
        </w:rPr>
        <w:t>%</w:t>
      </w:r>
      <w:r w:rsidR="007E6C28" w:rsidRPr="005809ED">
        <w:rPr>
          <w:rFonts w:cs="Arial"/>
          <w:spacing w:val="-2"/>
          <w:szCs w:val="20"/>
          <w:lang w:val="en-GB"/>
        </w:rPr>
        <w:t xml:space="preserve"> in Q</w:t>
      </w:r>
      <w:r w:rsidR="00C80953" w:rsidRPr="005809ED">
        <w:rPr>
          <w:rFonts w:cs="Arial"/>
          <w:bCs/>
          <w:iCs/>
          <w:color w:val="0D0D0D"/>
          <w:spacing w:val="-2"/>
          <w:szCs w:val="20"/>
          <w:lang w:val="en-GB"/>
        </w:rPr>
        <w:t>2</w:t>
      </w:r>
      <w:r w:rsidR="007E6C28" w:rsidRPr="005809ED">
        <w:rPr>
          <w:rFonts w:cs="Arial"/>
          <w:bCs/>
          <w:iCs/>
          <w:color w:val="0D0D0D"/>
          <w:spacing w:val="-2"/>
          <w:szCs w:val="20"/>
          <w:lang w:val="en-GB"/>
        </w:rPr>
        <w:t xml:space="preserve">, the most since the beginning of year </w:t>
      </w:r>
      <w:r w:rsidR="00C80953" w:rsidRPr="005809ED">
        <w:rPr>
          <w:rFonts w:cs="Arial"/>
          <w:bCs/>
          <w:iCs/>
          <w:color w:val="0D0D0D"/>
          <w:spacing w:val="-2"/>
          <w:szCs w:val="20"/>
          <w:lang w:val="en-GB"/>
        </w:rPr>
        <w:t>2007.</w:t>
      </w:r>
    </w:p>
    <w:p w:rsidR="002071D8" w:rsidRPr="005809ED" w:rsidRDefault="002071D8" w:rsidP="002071D8">
      <w:pPr>
        <w:pStyle w:val="Odstavecseseznamem"/>
        <w:spacing w:line="240" w:lineRule="auto"/>
        <w:ind w:left="426"/>
        <w:contextualSpacing/>
        <w:jc w:val="both"/>
        <w:rPr>
          <w:rFonts w:cs="Arial"/>
          <w:spacing w:val="-2"/>
          <w:szCs w:val="20"/>
          <w:lang w:val="en-GB"/>
        </w:rPr>
      </w:pPr>
    </w:p>
    <w:p w:rsidR="0093161F" w:rsidRDefault="0019160F" w:rsidP="0093161F">
      <w:pPr>
        <w:pStyle w:val="Bezmezer"/>
        <w:numPr>
          <w:ilvl w:val="0"/>
          <w:numId w:val="18"/>
        </w:numPr>
        <w:ind w:left="425" w:hanging="357"/>
        <w:rPr>
          <w:rFonts w:cs="Arial"/>
          <w:spacing w:val="-2"/>
          <w:szCs w:val="20"/>
          <w:lang w:val="en-GB"/>
        </w:rPr>
      </w:pPr>
      <w:r>
        <w:rPr>
          <w:rFonts w:cs="Arial"/>
          <w:spacing w:val="-2"/>
          <w:szCs w:val="20"/>
          <w:lang w:val="en-GB"/>
        </w:rPr>
        <w:lastRenderedPageBreak/>
        <w:t xml:space="preserve">The state budget (SB) ended (based on the data of the MF on the cash fulfilment) in mild surplus in the amount of </w:t>
      </w:r>
      <w:r w:rsidR="00F83573" w:rsidRPr="005809ED">
        <w:rPr>
          <w:rFonts w:cs="Arial"/>
          <w:spacing w:val="-2"/>
          <w:szCs w:val="20"/>
          <w:lang w:val="en-GB"/>
        </w:rPr>
        <w:t>4</w:t>
      </w:r>
      <w:r w:rsidR="000B6268">
        <w:rPr>
          <w:rFonts w:cs="Arial"/>
          <w:spacing w:val="-2"/>
          <w:szCs w:val="20"/>
          <w:lang w:val="en-GB"/>
        </w:rPr>
        <w:t>.</w:t>
      </w:r>
      <w:r w:rsidR="00F83573" w:rsidRPr="005809ED">
        <w:rPr>
          <w:rFonts w:cs="Arial"/>
          <w:spacing w:val="-2"/>
          <w:szCs w:val="20"/>
          <w:lang w:val="en-GB"/>
        </w:rPr>
        <w:t xml:space="preserve">6 </w:t>
      </w:r>
      <w:r w:rsidR="00927E25">
        <w:rPr>
          <w:rFonts w:cs="Arial"/>
          <w:spacing w:val="-2"/>
          <w:szCs w:val="20"/>
          <w:lang w:val="en-GB"/>
        </w:rPr>
        <w:t xml:space="preserve">CZK </w:t>
      </w:r>
      <w:proofErr w:type="spellStart"/>
      <w:r w:rsidR="000B6268">
        <w:rPr>
          <w:rFonts w:cs="Arial"/>
          <w:spacing w:val="-2"/>
          <w:szCs w:val="20"/>
          <w:lang w:val="en-GB"/>
        </w:rPr>
        <w:t>bn</w:t>
      </w:r>
      <w:proofErr w:type="spellEnd"/>
      <w:r w:rsidR="000B6268">
        <w:rPr>
          <w:rFonts w:cs="Arial"/>
          <w:spacing w:val="-2"/>
          <w:szCs w:val="20"/>
          <w:lang w:val="en-GB"/>
        </w:rPr>
        <w:t xml:space="preserve"> </w:t>
      </w:r>
      <w:r w:rsidR="00927E25">
        <w:rPr>
          <w:rFonts w:cs="Arial"/>
          <w:spacing w:val="-2"/>
          <w:szCs w:val="20"/>
          <w:lang w:val="en-GB"/>
        </w:rPr>
        <w:t xml:space="preserve">in H1. </w:t>
      </w:r>
      <w:proofErr w:type="gramStart"/>
      <w:r w:rsidR="00927E25">
        <w:rPr>
          <w:rFonts w:cs="Arial"/>
          <w:spacing w:val="-2"/>
          <w:szCs w:val="20"/>
          <w:lang w:val="en-GB"/>
        </w:rPr>
        <w:t>Income as well expenditure of the SB were</w:t>
      </w:r>
      <w:proofErr w:type="gramEnd"/>
      <w:r w:rsidR="000B6268">
        <w:rPr>
          <w:rFonts w:cs="Arial"/>
          <w:spacing w:val="-2"/>
          <w:szCs w:val="20"/>
          <w:lang w:val="en-GB"/>
        </w:rPr>
        <w:t xml:space="preserve"> notably affected by the irregularities in the drawing on the funds from the EU budget similarly as in the whole previous year. </w:t>
      </w:r>
      <w:r w:rsidR="00927E25">
        <w:rPr>
          <w:rFonts w:cs="Arial"/>
          <w:spacing w:val="-2"/>
          <w:szCs w:val="20"/>
          <w:lang w:val="en-GB"/>
        </w:rPr>
        <w:t>Income</w:t>
      </w:r>
      <w:r w:rsidR="00E10B1C">
        <w:rPr>
          <w:rFonts w:cs="Arial"/>
          <w:spacing w:val="-2"/>
          <w:szCs w:val="20"/>
          <w:lang w:val="en-GB"/>
        </w:rPr>
        <w:t xml:space="preserve"> from the EU budget dropped by nearly </w:t>
      </w:r>
      <w:r w:rsidR="00853C0F" w:rsidRPr="005809ED">
        <w:rPr>
          <w:rFonts w:cs="Arial"/>
          <w:spacing w:val="-2"/>
          <w:szCs w:val="20"/>
          <w:lang w:val="en-GB"/>
        </w:rPr>
        <w:t>60</w:t>
      </w:r>
      <w:r w:rsidR="00954C8E">
        <w:rPr>
          <w:rFonts w:cs="Arial"/>
          <w:spacing w:val="-2"/>
          <w:szCs w:val="20"/>
          <w:lang w:val="en-GB"/>
        </w:rPr>
        <w:t>%</w:t>
      </w:r>
      <w:r w:rsidR="00853C0F" w:rsidRPr="005809ED">
        <w:rPr>
          <w:rFonts w:cs="Arial"/>
          <w:spacing w:val="-2"/>
          <w:szCs w:val="20"/>
          <w:lang w:val="en-GB"/>
        </w:rPr>
        <w:t xml:space="preserve">. </w:t>
      </w:r>
      <w:r w:rsidR="00E10B1C">
        <w:rPr>
          <w:rFonts w:cs="Arial"/>
          <w:spacing w:val="-2"/>
          <w:szCs w:val="20"/>
          <w:lang w:val="en-GB"/>
        </w:rPr>
        <w:t xml:space="preserve">The slow </w:t>
      </w:r>
      <w:r w:rsidR="004A7695">
        <w:rPr>
          <w:rFonts w:cs="Arial"/>
          <w:spacing w:val="-2"/>
          <w:szCs w:val="20"/>
          <w:lang w:val="en-GB"/>
        </w:rPr>
        <w:t>run up</w:t>
      </w:r>
      <w:r w:rsidR="00853C0F" w:rsidRPr="005809ED">
        <w:rPr>
          <w:rFonts w:cs="Arial"/>
          <w:spacing w:val="-2"/>
          <w:szCs w:val="20"/>
          <w:lang w:val="en-GB"/>
        </w:rPr>
        <w:t xml:space="preserve"> </w:t>
      </w:r>
      <w:r w:rsidR="00E10B1C">
        <w:rPr>
          <w:rFonts w:cs="Arial"/>
          <w:spacing w:val="-2"/>
          <w:szCs w:val="20"/>
          <w:lang w:val="en-GB"/>
        </w:rPr>
        <w:t xml:space="preserve">of the drawing on European funds was reflected in the </w:t>
      </w:r>
      <w:r w:rsidR="00E10B1C" w:rsidRPr="00F6187C">
        <w:rPr>
          <w:rFonts w:cs="Arial"/>
          <w:spacing w:val="-2"/>
          <w:szCs w:val="20"/>
          <w:lang w:val="en-GB"/>
        </w:rPr>
        <w:t xml:space="preserve">low volume of all capital </w:t>
      </w:r>
      <w:r w:rsidR="00927E25">
        <w:rPr>
          <w:rFonts w:cs="Arial"/>
          <w:spacing w:val="-2"/>
          <w:szCs w:val="20"/>
          <w:lang w:val="en-GB"/>
        </w:rPr>
        <w:t>expenditure</w:t>
      </w:r>
      <w:r w:rsidR="00853C0F" w:rsidRPr="00F6187C">
        <w:rPr>
          <w:rFonts w:cs="Arial"/>
          <w:spacing w:val="-2"/>
          <w:szCs w:val="20"/>
          <w:lang w:val="en-GB"/>
        </w:rPr>
        <w:t xml:space="preserve">, </w:t>
      </w:r>
      <w:r w:rsidR="00E10B1C" w:rsidRPr="00F6187C">
        <w:rPr>
          <w:rFonts w:cs="Arial"/>
          <w:spacing w:val="-2"/>
          <w:szCs w:val="20"/>
          <w:lang w:val="en-GB"/>
        </w:rPr>
        <w:t xml:space="preserve">whose proportion on the total SB </w:t>
      </w:r>
      <w:r w:rsidR="00927E25">
        <w:rPr>
          <w:rFonts w:cs="Arial"/>
          <w:spacing w:val="-2"/>
          <w:szCs w:val="20"/>
          <w:lang w:val="en-GB"/>
        </w:rPr>
        <w:t>expenditure</w:t>
      </w:r>
      <w:r w:rsidR="00E10B1C" w:rsidRPr="00F6187C">
        <w:rPr>
          <w:rFonts w:cs="Arial"/>
          <w:spacing w:val="-2"/>
          <w:szCs w:val="20"/>
          <w:lang w:val="en-GB"/>
        </w:rPr>
        <w:t xml:space="preserve"> amounted only to </w:t>
      </w:r>
      <w:r w:rsidR="00853C0F" w:rsidRPr="00F6187C">
        <w:rPr>
          <w:rFonts w:cs="Arial"/>
          <w:spacing w:val="-2"/>
          <w:szCs w:val="20"/>
          <w:lang w:val="en-GB"/>
        </w:rPr>
        <w:t>3</w:t>
      </w:r>
      <w:r w:rsidR="00E10B1C" w:rsidRPr="00F6187C">
        <w:rPr>
          <w:rFonts w:cs="Arial"/>
          <w:spacing w:val="-2"/>
          <w:szCs w:val="20"/>
          <w:lang w:val="en-GB"/>
        </w:rPr>
        <w:t>.</w:t>
      </w:r>
      <w:r w:rsidR="00853C0F" w:rsidRPr="00F6187C">
        <w:rPr>
          <w:rFonts w:cs="Arial"/>
          <w:spacing w:val="-2"/>
          <w:szCs w:val="20"/>
          <w:lang w:val="en-GB"/>
        </w:rPr>
        <w:t>2</w:t>
      </w:r>
      <w:r w:rsidR="00954C8E">
        <w:rPr>
          <w:rFonts w:cs="Arial"/>
          <w:spacing w:val="-2"/>
          <w:szCs w:val="20"/>
          <w:lang w:val="en-GB"/>
        </w:rPr>
        <w:t>%</w:t>
      </w:r>
      <w:r w:rsidR="00853C0F" w:rsidRPr="00F6187C">
        <w:rPr>
          <w:rFonts w:cs="Arial"/>
          <w:spacing w:val="-2"/>
          <w:szCs w:val="20"/>
          <w:lang w:val="en-GB"/>
        </w:rPr>
        <w:t>.</w:t>
      </w:r>
      <w:r w:rsidR="00E10B1C" w:rsidRPr="00F6187C">
        <w:rPr>
          <w:rFonts w:cs="Arial"/>
          <w:spacing w:val="-2"/>
          <w:szCs w:val="20"/>
          <w:lang w:val="en-GB"/>
        </w:rPr>
        <w:t xml:space="preserve"> The total tax revenues (incl. insurance</w:t>
      </w:r>
      <w:r w:rsidR="00853C0F" w:rsidRPr="00F6187C">
        <w:rPr>
          <w:rFonts w:cs="Arial"/>
          <w:spacing w:val="-2"/>
          <w:szCs w:val="20"/>
          <w:lang w:val="en-GB"/>
        </w:rPr>
        <w:t xml:space="preserve">) </w:t>
      </w:r>
      <w:r w:rsidR="00D83294">
        <w:rPr>
          <w:rFonts w:cs="Arial"/>
          <w:spacing w:val="-2"/>
          <w:szCs w:val="20"/>
          <w:lang w:val="en-GB"/>
        </w:rPr>
        <w:t xml:space="preserve">of the </w:t>
      </w:r>
      <w:r w:rsidR="00F83573" w:rsidRPr="00F6187C">
        <w:rPr>
          <w:rFonts w:cs="Arial"/>
          <w:spacing w:val="-2"/>
          <w:szCs w:val="20"/>
          <w:lang w:val="en-GB"/>
        </w:rPr>
        <w:t>S</w:t>
      </w:r>
      <w:r w:rsidR="00D83294">
        <w:rPr>
          <w:rFonts w:cs="Arial"/>
          <w:spacing w:val="-2"/>
          <w:szCs w:val="20"/>
          <w:lang w:val="en-GB"/>
        </w:rPr>
        <w:t>B</w:t>
      </w:r>
      <w:r w:rsidR="00F83573" w:rsidRPr="00F6187C">
        <w:rPr>
          <w:rFonts w:cs="Arial"/>
          <w:spacing w:val="-2"/>
          <w:szCs w:val="20"/>
          <w:lang w:val="en-GB"/>
        </w:rPr>
        <w:t xml:space="preserve"> </w:t>
      </w:r>
      <w:r w:rsidR="00E868D4" w:rsidRPr="00F6187C">
        <w:rPr>
          <w:rFonts w:cs="Arial"/>
          <w:spacing w:val="-2"/>
          <w:szCs w:val="20"/>
          <w:lang w:val="en-GB"/>
        </w:rPr>
        <w:t>strengthened</w:t>
      </w:r>
      <w:r w:rsidR="00F6187C" w:rsidRPr="00F6187C">
        <w:rPr>
          <w:rFonts w:cs="Arial"/>
          <w:spacing w:val="-2"/>
          <w:szCs w:val="20"/>
          <w:lang w:val="en-GB"/>
        </w:rPr>
        <w:t xml:space="preserve"> mostly thanks to the economic growth by </w:t>
      </w:r>
      <w:r w:rsidR="000C7E1A">
        <w:rPr>
          <w:rFonts w:cs="Arial"/>
          <w:spacing w:val="-2"/>
          <w:szCs w:val="20"/>
          <w:lang w:val="en-GB"/>
        </w:rPr>
        <w:t>8.</w:t>
      </w:r>
      <w:r w:rsidR="00853C0F" w:rsidRPr="00F6187C">
        <w:rPr>
          <w:rFonts w:cs="Arial"/>
          <w:spacing w:val="-2"/>
          <w:szCs w:val="20"/>
          <w:lang w:val="en-GB"/>
        </w:rPr>
        <w:t>2</w:t>
      </w:r>
      <w:r w:rsidR="00954C8E">
        <w:rPr>
          <w:rFonts w:cs="Arial"/>
          <w:spacing w:val="-2"/>
          <w:szCs w:val="20"/>
          <w:lang w:val="en-GB"/>
        </w:rPr>
        <w:t>%</w:t>
      </w:r>
      <w:r w:rsidR="00853C0F" w:rsidRPr="00F6187C">
        <w:rPr>
          <w:rFonts w:cs="Arial"/>
          <w:spacing w:val="-2"/>
          <w:szCs w:val="20"/>
          <w:lang w:val="en-GB"/>
        </w:rPr>
        <w:t>.</w:t>
      </w:r>
      <w:r w:rsidR="00F6187C" w:rsidRPr="00F6187C">
        <w:rPr>
          <w:rFonts w:cs="Arial"/>
          <w:spacing w:val="-2"/>
          <w:szCs w:val="20"/>
          <w:lang w:val="en-GB"/>
        </w:rPr>
        <w:t xml:space="preserve"> The pension account </w:t>
      </w:r>
      <w:r w:rsidR="00004BF2">
        <w:rPr>
          <w:rFonts w:cs="Arial"/>
          <w:spacing w:val="-2"/>
          <w:szCs w:val="20"/>
          <w:lang w:val="en-GB"/>
        </w:rPr>
        <w:t xml:space="preserve">deficit </w:t>
      </w:r>
      <w:r w:rsidR="00F6187C" w:rsidRPr="00F6187C">
        <w:rPr>
          <w:rFonts w:cs="Arial"/>
          <w:spacing w:val="-2"/>
          <w:szCs w:val="20"/>
          <w:lang w:val="en-GB"/>
        </w:rPr>
        <w:t xml:space="preserve">has been shrinking for the sixth year in a row, and it reached 6.8 </w:t>
      </w:r>
      <w:r w:rsidR="00467B4F">
        <w:rPr>
          <w:rFonts w:cs="Arial"/>
          <w:spacing w:val="-2"/>
          <w:szCs w:val="20"/>
          <w:lang w:val="en-GB"/>
        </w:rPr>
        <w:t xml:space="preserve">CZK </w:t>
      </w:r>
      <w:proofErr w:type="spellStart"/>
      <w:r w:rsidR="00467B4F">
        <w:rPr>
          <w:rFonts w:cs="Arial"/>
          <w:spacing w:val="-2"/>
          <w:szCs w:val="20"/>
          <w:lang w:val="en-GB"/>
        </w:rPr>
        <w:t>bn</w:t>
      </w:r>
      <w:proofErr w:type="spellEnd"/>
      <w:r w:rsidR="00F6187C" w:rsidRPr="00F6187C">
        <w:rPr>
          <w:rFonts w:cs="Arial"/>
          <w:spacing w:val="-2"/>
          <w:szCs w:val="20"/>
          <w:lang w:val="en-GB"/>
        </w:rPr>
        <w:t xml:space="preserve"> in H1. The total size of the state debt stabilized following a strong increase in </w:t>
      </w:r>
      <w:r w:rsidR="00004BF2">
        <w:rPr>
          <w:rFonts w:cs="Arial"/>
          <w:spacing w:val="-2"/>
          <w:szCs w:val="20"/>
          <w:lang w:val="en-GB"/>
        </w:rPr>
        <w:t>Q</w:t>
      </w:r>
      <w:r w:rsidR="00F6187C" w:rsidRPr="00F6187C">
        <w:rPr>
          <w:rFonts w:cs="Arial"/>
          <w:spacing w:val="-2"/>
          <w:szCs w:val="20"/>
          <w:lang w:val="en-GB"/>
        </w:rPr>
        <w:t>1 (by 10.9</w:t>
      </w:r>
      <w:r w:rsidR="00954C8E">
        <w:rPr>
          <w:rFonts w:cs="Arial"/>
          <w:spacing w:val="-2"/>
          <w:szCs w:val="20"/>
          <w:lang w:val="en-GB"/>
        </w:rPr>
        <w:t>%</w:t>
      </w:r>
      <w:r w:rsidR="00F6187C" w:rsidRPr="00F6187C">
        <w:rPr>
          <w:rFonts w:cs="Arial"/>
          <w:spacing w:val="-2"/>
          <w:szCs w:val="20"/>
          <w:lang w:val="en-GB"/>
        </w:rPr>
        <w:t xml:space="preserve">) in the subsequent </w:t>
      </w:r>
      <w:r w:rsidR="00004BF2">
        <w:rPr>
          <w:rFonts w:cs="Arial"/>
          <w:spacing w:val="-2"/>
          <w:szCs w:val="20"/>
          <w:lang w:val="en-GB"/>
        </w:rPr>
        <w:t>quarter</w:t>
      </w:r>
      <w:r w:rsidR="00F6187C" w:rsidRPr="00F6187C">
        <w:rPr>
          <w:rFonts w:cs="Arial"/>
          <w:spacing w:val="-2"/>
          <w:szCs w:val="20"/>
          <w:lang w:val="en-GB"/>
        </w:rPr>
        <w:t xml:space="preserve"> of the year. </w:t>
      </w:r>
    </w:p>
    <w:p w:rsidR="008C25FD" w:rsidRPr="00F6187C" w:rsidRDefault="008C25FD" w:rsidP="008C25FD">
      <w:pPr>
        <w:pStyle w:val="Bezmezer"/>
        <w:rPr>
          <w:rFonts w:cs="Arial"/>
          <w:spacing w:val="-2"/>
          <w:szCs w:val="20"/>
          <w:lang w:val="en-GB"/>
        </w:rPr>
      </w:pPr>
    </w:p>
    <w:p w:rsidR="000E6184" w:rsidRPr="008C25FD" w:rsidRDefault="000E6184">
      <w:pPr>
        <w:pStyle w:val="Odstavecseseznamem"/>
        <w:ind w:left="0"/>
        <w:rPr>
          <w:sz w:val="2"/>
          <w:lang w:val="en-GB"/>
        </w:rPr>
      </w:pPr>
    </w:p>
    <w:p w:rsidR="00DD0726" w:rsidRPr="008C25FD" w:rsidRDefault="00AB2064" w:rsidP="00DD0726">
      <w:pPr>
        <w:pStyle w:val="Nadpis1"/>
        <w:numPr>
          <w:ilvl w:val="0"/>
          <w:numId w:val="12"/>
        </w:numPr>
        <w:ind w:left="709"/>
        <w:jc w:val="both"/>
        <w:rPr>
          <w:lang w:val="en-GB"/>
        </w:rPr>
      </w:pPr>
      <w:bookmarkStart w:id="5" w:name="_Toc469299930"/>
      <w:bookmarkStart w:id="6" w:name="_Toc493683634"/>
      <w:bookmarkStart w:id="7" w:name="_Toc454185150"/>
      <w:r w:rsidRPr="008C25FD">
        <w:rPr>
          <w:lang w:val="en-GB"/>
        </w:rPr>
        <w:t>Overall Economic Performance</w:t>
      </w:r>
      <w:bookmarkEnd w:id="5"/>
      <w:bookmarkEnd w:id="6"/>
    </w:p>
    <w:p w:rsidR="00DD0726" w:rsidRPr="002071D8" w:rsidRDefault="00DD0726" w:rsidP="00DD0726">
      <w:pPr>
        <w:pStyle w:val="Textpoznpodarou"/>
        <w:jc w:val="both"/>
        <w:rPr>
          <w:sz w:val="2"/>
          <w:szCs w:val="2"/>
        </w:rPr>
      </w:pPr>
    </w:p>
    <w:tbl>
      <w:tblPr>
        <w:tblW w:w="5000" w:type="pct"/>
        <w:tblInd w:w="108" w:type="dxa"/>
        <w:tblLayout w:type="fixed"/>
        <w:tblLook w:val="00A0"/>
      </w:tblPr>
      <w:tblGrid>
        <w:gridCol w:w="1985"/>
        <w:gridCol w:w="284"/>
        <w:gridCol w:w="1133"/>
        <w:gridCol w:w="4962"/>
        <w:gridCol w:w="1490"/>
      </w:tblGrid>
      <w:tr w:rsidR="00DD0726" w:rsidRPr="00A74192" w:rsidTr="002071D8">
        <w:tc>
          <w:tcPr>
            <w:tcW w:w="1007" w:type="pct"/>
          </w:tcPr>
          <w:p w:rsidR="00746F90" w:rsidRPr="002071D8" w:rsidRDefault="00E868D4" w:rsidP="00260FBE">
            <w:pPr>
              <w:spacing w:line="240" w:lineRule="auto"/>
              <w:rPr>
                <w:rFonts w:cs="Arial"/>
                <w:sz w:val="16"/>
                <w:szCs w:val="16"/>
                <w:lang w:val="en-GB"/>
              </w:rPr>
            </w:pPr>
            <w:r w:rsidRPr="002071D8">
              <w:rPr>
                <w:rFonts w:cs="Arial"/>
                <w:sz w:val="16"/>
                <w:szCs w:val="16"/>
                <w:lang w:val="en-GB"/>
              </w:rPr>
              <w:t>Both year-on-year and quarter-on-quarter growth notably gained pace in Q2</w:t>
            </w:r>
            <w:r w:rsidR="00DD0726" w:rsidRPr="002071D8">
              <w:rPr>
                <w:rFonts w:cs="Arial"/>
                <w:sz w:val="16"/>
                <w:szCs w:val="16"/>
                <w:lang w:val="en-GB"/>
              </w:rPr>
              <w:t>.</w:t>
            </w:r>
          </w:p>
          <w:p w:rsidR="00746F90" w:rsidRPr="002071D8" w:rsidRDefault="00746F90" w:rsidP="00746F90">
            <w:pPr>
              <w:rPr>
                <w:rFonts w:cs="Arial"/>
                <w:sz w:val="16"/>
                <w:szCs w:val="16"/>
                <w:lang w:val="en-GB"/>
              </w:rPr>
            </w:pPr>
          </w:p>
          <w:p w:rsidR="00746F90" w:rsidRPr="002071D8" w:rsidRDefault="00746F90" w:rsidP="00746F90">
            <w:pPr>
              <w:rPr>
                <w:rFonts w:cs="Arial"/>
                <w:sz w:val="16"/>
                <w:szCs w:val="16"/>
                <w:lang w:val="en-GB"/>
              </w:rPr>
            </w:pPr>
          </w:p>
          <w:p w:rsidR="00746F90" w:rsidRPr="002071D8" w:rsidRDefault="00746F90" w:rsidP="00746F90">
            <w:pPr>
              <w:rPr>
                <w:rFonts w:cs="Arial"/>
                <w:sz w:val="16"/>
                <w:szCs w:val="16"/>
                <w:lang w:val="en-GB"/>
              </w:rPr>
            </w:pPr>
          </w:p>
          <w:p w:rsidR="00746F90" w:rsidRPr="002071D8" w:rsidRDefault="00746F90" w:rsidP="00746F90">
            <w:pPr>
              <w:rPr>
                <w:rFonts w:cs="Arial"/>
                <w:sz w:val="16"/>
                <w:szCs w:val="16"/>
                <w:lang w:val="en-GB"/>
              </w:rPr>
            </w:pPr>
          </w:p>
          <w:p w:rsidR="00DD0726" w:rsidRPr="002071D8" w:rsidRDefault="00746F90" w:rsidP="00746F90">
            <w:pPr>
              <w:rPr>
                <w:rFonts w:cs="Arial"/>
                <w:sz w:val="16"/>
                <w:szCs w:val="16"/>
                <w:lang w:val="en-GB"/>
              </w:rPr>
            </w:pPr>
            <w:r w:rsidRPr="002071D8">
              <w:rPr>
                <w:rFonts w:cs="Arial"/>
                <w:sz w:val="16"/>
                <w:szCs w:val="16"/>
                <w:lang w:val="en-GB"/>
              </w:rPr>
              <w:t xml:space="preserve">  </w:t>
            </w:r>
          </w:p>
        </w:tc>
        <w:tc>
          <w:tcPr>
            <w:tcW w:w="144" w:type="pct"/>
          </w:tcPr>
          <w:p w:rsidR="00DD0726" w:rsidRPr="002071D8" w:rsidRDefault="00DD0726" w:rsidP="00260FBE">
            <w:pPr>
              <w:pStyle w:val="Textpoznpodarou"/>
              <w:jc w:val="both"/>
              <w:rPr>
                <w:rFonts w:cs="Arial"/>
                <w:lang w:val="en-GB"/>
              </w:rPr>
            </w:pPr>
          </w:p>
        </w:tc>
        <w:tc>
          <w:tcPr>
            <w:tcW w:w="3849" w:type="pct"/>
            <w:gridSpan w:val="3"/>
          </w:tcPr>
          <w:p w:rsidR="00DD0726" w:rsidRPr="00E868D4" w:rsidRDefault="00437376" w:rsidP="00260FBE">
            <w:pPr>
              <w:pStyle w:val="Textpoznpodarou"/>
              <w:jc w:val="both"/>
              <w:rPr>
                <w:rFonts w:cs="Arial"/>
                <w:sz w:val="16"/>
                <w:szCs w:val="16"/>
                <w:lang w:val="en-GB"/>
              </w:rPr>
            </w:pPr>
            <w:r w:rsidRPr="002071D8">
              <w:rPr>
                <w:rFonts w:cs="Arial"/>
                <w:lang w:val="en-GB"/>
              </w:rPr>
              <w:t xml:space="preserve">Acceleration of the year-on-year dynamics of the growth of the gross domestic product </w:t>
            </w:r>
            <w:r w:rsidR="00DD0726" w:rsidRPr="002071D8">
              <w:rPr>
                <w:rFonts w:cs="Arial"/>
                <w:lang w:val="en-GB"/>
              </w:rPr>
              <w:t>(</w:t>
            </w:r>
            <w:r w:rsidRPr="002071D8">
              <w:rPr>
                <w:rFonts w:cs="Arial"/>
                <w:lang w:val="en-GB"/>
              </w:rPr>
              <w:t>GDP</w:t>
            </w:r>
            <w:r w:rsidR="00DD0726" w:rsidRPr="002071D8">
              <w:rPr>
                <w:rFonts w:cs="Arial"/>
                <w:lang w:val="en-GB"/>
              </w:rPr>
              <w:t xml:space="preserve">), </w:t>
            </w:r>
            <w:r w:rsidR="007D2A86" w:rsidRPr="002071D8">
              <w:rPr>
                <w:rFonts w:cs="Arial"/>
                <w:lang w:val="en-GB"/>
              </w:rPr>
              <w:t xml:space="preserve">which was registered in Q1 2017, </w:t>
            </w:r>
            <w:r w:rsidRPr="002071D8">
              <w:rPr>
                <w:rFonts w:cs="Arial"/>
                <w:lang w:val="en-GB"/>
              </w:rPr>
              <w:t>continued also in Q2. The GDP increased by 4.7</w:t>
            </w:r>
            <w:r w:rsidR="00954C8E" w:rsidRPr="002071D8">
              <w:rPr>
                <w:rFonts w:cs="Arial"/>
                <w:lang w:val="en-GB"/>
              </w:rPr>
              <w:t>%</w:t>
            </w:r>
            <w:r w:rsidR="00DD0726" w:rsidRPr="002071D8">
              <w:rPr>
                <w:rStyle w:val="Znakapoznpodarou"/>
                <w:rFonts w:cs="Arial"/>
                <w:lang w:val="en-GB"/>
              </w:rPr>
              <w:footnoteReference w:id="3"/>
            </w:r>
            <w:r w:rsidR="008C25FD" w:rsidRPr="002071D8">
              <w:rPr>
                <w:rFonts w:cs="Arial"/>
                <w:lang w:val="en-GB"/>
              </w:rPr>
              <w:t xml:space="preserve"> year-on-year</w:t>
            </w:r>
            <w:r w:rsidR="007D2A86" w:rsidRPr="002071D8">
              <w:rPr>
                <w:rFonts w:cs="Arial"/>
                <w:lang w:val="en-GB"/>
              </w:rPr>
              <w:t xml:space="preserve"> i</w:t>
            </w:r>
            <w:r w:rsidRPr="002071D8">
              <w:rPr>
                <w:rFonts w:cs="Arial"/>
                <w:lang w:val="en-GB"/>
              </w:rPr>
              <w:t xml:space="preserve">n the second quarter of the year. Such pace approaches the extraordinary year 2015, when the factor of finalising the drawing on the European funds had a major effect. </w:t>
            </w:r>
            <w:r w:rsidR="007D2A86" w:rsidRPr="002071D8">
              <w:rPr>
                <w:rFonts w:cs="Arial"/>
                <w:lang w:val="en-GB"/>
              </w:rPr>
              <w:t xml:space="preserve">The growing consumption as well as the foreign trade balance together contributed to growth already in Q1. The newly growing </w:t>
            </w:r>
            <w:r w:rsidR="008276AB" w:rsidRPr="002071D8">
              <w:rPr>
                <w:rFonts w:cs="Arial"/>
                <w:lang w:val="en-GB"/>
              </w:rPr>
              <w:t xml:space="preserve">investment expenditure </w:t>
            </w:r>
            <w:r w:rsidR="007D2A86" w:rsidRPr="002071D8">
              <w:rPr>
                <w:rFonts w:cs="Arial"/>
                <w:lang w:val="en-GB"/>
              </w:rPr>
              <w:t>joined</w:t>
            </w:r>
            <w:r w:rsidR="008276AB" w:rsidRPr="002071D8">
              <w:rPr>
                <w:rFonts w:cs="Arial"/>
                <w:lang w:val="en-GB"/>
              </w:rPr>
              <w:t xml:space="preserve"> these factors in Q2. The gro</w:t>
            </w:r>
            <w:r w:rsidR="00306934" w:rsidRPr="002071D8">
              <w:rPr>
                <w:rFonts w:cs="Arial"/>
                <w:lang w:val="en-GB"/>
              </w:rPr>
              <w:t>ss</w:t>
            </w:r>
            <w:r w:rsidR="008276AB" w:rsidRPr="002071D8">
              <w:rPr>
                <w:rFonts w:cs="Arial"/>
                <w:lang w:val="en-GB"/>
              </w:rPr>
              <w:t xml:space="preserve"> value added (GVA) expanded by the same rate of growth as the GDP year-on-year. Most industrial activities as well as services supported its growth. </w:t>
            </w:r>
            <w:r w:rsidR="00F21F9E" w:rsidRPr="002071D8">
              <w:rPr>
                <w:rFonts w:cs="Arial"/>
                <w:lang w:val="en-GB"/>
              </w:rPr>
              <w:t xml:space="preserve">The quarter-on-quarter growth of the GDP amounted to </w:t>
            </w:r>
            <w:r w:rsidR="0070189B" w:rsidRPr="002071D8">
              <w:rPr>
                <w:rFonts w:cs="Arial"/>
                <w:lang w:val="en-GB"/>
              </w:rPr>
              <w:t>2.</w:t>
            </w:r>
            <w:r w:rsidR="00DD0726" w:rsidRPr="002071D8">
              <w:rPr>
                <w:rFonts w:cs="Arial"/>
                <w:lang w:val="en-GB"/>
              </w:rPr>
              <w:t>5</w:t>
            </w:r>
            <w:r w:rsidR="00954C8E" w:rsidRPr="002071D8">
              <w:rPr>
                <w:rFonts w:cs="Arial"/>
                <w:lang w:val="en-GB"/>
              </w:rPr>
              <w:t>%</w:t>
            </w:r>
            <w:r w:rsidR="00F21F9E">
              <w:rPr>
                <w:rFonts w:cs="Arial"/>
                <w:lang w:val="en-GB"/>
              </w:rPr>
              <w:t xml:space="preserve"> and it was thus the highest in the whole available time series of the national accounts. </w:t>
            </w:r>
            <w:r w:rsidR="00746F90">
              <w:rPr>
                <w:rFonts w:cs="Arial"/>
                <w:lang w:val="en-GB"/>
              </w:rPr>
              <w:t>Comparably strong quarter-on-quarter growth was recorded at the beginning of year 2</w:t>
            </w:r>
            <w:r w:rsidR="00DD0726" w:rsidRPr="00E868D4">
              <w:rPr>
                <w:rFonts w:cs="Arial"/>
                <w:lang w:val="en-GB"/>
              </w:rPr>
              <w:t>006</w:t>
            </w:r>
            <w:r w:rsidR="00C90284">
              <w:rPr>
                <w:rFonts w:cs="Arial"/>
                <w:lang w:val="en-GB"/>
              </w:rPr>
              <w:t xml:space="preserve"> (</w:t>
            </w:r>
            <w:r w:rsidR="00DD0726" w:rsidRPr="00E868D4">
              <w:rPr>
                <w:rFonts w:cs="Arial"/>
                <w:lang w:val="en-GB"/>
              </w:rPr>
              <w:t>2</w:t>
            </w:r>
            <w:r w:rsidR="00C90284">
              <w:rPr>
                <w:rFonts w:cs="Arial"/>
                <w:lang w:val="en-GB"/>
              </w:rPr>
              <w:t>.</w:t>
            </w:r>
            <w:r w:rsidR="00DD0726" w:rsidRPr="00E868D4">
              <w:rPr>
                <w:rFonts w:cs="Arial"/>
                <w:lang w:val="en-GB"/>
              </w:rPr>
              <w:t>2</w:t>
            </w:r>
            <w:r w:rsidR="00954C8E">
              <w:rPr>
                <w:rFonts w:cs="Arial"/>
                <w:lang w:val="en-GB"/>
              </w:rPr>
              <w:t>%</w:t>
            </w:r>
            <w:r w:rsidR="00DD0726" w:rsidRPr="00E868D4">
              <w:rPr>
                <w:rFonts w:cs="Arial"/>
                <w:lang w:val="en-GB"/>
              </w:rPr>
              <w:t xml:space="preserve">). </w:t>
            </w:r>
            <w:r w:rsidR="00901D64">
              <w:rPr>
                <w:rFonts w:cs="Arial"/>
                <w:lang w:val="en-GB"/>
              </w:rPr>
              <w:t xml:space="preserve">With respect to the additions to the quarter-on-quarter growth, the increase of the final consumption expenditure of households and very strong acceleration of the growth of expenditure on gross fixed capital formation were essential in Q2 2017. </w:t>
            </w:r>
            <w:r w:rsidR="00D93794">
              <w:rPr>
                <w:rFonts w:cs="Arial"/>
                <w:lang w:val="en-GB"/>
              </w:rPr>
              <w:t xml:space="preserve">The contribution of the foreign trade was weaker compared to the preceding quarter. </w:t>
            </w:r>
          </w:p>
          <w:p w:rsidR="00DD0726" w:rsidRPr="00E868D4" w:rsidRDefault="00DD0726" w:rsidP="00260FBE">
            <w:pPr>
              <w:pStyle w:val="Textpoznpodarou"/>
              <w:jc w:val="both"/>
              <w:rPr>
                <w:rFonts w:cs="Arial"/>
                <w:sz w:val="16"/>
                <w:szCs w:val="16"/>
                <w:lang w:val="en-GB"/>
              </w:rPr>
            </w:pPr>
          </w:p>
        </w:tc>
      </w:tr>
      <w:tr w:rsidR="00DD0726" w:rsidRPr="00A74192" w:rsidTr="002071D8">
        <w:tblPrEx>
          <w:tblCellMar>
            <w:left w:w="70" w:type="dxa"/>
            <w:right w:w="70" w:type="dxa"/>
          </w:tblCellMar>
        </w:tblPrEx>
        <w:tc>
          <w:tcPr>
            <w:tcW w:w="1007" w:type="pct"/>
          </w:tcPr>
          <w:p w:rsidR="00DD0726" w:rsidRDefault="00DD0726" w:rsidP="00260FBE">
            <w:pPr>
              <w:spacing w:line="240" w:lineRule="auto"/>
              <w:rPr>
                <w:rFonts w:cs="Arial"/>
                <w:sz w:val="16"/>
                <w:szCs w:val="16"/>
              </w:rPr>
            </w:pPr>
          </w:p>
        </w:tc>
        <w:tc>
          <w:tcPr>
            <w:tcW w:w="144" w:type="pct"/>
          </w:tcPr>
          <w:p w:rsidR="00DD0726" w:rsidRPr="005E2AB2" w:rsidRDefault="00DD0726" w:rsidP="00260FBE">
            <w:pPr>
              <w:pStyle w:val="Textpoznpodarou"/>
              <w:jc w:val="both"/>
              <w:rPr>
                <w:rFonts w:cs="Arial"/>
              </w:rPr>
            </w:pPr>
          </w:p>
        </w:tc>
        <w:tc>
          <w:tcPr>
            <w:tcW w:w="575" w:type="pct"/>
          </w:tcPr>
          <w:p w:rsidR="00DD0726" w:rsidRDefault="00023255" w:rsidP="00260FBE">
            <w:pPr>
              <w:pStyle w:val="Textpoznpodarou"/>
              <w:jc w:val="both"/>
              <w:rPr>
                <w:rFonts w:cs="Arial"/>
              </w:rPr>
            </w:pPr>
            <w:r>
              <w:rPr>
                <w:rFonts w:cs="Arial"/>
              </w:rPr>
              <w:t xml:space="preserve">Chart </w:t>
            </w:r>
            <w:r w:rsidR="00DD0726">
              <w:rPr>
                <w:rFonts w:cs="Arial"/>
              </w:rPr>
              <w:t>1</w:t>
            </w:r>
          </w:p>
        </w:tc>
        <w:tc>
          <w:tcPr>
            <w:tcW w:w="3274" w:type="pct"/>
            <w:gridSpan w:val="2"/>
          </w:tcPr>
          <w:p w:rsidR="00DD0726" w:rsidRPr="001F4DAE" w:rsidRDefault="000E53BD" w:rsidP="00260FBE">
            <w:pPr>
              <w:pStyle w:val="Textpoznpodarou"/>
              <w:spacing w:after="60"/>
              <w:jc w:val="both"/>
              <w:rPr>
                <w:rFonts w:cs="Arial"/>
                <w:spacing w:val="-2"/>
                <w:lang w:val="en-GB"/>
              </w:rPr>
            </w:pPr>
            <w:r w:rsidRPr="000E53BD">
              <w:rPr>
                <w:rFonts w:cs="Arial"/>
                <w:b/>
                <w:spacing w:val="-2"/>
                <w:lang w:val="en-GB" w:eastAsia="en-US"/>
              </w:rPr>
              <w:t xml:space="preserve">GDP </w:t>
            </w:r>
            <w:r w:rsidRPr="000E53BD">
              <w:rPr>
                <w:rFonts w:cs="Arial"/>
                <w:spacing w:val="-2"/>
                <w:lang w:val="en-GB" w:eastAsia="en-US"/>
              </w:rPr>
              <w:t>(volume indices, adjusted for seasonal and calendar effects, in %)</w:t>
            </w:r>
          </w:p>
        </w:tc>
      </w:tr>
      <w:tr w:rsidR="00DD0726" w:rsidRPr="00A74192" w:rsidTr="002071D8">
        <w:tblPrEx>
          <w:tblCellMar>
            <w:left w:w="70" w:type="dxa"/>
            <w:right w:w="70" w:type="dxa"/>
          </w:tblCellMar>
        </w:tblPrEx>
        <w:tc>
          <w:tcPr>
            <w:tcW w:w="1007" w:type="pct"/>
          </w:tcPr>
          <w:p w:rsidR="00DD0726" w:rsidRDefault="00DD0726" w:rsidP="00260FBE">
            <w:pPr>
              <w:spacing w:line="240" w:lineRule="auto"/>
              <w:rPr>
                <w:rFonts w:cs="Arial"/>
                <w:sz w:val="16"/>
                <w:szCs w:val="16"/>
              </w:rPr>
            </w:pPr>
          </w:p>
        </w:tc>
        <w:tc>
          <w:tcPr>
            <w:tcW w:w="144" w:type="pct"/>
          </w:tcPr>
          <w:p w:rsidR="00DD0726" w:rsidRPr="005E2AB2" w:rsidRDefault="00DD0726" w:rsidP="00260FBE">
            <w:pPr>
              <w:pStyle w:val="Textpoznpodarou"/>
              <w:jc w:val="both"/>
              <w:rPr>
                <w:rFonts w:cs="Arial"/>
              </w:rPr>
            </w:pPr>
          </w:p>
        </w:tc>
        <w:tc>
          <w:tcPr>
            <w:tcW w:w="3849" w:type="pct"/>
            <w:gridSpan w:val="3"/>
          </w:tcPr>
          <w:p w:rsidR="00DD0726" w:rsidRDefault="008C25FD" w:rsidP="00260FBE">
            <w:pPr>
              <w:pStyle w:val="Textpoznpodarou"/>
              <w:rPr>
                <w:rFonts w:cs="Arial"/>
                <w:sz w:val="14"/>
                <w:szCs w:val="14"/>
              </w:rPr>
            </w:pPr>
            <w:r w:rsidRPr="008C25FD">
              <w:rPr>
                <w:rFonts w:cs="Arial"/>
                <w:noProof/>
                <w:sz w:val="14"/>
                <w:szCs w:val="14"/>
              </w:rPr>
              <w:drawing>
                <wp:inline distT="0" distB="0" distL="0" distR="0">
                  <wp:extent cx="4737600" cy="3696075"/>
                  <wp:effectExtent l="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0726" w:rsidRDefault="004F14F3" w:rsidP="00260FBE">
            <w:pPr>
              <w:pStyle w:val="Textpoznpodarou"/>
              <w:jc w:val="right"/>
              <w:rPr>
                <w:rFonts w:cs="Arial"/>
                <w:sz w:val="14"/>
                <w:szCs w:val="14"/>
              </w:rPr>
            </w:pPr>
            <w:proofErr w:type="spellStart"/>
            <w:r>
              <w:rPr>
                <w:rFonts w:cs="Arial"/>
                <w:sz w:val="14"/>
                <w:szCs w:val="14"/>
              </w:rPr>
              <w:t>Source</w:t>
            </w:r>
            <w:proofErr w:type="spellEnd"/>
            <w:r w:rsidR="00DD0726" w:rsidRPr="002E4069">
              <w:rPr>
                <w:rFonts w:cs="Arial"/>
                <w:sz w:val="14"/>
                <w:szCs w:val="14"/>
              </w:rPr>
              <w:t xml:space="preserve">: </w:t>
            </w:r>
            <w:r>
              <w:rPr>
                <w:rFonts w:cs="Arial"/>
                <w:sz w:val="14"/>
                <w:szCs w:val="14"/>
              </w:rPr>
              <w:t>CZSO</w:t>
            </w:r>
            <w:r w:rsidR="00DD0726" w:rsidRPr="002E4069">
              <w:rPr>
                <w:rFonts w:cs="Arial"/>
                <w:sz w:val="14"/>
                <w:szCs w:val="14"/>
              </w:rPr>
              <w:t xml:space="preserve">, </w:t>
            </w:r>
            <w:proofErr w:type="spellStart"/>
            <w:r w:rsidR="00DD0726" w:rsidRPr="002E4069">
              <w:rPr>
                <w:rFonts w:cs="Arial"/>
                <w:sz w:val="14"/>
                <w:szCs w:val="14"/>
              </w:rPr>
              <w:t>Eurostat</w:t>
            </w:r>
            <w:proofErr w:type="spellEnd"/>
          </w:p>
          <w:p w:rsidR="00DD0726" w:rsidRPr="002E4069" w:rsidRDefault="00DD0726" w:rsidP="00260FBE">
            <w:pPr>
              <w:pStyle w:val="Textpoznpodarou"/>
              <w:jc w:val="right"/>
              <w:rPr>
                <w:rFonts w:cs="Arial"/>
                <w:sz w:val="14"/>
                <w:szCs w:val="14"/>
              </w:rPr>
            </w:pPr>
          </w:p>
        </w:tc>
      </w:tr>
      <w:tr w:rsidR="00DD0726" w:rsidRPr="00A74192" w:rsidTr="002071D8">
        <w:tblPrEx>
          <w:tblCellMar>
            <w:left w:w="70" w:type="dxa"/>
            <w:right w:w="70" w:type="dxa"/>
          </w:tblCellMar>
        </w:tblPrEx>
        <w:tc>
          <w:tcPr>
            <w:tcW w:w="1007" w:type="pct"/>
          </w:tcPr>
          <w:p w:rsidR="00DD0726" w:rsidRPr="003F795D" w:rsidRDefault="003F795D" w:rsidP="00260FBE">
            <w:pPr>
              <w:spacing w:line="240" w:lineRule="auto"/>
              <w:rPr>
                <w:rFonts w:cs="Arial"/>
                <w:sz w:val="16"/>
                <w:szCs w:val="16"/>
                <w:lang w:val="en-GB"/>
              </w:rPr>
            </w:pPr>
            <w:r w:rsidRPr="003F795D">
              <w:rPr>
                <w:rFonts w:cs="Arial"/>
                <w:sz w:val="16"/>
                <w:szCs w:val="16"/>
                <w:lang w:val="en-GB"/>
              </w:rPr>
              <w:lastRenderedPageBreak/>
              <w:t xml:space="preserve">The economic growth also mildly quickened in the EU. </w:t>
            </w:r>
          </w:p>
        </w:tc>
        <w:tc>
          <w:tcPr>
            <w:tcW w:w="144" w:type="pct"/>
          </w:tcPr>
          <w:p w:rsidR="00DD0726" w:rsidRPr="003F795D" w:rsidRDefault="00DD0726" w:rsidP="00260FBE">
            <w:pPr>
              <w:pStyle w:val="Textpoznpodarou"/>
              <w:jc w:val="both"/>
              <w:rPr>
                <w:rFonts w:cs="Arial"/>
                <w:lang w:val="en-GB"/>
              </w:rPr>
            </w:pPr>
          </w:p>
        </w:tc>
        <w:tc>
          <w:tcPr>
            <w:tcW w:w="3849" w:type="pct"/>
            <w:gridSpan w:val="3"/>
          </w:tcPr>
          <w:p w:rsidR="009D1023" w:rsidRDefault="000E53BD">
            <w:pPr>
              <w:pStyle w:val="Textpoznpodarou"/>
              <w:keepNext/>
              <w:keepLines/>
              <w:spacing w:after="200"/>
              <w:jc w:val="both"/>
              <w:outlineLvl w:val="0"/>
              <w:rPr>
                <w:rFonts w:cs="Arial"/>
                <w:lang w:val="en-GB"/>
              </w:rPr>
            </w:pPr>
            <w:r w:rsidRPr="000E53BD">
              <w:rPr>
                <w:rFonts w:cs="Arial"/>
                <w:spacing w:val="-2"/>
                <w:lang w:val="en-GB"/>
              </w:rPr>
              <w:t>The year-on-year growth reached the value of 2.4%</w:t>
            </w:r>
            <w:r w:rsidRPr="000E53BD">
              <w:rPr>
                <w:rStyle w:val="Znakapoznpodarou"/>
                <w:spacing w:val="-2"/>
                <w:lang w:val="en-GB"/>
              </w:rPr>
              <w:footnoteReference w:id="4"/>
            </w:r>
            <w:r w:rsidRPr="000E53BD">
              <w:rPr>
                <w:rFonts w:cs="Arial"/>
                <w:spacing w:val="-2"/>
                <w:lang w:val="en-GB"/>
              </w:rPr>
              <w:t xml:space="preserve"> in the EU in Q2 and it was the fastest since Q1 2011. The quarter-on-quarter GDP change was 0.7% in the EU and it was by 0.2 p. p. higher compared to the previous quarter. The growth in the EU was favourably impacted by both the growing consumption and the expenditure on gross fixed capital formation. The increase of year-on-year as well as quarter-on-quarter dynamics then moved the Czech Republic among the fastest growing EU countries. The quarter-on-quarter addition to the Czech economy was the highest in the EU. With a relatively large distance, Sweden ranked immediately behind the CR (1.7%), then Romania (1.6%) and Netherlands (1.5%). The year-on-year growth was the highest in Malta (6.2%), Romania (5.7%), Estonia (5.2%) and Slovenia (5.2%). The nearest business partners of the Czech Republic also fared well. Slovakia attained the year-on-year addition amounting to 3.1%</w:t>
            </w:r>
            <w:r w:rsidRPr="000E53BD">
              <w:rPr>
                <w:rStyle w:val="Znakapoznpodarou"/>
                <w:spacing w:val="-2"/>
                <w:lang w:val="en-GB"/>
              </w:rPr>
              <w:footnoteReference w:id="5"/>
            </w:r>
            <w:r w:rsidRPr="000E53BD">
              <w:rPr>
                <w:rFonts w:cs="Arial"/>
                <w:spacing w:val="-2"/>
                <w:lang w:val="en-GB"/>
              </w:rPr>
              <w:t>, the same as in Q1. The German economy slightly quickened (from 1.9% in Q1 to 2.1%), as well as the Polish economy (from 4.2% to 4.4%). Austria also quickened its pace (from 2.1% to 2.9%).</w:t>
            </w:r>
          </w:p>
        </w:tc>
      </w:tr>
      <w:tr w:rsidR="00DD0726" w:rsidRPr="00A6766C" w:rsidTr="002071D8">
        <w:tc>
          <w:tcPr>
            <w:tcW w:w="1007" w:type="pct"/>
          </w:tcPr>
          <w:p w:rsidR="00DD0726" w:rsidRPr="00A6766C" w:rsidRDefault="00DD0726" w:rsidP="00260FBE">
            <w:pPr>
              <w:spacing w:line="240" w:lineRule="auto"/>
              <w:jc w:val="center"/>
              <w:rPr>
                <w:rFonts w:cs="Arial"/>
                <w:szCs w:val="20"/>
              </w:rPr>
            </w:pPr>
          </w:p>
        </w:tc>
        <w:tc>
          <w:tcPr>
            <w:tcW w:w="144" w:type="pct"/>
          </w:tcPr>
          <w:p w:rsidR="00DD0726" w:rsidRPr="00A6766C" w:rsidRDefault="00DD0726" w:rsidP="00260FBE">
            <w:pPr>
              <w:pStyle w:val="Textpoznpodarou"/>
              <w:jc w:val="both"/>
              <w:rPr>
                <w:rFonts w:cs="Arial"/>
              </w:rPr>
            </w:pPr>
          </w:p>
        </w:tc>
        <w:tc>
          <w:tcPr>
            <w:tcW w:w="575" w:type="pct"/>
          </w:tcPr>
          <w:p w:rsidR="00DD0726" w:rsidRPr="00A6766C" w:rsidRDefault="007F2F76" w:rsidP="00260FBE">
            <w:pPr>
              <w:pStyle w:val="Textpoznpodarou"/>
              <w:jc w:val="both"/>
              <w:rPr>
                <w:rFonts w:cs="Arial"/>
              </w:rPr>
            </w:pPr>
            <w:r>
              <w:rPr>
                <w:rFonts w:cs="Arial"/>
                <w:lang w:eastAsia="en-US"/>
              </w:rPr>
              <w:t xml:space="preserve">Chart </w:t>
            </w:r>
            <w:r w:rsidR="00DD0726" w:rsidRPr="00A6766C">
              <w:rPr>
                <w:rFonts w:cs="Arial"/>
                <w:lang w:eastAsia="en-US"/>
              </w:rPr>
              <w:t>2</w:t>
            </w:r>
          </w:p>
        </w:tc>
        <w:tc>
          <w:tcPr>
            <w:tcW w:w="3274" w:type="pct"/>
            <w:gridSpan w:val="2"/>
          </w:tcPr>
          <w:p w:rsidR="00DD0726" w:rsidRPr="007F2F76" w:rsidRDefault="007F2F76" w:rsidP="007F2F76">
            <w:pPr>
              <w:pStyle w:val="Textpoznpodarou"/>
              <w:jc w:val="both"/>
              <w:rPr>
                <w:rFonts w:cs="Arial"/>
                <w:lang w:val="en-GB" w:eastAsia="en-US"/>
              </w:rPr>
            </w:pPr>
            <w:r w:rsidRPr="007F2F76">
              <w:rPr>
                <w:rFonts w:cs="Arial"/>
                <w:b/>
                <w:lang w:val="en-GB" w:eastAsia="en-US"/>
              </w:rPr>
              <w:t xml:space="preserve">GDP </w:t>
            </w:r>
            <w:r w:rsidR="00DD0726" w:rsidRPr="007F2F76">
              <w:rPr>
                <w:rFonts w:cs="Arial"/>
                <w:lang w:val="en-GB" w:eastAsia="en-US"/>
              </w:rPr>
              <w:t>(</w:t>
            </w:r>
            <w:r w:rsidRPr="007F2F76">
              <w:rPr>
                <w:rFonts w:cs="Arial"/>
                <w:lang w:val="en-GB" w:eastAsia="en-US"/>
              </w:rPr>
              <w:t xml:space="preserve">volume indices, adjusted for seasonal and calendar effects, year-on-year </w:t>
            </w:r>
            <w:r w:rsidR="00954C8E">
              <w:rPr>
                <w:rFonts w:cs="Arial"/>
                <w:lang w:val="en-GB" w:eastAsia="en-US"/>
              </w:rPr>
              <w:t>in %</w:t>
            </w:r>
            <w:r w:rsidR="00DD0726" w:rsidRPr="007F2F76">
              <w:rPr>
                <w:rFonts w:cs="Arial"/>
                <w:lang w:val="en-GB" w:eastAsia="en-US"/>
              </w:rPr>
              <w:t xml:space="preserve">, </w:t>
            </w:r>
            <w:r w:rsidRPr="007F2F76">
              <w:rPr>
                <w:rFonts w:cs="Arial"/>
                <w:lang w:val="en-GB" w:eastAsia="en-US"/>
              </w:rPr>
              <w:t>right axis</w:t>
            </w:r>
            <w:r w:rsidR="00DD0726" w:rsidRPr="007F2F76">
              <w:rPr>
                <w:rFonts w:cs="Arial"/>
                <w:lang w:val="en-GB" w:eastAsia="en-US"/>
              </w:rPr>
              <w:t xml:space="preserve">) </w:t>
            </w:r>
            <w:r w:rsidR="00DD0726" w:rsidRPr="007F2F76">
              <w:rPr>
                <w:rFonts w:cs="Arial"/>
                <w:b/>
                <w:lang w:val="en-GB" w:eastAsia="en-US"/>
              </w:rPr>
              <w:t>a</w:t>
            </w:r>
            <w:r w:rsidRPr="007F2F76">
              <w:rPr>
                <w:rFonts w:cs="Arial"/>
                <w:b/>
                <w:lang w:val="en-GB" w:eastAsia="en-US"/>
              </w:rPr>
              <w:t xml:space="preserve">nd confidence indicators </w:t>
            </w:r>
            <w:r w:rsidRPr="007F2F76">
              <w:rPr>
                <w:rFonts w:cs="Arial"/>
                <w:lang w:val="en-GB" w:eastAsia="en-US"/>
              </w:rPr>
              <w:t>(2</w:t>
            </w:r>
            <w:r w:rsidR="00DD0726" w:rsidRPr="007F2F76">
              <w:rPr>
                <w:rFonts w:cs="Arial"/>
                <w:lang w:val="en-GB" w:eastAsia="en-US"/>
              </w:rPr>
              <w:t>005=100, le</w:t>
            </w:r>
            <w:r w:rsidRPr="007F2F76">
              <w:rPr>
                <w:rFonts w:cs="Arial"/>
                <w:lang w:val="en-GB" w:eastAsia="en-US"/>
              </w:rPr>
              <w:t>ft axis</w:t>
            </w:r>
            <w:r w:rsidR="00DD0726" w:rsidRPr="007F2F76">
              <w:rPr>
                <w:rFonts w:cs="Arial"/>
                <w:lang w:val="en-GB" w:eastAsia="en-US"/>
              </w:rPr>
              <w:t>)</w:t>
            </w:r>
          </w:p>
        </w:tc>
      </w:tr>
      <w:tr w:rsidR="00DD0726" w:rsidRPr="00A74192" w:rsidTr="002071D8">
        <w:tc>
          <w:tcPr>
            <w:tcW w:w="1007" w:type="pct"/>
          </w:tcPr>
          <w:p w:rsidR="00DD0726" w:rsidRDefault="00DD0726" w:rsidP="00260FBE">
            <w:pPr>
              <w:spacing w:line="240" w:lineRule="auto"/>
              <w:rPr>
                <w:rFonts w:cs="Arial"/>
                <w:sz w:val="16"/>
                <w:szCs w:val="16"/>
              </w:rPr>
            </w:pPr>
          </w:p>
        </w:tc>
        <w:tc>
          <w:tcPr>
            <w:tcW w:w="144" w:type="pct"/>
          </w:tcPr>
          <w:p w:rsidR="00DD0726" w:rsidRPr="005E2AB2" w:rsidRDefault="00DD0726" w:rsidP="00260FBE">
            <w:pPr>
              <w:pStyle w:val="Textpoznpodarou"/>
              <w:jc w:val="both"/>
              <w:rPr>
                <w:rFonts w:cs="Arial"/>
              </w:rPr>
            </w:pPr>
          </w:p>
        </w:tc>
        <w:tc>
          <w:tcPr>
            <w:tcW w:w="3849" w:type="pct"/>
            <w:gridSpan w:val="3"/>
          </w:tcPr>
          <w:p w:rsidR="00DD0726" w:rsidRDefault="008C25FD" w:rsidP="00260FBE">
            <w:pPr>
              <w:pStyle w:val="Textpoznpodarou"/>
              <w:ind w:left="-94"/>
              <w:jc w:val="both"/>
              <w:rPr>
                <w:rFonts w:cs="Arial"/>
              </w:rPr>
            </w:pPr>
            <w:r w:rsidRPr="008C25FD">
              <w:rPr>
                <w:rFonts w:cs="Arial"/>
                <w:noProof/>
              </w:rPr>
              <w:drawing>
                <wp:inline distT="0" distB="0" distL="0" distR="0">
                  <wp:extent cx="4737600" cy="3553200"/>
                  <wp:effectExtent l="0" t="0" r="0"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0726" w:rsidRDefault="00351ED7" w:rsidP="00260FBE">
            <w:pPr>
              <w:pStyle w:val="Textpoznpodarou"/>
              <w:ind w:left="-94"/>
              <w:jc w:val="right"/>
              <w:rPr>
                <w:rFonts w:cs="Arial"/>
                <w:sz w:val="14"/>
                <w:szCs w:val="14"/>
              </w:rPr>
            </w:pPr>
            <w:proofErr w:type="spellStart"/>
            <w:r>
              <w:rPr>
                <w:rFonts w:cs="Arial"/>
                <w:sz w:val="14"/>
                <w:szCs w:val="14"/>
              </w:rPr>
              <w:t>Source</w:t>
            </w:r>
            <w:proofErr w:type="spellEnd"/>
            <w:r w:rsidR="00DD0726" w:rsidRPr="007841BB">
              <w:rPr>
                <w:rFonts w:cs="Arial"/>
                <w:sz w:val="14"/>
                <w:szCs w:val="14"/>
              </w:rPr>
              <w:t xml:space="preserve">: </w:t>
            </w:r>
            <w:r>
              <w:rPr>
                <w:rFonts w:cs="Arial"/>
                <w:sz w:val="14"/>
                <w:szCs w:val="14"/>
              </w:rPr>
              <w:t>CZSO</w:t>
            </w:r>
          </w:p>
          <w:p w:rsidR="0020200D" w:rsidRPr="000125F0" w:rsidRDefault="0020200D" w:rsidP="00260FBE">
            <w:pPr>
              <w:pStyle w:val="Textpoznpodarou"/>
              <w:ind w:left="-94"/>
              <w:jc w:val="right"/>
              <w:rPr>
                <w:rFonts w:cs="Arial"/>
              </w:rPr>
            </w:pPr>
          </w:p>
        </w:tc>
      </w:tr>
      <w:tr w:rsidR="00DD0726" w:rsidRPr="00A74192" w:rsidTr="002071D8">
        <w:tc>
          <w:tcPr>
            <w:tcW w:w="1007" w:type="pct"/>
          </w:tcPr>
          <w:p w:rsidR="00DD0726" w:rsidRPr="00200E9C" w:rsidRDefault="00200E9C" w:rsidP="00260FBE">
            <w:pPr>
              <w:spacing w:line="240" w:lineRule="auto"/>
              <w:rPr>
                <w:rFonts w:cs="Arial"/>
                <w:sz w:val="16"/>
                <w:szCs w:val="16"/>
                <w:lang w:val="en-GB"/>
              </w:rPr>
            </w:pPr>
            <w:r w:rsidRPr="00200E9C">
              <w:rPr>
                <w:rFonts w:cs="Arial"/>
                <w:sz w:val="16"/>
                <w:szCs w:val="16"/>
                <w:lang w:val="en-GB"/>
              </w:rPr>
              <w:t xml:space="preserve">GDP growth was supported by all its components. </w:t>
            </w:r>
          </w:p>
        </w:tc>
        <w:tc>
          <w:tcPr>
            <w:tcW w:w="144" w:type="pct"/>
          </w:tcPr>
          <w:p w:rsidR="00DD0726" w:rsidRPr="00200E9C" w:rsidRDefault="00DD0726" w:rsidP="00260FBE">
            <w:pPr>
              <w:pStyle w:val="Textpoznpodarou"/>
              <w:jc w:val="both"/>
              <w:rPr>
                <w:rFonts w:cs="Arial"/>
                <w:lang w:val="en-GB"/>
              </w:rPr>
            </w:pPr>
          </w:p>
        </w:tc>
        <w:tc>
          <w:tcPr>
            <w:tcW w:w="3849" w:type="pct"/>
            <w:gridSpan w:val="3"/>
          </w:tcPr>
          <w:p w:rsidR="00DD0726" w:rsidRPr="00200E9C" w:rsidRDefault="00200E9C" w:rsidP="00260FBE">
            <w:pPr>
              <w:pStyle w:val="Textpoznpodarou"/>
              <w:jc w:val="both"/>
              <w:rPr>
                <w:rFonts w:cs="Arial"/>
                <w:sz w:val="16"/>
                <w:szCs w:val="16"/>
                <w:lang w:val="en-GB"/>
              </w:rPr>
            </w:pPr>
            <w:r>
              <w:rPr>
                <w:rFonts w:cs="Arial"/>
                <w:lang w:val="en-GB"/>
              </w:rPr>
              <w:t xml:space="preserve">All the GDP components participated on its year-on-year growth in Q2 </w:t>
            </w:r>
            <w:r w:rsidR="00DD0726" w:rsidRPr="00200E9C">
              <w:rPr>
                <w:rFonts w:cs="Arial"/>
                <w:lang w:val="en-GB"/>
              </w:rPr>
              <w:t>2017</w:t>
            </w:r>
            <w:r>
              <w:rPr>
                <w:rFonts w:cs="Arial"/>
                <w:lang w:val="en-GB"/>
              </w:rPr>
              <w:t>. Expenditure on gross fixed capital formation played an important role in the acceleration of the year-on-year dynamics. It contributed to the GDP growth 1.7 p. p.</w:t>
            </w:r>
            <w:r w:rsidR="00DD0726" w:rsidRPr="00200E9C">
              <w:rPr>
                <w:rStyle w:val="Znakapoznpodarou"/>
                <w:lang w:val="en-GB"/>
              </w:rPr>
              <w:footnoteReference w:id="6"/>
            </w:r>
            <w:r w:rsidR="00DD0726" w:rsidRPr="00200E9C">
              <w:rPr>
                <w:rFonts w:cs="Arial"/>
                <w:lang w:val="en-GB"/>
              </w:rPr>
              <w:t xml:space="preserve">, </w:t>
            </w:r>
            <w:r>
              <w:rPr>
                <w:rFonts w:cs="Arial"/>
                <w:lang w:val="en-GB"/>
              </w:rPr>
              <w:t xml:space="preserve">which is the most since Q4 </w:t>
            </w:r>
            <w:r w:rsidR="00DD0726" w:rsidRPr="00200E9C">
              <w:rPr>
                <w:rFonts w:cs="Arial"/>
                <w:lang w:val="en-GB"/>
              </w:rPr>
              <w:t xml:space="preserve">2015. </w:t>
            </w:r>
            <w:r w:rsidR="00BC31F8">
              <w:rPr>
                <w:rFonts w:cs="Arial"/>
                <w:lang w:val="en-GB"/>
              </w:rPr>
              <w:t xml:space="preserve">The addition of the </w:t>
            </w:r>
            <w:r w:rsidR="0041685D">
              <w:rPr>
                <w:rFonts w:cs="Arial"/>
                <w:lang w:val="en-GB"/>
              </w:rPr>
              <w:t xml:space="preserve">final consumption expenditure however also mildly increased, it has been the stable basis of the economic growth since the end of year 2014. </w:t>
            </w:r>
            <w:r w:rsidR="00796889">
              <w:rPr>
                <w:rFonts w:cs="Arial"/>
                <w:lang w:val="en-GB"/>
              </w:rPr>
              <w:t xml:space="preserve">Household consumption, which contributed 1.5 p. p. </w:t>
            </w:r>
            <w:proofErr w:type="gramStart"/>
            <w:r w:rsidR="00796889">
              <w:rPr>
                <w:rFonts w:cs="Arial"/>
                <w:lang w:val="en-GB"/>
              </w:rPr>
              <w:t>again</w:t>
            </w:r>
            <w:proofErr w:type="gramEnd"/>
            <w:r w:rsidR="00796889">
              <w:rPr>
                <w:rFonts w:cs="Arial"/>
                <w:lang w:val="en-GB"/>
              </w:rPr>
              <w:t xml:space="preserve"> had a more significant effect. The addition of the government institutions consumption arrived at 0.3 p. p. </w:t>
            </w:r>
            <w:r w:rsidR="00632886">
              <w:rPr>
                <w:rFonts w:cs="Arial"/>
                <w:lang w:val="en-GB"/>
              </w:rPr>
              <w:t>The strong growth of the foreign demand, which led to the contribution of the foreign trade balance to the GDP in the size of 2.1 p. p., also continued in Q</w:t>
            </w:r>
            <w:r w:rsidR="00DD0726" w:rsidRPr="00200E9C">
              <w:rPr>
                <w:rFonts w:cs="Arial"/>
                <w:lang w:val="en-GB"/>
              </w:rPr>
              <w:t>2</w:t>
            </w:r>
            <w:r w:rsidR="00632886">
              <w:rPr>
                <w:rFonts w:cs="Arial"/>
                <w:lang w:val="en-GB"/>
              </w:rPr>
              <w:t>.</w:t>
            </w:r>
          </w:p>
          <w:p w:rsidR="00DD0726" w:rsidRPr="00200E9C" w:rsidRDefault="00DD0726" w:rsidP="00260FBE">
            <w:pPr>
              <w:pStyle w:val="Textpoznpodarou"/>
              <w:jc w:val="both"/>
              <w:rPr>
                <w:rFonts w:cs="Arial"/>
                <w:sz w:val="16"/>
                <w:szCs w:val="16"/>
                <w:highlight w:val="yellow"/>
                <w:lang w:val="en-GB"/>
              </w:rPr>
            </w:pPr>
          </w:p>
        </w:tc>
      </w:tr>
      <w:tr w:rsidR="00DD0726" w:rsidRPr="00A6766C" w:rsidTr="002071D8">
        <w:tc>
          <w:tcPr>
            <w:tcW w:w="1007" w:type="pct"/>
          </w:tcPr>
          <w:p w:rsidR="00DD0726" w:rsidRPr="00C559F1" w:rsidRDefault="00C559F1" w:rsidP="00260FBE">
            <w:pPr>
              <w:spacing w:line="240" w:lineRule="auto"/>
              <w:rPr>
                <w:rFonts w:cs="Arial"/>
                <w:sz w:val="16"/>
                <w:szCs w:val="16"/>
                <w:lang w:val="en-GB"/>
              </w:rPr>
            </w:pPr>
            <w:r w:rsidRPr="00C559F1">
              <w:rPr>
                <w:rFonts w:cs="Arial"/>
                <w:sz w:val="16"/>
                <w:szCs w:val="16"/>
                <w:lang w:val="en-GB"/>
              </w:rPr>
              <w:t>Growth of the household consumption significantly quickened</w:t>
            </w:r>
            <w:r>
              <w:rPr>
                <w:rFonts w:cs="Arial"/>
                <w:sz w:val="16"/>
                <w:szCs w:val="16"/>
                <w:lang w:val="en-GB"/>
              </w:rPr>
              <w:t xml:space="preserve">, </w:t>
            </w:r>
            <w:r>
              <w:rPr>
                <w:rFonts w:cs="Arial"/>
                <w:sz w:val="16"/>
                <w:szCs w:val="16"/>
                <w:lang w:val="en-GB"/>
              </w:rPr>
              <w:lastRenderedPageBreak/>
              <w:t>…</w:t>
            </w:r>
          </w:p>
        </w:tc>
        <w:tc>
          <w:tcPr>
            <w:tcW w:w="144" w:type="pct"/>
          </w:tcPr>
          <w:p w:rsidR="00DD0726" w:rsidRPr="00C559F1" w:rsidRDefault="00DD0726" w:rsidP="00260FBE">
            <w:pPr>
              <w:pStyle w:val="Textpoznpodarou"/>
              <w:jc w:val="both"/>
              <w:rPr>
                <w:rFonts w:cs="Arial"/>
                <w:lang w:val="en-GB"/>
              </w:rPr>
            </w:pPr>
          </w:p>
        </w:tc>
        <w:tc>
          <w:tcPr>
            <w:tcW w:w="3849" w:type="pct"/>
            <w:gridSpan w:val="3"/>
          </w:tcPr>
          <w:p w:rsidR="00DD0726" w:rsidRPr="00C559F1" w:rsidRDefault="00C559F1" w:rsidP="00260FBE">
            <w:pPr>
              <w:pStyle w:val="Textpoznpodarou"/>
              <w:jc w:val="both"/>
              <w:rPr>
                <w:rFonts w:cs="Arial"/>
                <w:sz w:val="16"/>
                <w:szCs w:val="16"/>
                <w:lang w:val="en-GB"/>
              </w:rPr>
            </w:pPr>
            <w:r>
              <w:rPr>
                <w:rFonts w:cs="Arial"/>
                <w:lang w:val="en-GB"/>
              </w:rPr>
              <w:t xml:space="preserve">Year-on-year growth of the household final consumption expenditure increased its pace in Q2 and reached </w:t>
            </w:r>
            <w:r w:rsidR="00DD0726" w:rsidRPr="00C559F1">
              <w:rPr>
                <w:rFonts w:cs="Arial"/>
                <w:lang w:val="en-GB"/>
              </w:rPr>
              <w:t>4</w:t>
            </w:r>
            <w:r>
              <w:rPr>
                <w:rFonts w:cs="Arial"/>
                <w:lang w:val="en-GB"/>
              </w:rPr>
              <w:t>.</w:t>
            </w:r>
            <w:r w:rsidR="00DD0726" w:rsidRPr="00C559F1">
              <w:rPr>
                <w:rFonts w:cs="Arial"/>
                <w:lang w:val="en-GB"/>
              </w:rPr>
              <w:t>4</w:t>
            </w:r>
            <w:r w:rsidR="00954C8E">
              <w:rPr>
                <w:rFonts w:cs="Arial"/>
                <w:lang w:val="en-GB"/>
              </w:rPr>
              <w:t>%</w:t>
            </w:r>
            <w:r w:rsidR="00DD0726" w:rsidRPr="00C559F1">
              <w:rPr>
                <w:rFonts w:cs="Arial"/>
                <w:lang w:val="en-GB"/>
              </w:rPr>
              <w:t xml:space="preserve">. </w:t>
            </w:r>
            <w:r>
              <w:rPr>
                <w:rFonts w:cs="Arial"/>
                <w:lang w:val="en-GB"/>
              </w:rPr>
              <w:t xml:space="preserve">It is the largest value since the beginning of year </w:t>
            </w:r>
            <w:r w:rsidR="00DD0726" w:rsidRPr="00C559F1">
              <w:rPr>
                <w:rFonts w:cs="Arial"/>
                <w:lang w:val="en-GB"/>
              </w:rPr>
              <w:t xml:space="preserve">2007. </w:t>
            </w:r>
            <w:r>
              <w:rPr>
                <w:rFonts w:cs="Arial"/>
                <w:lang w:val="en-GB"/>
              </w:rPr>
              <w:t xml:space="preserve">Only the dynamics at the turn of years 2015 and 2016 approaches it in the </w:t>
            </w:r>
            <w:r>
              <w:rPr>
                <w:rFonts w:cs="Arial"/>
                <w:lang w:val="en-GB"/>
              </w:rPr>
              <w:lastRenderedPageBreak/>
              <w:t xml:space="preserve">last five years. </w:t>
            </w:r>
            <w:r w:rsidR="00555B84">
              <w:rPr>
                <w:rFonts w:cs="Arial"/>
                <w:lang w:val="en-GB"/>
              </w:rPr>
              <w:t xml:space="preserve">The acceleration of the quarter-on-quarter dynamics also has not been negligible. </w:t>
            </w:r>
            <w:r w:rsidR="00063C6C">
              <w:rPr>
                <w:rFonts w:cs="Arial"/>
                <w:lang w:val="en-GB"/>
              </w:rPr>
              <w:t xml:space="preserve">Contribution </w:t>
            </w:r>
            <w:r w:rsidR="00EF67A9">
              <w:rPr>
                <w:rFonts w:cs="Arial"/>
                <w:lang w:val="en-GB"/>
              </w:rPr>
              <w:t xml:space="preserve">of </w:t>
            </w:r>
            <w:r w:rsidR="00DD0726" w:rsidRPr="00C559F1">
              <w:rPr>
                <w:rFonts w:cs="Arial"/>
                <w:lang w:val="en-GB"/>
              </w:rPr>
              <w:t>1</w:t>
            </w:r>
            <w:r w:rsidR="00EF67A9">
              <w:rPr>
                <w:rFonts w:cs="Arial"/>
                <w:lang w:val="en-GB"/>
              </w:rPr>
              <w:t>.</w:t>
            </w:r>
            <w:r w:rsidR="00DD0726" w:rsidRPr="00C559F1">
              <w:rPr>
                <w:rFonts w:cs="Arial"/>
                <w:lang w:val="en-GB"/>
              </w:rPr>
              <w:t>8</w:t>
            </w:r>
            <w:r w:rsidR="00954C8E">
              <w:rPr>
                <w:rFonts w:cs="Arial"/>
                <w:lang w:val="en-GB"/>
              </w:rPr>
              <w:t>%</w:t>
            </w:r>
            <w:r w:rsidR="00DD0726" w:rsidRPr="00C559F1">
              <w:rPr>
                <w:rFonts w:cs="Arial"/>
                <w:lang w:val="en-GB"/>
              </w:rPr>
              <w:t xml:space="preserve"> </w:t>
            </w:r>
            <w:r w:rsidR="00EF67A9">
              <w:rPr>
                <w:rFonts w:cs="Arial"/>
                <w:lang w:val="en-GB"/>
              </w:rPr>
              <w:t>was twice as large as in the preceding quarter. It was also the largest since Q</w:t>
            </w:r>
            <w:r w:rsidR="00DD0726" w:rsidRPr="00C559F1">
              <w:rPr>
                <w:rFonts w:cs="Arial"/>
                <w:lang w:val="en-GB"/>
              </w:rPr>
              <w:t>2</w:t>
            </w:r>
            <w:r w:rsidR="00EF67A9">
              <w:rPr>
                <w:rFonts w:cs="Arial"/>
                <w:lang w:val="en-GB"/>
              </w:rPr>
              <w:t xml:space="preserve"> </w:t>
            </w:r>
            <w:r w:rsidR="00DD0726" w:rsidRPr="00C559F1">
              <w:rPr>
                <w:rFonts w:cs="Arial"/>
                <w:lang w:val="en-GB"/>
              </w:rPr>
              <w:t xml:space="preserve">2008. </w:t>
            </w:r>
            <w:r w:rsidR="00426C1F">
              <w:rPr>
                <w:rFonts w:cs="Arial"/>
                <w:lang w:val="en-GB"/>
              </w:rPr>
              <w:t xml:space="preserve">All segments of consumption grew strongly year-on-year. Expenditure </w:t>
            </w:r>
            <w:r w:rsidR="00A66264">
              <w:rPr>
                <w:rFonts w:cs="Arial"/>
                <w:lang w:val="en-GB"/>
              </w:rPr>
              <w:t>on durable goods increased by 5.7</w:t>
            </w:r>
            <w:r w:rsidR="00954C8E">
              <w:rPr>
                <w:rFonts w:cs="Arial"/>
                <w:lang w:val="en-GB"/>
              </w:rPr>
              <w:t>%</w:t>
            </w:r>
            <w:r w:rsidR="00A66264">
              <w:rPr>
                <w:rFonts w:cs="Arial"/>
                <w:lang w:val="en-GB"/>
              </w:rPr>
              <w:t xml:space="preserve">, in case of goods of medium term consumption by </w:t>
            </w:r>
            <w:r w:rsidR="00DD0726" w:rsidRPr="00C559F1">
              <w:rPr>
                <w:rFonts w:cs="Arial"/>
                <w:lang w:val="en-GB"/>
              </w:rPr>
              <w:t>6</w:t>
            </w:r>
            <w:r w:rsidR="00A66264">
              <w:rPr>
                <w:rFonts w:cs="Arial"/>
                <w:lang w:val="en-GB"/>
              </w:rPr>
              <w:t>.</w:t>
            </w:r>
            <w:r w:rsidR="00DD0726" w:rsidRPr="00C559F1">
              <w:rPr>
                <w:rFonts w:cs="Arial"/>
                <w:lang w:val="en-GB"/>
              </w:rPr>
              <w:t>8</w:t>
            </w:r>
            <w:r w:rsidR="00954C8E">
              <w:rPr>
                <w:rFonts w:cs="Arial"/>
                <w:lang w:val="en-GB"/>
              </w:rPr>
              <w:t>%</w:t>
            </w:r>
            <w:r w:rsidR="00DD0726" w:rsidRPr="00C559F1">
              <w:rPr>
                <w:rFonts w:cs="Arial"/>
                <w:lang w:val="en-GB"/>
              </w:rPr>
              <w:t xml:space="preserve">. </w:t>
            </w:r>
            <w:r w:rsidR="00405801">
              <w:rPr>
                <w:rFonts w:cs="Arial"/>
                <w:lang w:val="en-GB"/>
              </w:rPr>
              <w:t>Short te</w:t>
            </w:r>
            <w:r w:rsidR="00E81E1E">
              <w:rPr>
                <w:rFonts w:cs="Arial"/>
                <w:lang w:val="en-GB"/>
              </w:rPr>
              <w:t>r</w:t>
            </w:r>
            <w:r w:rsidR="00405801">
              <w:rPr>
                <w:rFonts w:cs="Arial"/>
                <w:lang w:val="en-GB"/>
              </w:rPr>
              <w:t xml:space="preserve">m consumption goods, which usually feature milder dynamics, increased by </w:t>
            </w:r>
            <w:r w:rsidR="00DD0726" w:rsidRPr="00C559F1">
              <w:rPr>
                <w:rFonts w:cs="Arial"/>
                <w:lang w:val="en-GB"/>
              </w:rPr>
              <w:t>3</w:t>
            </w:r>
            <w:r w:rsidR="00E81E1E">
              <w:rPr>
                <w:rFonts w:cs="Arial"/>
                <w:lang w:val="en-GB"/>
              </w:rPr>
              <w:t>.</w:t>
            </w:r>
            <w:r w:rsidR="00DD0726" w:rsidRPr="00C559F1">
              <w:rPr>
                <w:rFonts w:cs="Arial"/>
                <w:lang w:val="en-GB"/>
              </w:rPr>
              <w:t>6</w:t>
            </w:r>
            <w:r w:rsidR="00954C8E">
              <w:rPr>
                <w:rFonts w:cs="Arial"/>
                <w:lang w:val="en-GB"/>
              </w:rPr>
              <w:t>%</w:t>
            </w:r>
            <w:r w:rsidR="00DD0726" w:rsidRPr="00C559F1">
              <w:rPr>
                <w:rFonts w:cs="Arial"/>
                <w:lang w:val="en-GB"/>
              </w:rPr>
              <w:t xml:space="preserve">. </w:t>
            </w:r>
            <w:r w:rsidR="00E81E1E">
              <w:rPr>
                <w:rFonts w:cs="Arial"/>
                <w:lang w:val="en-GB"/>
              </w:rPr>
              <w:t xml:space="preserve">Growing purchasing power of households was reflected in the growth of the expenditure on services, which increased to </w:t>
            </w:r>
            <w:r w:rsidR="00DD0726" w:rsidRPr="00C559F1">
              <w:rPr>
                <w:rFonts w:cs="Arial"/>
                <w:lang w:val="en-GB"/>
              </w:rPr>
              <w:t>3</w:t>
            </w:r>
            <w:r w:rsidR="00E81E1E">
              <w:rPr>
                <w:rFonts w:cs="Arial"/>
                <w:lang w:val="en-GB"/>
              </w:rPr>
              <w:t>.</w:t>
            </w:r>
            <w:r w:rsidR="00DD0726" w:rsidRPr="00C559F1">
              <w:rPr>
                <w:rFonts w:cs="Arial"/>
                <w:lang w:val="en-GB"/>
              </w:rPr>
              <w:t>1</w:t>
            </w:r>
            <w:r w:rsidR="00954C8E">
              <w:rPr>
                <w:rFonts w:cs="Arial"/>
                <w:lang w:val="en-GB"/>
              </w:rPr>
              <w:t>%</w:t>
            </w:r>
            <w:r w:rsidR="00DD0726" w:rsidRPr="00C559F1">
              <w:rPr>
                <w:rFonts w:cs="Arial"/>
                <w:lang w:val="en-GB"/>
              </w:rPr>
              <w:t xml:space="preserve">. </w:t>
            </w:r>
            <w:r w:rsidR="00E81E1E">
              <w:rPr>
                <w:rFonts w:cs="Arial"/>
                <w:lang w:val="en-GB"/>
              </w:rPr>
              <w:t>Year-on-year growth of the final consumption expenditure of government institutions slowed down by 0.5 p. p. compared to the previous quarter and attained 1.9</w:t>
            </w:r>
            <w:r w:rsidR="00954C8E">
              <w:rPr>
                <w:rFonts w:cs="Arial"/>
                <w:lang w:val="en-GB"/>
              </w:rPr>
              <w:t>%</w:t>
            </w:r>
            <w:r w:rsidR="00E81E1E">
              <w:rPr>
                <w:rFonts w:cs="Arial"/>
                <w:lang w:val="en-GB"/>
              </w:rPr>
              <w:t>. Growth of the government consumption thus remains at the level of the last year. The quarter-on-quarter dynamics did not bring any significant fluctuations either. Consumption of government institutions increased by 0.4</w:t>
            </w:r>
            <w:r w:rsidR="00954C8E">
              <w:rPr>
                <w:rFonts w:cs="Arial"/>
                <w:lang w:val="en-GB"/>
              </w:rPr>
              <w:t>%</w:t>
            </w:r>
            <w:r w:rsidR="00E81E1E">
              <w:rPr>
                <w:rFonts w:cs="Arial"/>
                <w:lang w:val="en-GB"/>
              </w:rPr>
              <w:t xml:space="preserve"> in Q2, slightly more than in the preceding quarter. </w:t>
            </w:r>
          </w:p>
          <w:p w:rsidR="00DD0726" w:rsidRPr="00C559F1" w:rsidRDefault="00DD0726" w:rsidP="00260FBE">
            <w:pPr>
              <w:pStyle w:val="Textpoznpodarou"/>
              <w:jc w:val="both"/>
              <w:rPr>
                <w:rFonts w:cs="Arial"/>
                <w:sz w:val="16"/>
                <w:szCs w:val="16"/>
                <w:lang w:val="en-GB"/>
              </w:rPr>
            </w:pPr>
          </w:p>
        </w:tc>
      </w:tr>
      <w:tr w:rsidR="002071D8" w:rsidRPr="00A74192" w:rsidTr="002071D8">
        <w:tc>
          <w:tcPr>
            <w:tcW w:w="1007" w:type="pct"/>
          </w:tcPr>
          <w:p w:rsidR="002071D8" w:rsidRPr="000112ED" w:rsidRDefault="002071D8" w:rsidP="00260FBE">
            <w:pPr>
              <w:spacing w:line="240" w:lineRule="auto"/>
              <w:rPr>
                <w:rFonts w:cs="Arial"/>
                <w:sz w:val="16"/>
                <w:szCs w:val="16"/>
                <w:lang w:val="en-GB"/>
              </w:rPr>
            </w:pPr>
          </w:p>
        </w:tc>
        <w:tc>
          <w:tcPr>
            <w:tcW w:w="144" w:type="pct"/>
          </w:tcPr>
          <w:p w:rsidR="002071D8" w:rsidRPr="000112ED" w:rsidRDefault="002071D8" w:rsidP="00260FBE">
            <w:pPr>
              <w:pStyle w:val="Textpoznpodarou"/>
              <w:jc w:val="both"/>
              <w:rPr>
                <w:rFonts w:cs="Arial"/>
                <w:lang w:val="en-GB"/>
              </w:rPr>
            </w:pPr>
          </w:p>
        </w:tc>
        <w:tc>
          <w:tcPr>
            <w:tcW w:w="575" w:type="pct"/>
          </w:tcPr>
          <w:p w:rsidR="002071D8" w:rsidRDefault="002071D8" w:rsidP="00260FBE">
            <w:pPr>
              <w:pStyle w:val="Textpoznpodarou"/>
              <w:jc w:val="both"/>
              <w:rPr>
                <w:rFonts w:cs="Arial"/>
                <w:lang w:val="en-GB"/>
              </w:rPr>
            </w:pPr>
            <w:r w:rsidRPr="000112ED">
              <w:rPr>
                <w:rFonts w:cs="Arial"/>
                <w:lang w:val="en-GB" w:eastAsia="en-US"/>
              </w:rPr>
              <w:t>Chart 3</w:t>
            </w:r>
          </w:p>
        </w:tc>
        <w:tc>
          <w:tcPr>
            <w:tcW w:w="3274" w:type="pct"/>
            <w:gridSpan w:val="2"/>
          </w:tcPr>
          <w:p w:rsidR="002071D8" w:rsidRDefault="002071D8" w:rsidP="00260FBE">
            <w:pPr>
              <w:pStyle w:val="Textpoznpodarou"/>
              <w:jc w:val="both"/>
              <w:rPr>
                <w:rFonts w:cs="Arial"/>
                <w:lang w:val="en-GB"/>
              </w:rPr>
            </w:pPr>
            <w:r w:rsidRPr="006515D6">
              <w:rPr>
                <w:b/>
                <w:spacing w:val="-6"/>
                <w:lang w:val="en-GB" w:eastAsia="en-US"/>
              </w:rPr>
              <w:t xml:space="preserve">Contributions of expenditure items to </w:t>
            </w:r>
            <w:r>
              <w:rPr>
                <w:b/>
                <w:spacing w:val="-6"/>
                <w:lang w:val="en-GB" w:eastAsia="en-US"/>
              </w:rPr>
              <w:t xml:space="preserve">real </w:t>
            </w:r>
            <w:r w:rsidRPr="006515D6">
              <w:rPr>
                <w:b/>
                <w:spacing w:val="-6"/>
                <w:lang w:val="en-GB" w:eastAsia="en-US"/>
              </w:rPr>
              <w:t>GDP change</w:t>
            </w:r>
            <w:r w:rsidRPr="000112ED">
              <w:rPr>
                <w:rFonts w:cs="Arial"/>
                <w:b/>
                <w:lang w:val="en-GB" w:eastAsia="en-US"/>
              </w:rPr>
              <w:t xml:space="preserve"> *</w:t>
            </w:r>
            <w:r w:rsidRPr="000112ED">
              <w:rPr>
                <w:rFonts w:cs="Arial"/>
                <w:lang w:val="en-GB" w:eastAsia="en-US"/>
              </w:rPr>
              <w:t xml:space="preserve"> (volume indices, year-on-year growth, contributions in p. p., GDP </w:t>
            </w:r>
            <w:r>
              <w:rPr>
                <w:rFonts w:cs="Arial"/>
                <w:lang w:val="en-GB" w:eastAsia="en-US"/>
              </w:rPr>
              <w:t>in %</w:t>
            </w:r>
            <w:r w:rsidRPr="000112ED">
              <w:rPr>
                <w:rFonts w:cs="Arial"/>
                <w:lang w:val="en-GB" w:eastAsia="en-US"/>
              </w:rPr>
              <w:t>)</w:t>
            </w:r>
          </w:p>
        </w:tc>
      </w:tr>
      <w:tr w:rsidR="002071D8" w:rsidRPr="00A74192" w:rsidTr="002071D8">
        <w:tc>
          <w:tcPr>
            <w:tcW w:w="1007" w:type="pct"/>
          </w:tcPr>
          <w:p w:rsidR="002071D8" w:rsidRPr="000112ED" w:rsidRDefault="002071D8" w:rsidP="00260FBE">
            <w:pPr>
              <w:spacing w:line="240" w:lineRule="auto"/>
              <w:rPr>
                <w:rFonts w:cs="Arial"/>
                <w:sz w:val="16"/>
                <w:szCs w:val="16"/>
                <w:lang w:val="en-GB"/>
              </w:rPr>
            </w:pPr>
          </w:p>
        </w:tc>
        <w:tc>
          <w:tcPr>
            <w:tcW w:w="144" w:type="pct"/>
          </w:tcPr>
          <w:p w:rsidR="002071D8" w:rsidRPr="000112ED" w:rsidRDefault="002071D8" w:rsidP="00260FBE">
            <w:pPr>
              <w:pStyle w:val="Textpoznpodarou"/>
              <w:jc w:val="both"/>
              <w:rPr>
                <w:rFonts w:cs="Arial"/>
                <w:lang w:val="en-GB"/>
              </w:rPr>
            </w:pPr>
          </w:p>
        </w:tc>
        <w:tc>
          <w:tcPr>
            <w:tcW w:w="3849" w:type="pct"/>
            <w:gridSpan w:val="3"/>
          </w:tcPr>
          <w:p w:rsidR="002071D8" w:rsidRDefault="002071D8" w:rsidP="00260FBE">
            <w:pPr>
              <w:pStyle w:val="Textpoznpodarou"/>
              <w:jc w:val="both"/>
              <w:rPr>
                <w:rFonts w:cs="Arial"/>
                <w:lang w:val="en-GB"/>
              </w:rPr>
            </w:pPr>
            <w:r w:rsidRPr="002071D8">
              <w:rPr>
                <w:rFonts w:cs="Arial"/>
                <w:noProof/>
              </w:rPr>
              <w:drawing>
                <wp:inline distT="0" distB="0" distL="0" distR="0">
                  <wp:extent cx="4737600" cy="3553200"/>
                  <wp:effectExtent l="0" t="0" r="0" b="0"/>
                  <wp:docPr id="2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2071D8" w:rsidRPr="00A74192" w:rsidTr="002071D8">
        <w:tc>
          <w:tcPr>
            <w:tcW w:w="1007" w:type="pct"/>
          </w:tcPr>
          <w:p w:rsidR="002071D8" w:rsidRPr="000112ED" w:rsidRDefault="002071D8" w:rsidP="00260FBE">
            <w:pPr>
              <w:spacing w:line="240" w:lineRule="auto"/>
              <w:rPr>
                <w:rFonts w:cs="Arial"/>
                <w:sz w:val="16"/>
                <w:szCs w:val="16"/>
                <w:lang w:val="en-GB"/>
              </w:rPr>
            </w:pPr>
          </w:p>
        </w:tc>
        <w:tc>
          <w:tcPr>
            <w:tcW w:w="144" w:type="pct"/>
          </w:tcPr>
          <w:p w:rsidR="002071D8" w:rsidRPr="000112ED" w:rsidRDefault="002071D8" w:rsidP="00260FBE">
            <w:pPr>
              <w:pStyle w:val="Textpoznpodarou"/>
              <w:jc w:val="both"/>
              <w:rPr>
                <w:rFonts w:cs="Arial"/>
                <w:lang w:val="en-GB"/>
              </w:rPr>
            </w:pPr>
          </w:p>
        </w:tc>
        <w:tc>
          <w:tcPr>
            <w:tcW w:w="3093" w:type="pct"/>
            <w:gridSpan w:val="2"/>
          </w:tcPr>
          <w:p w:rsidR="002071D8" w:rsidRPr="002071D8" w:rsidRDefault="002071D8" w:rsidP="00260FBE">
            <w:pPr>
              <w:pStyle w:val="Textpoznpodarou"/>
              <w:jc w:val="both"/>
              <w:rPr>
                <w:rFonts w:cs="Arial"/>
                <w:lang w:val="en-GB"/>
              </w:rPr>
            </w:pPr>
            <w:r>
              <w:rPr>
                <w:rFonts w:cs="Arial"/>
                <w:sz w:val="14"/>
                <w:szCs w:val="14"/>
                <w:lang w:eastAsia="en-US"/>
              </w:rPr>
              <w:t>*</w:t>
            </w:r>
            <w:r w:rsidRPr="00805287">
              <w:rPr>
                <w:rFonts w:cs="Arial"/>
                <w:sz w:val="14"/>
                <w:szCs w:val="14"/>
                <w:lang w:val="en-GB" w:eastAsia="en-US"/>
              </w:rPr>
              <w:t>Contributions to GDP change after exclusion of imports for final use.</w:t>
            </w:r>
          </w:p>
        </w:tc>
        <w:tc>
          <w:tcPr>
            <w:tcW w:w="756" w:type="pct"/>
          </w:tcPr>
          <w:p w:rsidR="002071D8" w:rsidRDefault="002071D8" w:rsidP="002071D8">
            <w:pPr>
              <w:pStyle w:val="Textpoznpodarou"/>
              <w:jc w:val="center"/>
              <w:rPr>
                <w:rFonts w:cs="Arial"/>
                <w:sz w:val="14"/>
                <w:szCs w:val="14"/>
              </w:rPr>
            </w:pPr>
            <w:proofErr w:type="spellStart"/>
            <w:r>
              <w:rPr>
                <w:rFonts w:cs="Arial"/>
                <w:sz w:val="14"/>
                <w:szCs w:val="14"/>
              </w:rPr>
              <w:t>Source</w:t>
            </w:r>
            <w:proofErr w:type="spellEnd"/>
            <w:r w:rsidRPr="007841BB">
              <w:rPr>
                <w:rFonts w:cs="Arial"/>
                <w:sz w:val="14"/>
                <w:szCs w:val="14"/>
              </w:rPr>
              <w:t xml:space="preserve">: </w:t>
            </w:r>
            <w:r>
              <w:rPr>
                <w:rFonts w:cs="Arial"/>
                <w:sz w:val="14"/>
                <w:szCs w:val="14"/>
              </w:rPr>
              <w:t>CZSO</w:t>
            </w:r>
          </w:p>
          <w:p w:rsidR="002071D8" w:rsidRPr="002071D8" w:rsidRDefault="002071D8" w:rsidP="00260FBE">
            <w:pPr>
              <w:pStyle w:val="Textpoznpodarou"/>
              <w:jc w:val="both"/>
              <w:rPr>
                <w:rFonts w:cs="Arial"/>
                <w:lang w:val="en-GB"/>
              </w:rPr>
            </w:pPr>
          </w:p>
        </w:tc>
      </w:tr>
      <w:tr w:rsidR="002071D8" w:rsidRPr="00A74192" w:rsidTr="002071D8">
        <w:tc>
          <w:tcPr>
            <w:tcW w:w="1007" w:type="pct"/>
          </w:tcPr>
          <w:p w:rsidR="002071D8" w:rsidRPr="000112ED" w:rsidRDefault="002071D8" w:rsidP="00260FBE">
            <w:pPr>
              <w:spacing w:line="240" w:lineRule="auto"/>
              <w:rPr>
                <w:rFonts w:cs="Arial"/>
                <w:sz w:val="16"/>
                <w:szCs w:val="16"/>
                <w:lang w:val="en-GB"/>
              </w:rPr>
            </w:pPr>
            <w:r w:rsidRPr="000112ED">
              <w:rPr>
                <w:rFonts w:cs="Arial"/>
                <w:sz w:val="16"/>
                <w:szCs w:val="16"/>
                <w:lang w:val="en-GB"/>
              </w:rPr>
              <w:t xml:space="preserve">…supported by strong </w:t>
            </w:r>
            <w:proofErr w:type="gramStart"/>
            <w:r w:rsidRPr="000112ED">
              <w:rPr>
                <w:rFonts w:cs="Arial"/>
                <w:sz w:val="16"/>
                <w:szCs w:val="16"/>
                <w:lang w:val="en-GB"/>
              </w:rPr>
              <w:t>raising</w:t>
            </w:r>
            <w:proofErr w:type="gramEnd"/>
            <w:r w:rsidRPr="000112ED">
              <w:rPr>
                <w:rFonts w:cs="Arial"/>
                <w:sz w:val="16"/>
                <w:szCs w:val="16"/>
                <w:lang w:val="en-GB"/>
              </w:rPr>
              <w:t xml:space="preserve"> of salaries and wages. </w:t>
            </w:r>
          </w:p>
        </w:tc>
        <w:tc>
          <w:tcPr>
            <w:tcW w:w="144" w:type="pct"/>
          </w:tcPr>
          <w:p w:rsidR="002071D8" w:rsidRPr="000112ED" w:rsidRDefault="002071D8" w:rsidP="00260FBE">
            <w:pPr>
              <w:pStyle w:val="Textpoznpodarou"/>
              <w:jc w:val="both"/>
              <w:rPr>
                <w:rFonts w:cs="Arial"/>
                <w:lang w:val="en-GB"/>
              </w:rPr>
            </w:pPr>
          </w:p>
        </w:tc>
        <w:tc>
          <w:tcPr>
            <w:tcW w:w="3849" w:type="pct"/>
            <w:gridSpan w:val="3"/>
          </w:tcPr>
          <w:p w:rsidR="002071D8" w:rsidRPr="001F4DAE" w:rsidRDefault="000E53BD" w:rsidP="00260FBE">
            <w:pPr>
              <w:pStyle w:val="Textpoznpodarou"/>
              <w:jc w:val="both"/>
              <w:rPr>
                <w:rFonts w:cs="Arial"/>
                <w:spacing w:val="-2"/>
                <w:sz w:val="16"/>
                <w:szCs w:val="16"/>
                <w:lang w:val="en-GB"/>
              </w:rPr>
            </w:pPr>
            <w:r w:rsidRPr="000E53BD">
              <w:rPr>
                <w:rFonts w:cs="Arial"/>
                <w:spacing w:val="-2"/>
                <w:lang w:val="en-GB"/>
              </w:rPr>
              <w:t>Growth of the household consumption expenditure was the consequence of the growing wages. The volume of salaries and wages paid out in Q2 2017 increased by 8.2% year-on-year (by 5.7% in real terms</w:t>
            </w:r>
            <w:r w:rsidRPr="000E53BD">
              <w:rPr>
                <w:rStyle w:val="Znakapoznpodarou"/>
                <w:spacing w:val="-2"/>
                <w:lang w:val="en-GB"/>
              </w:rPr>
              <w:footnoteReference w:id="7"/>
            </w:r>
            <w:r w:rsidRPr="000E53BD">
              <w:rPr>
                <w:rFonts w:cs="Arial"/>
                <w:spacing w:val="-2"/>
                <w:lang w:val="en-GB"/>
              </w:rPr>
              <w:t>). The rate of growth quickened by 1.4 p. p. compared to the previous quarter. Year-on-year growth of the number of employees reached 1.2%</w:t>
            </w:r>
            <w:r w:rsidRPr="000E53BD">
              <w:rPr>
                <w:rStyle w:val="Znakapoznpodarou"/>
                <w:spacing w:val="-2"/>
                <w:lang w:val="en-GB"/>
              </w:rPr>
              <w:footnoteReference w:id="8"/>
            </w:r>
            <w:r w:rsidRPr="000E53BD">
              <w:rPr>
                <w:rFonts w:cs="Arial"/>
                <w:spacing w:val="-2"/>
                <w:lang w:val="en-GB"/>
              </w:rPr>
              <w:t xml:space="preserve"> in the same time period, so the increase of the volume of paid out salaries and wages was reflected in the size of earnings. The volume of paid out wages in manufacturing, which employees the highest number of persons, played a key role. It reached 8.9% and it increased its pace by 2.1 p. p. compared to the previous quarter. The increase was then caused especially by the growth of the base wages, not by the paid-out benefits. However, the paid-out wages increased significantly in all monitored branches in Q2. The growth, already notable in the previous quarters, increased in information and communication (9.8% in Q1, 10.3% in Q2), which partially resulted from the rising number of employees (3.2% in Q2, the most among all branches). The volume of paid-out wages rose markedly in the trade, transportation, accommodation and food service (8.9%), to some extent as a result of the minimum wage increase. The volume of paid-out wages quickened in the real estate activities area (from 7.6% to 9.4%), it was however also accompanied by the </w:t>
            </w:r>
            <w:r w:rsidRPr="000E53BD">
              <w:rPr>
                <w:rFonts w:cs="Arial"/>
                <w:spacing w:val="-2"/>
                <w:lang w:val="en-GB"/>
              </w:rPr>
              <w:lastRenderedPageBreak/>
              <w:t xml:space="preserve">increase of the number of employees by 2.9% (given that the total employment in the branch increased by 2.0%, the number of self-employed, which holds a large weight in this branch, did not practically change year-on-year). The volume of paid-out wages (8.4%) as well as employment (4.8%) occurred for the professional, scientific, technical and administrative activities. Similarly, high growth of wages (8.0%) accompanied by nearly constant number of employees was apparent in the branches with the dominance of state. </w:t>
            </w:r>
          </w:p>
          <w:p w:rsidR="002071D8" w:rsidRPr="000112ED" w:rsidRDefault="002071D8" w:rsidP="00260FBE">
            <w:pPr>
              <w:pStyle w:val="Textpoznpodarou"/>
              <w:jc w:val="both"/>
              <w:rPr>
                <w:rFonts w:cs="Arial"/>
                <w:highlight w:val="yellow"/>
                <w:lang w:val="en-GB"/>
              </w:rPr>
            </w:pPr>
            <w:r w:rsidRPr="000112ED">
              <w:rPr>
                <w:rFonts w:cs="Arial"/>
                <w:lang w:val="en-GB"/>
              </w:rPr>
              <w:t xml:space="preserve">    </w:t>
            </w:r>
          </w:p>
        </w:tc>
      </w:tr>
      <w:tr w:rsidR="002071D8" w:rsidRPr="00A74192" w:rsidTr="002071D8">
        <w:tc>
          <w:tcPr>
            <w:tcW w:w="1007" w:type="pct"/>
          </w:tcPr>
          <w:p w:rsidR="002071D8" w:rsidRPr="00816475" w:rsidRDefault="002071D8" w:rsidP="00260FBE">
            <w:pPr>
              <w:spacing w:line="240" w:lineRule="auto"/>
              <w:rPr>
                <w:rFonts w:cs="Arial"/>
                <w:sz w:val="16"/>
                <w:szCs w:val="16"/>
                <w:lang w:val="en-GB"/>
              </w:rPr>
            </w:pPr>
            <w:r w:rsidRPr="00816475">
              <w:rPr>
                <w:rFonts w:cs="Arial"/>
                <w:sz w:val="16"/>
                <w:szCs w:val="16"/>
                <w:lang w:val="en-GB"/>
              </w:rPr>
              <w:lastRenderedPageBreak/>
              <w:t>Investment</w:t>
            </w:r>
            <w:r>
              <w:rPr>
                <w:rFonts w:cs="Arial"/>
                <w:sz w:val="16"/>
                <w:szCs w:val="16"/>
                <w:lang w:val="en-GB"/>
              </w:rPr>
              <w:t xml:space="preserve"> expenditure</w:t>
            </w:r>
            <w:r w:rsidRPr="00816475">
              <w:rPr>
                <w:rFonts w:cs="Arial"/>
                <w:sz w:val="16"/>
                <w:szCs w:val="16"/>
                <w:lang w:val="en-GB"/>
              </w:rPr>
              <w:t xml:space="preserve"> increased year-on-year following four quarters of decline. The qua</w:t>
            </w:r>
            <w:r>
              <w:rPr>
                <w:rFonts w:cs="Arial"/>
                <w:sz w:val="16"/>
                <w:szCs w:val="16"/>
                <w:lang w:val="en-GB"/>
              </w:rPr>
              <w:t>r</w:t>
            </w:r>
            <w:r w:rsidRPr="00816475">
              <w:rPr>
                <w:rFonts w:cs="Arial"/>
                <w:sz w:val="16"/>
                <w:szCs w:val="16"/>
                <w:lang w:val="en-GB"/>
              </w:rPr>
              <w:t xml:space="preserve">ter-on-quarter increase was also very strong. </w:t>
            </w:r>
          </w:p>
        </w:tc>
        <w:tc>
          <w:tcPr>
            <w:tcW w:w="144" w:type="pct"/>
          </w:tcPr>
          <w:p w:rsidR="002071D8" w:rsidRPr="00816475" w:rsidRDefault="002071D8" w:rsidP="00260FBE">
            <w:pPr>
              <w:pStyle w:val="Textpoznpodarou"/>
              <w:jc w:val="both"/>
              <w:rPr>
                <w:rFonts w:cs="Arial"/>
                <w:lang w:val="en-GB"/>
              </w:rPr>
            </w:pPr>
          </w:p>
        </w:tc>
        <w:tc>
          <w:tcPr>
            <w:tcW w:w="3849" w:type="pct"/>
            <w:gridSpan w:val="3"/>
          </w:tcPr>
          <w:p w:rsidR="002071D8" w:rsidRPr="00816475" w:rsidRDefault="002071D8" w:rsidP="00260FBE">
            <w:pPr>
              <w:pStyle w:val="Textpoznpodarou"/>
              <w:jc w:val="both"/>
              <w:rPr>
                <w:rFonts w:cs="Arial"/>
                <w:lang w:val="en-GB"/>
              </w:rPr>
            </w:pPr>
            <w:r w:rsidRPr="00816475">
              <w:rPr>
                <w:rFonts w:cs="Arial"/>
                <w:lang w:val="en-GB"/>
              </w:rPr>
              <w:t xml:space="preserve">The year-on-year growth of the </w:t>
            </w:r>
            <w:r>
              <w:rPr>
                <w:rFonts w:cs="Arial"/>
                <w:lang w:val="en-GB"/>
              </w:rPr>
              <w:t>expenditure</w:t>
            </w:r>
            <w:r w:rsidRPr="00816475">
              <w:rPr>
                <w:rFonts w:cs="Arial"/>
                <w:lang w:val="en-GB"/>
              </w:rPr>
              <w:t xml:space="preserve"> on the gross fixed capital formation attained 7.7</w:t>
            </w:r>
            <w:r>
              <w:rPr>
                <w:rFonts w:cs="Arial"/>
                <w:lang w:val="en-GB"/>
              </w:rPr>
              <w:t>%</w:t>
            </w:r>
            <w:r w:rsidRPr="00816475">
              <w:rPr>
                <w:rFonts w:cs="Arial"/>
                <w:lang w:val="en-GB"/>
              </w:rPr>
              <w:t xml:space="preserve"> in Q2, and it was the highest since Q4 2015. </w:t>
            </w:r>
            <w:r>
              <w:rPr>
                <w:rFonts w:cs="Arial"/>
                <w:lang w:val="en-GB"/>
              </w:rPr>
              <w:t>It presented the first increase after 4 quarters of declines. This result however cannot be definitely assigned to the low comparative basis of the previous year. The quarter-on-quarter dynamics also experienced a notable revival and the investment activity grew by 6.3% during Q2. From the point of view of the type classification of the investment activity, the most significant shift occurred for other buildings and structures, which are the second most important investment category and investments were falling in this area year-on-year in the previous four quarters. They increased by 3.1%</w:t>
            </w:r>
            <w:r w:rsidRPr="00816475">
              <w:rPr>
                <w:rStyle w:val="Znakapoznpodarou"/>
                <w:lang w:val="en-GB"/>
              </w:rPr>
              <w:footnoteReference w:id="9"/>
            </w:r>
            <w:r w:rsidRPr="00816475">
              <w:rPr>
                <w:rFonts w:cs="Arial"/>
                <w:lang w:val="en-GB"/>
              </w:rPr>
              <w:t xml:space="preserve"> </w:t>
            </w:r>
            <w:r>
              <w:rPr>
                <w:rFonts w:cs="Arial"/>
                <w:lang w:val="en-GB"/>
              </w:rPr>
              <w:t xml:space="preserve">in Q2 </w:t>
            </w:r>
            <w:r w:rsidRPr="00816475">
              <w:rPr>
                <w:rFonts w:cs="Arial"/>
                <w:lang w:val="en-GB"/>
              </w:rPr>
              <w:t>(</w:t>
            </w:r>
            <w:r>
              <w:rPr>
                <w:rFonts w:cs="Arial"/>
                <w:lang w:val="en-GB"/>
              </w:rPr>
              <w:t>they still fell by 10.3% in Q1</w:t>
            </w:r>
            <w:r w:rsidRPr="00816475">
              <w:rPr>
                <w:rFonts w:cs="Arial"/>
                <w:lang w:val="en-GB"/>
              </w:rPr>
              <w:t xml:space="preserve">). </w:t>
            </w:r>
            <w:r>
              <w:rPr>
                <w:rFonts w:cs="Arial"/>
                <w:lang w:val="en-GB"/>
              </w:rPr>
              <w:t xml:space="preserve">The year-on-year growth of the most significant category with respect to the weight it holds, that is the ICT, other machinery and equipment and defence systems accelerated </w:t>
            </w:r>
            <w:r w:rsidRPr="00816475">
              <w:rPr>
                <w:rFonts w:cs="Arial"/>
                <w:lang w:val="en-GB"/>
              </w:rPr>
              <w:t>(</w:t>
            </w:r>
            <w:r>
              <w:rPr>
                <w:rFonts w:cs="Arial"/>
                <w:lang w:val="en-GB"/>
              </w:rPr>
              <w:t xml:space="preserve">from </w:t>
            </w:r>
            <w:r w:rsidRPr="00816475">
              <w:rPr>
                <w:rFonts w:cs="Arial"/>
                <w:lang w:val="en-GB"/>
              </w:rPr>
              <w:t>4</w:t>
            </w:r>
            <w:r>
              <w:rPr>
                <w:rFonts w:cs="Arial"/>
                <w:lang w:val="en-GB"/>
              </w:rPr>
              <w:t>.</w:t>
            </w:r>
            <w:r w:rsidRPr="00816475">
              <w:rPr>
                <w:rFonts w:cs="Arial"/>
                <w:lang w:val="en-GB"/>
              </w:rPr>
              <w:t>0</w:t>
            </w:r>
            <w:r>
              <w:rPr>
                <w:rFonts w:cs="Arial"/>
                <w:lang w:val="en-GB"/>
              </w:rPr>
              <w:t>%</w:t>
            </w:r>
            <w:r w:rsidRPr="00816475">
              <w:rPr>
                <w:rFonts w:cs="Arial"/>
                <w:lang w:val="en-GB"/>
              </w:rPr>
              <w:t xml:space="preserve"> </w:t>
            </w:r>
            <w:r>
              <w:rPr>
                <w:rFonts w:cs="Arial"/>
                <w:lang w:val="en-GB"/>
              </w:rPr>
              <w:t xml:space="preserve">in Q1 to </w:t>
            </w:r>
            <w:r w:rsidRPr="00816475">
              <w:rPr>
                <w:rFonts w:cs="Arial"/>
                <w:lang w:val="en-GB"/>
              </w:rPr>
              <w:t>5</w:t>
            </w:r>
            <w:r>
              <w:rPr>
                <w:rFonts w:cs="Arial"/>
                <w:lang w:val="en-GB"/>
              </w:rPr>
              <w:t>.</w:t>
            </w:r>
            <w:r w:rsidRPr="00816475">
              <w:rPr>
                <w:rFonts w:cs="Arial"/>
                <w:lang w:val="en-GB"/>
              </w:rPr>
              <w:t>4</w:t>
            </w:r>
            <w:r>
              <w:rPr>
                <w:rFonts w:cs="Arial"/>
                <w:lang w:val="en-GB"/>
              </w:rPr>
              <w:t>%</w:t>
            </w:r>
            <w:r w:rsidRPr="00816475">
              <w:rPr>
                <w:rFonts w:cs="Arial"/>
                <w:lang w:val="en-GB"/>
              </w:rPr>
              <w:t>), a</w:t>
            </w:r>
            <w:r>
              <w:rPr>
                <w:rFonts w:cs="Arial"/>
                <w:lang w:val="en-GB"/>
              </w:rPr>
              <w:t xml:space="preserve">nd also for the investment into the products of the intellectual property </w:t>
            </w:r>
            <w:r w:rsidRPr="00816475">
              <w:rPr>
                <w:rFonts w:cs="Arial"/>
                <w:lang w:val="en-GB"/>
              </w:rPr>
              <w:t>(</w:t>
            </w:r>
            <w:r>
              <w:rPr>
                <w:rFonts w:cs="Arial"/>
                <w:lang w:val="en-GB"/>
              </w:rPr>
              <w:t xml:space="preserve">from </w:t>
            </w:r>
            <w:r w:rsidRPr="00816475">
              <w:rPr>
                <w:rFonts w:cs="Arial"/>
                <w:lang w:val="en-GB"/>
              </w:rPr>
              <w:t>4</w:t>
            </w:r>
            <w:r>
              <w:rPr>
                <w:rFonts w:cs="Arial"/>
                <w:lang w:val="en-GB"/>
              </w:rPr>
              <w:t>.</w:t>
            </w:r>
            <w:r w:rsidRPr="00816475">
              <w:rPr>
                <w:rFonts w:cs="Arial"/>
                <w:lang w:val="en-GB"/>
              </w:rPr>
              <w:t>3</w:t>
            </w:r>
            <w:r>
              <w:rPr>
                <w:rFonts w:cs="Arial"/>
                <w:lang w:val="en-GB"/>
              </w:rPr>
              <w:t>%</w:t>
            </w:r>
            <w:r w:rsidRPr="00816475">
              <w:rPr>
                <w:rFonts w:cs="Arial"/>
                <w:lang w:val="en-GB"/>
              </w:rPr>
              <w:t xml:space="preserve"> </w:t>
            </w:r>
            <w:r>
              <w:rPr>
                <w:rFonts w:cs="Arial"/>
                <w:lang w:val="en-GB"/>
              </w:rPr>
              <w:t xml:space="preserve">to </w:t>
            </w:r>
            <w:r w:rsidRPr="00816475">
              <w:rPr>
                <w:rFonts w:cs="Arial"/>
                <w:lang w:val="en-GB"/>
              </w:rPr>
              <w:t>5</w:t>
            </w:r>
            <w:r>
              <w:rPr>
                <w:rFonts w:cs="Arial"/>
                <w:lang w:val="en-GB"/>
              </w:rPr>
              <w:t>.</w:t>
            </w:r>
            <w:r w:rsidRPr="00816475">
              <w:rPr>
                <w:rFonts w:cs="Arial"/>
                <w:lang w:val="en-GB"/>
              </w:rPr>
              <w:t>2</w:t>
            </w:r>
            <w:r>
              <w:rPr>
                <w:rFonts w:cs="Arial"/>
                <w:lang w:val="en-GB"/>
              </w:rPr>
              <w:t>%</w:t>
            </w:r>
            <w:r w:rsidRPr="00816475">
              <w:rPr>
                <w:rFonts w:cs="Arial"/>
                <w:lang w:val="en-GB"/>
              </w:rPr>
              <w:t xml:space="preserve">). </w:t>
            </w:r>
            <w:r>
              <w:rPr>
                <w:rFonts w:cs="Arial"/>
                <w:lang w:val="en-GB"/>
              </w:rPr>
              <w:t xml:space="preserve">The growth for expenditure on housing (5.9%), transportation equipment (7.9%) stayed strong despite slightly slowing down. </w:t>
            </w:r>
          </w:p>
          <w:p w:rsidR="002071D8" w:rsidRPr="00816475" w:rsidRDefault="002071D8" w:rsidP="00260FBE">
            <w:pPr>
              <w:pStyle w:val="Textpoznpodarou"/>
              <w:jc w:val="both"/>
              <w:rPr>
                <w:rFonts w:cs="Arial"/>
                <w:sz w:val="16"/>
                <w:szCs w:val="16"/>
                <w:lang w:val="en-GB"/>
              </w:rPr>
            </w:pPr>
          </w:p>
        </w:tc>
      </w:tr>
      <w:tr w:rsidR="002071D8" w:rsidRPr="00A74192" w:rsidTr="002071D8">
        <w:tc>
          <w:tcPr>
            <w:tcW w:w="1007" w:type="pct"/>
          </w:tcPr>
          <w:p w:rsidR="002071D8" w:rsidRPr="001F0CFF" w:rsidRDefault="002071D8" w:rsidP="00260FBE">
            <w:pPr>
              <w:spacing w:line="240" w:lineRule="auto"/>
              <w:rPr>
                <w:rFonts w:cs="Arial"/>
                <w:sz w:val="16"/>
                <w:szCs w:val="16"/>
                <w:lang w:val="en-GB"/>
              </w:rPr>
            </w:pPr>
            <w:r w:rsidRPr="001F0CFF">
              <w:rPr>
                <w:rFonts w:cs="Arial"/>
                <w:sz w:val="16"/>
                <w:szCs w:val="16"/>
                <w:lang w:val="en-GB"/>
              </w:rPr>
              <w:t xml:space="preserve">Increase of the surplus of the foreign trade balance was driven by the expansion of the trade with services.  Terms of trade remained negative. </w:t>
            </w:r>
          </w:p>
        </w:tc>
        <w:tc>
          <w:tcPr>
            <w:tcW w:w="144" w:type="pct"/>
          </w:tcPr>
          <w:p w:rsidR="002071D8" w:rsidRPr="001F0CFF" w:rsidRDefault="002071D8" w:rsidP="00260FBE">
            <w:pPr>
              <w:pStyle w:val="Textpoznpodarou"/>
              <w:jc w:val="both"/>
              <w:rPr>
                <w:rFonts w:cs="Arial"/>
                <w:lang w:val="en-GB"/>
              </w:rPr>
            </w:pPr>
          </w:p>
        </w:tc>
        <w:tc>
          <w:tcPr>
            <w:tcW w:w="3849" w:type="pct"/>
            <w:gridSpan w:val="3"/>
          </w:tcPr>
          <w:p w:rsidR="002071D8" w:rsidRPr="001F0CFF" w:rsidRDefault="002071D8" w:rsidP="00260FBE">
            <w:pPr>
              <w:pStyle w:val="Textpoznpodarou"/>
              <w:jc w:val="both"/>
              <w:rPr>
                <w:rFonts w:cs="Arial"/>
                <w:sz w:val="16"/>
                <w:szCs w:val="16"/>
                <w:lang w:val="en-GB"/>
              </w:rPr>
            </w:pPr>
            <w:r>
              <w:rPr>
                <w:rFonts w:cs="Arial"/>
                <w:lang w:val="en-GB"/>
              </w:rPr>
              <w:t xml:space="preserve">The surplus of the foreign trade balance (in current prices) reached 92.9 CZK </w:t>
            </w:r>
            <w:proofErr w:type="spellStart"/>
            <w:r>
              <w:rPr>
                <w:rFonts w:cs="Arial"/>
                <w:lang w:val="en-GB"/>
              </w:rPr>
              <w:t>bn</w:t>
            </w:r>
            <w:proofErr w:type="spellEnd"/>
            <w:r w:rsidRPr="001F0CFF">
              <w:rPr>
                <w:rStyle w:val="Znakapoznpodarou"/>
                <w:lang w:val="en-GB"/>
              </w:rPr>
              <w:footnoteReference w:id="10"/>
            </w:r>
            <w:r w:rsidRPr="001F0CFF">
              <w:rPr>
                <w:rFonts w:cs="Arial"/>
                <w:lang w:val="en-GB"/>
              </w:rPr>
              <w:t xml:space="preserve"> </w:t>
            </w:r>
            <w:r>
              <w:rPr>
                <w:rFonts w:cs="Arial"/>
                <w:lang w:val="en-GB"/>
              </w:rPr>
              <w:t xml:space="preserve">in Q2 and it expanded by 1.3 </w:t>
            </w:r>
            <w:proofErr w:type="spellStart"/>
            <w:r>
              <w:rPr>
                <w:rFonts w:cs="Arial"/>
                <w:lang w:val="en-GB"/>
              </w:rPr>
              <w:t>bn</w:t>
            </w:r>
            <w:proofErr w:type="spellEnd"/>
            <w:r>
              <w:rPr>
                <w:rFonts w:cs="Arial"/>
                <w:lang w:val="en-GB"/>
              </w:rPr>
              <w:t xml:space="preserve"> year-on-year. The year-on-year growth of the surplus was then driven by the increase of the positive balance of the trade with services, which hit 29.8 CZK </w:t>
            </w:r>
            <w:proofErr w:type="spellStart"/>
            <w:r>
              <w:rPr>
                <w:rFonts w:cs="Arial"/>
                <w:lang w:val="en-GB"/>
              </w:rPr>
              <w:t>bn</w:t>
            </w:r>
            <w:proofErr w:type="spellEnd"/>
            <w:r>
              <w:rPr>
                <w:rFonts w:cs="Arial"/>
                <w:lang w:val="en-GB"/>
              </w:rPr>
              <w:t xml:space="preserve"> and increased by 3.9 bn. Trade with goods, whose surplus grew in the preceding five quarters and reached the amount of 63.0 CZK </w:t>
            </w:r>
            <w:proofErr w:type="spellStart"/>
            <w:r>
              <w:rPr>
                <w:rFonts w:cs="Arial"/>
                <w:lang w:val="en-GB"/>
              </w:rPr>
              <w:t>bn</w:t>
            </w:r>
            <w:proofErr w:type="spellEnd"/>
            <w:r>
              <w:rPr>
                <w:rFonts w:cs="Arial"/>
                <w:lang w:val="en-GB"/>
              </w:rPr>
              <w:t xml:space="preserve"> in Q2 however decreased by 2.6 </w:t>
            </w:r>
            <w:proofErr w:type="spellStart"/>
            <w:r>
              <w:rPr>
                <w:rFonts w:cs="Arial"/>
                <w:lang w:val="en-GB"/>
              </w:rPr>
              <w:t>bn</w:t>
            </w:r>
            <w:proofErr w:type="spellEnd"/>
            <w:r>
              <w:rPr>
                <w:rFonts w:cs="Arial"/>
                <w:lang w:val="en-GB"/>
              </w:rPr>
              <w:t xml:space="preserve"> year-on-year. The terms of trade were negative both in Q1 and Q2. They reached the value of 98.3% this time period. The trade with goods, whose terms of trade were 98.0% in Q2, were mainly behind this result. The growth of prices of imported goods slowed down, but it kept at the level of 2.</w:t>
            </w:r>
            <w:r w:rsidRPr="001F0CFF">
              <w:rPr>
                <w:rFonts w:cs="Arial"/>
                <w:lang w:val="en-GB"/>
              </w:rPr>
              <w:t>0</w:t>
            </w:r>
            <w:r>
              <w:rPr>
                <w:rFonts w:cs="Arial"/>
                <w:lang w:val="en-GB"/>
              </w:rPr>
              <w:t>%</w:t>
            </w:r>
            <w:r w:rsidRPr="001F0CFF">
              <w:rPr>
                <w:rStyle w:val="Znakapoznpodarou"/>
                <w:lang w:val="en-GB"/>
              </w:rPr>
              <w:footnoteReference w:id="11"/>
            </w:r>
            <w:r w:rsidRPr="001F0CFF">
              <w:rPr>
                <w:rFonts w:cs="Arial"/>
                <w:lang w:val="en-GB"/>
              </w:rPr>
              <w:t xml:space="preserve">, </w:t>
            </w:r>
            <w:r>
              <w:rPr>
                <w:rFonts w:cs="Arial"/>
                <w:lang w:val="en-GB"/>
              </w:rPr>
              <w:t xml:space="preserve">while the prices of export were stagnating. The terms of trade with services were positive similarly to the previous quarter and they mildly increased to </w:t>
            </w:r>
            <w:r w:rsidRPr="001F0CFF">
              <w:rPr>
                <w:rFonts w:cs="Arial"/>
                <w:lang w:val="en-GB"/>
              </w:rPr>
              <w:t>100</w:t>
            </w:r>
            <w:r>
              <w:rPr>
                <w:rFonts w:cs="Arial"/>
                <w:lang w:val="en-GB"/>
              </w:rPr>
              <w:t>.</w:t>
            </w:r>
            <w:r w:rsidRPr="001F0CFF">
              <w:rPr>
                <w:rFonts w:cs="Arial"/>
                <w:lang w:val="en-GB"/>
              </w:rPr>
              <w:t>3</w:t>
            </w:r>
            <w:r>
              <w:rPr>
                <w:rFonts w:cs="Arial"/>
                <w:lang w:val="en-GB"/>
              </w:rPr>
              <w:t>%</w:t>
            </w:r>
            <w:r w:rsidRPr="001F0CFF">
              <w:rPr>
                <w:rFonts w:cs="Arial"/>
                <w:lang w:val="en-GB"/>
              </w:rPr>
              <w:t xml:space="preserve">. </w:t>
            </w:r>
            <w:r>
              <w:rPr>
                <w:rFonts w:cs="Arial"/>
                <w:lang w:val="en-GB"/>
              </w:rPr>
              <w:t xml:space="preserve">The loss from the terms of trade, which is indirectly depicted by the real gross domestic income, reached 12.7 CZK </w:t>
            </w:r>
            <w:proofErr w:type="spellStart"/>
            <w:r>
              <w:rPr>
                <w:rFonts w:cs="Arial"/>
                <w:lang w:val="en-GB"/>
              </w:rPr>
              <w:t>bn</w:t>
            </w:r>
            <w:proofErr w:type="spellEnd"/>
            <w:r>
              <w:rPr>
                <w:rFonts w:cs="Arial"/>
                <w:lang w:val="en-GB"/>
              </w:rPr>
              <w:t xml:space="preserve"> in Q2 and it slightly decreased compared to the preceding quarter. </w:t>
            </w:r>
          </w:p>
          <w:p w:rsidR="002071D8" w:rsidRPr="001F0CFF" w:rsidRDefault="002071D8" w:rsidP="00260FBE">
            <w:pPr>
              <w:pStyle w:val="Textpoznpodarou"/>
              <w:jc w:val="both"/>
              <w:rPr>
                <w:rFonts w:cs="Arial"/>
                <w:sz w:val="16"/>
                <w:szCs w:val="16"/>
                <w:highlight w:val="yellow"/>
                <w:lang w:val="en-GB"/>
              </w:rPr>
            </w:pPr>
          </w:p>
        </w:tc>
      </w:tr>
      <w:tr w:rsidR="002071D8" w:rsidRPr="00A74192" w:rsidTr="002071D8">
        <w:tc>
          <w:tcPr>
            <w:tcW w:w="1007" w:type="pct"/>
          </w:tcPr>
          <w:p w:rsidR="002071D8" w:rsidRPr="001F0CFF" w:rsidRDefault="002071D8" w:rsidP="00260FBE">
            <w:pPr>
              <w:spacing w:line="240" w:lineRule="auto"/>
              <w:rPr>
                <w:rFonts w:cs="Arial"/>
                <w:sz w:val="16"/>
                <w:szCs w:val="16"/>
                <w:lang w:val="en-GB"/>
              </w:rPr>
            </w:pPr>
            <w:r w:rsidRPr="001F0CFF">
              <w:rPr>
                <w:rFonts w:cs="Arial"/>
                <w:sz w:val="16"/>
                <w:szCs w:val="16"/>
                <w:lang w:val="en-GB"/>
              </w:rPr>
              <w:t xml:space="preserve">GVA growth was supported by favourable development both in manufacturing and services sector. </w:t>
            </w:r>
          </w:p>
        </w:tc>
        <w:tc>
          <w:tcPr>
            <w:tcW w:w="144" w:type="pct"/>
          </w:tcPr>
          <w:p w:rsidR="002071D8" w:rsidRPr="001F0CFF" w:rsidRDefault="002071D8" w:rsidP="00260FBE">
            <w:pPr>
              <w:pStyle w:val="Textpoznpodarou"/>
              <w:jc w:val="both"/>
              <w:rPr>
                <w:rFonts w:cs="Arial"/>
                <w:lang w:val="en-GB"/>
              </w:rPr>
            </w:pPr>
          </w:p>
        </w:tc>
        <w:tc>
          <w:tcPr>
            <w:tcW w:w="3849" w:type="pct"/>
            <w:gridSpan w:val="3"/>
          </w:tcPr>
          <w:p w:rsidR="002071D8" w:rsidRPr="001F0CFF" w:rsidRDefault="002071D8" w:rsidP="00260FBE">
            <w:pPr>
              <w:pStyle w:val="Textpoznpodarou"/>
              <w:jc w:val="both"/>
              <w:rPr>
                <w:rFonts w:cs="Arial"/>
                <w:sz w:val="16"/>
                <w:szCs w:val="16"/>
                <w:lang w:val="en-GB"/>
              </w:rPr>
            </w:pPr>
            <w:r>
              <w:rPr>
                <w:rFonts w:cs="Arial"/>
                <w:lang w:val="en-GB"/>
              </w:rPr>
              <w:t>The year-on-year GVA growth reached 4.7% in Q2 and it accelerated by 1.7 p. p. compared to the previous quarter. The increased pace was assisted mostly by the strengthening of the services sector</w:t>
            </w:r>
            <w:r w:rsidRPr="001F0CFF">
              <w:rPr>
                <w:rFonts w:cs="Arial"/>
                <w:lang w:val="en-GB"/>
              </w:rPr>
              <w:t xml:space="preserve">, </w:t>
            </w:r>
            <w:r>
              <w:rPr>
                <w:rFonts w:cs="Arial"/>
                <w:lang w:val="en-GB"/>
              </w:rPr>
              <w:t xml:space="preserve">which together contributed 2.2 p. p. to the GVA growth. The front position was then held by the trade, transportation, accommodation and restaurants among the services activities, which contributed </w:t>
            </w:r>
            <w:r w:rsidRPr="001F0CFF">
              <w:rPr>
                <w:rFonts w:cs="Arial"/>
                <w:lang w:val="en-GB"/>
              </w:rPr>
              <w:t>0</w:t>
            </w:r>
            <w:r>
              <w:rPr>
                <w:rFonts w:cs="Arial"/>
                <w:lang w:val="en-GB"/>
              </w:rPr>
              <w:t>.</w:t>
            </w:r>
            <w:r w:rsidRPr="001F0CFF">
              <w:rPr>
                <w:rFonts w:cs="Arial"/>
                <w:lang w:val="en-GB"/>
              </w:rPr>
              <w:t>8 p.</w:t>
            </w:r>
            <w:r>
              <w:rPr>
                <w:rFonts w:cs="Arial"/>
                <w:lang w:val="en-GB"/>
              </w:rPr>
              <w:t>p</w:t>
            </w:r>
            <w:r w:rsidRPr="001F0CFF">
              <w:rPr>
                <w:rFonts w:cs="Arial"/>
                <w:lang w:val="en-GB"/>
              </w:rPr>
              <w:t>. (</w:t>
            </w:r>
            <w:r>
              <w:rPr>
                <w:rFonts w:cs="Arial"/>
                <w:lang w:val="en-GB"/>
              </w:rPr>
              <w:t>after three quarters of negative contributions</w:t>
            </w:r>
            <w:r w:rsidRPr="001F0CFF">
              <w:rPr>
                <w:rFonts w:cs="Arial"/>
                <w:lang w:val="en-GB"/>
              </w:rPr>
              <w:t xml:space="preserve">). </w:t>
            </w:r>
            <w:r>
              <w:rPr>
                <w:rFonts w:cs="Arial"/>
                <w:lang w:val="en-GB"/>
              </w:rPr>
              <w:t xml:space="preserve">The GVA of these divisions increased by 4.1% year-on-year. The strong growth of the GVA also continued in financial and insurance activities </w:t>
            </w:r>
            <w:r w:rsidRPr="001F0CFF">
              <w:rPr>
                <w:rFonts w:cs="Arial"/>
                <w:lang w:val="en-GB"/>
              </w:rPr>
              <w:t>(8</w:t>
            </w:r>
            <w:r>
              <w:rPr>
                <w:rFonts w:cs="Arial"/>
                <w:lang w:val="en-GB"/>
              </w:rPr>
              <w:t>.</w:t>
            </w:r>
            <w:r w:rsidRPr="001F0CFF">
              <w:rPr>
                <w:rFonts w:cs="Arial"/>
                <w:lang w:val="en-GB"/>
              </w:rPr>
              <w:t>3</w:t>
            </w:r>
            <w:r>
              <w:rPr>
                <w:rFonts w:cs="Arial"/>
                <w:lang w:val="en-GB"/>
              </w:rPr>
              <w:t>%</w:t>
            </w:r>
            <w:r w:rsidRPr="001F0CFF">
              <w:rPr>
                <w:rFonts w:cs="Arial"/>
                <w:lang w:val="en-GB"/>
              </w:rPr>
              <w:t xml:space="preserve">), </w:t>
            </w:r>
            <w:r>
              <w:rPr>
                <w:rFonts w:cs="Arial"/>
                <w:lang w:val="en-GB"/>
              </w:rPr>
              <w:t xml:space="preserve">which belong to the smallest branch by volume, however contributed 0.3 p. p. to the growth. The contribution of the real estate activities increased in Q2 and reached </w:t>
            </w:r>
            <w:r w:rsidRPr="001F0CFF">
              <w:rPr>
                <w:rFonts w:cs="Arial"/>
                <w:lang w:val="en-GB"/>
              </w:rPr>
              <w:t>0</w:t>
            </w:r>
            <w:r>
              <w:rPr>
                <w:rFonts w:cs="Arial"/>
                <w:lang w:val="en-GB"/>
              </w:rPr>
              <w:t>.</w:t>
            </w:r>
            <w:r w:rsidRPr="001F0CFF">
              <w:rPr>
                <w:rFonts w:cs="Arial"/>
                <w:lang w:val="en-GB"/>
              </w:rPr>
              <w:t>4 p.</w:t>
            </w:r>
            <w:r>
              <w:rPr>
                <w:rFonts w:cs="Arial"/>
                <w:lang w:val="en-GB"/>
              </w:rPr>
              <w:t xml:space="preserve"> Manufacturing however still stays the main pillar of the growth of the value added, with its GVA growing by 7.</w:t>
            </w:r>
            <w:r w:rsidRPr="001F0CFF">
              <w:rPr>
                <w:rFonts w:cs="Arial"/>
                <w:lang w:val="en-GB"/>
              </w:rPr>
              <w:t>9</w:t>
            </w:r>
            <w:r>
              <w:rPr>
                <w:rFonts w:cs="Arial"/>
                <w:lang w:val="en-GB"/>
              </w:rPr>
              <w:t>% year-on-year</w:t>
            </w:r>
            <w:r w:rsidRPr="001F0CFF">
              <w:rPr>
                <w:rFonts w:cs="Arial"/>
                <w:lang w:val="en-GB"/>
              </w:rPr>
              <w:t xml:space="preserve">, </w:t>
            </w:r>
            <w:r>
              <w:rPr>
                <w:rFonts w:cs="Arial"/>
                <w:lang w:val="en-GB"/>
              </w:rPr>
              <w:t xml:space="preserve">which suggests a contribution </w:t>
            </w:r>
            <w:proofErr w:type="gramStart"/>
            <w:r>
              <w:rPr>
                <w:rFonts w:cs="Arial"/>
                <w:lang w:val="en-GB"/>
              </w:rPr>
              <w:t xml:space="preserve">in the amount of </w:t>
            </w:r>
            <w:r w:rsidRPr="001F0CFF">
              <w:rPr>
                <w:rFonts w:cs="Arial"/>
                <w:lang w:val="en-GB"/>
              </w:rPr>
              <w:t>2</w:t>
            </w:r>
            <w:r>
              <w:rPr>
                <w:rFonts w:cs="Arial"/>
                <w:lang w:val="en-GB"/>
              </w:rPr>
              <w:t>.</w:t>
            </w:r>
            <w:r w:rsidRPr="001F0CFF">
              <w:rPr>
                <w:rFonts w:cs="Arial"/>
                <w:lang w:val="en-GB"/>
              </w:rPr>
              <w:t>1 p.</w:t>
            </w:r>
            <w:r>
              <w:rPr>
                <w:rFonts w:cs="Arial"/>
                <w:lang w:val="en-GB"/>
              </w:rPr>
              <w:t>p</w:t>
            </w:r>
            <w:proofErr w:type="gramEnd"/>
            <w:r w:rsidRPr="001F0CFF">
              <w:rPr>
                <w:rFonts w:cs="Arial"/>
                <w:lang w:val="en-GB"/>
              </w:rPr>
              <w:t xml:space="preserve">. </w:t>
            </w:r>
            <w:r>
              <w:rPr>
                <w:rFonts w:cs="Arial"/>
                <w:lang w:val="en-GB"/>
              </w:rPr>
              <w:t xml:space="preserve">The revival arrived in construction after four quarters of fall, whose GVA rose by </w:t>
            </w:r>
            <w:r w:rsidRPr="001F0CFF">
              <w:rPr>
                <w:rFonts w:cs="Arial"/>
                <w:lang w:val="en-GB"/>
              </w:rPr>
              <w:t>3</w:t>
            </w:r>
            <w:r>
              <w:rPr>
                <w:rFonts w:cs="Arial"/>
                <w:lang w:val="en-GB"/>
              </w:rPr>
              <w:t>.</w:t>
            </w:r>
            <w:r w:rsidRPr="001F0CFF">
              <w:rPr>
                <w:rFonts w:cs="Arial"/>
                <w:lang w:val="en-GB"/>
              </w:rPr>
              <w:t>1</w:t>
            </w:r>
            <w:r>
              <w:rPr>
                <w:rFonts w:cs="Arial"/>
                <w:lang w:val="en-GB"/>
              </w:rPr>
              <w:t>%</w:t>
            </w:r>
            <w:r w:rsidRPr="001F0CFF">
              <w:rPr>
                <w:rFonts w:cs="Arial"/>
                <w:lang w:val="en-GB"/>
              </w:rPr>
              <w:t xml:space="preserve"> (</w:t>
            </w:r>
            <w:r>
              <w:rPr>
                <w:rFonts w:cs="Arial"/>
                <w:lang w:val="en-GB"/>
              </w:rPr>
              <w:t xml:space="preserve">contribution to the total growth at the level of 0.2 p. p. was the highest since Q3 </w:t>
            </w:r>
            <w:r w:rsidRPr="001F0CFF">
              <w:rPr>
                <w:rFonts w:cs="Arial"/>
                <w:lang w:val="en-GB"/>
              </w:rPr>
              <w:t xml:space="preserve">2015). </w:t>
            </w:r>
            <w:r>
              <w:rPr>
                <w:rFonts w:cs="Arial"/>
                <w:lang w:val="en-GB"/>
              </w:rPr>
              <w:t>The contribution of agriculture, forestry and fishing reached the same result. The branch remains at this level already 3.5 years. Other industrial activities were the only part of the economy, which neither contributed to the growth of the GVA nor did it dampen it.</w:t>
            </w:r>
          </w:p>
          <w:p w:rsidR="002071D8" w:rsidRDefault="002071D8" w:rsidP="00260FBE">
            <w:pPr>
              <w:pStyle w:val="Textpoznpodarou"/>
              <w:jc w:val="both"/>
              <w:rPr>
                <w:rFonts w:cs="Arial"/>
                <w:sz w:val="16"/>
                <w:szCs w:val="16"/>
                <w:lang w:val="en-GB"/>
              </w:rPr>
            </w:pPr>
          </w:p>
          <w:p w:rsidR="00B316B8" w:rsidRPr="001F0CFF" w:rsidRDefault="00B316B8" w:rsidP="00260FBE">
            <w:pPr>
              <w:pStyle w:val="Textpoznpodarou"/>
              <w:jc w:val="both"/>
              <w:rPr>
                <w:rFonts w:cs="Arial"/>
                <w:sz w:val="16"/>
                <w:szCs w:val="16"/>
                <w:lang w:val="en-GB"/>
              </w:rPr>
            </w:pPr>
          </w:p>
        </w:tc>
      </w:tr>
      <w:tr w:rsidR="002071D8" w:rsidRPr="00A74192" w:rsidTr="002071D8">
        <w:tc>
          <w:tcPr>
            <w:tcW w:w="1007" w:type="pct"/>
          </w:tcPr>
          <w:p w:rsidR="002071D8" w:rsidRDefault="002071D8" w:rsidP="00260FBE">
            <w:pPr>
              <w:spacing w:line="240" w:lineRule="auto"/>
              <w:jc w:val="center"/>
              <w:rPr>
                <w:rFonts w:cs="Arial"/>
                <w:sz w:val="16"/>
                <w:szCs w:val="16"/>
              </w:rPr>
            </w:pPr>
          </w:p>
        </w:tc>
        <w:tc>
          <w:tcPr>
            <w:tcW w:w="144" w:type="pct"/>
          </w:tcPr>
          <w:p w:rsidR="002071D8" w:rsidRPr="005E2AB2" w:rsidRDefault="002071D8" w:rsidP="00260FBE">
            <w:pPr>
              <w:pStyle w:val="Textpoznpodarou"/>
              <w:jc w:val="both"/>
              <w:rPr>
                <w:rFonts w:cs="Arial"/>
              </w:rPr>
            </w:pPr>
          </w:p>
        </w:tc>
        <w:tc>
          <w:tcPr>
            <w:tcW w:w="575" w:type="pct"/>
          </w:tcPr>
          <w:p w:rsidR="002071D8" w:rsidRDefault="002071D8" w:rsidP="00260FBE">
            <w:pPr>
              <w:pStyle w:val="Textpoznpodarou"/>
              <w:jc w:val="both"/>
              <w:rPr>
                <w:rFonts w:cs="Arial"/>
              </w:rPr>
            </w:pPr>
            <w:r>
              <w:rPr>
                <w:rFonts w:cs="Arial"/>
                <w:lang w:eastAsia="en-US"/>
              </w:rPr>
              <w:t xml:space="preserve">Chart </w:t>
            </w:r>
            <w:r w:rsidRPr="005E2AB2">
              <w:rPr>
                <w:rFonts w:cs="Arial"/>
                <w:lang w:eastAsia="en-US"/>
              </w:rPr>
              <w:t>4</w:t>
            </w:r>
          </w:p>
        </w:tc>
        <w:tc>
          <w:tcPr>
            <w:tcW w:w="3274" w:type="pct"/>
            <w:gridSpan w:val="2"/>
          </w:tcPr>
          <w:p w:rsidR="002071D8" w:rsidRDefault="002071D8" w:rsidP="00260FBE">
            <w:pPr>
              <w:pStyle w:val="Textpoznpodarou"/>
              <w:rPr>
                <w:rFonts w:cs="Arial"/>
              </w:rPr>
            </w:pPr>
            <w:r w:rsidRPr="006515D6">
              <w:rPr>
                <w:b/>
                <w:lang w:val="en-GB" w:eastAsia="en-US"/>
              </w:rPr>
              <w:t xml:space="preserve">Contributions of branches to </w:t>
            </w:r>
            <w:r>
              <w:rPr>
                <w:b/>
                <w:lang w:val="en-GB" w:eastAsia="en-US"/>
              </w:rPr>
              <w:t xml:space="preserve">real </w:t>
            </w:r>
            <w:r w:rsidRPr="006515D6">
              <w:rPr>
                <w:b/>
                <w:lang w:val="en-GB" w:eastAsia="en-US"/>
              </w:rPr>
              <w:t xml:space="preserve">change in </w:t>
            </w:r>
            <w:r w:rsidRPr="00E13155">
              <w:rPr>
                <w:b/>
                <w:lang w:val="en-GB" w:eastAsia="en-US"/>
              </w:rPr>
              <w:t>GVA</w:t>
            </w:r>
            <w:r w:rsidRPr="00E13155">
              <w:rPr>
                <w:rFonts w:cs="Arial"/>
                <w:lang w:val="en-GB" w:eastAsia="en-US"/>
              </w:rPr>
              <w:t xml:space="preserve"> (volume indices, year-on-year contributions in p.p., GVA </w:t>
            </w:r>
            <w:r>
              <w:rPr>
                <w:rFonts w:cs="Arial"/>
                <w:lang w:val="en-GB" w:eastAsia="en-US"/>
              </w:rPr>
              <w:t>in %</w:t>
            </w:r>
            <w:r w:rsidRPr="00E13155">
              <w:rPr>
                <w:rFonts w:cs="Arial"/>
                <w:lang w:val="en-GB" w:eastAsia="en-US"/>
              </w:rPr>
              <w:t>)</w:t>
            </w:r>
          </w:p>
        </w:tc>
      </w:tr>
      <w:tr w:rsidR="002071D8" w:rsidRPr="00A74192" w:rsidTr="002071D8">
        <w:tc>
          <w:tcPr>
            <w:tcW w:w="1007" w:type="pct"/>
          </w:tcPr>
          <w:p w:rsidR="002071D8" w:rsidRDefault="002071D8" w:rsidP="00260FBE">
            <w:pPr>
              <w:spacing w:line="240" w:lineRule="auto"/>
              <w:rPr>
                <w:rFonts w:cs="Arial"/>
                <w:sz w:val="16"/>
                <w:szCs w:val="16"/>
              </w:rPr>
            </w:pPr>
          </w:p>
        </w:tc>
        <w:tc>
          <w:tcPr>
            <w:tcW w:w="144" w:type="pct"/>
          </w:tcPr>
          <w:p w:rsidR="002071D8" w:rsidRPr="005E2AB2" w:rsidRDefault="002071D8" w:rsidP="00260FBE">
            <w:pPr>
              <w:pStyle w:val="Textpoznpodarou"/>
              <w:jc w:val="both"/>
              <w:rPr>
                <w:rFonts w:cs="Arial"/>
              </w:rPr>
            </w:pPr>
          </w:p>
        </w:tc>
        <w:tc>
          <w:tcPr>
            <w:tcW w:w="3849" w:type="pct"/>
            <w:gridSpan w:val="3"/>
          </w:tcPr>
          <w:p w:rsidR="002071D8" w:rsidRDefault="002071D8" w:rsidP="00260FBE">
            <w:pPr>
              <w:pStyle w:val="Textpoznpodarou"/>
              <w:ind w:left="-95"/>
              <w:jc w:val="both"/>
              <w:rPr>
                <w:rFonts w:cs="Arial"/>
              </w:rPr>
            </w:pPr>
            <w:r w:rsidRPr="0020200D">
              <w:rPr>
                <w:rFonts w:cs="Arial"/>
                <w:noProof/>
              </w:rPr>
              <w:drawing>
                <wp:inline distT="0" distB="0" distL="0" distR="0">
                  <wp:extent cx="4737600" cy="3553200"/>
                  <wp:effectExtent l="0" t="0" r="0" b="0"/>
                  <wp:docPr id="2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71D8" w:rsidRDefault="002071D8" w:rsidP="00260FBE">
            <w:pPr>
              <w:pStyle w:val="Textpoznpodarou"/>
              <w:ind w:left="-95"/>
              <w:jc w:val="right"/>
              <w:rPr>
                <w:rFonts w:cs="Arial"/>
                <w:sz w:val="14"/>
                <w:szCs w:val="14"/>
                <w:lang w:eastAsia="en-US"/>
              </w:rPr>
            </w:pPr>
            <w:proofErr w:type="spellStart"/>
            <w:r>
              <w:rPr>
                <w:rFonts w:cs="Arial"/>
                <w:sz w:val="14"/>
                <w:szCs w:val="14"/>
                <w:lang w:eastAsia="en-US"/>
              </w:rPr>
              <w:t>Source</w:t>
            </w:r>
            <w:proofErr w:type="spellEnd"/>
            <w:r w:rsidRPr="007841BB">
              <w:rPr>
                <w:rFonts w:cs="Arial"/>
                <w:sz w:val="14"/>
                <w:szCs w:val="14"/>
                <w:lang w:eastAsia="en-US"/>
              </w:rPr>
              <w:t xml:space="preserve">: </w:t>
            </w:r>
            <w:r>
              <w:rPr>
                <w:rFonts w:cs="Arial"/>
                <w:sz w:val="14"/>
                <w:szCs w:val="14"/>
                <w:lang w:eastAsia="en-US"/>
              </w:rPr>
              <w:t>CZSO</w:t>
            </w:r>
          </w:p>
          <w:p w:rsidR="002071D8" w:rsidRPr="00A24C11" w:rsidRDefault="002071D8" w:rsidP="0020200D">
            <w:pPr>
              <w:pStyle w:val="Textpoznpodarou"/>
              <w:ind w:left="-95"/>
              <w:rPr>
                <w:rFonts w:cs="Arial"/>
                <w:b/>
                <w:sz w:val="18"/>
                <w:szCs w:val="18"/>
                <w:lang w:eastAsia="en-US"/>
              </w:rPr>
            </w:pPr>
            <w:bookmarkStart w:id="8" w:name="_GoBack"/>
            <w:bookmarkEnd w:id="8"/>
          </w:p>
        </w:tc>
      </w:tr>
    </w:tbl>
    <w:p w:rsidR="005E4483" w:rsidRPr="007B0353" w:rsidRDefault="007B0353" w:rsidP="00DD0726">
      <w:pPr>
        <w:pStyle w:val="Nadpis1"/>
        <w:numPr>
          <w:ilvl w:val="0"/>
          <w:numId w:val="12"/>
        </w:numPr>
        <w:ind w:left="709"/>
        <w:jc w:val="both"/>
        <w:rPr>
          <w:lang w:val="en-GB"/>
        </w:rPr>
      </w:pPr>
      <w:bookmarkStart w:id="9" w:name="_Toc493683635"/>
      <w:r w:rsidRPr="007B0353">
        <w:rPr>
          <w:lang w:val="en-GB"/>
        </w:rPr>
        <w:t>Branches Performance</w:t>
      </w:r>
      <w:bookmarkEnd w:id="7"/>
      <w:bookmarkEnd w:id="9"/>
    </w:p>
    <w:tbl>
      <w:tblPr>
        <w:tblW w:w="4986" w:type="pct"/>
        <w:tblInd w:w="107" w:type="dxa"/>
        <w:tblLayout w:type="fixed"/>
        <w:tblLook w:val="00A0"/>
      </w:tblPr>
      <w:tblGrid>
        <w:gridCol w:w="1997"/>
        <w:gridCol w:w="283"/>
        <w:gridCol w:w="7546"/>
      </w:tblGrid>
      <w:tr w:rsidR="00654093" w:rsidRPr="007B0353" w:rsidTr="00853C0F">
        <w:trPr>
          <w:trHeight w:val="145"/>
        </w:trPr>
        <w:tc>
          <w:tcPr>
            <w:tcW w:w="1016" w:type="pct"/>
          </w:tcPr>
          <w:p w:rsidR="00654093" w:rsidRPr="007B0353" w:rsidRDefault="009C560D" w:rsidP="00853C0F">
            <w:pPr>
              <w:spacing w:line="240" w:lineRule="auto"/>
              <w:rPr>
                <w:spacing w:val="-2"/>
                <w:sz w:val="16"/>
                <w:szCs w:val="16"/>
                <w:lang w:val="en-GB"/>
              </w:rPr>
            </w:pPr>
            <w:r w:rsidRPr="007B0353">
              <w:rPr>
                <w:spacing w:val="-2"/>
                <w:sz w:val="16"/>
                <w:szCs w:val="16"/>
                <w:lang w:val="en-GB"/>
              </w:rPr>
              <w:t>Rate of growth of the GVA markedly accelerated in the first half of the year. All main</w:t>
            </w:r>
            <w:r w:rsidR="00310C41">
              <w:rPr>
                <w:spacing w:val="-2"/>
                <w:sz w:val="16"/>
                <w:szCs w:val="16"/>
                <w:lang w:val="en-GB"/>
              </w:rPr>
              <w:t xml:space="preserve"> branches</w:t>
            </w:r>
            <w:r w:rsidRPr="007B0353">
              <w:rPr>
                <w:spacing w:val="-2"/>
                <w:sz w:val="16"/>
                <w:szCs w:val="16"/>
                <w:lang w:val="en-GB"/>
              </w:rPr>
              <w:t xml:space="preserve"> prospered – agriculture, forestry and fishing the most and also manufacturing. </w:t>
            </w:r>
          </w:p>
        </w:tc>
        <w:tc>
          <w:tcPr>
            <w:tcW w:w="144" w:type="pct"/>
          </w:tcPr>
          <w:p w:rsidR="00654093" w:rsidRPr="007B0353" w:rsidRDefault="00654093" w:rsidP="00853C0F">
            <w:pPr>
              <w:pStyle w:val="Textpoznpodarou"/>
              <w:jc w:val="both"/>
              <w:rPr>
                <w:lang w:val="en-GB"/>
              </w:rPr>
            </w:pPr>
          </w:p>
        </w:tc>
        <w:tc>
          <w:tcPr>
            <w:tcW w:w="3840" w:type="pct"/>
          </w:tcPr>
          <w:p w:rsidR="00654093" w:rsidRPr="007B0353" w:rsidRDefault="009C560D" w:rsidP="00853C0F">
            <w:pPr>
              <w:pStyle w:val="Textpoznpodarou"/>
              <w:jc w:val="both"/>
              <w:rPr>
                <w:spacing w:val="-8"/>
                <w:lang w:val="en-GB"/>
              </w:rPr>
            </w:pPr>
            <w:r w:rsidRPr="007B0353">
              <w:rPr>
                <w:spacing w:val="-4"/>
                <w:lang w:val="en-GB"/>
              </w:rPr>
              <w:t xml:space="preserve">Gross value added </w:t>
            </w:r>
            <w:r w:rsidR="00654093" w:rsidRPr="007B0353">
              <w:rPr>
                <w:spacing w:val="-4"/>
                <w:lang w:val="en-GB"/>
              </w:rPr>
              <w:t>(</w:t>
            </w:r>
            <w:r w:rsidRPr="007B0353">
              <w:rPr>
                <w:spacing w:val="-4"/>
                <w:lang w:val="en-GB"/>
              </w:rPr>
              <w:t>GVA</w:t>
            </w:r>
            <w:r w:rsidR="00654093" w:rsidRPr="007B0353">
              <w:rPr>
                <w:spacing w:val="-4"/>
                <w:lang w:val="en-GB"/>
              </w:rPr>
              <w:t>)</w:t>
            </w:r>
            <w:r w:rsidR="00654093" w:rsidRPr="007B0353">
              <w:rPr>
                <w:rStyle w:val="Znakapoznpodarou"/>
                <w:spacing w:val="-4"/>
                <w:lang w:val="en-GB"/>
              </w:rPr>
              <w:footnoteReference w:id="12"/>
            </w:r>
            <w:r w:rsidR="00654093" w:rsidRPr="007B0353">
              <w:rPr>
                <w:spacing w:val="-4"/>
                <w:lang w:val="en-GB"/>
              </w:rPr>
              <w:t xml:space="preserve"> </w:t>
            </w:r>
            <w:r w:rsidRPr="007B0353">
              <w:rPr>
                <w:spacing w:val="-4"/>
                <w:lang w:val="en-GB"/>
              </w:rPr>
              <w:t>strengthened by 3.8</w:t>
            </w:r>
            <w:r w:rsidR="00954C8E">
              <w:rPr>
                <w:spacing w:val="-4"/>
                <w:lang w:val="en-GB"/>
              </w:rPr>
              <w:t>%</w:t>
            </w:r>
            <w:r w:rsidRPr="007B0353">
              <w:rPr>
                <w:spacing w:val="-4"/>
                <w:lang w:val="en-GB"/>
              </w:rPr>
              <w:t xml:space="preserve"> in all economic</w:t>
            </w:r>
            <w:r w:rsidR="00310C41">
              <w:rPr>
                <w:spacing w:val="-4"/>
                <w:lang w:val="en-GB"/>
              </w:rPr>
              <w:t xml:space="preserve"> branches </w:t>
            </w:r>
            <w:r w:rsidRPr="007B0353">
              <w:rPr>
                <w:spacing w:val="-4"/>
                <w:lang w:val="en-GB"/>
              </w:rPr>
              <w:t xml:space="preserve">year-on-year in H1. </w:t>
            </w:r>
            <w:r w:rsidR="00B310A1" w:rsidRPr="007B0353">
              <w:rPr>
                <w:spacing w:val="-4"/>
                <w:lang w:val="en-GB"/>
              </w:rPr>
              <w:t xml:space="preserve">The quarter-on-quarter rates of growth illustrated the acceleration of performance. </w:t>
            </w:r>
            <w:r w:rsidR="00ED04FA" w:rsidRPr="007B0353">
              <w:rPr>
                <w:spacing w:val="-4"/>
                <w:lang w:val="en-GB"/>
              </w:rPr>
              <w:t>While a growth of 0.5</w:t>
            </w:r>
            <w:r w:rsidR="00954C8E">
              <w:rPr>
                <w:spacing w:val="-4"/>
                <w:lang w:val="en-GB"/>
              </w:rPr>
              <w:t>%</w:t>
            </w:r>
            <w:r w:rsidR="00ED04FA" w:rsidRPr="007B0353">
              <w:rPr>
                <w:spacing w:val="-4"/>
                <w:lang w:val="en-GB"/>
              </w:rPr>
              <w:t xml:space="preserve"> was registered towards the end of the last year, it was then 1.6</w:t>
            </w:r>
            <w:r w:rsidR="00954C8E">
              <w:rPr>
                <w:spacing w:val="-4"/>
                <w:lang w:val="en-GB"/>
              </w:rPr>
              <w:t>%</w:t>
            </w:r>
            <w:r w:rsidR="00ED04FA" w:rsidRPr="007B0353">
              <w:rPr>
                <w:spacing w:val="-4"/>
                <w:lang w:val="en-GB"/>
              </w:rPr>
              <w:t xml:space="preserve"> in Q1 2017 and already 2.3</w:t>
            </w:r>
            <w:r w:rsidR="00954C8E">
              <w:rPr>
                <w:spacing w:val="-4"/>
                <w:lang w:val="en-GB"/>
              </w:rPr>
              <w:t>%</w:t>
            </w:r>
            <w:r w:rsidR="00ED04FA" w:rsidRPr="007B0353">
              <w:rPr>
                <w:spacing w:val="-4"/>
                <w:lang w:val="en-GB"/>
              </w:rPr>
              <w:t xml:space="preserve"> in the following three months (the largest quarter-on-quarter addition in more than twenty years</w:t>
            </w:r>
            <w:r w:rsidR="00310C41">
              <w:rPr>
                <w:spacing w:val="-4"/>
                <w:lang w:val="en-GB"/>
              </w:rPr>
              <w:t>´</w:t>
            </w:r>
            <w:r w:rsidR="00ED04FA" w:rsidRPr="007B0353">
              <w:rPr>
                <w:spacing w:val="-4"/>
                <w:lang w:val="en-GB"/>
              </w:rPr>
              <w:t xml:space="preserve"> history of </w:t>
            </w:r>
            <w:r w:rsidR="0062130B" w:rsidRPr="007B0353">
              <w:rPr>
                <w:spacing w:val="-4"/>
                <w:lang w:val="en-GB"/>
              </w:rPr>
              <w:t xml:space="preserve">monitoring). The GVA was expanding already the seventeenth quarter in a row – the performance </w:t>
            </w:r>
            <w:r w:rsidR="0007413C" w:rsidRPr="007B0353">
              <w:rPr>
                <w:spacing w:val="-4"/>
                <w:lang w:val="en-GB"/>
              </w:rPr>
              <w:t xml:space="preserve">of all </w:t>
            </w:r>
            <w:r w:rsidR="00310C41">
              <w:rPr>
                <w:spacing w:val="-4"/>
                <w:lang w:val="en-GB"/>
              </w:rPr>
              <w:t>branches</w:t>
            </w:r>
            <w:r w:rsidR="0007413C" w:rsidRPr="007B0353">
              <w:rPr>
                <w:spacing w:val="-4"/>
                <w:lang w:val="en-GB"/>
              </w:rPr>
              <w:t xml:space="preserve"> in total thus strengthened by whole one sixth. All ten main branch groupings held a merit on the year-on-year growth of the GVA in H1. Traditionally, manufacturing contributed by the highest extent (2.0 p. p.). The GVA was increasing the most dynamically this year, similarly to the whole last year, in the branch agriculture, forestry and fishing (by </w:t>
            </w:r>
            <w:r w:rsidR="002B7937" w:rsidRPr="007B0353">
              <w:rPr>
                <w:spacing w:val="-4"/>
                <w:lang w:val="en-GB"/>
              </w:rPr>
              <w:t>+7</w:t>
            </w:r>
            <w:r w:rsidR="0007413C" w:rsidRPr="007B0353">
              <w:rPr>
                <w:spacing w:val="-4"/>
                <w:lang w:val="en-GB"/>
              </w:rPr>
              <w:t>.</w:t>
            </w:r>
            <w:r w:rsidR="002B7937" w:rsidRPr="007B0353">
              <w:rPr>
                <w:spacing w:val="-4"/>
                <w:lang w:val="en-GB"/>
              </w:rPr>
              <w:t>9</w:t>
            </w:r>
            <w:r w:rsidR="00954C8E">
              <w:rPr>
                <w:spacing w:val="-4"/>
                <w:lang w:val="en-GB"/>
              </w:rPr>
              <w:t>%</w:t>
            </w:r>
            <w:r w:rsidR="00654093" w:rsidRPr="007B0353">
              <w:rPr>
                <w:spacing w:val="-4"/>
                <w:lang w:val="en-GB"/>
              </w:rPr>
              <w:t xml:space="preserve"> </w:t>
            </w:r>
            <w:proofErr w:type="gramStart"/>
            <w:r w:rsidR="0007413C" w:rsidRPr="007B0353">
              <w:rPr>
                <w:spacing w:val="-4"/>
                <w:lang w:val="en-GB"/>
              </w:rPr>
              <w:t>year-on-year</w:t>
            </w:r>
            <w:proofErr w:type="gramEnd"/>
            <w:r w:rsidR="0007413C" w:rsidRPr="007B0353">
              <w:rPr>
                <w:spacing w:val="-4"/>
                <w:lang w:val="en-GB"/>
              </w:rPr>
              <w:t xml:space="preserve"> in H1, even by 31</w:t>
            </w:r>
            <w:r w:rsidR="00954C8E">
              <w:rPr>
                <w:spacing w:val="-4"/>
                <w:lang w:val="en-GB"/>
              </w:rPr>
              <w:t>%</w:t>
            </w:r>
            <w:r w:rsidR="0007413C" w:rsidRPr="007B0353">
              <w:rPr>
                <w:spacing w:val="-4"/>
                <w:lang w:val="en-GB"/>
              </w:rPr>
              <w:t xml:space="preserve"> in </w:t>
            </w:r>
            <w:r w:rsidR="00405D51" w:rsidRPr="007B0353">
              <w:rPr>
                <w:spacing w:val="-4"/>
                <w:lang w:val="en-GB"/>
              </w:rPr>
              <w:t>total for</w:t>
            </w:r>
            <w:r w:rsidR="0007413C" w:rsidRPr="007B0353">
              <w:rPr>
                <w:spacing w:val="-4"/>
                <w:lang w:val="en-GB"/>
              </w:rPr>
              <w:t xml:space="preserve"> the last four years</w:t>
            </w:r>
            <w:r w:rsidR="00654093" w:rsidRPr="007B0353">
              <w:rPr>
                <w:spacing w:val="-4"/>
                <w:lang w:val="en-GB"/>
              </w:rPr>
              <w:t xml:space="preserve">). </w:t>
            </w:r>
          </w:p>
          <w:p w:rsidR="00654093" w:rsidRPr="007B0353" w:rsidRDefault="00654093" w:rsidP="00853C0F">
            <w:pPr>
              <w:pStyle w:val="Textpoznpodarou"/>
              <w:jc w:val="both"/>
              <w:rPr>
                <w:spacing w:val="-4"/>
                <w:sz w:val="15"/>
                <w:szCs w:val="15"/>
                <w:lang w:val="en-GB"/>
              </w:rPr>
            </w:pPr>
          </w:p>
        </w:tc>
      </w:tr>
      <w:tr w:rsidR="00654093" w:rsidRPr="00A74192" w:rsidTr="00853C0F">
        <w:trPr>
          <w:trHeight w:val="145"/>
        </w:trPr>
        <w:tc>
          <w:tcPr>
            <w:tcW w:w="1016" w:type="pct"/>
            <w:shd w:val="clear" w:color="auto" w:fill="auto"/>
          </w:tcPr>
          <w:p w:rsidR="00654093" w:rsidRPr="0032318D" w:rsidRDefault="0032318D" w:rsidP="00853C0F">
            <w:pPr>
              <w:spacing w:line="240" w:lineRule="auto"/>
              <w:rPr>
                <w:spacing w:val="-2"/>
                <w:sz w:val="16"/>
                <w:szCs w:val="16"/>
                <w:lang w:val="en-GB"/>
              </w:rPr>
            </w:pPr>
            <w:r w:rsidRPr="0032318D">
              <w:rPr>
                <w:spacing w:val="-2"/>
                <w:sz w:val="16"/>
                <w:szCs w:val="16"/>
                <w:lang w:val="en-GB"/>
              </w:rPr>
              <w:t>Favourable economic situation in the main export territories together with growing domestic demand contributed to nearly 7</w:t>
            </w:r>
            <w:r w:rsidR="00954C8E">
              <w:rPr>
                <w:spacing w:val="-2"/>
                <w:sz w:val="16"/>
                <w:szCs w:val="16"/>
                <w:lang w:val="en-GB"/>
              </w:rPr>
              <w:t>%</w:t>
            </w:r>
            <w:r w:rsidRPr="0032318D">
              <w:rPr>
                <w:spacing w:val="-2"/>
                <w:sz w:val="16"/>
                <w:szCs w:val="16"/>
                <w:lang w:val="en-GB"/>
              </w:rPr>
              <w:t xml:space="preserve"> growth of the industrial production in Q2. </w:t>
            </w:r>
            <w:r w:rsidR="00654093" w:rsidRPr="0032318D">
              <w:rPr>
                <w:spacing w:val="-2"/>
                <w:sz w:val="16"/>
                <w:szCs w:val="16"/>
                <w:lang w:val="en-GB"/>
              </w:rPr>
              <w:t xml:space="preserve"> </w:t>
            </w:r>
          </w:p>
        </w:tc>
        <w:tc>
          <w:tcPr>
            <w:tcW w:w="144" w:type="pct"/>
          </w:tcPr>
          <w:p w:rsidR="00654093" w:rsidRPr="0032318D" w:rsidRDefault="00654093" w:rsidP="00853C0F">
            <w:pPr>
              <w:pStyle w:val="Textpoznpodarou"/>
              <w:jc w:val="both"/>
              <w:rPr>
                <w:lang w:val="en-GB"/>
              </w:rPr>
            </w:pPr>
          </w:p>
        </w:tc>
        <w:tc>
          <w:tcPr>
            <w:tcW w:w="3840" w:type="pct"/>
          </w:tcPr>
          <w:p w:rsidR="00654093" w:rsidRDefault="009C5821" w:rsidP="00B06E35">
            <w:pPr>
              <w:pStyle w:val="Textpoznpodarou"/>
              <w:jc w:val="both"/>
              <w:rPr>
                <w:color w:val="000000" w:themeColor="text1"/>
                <w:spacing w:val="-4"/>
                <w:lang w:val="en-GB"/>
              </w:rPr>
            </w:pPr>
            <w:r>
              <w:rPr>
                <w:spacing w:val="-4"/>
                <w:lang w:val="en-GB"/>
              </w:rPr>
              <w:t>More detail data from the business statistics prov</w:t>
            </w:r>
            <w:r w:rsidR="008D009F">
              <w:rPr>
                <w:spacing w:val="-4"/>
                <w:lang w:val="en-GB"/>
              </w:rPr>
              <w:t>id</w:t>
            </w:r>
            <w:r>
              <w:rPr>
                <w:spacing w:val="-4"/>
                <w:lang w:val="en-GB"/>
              </w:rPr>
              <w:t>ed evidence of a very good condition of the industry. Its performance (based on the index of the industrial production</w:t>
            </w:r>
            <w:r w:rsidR="00654093" w:rsidRPr="0032318D">
              <w:rPr>
                <w:color w:val="000000" w:themeColor="text1"/>
                <w:spacing w:val="-4"/>
                <w:lang w:val="en-GB"/>
              </w:rPr>
              <w:t>)</w:t>
            </w:r>
            <w:r w:rsidR="00654093" w:rsidRPr="0032318D">
              <w:rPr>
                <w:color w:val="000000" w:themeColor="text1"/>
                <w:spacing w:val="-4"/>
                <w:vertAlign w:val="superscript"/>
                <w:lang w:val="en-GB"/>
              </w:rPr>
              <w:footnoteReference w:id="13"/>
            </w:r>
            <w:r w:rsidR="00654093" w:rsidRPr="0032318D">
              <w:rPr>
                <w:color w:val="000000" w:themeColor="text1"/>
                <w:spacing w:val="-4"/>
                <w:lang w:val="en-GB"/>
              </w:rPr>
              <w:t xml:space="preserve"> </w:t>
            </w:r>
            <w:r>
              <w:rPr>
                <w:color w:val="000000" w:themeColor="text1"/>
                <w:spacing w:val="-4"/>
                <w:lang w:val="en-GB"/>
              </w:rPr>
              <w:t>strengthened by further 1.8</w:t>
            </w:r>
            <w:r w:rsidR="00954C8E">
              <w:rPr>
                <w:color w:val="000000" w:themeColor="text1"/>
                <w:spacing w:val="-4"/>
                <w:lang w:val="en-GB"/>
              </w:rPr>
              <w:t>%</w:t>
            </w:r>
            <w:r>
              <w:rPr>
                <w:color w:val="000000" w:themeColor="text1"/>
                <w:spacing w:val="-4"/>
                <w:lang w:val="en-GB"/>
              </w:rPr>
              <w:t xml:space="preserve"> during Q2, following the strong quarter-on-quarter growth at the beginning of the year </w:t>
            </w:r>
            <w:r w:rsidR="00B77FB7" w:rsidRPr="0032318D">
              <w:rPr>
                <w:color w:val="000000" w:themeColor="text1"/>
                <w:spacing w:val="-4"/>
                <w:lang w:val="en-GB"/>
              </w:rPr>
              <w:t>(+3</w:t>
            </w:r>
            <w:r>
              <w:rPr>
                <w:color w:val="000000" w:themeColor="text1"/>
                <w:spacing w:val="-4"/>
                <w:lang w:val="en-GB"/>
              </w:rPr>
              <w:t>.</w:t>
            </w:r>
            <w:r w:rsidR="00B77FB7" w:rsidRPr="0032318D">
              <w:rPr>
                <w:color w:val="000000" w:themeColor="text1"/>
                <w:spacing w:val="-4"/>
                <w:lang w:val="en-GB"/>
              </w:rPr>
              <w:t>4</w:t>
            </w:r>
            <w:r w:rsidR="00954C8E">
              <w:rPr>
                <w:color w:val="000000" w:themeColor="text1"/>
                <w:spacing w:val="-4"/>
                <w:lang w:val="en-GB"/>
              </w:rPr>
              <w:t>%</w:t>
            </w:r>
            <w:r w:rsidR="00654093" w:rsidRPr="0032318D">
              <w:rPr>
                <w:color w:val="000000" w:themeColor="text1"/>
                <w:spacing w:val="-4"/>
                <w:lang w:val="en-GB"/>
              </w:rPr>
              <w:t xml:space="preserve">, </w:t>
            </w:r>
            <w:r>
              <w:rPr>
                <w:color w:val="000000" w:themeColor="text1"/>
                <w:spacing w:val="-4"/>
                <w:lang w:val="en-GB"/>
              </w:rPr>
              <w:t xml:space="preserve">the highest since the end of year </w:t>
            </w:r>
            <w:r w:rsidR="00654093" w:rsidRPr="0032318D">
              <w:rPr>
                <w:color w:val="000000" w:themeColor="text1"/>
                <w:spacing w:val="-4"/>
                <w:lang w:val="en-GB"/>
              </w:rPr>
              <w:t>2014)</w:t>
            </w:r>
            <w:r>
              <w:rPr>
                <w:color w:val="000000" w:themeColor="text1"/>
                <w:spacing w:val="-4"/>
                <w:lang w:val="en-GB"/>
              </w:rPr>
              <w:t xml:space="preserve">. It thus grew by nearly doubled pace than in the EU and it also mildly overtook the strengthening industry in Germany </w:t>
            </w:r>
            <w:r w:rsidR="00654093" w:rsidRPr="0032318D">
              <w:rPr>
                <w:color w:val="000000" w:themeColor="text1"/>
                <w:spacing w:val="-4"/>
                <w:lang w:val="en-GB"/>
              </w:rPr>
              <w:t>(+</w:t>
            </w:r>
            <w:r w:rsidR="008D009F">
              <w:rPr>
                <w:color w:val="000000" w:themeColor="text1"/>
                <w:spacing w:val="-4"/>
                <w:lang w:val="en-GB"/>
              </w:rPr>
              <w:t xml:space="preserve"> </w:t>
            </w:r>
            <w:r w:rsidR="00654093" w:rsidRPr="0032318D">
              <w:rPr>
                <w:color w:val="000000" w:themeColor="text1"/>
                <w:spacing w:val="-4"/>
                <w:lang w:val="en-GB"/>
              </w:rPr>
              <w:t>1</w:t>
            </w:r>
            <w:r>
              <w:rPr>
                <w:color w:val="000000" w:themeColor="text1"/>
                <w:spacing w:val="-4"/>
                <w:lang w:val="en-GB"/>
              </w:rPr>
              <w:t>.</w:t>
            </w:r>
            <w:r w:rsidR="00654093" w:rsidRPr="0032318D">
              <w:rPr>
                <w:color w:val="000000" w:themeColor="text1"/>
                <w:spacing w:val="-4"/>
                <w:lang w:val="en-GB"/>
              </w:rPr>
              <w:t>7</w:t>
            </w:r>
            <w:r w:rsidR="00954C8E">
              <w:rPr>
                <w:color w:val="000000" w:themeColor="text1"/>
                <w:spacing w:val="-4"/>
                <w:lang w:val="en-GB"/>
              </w:rPr>
              <w:t>%</w:t>
            </w:r>
            <w:r w:rsidR="00654093" w:rsidRPr="0032318D">
              <w:rPr>
                <w:color w:val="000000" w:themeColor="text1"/>
                <w:spacing w:val="-4"/>
                <w:lang w:val="en-GB"/>
              </w:rPr>
              <w:t xml:space="preserve">). </w:t>
            </w:r>
            <w:r w:rsidR="002D2B94">
              <w:rPr>
                <w:color w:val="000000" w:themeColor="text1"/>
                <w:spacing w:val="-4"/>
                <w:lang w:val="en-GB"/>
              </w:rPr>
              <w:t>Year-on-year performance</w:t>
            </w:r>
            <w:r w:rsidR="00654093" w:rsidRPr="0032318D">
              <w:rPr>
                <w:rStyle w:val="Znakapoznpodarou"/>
                <w:color w:val="000000" w:themeColor="text1"/>
                <w:spacing w:val="-4"/>
                <w:lang w:val="en-GB"/>
              </w:rPr>
              <w:footnoteReference w:id="14"/>
            </w:r>
            <w:r w:rsidR="00654093" w:rsidRPr="0032318D">
              <w:rPr>
                <w:color w:val="000000" w:themeColor="text1"/>
                <w:spacing w:val="-4"/>
                <w:lang w:val="en-GB"/>
              </w:rPr>
              <w:t xml:space="preserve"> </w:t>
            </w:r>
            <w:r w:rsidR="00B06E35">
              <w:rPr>
                <w:color w:val="000000" w:themeColor="text1"/>
                <w:spacing w:val="-4"/>
                <w:lang w:val="en-GB"/>
              </w:rPr>
              <w:t xml:space="preserve">of industry in the CR thus climbed from </w:t>
            </w:r>
            <w:r w:rsidR="00654093" w:rsidRPr="0032318D">
              <w:rPr>
                <w:color w:val="000000" w:themeColor="text1"/>
                <w:spacing w:val="-4"/>
                <w:lang w:val="en-GB"/>
              </w:rPr>
              <w:t>4</w:t>
            </w:r>
            <w:r w:rsidR="00B06E35">
              <w:rPr>
                <w:color w:val="000000" w:themeColor="text1"/>
                <w:spacing w:val="-4"/>
                <w:lang w:val="en-GB"/>
              </w:rPr>
              <w:t>.</w:t>
            </w:r>
            <w:r w:rsidR="00654093" w:rsidRPr="0032318D">
              <w:rPr>
                <w:color w:val="000000" w:themeColor="text1"/>
                <w:spacing w:val="-4"/>
                <w:lang w:val="en-GB"/>
              </w:rPr>
              <w:t>9</w:t>
            </w:r>
            <w:r w:rsidR="00954C8E">
              <w:rPr>
                <w:color w:val="000000" w:themeColor="text1"/>
                <w:spacing w:val="-4"/>
                <w:lang w:val="en-GB"/>
              </w:rPr>
              <w:t>%</w:t>
            </w:r>
            <w:r w:rsidR="00654093" w:rsidRPr="0032318D">
              <w:rPr>
                <w:color w:val="000000" w:themeColor="text1"/>
                <w:spacing w:val="-4"/>
                <w:lang w:val="en-GB"/>
              </w:rPr>
              <w:t xml:space="preserve"> </w:t>
            </w:r>
            <w:r w:rsidR="00B06E35">
              <w:rPr>
                <w:color w:val="000000" w:themeColor="text1"/>
                <w:spacing w:val="-4"/>
                <w:lang w:val="en-GB"/>
              </w:rPr>
              <w:t>in Q</w:t>
            </w:r>
            <w:r w:rsidR="00654093" w:rsidRPr="0032318D">
              <w:rPr>
                <w:color w:val="000000" w:themeColor="text1"/>
                <w:spacing w:val="-4"/>
                <w:lang w:val="en-GB"/>
              </w:rPr>
              <w:t>1</w:t>
            </w:r>
            <w:r w:rsidR="00B06E35">
              <w:rPr>
                <w:color w:val="000000" w:themeColor="text1"/>
                <w:spacing w:val="-4"/>
                <w:lang w:val="en-GB"/>
              </w:rPr>
              <w:t xml:space="preserve"> to </w:t>
            </w:r>
            <w:r w:rsidR="00654093" w:rsidRPr="0032318D">
              <w:rPr>
                <w:color w:val="000000" w:themeColor="text1"/>
                <w:spacing w:val="-4"/>
                <w:lang w:val="en-GB"/>
              </w:rPr>
              <w:t>6</w:t>
            </w:r>
            <w:r w:rsidR="008D009F">
              <w:rPr>
                <w:color w:val="000000" w:themeColor="text1"/>
                <w:spacing w:val="-4"/>
                <w:lang w:val="en-GB"/>
              </w:rPr>
              <w:t>.</w:t>
            </w:r>
            <w:r w:rsidR="00654093" w:rsidRPr="0032318D">
              <w:rPr>
                <w:color w:val="000000" w:themeColor="text1"/>
                <w:spacing w:val="-4"/>
                <w:lang w:val="en-GB"/>
              </w:rPr>
              <w:t>8</w:t>
            </w:r>
            <w:r w:rsidR="00954C8E">
              <w:rPr>
                <w:color w:val="000000" w:themeColor="text1"/>
                <w:spacing w:val="-4"/>
                <w:lang w:val="en-GB"/>
              </w:rPr>
              <w:t>%</w:t>
            </w:r>
            <w:r w:rsidR="00654093" w:rsidRPr="0032318D">
              <w:rPr>
                <w:color w:val="000000" w:themeColor="text1"/>
                <w:spacing w:val="-4"/>
                <w:lang w:val="en-GB"/>
              </w:rPr>
              <w:t xml:space="preserve"> </w:t>
            </w:r>
            <w:r w:rsidR="00B06E35">
              <w:rPr>
                <w:color w:val="000000" w:themeColor="text1"/>
                <w:spacing w:val="-4"/>
                <w:lang w:val="en-GB"/>
              </w:rPr>
              <w:t xml:space="preserve">in the subsequent quarter and thus achieved the best rate of growth since half of year 2011, when it was </w:t>
            </w:r>
            <w:r w:rsidR="000C57C5" w:rsidRPr="0032318D">
              <w:rPr>
                <w:color w:val="000000" w:themeColor="text1"/>
                <w:spacing w:val="-4"/>
                <w:lang w:val="en-GB"/>
              </w:rPr>
              <w:t>„</w:t>
            </w:r>
            <w:r w:rsidR="002321D8">
              <w:rPr>
                <w:color w:val="000000" w:themeColor="text1"/>
                <w:spacing w:val="-4"/>
                <w:lang w:val="en-GB"/>
              </w:rPr>
              <w:t>recuperating</w:t>
            </w:r>
            <w:proofErr w:type="gramStart"/>
            <w:r w:rsidR="002321D8" w:rsidRPr="0032318D">
              <w:rPr>
                <w:color w:val="000000" w:themeColor="text1"/>
                <w:spacing w:val="-4"/>
                <w:lang w:val="en-GB"/>
              </w:rPr>
              <w:t>“</w:t>
            </w:r>
            <w:r w:rsidR="002321D8">
              <w:rPr>
                <w:color w:val="000000" w:themeColor="text1"/>
                <w:spacing w:val="-4"/>
                <w:lang w:val="en-GB"/>
              </w:rPr>
              <w:t xml:space="preserve"> from</w:t>
            </w:r>
            <w:proofErr w:type="gramEnd"/>
            <w:r w:rsidR="00B06E35">
              <w:rPr>
                <w:color w:val="000000" w:themeColor="text1"/>
                <w:spacing w:val="-4"/>
                <w:lang w:val="en-GB"/>
              </w:rPr>
              <w:t xml:space="preserve"> the aftermath of deep recession. Good economic situation in the main export territories, but also the strengthening domestic demand stood behind these results. </w:t>
            </w:r>
          </w:p>
          <w:p w:rsidR="00B06E35" w:rsidRPr="0032318D" w:rsidRDefault="00B06E35" w:rsidP="00B06E35">
            <w:pPr>
              <w:pStyle w:val="Textpoznpodarou"/>
              <w:jc w:val="both"/>
              <w:rPr>
                <w:spacing w:val="-4"/>
                <w:sz w:val="15"/>
                <w:szCs w:val="15"/>
                <w:lang w:val="en-GB"/>
              </w:rPr>
            </w:pPr>
          </w:p>
        </w:tc>
      </w:tr>
      <w:tr w:rsidR="00654093" w:rsidRPr="00A74192" w:rsidTr="00853C0F">
        <w:trPr>
          <w:trHeight w:val="145"/>
        </w:trPr>
        <w:tc>
          <w:tcPr>
            <w:tcW w:w="1016" w:type="pct"/>
            <w:shd w:val="clear" w:color="auto" w:fill="auto"/>
          </w:tcPr>
          <w:p w:rsidR="00654093" w:rsidRPr="0032318D" w:rsidRDefault="0032318D" w:rsidP="00853C0F">
            <w:pPr>
              <w:spacing w:line="240" w:lineRule="auto"/>
              <w:rPr>
                <w:sz w:val="16"/>
                <w:szCs w:val="16"/>
                <w:lang w:val="en-GB"/>
              </w:rPr>
            </w:pPr>
            <w:r w:rsidRPr="0032318D">
              <w:rPr>
                <w:sz w:val="16"/>
                <w:szCs w:val="16"/>
                <w:lang w:val="en-GB"/>
              </w:rPr>
              <w:lastRenderedPageBreak/>
              <w:t>Strong growth of the</w:t>
            </w:r>
            <w:r>
              <w:rPr>
                <w:sz w:val="16"/>
                <w:szCs w:val="16"/>
                <w:lang w:val="en-GB"/>
              </w:rPr>
              <w:t xml:space="preserve"> motor vehicle industry</w:t>
            </w:r>
            <w:r w:rsidR="00DA7B54">
              <w:rPr>
                <w:sz w:val="16"/>
                <w:szCs w:val="16"/>
                <w:lang w:val="en-GB"/>
              </w:rPr>
              <w:t xml:space="preserve"> as well as its main</w:t>
            </w:r>
            <w:r w:rsidR="002321D8">
              <w:rPr>
                <w:sz w:val="16"/>
                <w:szCs w:val="16"/>
                <w:lang w:val="en-GB"/>
              </w:rPr>
              <w:t xml:space="preserve"> subcontractors </w:t>
            </w:r>
            <w:r>
              <w:rPr>
                <w:sz w:val="16"/>
                <w:szCs w:val="16"/>
                <w:lang w:val="en-GB"/>
              </w:rPr>
              <w:t>persisted</w:t>
            </w:r>
            <w:r w:rsidR="00DA7B54">
              <w:rPr>
                <w:sz w:val="16"/>
                <w:szCs w:val="16"/>
                <w:lang w:val="en-GB"/>
              </w:rPr>
              <w:t xml:space="preserve">. </w:t>
            </w:r>
          </w:p>
        </w:tc>
        <w:tc>
          <w:tcPr>
            <w:tcW w:w="144" w:type="pct"/>
          </w:tcPr>
          <w:p w:rsidR="00654093" w:rsidRPr="0032318D" w:rsidRDefault="00654093" w:rsidP="00853C0F">
            <w:pPr>
              <w:pStyle w:val="Textpoznpodarou"/>
              <w:jc w:val="both"/>
              <w:rPr>
                <w:spacing w:val="-2"/>
                <w:lang w:val="en-GB"/>
              </w:rPr>
            </w:pPr>
          </w:p>
        </w:tc>
        <w:tc>
          <w:tcPr>
            <w:tcW w:w="3840" w:type="pct"/>
          </w:tcPr>
          <w:p w:rsidR="00654093" w:rsidRPr="0032318D" w:rsidRDefault="005742F9" w:rsidP="00853C0F">
            <w:pPr>
              <w:pStyle w:val="Textpoznpodarou"/>
              <w:jc w:val="both"/>
              <w:rPr>
                <w:spacing w:val="-4"/>
                <w:lang w:val="en-GB"/>
              </w:rPr>
            </w:pPr>
            <w:r>
              <w:rPr>
                <w:spacing w:val="-4"/>
                <w:lang w:val="en-GB"/>
              </w:rPr>
              <w:t xml:space="preserve">The traditional “driving branches” of the Czech industry still maintained their key role – the manufacture of motor vehicles </w:t>
            </w:r>
            <w:r w:rsidR="002321D8">
              <w:rPr>
                <w:spacing w:val="-4"/>
                <w:lang w:val="en-GB"/>
              </w:rPr>
              <w:t>together</w:t>
            </w:r>
            <w:r>
              <w:rPr>
                <w:spacing w:val="-4"/>
                <w:lang w:val="en-GB"/>
              </w:rPr>
              <w:t xml:space="preserve"> with the nearest </w:t>
            </w:r>
            <w:r w:rsidR="002321D8">
              <w:rPr>
                <w:spacing w:val="-4"/>
                <w:lang w:val="en-GB"/>
              </w:rPr>
              <w:t>associated fields</w:t>
            </w:r>
            <w:r w:rsidR="00654093" w:rsidRPr="0032318D">
              <w:rPr>
                <w:spacing w:val="-4"/>
                <w:lang w:val="en-GB"/>
              </w:rPr>
              <w:t xml:space="preserve">. </w:t>
            </w:r>
            <w:r>
              <w:rPr>
                <w:spacing w:val="-4"/>
                <w:lang w:val="en-GB"/>
              </w:rPr>
              <w:t xml:space="preserve">Output of the motor vehicle industry was by one tenth higher in both this year´s quarters. </w:t>
            </w:r>
            <w:r w:rsidR="00677CA8">
              <w:rPr>
                <w:spacing w:val="-4"/>
                <w:lang w:val="en-GB"/>
              </w:rPr>
              <w:t>It can be derived from the data about s</w:t>
            </w:r>
            <w:r w:rsidR="00DC7F3C">
              <w:rPr>
                <w:spacing w:val="-4"/>
                <w:lang w:val="en-GB"/>
              </w:rPr>
              <w:t>a</w:t>
            </w:r>
            <w:r w:rsidR="00677CA8">
              <w:rPr>
                <w:spacing w:val="-4"/>
                <w:lang w:val="en-GB"/>
              </w:rPr>
              <w:t xml:space="preserve">les as well as </w:t>
            </w:r>
            <w:proofErr w:type="gramStart"/>
            <w:r w:rsidR="00677CA8">
              <w:rPr>
                <w:spacing w:val="-4"/>
                <w:lang w:val="en-GB"/>
              </w:rPr>
              <w:t>orders, that</w:t>
            </w:r>
            <w:proofErr w:type="gramEnd"/>
            <w:r w:rsidR="00677CA8">
              <w:rPr>
                <w:spacing w:val="-4"/>
                <w:lang w:val="en-GB"/>
              </w:rPr>
              <w:t xml:space="preserve"> the foreign demand grew faster. The growth of the physical amount of manufactured motor vehicles</w:t>
            </w:r>
            <w:r w:rsidR="00654093" w:rsidRPr="0032318D">
              <w:rPr>
                <w:rStyle w:val="Znakapoznpodarou"/>
                <w:spacing w:val="-4"/>
                <w:lang w:val="en-GB"/>
              </w:rPr>
              <w:footnoteReference w:id="15"/>
            </w:r>
            <w:r w:rsidR="00677CA8">
              <w:rPr>
                <w:spacing w:val="-4"/>
                <w:lang w:val="en-GB"/>
              </w:rPr>
              <w:t xml:space="preserve"> grew further</w:t>
            </w:r>
            <w:r w:rsidR="00DC7F3C">
              <w:rPr>
                <w:spacing w:val="-4"/>
                <w:lang w:val="en-GB"/>
              </w:rPr>
              <w:t xml:space="preserve">. The manufacture of electrical appliances </w:t>
            </w:r>
            <w:r w:rsidR="00654093" w:rsidRPr="0032318D">
              <w:rPr>
                <w:spacing w:val="-4"/>
                <w:lang w:val="en-GB"/>
              </w:rPr>
              <w:t>(+8</w:t>
            </w:r>
            <w:r w:rsidR="00DC7F3C">
              <w:rPr>
                <w:spacing w:val="-4"/>
                <w:lang w:val="en-GB"/>
              </w:rPr>
              <w:t>.</w:t>
            </w:r>
            <w:r w:rsidR="00654093" w:rsidRPr="0032318D">
              <w:rPr>
                <w:spacing w:val="-4"/>
                <w:lang w:val="en-GB"/>
              </w:rPr>
              <w:t>4</w:t>
            </w:r>
            <w:r w:rsidR="00954C8E">
              <w:rPr>
                <w:spacing w:val="-4"/>
                <w:lang w:val="en-GB"/>
              </w:rPr>
              <w:t>%</w:t>
            </w:r>
            <w:r w:rsidR="00654093" w:rsidRPr="0032318D">
              <w:rPr>
                <w:spacing w:val="-4"/>
                <w:lang w:val="en-GB"/>
              </w:rPr>
              <w:t>)</w:t>
            </w:r>
            <w:r w:rsidR="00DC7F3C">
              <w:rPr>
                <w:spacing w:val="-4"/>
                <w:lang w:val="en-GB"/>
              </w:rPr>
              <w:t xml:space="preserve">, as well as the </w:t>
            </w:r>
            <w:r w:rsidR="002321D8">
              <w:rPr>
                <w:spacing w:val="-4"/>
                <w:lang w:val="en-GB"/>
              </w:rPr>
              <w:t xml:space="preserve">manufacture of plastic and rubber products </w:t>
            </w:r>
            <w:r w:rsidR="00DC7F3C" w:rsidRPr="0032318D">
              <w:rPr>
                <w:spacing w:val="-4"/>
                <w:lang w:val="en-GB"/>
              </w:rPr>
              <w:t>(+9</w:t>
            </w:r>
            <w:r w:rsidR="00537FA2">
              <w:rPr>
                <w:spacing w:val="-4"/>
                <w:lang w:val="en-GB"/>
              </w:rPr>
              <w:t>.</w:t>
            </w:r>
            <w:r w:rsidR="00DC7F3C" w:rsidRPr="0032318D">
              <w:rPr>
                <w:spacing w:val="-4"/>
                <w:lang w:val="en-GB"/>
              </w:rPr>
              <w:t>2</w:t>
            </w:r>
            <w:r w:rsidR="00954C8E">
              <w:rPr>
                <w:spacing w:val="-4"/>
                <w:lang w:val="en-GB"/>
              </w:rPr>
              <w:t>%</w:t>
            </w:r>
            <w:r w:rsidR="00DC7F3C" w:rsidRPr="0032318D">
              <w:rPr>
                <w:spacing w:val="-4"/>
                <w:lang w:val="en-GB"/>
              </w:rPr>
              <w:t>)</w:t>
            </w:r>
            <w:r w:rsidR="00DC7F3C">
              <w:rPr>
                <w:spacing w:val="-4"/>
                <w:lang w:val="en-GB"/>
              </w:rPr>
              <w:t xml:space="preserve"> </w:t>
            </w:r>
            <w:r w:rsidR="00D66368">
              <w:rPr>
                <w:spacing w:val="-4"/>
                <w:lang w:val="en-GB"/>
              </w:rPr>
              <w:t xml:space="preserve">were riding the wave of the development of the motor vehicle industry in H1. The rate of growth of output markedly increased in the manufacture of computers, electronic and optical </w:t>
            </w:r>
            <w:r w:rsidR="00537FA2">
              <w:rPr>
                <w:spacing w:val="-4"/>
                <w:lang w:val="en-GB"/>
              </w:rPr>
              <w:t>products</w:t>
            </w:r>
            <w:r w:rsidR="00D66368">
              <w:rPr>
                <w:spacing w:val="-4"/>
                <w:lang w:val="en-GB"/>
              </w:rPr>
              <w:t xml:space="preserve"> </w:t>
            </w:r>
            <w:r w:rsidR="00DC7F3C">
              <w:rPr>
                <w:spacing w:val="-4"/>
                <w:lang w:val="en-GB"/>
              </w:rPr>
              <w:t>(</w:t>
            </w:r>
            <w:r w:rsidR="00D66368">
              <w:rPr>
                <w:spacing w:val="-4"/>
                <w:lang w:val="en-GB"/>
              </w:rPr>
              <w:t xml:space="preserve">from </w:t>
            </w:r>
            <w:r w:rsidR="00654093" w:rsidRPr="0032318D">
              <w:rPr>
                <w:spacing w:val="-4"/>
                <w:lang w:val="en-GB"/>
              </w:rPr>
              <w:t>7</w:t>
            </w:r>
            <w:r w:rsidR="00D66368">
              <w:rPr>
                <w:spacing w:val="-4"/>
                <w:lang w:val="en-GB"/>
              </w:rPr>
              <w:t>.</w:t>
            </w:r>
            <w:r w:rsidR="00654093" w:rsidRPr="0032318D">
              <w:rPr>
                <w:spacing w:val="-4"/>
                <w:lang w:val="en-GB"/>
              </w:rPr>
              <w:t>5</w:t>
            </w:r>
            <w:r w:rsidR="00954C8E">
              <w:rPr>
                <w:spacing w:val="-4"/>
                <w:lang w:val="en-GB"/>
              </w:rPr>
              <w:t>%</w:t>
            </w:r>
            <w:r w:rsidR="00D66368">
              <w:rPr>
                <w:spacing w:val="-4"/>
                <w:lang w:val="en-GB"/>
              </w:rPr>
              <w:t xml:space="preserve"> from the beginning of the year to 1</w:t>
            </w:r>
            <w:r w:rsidR="00654093" w:rsidRPr="0032318D">
              <w:rPr>
                <w:spacing w:val="-4"/>
                <w:lang w:val="en-GB"/>
              </w:rPr>
              <w:t>8</w:t>
            </w:r>
            <w:r w:rsidR="00D66368">
              <w:rPr>
                <w:spacing w:val="-4"/>
                <w:lang w:val="en-GB"/>
              </w:rPr>
              <w:t>.</w:t>
            </w:r>
            <w:r w:rsidR="00654093" w:rsidRPr="0032318D">
              <w:rPr>
                <w:spacing w:val="-4"/>
                <w:lang w:val="en-GB"/>
              </w:rPr>
              <w:t>1</w:t>
            </w:r>
            <w:r w:rsidR="00954C8E">
              <w:rPr>
                <w:spacing w:val="-4"/>
                <w:lang w:val="en-GB"/>
              </w:rPr>
              <w:t>%</w:t>
            </w:r>
            <w:r w:rsidR="00654093" w:rsidRPr="0032318D">
              <w:rPr>
                <w:spacing w:val="-4"/>
                <w:lang w:val="en-GB"/>
              </w:rPr>
              <w:t xml:space="preserve"> </w:t>
            </w:r>
            <w:r w:rsidR="00D66368">
              <w:rPr>
                <w:spacing w:val="-4"/>
                <w:lang w:val="en-GB"/>
              </w:rPr>
              <w:t>in the following quarter</w:t>
            </w:r>
            <w:r w:rsidR="00654093" w:rsidRPr="0032318D">
              <w:rPr>
                <w:spacing w:val="-4"/>
                <w:lang w:val="en-GB"/>
              </w:rPr>
              <w:t xml:space="preserve">). </w:t>
            </w:r>
            <w:r w:rsidR="005F23BB">
              <w:rPr>
                <w:spacing w:val="-4"/>
                <w:lang w:val="en-GB"/>
              </w:rPr>
              <w:t xml:space="preserve">The revival of the domestic demand also assisted this result </w:t>
            </w:r>
            <w:r w:rsidR="00654093" w:rsidRPr="0032318D">
              <w:rPr>
                <w:spacing w:val="-4"/>
                <w:lang w:val="en-GB"/>
              </w:rPr>
              <w:t>(</w:t>
            </w:r>
            <w:r w:rsidR="005F23BB">
              <w:rPr>
                <w:spacing w:val="-4"/>
                <w:lang w:val="en-GB"/>
              </w:rPr>
              <w:t>the value of domestic orders increased by 22</w:t>
            </w:r>
            <w:r w:rsidR="00954C8E">
              <w:rPr>
                <w:spacing w:val="-4"/>
                <w:lang w:val="en-GB"/>
              </w:rPr>
              <w:t>%</w:t>
            </w:r>
            <w:r w:rsidR="005F23BB">
              <w:rPr>
                <w:spacing w:val="-4"/>
                <w:lang w:val="en-GB"/>
              </w:rPr>
              <w:t xml:space="preserve"> year-on-year in Q2</w:t>
            </w:r>
            <w:r w:rsidR="00654093" w:rsidRPr="0032318D">
              <w:rPr>
                <w:spacing w:val="-4"/>
                <w:lang w:val="en-GB"/>
              </w:rPr>
              <w:t>).</w:t>
            </w:r>
          </w:p>
          <w:p w:rsidR="00654093" w:rsidRPr="0032318D" w:rsidRDefault="00654093" w:rsidP="00853C0F">
            <w:pPr>
              <w:pStyle w:val="Textpoznpodarou"/>
              <w:jc w:val="both"/>
              <w:rPr>
                <w:spacing w:val="-4"/>
                <w:sz w:val="15"/>
                <w:szCs w:val="15"/>
                <w:lang w:val="en-GB"/>
              </w:rPr>
            </w:pPr>
          </w:p>
        </w:tc>
      </w:tr>
      <w:tr w:rsidR="00654093" w:rsidRPr="00A74192" w:rsidTr="00853C0F">
        <w:trPr>
          <w:trHeight w:val="145"/>
        </w:trPr>
        <w:tc>
          <w:tcPr>
            <w:tcW w:w="1016" w:type="pct"/>
            <w:shd w:val="clear" w:color="auto" w:fill="auto"/>
          </w:tcPr>
          <w:p w:rsidR="00654093" w:rsidRPr="000C2529" w:rsidRDefault="000C2529" w:rsidP="00853C0F">
            <w:pPr>
              <w:spacing w:line="240" w:lineRule="auto"/>
              <w:rPr>
                <w:spacing w:val="-2"/>
                <w:sz w:val="16"/>
                <w:szCs w:val="16"/>
                <w:lang w:val="en-GB"/>
              </w:rPr>
            </w:pPr>
            <w:r w:rsidRPr="000C2529">
              <w:rPr>
                <w:spacing w:val="-2"/>
                <w:sz w:val="16"/>
                <w:szCs w:val="16"/>
                <w:lang w:val="en-GB"/>
              </w:rPr>
              <w:t xml:space="preserve">Output of machinery quickened to the highest pace in the last six years. Fully renewed capacities of the chemical industry enabled to exceed the level of output before the accidents. </w:t>
            </w:r>
          </w:p>
        </w:tc>
        <w:tc>
          <w:tcPr>
            <w:tcW w:w="144" w:type="pct"/>
          </w:tcPr>
          <w:p w:rsidR="00654093" w:rsidRPr="000C2529" w:rsidRDefault="00654093" w:rsidP="00853C0F">
            <w:pPr>
              <w:rPr>
                <w:color w:val="000000" w:themeColor="text1"/>
                <w:szCs w:val="16"/>
                <w:lang w:val="en-GB"/>
              </w:rPr>
            </w:pPr>
          </w:p>
        </w:tc>
        <w:tc>
          <w:tcPr>
            <w:tcW w:w="3840" w:type="pct"/>
          </w:tcPr>
          <w:p w:rsidR="00654093" w:rsidRPr="000C2529" w:rsidRDefault="003F244B" w:rsidP="00853C0F">
            <w:pPr>
              <w:pStyle w:val="Textpoznpodarou"/>
              <w:jc w:val="both"/>
              <w:rPr>
                <w:spacing w:val="-4"/>
                <w:lang w:val="en-GB"/>
              </w:rPr>
            </w:pPr>
            <w:r>
              <w:rPr>
                <w:spacing w:val="-4"/>
                <w:lang w:val="en-GB"/>
              </w:rPr>
              <w:t xml:space="preserve">It was favourable for the whole economy, that the significant industrial branches, which are to a higher extent interconnected also to the domestic demand, revived this year. Output of machinery increased by the highest rate of growth in H1 </w:t>
            </w:r>
            <w:r w:rsidR="00654093" w:rsidRPr="000C2529">
              <w:rPr>
                <w:spacing w:val="-4"/>
                <w:lang w:val="en-GB"/>
              </w:rPr>
              <w:t>(7</w:t>
            </w:r>
            <w:r>
              <w:rPr>
                <w:spacing w:val="-4"/>
                <w:lang w:val="en-GB"/>
              </w:rPr>
              <w:t>.</w:t>
            </w:r>
            <w:r w:rsidR="00654093" w:rsidRPr="000C2529">
              <w:rPr>
                <w:spacing w:val="-4"/>
                <w:lang w:val="en-GB"/>
              </w:rPr>
              <w:t>7</w:t>
            </w:r>
            <w:r w:rsidR="00954C8E">
              <w:rPr>
                <w:spacing w:val="-4"/>
                <w:lang w:val="en-GB"/>
              </w:rPr>
              <w:t>%</w:t>
            </w:r>
            <w:r w:rsidR="00654093" w:rsidRPr="000C2529">
              <w:rPr>
                <w:spacing w:val="-4"/>
                <w:lang w:val="en-GB"/>
              </w:rPr>
              <w:t xml:space="preserve">) </w:t>
            </w:r>
            <w:r>
              <w:rPr>
                <w:spacing w:val="-4"/>
                <w:lang w:val="en-GB"/>
              </w:rPr>
              <w:t xml:space="preserve">in the last six years. </w:t>
            </w:r>
            <w:r w:rsidR="009B4764">
              <w:rPr>
                <w:spacing w:val="-4"/>
                <w:lang w:val="en-GB"/>
              </w:rPr>
              <w:t xml:space="preserve">Essential was also the full renewal of production capacities in the chemical industry, which was reflected both in orders </w:t>
            </w:r>
            <w:r w:rsidR="00654093" w:rsidRPr="000C2529">
              <w:rPr>
                <w:spacing w:val="-4"/>
                <w:lang w:val="en-GB"/>
              </w:rPr>
              <w:t>(+25</w:t>
            </w:r>
            <w:r w:rsidR="00954C8E">
              <w:rPr>
                <w:spacing w:val="-4"/>
                <w:lang w:val="en-GB"/>
              </w:rPr>
              <w:t>%</w:t>
            </w:r>
            <w:r w:rsidR="00654093" w:rsidRPr="000C2529">
              <w:rPr>
                <w:spacing w:val="-4"/>
                <w:lang w:val="en-GB"/>
              </w:rPr>
              <w:t>)</w:t>
            </w:r>
            <w:r w:rsidR="009B4764">
              <w:rPr>
                <w:spacing w:val="-4"/>
                <w:lang w:val="en-GB"/>
              </w:rPr>
              <w:t xml:space="preserve"> and in the increased output </w:t>
            </w:r>
            <w:r w:rsidR="00654093" w:rsidRPr="000C2529">
              <w:rPr>
                <w:spacing w:val="-4"/>
                <w:lang w:val="en-GB"/>
              </w:rPr>
              <w:t>(21</w:t>
            </w:r>
            <w:r w:rsidR="00954C8E">
              <w:rPr>
                <w:spacing w:val="-4"/>
                <w:lang w:val="en-GB"/>
              </w:rPr>
              <w:t>%</w:t>
            </w:r>
            <w:r w:rsidR="00654093" w:rsidRPr="000C2529">
              <w:rPr>
                <w:spacing w:val="-4"/>
                <w:lang w:val="en-GB"/>
              </w:rPr>
              <w:t xml:space="preserve">), </w:t>
            </w:r>
            <w:r w:rsidR="009B4764">
              <w:rPr>
                <w:spacing w:val="-4"/>
                <w:lang w:val="en-GB"/>
              </w:rPr>
              <w:t xml:space="preserve">which already exceeded the level before the crashes </w:t>
            </w:r>
            <w:r w:rsidR="00654093" w:rsidRPr="000C2529">
              <w:rPr>
                <w:spacing w:val="-4"/>
                <w:lang w:val="en-GB"/>
              </w:rPr>
              <w:t>(</w:t>
            </w:r>
            <w:r w:rsidR="009B4764">
              <w:rPr>
                <w:spacing w:val="-4"/>
                <w:lang w:val="en-GB"/>
              </w:rPr>
              <w:t>Q</w:t>
            </w:r>
            <w:r w:rsidR="00654093" w:rsidRPr="000C2529">
              <w:rPr>
                <w:spacing w:val="-4"/>
                <w:lang w:val="en-GB"/>
              </w:rPr>
              <w:t>2</w:t>
            </w:r>
            <w:r w:rsidR="009B4764">
              <w:rPr>
                <w:spacing w:val="-4"/>
                <w:lang w:val="en-GB"/>
              </w:rPr>
              <w:t xml:space="preserve"> </w:t>
            </w:r>
            <w:r w:rsidR="00654093" w:rsidRPr="000C2529">
              <w:rPr>
                <w:spacing w:val="-4"/>
                <w:lang w:val="en-GB"/>
              </w:rPr>
              <w:t xml:space="preserve">2015). </w:t>
            </w:r>
            <w:proofErr w:type="gramStart"/>
            <w:r w:rsidR="00775512">
              <w:rPr>
                <w:spacing w:val="-4"/>
                <w:lang w:val="en-GB"/>
              </w:rPr>
              <w:t>Increase of the temporarily limited production capacities as well as the relatively colde</w:t>
            </w:r>
            <w:r w:rsidR="007B6176">
              <w:rPr>
                <w:spacing w:val="-4"/>
                <w:lang w:val="en-GB"/>
              </w:rPr>
              <w:t>r</w:t>
            </w:r>
            <w:r w:rsidR="00775512">
              <w:rPr>
                <w:spacing w:val="-4"/>
                <w:lang w:val="en-GB"/>
              </w:rPr>
              <w:t xml:space="preserve"> winter were</w:t>
            </w:r>
            <w:proofErr w:type="gramEnd"/>
            <w:r w:rsidR="00775512">
              <w:rPr>
                <w:spacing w:val="-4"/>
                <w:lang w:val="en-GB"/>
              </w:rPr>
              <w:t xml:space="preserve"> reflected in the higher output of </w:t>
            </w:r>
            <w:proofErr w:type="spellStart"/>
            <w:r w:rsidR="00775512">
              <w:rPr>
                <w:spacing w:val="-4"/>
                <w:lang w:val="en-GB"/>
              </w:rPr>
              <w:t>energetics</w:t>
            </w:r>
            <w:proofErr w:type="spellEnd"/>
            <w:r w:rsidR="00775512">
              <w:rPr>
                <w:spacing w:val="-4"/>
                <w:lang w:val="en-GB"/>
              </w:rPr>
              <w:t xml:space="preserve"> </w:t>
            </w:r>
            <w:r w:rsidR="00B77FB7" w:rsidRPr="000C2529">
              <w:rPr>
                <w:spacing w:val="-4"/>
                <w:lang w:val="en-GB"/>
              </w:rPr>
              <w:t>(</w:t>
            </w:r>
            <w:r w:rsidR="00775512">
              <w:rPr>
                <w:spacing w:val="-4"/>
                <w:lang w:val="en-GB"/>
              </w:rPr>
              <w:t>by</w:t>
            </w:r>
            <w:r w:rsidR="00B77FB7" w:rsidRPr="000C2529">
              <w:rPr>
                <w:spacing w:val="-4"/>
                <w:lang w:val="en-GB"/>
              </w:rPr>
              <w:t xml:space="preserve"> 2</w:t>
            </w:r>
            <w:r w:rsidR="00775512">
              <w:rPr>
                <w:spacing w:val="-4"/>
                <w:lang w:val="en-GB"/>
              </w:rPr>
              <w:t>.</w:t>
            </w:r>
            <w:r w:rsidR="009D77CF">
              <w:rPr>
                <w:spacing w:val="-4"/>
                <w:lang w:val="en-GB"/>
              </w:rPr>
              <w:t>6</w:t>
            </w:r>
            <w:r w:rsidR="00954C8E">
              <w:rPr>
                <w:spacing w:val="-4"/>
                <w:lang w:val="en-GB"/>
              </w:rPr>
              <w:t>%</w:t>
            </w:r>
            <w:r w:rsidR="00654093" w:rsidRPr="000C2529">
              <w:rPr>
                <w:spacing w:val="-4"/>
                <w:lang w:val="en-GB"/>
              </w:rPr>
              <w:t xml:space="preserve">). </w:t>
            </w:r>
            <w:r w:rsidR="0071156F">
              <w:rPr>
                <w:spacing w:val="-4"/>
                <w:lang w:val="en-GB"/>
              </w:rPr>
              <w:t>The second most significant branch with regards to the weight o</w:t>
            </w:r>
            <w:r w:rsidR="008D3594">
              <w:rPr>
                <w:spacing w:val="-4"/>
                <w:lang w:val="en-GB"/>
              </w:rPr>
              <w:t>f</w:t>
            </w:r>
            <w:r w:rsidR="0071156F">
              <w:rPr>
                <w:spacing w:val="-4"/>
                <w:lang w:val="en-GB"/>
              </w:rPr>
              <w:t xml:space="preserve"> the output – </w:t>
            </w:r>
            <w:r w:rsidR="008D3594">
              <w:rPr>
                <w:spacing w:val="-4"/>
                <w:lang w:val="en-GB"/>
              </w:rPr>
              <w:t>manufacture of metal products</w:t>
            </w:r>
            <w:r w:rsidR="0071156F">
              <w:rPr>
                <w:spacing w:val="-4"/>
                <w:lang w:val="en-GB"/>
              </w:rPr>
              <w:t xml:space="preserve"> – grew by 5.4</w:t>
            </w:r>
            <w:r w:rsidR="00954C8E">
              <w:rPr>
                <w:spacing w:val="-4"/>
                <w:lang w:val="en-GB"/>
              </w:rPr>
              <w:t>%</w:t>
            </w:r>
            <w:r w:rsidR="0071156F">
              <w:rPr>
                <w:spacing w:val="-4"/>
                <w:lang w:val="en-GB"/>
              </w:rPr>
              <w:t xml:space="preserve"> this year (the output increased by more than 8</w:t>
            </w:r>
            <w:r w:rsidR="00954C8E">
              <w:rPr>
                <w:spacing w:val="-4"/>
                <w:lang w:val="en-GB"/>
              </w:rPr>
              <w:t>%</w:t>
            </w:r>
            <w:r w:rsidR="0071156F">
              <w:rPr>
                <w:spacing w:val="-4"/>
                <w:lang w:val="en-GB"/>
              </w:rPr>
              <w:t xml:space="preserve"> in Q2 itself</w:t>
            </w:r>
            <w:r w:rsidR="00654093" w:rsidRPr="000C2529">
              <w:rPr>
                <w:spacing w:val="-4"/>
                <w:lang w:val="en-GB"/>
              </w:rPr>
              <w:t xml:space="preserve">). </w:t>
            </w:r>
            <w:r w:rsidR="00585AD5">
              <w:rPr>
                <w:spacing w:val="-4"/>
                <w:lang w:val="en-GB"/>
              </w:rPr>
              <w:t xml:space="preserve">Among the smaller branches, especially the export oriented pharmaceutical industry, whose output increased by one tenth year-on-year and by more than one quarter in four years, fared well. </w:t>
            </w:r>
            <w:r w:rsidR="001D1876">
              <w:rPr>
                <w:spacing w:val="-4"/>
                <w:lang w:val="en-GB"/>
              </w:rPr>
              <w:t>The paper, furniture and textile industries also continuously grow since the last recession.</w:t>
            </w:r>
          </w:p>
          <w:p w:rsidR="00654093" w:rsidRPr="000C2529" w:rsidRDefault="00654093" w:rsidP="00853C0F">
            <w:pPr>
              <w:pStyle w:val="Textpoznpodarou"/>
              <w:jc w:val="both"/>
              <w:rPr>
                <w:color w:val="000000" w:themeColor="text1"/>
                <w:spacing w:val="-4"/>
                <w:sz w:val="15"/>
                <w:szCs w:val="15"/>
                <w:lang w:val="en-GB"/>
              </w:rPr>
            </w:pPr>
          </w:p>
        </w:tc>
      </w:tr>
      <w:tr w:rsidR="00654093" w:rsidRPr="003F0293" w:rsidTr="00853C0F">
        <w:trPr>
          <w:trHeight w:val="145"/>
        </w:trPr>
        <w:tc>
          <w:tcPr>
            <w:tcW w:w="1016" w:type="pct"/>
            <w:shd w:val="clear" w:color="auto" w:fill="auto"/>
          </w:tcPr>
          <w:p w:rsidR="00654093" w:rsidRPr="000C2529" w:rsidRDefault="00E72FBF" w:rsidP="00853C0F">
            <w:pPr>
              <w:spacing w:line="240" w:lineRule="auto"/>
              <w:rPr>
                <w:spacing w:val="-2"/>
                <w:sz w:val="16"/>
                <w:szCs w:val="16"/>
                <w:lang w:val="en-GB"/>
              </w:rPr>
            </w:pPr>
            <w:r>
              <w:rPr>
                <w:spacing w:val="-2"/>
                <w:sz w:val="16"/>
                <w:szCs w:val="16"/>
                <w:lang w:val="en-GB"/>
              </w:rPr>
              <w:t xml:space="preserve">Output in the mining industry fell quarter-on-quarter already for the seventh time in a row, the performance decreased in metallurgy and </w:t>
            </w:r>
            <w:r w:rsidR="006B2D5B">
              <w:rPr>
                <w:spacing w:val="-2"/>
                <w:sz w:val="16"/>
                <w:szCs w:val="16"/>
                <w:lang w:val="en-GB"/>
              </w:rPr>
              <w:t>foundry industry</w:t>
            </w:r>
            <w:r>
              <w:rPr>
                <w:spacing w:val="-2"/>
                <w:sz w:val="16"/>
                <w:szCs w:val="16"/>
                <w:lang w:val="en-GB"/>
              </w:rPr>
              <w:t xml:space="preserve"> after the last year´s </w:t>
            </w:r>
            <w:r w:rsidR="009D77CF">
              <w:rPr>
                <w:spacing w:val="-2"/>
                <w:sz w:val="16"/>
                <w:szCs w:val="16"/>
                <w:lang w:val="en-GB"/>
              </w:rPr>
              <w:t xml:space="preserve">mild </w:t>
            </w:r>
            <w:r>
              <w:rPr>
                <w:spacing w:val="-2"/>
                <w:sz w:val="16"/>
                <w:szCs w:val="16"/>
                <w:lang w:val="en-GB"/>
              </w:rPr>
              <w:t>revival</w:t>
            </w:r>
            <w:r w:rsidR="00654093" w:rsidRPr="000C2529">
              <w:rPr>
                <w:spacing w:val="-2"/>
                <w:sz w:val="16"/>
                <w:szCs w:val="16"/>
                <w:lang w:val="en-GB"/>
              </w:rPr>
              <w:t>.</w:t>
            </w:r>
          </w:p>
          <w:p w:rsidR="00654093" w:rsidRPr="000C2529" w:rsidRDefault="00654093" w:rsidP="00853C0F">
            <w:pPr>
              <w:spacing w:line="240" w:lineRule="auto"/>
              <w:rPr>
                <w:spacing w:val="-2"/>
                <w:sz w:val="16"/>
                <w:szCs w:val="16"/>
                <w:lang w:val="en-GB"/>
              </w:rPr>
            </w:pPr>
          </w:p>
          <w:p w:rsidR="00654093" w:rsidRPr="000C2529" w:rsidRDefault="00654093" w:rsidP="00853C0F">
            <w:pPr>
              <w:spacing w:line="240" w:lineRule="auto"/>
              <w:rPr>
                <w:spacing w:val="-2"/>
                <w:sz w:val="16"/>
                <w:szCs w:val="16"/>
                <w:lang w:val="en-GB"/>
              </w:rPr>
            </w:pPr>
          </w:p>
          <w:p w:rsidR="00AE63AB" w:rsidRDefault="00AE63AB" w:rsidP="00853C0F">
            <w:pPr>
              <w:spacing w:line="240" w:lineRule="auto"/>
              <w:rPr>
                <w:spacing w:val="-2"/>
                <w:sz w:val="16"/>
                <w:szCs w:val="16"/>
                <w:lang w:val="en-GB"/>
              </w:rPr>
            </w:pPr>
          </w:p>
          <w:p w:rsidR="00AE63AB" w:rsidRDefault="00AE63AB" w:rsidP="00853C0F">
            <w:pPr>
              <w:spacing w:line="240" w:lineRule="auto"/>
              <w:rPr>
                <w:spacing w:val="-2"/>
                <w:sz w:val="16"/>
                <w:szCs w:val="16"/>
                <w:lang w:val="en-GB"/>
              </w:rPr>
            </w:pPr>
          </w:p>
          <w:p w:rsidR="00AE63AB" w:rsidRDefault="00AE63AB" w:rsidP="00853C0F">
            <w:pPr>
              <w:spacing w:line="240" w:lineRule="auto"/>
              <w:rPr>
                <w:spacing w:val="-2"/>
                <w:sz w:val="16"/>
                <w:szCs w:val="16"/>
                <w:lang w:val="en-GB"/>
              </w:rPr>
            </w:pPr>
          </w:p>
          <w:p w:rsidR="00654093" w:rsidRPr="000C2529" w:rsidRDefault="000747C6" w:rsidP="00853C0F">
            <w:pPr>
              <w:spacing w:line="240" w:lineRule="auto"/>
              <w:rPr>
                <w:spacing w:val="-2"/>
                <w:sz w:val="16"/>
                <w:szCs w:val="16"/>
                <w:lang w:val="en-GB"/>
              </w:rPr>
            </w:pPr>
            <w:r>
              <w:rPr>
                <w:spacing w:val="-2"/>
                <w:sz w:val="16"/>
                <w:szCs w:val="16"/>
                <w:lang w:val="en-GB"/>
              </w:rPr>
              <w:t xml:space="preserve">The drop of the volume of domestic orders </w:t>
            </w:r>
            <w:r w:rsidR="009D77CF">
              <w:rPr>
                <w:spacing w:val="-2"/>
                <w:sz w:val="16"/>
                <w:szCs w:val="16"/>
                <w:lang w:val="en-GB"/>
              </w:rPr>
              <w:t>mirrored</w:t>
            </w:r>
            <w:r>
              <w:rPr>
                <w:spacing w:val="-2"/>
                <w:sz w:val="16"/>
                <w:szCs w:val="16"/>
                <w:lang w:val="en-GB"/>
              </w:rPr>
              <w:t xml:space="preserve"> the lower performance of manufacturers of other (mostly rail) transport vehicles. </w:t>
            </w:r>
          </w:p>
        </w:tc>
        <w:tc>
          <w:tcPr>
            <w:tcW w:w="144" w:type="pct"/>
          </w:tcPr>
          <w:p w:rsidR="00654093" w:rsidRPr="000C2529" w:rsidRDefault="00654093" w:rsidP="00853C0F">
            <w:pPr>
              <w:rPr>
                <w:color w:val="000000" w:themeColor="text1"/>
                <w:szCs w:val="16"/>
                <w:lang w:val="en-GB"/>
              </w:rPr>
            </w:pPr>
          </w:p>
        </w:tc>
        <w:tc>
          <w:tcPr>
            <w:tcW w:w="3840" w:type="pct"/>
          </w:tcPr>
          <w:p w:rsidR="00654093" w:rsidRPr="000C2529" w:rsidRDefault="00FE2889" w:rsidP="00F23F6C">
            <w:pPr>
              <w:pStyle w:val="Textpoznpodarou"/>
              <w:jc w:val="both"/>
              <w:rPr>
                <w:color w:val="000000" w:themeColor="text1"/>
                <w:spacing w:val="-4"/>
                <w:lang w:val="en-GB"/>
              </w:rPr>
            </w:pPr>
            <w:r>
              <w:rPr>
                <w:color w:val="000000" w:themeColor="text1"/>
                <w:spacing w:val="-4"/>
                <w:lang w:val="en-GB"/>
              </w:rPr>
              <w:t>Despite favourable development of industry as a</w:t>
            </w:r>
            <w:r w:rsidR="00FE53F0">
              <w:rPr>
                <w:color w:val="000000" w:themeColor="text1"/>
                <w:spacing w:val="-4"/>
                <w:lang w:val="en-GB"/>
              </w:rPr>
              <w:t xml:space="preserve"> </w:t>
            </w:r>
            <w:r>
              <w:rPr>
                <w:color w:val="000000" w:themeColor="text1"/>
                <w:spacing w:val="-4"/>
                <w:lang w:val="en-GB"/>
              </w:rPr>
              <w:t>whole, branches which showed negative tendencies still existed.</w:t>
            </w:r>
            <w:r w:rsidR="00654093" w:rsidRPr="000C2529">
              <w:rPr>
                <w:color w:val="000000" w:themeColor="text1"/>
                <w:spacing w:val="-4"/>
                <w:lang w:val="en-GB"/>
              </w:rPr>
              <w:t xml:space="preserve"> </w:t>
            </w:r>
            <w:r w:rsidR="00FE53F0">
              <w:rPr>
                <w:color w:val="000000" w:themeColor="text1"/>
                <w:spacing w:val="-4"/>
                <w:lang w:val="en-GB"/>
              </w:rPr>
              <w:t xml:space="preserve">The output was decreasing quarter-on-quarter in the mining industry, impacted by the slump of the mining of the black coal, </w:t>
            </w:r>
            <w:r w:rsidR="00DF22BA">
              <w:rPr>
                <w:color w:val="000000" w:themeColor="text1"/>
                <w:spacing w:val="-4"/>
                <w:lang w:val="en-GB"/>
              </w:rPr>
              <w:t xml:space="preserve">already for the seventh time in a row. </w:t>
            </w:r>
            <w:r w:rsidR="005E5F0B">
              <w:rPr>
                <w:color w:val="000000" w:themeColor="text1"/>
                <w:spacing w:val="-4"/>
                <w:lang w:val="en-GB"/>
              </w:rPr>
              <w:t>It thus reduced in total by nearly 20</w:t>
            </w:r>
            <w:r w:rsidR="00954C8E">
              <w:rPr>
                <w:color w:val="000000" w:themeColor="text1"/>
                <w:spacing w:val="-4"/>
                <w:lang w:val="en-GB"/>
              </w:rPr>
              <w:t>%</w:t>
            </w:r>
            <w:r w:rsidR="005E5F0B">
              <w:rPr>
                <w:color w:val="000000" w:themeColor="text1"/>
                <w:spacing w:val="-4"/>
                <w:lang w:val="en-GB"/>
              </w:rPr>
              <w:t xml:space="preserve"> under two years. </w:t>
            </w:r>
            <w:r w:rsidR="00405D51">
              <w:rPr>
                <w:color w:val="000000" w:themeColor="text1"/>
                <w:spacing w:val="-4"/>
                <w:lang w:val="en-GB"/>
              </w:rPr>
              <w:t>Partial</w:t>
            </w:r>
            <w:r w:rsidR="00B741FD">
              <w:rPr>
                <w:color w:val="000000" w:themeColor="text1"/>
                <w:spacing w:val="-4"/>
                <w:lang w:val="en-GB"/>
              </w:rPr>
              <w:t xml:space="preserve"> stabilisation occurred in metallurgy and </w:t>
            </w:r>
            <w:r w:rsidR="006B2D5B">
              <w:rPr>
                <w:color w:val="000000" w:themeColor="text1"/>
                <w:spacing w:val="-4"/>
                <w:lang w:val="en-GB"/>
              </w:rPr>
              <w:t>foundry industry</w:t>
            </w:r>
            <w:r w:rsidR="00B741FD">
              <w:rPr>
                <w:color w:val="000000" w:themeColor="text1"/>
                <w:spacing w:val="-4"/>
                <w:lang w:val="en-GB"/>
              </w:rPr>
              <w:t xml:space="preserve"> during the last year (also due to the introduction of the anti-dumping duty on the import of some products from steel from China into the EU)</w:t>
            </w:r>
            <w:r w:rsidR="00654093" w:rsidRPr="000C2529">
              <w:rPr>
                <w:color w:val="000000" w:themeColor="text1"/>
                <w:spacing w:val="-4"/>
                <w:lang w:val="en-GB"/>
              </w:rPr>
              <w:t xml:space="preserve">. </w:t>
            </w:r>
            <w:r w:rsidR="00222C66">
              <w:rPr>
                <w:color w:val="000000" w:themeColor="text1"/>
                <w:spacing w:val="-4"/>
                <w:lang w:val="en-GB"/>
              </w:rPr>
              <w:t xml:space="preserve">The output was however </w:t>
            </w:r>
            <w:r w:rsidR="00CA64FD">
              <w:rPr>
                <w:color w:val="000000" w:themeColor="text1"/>
                <w:spacing w:val="-4"/>
                <w:lang w:val="en-GB"/>
              </w:rPr>
              <w:t>again decreasing quarter-on</w:t>
            </w:r>
            <w:r w:rsidR="00CD2F7F">
              <w:rPr>
                <w:color w:val="000000" w:themeColor="text1"/>
                <w:spacing w:val="-4"/>
                <w:lang w:val="en-GB"/>
              </w:rPr>
              <w:t>-</w:t>
            </w:r>
            <w:r w:rsidR="00CA64FD">
              <w:rPr>
                <w:color w:val="000000" w:themeColor="text1"/>
                <w:spacing w:val="-4"/>
                <w:lang w:val="en-GB"/>
              </w:rPr>
              <w:t>quarter in the CR this year (in contrast to the EU)</w:t>
            </w:r>
            <w:proofErr w:type="gramStart"/>
            <w:r w:rsidR="00CA64FD">
              <w:rPr>
                <w:color w:val="000000" w:themeColor="text1"/>
                <w:spacing w:val="-4"/>
                <w:lang w:val="en-GB"/>
              </w:rPr>
              <w:t>,</w:t>
            </w:r>
            <w:proofErr w:type="gramEnd"/>
            <w:r w:rsidR="00CA64FD">
              <w:rPr>
                <w:color w:val="000000" w:themeColor="text1"/>
                <w:spacing w:val="-4"/>
                <w:lang w:val="en-GB"/>
              </w:rPr>
              <w:t xml:space="preserve"> the employment also kept slightly declining.  </w:t>
            </w:r>
            <w:r w:rsidR="00CD2F7F">
              <w:rPr>
                <w:color w:val="000000" w:themeColor="text1"/>
                <w:spacing w:val="-4"/>
                <w:lang w:val="en-GB"/>
              </w:rPr>
              <w:t xml:space="preserve">Following a short recovery in years 2015 and 2016, the output again fell in the </w:t>
            </w:r>
            <w:r w:rsidR="006B2D5B">
              <w:rPr>
                <w:color w:val="000000" w:themeColor="text1"/>
                <w:spacing w:val="-4"/>
                <w:lang w:val="en-GB"/>
              </w:rPr>
              <w:t xml:space="preserve">manufacture of </w:t>
            </w:r>
            <w:r w:rsidR="00CD2F7F">
              <w:rPr>
                <w:color w:val="000000" w:themeColor="text1"/>
                <w:spacing w:val="-4"/>
                <w:lang w:val="en-GB"/>
              </w:rPr>
              <w:t>cloth</w:t>
            </w:r>
            <w:r w:rsidR="006B2D5B">
              <w:rPr>
                <w:color w:val="000000" w:themeColor="text1"/>
                <w:spacing w:val="-4"/>
                <w:lang w:val="en-GB"/>
              </w:rPr>
              <w:t>es</w:t>
            </w:r>
            <w:r w:rsidR="00CD2F7F">
              <w:rPr>
                <w:color w:val="000000" w:themeColor="text1"/>
                <w:spacing w:val="-4"/>
                <w:lang w:val="en-GB"/>
              </w:rPr>
              <w:t xml:space="preserve"> this year </w:t>
            </w:r>
            <w:r w:rsidR="00B77FB7" w:rsidRPr="000C2529">
              <w:rPr>
                <w:color w:val="000000" w:themeColor="text1"/>
                <w:spacing w:val="-4"/>
                <w:lang w:val="en-GB"/>
              </w:rPr>
              <w:t>(</w:t>
            </w:r>
            <w:r w:rsidR="00CD2F7F">
              <w:rPr>
                <w:color w:val="000000" w:themeColor="text1"/>
                <w:spacing w:val="-4"/>
                <w:lang w:val="en-GB"/>
              </w:rPr>
              <w:t>by</w:t>
            </w:r>
            <w:r w:rsidR="00B77FB7" w:rsidRPr="000C2529">
              <w:rPr>
                <w:color w:val="000000" w:themeColor="text1"/>
                <w:spacing w:val="-4"/>
                <w:lang w:val="en-GB"/>
              </w:rPr>
              <w:t xml:space="preserve"> 4</w:t>
            </w:r>
            <w:r w:rsidR="00CD2F7F">
              <w:rPr>
                <w:color w:val="000000" w:themeColor="text1"/>
                <w:spacing w:val="-4"/>
                <w:lang w:val="en-GB"/>
              </w:rPr>
              <w:t>.</w:t>
            </w:r>
            <w:r w:rsidR="00B77FB7" w:rsidRPr="000C2529">
              <w:rPr>
                <w:color w:val="000000" w:themeColor="text1"/>
                <w:spacing w:val="-4"/>
                <w:lang w:val="en-GB"/>
              </w:rPr>
              <w:t>5</w:t>
            </w:r>
            <w:r w:rsidR="00954C8E">
              <w:rPr>
                <w:color w:val="000000" w:themeColor="text1"/>
                <w:spacing w:val="-4"/>
                <w:lang w:val="en-GB"/>
              </w:rPr>
              <w:t>%</w:t>
            </w:r>
            <w:r w:rsidR="00654093" w:rsidRPr="000C2529">
              <w:rPr>
                <w:color w:val="000000" w:themeColor="text1"/>
                <w:spacing w:val="-4"/>
                <w:lang w:val="en-GB"/>
              </w:rPr>
              <w:t xml:space="preserve"> </w:t>
            </w:r>
            <w:r w:rsidR="00CD2F7F">
              <w:rPr>
                <w:color w:val="000000" w:themeColor="text1"/>
                <w:spacing w:val="-4"/>
                <w:lang w:val="en-GB"/>
              </w:rPr>
              <w:t>year-on-year</w:t>
            </w:r>
            <w:r w:rsidR="00654093" w:rsidRPr="000C2529">
              <w:rPr>
                <w:color w:val="000000" w:themeColor="text1"/>
                <w:spacing w:val="-4"/>
                <w:lang w:val="en-GB"/>
              </w:rPr>
              <w:t xml:space="preserve">). </w:t>
            </w:r>
            <w:r w:rsidR="005B52D0">
              <w:rPr>
                <w:color w:val="000000" w:themeColor="text1"/>
                <w:spacing w:val="-4"/>
                <w:lang w:val="en-GB"/>
              </w:rPr>
              <w:t xml:space="preserve">While the domestic demand still kept growing, the volume of foreign orders as well as the sales from the direct exports to clothing business was falling. </w:t>
            </w:r>
            <w:r w:rsidR="00096091">
              <w:rPr>
                <w:color w:val="000000" w:themeColor="text1"/>
                <w:spacing w:val="-4"/>
                <w:lang w:val="en-GB"/>
              </w:rPr>
              <w:t>The repair and installation of machinery and equipment recorded by 7</w:t>
            </w:r>
            <w:r w:rsidR="00954C8E">
              <w:rPr>
                <w:color w:val="000000" w:themeColor="text1"/>
                <w:spacing w:val="-4"/>
                <w:lang w:val="en-GB"/>
              </w:rPr>
              <w:t>%</w:t>
            </w:r>
            <w:r w:rsidR="00096091">
              <w:rPr>
                <w:color w:val="000000" w:themeColor="text1"/>
                <w:spacing w:val="-4"/>
                <w:lang w:val="en-GB"/>
              </w:rPr>
              <w:t xml:space="preserve"> lower </w:t>
            </w:r>
            <w:proofErr w:type="gramStart"/>
            <w:r w:rsidR="00096091">
              <w:rPr>
                <w:color w:val="000000" w:themeColor="text1"/>
                <w:spacing w:val="-4"/>
                <w:lang w:val="en-GB"/>
              </w:rPr>
              <w:t>output</w:t>
            </w:r>
            <w:proofErr w:type="gramEnd"/>
            <w:r w:rsidR="00096091">
              <w:rPr>
                <w:color w:val="000000" w:themeColor="text1"/>
                <w:spacing w:val="-4"/>
                <w:lang w:val="en-GB"/>
              </w:rPr>
              <w:t xml:space="preserve">. </w:t>
            </w:r>
            <w:r w:rsidR="001B2F7E">
              <w:rPr>
                <w:color w:val="000000" w:themeColor="text1"/>
                <w:spacing w:val="-4"/>
                <w:lang w:val="en-GB"/>
              </w:rPr>
              <w:t xml:space="preserve">At the same time, it represented the only manufacturing activity, whose output was compared to the end of the last recession (H1 2013) lower. </w:t>
            </w:r>
            <w:r w:rsidR="00D627C7">
              <w:rPr>
                <w:color w:val="000000" w:themeColor="text1"/>
                <w:spacing w:val="-4"/>
                <w:lang w:val="en-GB"/>
              </w:rPr>
              <w:t xml:space="preserve">The output of </w:t>
            </w:r>
            <w:r w:rsidR="00027D04">
              <w:rPr>
                <w:color w:val="000000" w:themeColor="text1"/>
                <w:spacing w:val="-4"/>
                <w:lang w:val="en-GB"/>
              </w:rPr>
              <w:t xml:space="preserve">manufacturers of </w:t>
            </w:r>
            <w:r w:rsidR="00D627C7">
              <w:rPr>
                <w:color w:val="000000" w:themeColor="text1"/>
                <w:spacing w:val="-4"/>
                <w:lang w:val="en-GB"/>
              </w:rPr>
              <w:t>other (mostly rail) transportation vehicles also decre</w:t>
            </w:r>
            <w:r w:rsidR="00FD10BC">
              <w:rPr>
                <w:color w:val="000000" w:themeColor="text1"/>
                <w:spacing w:val="-4"/>
                <w:lang w:val="en-GB"/>
              </w:rPr>
              <w:t>a</w:t>
            </w:r>
            <w:r w:rsidR="00D627C7">
              <w:rPr>
                <w:color w:val="000000" w:themeColor="text1"/>
                <w:spacing w:val="-4"/>
                <w:lang w:val="en-GB"/>
              </w:rPr>
              <w:t xml:space="preserve">sed by one tenth this year. </w:t>
            </w:r>
            <w:r w:rsidR="00FD10BC">
              <w:rPr>
                <w:color w:val="000000" w:themeColor="text1"/>
                <w:spacing w:val="-4"/>
                <w:lang w:val="en-GB"/>
              </w:rPr>
              <w:t>It is however traditionally given the character of the orders considerably volatile.</w:t>
            </w:r>
            <w:r w:rsidR="00654093" w:rsidRPr="000C2529">
              <w:rPr>
                <w:color w:val="000000" w:themeColor="text1"/>
                <w:spacing w:val="-4"/>
                <w:lang w:val="en-GB"/>
              </w:rPr>
              <w:t xml:space="preserve"> </w:t>
            </w:r>
            <w:r w:rsidR="00FD10BC">
              <w:rPr>
                <w:color w:val="000000" w:themeColor="text1"/>
                <w:spacing w:val="-4"/>
                <w:lang w:val="en-GB"/>
              </w:rPr>
              <w:t xml:space="preserve">The lower volume of domestic orders affected the result. </w:t>
            </w:r>
          </w:p>
        </w:tc>
      </w:tr>
    </w:tbl>
    <w:p w:rsidR="00654093" w:rsidRDefault="00654093"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Default="00214DB7" w:rsidP="00654093">
      <w:pPr>
        <w:pStyle w:val="Textpoznpodarou"/>
        <w:jc w:val="both"/>
        <w:rPr>
          <w:sz w:val="15"/>
          <w:szCs w:val="15"/>
        </w:rPr>
      </w:pPr>
    </w:p>
    <w:p w:rsidR="00214DB7" w:rsidRPr="006B2F92" w:rsidRDefault="00214DB7" w:rsidP="00654093">
      <w:pPr>
        <w:pStyle w:val="Textpoznpodarou"/>
        <w:jc w:val="both"/>
        <w:rPr>
          <w:sz w:val="15"/>
          <w:szCs w:val="15"/>
        </w:rPr>
      </w:pPr>
    </w:p>
    <w:tbl>
      <w:tblPr>
        <w:tblW w:w="4963" w:type="pct"/>
        <w:tblInd w:w="108" w:type="dxa"/>
        <w:tblLayout w:type="fixed"/>
        <w:tblLook w:val="00A0"/>
      </w:tblPr>
      <w:tblGrid>
        <w:gridCol w:w="1997"/>
        <w:gridCol w:w="284"/>
        <w:gridCol w:w="1121"/>
        <w:gridCol w:w="6379"/>
      </w:tblGrid>
      <w:tr w:rsidR="00654093" w:rsidRPr="00AA4A76" w:rsidTr="00853C0F">
        <w:trPr>
          <w:trHeight w:val="145"/>
        </w:trPr>
        <w:tc>
          <w:tcPr>
            <w:tcW w:w="1021" w:type="pct"/>
            <w:shd w:val="clear" w:color="auto" w:fill="auto"/>
          </w:tcPr>
          <w:p w:rsidR="00654093" w:rsidRPr="00AA4A76" w:rsidRDefault="00654093" w:rsidP="00853C0F">
            <w:pPr>
              <w:spacing w:line="240" w:lineRule="auto"/>
              <w:jc w:val="center"/>
              <w:rPr>
                <w:color w:val="000000"/>
                <w:szCs w:val="20"/>
              </w:rPr>
            </w:pPr>
          </w:p>
        </w:tc>
        <w:tc>
          <w:tcPr>
            <w:tcW w:w="145" w:type="pct"/>
          </w:tcPr>
          <w:p w:rsidR="00654093" w:rsidRPr="00AA4A76" w:rsidRDefault="00654093" w:rsidP="00853C0F">
            <w:pPr>
              <w:pStyle w:val="Textpoznpodarou"/>
              <w:jc w:val="both"/>
              <w:rPr>
                <w:highlight w:val="yellow"/>
              </w:rPr>
            </w:pPr>
          </w:p>
        </w:tc>
        <w:tc>
          <w:tcPr>
            <w:tcW w:w="573" w:type="pct"/>
          </w:tcPr>
          <w:p w:rsidR="00654093" w:rsidRPr="00540CB3" w:rsidRDefault="00775512" w:rsidP="00853C0F">
            <w:pPr>
              <w:pStyle w:val="Textpoznpodarou"/>
              <w:jc w:val="both"/>
              <w:rPr>
                <w:highlight w:val="yellow"/>
              </w:rPr>
            </w:pPr>
            <w:r>
              <w:rPr>
                <w:color w:val="000000"/>
              </w:rPr>
              <w:t xml:space="preserve">Chart </w:t>
            </w:r>
            <w:r w:rsidR="00654093" w:rsidRPr="00540CB3">
              <w:rPr>
                <w:color w:val="000000"/>
              </w:rPr>
              <w:t>5</w:t>
            </w:r>
          </w:p>
        </w:tc>
        <w:tc>
          <w:tcPr>
            <w:tcW w:w="3261" w:type="pct"/>
          </w:tcPr>
          <w:p w:rsidR="009B1D9A" w:rsidRPr="008D0462" w:rsidRDefault="009B1D9A" w:rsidP="009B1D9A">
            <w:pPr>
              <w:pStyle w:val="Textpoznpodarou"/>
              <w:rPr>
                <w:b/>
                <w:lang w:val="en-GB"/>
              </w:rPr>
            </w:pPr>
            <w:r w:rsidRPr="008D0462">
              <w:rPr>
                <w:b/>
                <w:lang w:val="en-GB"/>
              </w:rPr>
              <w:t xml:space="preserve">Production in industry and selected manufacturing branches </w:t>
            </w:r>
          </w:p>
          <w:p w:rsidR="00654093" w:rsidRPr="003C6DB9" w:rsidRDefault="009B1D9A" w:rsidP="009B1D9A">
            <w:pPr>
              <w:pStyle w:val="Textpoznpodarou"/>
              <w:rPr>
                <w:b/>
              </w:rPr>
            </w:pPr>
            <w:r>
              <w:t xml:space="preserve"> </w:t>
            </w:r>
            <w:r w:rsidR="00654093">
              <w:t>(</w:t>
            </w:r>
            <w:proofErr w:type="spellStart"/>
            <w:r w:rsidR="00654093">
              <w:t>re</w:t>
            </w:r>
            <w:r>
              <w:t>al</w:t>
            </w:r>
            <w:proofErr w:type="spellEnd"/>
            <w:r w:rsidR="00654093">
              <w:t xml:space="preserve">, </w:t>
            </w:r>
            <w:r w:rsidRPr="008D0462">
              <w:rPr>
                <w:lang w:val="en-GB"/>
              </w:rPr>
              <w:t xml:space="preserve">adjusted for calendar effects, </w:t>
            </w:r>
            <w:r w:rsidR="00954C8E">
              <w:rPr>
                <w:lang w:val="en-GB"/>
              </w:rPr>
              <w:t>in %</w:t>
            </w:r>
            <w:r w:rsidRPr="008D0462">
              <w:rPr>
                <w:lang w:val="en-GB"/>
              </w:rPr>
              <w:t>)</w:t>
            </w:r>
          </w:p>
        </w:tc>
      </w:tr>
      <w:tr w:rsidR="00654093" w:rsidRPr="00AA4A76" w:rsidTr="00853C0F">
        <w:trPr>
          <w:trHeight w:val="145"/>
        </w:trPr>
        <w:tc>
          <w:tcPr>
            <w:tcW w:w="1021" w:type="pct"/>
            <w:shd w:val="clear" w:color="auto" w:fill="auto"/>
          </w:tcPr>
          <w:p w:rsidR="00654093" w:rsidRPr="006D3F53" w:rsidRDefault="00654093" w:rsidP="00853C0F">
            <w:pPr>
              <w:spacing w:line="240" w:lineRule="auto"/>
              <w:rPr>
                <w:color w:val="000000"/>
                <w:sz w:val="16"/>
                <w:szCs w:val="16"/>
                <w:highlight w:val="yellow"/>
              </w:rPr>
            </w:pPr>
          </w:p>
        </w:tc>
        <w:tc>
          <w:tcPr>
            <w:tcW w:w="145" w:type="pct"/>
          </w:tcPr>
          <w:p w:rsidR="00654093" w:rsidRPr="00A74192" w:rsidRDefault="00654093" w:rsidP="00853C0F">
            <w:pPr>
              <w:pStyle w:val="Textpoznpodarou"/>
              <w:jc w:val="both"/>
            </w:pPr>
          </w:p>
        </w:tc>
        <w:tc>
          <w:tcPr>
            <w:tcW w:w="3834" w:type="pct"/>
            <w:gridSpan w:val="2"/>
          </w:tcPr>
          <w:p w:rsidR="009976A2" w:rsidRDefault="009976A2" w:rsidP="00853C0F">
            <w:pPr>
              <w:pStyle w:val="Textpoznpodarou"/>
              <w:ind w:left="-124"/>
              <w:jc w:val="right"/>
              <w:rPr>
                <w:sz w:val="14"/>
                <w:szCs w:val="14"/>
              </w:rPr>
            </w:pPr>
            <w:r>
              <w:rPr>
                <w:noProof/>
              </w:rPr>
              <w:t xml:space="preserve"> </w:t>
            </w:r>
            <w:r w:rsidR="00486640">
              <w:rPr>
                <w:noProof/>
              </w:rPr>
              <w:drawing>
                <wp:inline distT="0" distB="0" distL="0" distR="0">
                  <wp:extent cx="4769902" cy="3553200"/>
                  <wp:effectExtent l="0" t="0" r="0" b="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6640" w:rsidRDefault="00911C6A">
            <w:pPr>
              <w:pStyle w:val="Textpoznpodarou"/>
              <w:ind w:left="-124"/>
              <w:jc w:val="right"/>
              <w:rPr>
                <w:sz w:val="16"/>
                <w:szCs w:val="16"/>
              </w:rPr>
            </w:pPr>
            <w:proofErr w:type="spellStart"/>
            <w:r>
              <w:rPr>
                <w:sz w:val="14"/>
                <w:szCs w:val="14"/>
              </w:rPr>
              <w:t>Source</w:t>
            </w:r>
            <w:proofErr w:type="spellEnd"/>
            <w:r w:rsidR="00654093" w:rsidRPr="00540CB3">
              <w:rPr>
                <w:sz w:val="14"/>
                <w:szCs w:val="14"/>
              </w:rPr>
              <w:t xml:space="preserve">: </w:t>
            </w:r>
            <w:r>
              <w:rPr>
                <w:sz w:val="14"/>
                <w:szCs w:val="14"/>
              </w:rPr>
              <w:t>CZSO</w:t>
            </w:r>
          </w:p>
        </w:tc>
      </w:tr>
    </w:tbl>
    <w:p w:rsidR="00654093" w:rsidRPr="006B2F92" w:rsidRDefault="00654093" w:rsidP="00654093">
      <w:pPr>
        <w:pStyle w:val="Textpoznpodarou"/>
        <w:jc w:val="both"/>
        <w:rPr>
          <w:sz w:val="15"/>
          <w:szCs w:val="15"/>
        </w:rPr>
      </w:pPr>
    </w:p>
    <w:tbl>
      <w:tblPr>
        <w:tblW w:w="4986" w:type="pct"/>
        <w:tblInd w:w="107" w:type="dxa"/>
        <w:tblLayout w:type="fixed"/>
        <w:tblLook w:val="00A0"/>
      </w:tblPr>
      <w:tblGrid>
        <w:gridCol w:w="1997"/>
        <w:gridCol w:w="283"/>
        <w:gridCol w:w="7546"/>
      </w:tblGrid>
      <w:tr w:rsidR="00654093" w:rsidRPr="00A74192" w:rsidTr="00853C0F">
        <w:trPr>
          <w:trHeight w:val="145"/>
        </w:trPr>
        <w:tc>
          <w:tcPr>
            <w:tcW w:w="1016" w:type="pct"/>
            <w:shd w:val="clear" w:color="auto" w:fill="auto"/>
          </w:tcPr>
          <w:p w:rsidR="00654093" w:rsidRPr="00F13E89" w:rsidRDefault="00AE63AB" w:rsidP="00853C0F">
            <w:pPr>
              <w:spacing w:line="240" w:lineRule="auto"/>
              <w:rPr>
                <w:spacing w:val="-2"/>
                <w:sz w:val="16"/>
                <w:szCs w:val="16"/>
                <w:lang w:val="en-GB"/>
              </w:rPr>
            </w:pPr>
            <w:r w:rsidRPr="00F13E89">
              <w:rPr>
                <w:spacing w:val="-2"/>
                <w:sz w:val="16"/>
                <w:szCs w:val="16"/>
                <w:lang w:val="en-GB"/>
              </w:rPr>
              <w:t xml:space="preserve">The growth of volume of new orders continued in most monitored industrial branches. </w:t>
            </w:r>
            <w:r w:rsidR="0027172E" w:rsidRPr="00F13E89">
              <w:rPr>
                <w:spacing w:val="-2"/>
                <w:sz w:val="16"/>
                <w:szCs w:val="16"/>
                <w:lang w:val="en-GB"/>
              </w:rPr>
              <w:t>The renewal of production capacities</w:t>
            </w:r>
            <w:r w:rsidR="00F13E89" w:rsidRPr="00F13E89">
              <w:rPr>
                <w:spacing w:val="-2"/>
                <w:sz w:val="16"/>
                <w:szCs w:val="16"/>
                <w:lang w:val="en-GB"/>
              </w:rPr>
              <w:t xml:space="preserve"> manifested in the chemical industry. </w:t>
            </w:r>
          </w:p>
          <w:p w:rsidR="00654093" w:rsidRPr="00F13E89" w:rsidRDefault="00654093" w:rsidP="00853C0F">
            <w:pPr>
              <w:spacing w:line="240" w:lineRule="auto"/>
              <w:rPr>
                <w:sz w:val="16"/>
                <w:szCs w:val="16"/>
                <w:lang w:val="en-GB"/>
              </w:rPr>
            </w:pPr>
            <w:r w:rsidRPr="00F13E89">
              <w:rPr>
                <w:sz w:val="16"/>
                <w:szCs w:val="16"/>
                <w:lang w:val="en-GB"/>
              </w:rPr>
              <w:t xml:space="preserve"> </w:t>
            </w:r>
          </w:p>
        </w:tc>
        <w:tc>
          <w:tcPr>
            <w:tcW w:w="144" w:type="pct"/>
          </w:tcPr>
          <w:p w:rsidR="00654093" w:rsidRPr="00F13E89" w:rsidRDefault="00654093" w:rsidP="00853C0F">
            <w:pPr>
              <w:pStyle w:val="Textpoznpodarou"/>
              <w:jc w:val="both"/>
              <w:rPr>
                <w:spacing w:val="-2"/>
                <w:lang w:val="en-GB"/>
              </w:rPr>
            </w:pPr>
          </w:p>
        </w:tc>
        <w:tc>
          <w:tcPr>
            <w:tcW w:w="3840" w:type="pct"/>
          </w:tcPr>
          <w:p w:rsidR="00654093" w:rsidRPr="00F13E89" w:rsidRDefault="00AE63AB" w:rsidP="00853C0F">
            <w:pPr>
              <w:pStyle w:val="Textpoznpodarou"/>
              <w:jc w:val="both"/>
              <w:rPr>
                <w:spacing w:val="-4"/>
                <w:lang w:val="en-GB"/>
              </w:rPr>
            </w:pPr>
            <w:r w:rsidRPr="00F13E89">
              <w:rPr>
                <w:spacing w:val="-4"/>
                <w:lang w:val="en-GB"/>
              </w:rPr>
              <w:t>Stock of work in the form of new industrial orders</w:t>
            </w:r>
            <w:r w:rsidR="00654093" w:rsidRPr="00F13E89">
              <w:rPr>
                <w:rStyle w:val="Znakapoznpodarou"/>
                <w:spacing w:val="-4"/>
                <w:lang w:val="en-GB"/>
              </w:rPr>
              <w:footnoteReference w:id="16"/>
            </w:r>
            <w:r w:rsidR="00654093" w:rsidRPr="00F13E89">
              <w:rPr>
                <w:spacing w:val="-4"/>
                <w:lang w:val="en-GB"/>
              </w:rPr>
              <w:t xml:space="preserve"> </w:t>
            </w:r>
            <w:r w:rsidRPr="00F13E89">
              <w:rPr>
                <w:spacing w:val="-4"/>
                <w:lang w:val="en-GB"/>
              </w:rPr>
              <w:t xml:space="preserve">kept growing. </w:t>
            </w:r>
            <w:r w:rsidR="003A0B39" w:rsidRPr="00F13E89">
              <w:rPr>
                <w:spacing w:val="-4"/>
                <w:lang w:val="en-GB"/>
              </w:rPr>
              <w:t xml:space="preserve">Its year-on-year dynamics was for the whole half-year </w:t>
            </w:r>
            <w:r w:rsidR="008215A1" w:rsidRPr="00F13E89">
              <w:rPr>
                <w:spacing w:val="-4"/>
                <w:lang w:val="en-GB"/>
              </w:rPr>
              <w:t>comparable</w:t>
            </w:r>
            <w:r w:rsidR="003A0B39" w:rsidRPr="00F13E89">
              <w:rPr>
                <w:spacing w:val="-4"/>
                <w:lang w:val="en-GB"/>
              </w:rPr>
              <w:t xml:space="preserve"> with the pace reached in the first half of year 2016. </w:t>
            </w:r>
            <w:r w:rsidR="008215A1">
              <w:rPr>
                <w:spacing w:val="-4"/>
                <w:lang w:val="en-GB"/>
              </w:rPr>
              <w:t>While the number of orders increased by one tenth at the beginning of this year, it was by 3.6</w:t>
            </w:r>
            <w:r w:rsidR="00954C8E">
              <w:rPr>
                <w:spacing w:val="-4"/>
                <w:lang w:val="en-GB"/>
              </w:rPr>
              <w:t>%</w:t>
            </w:r>
            <w:r w:rsidR="008215A1">
              <w:rPr>
                <w:spacing w:val="-4"/>
                <w:lang w:val="en-GB"/>
              </w:rPr>
              <w:t xml:space="preserve"> in the subsequent quarter. The majority of the twelve monitored branches recorded year-on-year growth in both quarters. </w:t>
            </w:r>
            <w:r w:rsidR="00AA3BB6">
              <w:rPr>
                <w:spacing w:val="-4"/>
                <w:lang w:val="en-GB"/>
              </w:rPr>
              <w:t xml:space="preserve">Manufacture of textiles as well as the manufacturers of transportation vehicles experienced worse results. </w:t>
            </w:r>
            <w:r w:rsidR="00B56A48">
              <w:rPr>
                <w:spacing w:val="-4"/>
                <w:lang w:val="en-GB"/>
              </w:rPr>
              <w:t xml:space="preserve">Mild decrease in the manufacture of motor vehicle in Q2 </w:t>
            </w:r>
            <w:r w:rsidR="00F23F6C" w:rsidRPr="00F13E89">
              <w:rPr>
                <w:spacing w:val="-4"/>
                <w:lang w:val="en-GB"/>
              </w:rPr>
              <w:t>(</w:t>
            </w:r>
            <w:r w:rsidR="00B56A48">
              <w:rPr>
                <w:spacing w:val="-4"/>
                <w:lang w:val="en-GB"/>
              </w:rPr>
              <w:t xml:space="preserve">by </w:t>
            </w:r>
            <w:r w:rsidR="00F23F6C" w:rsidRPr="00F13E89">
              <w:rPr>
                <w:spacing w:val="-4"/>
                <w:lang w:val="en-GB"/>
              </w:rPr>
              <w:t>2</w:t>
            </w:r>
            <w:r w:rsidR="00954C8E">
              <w:rPr>
                <w:spacing w:val="-4"/>
                <w:lang w:val="en-GB"/>
              </w:rPr>
              <w:t>%</w:t>
            </w:r>
            <w:r w:rsidR="00F23F6C" w:rsidRPr="00F13E89">
              <w:rPr>
                <w:spacing w:val="-4"/>
                <w:lang w:val="en-GB"/>
              </w:rPr>
              <w:t xml:space="preserve">) </w:t>
            </w:r>
            <w:r w:rsidR="00B56A48">
              <w:rPr>
                <w:spacing w:val="-4"/>
                <w:lang w:val="en-GB"/>
              </w:rPr>
              <w:t xml:space="preserve">was connected to the very high last year´s basis </w:t>
            </w:r>
            <w:r w:rsidR="00654093" w:rsidRPr="00F13E89">
              <w:rPr>
                <w:spacing w:val="-4"/>
                <w:lang w:val="en-GB"/>
              </w:rPr>
              <w:t>(</w:t>
            </w:r>
            <w:r w:rsidR="00B56A48">
              <w:rPr>
                <w:spacing w:val="-4"/>
                <w:lang w:val="en-GB"/>
              </w:rPr>
              <w:t xml:space="preserve">growth by </w:t>
            </w:r>
            <w:r w:rsidR="00654093" w:rsidRPr="00F13E89">
              <w:rPr>
                <w:spacing w:val="-4"/>
                <w:lang w:val="en-GB"/>
              </w:rPr>
              <w:t>32</w:t>
            </w:r>
            <w:r w:rsidR="00954C8E">
              <w:rPr>
                <w:spacing w:val="-4"/>
                <w:lang w:val="en-GB"/>
              </w:rPr>
              <w:t>%</w:t>
            </w:r>
            <w:r w:rsidR="00654093" w:rsidRPr="00F13E89">
              <w:rPr>
                <w:spacing w:val="-4"/>
                <w:lang w:val="en-GB"/>
              </w:rPr>
              <w:t xml:space="preserve">). </w:t>
            </w:r>
            <w:r w:rsidR="00B56A48">
              <w:rPr>
                <w:spacing w:val="-4"/>
                <w:lang w:val="en-GB"/>
              </w:rPr>
              <w:t xml:space="preserve">The rate of growth of the domestic orders exceeded similar rates for the foreign demand in both this year´s quarters. </w:t>
            </w:r>
            <w:r w:rsidR="00031DAB">
              <w:rPr>
                <w:spacing w:val="-4"/>
                <w:lang w:val="en-GB"/>
              </w:rPr>
              <w:t xml:space="preserve">The full renewal of the production capacities of the chemical industry manifested here, as the industry could again accept the growing demand of the domestic businesses to higher extent. </w:t>
            </w:r>
          </w:p>
          <w:p w:rsidR="00654093" w:rsidRPr="00F13E89" w:rsidRDefault="00654093" w:rsidP="00853C0F">
            <w:pPr>
              <w:pStyle w:val="Textpoznpodarou"/>
              <w:jc w:val="both"/>
              <w:rPr>
                <w:spacing w:val="-4"/>
                <w:sz w:val="15"/>
                <w:szCs w:val="15"/>
                <w:lang w:val="en-GB"/>
              </w:rPr>
            </w:pPr>
          </w:p>
        </w:tc>
      </w:tr>
      <w:tr w:rsidR="00654093" w:rsidRPr="000B2BE9" w:rsidTr="00853C0F">
        <w:trPr>
          <w:trHeight w:val="145"/>
        </w:trPr>
        <w:tc>
          <w:tcPr>
            <w:tcW w:w="1016" w:type="pct"/>
            <w:shd w:val="clear" w:color="auto" w:fill="auto"/>
          </w:tcPr>
          <w:p w:rsidR="00654093" w:rsidRPr="00F13E89" w:rsidRDefault="00763498" w:rsidP="00763498">
            <w:pPr>
              <w:spacing w:line="240" w:lineRule="auto"/>
              <w:rPr>
                <w:spacing w:val="-2"/>
                <w:sz w:val="16"/>
                <w:szCs w:val="16"/>
                <w:lang w:val="en-GB"/>
              </w:rPr>
            </w:pPr>
            <w:r>
              <w:rPr>
                <w:sz w:val="16"/>
                <w:szCs w:val="16"/>
                <w:lang w:val="en-GB"/>
              </w:rPr>
              <w:t xml:space="preserve">Business confidence in industry remained despite slight worsening still positive in the last six months. </w:t>
            </w:r>
          </w:p>
        </w:tc>
        <w:tc>
          <w:tcPr>
            <w:tcW w:w="144" w:type="pct"/>
          </w:tcPr>
          <w:p w:rsidR="00654093" w:rsidRPr="00F13E89" w:rsidRDefault="00654093" w:rsidP="00853C0F">
            <w:pPr>
              <w:rPr>
                <w:color w:val="000000" w:themeColor="text1"/>
                <w:szCs w:val="16"/>
                <w:lang w:val="en-GB"/>
              </w:rPr>
            </w:pPr>
          </w:p>
        </w:tc>
        <w:tc>
          <w:tcPr>
            <w:tcW w:w="3840" w:type="pct"/>
          </w:tcPr>
          <w:p w:rsidR="00654093" w:rsidRPr="00F13E89" w:rsidRDefault="004F4004" w:rsidP="003A33DF">
            <w:pPr>
              <w:pStyle w:val="Textpoznpodarou"/>
              <w:jc w:val="both"/>
              <w:rPr>
                <w:color w:val="000000" w:themeColor="text1"/>
                <w:spacing w:val="-4"/>
                <w:lang w:val="en-GB"/>
              </w:rPr>
            </w:pPr>
            <w:r>
              <w:rPr>
                <w:spacing w:val="-4"/>
                <w:lang w:val="en-GB"/>
              </w:rPr>
              <w:t xml:space="preserve">Business confidence in industry (according to the </w:t>
            </w:r>
            <w:r w:rsidR="00031DAB">
              <w:rPr>
                <w:spacing w:val="-4"/>
                <w:lang w:val="en-GB"/>
              </w:rPr>
              <w:t>seasonally</w:t>
            </w:r>
            <w:r>
              <w:rPr>
                <w:spacing w:val="-4"/>
                <w:lang w:val="en-GB"/>
              </w:rPr>
              <w:t xml:space="preserve"> adjusted balance of the confidence indicator) still remained slightly positive. </w:t>
            </w:r>
            <w:r w:rsidR="005C2E13">
              <w:rPr>
                <w:spacing w:val="-4"/>
                <w:lang w:val="en-GB"/>
              </w:rPr>
              <w:t>However, it mildly dropped during the year 2017 and it reached the lowest value for the past nineteen months in May. The growth of the production activity within the upcoming three months anticipated 24</w:t>
            </w:r>
            <w:r w:rsidR="00954C8E">
              <w:rPr>
                <w:spacing w:val="-4"/>
                <w:lang w:val="en-GB"/>
              </w:rPr>
              <w:t>%</w:t>
            </w:r>
            <w:r w:rsidR="005C2E13">
              <w:rPr>
                <w:spacing w:val="-4"/>
                <w:lang w:val="en-GB"/>
              </w:rPr>
              <w:t xml:space="preserve"> of industrial businesses during August (40</w:t>
            </w:r>
            <w:r w:rsidR="00954C8E">
              <w:rPr>
                <w:spacing w:val="-4"/>
                <w:lang w:val="en-GB"/>
              </w:rPr>
              <w:t>%</w:t>
            </w:r>
            <w:r w:rsidR="005C2E13">
              <w:rPr>
                <w:spacing w:val="-4"/>
                <w:lang w:val="en-GB"/>
              </w:rPr>
              <w:t xml:space="preserve"> in </w:t>
            </w:r>
            <w:proofErr w:type="spellStart"/>
            <w:r w:rsidR="005C2E13">
              <w:rPr>
                <w:spacing w:val="-4"/>
                <w:lang w:val="en-GB"/>
              </w:rPr>
              <w:t>energetics</w:t>
            </w:r>
            <w:proofErr w:type="spellEnd"/>
            <w:r w:rsidR="005C2E13">
              <w:rPr>
                <w:spacing w:val="-4"/>
                <w:lang w:val="en-GB"/>
              </w:rPr>
              <w:t xml:space="preserve"> itself).</w:t>
            </w:r>
            <w:r w:rsidR="00654093" w:rsidRPr="00F13E89">
              <w:rPr>
                <w:color w:val="000000" w:themeColor="text1"/>
                <w:spacing w:val="-4"/>
                <w:lang w:val="en-GB"/>
              </w:rPr>
              <w:t xml:space="preserve"> </w:t>
            </w:r>
            <w:r w:rsidR="0089169B">
              <w:rPr>
                <w:color w:val="000000" w:themeColor="text1"/>
                <w:spacing w:val="-4"/>
                <w:lang w:val="en-GB"/>
              </w:rPr>
              <w:t xml:space="preserve">The proportion of businesses contemplating the increase of employment within the same time horizon slightly rose year-on-year </w:t>
            </w:r>
            <w:r w:rsidR="00654093" w:rsidRPr="00F13E89">
              <w:rPr>
                <w:color w:val="000000" w:themeColor="text1"/>
                <w:spacing w:val="-4"/>
                <w:lang w:val="en-GB"/>
              </w:rPr>
              <w:t>(</w:t>
            </w:r>
            <w:r w:rsidR="0089169B">
              <w:rPr>
                <w:color w:val="000000" w:themeColor="text1"/>
                <w:spacing w:val="-4"/>
                <w:lang w:val="en-GB"/>
              </w:rPr>
              <w:t xml:space="preserve">from </w:t>
            </w:r>
            <w:r w:rsidR="00654093" w:rsidRPr="00F13E89">
              <w:rPr>
                <w:color w:val="000000" w:themeColor="text1"/>
                <w:spacing w:val="-4"/>
                <w:lang w:val="en-GB"/>
              </w:rPr>
              <w:t>16</w:t>
            </w:r>
            <w:r w:rsidR="00954C8E">
              <w:rPr>
                <w:color w:val="000000" w:themeColor="text1"/>
                <w:spacing w:val="-4"/>
                <w:lang w:val="en-GB"/>
              </w:rPr>
              <w:t>%</w:t>
            </w:r>
            <w:r w:rsidR="00654093" w:rsidRPr="00F13E89">
              <w:rPr>
                <w:color w:val="000000" w:themeColor="text1"/>
                <w:spacing w:val="-4"/>
                <w:lang w:val="en-GB"/>
              </w:rPr>
              <w:t xml:space="preserve"> </w:t>
            </w:r>
            <w:r w:rsidR="0089169B">
              <w:rPr>
                <w:color w:val="000000" w:themeColor="text1"/>
                <w:spacing w:val="-4"/>
                <w:lang w:val="en-GB"/>
              </w:rPr>
              <w:t xml:space="preserve">to </w:t>
            </w:r>
            <w:r w:rsidR="00654093" w:rsidRPr="00F13E89">
              <w:rPr>
                <w:color w:val="000000" w:themeColor="text1"/>
                <w:spacing w:val="-4"/>
                <w:lang w:val="en-GB"/>
              </w:rPr>
              <w:t>20</w:t>
            </w:r>
            <w:r w:rsidR="00954C8E">
              <w:rPr>
                <w:color w:val="000000" w:themeColor="text1"/>
                <w:spacing w:val="-4"/>
                <w:lang w:val="en-GB"/>
              </w:rPr>
              <w:t>%</w:t>
            </w:r>
            <w:r w:rsidR="00654093" w:rsidRPr="00F13E89">
              <w:rPr>
                <w:color w:val="000000" w:themeColor="text1"/>
                <w:spacing w:val="-4"/>
                <w:lang w:val="en-GB"/>
              </w:rPr>
              <w:t xml:space="preserve">), </w:t>
            </w:r>
            <w:r w:rsidR="0089169B">
              <w:rPr>
                <w:color w:val="000000" w:themeColor="text1"/>
                <w:spacing w:val="-4"/>
                <w:lang w:val="en-GB"/>
              </w:rPr>
              <w:t xml:space="preserve">specifically mostly in manufacturing. </w:t>
            </w:r>
            <w:r w:rsidR="00D237C7">
              <w:rPr>
                <w:color w:val="000000" w:themeColor="text1"/>
                <w:spacing w:val="-4"/>
                <w:lang w:val="en-GB"/>
              </w:rPr>
              <w:t>Businesses in the mining industry signalled possible higher stabilization of employment. The share of businesses considering the lack of labour force to be the barrier to their growth climbed to record 41</w:t>
            </w:r>
            <w:r w:rsidR="00954C8E">
              <w:rPr>
                <w:color w:val="000000" w:themeColor="text1"/>
                <w:spacing w:val="-4"/>
                <w:lang w:val="en-GB"/>
              </w:rPr>
              <w:t>%</w:t>
            </w:r>
            <w:r w:rsidR="00D237C7">
              <w:rPr>
                <w:color w:val="000000" w:themeColor="text1"/>
                <w:spacing w:val="-4"/>
                <w:lang w:val="en-GB"/>
              </w:rPr>
              <w:t xml:space="preserve"> at the beginning of Q</w:t>
            </w:r>
            <w:r w:rsidR="00654093" w:rsidRPr="00F13E89">
              <w:rPr>
                <w:color w:val="000000" w:themeColor="text1"/>
                <w:spacing w:val="-4"/>
                <w:lang w:val="en-GB"/>
              </w:rPr>
              <w:t xml:space="preserve">3. </w:t>
            </w:r>
            <w:r w:rsidR="003A33DF">
              <w:rPr>
                <w:color w:val="000000" w:themeColor="text1"/>
                <w:spacing w:val="-4"/>
                <w:lang w:val="en-GB"/>
              </w:rPr>
              <w:t>It overtook the impact of the inadequate demand for the first time since Q</w:t>
            </w:r>
            <w:r w:rsidR="00654093" w:rsidRPr="00F13E89">
              <w:rPr>
                <w:color w:val="000000" w:themeColor="text1"/>
                <w:spacing w:val="-4"/>
                <w:lang w:val="en-GB"/>
              </w:rPr>
              <w:t>1</w:t>
            </w:r>
            <w:r w:rsidR="003A33DF">
              <w:rPr>
                <w:color w:val="000000" w:themeColor="text1"/>
                <w:spacing w:val="-4"/>
                <w:lang w:val="en-GB"/>
              </w:rPr>
              <w:t xml:space="preserve"> </w:t>
            </w:r>
            <w:r w:rsidR="00654093" w:rsidRPr="00F13E89">
              <w:rPr>
                <w:color w:val="000000" w:themeColor="text1"/>
                <w:spacing w:val="-4"/>
                <w:lang w:val="en-GB"/>
              </w:rPr>
              <w:t>2008</w:t>
            </w:r>
            <w:r w:rsidR="003A33DF">
              <w:rPr>
                <w:color w:val="000000" w:themeColor="text1"/>
                <w:spacing w:val="-4"/>
                <w:lang w:val="en-GB"/>
              </w:rPr>
              <w:t xml:space="preserve"> and thus it became the most significant limiting factor of further development of industrial businesses. </w:t>
            </w:r>
          </w:p>
        </w:tc>
      </w:tr>
    </w:tbl>
    <w:p w:rsidR="00654093" w:rsidRDefault="00654093" w:rsidP="00654093">
      <w:pPr>
        <w:pStyle w:val="Textpoznpodarou"/>
        <w:jc w:val="both"/>
      </w:pPr>
    </w:p>
    <w:p w:rsidR="00214DB7" w:rsidRDefault="00214DB7" w:rsidP="00654093">
      <w:pPr>
        <w:pStyle w:val="Textpoznpodarou"/>
        <w:jc w:val="both"/>
      </w:pPr>
    </w:p>
    <w:p w:rsidR="00214DB7" w:rsidRDefault="00214DB7" w:rsidP="00654093">
      <w:pPr>
        <w:pStyle w:val="Textpoznpodarou"/>
        <w:jc w:val="both"/>
      </w:pPr>
    </w:p>
    <w:p w:rsidR="00214DB7" w:rsidRDefault="00214DB7" w:rsidP="00654093">
      <w:pPr>
        <w:pStyle w:val="Textpoznpodarou"/>
        <w:jc w:val="both"/>
      </w:pPr>
    </w:p>
    <w:p w:rsidR="00214DB7" w:rsidRPr="00214DB7" w:rsidRDefault="00214DB7" w:rsidP="00654093">
      <w:pPr>
        <w:pStyle w:val="Textpoznpodarou"/>
        <w:jc w:val="both"/>
      </w:pPr>
    </w:p>
    <w:tbl>
      <w:tblPr>
        <w:tblW w:w="4963" w:type="pct"/>
        <w:tblInd w:w="108" w:type="dxa"/>
        <w:tblLayout w:type="fixed"/>
        <w:tblLook w:val="00A0"/>
      </w:tblPr>
      <w:tblGrid>
        <w:gridCol w:w="1997"/>
        <w:gridCol w:w="284"/>
        <w:gridCol w:w="980"/>
        <w:gridCol w:w="6520"/>
      </w:tblGrid>
      <w:tr w:rsidR="00654093" w:rsidRPr="00AA4A76" w:rsidTr="00853C0F">
        <w:trPr>
          <w:trHeight w:val="145"/>
        </w:trPr>
        <w:tc>
          <w:tcPr>
            <w:tcW w:w="1021" w:type="pct"/>
            <w:shd w:val="clear" w:color="auto" w:fill="auto"/>
          </w:tcPr>
          <w:p w:rsidR="00654093" w:rsidRPr="00AA4A76" w:rsidRDefault="00654093" w:rsidP="00853C0F">
            <w:pPr>
              <w:spacing w:line="240" w:lineRule="auto"/>
              <w:jc w:val="center"/>
              <w:rPr>
                <w:color w:val="000000"/>
                <w:szCs w:val="20"/>
              </w:rPr>
            </w:pPr>
          </w:p>
        </w:tc>
        <w:tc>
          <w:tcPr>
            <w:tcW w:w="145" w:type="pct"/>
          </w:tcPr>
          <w:p w:rsidR="00654093" w:rsidRPr="00AA4A76" w:rsidRDefault="00654093" w:rsidP="00853C0F">
            <w:pPr>
              <w:pStyle w:val="Textpoznpodarou"/>
              <w:jc w:val="both"/>
              <w:rPr>
                <w:highlight w:val="yellow"/>
              </w:rPr>
            </w:pPr>
          </w:p>
        </w:tc>
        <w:tc>
          <w:tcPr>
            <w:tcW w:w="501" w:type="pct"/>
          </w:tcPr>
          <w:p w:rsidR="00654093" w:rsidRPr="00540CB3" w:rsidRDefault="00AE63AB" w:rsidP="00853C0F">
            <w:pPr>
              <w:pStyle w:val="Textpoznpodarou"/>
              <w:jc w:val="both"/>
              <w:rPr>
                <w:spacing w:val="-4"/>
                <w:highlight w:val="yellow"/>
              </w:rPr>
            </w:pPr>
            <w:r>
              <w:rPr>
                <w:color w:val="000000"/>
                <w:spacing w:val="-4"/>
              </w:rPr>
              <w:t>Chart</w:t>
            </w:r>
            <w:r w:rsidR="00654093" w:rsidRPr="00540CB3">
              <w:rPr>
                <w:color w:val="000000"/>
                <w:spacing w:val="-4"/>
              </w:rPr>
              <w:t xml:space="preserve"> 6</w:t>
            </w:r>
          </w:p>
        </w:tc>
        <w:tc>
          <w:tcPr>
            <w:tcW w:w="3333" w:type="pct"/>
          </w:tcPr>
          <w:p w:rsidR="001F4DAE" w:rsidRDefault="006A23E1" w:rsidP="00AE63AB">
            <w:pPr>
              <w:pStyle w:val="Textpoznpodarou"/>
              <w:rPr>
                <w:b/>
                <w:spacing w:val="-4"/>
                <w:lang w:val="en-GB"/>
              </w:rPr>
            </w:pPr>
            <w:r w:rsidRPr="004D2174">
              <w:rPr>
                <w:b/>
                <w:spacing w:val="-4"/>
                <w:lang w:val="en-GB"/>
              </w:rPr>
              <w:t xml:space="preserve">New orders in manufacture of motor vehicles, </w:t>
            </w:r>
            <w:r w:rsidR="009D77CF">
              <w:rPr>
                <w:b/>
                <w:spacing w:val="-4"/>
                <w:lang w:val="en-GB"/>
              </w:rPr>
              <w:t xml:space="preserve">in </w:t>
            </w:r>
            <w:r w:rsidRPr="004D2174">
              <w:rPr>
                <w:b/>
                <w:spacing w:val="-4"/>
                <w:lang w:val="en-GB"/>
              </w:rPr>
              <w:t xml:space="preserve">industry in total </w:t>
            </w:r>
          </w:p>
          <w:p w:rsidR="00654093" w:rsidRPr="004D2174" w:rsidRDefault="00654093" w:rsidP="00AE63AB">
            <w:pPr>
              <w:pStyle w:val="Textpoznpodarou"/>
              <w:rPr>
                <w:bCs/>
                <w:lang w:val="en-GB"/>
              </w:rPr>
            </w:pPr>
            <w:r w:rsidRPr="004D2174">
              <w:rPr>
                <w:bCs/>
                <w:spacing w:val="-2"/>
                <w:lang w:val="en-GB"/>
              </w:rPr>
              <w:t>(</w:t>
            </w:r>
            <w:r w:rsidR="00AE63AB" w:rsidRPr="004D2174">
              <w:rPr>
                <w:bCs/>
                <w:spacing w:val="-2"/>
                <w:lang w:val="en-GB"/>
              </w:rPr>
              <w:t>in current prices</w:t>
            </w:r>
            <w:r w:rsidRPr="004D2174">
              <w:rPr>
                <w:bCs/>
                <w:spacing w:val="-2"/>
                <w:lang w:val="en-GB"/>
              </w:rPr>
              <w:t xml:space="preserve">, </w:t>
            </w:r>
            <w:r w:rsidR="00AE63AB" w:rsidRPr="004D2174">
              <w:rPr>
                <w:bCs/>
                <w:spacing w:val="-2"/>
                <w:lang w:val="en-GB"/>
              </w:rPr>
              <w:t xml:space="preserve">year-on-year </w:t>
            </w:r>
            <w:r w:rsidR="00954C8E">
              <w:rPr>
                <w:bCs/>
                <w:spacing w:val="-2"/>
                <w:lang w:val="en-GB"/>
              </w:rPr>
              <w:t>in %</w:t>
            </w:r>
            <w:r w:rsidRPr="004D2174">
              <w:rPr>
                <w:bCs/>
                <w:spacing w:val="-2"/>
                <w:lang w:val="en-GB"/>
              </w:rPr>
              <w:t xml:space="preserve">) </w:t>
            </w:r>
            <w:r w:rsidRPr="004D2174">
              <w:rPr>
                <w:b/>
                <w:spacing w:val="-2"/>
                <w:lang w:val="en-GB"/>
              </w:rPr>
              <w:t>a</w:t>
            </w:r>
            <w:r w:rsidR="00AE63AB" w:rsidRPr="004D2174">
              <w:rPr>
                <w:b/>
                <w:spacing w:val="-2"/>
                <w:lang w:val="en-GB"/>
              </w:rPr>
              <w:t>nd balance of confidence indicator in industry</w:t>
            </w:r>
          </w:p>
        </w:tc>
      </w:tr>
      <w:tr w:rsidR="00654093" w:rsidRPr="00AA4A76" w:rsidTr="00853C0F">
        <w:trPr>
          <w:trHeight w:val="145"/>
        </w:trPr>
        <w:tc>
          <w:tcPr>
            <w:tcW w:w="1021" w:type="pct"/>
            <w:shd w:val="clear" w:color="auto" w:fill="auto"/>
          </w:tcPr>
          <w:p w:rsidR="00654093" w:rsidRPr="006D3F53" w:rsidRDefault="00654093" w:rsidP="00853C0F">
            <w:pPr>
              <w:spacing w:line="240" w:lineRule="auto"/>
              <w:rPr>
                <w:color w:val="000000"/>
                <w:sz w:val="16"/>
                <w:szCs w:val="16"/>
                <w:highlight w:val="yellow"/>
              </w:rPr>
            </w:pPr>
          </w:p>
        </w:tc>
        <w:tc>
          <w:tcPr>
            <w:tcW w:w="145" w:type="pct"/>
          </w:tcPr>
          <w:p w:rsidR="00654093" w:rsidRPr="00A74192" w:rsidRDefault="00654093" w:rsidP="00853C0F">
            <w:pPr>
              <w:pStyle w:val="Textpoznpodarou"/>
              <w:jc w:val="both"/>
            </w:pPr>
          </w:p>
        </w:tc>
        <w:tc>
          <w:tcPr>
            <w:tcW w:w="3834" w:type="pct"/>
            <w:gridSpan w:val="2"/>
          </w:tcPr>
          <w:p w:rsidR="00486640" w:rsidRDefault="00486640">
            <w:pPr>
              <w:pStyle w:val="Textpoznpodarou"/>
              <w:ind w:left="-124"/>
              <w:jc w:val="right"/>
              <w:rPr>
                <w:sz w:val="16"/>
                <w:szCs w:val="16"/>
              </w:rPr>
            </w:pPr>
            <w:r>
              <w:rPr>
                <w:noProof/>
                <w:sz w:val="14"/>
                <w:szCs w:val="14"/>
              </w:rPr>
              <w:drawing>
                <wp:inline distT="0" distB="0" distL="0" distR="0">
                  <wp:extent cx="4731960" cy="3553200"/>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F2490D" w:rsidRPr="00F2490D">
              <w:rPr>
                <w:sz w:val="14"/>
                <w:szCs w:val="14"/>
              </w:rPr>
              <w:t xml:space="preserve"> </w:t>
            </w:r>
            <w:proofErr w:type="spellStart"/>
            <w:r w:rsidR="00157307">
              <w:rPr>
                <w:sz w:val="14"/>
                <w:szCs w:val="14"/>
              </w:rPr>
              <w:t>Source</w:t>
            </w:r>
            <w:proofErr w:type="spellEnd"/>
            <w:r w:rsidR="00654093" w:rsidRPr="00540CB3">
              <w:rPr>
                <w:sz w:val="14"/>
                <w:szCs w:val="14"/>
              </w:rPr>
              <w:t xml:space="preserve">: </w:t>
            </w:r>
            <w:r w:rsidR="00157307">
              <w:rPr>
                <w:sz w:val="14"/>
                <w:szCs w:val="14"/>
              </w:rPr>
              <w:t>CZSO</w:t>
            </w:r>
          </w:p>
        </w:tc>
      </w:tr>
    </w:tbl>
    <w:p w:rsidR="00654093" w:rsidRPr="00FF58EC" w:rsidRDefault="00654093" w:rsidP="00654093">
      <w:pPr>
        <w:pStyle w:val="Textpoznpodarou"/>
        <w:jc w:val="both"/>
        <w:rPr>
          <w:sz w:val="14"/>
          <w:szCs w:val="14"/>
        </w:rPr>
      </w:pPr>
    </w:p>
    <w:tbl>
      <w:tblPr>
        <w:tblW w:w="4986" w:type="pct"/>
        <w:tblInd w:w="107" w:type="dxa"/>
        <w:tblLayout w:type="fixed"/>
        <w:tblLook w:val="00A0"/>
      </w:tblPr>
      <w:tblGrid>
        <w:gridCol w:w="1997"/>
        <w:gridCol w:w="283"/>
        <w:gridCol w:w="7546"/>
      </w:tblGrid>
      <w:tr w:rsidR="00654093" w:rsidRPr="00656A4E" w:rsidTr="00853C0F">
        <w:tc>
          <w:tcPr>
            <w:tcW w:w="1016" w:type="pct"/>
            <w:shd w:val="clear" w:color="auto" w:fill="auto"/>
          </w:tcPr>
          <w:p w:rsidR="00654093" w:rsidRPr="00D14A40" w:rsidRDefault="00405D51" w:rsidP="00853C0F">
            <w:pPr>
              <w:spacing w:line="240" w:lineRule="auto"/>
              <w:rPr>
                <w:color w:val="0D0D0D" w:themeColor="text1" w:themeTint="F2"/>
                <w:spacing w:val="-2"/>
                <w:sz w:val="16"/>
                <w:szCs w:val="16"/>
                <w:lang w:val="en-GB"/>
              </w:rPr>
            </w:pPr>
            <w:r w:rsidRPr="00D14A40">
              <w:rPr>
                <w:color w:val="0D0D0D" w:themeColor="text1" w:themeTint="F2"/>
                <w:spacing w:val="-2"/>
                <w:sz w:val="16"/>
                <w:szCs w:val="16"/>
                <w:lang w:val="en-GB"/>
              </w:rPr>
              <w:t>Construction production revived in Q2</w:t>
            </w:r>
            <w:r w:rsidR="00654093" w:rsidRPr="00D14A40">
              <w:rPr>
                <w:color w:val="0D0D0D" w:themeColor="text1" w:themeTint="F2"/>
                <w:spacing w:val="-2"/>
                <w:sz w:val="16"/>
                <w:szCs w:val="16"/>
                <w:lang w:val="en-GB"/>
              </w:rPr>
              <w:t xml:space="preserve">. </w:t>
            </w:r>
            <w:r w:rsidR="00D14A40" w:rsidRPr="00D14A40">
              <w:rPr>
                <w:color w:val="0D0D0D" w:themeColor="text1" w:themeTint="F2"/>
                <w:spacing w:val="-2"/>
                <w:sz w:val="16"/>
                <w:szCs w:val="16"/>
                <w:lang w:val="en-GB"/>
              </w:rPr>
              <w:t xml:space="preserve">It </w:t>
            </w:r>
            <w:r w:rsidR="0068331B" w:rsidRPr="00D14A40">
              <w:rPr>
                <w:color w:val="0D0D0D" w:themeColor="text1" w:themeTint="F2"/>
                <w:spacing w:val="-2"/>
                <w:sz w:val="16"/>
                <w:szCs w:val="16"/>
                <w:lang w:val="en-GB"/>
              </w:rPr>
              <w:t>strengthened</w:t>
            </w:r>
            <w:r w:rsidR="00D14A40" w:rsidRPr="00D14A40">
              <w:rPr>
                <w:color w:val="0D0D0D" w:themeColor="text1" w:themeTint="F2"/>
                <w:spacing w:val="-2"/>
                <w:sz w:val="16"/>
                <w:szCs w:val="16"/>
                <w:lang w:val="en-GB"/>
              </w:rPr>
              <w:t xml:space="preserve"> quarter-on-quarter the most since the beginning of year 2</w:t>
            </w:r>
            <w:r w:rsidR="00654093" w:rsidRPr="00D14A40">
              <w:rPr>
                <w:color w:val="0D0D0D" w:themeColor="text1" w:themeTint="F2"/>
                <w:spacing w:val="-2"/>
                <w:sz w:val="16"/>
                <w:szCs w:val="16"/>
                <w:lang w:val="en-GB"/>
              </w:rPr>
              <w:t xml:space="preserve">015. </w:t>
            </w: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FE058B" w:rsidP="00853C0F">
            <w:pPr>
              <w:spacing w:line="240" w:lineRule="auto"/>
              <w:rPr>
                <w:color w:val="0D0D0D" w:themeColor="text1" w:themeTint="F2"/>
                <w:spacing w:val="-2"/>
                <w:sz w:val="16"/>
                <w:szCs w:val="16"/>
                <w:lang w:val="en-GB"/>
              </w:rPr>
            </w:pPr>
            <w:r>
              <w:rPr>
                <w:color w:val="0D0D0D" w:themeColor="text1" w:themeTint="F2"/>
                <w:spacing w:val="-2"/>
                <w:sz w:val="16"/>
                <w:szCs w:val="16"/>
                <w:lang w:val="en-GB"/>
              </w:rPr>
              <w:t>Civil engineering construction</w:t>
            </w:r>
            <w:r w:rsidR="00654093" w:rsidRPr="00D14A40">
              <w:rPr>
                <w:color w:val="0D0D0D" w:themeColor="text1" w:themeTint="F2"/>
                <w:spacing w:val="-2"/>
                <w:sz w:val="16"/>
                <w:szCs w:val="16"/>
                <w:lang w:val="en-GB"/>
              </w:rPr>
              <w:t xml:space="preserve"> </w:t>
            </w:r>
            <w:r w:rsidR="002B1253">
              <w:rPr>
                <w:color w:val="0D0D0D" w:themeColor="text1" w:themeTint="F2"/>
                <w:spacing w:val="-2"/>
                <w:sz w:val="16"/>
                <w:szCs w:val="16"/>
                <w:lang w:val="en-GB"/>
              </w:rPr>
              <w:t xml:space="preserve">has not contributed to the revival of </w:t>
            </w:r>
            <w:r w:rsidR="00157307">
              <w:rPr>
                <w:color w:val="0D0D0D" w:themeColor="text1" w:themeTint="F2"/>
                <w:spacing w:val="-2"/>
                <w:sz w:val="16"/>
                <w:szCs w:val="16"/>
                <w:lang w:val="en-GB"/>
              </w:rPr>
              <w:t>construction</w:t>
            </w:r>
            <w:r w:rsidR="002B1253">
              <w:rPr>
                <w:color w:val="0D0D0D" w:themeColor="text1" w:themeTint="F2"/>
                <w:spacing w:val="-2"/>
                <w:sz w:val="16"/>
                <w:szCs w:val="16"/>
                <w:lang w:val="en-GB"/>
              </w:rPr>
              <w:t xml:space="preserve"> so far. Its output is limited by the low volume of public investment. </w:t>
            </w: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color w:val="0D0D0D" w:themeColor="text1" w:themeTint="F2"/>
                <w:spacing w:val="-4"/>
                <w:sz w:val="16"/>
                <w:szCs w:val="16"/>
                <w:lang w:val="en-GB"/>
              </w:rPr>
            </w:pPr>
            <w:r w:rsidRPr="00D14A40">
              <w:rPr>
                <w:color w:val="0D0D0D" w:themeColor="text1" w:themeTint="F2"/>
                <w:spacing w:val="-4"/>
                <w:sz w:val="16"/>
                <w:szCs w:val="16"/>
                <w:lang w:val="en-GB"/>
              </w:rPr>
              <w:t>M</w:t>
            </w:r>
            <w:r w:rsidR="009751C0">
              <w:rPr>
                <w:color w:val="0D0D0D" w:themeColor="text1" w:themeTint="F2"/>
                <w:spacing w:val="-4"/>
                <w:sz w:val="16"/>
                <w:szCs w:val="16"/>
                <w:lang w:val="en-GB"/>
              </w:rPr>
              <w:t xml:space="preserve">ild revival of the commenced </w:t>
            </w:r>
            <w:r w:rsidR="00FE058B">
              <w:rPr>
                <w:color w:val="0D0D0D" w:themeColor="text1" w:themeTint="F2"/>
                <w:spacing w:val="-4"/>
                <w:sz w:val="16"/>
                <w:szCs w:val="16"/>
                <w:lang w:val="en-GB"/>
              </w:rPr>
              <w:t xml:space="preserve">residential building construction </w:t>
            </w:r>
            <w:r w:rsidR="009751C0">
              <w:rPr>
                <w:color w:val="0D0D0D" w:themeColor="text1" w:themeTint="F2"/>
                <w:spacing w:val="-4"/>
                <w:sz w:val="16"/>
                <w:szCs w:val="16"/>
                <w:lang w:val="en-GB"/>
              </w:rPr>
              <w:t xml:space="preserve">at the turn of years </w:t>
            </w:r>
            <w:r w:rsidRPr="00D14A40">
              <w:rPr>
                <w:color w:val="0D0D0D" w:themeColor="text1" w:themeTint="F2"/>
                <w:spacing w:val="-4"/>
                <w:sz w:val="16"/>
                <w:szCs w:val="16"/>
                <w:lang w:val="en-GB"/>
              </w:rPr>
              <w:t>2016 a</w:t>
            </w:r>
            <w:r w:rsidR="009751C0">
              <w:rPr>
                <w:color w:val="0D0D0D" w:themeColor="text1" w:themeTint="F2"/>
                <w:spacing w:val="-4"/>
                <w:sz w:val="16"/>
                <w:szCs w:val="16"/>
                <w:lang w:val="en-GB"/>
              </w:rPr>
              <w:t>nd</w:t>
            </w:r>
            <w:r w:rsidRPr="00D14A40">
              <w:rPr>
                <w:color w:val="0D0D0D" w:themeColor="text1" w:themeTint="F2"/>
                <w:spacing w:val="-4"/>
                <w:sz w:val="16"/>
                <w:szCs w:val="16"/>
                <w:lang w:val="en-GB"/>
              </w:rPr>
              <w:t xml:space="preserve"> 2017</w:t>
            </w:r>
            <w:r w:rsidR="009751C0">
              <w:rPr>
                <w:color w:val="0D0D0D" w:themeColor="text1" w:themeTint="F2"/>
                <w:spacing w:val="-4"/>
                <w:sz w:val="16"/>
                <w:szCs w:val="16"/>
                <w:lang w:val="en-GB"/>
              </w:rPr>
              <w:t xml:space="preserve"> however has not affected the growing tension between supply and demand much so far. </w:t>
            </w:r>
            <w:r w:rsidRPr="00D14A40">
              <w:rPr>
                <w:color w:val="0D0D0D" w:themeColor="text1" w:themeTint="F2"/>
                <w:spacing w:val="-4"/>
                <w:sz w:val="16"/>
                <w:szCs w:val="16"/>
                <w:lang w:val="en-GB"/>
              </w:rPr>
              <w:t xml:space="preserve"> </w:t>
            </w:r>
          </w:p>
          <w:p w:rsidR="00654093" w:rsidRPr="00D14A40" w:rsidRDefault="00654093" w:rsidP="00853C0F">
            <w:pPr>
              <w:spacing w:line="240" w:lineRule="auto"/>
              <w:rPr>
                <w:color w:val="0D0D0D" w:themeColor="text1" w:themeTint="F2"/>
                <w:spacing w:val="-2"/>
                <w:sz w:val="16"/>
                <w:szCs w:val="16"/>
                <w:lang w:val="en-GB"/>
              </w:rPr>
            </w:pPr>
          </w:p>
          <w:p w:rsidR="00654093" w:rsidRPr="00D14A40" w:rsidRDefault="00654093" w:rsidP="00853C0F">
            <w:pPr>
              <w:spacing w:line="240" w:lineRule="auto"/>
              <w:rPr>
                <w:sz w:val="16"/>
                <w:szCs w:val="16"/>
                <w:lang w:val="en-GB"/>
              </w:rPr>
            </w:pPr>
          </w:p>
        </w:tc>
        <w:tc>
          <w:tcPr>
            <w:tcW w:w="144" w:type="pct"/>
          </w:tcPr>
          <w:p w:rsidR="00654093" w:rsidRPr="00D14A40" w:rsidRDefault="00654093" w:rsidP="00853C0F">
            <w:pPr>
              <w:rPr>
                <w:spacing w:val="-4"/>
                <w:szCs w:val="20"/>
                <w:lang w:val="en-GB"/>
              </w:rPr>
            </w:pPr>
          </w:p>
        </w:tc>
        <w:tc>
          <w:tcPr>
            <w:tcW w:w="3840" w:type="pct"/>
          </w:tcPr>
          <w:p w:rsidR="00654093" w:rsidRPr="00D14A40" w:rsidRDefault="00260FBE" w:rsidP="00853C0F">
            <w:pPr>
              <w:pStyle w:val="Textpoznpodarou"/>
              <w:jc w:val="both"/>
              <w:rPr>
                <w:spacing w:val="-4"/>
                <w:lang w:val="en-GB"/>
              </w:rPr>
            </w:pPr>
            <w:r w:rsidRPr="00D14A40">
              <w:rPr>
                <w:spacing w:val="-4"/>
                <w:lang w:val="en-GB"/>
              </w:rPr>
              <w:t xml:space="preserve">The construction output mildly improved following the last year’s strong slump, caused by </w:t>
            </w:r>
            <w:r w:rsidR="0068331B">
              <w:rPr>
                <w:spacing w:val="-4"/>
                <w:lang w:val="en-GB"/>
              </w:rPr>
              <w:t xml:space="preserve">the drop out of </w:t>
            </w:r>
            <w:r w:rsidRPr="00D14A40">
              <w:rPr>
                <w:spacing w:val="-4"/>
                <w:lang w:val="en-GB"/>
              </w:rPr>
              <w:t xml:space="preserve">the extraordinary growth factors </w:t>
            </w:r>
            <w:r w:rsidR="0068331B">
              <w:rPr>
                <w:spacing w:val="-4"/>
                <w:lang w:val="en-GB"/>
              </w:rPr>
              <w:t xml:space="preserve">mildly improved in the first half of 2017. </w:t>
            </w:r>
            <w:r w:rsidR="005832AD">
              <w:rPr>
                <w:spacing w:val="-4"/>
                <w:lang w:val="en-GB"/>
              </w:rPr>
              <w:t xml:space="preserve">The construction output stagnated in the quarter-on-quarter expression at the beginning of the </w:t>
            </w:r>
            <w:proofErr w:type="gramStart"/>
            <w:r w:rsidR="005832AD">
              <w:rPr>
                <w:spacing w:val="-4"/>
                <w:lang w:val="en-GB"/>
              </w:rPr>
              <w:t>year,</w:t>
            </w:r>
            <w:proofErr w:type="gramEnd"/>
            <w:r w:rsidR="005832AD">
              <w:rPr>
                <w:spacing w:val="-4"/>
                <w:lang w:val="en-GB"/>
              </w:rPr>
              <w:t xml:space="preserve"> however it already strengthened by 3.6</w:t>
            </w:r>
            <w:r w:rsidR="00954C8E">
              <w:rPr>
                <w:spacing w:val="-4"/>
                <w:lang w:val="en-GB"/>
              </w:rPr>
              <w:t>%</w:t>
            </w:r>
            <w:r w:rsidR="005832AD">
              <w:rPr>
                <w:spacing w:val="-4"/>
                <w:lang w:val="en-GB"/>
              </w:rPr>
              <w:t xml:space="preserve"> in Q</w:t>
            </w:r>
            <w:r w:rsidR="00654093" w:rsidRPr="00D14A40">
              <w:rPr>
                <w:spacing w:val="-4"/>
                <w:lang w:val="en-GB"/>
              </w:rPr>
              <w:t>2</w:t>
            </w:r>
            <w:r w:rsidR="005832AD">
              <w:rPr>
                <w:spacing w:val="-4"/>
                <w:lang w:val="en-GB"/>
              </w:rPr>
              <w:t xml:space="preserve"> </w:t>
            </w:r>
            <w:r w:rsidR="00654093" w:rsidRPr="00D14A40">
              <w:rPr>
                <w:spacing w:val="-4"/>
                <w:lang w:val="en-GB"/>
              </w:rPr>
              <w:t>(</w:t>
            </w:r>
            <w:r w:rsidR="005832AD">
              <w:rPr>
                <w:spacing w:val="-4"/>
                <w:lang w:val="en-GB"/>
              </w:rPr>
              <w:t xml:space="preserve">the most since the beginning of year </w:t>
            </w:r>
            <w:r w:rsidR="00654093" w:rsidRPr="00D14A40">
              <w:rPr>
                <w:spacing w:val="-4"/>
                <w:lang w:val="en-GB"/>
              </w:rPr>
              <w:t xml:space="preserve">2015). </w:t>
            </w:r>
            <w:r w:rsidR="00157307">
              <w:rPr>
                <w:spacing w:val="-4"/>
                <w:lang w:val="en-GB"/>
              </w:rPr>
              <w:t>The year-on-year fall of the production halted after five quarters, with its pace increasing by 7.7</w:t>
            </w:r>
            <w:r w:rsidR="00954C8E">
              <w:rPr>
                <w:spacing w:val="-4"/>
                <w:lang w:val="en-GB"/>
              </w:rPr>
              <w:t>%</w:t>
            </w:r>
            <w:r w:rsidR="00654093" w:rsidRPr="00D14A40">
              <w:rPr>
                <w:rStyle w:val="Znakapoznpodarou"/>
                <w:spacing w:val="-4"/>
                <w:lang w:val="en-GB"/>
              </w:rPr>
              <w:footnoteReference w:id="17"/>
            </w:r>
            <w:r w:rsidR="00157307">
              <w:rPr>
                <w:spacing w:val="-4"/>
                <w:lang w:val="en-GB"/>
              </w:rPr>
              <w:t xml:space="preserve"> in Q2</w:t>
            </w:r>
            <w:r w:rsidR="00654093" w:rsidRPr="00D14A40">
              <w:rPr>
                <w:spacing w:val="-4"/>
                <w:lang w:val="en-GB"/>
              </w:rPr>
              <w:t xml:space="preserve">. </w:t>
            </w:r>
            <w:r w:rsidR="00614A9F">
              <w:rPr>
                <w:spacing w:val="-4"/>
                <w:lang w:val="en-GB"/>
              </w:rPr>
              <w:t xml:space="preserve">However, it was the result of contribution by only the more significant by weight </w:t>
            </w:r>
            <w:r w:rsidR="00FE058B">
              <w:rPr>
                <w:spacing w:val="-4"/>
                <w:lang w:val="en-GB"/>
              </w:rPr>
              <w:t>building construction</w:t>
            </w:r>
            <w:r w:rsidR="00654093" w:rsidRPr="00D14A40">
              <w:rPr>
                <w:spacing w:val="-4"/>
                <w:lang w:val="en-GB"/>
              </w:rPr>
              <w:t xml:space="preserve"> (</w:t>
            </w:r>
            <w:r w:rsidR="00614A9F">
              <w:rPr>
                <w:spacing w:val="-4"/>
                <w:lang w:val="en-GB"/>
              </w:rPr>
              <w:t>with growth by 1</w:t>
            </w:r>
            <w:r w:rsidR="00654093" w:rsidRPr="00D14A40">
              <w:rPr>
                <w:spacing w:val="-4"/>
                <w:lang w:val="en-GB"/>
              </w:rPr>
              <w:t>3</w:t>
            </w:r>
            <w:r w:rsidR="00614A9F">
              <w:rPr>
                <w:spacing w:val="-4"/>
                <w:lang w:val="en-GB"/>
              </w:rPr>
              <w:t>.</w:t>
            </w:r>
            <w:r w:rsidR="00654093" w:rsidRPr="00D14A40">
              <w:rPr>
                <w:spacing w:val="-4"/>
                <w:lang w:val="en-GB"/>
              </w:rPr>
              <w:t>4</w:t>
            </w:r>
            <w:r w:rsidR="00954C8E">
              <w:rPr>
                <w:spacing w:val="-4"/>
                <w:lang w:val="en-GB"/>
              </w:rPr>
              <w:t>%</w:t>
            </w:r>
            <w:r w:rsidR="00654093" w:rsidRPr="00D14A40">
              <w:rPr>
                <w:spacing w:val="-4"/>
                <w:lang w:val="en-GB"/>
              </w:rPr>
              <w:t xml:space="preserve">), </w:t>
            </w:r>
            <w:r w:rsidR="00614A9F">
              <w:rPr>
                <w:spacing w:val="-4"/>
                <w:lang w:val="en-GB"/>
              </w:rPr>
              <w:t xml:space="preserve">since the performance of </w:t>
            </w:r>
            <w:r w:rsidR="00FE058B">
              <w:rPr>
                <w:spacing w:val="-4"/>
                <w:lang w:val="en-GB"/>
              </w:rPr>
              <w:t>civil engineering construction</w:t>
            </w:r>
            <w:r w:rsidR="00654093" w:rsidRPr="00D14A40">
              <w:rPr>
                <w:spacing w:val="-4"/>
                <w:lang w:val="en-GB"/>
              </w:rPr>
              <w:t xml:space="preserve"> </w:t>
            </w:r>
            <w:r w:rsidR="00614A9F">
              <w:rPr>
                <w:spacing w:val="-4"/>
                <w:lang w:val="en-GB"/>
              </w:rPr>
              <w:t xml:space="preserve">kept further </w:t>
            </w:r>
            <w:proofErr w:type="gramStart"/>
            <w:r w:rsidR="00614A9F">
              <w:rPr>
                <w:spacing w:val="-4"/>
                <w:lang w:val="en-GB"/>
              </w:rPr>
              <w:t>falling</w:t>
            </w:r>
            <w:r w:rsidR="009D77CF">
              <w:rPr>
                <w:spacing w:val="-4"/>
                <w:lang w:val="en-GB"/>
              </w:rPr>
              <w:t xml:space="preserve"> </w:t>
            </w:r>
            <w:r w:rsidR="00614A9F">
              <w:rPr>
                <w:spacing w:val="-4"/>
                <w:lang w:val="en-GB"/>
              </w:rPr>
              <w:t xml:space="preserve"> </w:t>
            </w:r>
            <w:r w:rsidR="00654093" w:rsidRPr="00D14A40">
              <w:rPr>
                <w:spacing w:val="-4"/>
                <w:lang w:val="en-GB"/>
              </w:rPr>
              <w:t>(</w:t>
            </w:r>
            <w:proofErr w:type="gramEnd"/>
            <w:r w:rsidR="00654093" w:rsidRPr="00D14A40">
              <w:rPr>
                <w:spacing w:val="-4"/>
                <w:lang w:val="en-GB"/>
              </w:rPr>
              <w:t>-4</w:t>
            </w:r>
            <w:r w:rsidR="00614A9F">
              <w:rPr>
                <w:spacing w:val="-4"/>
                <w:lang w:val="en-GB"/>
              </w:rPr>
              <w:t>.</w:t>
            </w:r>
            <w:r w:rsidR="00F5053A">
              <w:rPr>
                <w:spacing w:val="-4"/>
                <w:lang w:val="en-GB"/>
              </w:rPr>
              <w:t>5</w:t>
            </w:r>
            <w:r w:rsidR="00954C8E">
              <w:rPr>
                <w:spacing w:val="-4"/>
                <w:lang w:val="en-GB"/>
              </w:rPr>
              <w:t>%</w:t>
            </w:r>
            <w:r w:rsidR="00F5053A">
              <w:rPr>
                <w:spacing w:val="-4"/>
                <w:lang w:val="en-GB"/>
              </w:rPr>
              <w:t>). Compared to Q</w:t>
            </w:r>
            <w:r w:rsidR="00654093" w:rsidRPr="00D14A40">
              <w:rPr>
                <w:spacing w:val="-4"/>
                <w:lang w:val="en-GB"/>
              </w:rPr>
              <w:t>2</w:t>
            </w:r>
            <w:r w:rsidR="00F5053A">
              <w:rPr>
                <w:spacing w:val="-4"/>
                <w:lang w:val="en-GB"/>
              </w:rPr>
              <w:t xml:space="preserve"> </w:t>
            </w:r>
            <w:r w:rsidR="00654093" w:rsidRPr="00D14A40">
              <w:rPr>
                <w:spacing w:val="-4"/>
                <w:lang w:val="en-GB"/>
              </w:rPr>
              <w:t xml:space="preserve">2013, </w:t>
            </w:r>
            <w:r w:rsidR="00F5053A">
              <w:rPr>
                <w:spacing w:val="-4"/>
                <w:lang w:val="en-GB"/>
              </w:rPr>
              <w:t>when the whole construction accomplished the lowe</w:t>
            </w:r>
            <w:r w:rsidR="00316708">
              <w:rPr>
                <w:spacing w:val="-4"/>
                <w:lang w:val="en-GB"/>
              </w:rPr>
              <w:t>st</w:t>
            </w:r>
            <w:r w:rsidR="00F5053A">
              <w:rPr>
                <w:spacing w:val="-4"/>
                <w:lang w:val="en-GB"/>
              </w:rPr>
              <w:t xml:space="preserve"> performance since the accession of the CR into the EU, this year´s production was by </w:t>
            </w:r>
            <w:r w:rsidR="00654093" w:rsidRPr="00D14A40">
              <w:rPr>
                <w:spacing w:val="-4"/>
                <w:lang w:val="en-GB"/>
              </w:rPr>
              <w:t>14</w:t>
            </w:r>
            <w:r w:rsidR="00F5053A">
              <w:rPr>
                <w:spacing w:val="-4"/>
                <w:lang w:val="en-GB"/>
              </w:rPr>
              <w:t>.</w:t>
            </w:r>
            <w:r w:rsidR="00AC69CA" w:rsidRPr="00D14A40">
              <w:rPr>
                <w:spacing w:val="-4"/>
                <w:lang w:val="en-GB"/>
              </w:rPr>
              <w:t>1</w:t>
            </w:r>
            <w:r w:rsidR="00954C8E">
              <w:rPr>
                <w:spacing w:val="-4"/>
                <w:lang w:val="en-GB"/>
              </w:rPr>
              <w:t>%</w:t>
            </w:r>
            <w:r w:rsidR="00654093" w:rsidRPr="00D14A40">
              <w:rPr>
                <w:spacing w:val="-4"/>
                <w:lang w:val="en-GB"/>
              </w:rPr>
              <w:t xml:space="preserve"> </w:t>
            </w:r>
            <w:r w:rsidR="00F5053A">
              <w:rPr>
                <w:spacing w:val="-4"/>
                <w:lang w:val="en-GB"/>
              </w:rPr>
              <w:t>higher</w:t>
            </w:r>
            <w:r w:rsidR="00654093" w:rsidRPr="00D14A40">
              <w:rPr>
                <w:spacing w:val="-4"/>
                <w:lang w:val="en-GB"/>
              </w:rPr>
              <w:t xml:space="preserve">. </w:t>
            </w:r>
            <w:r w:rsidR="00872922">
              <w:rPr>
                <w:spacing w:val="-4"/>
                <w:lang w:val="en-GB"/>
              </w:rPr>
              <w:t xml:space="preserve">It still lagged behind the absolute peak (Q4 </w:t>
            </w:r>
            <w:r w:rsidR="00AC69CA" w:rsidRPr="00D14A40">
              <w:rPr>
                <w:spacing w:val="-4"/>
                <w:lang w:val="en-GB"/>
              </w:rPr>
              <w:t>200</w:t>
            </w:r>
            <w:r w:rsidR="00F23F6C" w:rsidRPr="00D14A40">
              <w:rPr>
                <w:spacing w:val="-4"/>
                <w:lang w:val="en-GB"/>
              </w:rPr>
              <w:t xml:space="preserve">7) </w:t>
            </w:r>
            <w:r w:rsidR="00872922">
              <w:rPr>
                <w:spacing w:val="-4"/>
                <w:lang w:val="en-GB"/>
              </w:rPr>
              <w:t xml:space="preserve">by nearly one fifth. The recovery of the </w:t>
            </w:r>
            <w:r w:rsidR="00FE058B">
              <w:rPr>
                <w:spacing w:val="-4"/>
                <w:lang w:val="en-GB"/>
              </w:rPr>
              <w:t>residential buildings construction</w:t>
            </w:r>
            <w:r w:rsidR="00872922">
              <w:rPr>
                <w:spacing w:val="-4"/>
                <w:lang w:val="en-GB"/>
              </w:rPr>
              <w:t xml:space="preserve"> also assisted the more favourable results of </w:t>
            </w:r>
            <w:r w:rsidR="00FE058B">
              <w:rPr>
                <w:spacing w:val="-4"/>
                <w:lang w:val="en-GB"/>
              </w:rPr>
              <w:t>building construction</w:t>
            </w:r>
            <w:r w:rsidR="00FE058B" w:rsidRPr="00D14A40">
              <w:rPr>
                <w:spacing w:val="-4"/>
                <w:lang w:val="en-GB"/>
              </w:rPr>
              <w:t xml:space="preserve"> </w:t>
            </w:r>
            <w:r w:rsidR="00872922">
              <w:rPr>
                <w:spacing w:val="-4"/>
                <w:lang w:val="en-GB"/>
              </w:rPr>
              <w:t>in the first half of the year</w:t>
            </w:r>
            <w:r w:rsidR="00654093" w:rsidRPr="00D14A40">
              <w:rPr>
                <w:spacing w:val="-4"/>
                <w:lang w:val="en-GB"/>
              </w:rPr>
              <w:t xml:space="preserve">. </w:t>
            </w:r>
            <w:r w:rsidR="00872922">
              <w:rPr>
                <w:spacing w:val="-4"/>
                <w:lang w:val="en-GB"/>
              </w:rPr>
              <w:t xml:space="preserve">The number of commenced </w:t>
            </w:r>
            <w:r w:rsidR="00FE058B">
              <w:rPr>
                <w:spacing w:val="-4"/>
                <w:lang w:val="en-GB"/>
              </w:rPr>
              <w:t>flats</w:t>
            </w:r>
            <w:r w:rsidR="00872922">
              <w:rPr>
                <w:spacing w:val="-4"/>
                <w:lang w:val="en-GB"/>
              </w:rPr>
              <w:t xml:space="preserve"> increased by one fifth year-on-year, with the highest share of family houses </w:t>
            </w:r>
            <w:r w:rsidR="00654093" w:rsidRPr="00D14A40">
              <w:rPr>
                <w:spacing w:val="-4"/>
                <w:lang w:val="en-GB"/>
              </w:rPr>
              <w:t>(+1</w:t>
            </w:r>
            <w:r w:rsidR="00872922">
              <w:rPr>
                <w:spacing w:val="-4"/>
                <w:lang w:val="en-GB"/>
              </w:rPr>
              <w:t>.</w:t>
            </w:r>
            <w:r w:rsidR="00654093" w:rsidRPr="00D14A40">
              <w:rPr>
                <w:spacing w:val="-4"/>
                <w:lang w:val="en-GB"/>
              </w:rPr>
              <w:t>3 t</w:t>
            </w:r>
            <w:r w:rsidR="00872922">
              <w:rPr>
                <w:spacing w:val="-4"/>
                <w:lang w:val="en-GB"/>
              </w:rPr>
              <w:t>housand</w:t>
            </w:r>
            <w:r w:rsidR="00654093" w:rsidRPr="00D14A40">
              <w:rPr>
                <w:spacing w:val="-4"/>
                <w:lang w:val="en-GB"/>
              </w:rPr>
              <w:t xml:space="preserve">). </w:t>
            </w:r>
            <w:r w:rsidR="002051C3">
              <w:rPr>
                <w:spacing w:val="-4"/>
                <w:lang w:val="en-GB"/>
              </w:rPr>
              <w:t xml:space="preserve">The number of </w:t>
            </w:r>
            <w:r w:rsidR="00FE058B">
              <w:rPr>
                <w:spacing w:val="-4"/>
                <w:lang w:val="en-GB"/>
              </w:rPr>
              <w:t xml:space="preserve">flats in the residential buildings </w:t>
            </w:r>
            <w:r w:rsidR="007F0DF6" w:rsidRPr="00D14A40">
              <w:rPr>
                <w:spacing w:val="-4"/>
                <w:lang w:val="en-GB"/>
              </w:rPr>
              <w:t>(</w:t>
            </w:r>
            <w:r w:rsidR="00FE058B">
              <w:rPr>
                <w:spacing w:val="-4"/>
                <w:lang w:val="en-GB"/>
              </w:rPr>
              <w:t>RB</w:t>
            </w:r>
            <w:r w:rsidR="007F0DF6" w:rsidRPr="00D14A40">
              <w:rPr>
                <w:spacing w:val="-4"/>
                <w:lang w:val="en-GB"/>
              </w:rPr>
              <w:t>)</w:t>
            </w:r>
            <w:r w:rsidR="002051C3">
              <w:rPr>
                <w:spacing w:val="-4"/>
                <w:lang w:val="en-GB"/>
              </w:rPr>
              <w:t xml:space="preserve"> increased more notably against the very low last year basis</w:t>
            </w:r>
            <w:r w:rsidR="007F0DF6" w:rsidRPr="00D14A40">
              <w:rPr>
                <w:spacing w:val="-4"/>
                <w:lang w:val="en-GB"/>
              </w:rPr>
              <w:t>.</w:t>
            </w:r>
            <w:r w:rsidR="002051C3">
              <w:rPr>
                <w:spacing w:val="-4"/>
                <w:lang w:val="en-GB"/>
              </w:rPr>
              <w:t xml:space="preserve"> Their number </w:t>
            </w:r>
            <w:r w:rsidR="007F0DF6" w:rsidRPr="00D14A40">
              <w:rPr>
                <w:spacing w:val="-4"/>
                <w:lang w:val="en-GB"/>
              </w:rPr>
              <w:t>(3</w:t>
            </w:r>
            <w:r w:rsidR="002051C3">
              <w:rPr>
                <w:spacing w:val="-4"/>
                <w:lang w:val="en-GB"/>
              </w:rPr>
              <w:t>.</w:t>
            </w:r>
            <w:r w:rsidR="007F0DF6" w:rsidRPr="00D14A40">
              <w:rPr>
                <w:spacing w:val="-4"/>
                <w:lang w:val="en-GB"/>
              </w:rPr>
              <w:t>6 </w:t>
            </w:r>
            <w:r w:rsidR="00654093" w:rsidRPr="00D14A40">
              <w:rPr>
                <w:spacing w:val="-4"/>
                <w:lang w:val="en-GB"/>
              </w:rPr>
              <w:t>t</w:t>
            </w:r>
            <w:r w:rsidR="002051C3">
              <w:rPr>
                <w:spacing w:val="-4"/>
                <w:lang w:val="en-GB"/>
              </w:rPr>
              <w:t>housand</w:t>
            </w:r>
            <w:r w:rsidR="00654093" w:rsidRPr="00D14A40">
              <w:rPr>
                <w:spacing w:val="-4"/>
                <w:lang w:val="en-GB"/>
              </w:rPr>
              <w:t xml:space="preserve">) </w:t>
            </w:r>
            <w:r w:rsidR="002051C3">
              <w:rPr>
                <w:spacing w:val="-4"/>
                <w:lang w:val="en-GB"/>
              </w:rPr>
              <w:t xml:space="preserve">however did not </w:t>
            </w:r>
            <w:r w:rsidR="009D77CF">
              <w:rPr>
                <w:spacing w:val="-4"/>
                <w:lang w:val="en-GB"/>
              </w:rPr>
              <w:t>significantly</w:t>
            </w:r>
            <w:r w:rsidR="002051C3">
              <w:rPr>
                <w:spacing w:val="-4"/>
                <w:lang w:val="en-GB"/>
              </w:rPr>
              <w:t xml:space="preserve"> differ against H1 of both years </w:t>
            </w:r>
            <w:r w:rsidR="00654093" w:rsidRPr="00D14A40">
              <w:rPr>
                <w:spacing w:val="-4"/>
                <w:lang w:val="en-GB"/>
              </w:rPr>
              <w:t xml:space="preserve">2014 </w:t>
            </w:r>
            <w:r w:rsidR="002051C3">
              <w:rPr>
                <w:spacing w:val="-4"/>
                <w:lang w:val="en-GB"/>
              </w:rPr>
              <w:t>and</w:t>
            </w:r>
            <w:r w:rsidR="00654093" w:rsidRPr="00D14A40">
              <w:rPr>
                <w:spacing w:val="-4"/>
                <w:lang w:val="en-GB"/>
              </w:rPr>
              <w:t xml:space="preserve"> 2015</w:t>
            </w:r>
            <w:r w:rsidR="002051C3">
              <w:rPr>
                <w:spacing w:val="-4"/>
                <w:lang w:val="en-GB"/>
              </w:rPr>
              <w:t xml:space="preserve"> and did not reach even one half in relation to the record level (H1 2008) so far. </w:t>
            </w:r>
            <w:r w:rsidR="00C84154">
              <w:rPr>
                <w:spacing w:val="-4"/>
                <w:lang w:val="en-GB"/>
              </w:rPr>
              <w:t xml:space="preserve">Mostly the construction in the Olomouc region and also in Prague participated on the higher number of </w:t>
            </w:r>
            <w:r w:rsidR="00316708">
              <w:rPr>
                <w:spacing w:val="-4"/>
                <w:lang w:val="en-GB"/>
              </w:rPr>
              <w:t>RB</w:t>
            </w:r>
            <w:r w:rsidR="00654093" w:rsidRPr="00D14A40">
              <w:rPr>
                <w:color w:val="0D0D0D" w:themeColor="text1" w:themeTint="F2"/>
                <w:spacing w:val="-4"/>
                <w:lang w:val="en-GB"/>
              </w:rPr>
              <w:t xml:space="preserve"> </w:t>
            </w:r>
            <w:r w:rsidR="00C84154">
              <w:rPr>
                <w:color w:val="0D0D0D" w:themeColor="text1" w:themeTint="F2"/>
                <w:spacing w:val="-4"/>
                <w:lang w:val="en-GB"/>
              </w:rPr>
              <w:t>year-on-year</w:t>
            </w:r>
            <w:r w:rsidR="007F0DF6" w:rsidRPr="00D14A40">
              <w:rPr>
                <w:color w:val="0D0D0D" w:themeColor="text1" w:themeTint="F2"/>
                <w:spacing w:val="-4"/>
                <w:lang w:val="en-GB"/>
              </w:rPr>
              <w:t xml:space="preserve">, </w:t>
            </w:r>
            <w:r w:rsidR="00C84154">
              <w:rPr>
                <w:color w:val="0D0D0D" w:themeColor="text1" w:themeTint="F2"/>
                <w:spacing w:val="-4"/>
                <w:lang w:val="en-GB"/>
              </w:rPr>
              <w:t xml:space="preserve">when the number of </w:t>
            </w:r>
            <w:r w:rsidR="00316708">
              <w:rPr>
                <w:color w:val="0D0D0D" w:themeColor="text1" w:themeTint="F2"/>
                <w:spacing w:val="-4"/>
                <w:lang w:val="en-GB"/>
              </w:rPr>
              <w:t xml:space="preserve">RB </w:t>
            </w:r>
            <w:r w:rsidR="00C84154">
              <w:rPr>
                <w:color w:val="0D0D0D" w:themeColor="text1" w:themeTint="F2"/>
                <w:spacing w:val="-4"/>
                <w:lang w:val="en-GB"/>
              </w:rPr>
              <w:t xml:space="preserve">grew from </w:t>
            </w:r>
            <w:r w:rsidR="007F0DF6" w:rsidRPr="00D14A40">
              <w:rPr>
                <w:color w:val="0D0D0D" w:themeColor="text1" w:themeTint="F2"/>
                <w:spacing w:val="-4"/>
                <w:lang w:val="en-GB"/>
              </w:rPr>
              <w:t xml:space="preserve">522 </w:t>
            </w:r>
            <w:r w:rsidR="00C84154">
              <w:rPr>
                <w:color w:val="0D0D0D" w:themeColor="text1" w:themeTint="F2"/>
                <w:spacing w:val="-4"/>
                <w:lang w:val="en-GB"/>
              </w:rPr>
              <w:t>to 1</w:t>
            </w:r>
            <w:r w:rsidR="007F0DF6" w:rsidRPr="00D14A40">
              <w:rPr>
                <w:color w:val="0D0D0D" w:themeColor="text1" w:themeTint="F2"/>
                <w:spacing w:val="-4"/>
                <w:lang w:val="en-GB"/>
              </w:rPr>
              <w:t xml:space="preserve">022 </w:t>
            </w:r>
            <w:r w:rsidR="00C84154">
              <w:rPr>
                <w:color w:val="0D0D0D" w:themeColor="text1" w:themeTint="F2"/>
                <w:spacing w:val="-4"/>
                <w:lang w:val="en-GB"/>
              </w:rPr>
              <w:t xml:space="preserve">in Prague </w:t>
            </w:r>
            <w:r w:rsidR="007F0DF6" w:rsidRPr="00D14A40">
              <w:rPr>
                <w:color w:val="0D0D0D" w:themeColor="text1" w:themeTint="F2"/>
                <w:spacing w:val="-4"/>
                <w:lang w:val="en-GB"/>
              </w:rPr>
              <w:t>(</w:t>
            </w:r>
            <w:r w:rsidR="00C84154">
              <w:rPr>
                <w:color w:val="0D0D0D" w:themeColor="text1" w:themeTint="F2"/>
                <w:spacing w:val="-4"/>
                <w:lang w:val="en-GB"/>
              </w:rPr>
              <w:t xml:space="preserve">it still represented the second lowest number of </w:t>
            </w:r>
            <w:r w:rsidR="00FE058B">
              <w:rPr>
                <w:color w:val="0D0D0D" w:themeColor="text1" w:themeTint="F2"/>
                <w:spacing w:val="-4"/>
                <w:lang w:val="en-GB"/>
              </w:rPr>
              <w:t>commenced flats</w:t>
            </w:r>
            <w:r w:rsidR="007F0DF6" w:rsidRPr="00D14A40">
              <w:rPr>
                <w:color w:val="0D0D0D" w:themeColor="text1" w:themeTint="F2"/>
                <w:spacing w:val="-4"/>
                <w:lang w:val="en-GB"/>
              </w:rPr>
              <w:t xml:space="preserve"> </w:t>
            </w:r>
            <w:r w:rsidR="00C84154">
              <w:rPr>
                <w:color w:val="0D0D0D" w:themeColor="text1" w:themeTint="F2"/>
                <w:spacing w:val="-4"/>
                <w:lang w:val="en-GB"/>
              </w:rPr>
              <w:t xml:space="preserve">after year </w:t>
            </w:r>
            <w:r w:rsidR="007F0DF6" w:rsidRPr="00D14A40">
              <w:rPr>
                <w:color w:val="0D0D0D" w:themeColor="text1" w:themeTint="F2"/>
                <w:spacing w:val="-4"/>
                <w:lang w:val="en-GB"/>
              </w:rPr>
              <w:t>2001</w:t>
            </w:r>
            <w:r w:rsidR="00C84154">
              <w:rPr>
                <w:color w:val="0D0D0D" w:themeColor="text1" w:themeTint="F2"/>
                <w:spacing w:val="-4"/>
                <w:lang w:val="en-GB"/>
              </w:rPr>
              <w:t xml:space="preserve"> in this period</w:t>
            </w:r>
            <w:r w:rsidR="007F0DF6" w:rsidRPr="00D14A40">
              <w:rPr>
                <w:color w:val="0D0D0D" w:themeColor="text1" w:themeTint="F2"/>
                <w:spacing w:val="-4"/>
                <w:lang w:val="en-GB"/>
              </w:rPr>
              <w:t>).</w:t>
            </w:r>
            <w:r w:rsidR="00654093" w:rsidRPr="00D14A40">
              <w:rPr>
                <w:color w:val="0D0D0D" w:themeColor="text1" w:themeTint="F2"/>
                <w:spacing w:val="-4"/>
                <w:lang w:val="en-GB"/>
              </w:rPr>
              <w:t xml:space="preserve"> </w:t>
            </w:r>
            <w:r w:rsidR="00C84154">
              <w:rPr>
                <w:color w:val="0D0D0D" w:themeColor="text1" w:themeTint="F2"/>
                <w:spacing w:val="-4"/>
                <w:lang w:val="en-GB"/>
              </w:rPr>
              <w:t>The prevailing low volume of construction further escalated the tension between the supply and demand (strengthened by the growing incomes of households as well as the still low interest rates on mortgages</w:t>
            </w:r>
            <w:r w:rsidR="00654093" w:rsidRPr="00D14A40">
              <w:rPr>
                <w:spacing w:val="-4"/>
                <w:lang w:val="en-GB"/>
              </w:rPr>
              <w:t>) a</w:t>
            </w:r>
            <w:r w:rsidR="00C84154">
              <w:rPr>
                <w:spacing w:val="-4"/>
                <w:lang w:val="en-GB"/>
              </w:rPr>
              <w:t xml:space="preserve">nd contributed to the strong growth of the prices of residential real estate in Prague, but also in other regions. </w:t>
            </w:r>
          </w:p>
          <w:p w:rsidR="00654093" w:rsidRPr="00D14A40" w:rsidRDefault="00654093" w:rsidP="00853C0F">
            <w:pPr>
              <w:pStyle w:val="Textpoznpodarou"/>
              <w:jc w:val="both"/>
              <w:rPr>
                <w:spacing w:val="-4"/>
                <w:sz w:val="14"/>
                <w:szCs w:val="14"/>
                <w:lang w:val="en-GB"/>
              </w:rPr>
            </w:pPr>
          </w:p>
        </w:tc>
      </w:tr>
      <w:tr w:rsidR="00654093" w:rsidRPr="00156294" w:rsidTr="00853C0F">
        <w:tc>
          <w:tcPr>
            <w:tcW w:w="1016" w:type="pct"/>
            <w:shd w:val="clear" w:color="auto" w:fill="auto"/>
          </w:tcPr>
          <w:p w:rsidR="00654093" w:rsidRPr="004634F3" w:rsidRDefault="00975217" w:rsidP="00853C0F">
            <w:pPr>
              <w:spacing w:line="240" w:lineRule="auto"/>
              <w:rPr>
                <w:color w:val="0D0D0D" w:themeColor="text1" w:themeTint="F2"/>
                <w:spacing w:val="-4"/>
                <w:sz w:val="16"/>
                <w:szCs w:val="16"/>
                <w:lang w:val="en-GB"/>
              </w:rPr>
            </w:pPr>
            <w:r w:rsidRPr="004634F3">
              <w:rPr>
                <w:color w:val="0D0D0D" w:themeColor="text1" w:themeTint="F2"/>
                <w:spacing w:val="-4"/>
                <w:sz w:val="16"/>
                <w:szCs w:val="16"/>
                <w:lang w:val="en-GB"/>
              </w:rPr>
              <w:t xml:space="preserve">The value of new domestic orders </w:t>
            </w:r>
            <w:r w:rsidR="004634F3" w:rsidRPr="004634F3">
              <w:rPr>
                <w:color w:val="0D0D0D" w:themeColor="text1" w:themeTint="F2"/>
                <w:spacing w:val="-4"/>
                <w:sz w:val="16"/>
                <w:szCs w:val="16"/>
                <w:lang w:val="en-GB"/>
              </w:rPr>
              <w:t>strengthened</w:t>
            </w:r>
            <w:r w:rsidRPr="004634F3">
              <w:rPr>
                <w:color w:val="0D0D0D" w:themeColor="text1" w:themeTint="F2"/>
                <w:spacing w:val="-4"/>
                <w:sz w:val="16"/>
                <w:szCs w:val="16"/>
                <w:lang w:val="en-GB"/>
              </w:rPr>
              <w:t xml:space="preserve"> year-on-</w:t>
            </w:r>
            <w:r w:rsidRPr="004634F3">
              <w:rPr>
                <w:color w:val="0D0D0D" w:themeColor="text1" w:themeTint="F2"/>
                <w:spacing w:val="-4"/>
                <w:sz w:val="16"/>
                <w:szCs w:val="16"/>
                <w:lang w:val="en-GB"/>
              </w:rPr>
              <w:lastRenderedPageBreak/>
              <w:t>year for already third quarter in a row</w:t>
            </w:r>
            <w:r w:rsidR="00316708">
              <w:rPr>
                <w:color w:val="0D0D0D" w:themeColor="text1" w:themeTint="F2"/>
                <w:spacing w:val="-4"/>
                <w:sz w:val="16"/>
                <w:szCs w:val="16"/>
                <w:lang w:val="en-GB"/>
              </w:rPr>
              <w:t>. Th</w:t>
            </w:r>
            <w:r w:rsidRPr="004634F3">
              <w:rPr>
                <w:color w:val="0D0D0D" w:themeColor="text1" w:themeTint="F2"/>
                <w:spacing w:val="-4"/>
                <w:sz w:val="16"/>
                <w:szCs w:val="16"/>
                <w:lang w:val="en-GB"/>
              </w:rPr>
              <w:t xml:space="preserve">e </w:t>
            </w:r>
            <w:r w:rsidR="00121A1C">
              <w:rPr>
                <w:color w:val="0D0D0D" w:themeColor="text1" w:themeTint="F2"/>
                <w:spacing w:val="-4"/>
                <w:sz w:val="16"/>
                <w:szCs w:val="16"/>
                <w:lang w:val="en-GB"/>
              </w:rPr>
              <w:t>civil engineering construction</w:t>
            </w:r>
            <w:r w:rsidRPr="004634F3">
              <w:rPr>
                <w:color w:val="0D0D0D" w:themeColor="text1" w:themeTint="F2"/>
                <w:spacing w:val="-4"/>
                <w:sz w:val="16"/>
                <w:szCs w:val="16"/>
                <w:lang w:val="en-GB"/>
              </w:rPr>
              <w:t xml:space="preserve"> also contributed</w:t>
            </w:r>
            <w:r w:rsidR="00654093" w:rsidRPr="004634F3">
              <w:rPr>
                <w:color w:val="0D0D0D" w:themeColor="text1" w:themeTint="F2"/>
                <w:spacing w:val="-4"/>
                <w:sz w:val="16"/>
                <w:szCs w:val="16"/>
                <w:lang w:val="en-GB"/>
              </w:rPr>
              <w:t xml:space="preserve">. </w:t>
            </w:r>
          </w:p>
          <w:p w:rsidR="00654093" w:rsidRPr="004634F3" w:rsidRDefault="00654093" w:rsidP="00853C0F">
            <w:pPr>
              <w:spacing w:line="240" w:lineRule="auto"/>
              <w:rPr>
                <w:color w:val="0D0D0D" w:themeColor="text1" w:themeTint="F2"/>
                <w:spacing w:val="-4"/>
                <w:sz w:val="16"/>
                <w:szCs w:val="16"/>
                <w:lang w:val="en-GB"/>
              </w:rPr>
            </w:pPr>
          </w:p>
          <w:p w:rsidR="00654093" w:rsidRPr="004634F3" w:rsidRDefault="00654093" w:rsidP="00853C0F">
            <w:pPr>
              <w:spacing w:line="240" w:lineRule="auto"/>
              <w:rPr>
                <w:color w:val="0D0D0D" w:themeColor="text1" w:themeTint="F2"/>
                <w:spacing w:val="-4"/>
                <w:sz w:val="16"/>
                <w:szCs w:val="16"/>
                <w:lang w:val="en-GB"/>
              </w:rPr>
            </w:pPr>
          </w:p>
          <w:p w:rsidR="00654093" w:rsidRPr="004634F3" w:rsidRDefault="00654093" w:rsidP="00853C0F">
            <w:pPr>
              <w:spacing w:line="240" w:lineRule="auto"/>
              <w:rPr>
                <w:color w:val="0D0D0D" w:themeColor="text1" w:themeTint="F2"/>
                <w:spacing w:val="-4"/>
                <w:sz w:val="16"/>
                <w:szCs w:val="16"/>
                <w:lang w:val="en-GB"/>
              </w:rPr>
            </w:pPr>
          </w:p>
          <w:p w:rsidR="00654093" w:rsidRPr="004634F3" w:rsidRDefault="00975217" w:rsidP="00853C0F">
            <w:pPr>
              <w:spacing w:line="240" w:lineRule="auto"/>
              <w:rPr>
                <w:color w:val="0D0D0D" w:themeColor="text1" w:themeTint="F2"/>
                <w:spacing w:val="-4"/>
                <w:sz w:val="16"/>
                <w:szCs w:val="16"/>
                <w:lang w:val="en-GB"/>
              </w:rPr>
            </w:pPr>
            <w:r w:rsidRPr="004634F3">
              <w:rPr>
                <w:color w:val="0D0D0D" w:themeColor="text1" w:themeTint="F2"/>
                <w:spacing w:val="-4"/>
                <w:sz w:val="16"/>
                <w:szCs w:val="16"/>
                <w:lang w:val="en-GB"/>
              </w:rPr>
              <w:t xml:space="preserve">However, construction still lacked larger orders. Business confidence </w:t>
            </w:r>
            <w:r w:rsidR="00E549AC">
              <w:rPr>
                <w:color w:val="0D0D0D" w:themeColor="text1" w:themeTint="F2"/>
                <w:spacing w:val="-4"/>
                <w:sz w:val="16"/>
                <w:szCs w:val="16"/>
                <w:lang w:val="en-GB"/>
              </w:rPr>
              <w:t>in construction has been mildly increasing since the end of year 2016,</w:t>
            </w:r>
            <w:r w:rsidR="00654093" w:rsidRPr="004634F3">
              <w:rPr>
                <w:color w:val="0D0D0D" w:themeColor="text1" w:themeTint="F2"/>
                <w:spacing w:val="-4"/>
                <w:sz w:val="16"/>
                <w:szCs w:val="16"/>
                <w:lang w:val="en-GB"/>
              </w:rPr>
              <w:t xml:space="preserve"> </w:t>
            </w:r>
            <w:r w:rsidR="00E549AC">
              <w:rPr>
                <w:color w:val="0D0D0D" w:themeColor="text1" w:themeTint="F2"/>
                <w:spacing w:val="-4"/>
                <w:sz w:val="16"/>
                <w:szCs w:val="16"/>
                <w:lang w:val="en-GB"/>
              </w:rPr>
              <w:t xml:space="preserve">it still however moved in the deeply negative range. </w:t>
            </w:r>
          </w:p>
          <w:p w:rsidR="00654093" w:rsidRPr="004634F3" w:rsidRDefault="00654093" w:rsidP="00853C0F">
            <w:pPr>
              <w:spacing w:line="240" w:lineRule="auto"/>
              <w:rPr>
                <w:color w:val="0D0D0D" w:themeColor="text1" w:themeTint="F2"/>
                <w:spacing w:val="-4"/>
                <w:sz w:val="16"/>
                <w:szCs w:val="16"/>
                <w:lang w:val="en-GB"/>
              </w:rPr>
            </w:pPr>
          </w:p>
          <w:p w:rsidR="00654093" w:rsidRPr="004634F3" w:rsidRDefault="00654093" w:rsidP="00853C0F">
            <w:pPr>
              <w:spacing w:line="240" w:lineRule="auto"/>
              <w:rPr>
                <w:color w:val="0D0D0D" w:themeColor="text1" w:themeTint="F2"/>
                <w:spacing w:val="-4"/>
                <w:sz w:val="16"/>
                <w:szCs w:val="16"/>
                <w:lang w:val="en-GB"/>
              </w:rPr>
            </w:pPr>
          </w:p>
          <w:p w:rsidR="00654093" w:rsidRPr="004634F3" w:rsidRDefault="00654093" w:rsidP="00853C0F">
            <w:pPr>
              <w:spacing w:line="240" w:lineRule="auto"/>
              <w:rPr>
                <w:color w:val="0D0D0D" w:themeColor="text1" w:themeTint="F2"/>
                <w:spacing w:val="-4"/>
                <w:sz w:val="16"/>
                <w:szCs w:val="16"/>
                <w:lang w:val="en-GB"/>
              </w:rPr>
            </w:pPr>
          </w:p>
          <w:p w:rsidR="00654093" w:rsidRPr="004634F3" w:rsidRDefault="00CC3FAB" w:rsidP="00853C0F">
            <w:pPr>
              <w:spacing w:line="240" w:lineRule="auto"/>
              <w:rPr>
                <w:color w:val="0D0D0D" w:themeColor="text1" w:themeTint="F2"/>
                <w:spacing w:val="-4"/>
                <w:sz w:val="16"/>
                <w:szCs w:val="16"/>
                <w:lang w:val="en-GB"/>
              </w:rPr>
            </w:pPr>
            <w:r>
              <w:rPr>
                <w:color w:val="0D0D0D" w:themeColor="text1" w:themeTint="F2"/>
                <w:spacing w:val="-4"/>
                <w:sz w:val="16"/>
                <w:szCs w:val="16"/>
                <w:lang w:val="en-GB"/>
              </w:rPr>
              <w:t>Perception of the lack of demand as a barrier to growth decreased for the last year. The factor of the lack of employees on the contrary strengthened threefold.</w:t>
            </w:r>
          </w:p>
          <w:p w:rsidR="00654093" w:rsidRPr="004634F3" w:rsidRDefault="00654093" w:rsidP="00853C0F">
            <w:pPr>
              <w:spacing w:line="240" w:lineRule="auto"/>
              <w:rPr>
                <w:color w:val="0D0D0D" w:themeColor="text1" w:themeTint="F2"/>
                <w:spacing w:val="-2"/>
                <w:sz w:val="16"/>
                <w:szCs w:val="16"/>
                <w:lang w:val="en-GB"/>
              </w:rPr>
            </w:pPr>
          </w:p>
        </w:tc>
        <w:tc>
          <w:tcPr>
            <w:tcW w:w="144" w:type="pct"/>
          </w:tcPr>
          <w:p w:rsidR="00654093" w:rsidRPr="004634F3" w:rsidRDefault="00654093" w:rsidP="00853C0F">
            <w:pPr>
              <w:rPr>
                <w:spacing w:val="-4"/>
                <w:szCs w:val="20"/>
                <w:lang w:val="en-GB"/>
              </w:rPr>
            </w:pPr>
          </w:p>
        </w:tc>
        <w:tc>
          <w:tcPr>
            <w:tcW w:w="3840" w:type="pct"/>
          </w:tcPr>
          <w:p w:rsidR="00654093" w:rsidRPr="004634F3" w:rsidRDefault="004634F3" w:rsidP="00B008A0">
            <w:pPr>
              <w:pStyle w:val="Textpoznpodarou"/>
              <w:spacing w:before="20"/>
              <w:jc w:val="both"/>
              <w:rPr>
                <w:color w:val="000000" w:themeColor="text1"/>
                <w:spacing w:val="-4"/>
                <w:lang w:val="en-GB"/>
              </w:rPr>
            </w:pPr>
            <w:r>
              <w:rPr>
                <w:spacing w:val="-4"/>
                <w:lang w:val="en-GB"/>
              </w:rPr>
              <w:t>The demand for construction works revived. The value of new domestic orders</w:t>
            </w:r>
            <w:r w:rsidR="00654093" w:rsidRPr="004634F3">
              <w:rPr>
                <w:rStyle w:val="Znakapoznpodarou"/>
                <w:spacing w:val="-4"/>
                <w:lang w:val="en-GB"/>
              </w:rPr>
              <w:footnoteReference w:id="18"/>
            </w:r>
            <w:r w:rsidR="00654093" w:rsidRPr="004634F3">
              <w:rPr>
                <w:spacing w:val="-4"/>
                <w:lang w:val="en-GB"/>
              </w:rPr>
              <w:t xml:space="preserve"> </w:t>
            </w:r>
            <w:r w:rsidR="00B40FC9">
              <w:rPr>
                <w:spacing w:val="-4"/>
                <w:lang w:val="en-GB"/>
              </w:rPr>
              <w:t>increased already for the third quarter in a row. It strengthened in total by one eighth year-on-year in H</w:t>
            </w:r>
            <w:r w:rsidR="00654093" w:rsidRPr="004634F3">
              <w:rPr>
                <w:spacing w:val="-4"/>
                <w:lang w:val="en-GB"/>
              </w:rPr>
              <w:t>1</w:t>
            </w:r>
            <w:r w:rsidR="00B40FC9">
              <w:rPr>
                <w:spacing w:val="-4"/>
                <w:lang w:val="en-GB"/>
              </w:rPr>
              <w:t xml:space="preserve"> </w:t>
            </w:r>
            <w:r w:rsidR="00654093" w:rsidRPr="004634F3">
              <w:rPr>
                <w:spacing w:val="-4"/>
                <w:lang w:val="en-GB"/>
              </w:rPr>
              <w:t xml:space="preserve">2017. </w:t>
            </w:r>
            <w:r w:rsidR="001E4854">
              <w:rPr>
                <w:spacing w:val="-4"/>
                <w:lang w:val="en-GB"/>
              </w:rPr>
              <w:t xml:space="preserve">Important fact was, that both the </w:t>
            </w:r>
            <w:r w:rsidR="00121A1C">
              <w:rPr>
                <w:spacing w:val="-4"/>
                <w:lang w:val="en-GB"/>
              </w:rPr>
              <w:t xml:space="preserve">building </w:t>
            </w:r>
            <w:r w:rsidR="00654093" w:rsidRPr="004634F3">
              <w:rPr>
                <w:spacing w:val="-4"/>
                <w:lang w:val="en-GB"/>
              </w:rPr>
              <w:t>(+5</w:t>
            </w:r>
            <w:r w:rsidR="00587FDB">
              <w:rPr>
                <w:spacing w:val="-4"/>
                <w:lang w:val="en-GB"/>
              </w:rPr>
              <w:t>.</w:t>
            </w:r>
            <w:r w:rsidR="00654093" w:rsidRPr="004634F3">
              <w:rPr>
                <w:spacing w:val="-4"/>
                <w:lang w:val="en-GB"/>
              </w:rPr>
              <w:t>3</w:t>
            </w:r>
            <w:r w:rsidR="00954C8E">
              <w:rPr>
                <w:spacing w:val="-4"/>
                <w:lang w:val="en-GB"/>
              </w:rPr>
              <w:t>%</w:t>
            </w:r>
            <w:r w:rsidR="00654093" w:rsidRPr="004634F3">
              <w:rPr>
                <w:spacing w:val="-4"/>
                <w:lang w:val="en-GB"/>
              </w:rPr>
              <w:t>)</w:t>
            </w:r>
            <w:r w:rsidR="00587FDB">
              <w:rPr>
                <w:spacing w:val="-4"/>
                <w:lang w:val="en-GB"/>
              </w:rPr>
              <w:t xml:space="preserve"> and </w:t>
            </w:r>
            <w:r w:rsidR="00121A1C">
              <w:rPr>
                <w:spacing w:val="-4"/>
                <w:lang w:val="en-GB"/>
              </w:rPr>
              <w:t xml:space="preserve">civil </w:t>
            </w:r>
            <w:r w:rsidR="00121A1C">
              <w:rPr>
                <w:spacing w:val="-4"/>
                <w:lang w:val="en-GB"/>
              </w:rPr>
              <w:lastRenderedPageBreak/>
              <w:t>engineering</w:t>
            </w:r>
            <w:r w:rsidR="00654093" w:rsidRPr="004634F3">
              <w:rPr>
                <w:spacing w:val="-4"/>
                <w:lang w:val="en-GB"/>
              </w:rPr>
              <w:t xml:space="preserve"> (+18</w:t>
            </w:r>
            <w:r w:rsidR="00587FDB">
              <w:rPr>
                <w:spacing w:val="-4"/>
                <w:lang w:val="en-GB"/>
              </w:rPr>
              <w:t>.</w:t>
            </w:r>
            <w:r w:rsidR="00654093" w:rsidRPr="004634F3">
              <w:rPr>
                <w:spacing w:val="-4"/>
                <w:lang w:val="en-GB"/>
              </w:rPr>
              <w:t>9</w:t>
            </w:r>
            <w:r w:rsidR="00954C8E">
              <w:rPr>
                <w:spacing w:val="-4"/>
                <w:lang w:val="en-GB"/>
              </w:rPr>
              <w:t>%</w:t>
            </w:r>
            <w:r w:rsidR="00654093" w:rsidRPr="004634F3">
              <w:rPr>
                <w:spacing w:val="-4"/>
                <w:lang w:val="en-GB"/>
              </w:rPr>
              <w:t>)</w:t>
            </w:r>
            <w:r w:rsidR="001E4854">
              <w:rPr>
                <w:spacing w:val="-4"/>
                <w:lang w:val="en-GB"/>
              </w:rPr>
              <w:t xml:space="preserve"> </w:t>
            </w:r>
            <w:r w:rsidR="00684C41">
              <w:rPr>
                <w:spacing w:val="-4"/>
                <w:lang w:val="en-GB"/>
              </w:rPr>
              <w:t xml:space="preserve">construction </w:t>
            </w:r>
            <w:r w:rsidR="001E4854">
              <w:rPr>
                <w:spacing w:val="-4"/>
                <w:lang w:val="en-GB"/>
              </w:rPr>
              <w:t>signalled positive development</w:t>
            </w:r>
            <w:r w:rsidR="00654093" w:rsidRPr="004634F3">
              <w:rPr>
                <w:spacing w:val="-4"/>
                <w:lang w:val="en-GB"/>
              </w:rPr>
              <w:t xml:space="preserve">. </w:t>
            </w:r>
            <w:r w:rsidR="001E4854">
              <w:rPr>
                <w:spacing w:val="-4"/>
                <w:lang w:val="en-GB"/>
              </w:rPr>
              <w:t>Half-yearly growth was in both main construction fields last recorded in year 2014</w:t>
            </w:r>
            <w:r w:rsidR="00654093" w:rsidRPr="004634F3">
              <w:rPr>
                <w:spacing w:val="-4"/>
                <w:lang w:val="en-GB"/>
              </w:rPr>
              <w:t xml:space="preserve">. </w:t>
            </w:r>
            <w:r w:rsidR="001E4854">
              <w:rPr>
                <w:spacing w:val="-4"/>
                <w:lang w:val="en-GB"/>
              </w:rPr>
              <w:t>Despite partial recovery, the construction still la</w:t>
            </w:r>
            <w:r w:rsidR="00684C41">
              <w:rPr>
                <w:spacing w:val="-4"/>
                <w:lang w:val="en-GB"/>
              </w:rPr>
              <w:t>cked</w:t>
            </w:r>
            <w:r w:rsidR="001E4854">
              <w:rPr>
                <w:spacing w:val="-4"/>
                <w:lang w:val="en-GB"/>
              </w:rPr>
              <w:t xml:space="preserve"> larger constructions. The average value of newly closed order</w:t>
            </w:r>
            <w:r w:rsidR="00684C41">
              <w:rPr>
                <w:spacing w:val="-4"/>
                <w:lang w:val="en-GB"/>
              </w:rPr>
              <w:t>s</w:t>
            </w:r>
            <w:r w:rsidR="001E4854">
              <w:rPr>
                <w:spacing w:val="-4"/>
                <w:lang w:val="en-GB"/>
              </w:rPr>
              <w:t xml:space="preserve"> did increase by one tenth to 3.2 mil crowns against the very low last year basis </w:t>
            </w:r>
            <w:r w:rsidR="00F23F6C" w:rsidRPr="004634F3">
              <w:rPr>
                <w:spacing w:val="-4"/>
                <w:lang w:val="en-GB"/>
              </w:rPr>
              <w:t>(</w:t>
            </w:r>
            <w:r w:rsidR="001E4854">
              <w:rPr>
                <w:spacing w:val="-4"/>
                <w:lang w:val="en-GB"/>
              </w:rPr>
              <w:t xml:space="preserve">it neared however 4 </w:t>
            </w:r>
            <w:proofErr w:type="spellStart"/>
            <w:r w:rsidR="00FA3A11">
              <w:rPr>
                <w:spacing w:val="-4"/>
                <w:lang w:val="en-GB"/>
              </w:rPr>
              <w:t>mils</w:t>
            </w:r>
            <w:proofErr w:type="spellEnd"/>
            <w:r w:rsidR="001E4854">
              <w:rPr>
                <w:spacing w:val="-4"/>
                <w:lang w:val="en-GB"/>
              </w:rPr>
              <w:t xml:space="preserve"> in </w:t>
            </w:r>
            <w:r w:rsidR="00654093" w:rsidRPr="004634F3">
              <w:rPr>
                <w:spacing w:val="-4"/>
                <w:lang w:val="en-GB"/>
              </w:rPr>
              <w:t>2014</w:t>
            </w:r>
            <w:r w:rsidR="00F23F6C" w:rsidRPr="004634F3">
              <w:rPr>
                <w:spacing w:val="-4"/>
                <w:lang w:val="en-GB"/>
              </w:rPr>
              <w:t>)</w:t>
            </w:r>
            <w:r w:rsidR="00654093" w:rsidRPr="004634F3">
              <w:rPr>
                <w:spacing w:val="-4"/>
                <w:lang w:val="en-GB"/>
              </w:rPr>
              <w:t xml:space="preserve">. </w:t>
            </w:r>
            <w:r w:rsidR="00587FDB">
              <w:rPr>
                <w:spacing w:val="-4"/>
                <w:lang w:val="en-GB"/>
              </w:rPr>
              <w:t xml:space="preserve">The total stock of work including all so far not yet realised orders amounted to 142 </w:t>
            </w:r>
            <w:r w:rsidR="00467B4F">
              <w:rPr>
                <w:spacing w:val="-4"/>
                <w:lang w:val="en-GB"/>
              </w:rPr>
              <w:t xml:space="preserve">CZK </w:t>
            </w:r>
            <w:proofErr w:type="spellStart"/>
            <w:r w:rsidR="00467B4F">
              <w:rPr>
                <w:spacing w:val="-4"/>
                <w:lang w:val="en-GB"/>
              </w:rPr>
              <w:t>bn</w:t>
            </w:r>
            <w:proofErr w:type="spellEnd"/>
            <w:r w:rsidR="00587FDB">
              <w:rPr>
                <w:spacing w:val="-4"/>
                <w:lang w:val="en-GB"/>
              </w:rPr>
              <w:t xml:space="preserve"> at the end of Q2. </w:t>
            </w:r>
            <w:r w:rsidR="000E1CD8">
              <w:rPr>
                <w:spacing w:val="-4"/>
                <w:lang w:val="en-GB"/>
              </w:rPr>
              <w:t xml:space="preserve">Its year-on-year fall </w:t>
            </w:r>
            <w:r w:rsidR="00AC69CA" w:rsidRPr="004634F3">
              <w:rPr>
                <w:spacing w:val="-4"/>
                <w:lang w:val="en-GB"/>
              </w:rPr>
              <w:t>(</w:t>
            </w:r>
            <w:r w:rsidR="000E1CD8">
              <w:rPr>
                <w:spacing w:val="-4"/>
                <w:lang w:val="en-GB"/>
              </w:rPr>
              <w:t xml:space="preserve">by </w:t>
            </w:r>
            <w:r w:rsidR="00AC69CA" w:rsidRPr="004634F3">
              <w:rPr>
                <w:spacing w:val="-4"/>
                <w:lang w:val="en-GB"/>
              </w:rPr>
              <w:t>3</w:t>
            </w:r>
            <w:r w:rsidR="000E1CD8">
              <w:rPr>
                <w:spacing w:val="-4"/>
                <w:lang w:val="en-GB"/>
              </w:rPr>
              <w:t>.</w:t>
            </w:r>
            <w:r w:rsidR="00AC69CA" w:rsidRPr="004634F3">
              <w:rPr>
                <w:spacing w:val="-4"/>
                <w:lang w:val="en-GB"/>
              </w:rPr>
              <w:t>6</w:t>
            </w:r>
            <w:r w:rsidR="00954C8E">
              <w:rPr>
                <w:spacing w:val="-4"/>
                <w:lang w:val="en-GB"/>
              </w:rPr>
              <w:t>%</w:t>
            </w:r>
            <w:r w:rsidR="00654093" w:rsidRPr="004634F3">
              <w:rPr>
                <w:spacing w:val="-4"/>
                <w:lang w:val="en-GB"/>
              </w:rPr>
              <w:t xml:space="preserve">) </w:t>
            </w:r>
            <w:r w:rsidR="000E1CD8">
              <w:rPr>
                <w:spacing w:val="-4"/>
                <w:lang w:val="en-GB"/>
              </w:rPr>
              <w:t>was nearly exclusively affected by the orders abroad, whose weight in the total stock of work of construction firms dropped to lower value (12.4</w:t>
            </w:r>
            <w:r w:rsidR="00954C8E">
              <w:rPr>
                <w:spacing w:val="-4"/>
                <w:lang w:val="en-GB"/>
              </w:rPr>
              <w:t>%</w:t>
            </w:r>
            <w:r w:rsidR="000E1CD8">
              <w:rPr>
                <w:spacing w:val="-4"/>
                <w:lang w:val="en-GB"/>
              </w:rPr>
              <w:t xml:space="preserve">) in the past four years during </w:t>
            </w:r>
            <w:r w:rsidR="00654093" w:rsidRPr="004634F3">
              <w:rPr>
                <w:spacing w:val="-4"/>
                <w:lang w:val="en-GB"/>
              </w:rPr>
              <w:t xml:space="preserve">2017. </w:t>
            </w:r>
            <w:r w:rsidR="00500DCA">
              <w:rPr>
                <w:spacing w:val="-4"/>
                <w:lang w:val="en-GB"/>
              </w:rPr>
              <w:t xml:space="preserve">The growth of the indicative value </w:t>
            </w:r>
            <w:r w:rsidR="00500DCA" w:rsidRPr="00684C41">
              <w:rPr>
                <w:spacing w:val="-4"/>
                <w:lang w:val="en-GB"/>
              </w:rPr>
              <w:t xml:space="preserve">of </w:t>
            </w:r>
            <w:r w:rsidR="00684C41" w:rsidRPr="00684C41">
              <w:rPr>
                <w:rFonts w:cs="Arial"/>
                <w:lang w:val="en-GB"/>
              </w:rPr>
              <w:t>granted building</w:t>
            </w:r>
            <w:r w:rsidR="00684C41" w:rsidRPr="00684C41">
              <w:rPr>
                <w:spacing w:val="-4"/>
                <w:lang w:val="en-GB"/>
              </w:rPr>
              <w:t xml:space="preserve"> </w:t>
            </w:r>
            <w:r w:rsidR="00684C41" w:rsidRPr="00684C41">
              <w:rPr>
                <w:rFonts w:cs="Arial"/>
                <w:lang w:val="en-GB"/>
              </w:rPr>
              <w:t>permits</w:t>
            </w:r>
            <w:r w:rsidR="00684C41" w:rsidRPr="00684C41">
              <w:rPr>
                <w:spacing w:val="-4"/>
                <w:lang w:val="en-GB"/>
              </w:rPr>
              <w:t xml:space="preserve"> </w:t>
            </w:r>
            <w:r w:rsidR="00500DCA" w:rsidRPr="00684C41">
              <w:rPr>
                <w:spacing w:val="-4"/>
                <w:lang w:val="en-GB"/>
              </w:rPr>
              <w:t xml:space="preserve">continued already four half-years in a row – the new </w:t>
            </w:r>
            <w:r w:rsidR="00684C41" w:rsidRPr="00684C41">
              <w:rPr>
                <w:spacing w:val="-4"/>
                <w:lang w:val="en-GB"/>
              </w:rPr>
              <w:t xml:space="preserve">construction of non-residential buildings </w:t>
            </w:r>
            <w:r w:rsidR="00500DCA" w:rsidRPr="00684C41">
              <w:rPr>
                <w:spacing w:val="-4"/>
                <w:lang w:val="en-GB"/>
              </w:rPr>
              <w:t>reached the highest rates of growth</w:t>
            </w:r>
            <w:r w:rsidR="00500DCA">
              <w:rPr>
                <w:spacing w:val="-4"/>
                <w:lang w:val="en-GB"/>
              </w:rPr>
              <w:t xml:space="preserve"> this year, similarly to last year. </w:t>
            </w:r>
            <w:r w:rsidR="00C7121E">
              <w:rPr>
                <w:spacing w:val="-4"/>
                <w:lang w:val="en-GB"/>
              </w:rPr>
              <w:t xml:space="preserve">The seasonally adjusted balance of business confidence was mildly improving in construction during the first half of the year and </w:t>
            </w:r>
            <w:r w:rsidR="00BC4795">
              <w:rPr>
                <w:spacing w:val="-4"/>
                <w:lang w:val="en-GB"/>
              </w:rPr>
              <w:t xml:space="preserve">it reached the best result since February 2016 in June, when the </w:t>
            </w:r>
            <w:r w:rsidR="00C022BC">
              <w:rPr>
                <w:spacing w:val="-4"/>
                <w:lang w:val="en-GB"/>
              </w:rPr>
              <w:t>extraordinary</w:t>
            </w:r>
            <w:r w:rsidR="00BC4795">
              <w:rPr>
                <w:spacing w:val="-4"/>
                <w:lang w:val="en-GB"/>
              </w:rPr>
              <w:t xml:space="preserve"> influence of the finalisation of drawing on the European funds on the infrastructure projects was still felt. </w:t>
            </w:r>
            <w:r w:rsidR="006846B0">
              <w:rPr>
                <w:spacing w:val="-4"/>
                <w:lang w:val="en-GB"/>
              </w:rPr>
              <w:t xml:space="preserve">The confidence indicator balance still however stayed deep in the negative range. Based on the latest August data, nearly one sixth of businesses anticipated growth of the production activity in the upcoming three months and </w:t>
            </w:r>
            <w:r w:rsidR="00C44B63">
              <w:rPr>
                <w:spacing w:val="-4"/>
                <w:lang w:val="en-GB"/>
              </w:rPr>
              <w:t xml:space="preserve">only a slightly smaller proportion predicted fall. One tenth of businesses planned to acquire employees. The anticipations of the total demand, construction activity as well as the employment did not change considerably in comparison to the last August. </w:t>
            </w:r>
            <w:r w:rsidR="00D25C8A">
              <w:rPr>
                <w:spacing w:val="-4"/>
                <w:lang w:val="en-GB"/>
              </w:rPr>
              <w:t>One half of construction businesses indicated the inadequate demand as the barrier for growth (the least since April 2009</w:t>
            </w:r>
            <w:r w:rsidR="00654093" w:rsidRPr="004634F3">
              <w:rPr>
                <w:color w:val="000000" w:themeColor="text1"/>
                <w:spacing w:val="-4"/>
                <w:lang w:val="en-GB"/>
              </w:rPr>
              <w:t xml:space="preserve">). </w:t>
            </w:r>
            <w:r w:rsidR="00B008A0">
              <w:rPr>
                <w:color w:val="000000" w:themeColor="text1"/>
                <w:spacing w:val="-4"/>
                <w:lang w:val="en-GB"/>
              </w:rPr>
              <w:t xml:space="preserve">On the other hand, the factor of the lack of employees was mentioned three times more often in August 2017 compared to the previous year </w:t>
            </w:r>
            <w:r w:rsidR="00654093" w:rsidRPr="004634F3">
              <w:rPr>
                <w:color w:val="000000" w:themeColor="text1"/>
                <w:spacing w:val="-4"/>
                <w:lang w:val="en-GB"/>
              </w:rPr>
              <w:t>(8</w:t>
            </w:r>
            <w:r w:rsidR="00954C8E">
              <w:rPr>
                <w:color w:val="000000" w:themeColor="text1"/>
                <w:spacing w:val="-4"/>
                <w:lang w:val="en-GB"/>
              </w:rPr>
              <w:t>%</w:t>
            </w:r>
            <w:r w:rsidR="00654093" w:rsidRPr="004634F3">
              <w:rPr>
                <w:color w:val="000000" w:themeColor="text1"/>
                <w:spacing w:val="-4"/>
                <w:lang w:val="en-GB"/>
              </w:rPr>
              <w:t>).</w:t>
            </w:r>
          </w:p>
        </w:tc>
      </w:tr>
    </w:tbl>
    <w:p w:rsidR="00654093" w:rsidRPr="00A61C04" w:rsidRDefault="00654093" w:rsidP="00654093">
      <w:pPr>
        <w:pStyle w:val="Textpoznpodarou"/>
        <w:jc w:val="both"/>
        <w:rPr>
          <w:sz w:val="15"/>
          <w:szCs w:val="15"/>
        </w:rPr>
      </w:pPr>
    </w:p>
    <w:tbl>
      <w:tblPr>
        <w:tblW w:w="4963" w:type="pct"/>
        <w:tblInd w:w="108" w:type="dxa"/>
        <w:tblLayout w:type="fixed"/>
        <w:tblLook w:val="00A0"/>
      </w:tblPr>
      <w:tblGrid>
        <w:gridCol w:w="1997"/>
        <w:gridCol w:w="284"/>
        <w:gridCol w:w="1119"/>
        <w:gridCol w:w="6381"/>
      </w:tblGrid>
      <w:tr w:rsidR="00654093" w:rsidRPr="00AA4A76" w:rsidTr="00853C0F">
        <w:trPr>
          <w:trHeight w:val="145"/>
        </w:trPr>
        <w:tc>
          <w:tcPr>
            <w:tcW w:w="1021" w:type="pct"/>
            <w:shd w:val="clear" w:color="auto" w:fill="auto"/>
          </w:tcPr>
          <w:p w:rsidR="00654093" w:rsidRPr="00AA4A76" w:rsidRDefault="00654093" w:rsidP="00853C0F">
            <w:pPr>
              <w:spacing w:line="240" w:lineRule="auto"/>
              <w:jc w:val="center"/>
              <w:rPr>
                <w:color w:val="000000"/>
                <w:szCs w:val="20"/>
              </w:rPr>
            </w:pPr>
          </w:p>
        </w:tc>
        <w:tc>
          <w:tcPr>
            <w:tcW w:w="145" w:type="pct"/>
          </w:tcPr>
          <w:p w:rsidR="00654093" w:rsidRPr="00AA4A76" w:rsidRDefault="00654093" w:rsidP="00853C0F">
            <w:pPr>
              <w:pStyle w:val="Textpoznpodarou"/>
              <w:jc w:val="both"/>
              <w:rPr>
                <w:highlight w:val="yellow"/>
              </w:rPr>
            </w:pPr>
          </w:p>
        </w:tc>
        <w:tc>
          <w:tcPr>
            <w:tcW w:w="572" w:type="pct"/>
          </w:tcPr>
          <w:p w:rsidR="00654093" w:rsidRPr="00AA4A76" w:rsidRDefault="00E549AC" w:rsidP="00E549AC">
            <w:pPr>
              <w:pStyle w:val="Textpoznpodarou"/>
              <w:jc w:val="both"/>
              <w:rPr>
                <w:highlight w:val="yellow"/>
              </w:rPr>
            </w:pPr>
            <w:r>
              <w:rPr>
                <w:color w:val="000000"/>
              </w:rPr>
              <w:t xml:space="preserve">Chart </w:t>
            </w:r>
            <w:r w:rsidR="00654093">
              <w:rPr>
                <w:color w:val="000000"/>
              </w:rPr>
              <w:t>7</w:t>
            </w:r>
          </w:p>
        </w:tc>
        <w:tc>
          <w:tcPr>
            <w:tcW w:w="3262" w:type="pct"/>
          </w:tcPr>
          <w:p w:rsidR="00654093" w:rsidRPr="0042376B" w:rsidRDefault="00E549AC" w:rsidP="00853C0F">
            <w:pPr>
              <w:pStyle w:val="Textpoznpodarou"/>
              <w:rPr>
                <w:bCs/>
                <w:lang w:val="en-GB"/>
              </w:rPr>
            </w:pPr>
            <w:r w:rsidRPr="0042376B">
              <w:rPr>
                <w:b/>
                <w:lang w:val="en-GB"/>
              </w:rPr>
              <w:t>Construction out</w:t>
            </w:r>
            <w:r w:rsidR="0042376B" w:rsidRPr="0042376B">
              <w:rPr>
                <w:b/>
                <w:lang w:val="en-GB"/>
              </w:rPr>
              <w:t>put</w:t>
            </w:r>
            <w:r w:rsidR="00654093" w:rsidRPr="0042376B">
              <w:rPr>
                <w:b/>
                <w:lang w:val="en-GB"/>
              </w:rPr>
              <w:t xml:space="preserve">*, </w:t>
            </w:r>
            <w:r w:rsidR="0042376B" w:rsidRPr="0042376B">
              <w:rPr>
                <w:b/>
                <w:lang w:val="en-GB"/>
              </w:rPr>
              <w:t xml:space="preserve">value of new orders </w:t>
            </w:r>
            <w:r w:rsidR="00654093" w:rsidRPr="0042376B">
              <w:rPr>
                <w:bCs/>
                <w:lang w:val="en-GB"/>
              </w:rPr>
              <w:t>(</w:t>
            </w:r>
            <w:r w:rsidR="0042376B" w:rsidRPr="0042376B">
              <w:rPr>
                <w:bCs/>
                <w:lang w:val="en-GB"/>
              </w:rPr>
              <w:t xml:space="preserve">year-on-year </w:t>
            </w:r>
            <w:r w:rsidR="00954C8E">
              <w:rPr>
                <w:bCs/>
                <w:lang w:val="en-GB"/>
              </w:rPr>
              <w:t>in %</w:t>
            </w:r>
            <w:r w:rsidR="00654093" w:rsidRPr="0042376B">
              <w:rPr>
                <w:bCs/>
                <w:spacing w:val="-2"/>
                <w:lang w:val="en-GB"/>
              </w:rPr>
              <w:t>)</w:t>
            </w:r>
            <w:r w:rsidR="00654093" w:rsidRPr="0042376B">
              <w:rPr>
                <w:bCs/>
                <w:lang w:val="en-GB"/>
              </w:rPr>
              <w:t xml:space="preserve"> </w:t>
            </w:r>
          </w:p>
          <w:p w:rsidR="00654093" w:rsidRPr="00886A8F" w:rsidRDefault="0042376B" w:rsidP="0042376B">
            <w:pPr>
              <w:pStyle w:val="Textpoznpodarou"/>
              <w:rPr>
                <w:spacing w:val="-2"/>
                <w:lang w:eastAsia="en-US"/>
              </w:rPr>
            </w:pPr>
            <w:r w:rsidRPr="0042376B">
              <w:rPr>
                <w:b/>
                <w:lang w:val="en-GB"/>
              </w:rPr>
              <w:t>and balance of confidence indicator in construction</w:t>
            </w:r>
          </w:p>
        </w:tc>
      </w:tr>
      <w:tr w:rsidR="00654093" w:rsidRPr="00A94152" w:rsidTr="00853C0F">
        <w:trPr>
          <w:trHeight w:val="145"/>
        </w:trPr>
        <w:tc>
          <w:tcPr>
            <w:tcW w:w="1021" w:type="pct"/>
            <w:shd w:val="clear" w:color="auto" w:fill="auto"/>
          </w:tcPr>
          <w:p w:rsidR="00654093" w:rsidRPr="00A94152" w:rsidRDefault="00654093" w:rsidP="00853C0F">
            <w:pPr>
              <w:spacing w:line="240" w:lineRule="auto"/>
              <w:rPr>
                <w:color w:val="000000"/>
                <w:sz w:val="16"/>
                <w:szCs w:val="16"/>
                <w:highlight w:val="yellow"/>
                <w:lang w:val="en-GB"/>
              </w:rPr>
            </w:pPr>
          </w:p>
        </w:tc>
        <w:tc>
          <w:tcPr>
            <w:tcW w:w="145" w:type="pct"/>
          </w:tcPr>
          <w:p w:rsidR="00654093" w:rsidRPr="00A94152" w:rsidRDefault="00654093" w:rsidP="00853C0F">
            <w:pPr>
              <w:pStyle w:val="Textpoznpodarou"/>
              <w:jc w:val="both"/>
              <w:rPr>
                <w:lang w:val="en-GB"/>
              </w:rPr>
            </w:pPr>
          </w:p>
        </w:tc>
        <w:tc>
          <w:tcPr>
            <w:tcW w:w="3833" w:type="pct"/>
            <w:gridSpan w:val="2"/>
          </w:tcPr>
          <w:p w:rsidR="00C44B63" w:rsidRPr="00C44B63" w:rsidRDefault="00315E64" w:rsidP="00214DB7">
            <w:pPr>
              <w:pStyle w:val="Textpoznpodarou"/>
              <w:ind w:left="-124"/>
              <w:rPr>
                <w:sz w:val="18"/>
                <w:szCs w:val="18"/>
                <w:lang w:val="en-GB"/>
              </w:rPr>
            </w:pPr>
            <w:r w:rsidRPr="00315E64">
              <w:rPr>
                <w:rFonts w:cs="Arial"/>
                <w:noProof/>
                <w:sz w:val="14"/>
                <w:szCs w:val="14"/>
              </w:rPr>
              <w:drawing>
                <wp:inline distT="0" distB="0" distL="0" distR="0">
                  <wp:extent cx="4749196" cy="3548230"/>
                  <wp:effectExtent l="1905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6493D" w:rsidRPr="00A94152">
              <w:rPr>
                <w:rFonts w:cs="Arial"/>
                <w:sz w:val="14"/>
                <w:szCs w:val="14"/>
                <w:lang w:val="en-GB"/>
              </w:rPr>
              <w:t xml:space="preserve"> </w:t>
            </w:r>
            <w:r w:rsidR="00654093" w:rsidRPr="00A94152">
              <w:rPr>
                <w:rFonts w:cs="Arial"/>
                <w:sz w:val="14"/>
                <w:szCs w:val="14"/>
                <w:lang w:val="en-GB"/>
              </w:rPr>
              <w:t>*</w:t>
            </w:r>
            <w:r w:rsidR="00A94152" w:rsidRPr="00A94152">
              <w:rPr>
                <w:rFonts w:cs="Arial"/>
                <w:sz w:val="14"/>
                <w:szCs w:val="14"/>
                <w:lang w:val="en-GB"/>
              </w:rPr>
              <w:t>Adjusted for the effect of the number of working days</w:t>
            </w:r>
            <w:r w:rsidR="00654093" w:rsidRPr="00A94152">
              <w:rPr>
                <w:rFonts w:cs="Arial"/>
                <w:sz w:val="14"/>
                <w:szCs w:val="14"/>
                <w:lang w:val="en-GB"/>
              </w:rPr>
              <w:t>.</w:t>
            </w:r>
            <w:r w:rsidR="00A94152" w:rsidRPr="00A94152">
              <w:rPr>
                <w:rFonts w:cs="Arial"/>
                <w:sz w:val="14"/>
                <w:szCs w:val="14"/>
                <w:lang w:val="en-GB"/>
              </w:rPr>
              <w:t xml:space="preserve"> </w:t>
            </w:r>
            <w:r w:rsidR="00654093" w:rsidRPr="00A94152">
              <w:rPr>
                <w:rFonts w:cs="Arial"/>
                <w:sz w:val="14"/>
                <w:szCs w:val="14"/>
                <w:lang w:val="en-GB"/>
              </w:rPr>
              <w:t xml:space="preserve">                                     </w:t>
            </w:r>
            <w:r w:rsidR="00B6493D" w:rsidRPr="00A94152">
              <w:rPr>
                <w:rFonts w:cs="Arial"/>
                <w:sz w:val="14"/>
                <w:szCs w:val="14"/>
                <w:lang w:val="en-GB"/>
              </w:rPr>
              <w:t xml:space="preserve">                               </w:t>
            </w:r>
            <w:r w:rsidR="00654093" w:rsidRPr="00A94152">
              <w:rPr>
                <w:rFonts w:cs="Arial"/>
                <w:sz w:val="14"/>
                <w:szCs w:val="14"/>
                <w:lang w:val="en-GB"/>
              </w:rPr>
              <w:t xml:space="preserve">          </w:t>
            </w:r>
            <w:r w:rsidR="00A94152" w:rsidRPr="00A94152">
              <w:rPr>
                <w:rFonts w:cs="Arial"/>
                <w:sz w:val="14"/>
                <w:szCs w:val="14"/>
                <w:lang w:val="en-GB"/>
              </w:rPr>
              <w:t>Source</w:t>
            </w:r>
            <w:r w:rsidR="00654093" w:rsidRPr="00A94152">
              <w:rPr>
                <w:sz w:val="14"/>
                <w:szCs w:val="14"/>
                <w:lang w:val="en-GB"/>
              </w:rPr>
              <w:t>: Č</w:t>
            </w:r>
            <w:r w:rsidR="00A94152" w:rsidRPr="00A94152">
              <w:rPr>
                <w:sz w:val="14"/>
                <w:szCs w:val="14"/>
                <w:lang w:val="en-GB"/>
              </w:rPr>
              <w:t>ZSO</w:t>
            </w:r>
          </w:p>
        </w:tc>
      </w:tr>
    </w:tbl>
    <w:p w:rsidR="00654093" w:rsidRPr="00A94152" w:rsidRDefault="00654093" w:rsidP="00654093">
      <w:pPr>
        <w:pStyle w:val="Textpoznpodarou"/>
        <w:jc w:val="both"/>
        <w:rPr>
          <w:sz w:val="14"/>
          <w:szCs w:val="14"/>
          <w:lang w:val="en-GB"/>
        </w:rPr>
      </w:pPr>
    </w:p>
    <w:tbl>
      <w:tblPr>
        <w:tblW w:w="4986" w:type="pct"/>
        <w:tblInd w:w="107" w:type="dxa"/>
        <w:tblLayout w:type="fixed"/>
        <w:tblLook w:val="00A0"/>
      </w:tblPr>
      <w:tblGrid>
        <w:gridCol w:w="1997"/>
        <w:gridCol w:w="283"/>
        <w:gridCol w:w="7546"/>
      </w:tblGrid>
      <w:tr w:rsidR="00654093" w:rsidRPr="00A94152" w:rsidTr="00853C0F">
        <w:tc>
          <w:tcPr>
            <w:tcW w:w="1016" w:type="pct"/>
            <w:shd w:val="clear" w:color="auto" w:fill="auto"/>
          </w:tcPr>
          <w:p w:rsidR="00654093" w:rsidRPr="00A94152" w:rsidRDefault="00DF629B" w:rsidP="00DF629B">
            <w:pPr>
              <w:spacing w:line="240" w:lineRule="auto"/>
              <w:rPr>
                <w:sz w:val="16"/>
                <w:szCs w:val="16"/>
                <w:lang w:val="en-GB"/>
              </w:rPr>
            </w:pPr>
            <w:r>
              <w:rPr>
                <w:sz w:val="16"/>
                <w:szCs w:val="16"/>
                <w:lang w:val="en-GB"/>
              </w:rPr>
              <w:t xml:space="preserve">Growth of sales markedly accelerated in the selected services. All main activities prospered. </w:t>
            </w:r>
          </w:p>
        </w:tc>
        <w:tc>
          <w:tcPr>
            <w:tcW w:w="144" w:type="pct"/>
          </w:tcPr>
          <w:p w:rsidR="00654093" w:rsidRPr="00A94152" w:rsidRDefault="00654093" w:rsidP="00853C0F">
            <w:pPr>
              <w:rPr>
                <w:spacing w:val="-4"/>
                <w:szCs w:val="20"/>
                <w:lang w:val="en-GB"/>
              </w:rPr>
            </w:pPr>
          </w:p>
        </w:tc>
        <w:tc>
          <w:tcPr>
            <w:tcW w:w="3840" w:type="pct"/>
          </w:tcPr>
          <w:p w:rsidR="00654093" w:rsidRPr="00A94152" w:rsidRDefault="00DF629B" w:rsidP="00853C0F">
            <w:pPr>
              <w:pStyle w:val="Textpoznpodarou"/>
              <w:jc w:val="both"/>
              <w:rPr>
                <w:color w:val="000000" w:themeColor="text1"/>
                <w:spacing w:val="-4"/>
                <w:lang w:val="en-GB"/>
              </w:rPr>
            </w:pPr>
            <w:r>
              <w:rPr>
                <w:color w:val="000000" w:themeColor="text1"/>
                <w:spacing w:val="-4"/>
                <w:lang w:val="en-GB"/>
              </w:rPr>
              <w:t>The growth of sales in the selected services</w:t>
            </w:r>
            <w:r w:rsidR="00654093" w:rsidRPr="00A94152">
              <w:rPr>
                <w:color w:val="000000" w:themeColor="text1"/>
                <w:spacing w:val="-4"/>
                <w:vertAlign w:val="superscript"/>
                <w:lang w:val="en-GB"/>
              </w:rPr>
              <w:footnoteReference w:id="19"/>
            </w:r>
            <w:r w:rsidR="00654093" w:rsidRPr="00A94152">
              <w:rPr>
                <w:color w:val="000000" w:themeColor="text1"/>
                <w:spacing w:val="-4"/>
                <w:lang w:val="en-GB"/>
              </w:rPr>
              <w:t xml:space="preserve"> </w:t>
            </w:r>
            <w:r>
              <w:rPr>
                <w:color w:val="000000" w:themeColor="text1"/>
                <w:spacing w:val="-4"/>
                <w:lang w:val="en-GB"/>
              </w:rPr>
              <w:t>markedly accelerated at the beginning of the year</w:t>
            </w:r>
            <w:r w:rsidR="00654093" w:rsidRPr="00A94152">
              <w:rPr>
                <w:color w:val="000000" w:themeColor="text1"/>
                <w:spacing w:val="-4"/>
                <w:lang w:val="en-GB"/>
              </w:rPr>
              <w:t xml:space="preserve">. </w:t>
            </w:r>
            <w:r>
              <w:rPr>
                <w:color w:val="000000" w:themeColor="text1"/>
                <w:spacing w:val="-4"/>
                <w:lang w:val="en-GB"/>
              </w:rPr>
              <w:t>While the year-on-year growth of sales amounted “only” to 1.6</w:t>
            </w:r>
            <w:r w:rsidR="00954C8E">
              <w:rPr>
                <w:color w:val="000000" w:themeColor="text1"/>
                <w:spacing w:val="-4"/>
                <w:lang w:val="en-GB"/>
              </w:rPr>
              <w:t>%</w:t>
            </w:r>
            <w:r>
              <w:rPr>
                <w:color w:val="000000" w:themeColor="text1"/>
                <w:spacing w:val="-4"/>
                <w:lang w:val="en-GB"/>
              </w:rPr>
              <w:t xml:space="preserve"> in the last quarter of the last ye</w:t>
            </w:r>
            <w:r w:rsidR="008A243E">
              <w:rPr>
                <w:color w:val="000000" w:themeColor="text1"/>
                <w:spacing w:val="-4"/>
                <w:lang w:val="en-GB"/>
              </w:rPr>
              <w:t>a</w:t>
            </w:r>
            <w:r>
              <w:rPr>
                <w:color w:val="000000" w:themeColor="text1"/>
                <w:spacing w:val="-4"/>
                <w:lang w:val="en-GB"/>
              </w:rPr>
              <w:t>r, it hiked to 5.3</w:t>
            </w:r>
            <w:r w:rsidR="00954C8E">
              <w:rPr>
                <w:color w:val="000000" w:themeColor="text1"/>
                <w:spacing w:val="-4"/>
                <w:lang w:val="en-GB"/>
              </w:rPr>
              <w:t>%</w:t>
            </w:r>
            <w:r>
              <w:rPr>
                <w:color w:val="000000" w:themeColor="text1"/>
                <w:spacing w:val="-4"/>
                <w:lang w:val="en-GB"/>
              </w:rPr>
              <w:t xml:space="preserve"> </w:t>
            </w:r>
            <w:r w:rsidR="008A243E">
              <w:rPr>
                <w:color w:val="000000" w:themeColor="text1"/>
                <w:spacing w:val="-4"/>
                <w:lang w:val="en-GB"/>
              </w:rPr>
              <w:t xml:space="preserve">(the most since the end of year 2007) </w:t>
            </w:r>
            <w:r>
              <w:rPr>
                <w:color w:val="000000" w:themeColor="text1"/>
                <w:spacing w:val="-4"/>
                <w:lang w:val="en-GB"/>
              </w:rPr>
              <w:t>at the beginning of year 2017.</w:t>
            </w:r>
            <w:r w:rsidR="008A243E">
              <w:rPr>
                <w:color w:val="000000" w:themeColor="text1"/>
                <w:spacing w:val="-4"/>
                <w:lang w:val="en-GB"/>
              </w:rPr>
              <w:t xml:space="preserve"> The subsequent quarter confirmed this positive development </w:t>
            </w:r>
            <w:r w:rsidR="00654093" w:rsidRPr="00A94152">
              <w:rPr>
                <w:color w:val="000000" w:themeColor="text1"/>
                <w:spacing w:val="-4"/>
                <w:lang w:val="en-GB"/>
              </w:rPr>
              <w:t>(+5</w:t>
            </w:r>
            <w:r w:rsidR="008A243E">
              <w:rPr>
                <w:color w:val="000000" w:themeColor="text1"/>
                <w:spacing w:val="-4"/>
                <w:lang w:val="en-GB"/>
              </w:rPr>
              <w:t>.</w:t>
            </w:r>
            <w:r w:rsidR="00654093" w:rsidRPr="00A94152">
              <w:rPr>
                <w:color w:val="000000" w:themeColor="text1"/>
                <w:spacing w:val="-4"/>
                <w:lang w:val="en-GB"/>
              </w:rPr>
              <w:t>7</w:t>
            </w:r>
            <w:r w:rsidR="00954C8E">
              <w:rPr>
                <w:color w:val="000000" w:themeColor="text1"/>
                <w:spacing w:val="-4"/>
                <w:lang w:val="en-GB"/>
              </w:rPr>
              <w:t>%</w:t>
            </w:r>
            <w:r w:rsidR="00654093" w:rsidRPr="00A94152">
              <w:rPr>
                <w:color w:val="000000" w:themeColor="text1"/>
                <w:spacing w:val="-4"/>
                <w:lang w:val="en-GB"/>
              </w:rPr>
              <w:t xml:space="preserve">). </w:t>
            </w:r>
            <w:r w:rsidR="008A243E">
              <w:rPr>
                <w:color w:val="000000" w:themeColor="text1"/>
                <w:spacing w:val="-4"/>
                <w:lang w:val="en-GB"/>
              </w:rPr>
              <w:t xml:space="preserve">All monitored sections of services contributed to growth in both this year´s quarters. The services were driven mostly by the </w:t>
            </w:r>
            <w:proofErr w:type="gramStart"/>
            <w:r w:rsidR="008A243E">
              <w:rPr>
                <w:color w:val="000000" w:themeColor="text1"/>
                <w:spacing w:val="-4"/>
                <w:lang w:val="en-GB"/>
              </w:rPr>
              <w:t>activities, that</w:t>
            </w:r>
            <w:proofErr w:type="gramEnd"/>
            <w:r w:rsidR="008A243E">
              <w:rPr>
                <w:color w:val="000000" w:themeColor="text1"/>
                <w:spacing w:val="-4"/>
                <w:lang w:val="en-GB"/>
              </w:rPr>
              <w:t xml:space="preserve"> hold the largest weight </w:t>
            </w:r>
            <w:r w:rsidR="008A243E">
              <w:rPr>
                <w:color w:val="000000" w:themeColor="text1"/>
                <w:spacing w:val="-4"/>
                <w:lang w:val="en-GB"/>
              </w:rPr>
              <w:lastRenderedPageBreak/>
              <w:t>– transportation and warehousing (with nearly one third addition to the total growth) at the beginning of the year.</w:t>
            </w:r>
            <w:r w:rsidR="00654093" w:rsidRPr="00A94152">
              <w:rPr>
                <w:color w:val="000000" w:themeColor="text1"/>
                <w:spacing w:val="-4"/>
                <w:lang w:val="en-GB"/>
              </w:rPr>
              <w:t xml:space="preserve"> </w:t>
            </w:r>
            <w:r w:rsidR="000C7398">
              <w:rPr>
                <w:color w:val="000000" w:themeColor="text1"/>
                <w:spacing w:val="-4"/>
                <w:lang w:val="en-GB"/>
              </w:rPr>
              <w:t>The role of this branch weakened to the benefit of the</w:t>
            </w:r>
            <w:r w:rsidR="00AE6195">
              <w:rPr>
                <w:color w:val="000000" w:themeColor="text1"/>
                <w:spacing w:val="-4"/>
                <w:lang w:val="en-GB"/>
              </w:rPr>
              <w:t xml:space="preserve"> information and communication</w:t>
            </w:r>
            <w:r w:rsidR="000C7398">
              <w:rPr>
                <w:color w:val="000000" w:themeColor="text1"/>
                <w:spacing w:val="-4"/>
                <w:lang w:val="en-GB"/>
              </w:rPr>
              <w:t xml:space="preserve"> </w:t>
            </w:r>
            <w:r w:rsidR="00D9266B" w:rsidRPr="00A94152">
              <w:rPr>
                <w:color w:val="000000" w:themeColor="text1"/>
                <w:spacing w:val="-4"/>
                <w:lang w:val="en-GB"/>
              </w:rPr>
              <w:t>a</w:t>
            </w:r>
            <w:r w:rsidR="000C7398">
              <w:rPr>
                <w:color w:val="000000" w:themeColor="text1"/>
                <w:spacing w:val="-4"/>
                <w:lang w:val="en-GB"/>
              </w:rPr>
              <w:t xml:space="preserve">nd also accommodation, food service activities </w:t>
            </w:r>
            <w:r w:rsidR="00EA2BC9">
              <w:rPr>
                <w:color w:val="000000" w:themeColor="text1"/>
                <w:spacing w:val="-4"/>
                <w:lang w:val="en-GB"/>
              </w:rPr>
              <w:t xml:space="preserve">and </w:t>
            </w:r>
            <w:r w:rsidR="00EA2BC9" w:rsidRPr="00A94152">
              <w:rPr>
                <w:color w:val="000000" w:themeColor="text1"/>
                <w:spacing w:val="-4"/>
                <w:lang w:val="en-GB"/>
              </w:rPr>
              <w:t>restaurants</w:t>
            </w:r>
            <w:r w:rsidR="000C7398">
              <w:rPr>
                <w:color w:val="000000" w:themeColor="text1"/>
                <w:spacing w:val="-4"/>
                <w:lang w:val="en-GB"/>
              </w:rPr>
              <w:t xml:space="preserve"> in Q2</w:t>
            </w:r>
            <w:r w:rsidR="00D9266B" w:rsidRPr="00A94152">
              <w:rPr>
                <w:color w:val="000000" w:themeColor="text1"/>
                <w:spacing w:val="-4"/>
                <w:lang w:val="en-GB"/>
              </w:rPr>
              <w:t>.</w:t>
            </w:r>
            <w:r w:rsidR="00654093" w:rsidRPr="00A94152">
              <w:rPr>
                <w:color w:val="000000" w:themeColor="text1"/>
                <w:spacing w:val="-4"/>
                <w:lang w:val="en-GB"/>
              </w:rPr>
              <w:t xml:space="preserve"> </w:t>
            </w:r>
          </w:p>
          <w:p w:rsidR="00654093" w:rsidRPr="00A94152" w:rsidRDefault="00654093" w:rsidP="00853C0F">
            <w:pPr>
              <w:pStyle w:val="Textpoznpodarou"/>
              <w:jc w:val="both"/>
              <w:rPr>
                <w:spacing w:val="-4"/>
                <w:sz w:val="14"/>
                <w:szCs w:val="14"/>
                <w:lang w:val="en-GB"/>
              </w:rPr>
            </w:pPr>
          </w:p>
        </w:tc>
      </w:tr>
      <w:tr w:rsidR="00654093" w:rsidRPr="00156294" w:rsidTr="00853C0F">
        <w:tc>
          <w:tcPr>
            <w:tcW w:w="1016" w:type="pct"/>
            <w:shd w:val="clear" w:color="auto" w:fill="auto"/>
          </w:tcPr>
          <w:p w:rsidR="00654093" w:rsidRPr="00933F72" w:rsidRDefault="00933F72" w:rsidP="00853C0F">
            <w:pPr>
              <w:spacing w:line="240" w:lineRule="auto"/>
              <w:rPr>
                <w:color w:val="0D0D0D" w:themeColor="text1" w:themeTint="F2"/>
                <w:spacing w:val="-2"/>
                <w:sz w:val="16"/>
                <w:szCs w:val="16"/>
                <w:lang w:val="en-GB"/>
              </w:rPr>
            </w:pPr>
            <w:r w:rsidRPr="00933F72">
              <w:rPr>
                <w:color w:val="0D0D0D" w:themeColor="text1" w:themeTint="F2"/>
                <w:spacing w:val="-2"/>
                <w:sz w:val="16"/>
                <w:szCs w:val="16"/>
                <w:lang w:val="en-GB"/>
              </w:rPr>
              <w:lastRenderedPageBreak/>
              <w:t xml:space="preserve">Sales markedly revived in the air </w:t>
            </w:r>
            <w:r w:rsidR="00605C22">
              <w:rPr>
                <w:color w:val="0D0D0D" w:themeColor="text1" w:themeTint="F2"/>
                <w:spacing w:val="-2"/>
                <w:sz w:val="16"/>
                <w:szCs w:val="16"/>
                <w:lang w:val="en-GB"/>
              </w:rPr>
              <w:t>t</w:t>
            </w:r>
            <w:r w:rsidRPr="00933F72">
              <w:rPr>
                <w:color w:val="0D0D0D" w:themeColor="text1" w:themeTint="F2"/>
                <w:spacing w:val="-2"/>
                <w:sz w:val="16"/>
                <w:szCs w:val="16"/>
                <w:lang w:val="en-GB"/>
              </w:rPr>
              <w:t xml:space="preserve">ransportation, they grew the fastest after year 2005. </w:t>
            </w:r>
          </w:p>
          <w:p w:rsidR="00654093" w:rsidRPr="00933F72" w:rsidRDefault="00654093" w:rsidP="00853C0F">
            <w:pPr>
              <w:spacing w:line="240" w:lineRule="auto"/>
              <w:rPr>
                <w:color w:val="0D0D0D" w:themeColor="text1" w:themeTint="F2"/>
                <w:spacing w:val="-2"/>
                <w:sz w:val="16"/>
                <w:szCs w:val="16"/>
                <w:lang w:val="en-GB"/>
              </w:rPr>
            </w:pPr>
          </w:p>
          <w:p w:rsidR="00654093" w:rsidRPr="00933F72" w:rsidRDefault="00491091" w:rsidP="00853C0F">
            <w:pPr>
              <w:spacing w:line="240" w:lineRule="auto"/>
              <w:rPr>
                <w:color w:val="0D0D0D" w:themeColor="text1" w:themeTint="F2"/>
                <w:spacing w:val="-2"/>
                <w:sz w:val="16"/>
                <w:szCs w:val="16"/>
                <w:lang w:val="en-GB"/>
              </w:rPr>
            </w:pPr>
            <w:r>
              <w:rPr>
                <w:color w:val="0D0D0D" w:themeColor="text1" w:themeTint="F2"/>
                <w:spacing w:val="-2"/>
                <w:sz w:val="16"/>
                <w:szCs w:val="16"/>
                <w:lang w:val="en-GB"/>
              </w:rPr>
              <w:t xml:space="preserve">Development of tourism was also reflected in the high growth of sales in accommodation, food service activities and restaurants. Demand for information and communication was growing. Job agencies also fared well in the long term. </w:t>
            </w:r>
          </w:p>
          <w:p w:rsidR="00654093" w:rsidRPr="00933F72" w:rsidRDefault="00654093" w:rsidP="00853C0F">
            <w:pPr>
              <w:spacing w:line="240" w:lineRule="auto"/>
              <w:rPr>
                <w:color w:val="0D0D0D" w:themeColor="text1" w:themeTint="F2"/>
                <w:spacing w:val="-2"/>
                <w:sz w:val="16"/>
                <w:szCs w:val="16"/>
                <w:lang w:val="en-GB"/>
              </w:rPr>
            </w:pPr>
          </w:p>
          <w:p w:rsidR="00654093" w:rsidRPr="00933F72" w:rsidRDefault="00654093" w:rsidP="00853C0F">
            <w:pPr>
              <w:spacing w:line="240" w:lineRule="auto"/>
              <w:rPr>
                <w:color w:val="0D0D0D" w:themeColor="text1" w:themeTint="F2"/>
                <w:spacing w:val="-2"/>
                <w:sz w:val="16"/>
                <w:szCs w:val="16"/>
                <w:lang w:val="en-GB"/>
              </w:rPr>
            </w:pPr>
          </w:p>
          <w:p w:rsidR="00654093" w:rsidRPr="00933F72" w:rsidRDefault="00654093" w:rsidP="00853C0F">
            <w:pPr>
              <w:spacing w:line="240" w:lineRule="auto"/>
              <w:rPr>
                <w:color w:val="0D0D0D" w:themeColor="text1" w:themeTint="F2"/>
                <w:spacing w:val="-2"/>
                <w:sz w:val="16"/>
                <w:szCs w:val="16"/>
                <w:lang w:val="en-GB"/>
              </w:rPr>
            </w:pPr>
          </w:p>
          <w:p w:rsidR="00654093" w:rsidRPr="00933F72" w:rsidRDefault="00654093" w:rsidP="00853C0F">
            <w:pPr>
              <w:spacing w:line="240" w:lineRule="auto"/>
              <w:rPr>
                <w:color w:val="0D0D0D" w:themeColor="text1" w:themeTint="F2"/>
                <w:spacing w:val="-2"/>
                <w:sz w:val="16"/>
                <w:szCs w:val="16"/>
                <w:lang w:val="en-GB"/>
              </w:rPr>
            </w:pPr>
          </w:p>
          <w:p w:rsidR="00654093" w:rsidRPr="00933F72" w:rsidRDefault="00DD428A" w:rsidP="00853C0F">
            <w:pPr>
              <w:spacing w:line="240" w:lineRule="auto"/>
              <w:rPr>
                <w:color w:val="0D0D0D" w:themeColor="text1" w:themeTint="F2"/>
                <w:spacing w:val="-2"/>
                <w:sz w:val="16"/>
                <w:szCs w:val="16"/>
                <w:lang w:val="en-GB"/>
              </w:rPr>
            </w:pPr>
            <w:r>
              <w:rPr>
                <w:color w:val="0D0D0D" w:themeColor="text1" w:themeTint="F2"/>
                <w:spacing w:val="-2"/>
                <w:sz w:val="16"/>
                <w:szCs w:val="16"/>
                <w:lang w:val="en-GB"/>
              </w:rPr>
              <w:t>Growth of orders in construction was also mirrored in the higher demand for the project activities. Sales for the</w:t>
            </w:r>
            <w:r w:rsidR="00EA2BC9">
              <w:rPr>
                <w:color w:val="0D0D0D" w:themeColor="text1" w:themeTint="F2"/>
                <w:spacing w:val="-2"/>
                <w:sz w:val="16"/>
                <w:szCs w:val="16"/>
                <w:lang w:val="en-GB"/>
              </w:rPr>
              <w:t xml:space="preserve"> architectural and engineering </w:t>
            </w:r>
            <w:r>
              <w:rPr>
                <w:color w:val="0D0D0D" w:themeColor="text1" w:themeTint="F2"/>
                <w:spacing w:val="-2"/>
                <w:sz w:val="16"/>
                <w:szCs w:val="16"/>
                <w:lang w:val="en-GB"/>
              </w:rPr>
              <w:t xml:space="preserve">activities again increased after six quarters. </w:t>
            </w:r>
          </w:p>
          <w:p w:rsidR="00654093" w:rsidRPr="00933F72" w:rsidRDefault="00654093" w:rsidP="00853C0F">
            <w:pPr>
              <w:spacing w:line="240" w:lineRule="auto"/>
              <w:rPr>
                <w:spacing w:val="-2"/>
                <w:sz w:val="16"/>
                <w:szCs w:val="16"/>
                <w:lang w:val="en-GB"/>
              </w:rPr>
            </w:pPr>
          </w:p>
        </w:tc>
        <w:tc>
          <w:tcPr>
            <w:tcW w:w="144" w:type="pct"/>
          </w:tcPr>
          <w:p w:rsidR="00654093" w:rsidRPr="00933F72" w:rsidRDefault="00654093" w:rsidP="00853C0F">
            <w:pPr>
              <w:rPr>
                <w:spacing w:val="-4"/>
                <w:szCs w:val="20"/>
                <w:lang w:val="en-GB"/>
              </w:rPr>
            </w:pPr>
          </w:p>
        </w:tc>
        <w:tc>
          <w:tcPr>
            <w:tcW w:w="3840" w:type="pct"/>
          </w:tcPr>
          <w:p w:rsidR="00654093" w:rsidRPr="00933F72" w:rsidRDefault="00EB0F82" w:rsidP="00134F9F">
            <w:pPr>
              <w:pStyle w:val="Textpoznpodarou"/>
              <w:jc w:val="both"/>
              <w:rPr>
                <w:color w:val="000000" w:themeColor="text1"/>
                <w:spacing w:val="-4"/>
                <w:lang w:val="en-GB"/>
              </w:rPr>
            </w:pPr>
            <w:r>
              <w:rPr>
                <w:spacing w:val="-4"/>
                <w:lang w:val="en-GB"/>
              </w:rPr>
              <w:t>Sales in transportation and warehousing grew by 4.6</w:t>
            </w:r>
            <w:r w:rsidR="00954C8E">
              <w:rPr>
                <w:spacing w:val="-4"/>
                <w:lang w:val="en-GB"/>
              </w:rPr>
              <w:t>%</w:t>
            </w:r>
            <w:r>
              <w:rPr>
                <w:spacing w:val="-4"/>
                <w:lang w:val="en-GB"/>
              </w:rPr>
              <w:t xml:space="preserve"> this year compared to H1 2016. All kinds of transport reached more favourable result.</w:t>
            </w:r>
            <w:r w:rsidR="003777A0">
              <w:rPr>
                <w:spacing w:val="-4"/>
                <w:lang w:val="en-GB"/>
              </w:rPr>
              <w:t xml:space="preserve"> </w:t>
            </w:r>
            <w:r w:rsidR="00916C6C">
              <w:rPr>
                <w:spacing w:val="-4"/>
                <w:lang w:val="en-GB"/>
              </w:rPr>
              <w:t xml:space="preserve">The air transportation strongly hit by the prolonged recession stood out among them, when it </w:t>
            </w:r>
            <w:r w:rsidR="003777A0">
              <w:rPr>
                <w:spacing w:val="-4"/>
                <w:lang w:val="en-GB"/>
              </w:rPr>
              <w:t xml:space="preserve">recorded the best result </w:t>
            </w:r>
            <w:r w:rsidR="00654093" w:rsidRPr="00933F72">
              <w:rPr>
                <w:spacing w:val="-4"/>
                <w:lang w:val="en-GB"/>
              </w:rPr>
              <w:t>(+14</w:t>
            </w:r>
            <w:r w:rsidR="003777A0">
              <w:rPr>
                <w:spacing w:val="-4"/>
                <w:lang w:val="en-GB"/>
              </w:rPr>
              <w:t>.</w:t>
            </w:r>
            <w:r w:rsidR="00654093" w:rsidRPr="00933F72">
              <w:rPr>
                <w:spacing w:val="-4"/>
                <w:lang w:val="en-GB"/>
              </w:rPr>
              <w:t>9</w:t>
            </w:r>
            <w:r w:rsidR="00954C8E">
              <w:rPr>
                <w:spacing w:val="-4"/>
                <w:lang w:val="en-GB"/>
              </w:rPr>
              <w:t>%</w:t>
            </w:r>
            <w:r w:rsidR="00654093" w:rsidRPr="00933F72">
              <w:rPr>
                <w:spacing w:val="-4"/>
                <w:lang w:val="en-GB"/>
              </w:rPr>
              <w:t xml:space="preserve">) </w:t>
            </w:r>
            <w:r w:rsidR="003777A0">
              <w:rPr>
                <w:spacing w:val="-4"/>
                <w:lang w:val="en-GB"/>
              </w:rPr>
              <w:t xml:space="preserve">after year </w:t>
            </w:r>
            <w:r w:rsidR="00654093" w:rsidRPr="00933F72">
              <w:rPr>
                <w:spacing w:val="-4"/>
                <w:lang w:val="en-GB"/>
              </w:rPr>
              <w:t xml:space="preserve">2005. </w:t>
            </w:r>
            <w:r w:rsidR="003777A0">
              <w:rPr>
                <w:spacing w:val="-4"/>
                <w:lang w:val="en-GB"/>
              </w:rPr>
              <w:t xml:space="preserve">Warehousing and </w:t>
            </w:r>
            <w:r w:rsidR="00EA2BC9">
              <w:rPr>
                <w:spacing w:val="-4"/>
                <w:lang w:val="en-GB"/>
              </w:rPr>
              <w:t>support activities for transportation</w:t>
            </w:r>
            <w:r w:rsidR="003777A0">
              <w:rPr>
                <w:spacing w:val="-4"/>
                <w:lang w:val="en-GB"/>
              </w:rPr>
              <w:t xml:space="preserve"> also fared well</w:t>
            </w:r>
            <w:r w:rsidR="00654093" w:rsidRPr="00933F72">
              <w:rPr>
                <w:spacing w:val="-4"/>
                <w:lang w:val="en-GB"/>
              </w:rPr>
              <w:t xml:space="preserve"> (+5</w:t>
            </w:r>
            <w:r w:rsidR="003777A0">
              <w:rPr>
                <w:spacing w:val="-4"/>
                <w:lang w:val="en-GB"/>
              </w:rPr>
              <w:t>.</w:t>
            </w:r>
            <w:r w:rsidR="00654093" w:rsidRPr="00933F72">
              <w:rPr>
                <w:spacing w:val="-4"/>
                <w:lang w:val="en-GB"/>
              </w:rPr>
              <w:t>3</w:t>
            </w:r>
            <w:r w:rsidR="00954C8E">
              <w:rPr>
                <w:spacing w:val="-4"/>
                <w:lang w:val="en-GB"/>
              </w:rPr>
              <w:t>%</w:t>
            </w:r>
            <w:r w:rsidR="00654093" w:rsidRPr="00933F72">
              <w:rPr>
                <w:spacing w:val="-4"/>
                <w:lang w:val="en-GB"/>
              </w:rPr>
              <w:t xml:space="preserve">), </w:t>
            </w:r>
            <w:r w:rsidR="003777A0">
              <w:rPr>
                <w:spacing w:val="-4"/>
                <w:lang w:val="en-GB"/>
              </w:rPr>
              <w:t xml:space="preserve">belonging thanks to the narrow connection to industry to the most dynamic area of services in the long term. Accommodation also experienced strong growth </w:t>
            </w:r>
            <w:r w:rsidR="00654093" w:rsidRPr="00933F72">
              <w:rPr>
                <w:spacing w:val="-4"/>
                <w:lang w:val="en-GB"/>
              </w:rPr>
              <w:t>(+11</w:t>
            </w:r>
            <w:r w:rsidR="003777A0">
              <w:rPr>
                <w:spacing w:val="-4"/>
                <w:lang w:val="en-GB"/>
              </w:rPr>
              <w:t>.</w:t>
            </w:r>
            <w:r w:rsidR="00654093" w:rsidRPr="00933F72">
              <w:rPr>
                <w:spacing w:val="-4"/>
                <w:lang w:val="en-GB"/>
              </w:rPr>
              <w:t>9</w:t>
            </w:r>
            <w:r w:rsidR="00954C8E">
              <w:rPr>
                <w:spacing w:val="-4"/>
                <w:lang w:val="en-GB"/>
              </w:rPr>
              <w:t>%</w:t>
            </w:r>
            <w:r w:rsidR="00654093" w:rsidRPr="00933F72">
              <w:rPr>
                <w:spacing w:val="-4"/>
                <w:lang w:val="en-GB"/>
              </w:rPr>
              <w:t xml:space="preserve">) </w:t>
            </w:r>
            <w:r w:rsidR="003777A0">
              <w:rPr>
                <w:spacing w:val="-4"/>
                <w:lang w:val="en-GB"/>
              </w:rPr>
              <w:t xml:space="preserve">together with food service activities and restaurants </w:t>
            </w:r>
            <w:r w:rsidR="00654093" w:rsidRPr="00933F72">
              <w:rPr>
                <w:spacing w:val="-4"/>
                <w:lang w:val="en-GB"/>
              </w:rPr>
              <w:t>(13</w:t>
            </w:r>
            <w:r w:rsidR="003777A0">
              <w:rPr>
                <w:spacing w:val="-4"/>
                <w:lang w:val="en-GB"/>
              </w:rPr>
              <w:t>.</w:t>
            </w:r>
            <w:r w:rsidR="00654093" w:rsidRPr="00933F72">
              <w:rPr>
                <w:spacing w:val="-4"/>
                <w:lang w:val="en-GB"/>
              </w:rPr>
              <w:t>2</w:t>
            </w:r>
            <w:r w:rsidR="00954C8E">
              <w:rPr>
                <w:spacing w:val="-4"/>
                <w:lang w:val="en-GB"/>
              </w:rPr>
              <w:t>%</w:t>
            </w:r>
            <w:r w:rsidR="00654093" w:rsidRPr="00933F72">
              <w:rPr>
                <w:spacing w:val="-4"/>
                <w:lang w:val="en-GB"/>
              </w:rPr>
              <w:t xml:space="preserve">). </w:t>
            </w:r>
            <w:r w:rsidR="003777A0">
              <w:rPr>
                <w:spacing w:val="-4"/>
                <w:lang w:val="en-GB"/>
              </w:rPr>
              <w:t xml:space="preserve">Both branches benefited from the growing consumption of households complemented by the development of the arrival tourism. </w:t>
            </w:r>
            <w:r w:rsidR="003D1A24">
              <w:rPr>
                <w:spacing w:val="-4"/>
                <w:lang w:val="en-GB"/>
              </w:rPr>
              <w:t xml:space="preserve">The number of overnight stays of non-residents in the </w:t>
            </w:r>
            <w:r w:rsidR="00806D73">
              <w:rPr>
                <w:spacing w:val="-4"/>
                <w:lang w:val="en-GB"/>
              </w:rPr>
              <w:t xml:space="preserve">mass accommodation facilities </w:t>
            </w:r>
            <w:r w:rsidR="003D1A24">
              <w:rPr>
                <w:spacing w:val="-4"/>
                <w:lang w:val="en-GB"/>
              </w:rPr>
              <w:t>increased by 1</w:t>
            </w:r>
            <w:r w:rsidR="00654093" w:rsidRPr="00933F72">
              <w:rPr>
                <w:spacing w:val="-4"/>
                <w:lang w:val="en-GB"/>
              </w:rPr>
              <w:t>5</w:t>
            </w:r>
            <w:r w:rsidR="003D1A24">
              <w:rPr>
                <w:spacing w:val="-4"/>
                <w:lang w:val="en-GB"/>
              </w:rPr>
              <w:t>.</w:t>
            </w:r>
            <w:r w:rsidR="00654093" w:rsidRPr="00933F72">
              <w:rPr>
                <w:spacing w:val="-4"/>
                <w:lang w:val="en-GB"/>
              </w:rPr>
              <w:t>6</w:t>
            </w:r>
            <w:r w:rsidR="00954C8E">
              <w:rPr>
                <w:spacing w:val="-4"/>
                <w:lang w:val="en-GB"/>
              </w:rPr>
              <w:t>%</w:t>
            </w:r>
            <w:r w:rsidR="003D1A24">
              <w:rPr>
                <w:spacing w:val="-4"/>
                <w:lang w:val="en-GB"/>
              </w:rPr>
              <w:t xml:space="preserve"> in Q2 itself</w:t>
            </w:r>
            <w:r w:rsidR="00654093" w:rsidRPr="00933F72">
              <w:rPr>
                <w:spacing w:val="-4"/>
                <w:lang w:val="en-GB"/>
              </w:rPr>
              <w:t xml:space="preserve">. </w:t>
            </w:r>
            <w:r w:rsidR="00DA0299">
              <w:rPr>
                <w:spacing w:val="-4"/>
                <w:lang w:val="en-GB"/>
              </w:rPr>
              <w:t xml:space="preserve">The information and communication also strengthened by </w:t>
            </w:r>
            <w:r w:rsidR="00654093" w:rsidRPr="00933F72">
              <w:rPr>
                <w:spacing w:val="-4"/>
                <w:lang w:val="en-GB"/>
              </w:rPr>
              <w:t>4</w:t>
            </w:r>
            <w:r w:rsidR="00DA0299">
              <w:rPr>
                <w:spacing w:val="-4"/>
                <w:lang w:val="en-GB"/>
              </w:rPr>
              <w:t>.</w:t>
            </w:r>
            <w:r w:rsidR="00654093" w:rsidRPr="00933F72">
              <w:rPr>
                <w:spacing w:val="-4"/>
                <w:lang w:val="en-GB"/>
              </w:rPr>
              <w:t>4</w:t>
            </w:r>
            <w:r w:rsidR="00954C8E">
              <w:rPr>
                <w:spacing w:val="-4"/>
                <w:lang w:val="en-GB"/>
              </w:rPr>
              <w:t>%</w:t>
            </w:r>
            <w:r w:rsidR="00DA0299">
              <w:rPr>
                <w:spacing w:val="-4"/>
                <w:lang w:val="en-GB"/>
              </w:rPr>
              <w:t xml:space="preserve"> in H1, where the demand especially for the processing of data, web portals and hosting, programming and advisory in the IT area grows in the long-term. The film and music industry, where the sales decreased by one eighth this year, was in the opposite situation. </w:t>
            </w:r>
            <w:r w:rsidR="00DB5798">
              <w:rPr>
                <w:spacing w:val="-4"/>
                <w:lang w:val="en-GB"/>
              </w:rPr>
              <w:t xml:space="preserve">Sales in the professional, scientific and technical activities </w:t>
            </w:r>
            <w:r w:rsidR="008C79DA">
              <w:rPr>
                <w:spacing w:val="-4"/>
                <w:lang w:val="en-GB"/>
              </w:rPr>
              <w:t>strengthened</w:t>
            </w:r>
            <w:r w:rsidR="00DB5798">
              <w:rPr>
                <w:spacing w:val="-4"/>
                <w:lang w:val="en-GB"/>
              </w:rPr>
              <w:t xml:space="preserve"> by </w:t>
            </w:r>
            <w:r w:rsidR="00654093" w:rsidRPr="00933F72">
              <w:rPr>
                <w:spacing w:val="-4"/>
                <w:lang w:val="en-GB"/>
              </w:rPr>
              <w:t>3</w:t>
            </w:r>
            <w:r w:rsidR="00DB5798">
              <w:rPr>
                <w:spacing w:val="-4"/>
                <w:lang w:val="en-GB"/>
              </w:rPr>
              <w:t>.</w:t>
            </w:r>
            <w:r w:rsidR="00654093" w:rsidRPr="00933F72">
              <w:rPr>
                <w:spacing w:val="-4"/>
                <w:lang w:val="en-GB"/>
              </w:rPr>
              <w:t>2</w:t>
            </w:r>
            <w:r w:rsidR="00954C8E">
              <w:rPr>
                <w:spacing w:val="-4"/>
                <w:lang w:val="en-GB"/>
              </w:rPr>
              <w:t>%</w:t>
            </w:r>
            <w:r w:rsidR="00654093" w:rsidRPr="00933F72">
              <w:rPr>
                <w:spacing w:val="-4"/>
                <w:lang w:val="en-GB"/>
              </w:rPr>
              <w:t xml:space="preserve"> a</w:t>
            </w:r>
            <w:r w:rsidR="00DB5798">
              <w:rPr>
                <w:spacing w:val="-4"/>
                <w:lang w:val="en-GB"/>
              </w:rPr>
              <w:t>nd also recorded only their second year-on-year growth within the frame of the first half years after year 2008. Ar</w:t>
            </w:r>
            <w:r w:rsidR="002A0E4F">
              <w:rPr>
                <w:spacing w:val="-4"/>
                <w:lang w:val="en-GB"/>
              </w:rPr>
              <w:t>chitectural and engineering activities</w:t>
            </w:r>
            <w:r w:rsidR="00DB5798" w:rsidRPr="00933F72">
              <w:rPr>
                <w:color w:val="000000" w:themeColor="text1"/>
                <w:spacing w:val="-4"/>
                <w:lang w:val="en-GB"/>
              </w:rPr>
              <w:t xml:space="preserve"> </w:t>
            </w:r>
            <w:r w:rsidR="002A0E4F">
              <w:rPr>
                <w:color w:val="000000" w:themeColor="text1"/>
                <w:spacing w:val="-4"/>
                <w:lang w:val="en-GB"/>
              </w:rPr>
              <w:t>s</w:t>
            </w:r>
            <w:r w:rsidR="00DB5798">
              <w:rPr>
                <w:spacing w:val="-4"/>
                <w:lang w:val="en-GB"/>
              </w:rPr>
              <w:t xml:space="preserve">trongly interconnected with construction contributed to this year´s growth in this branch, they revived after six quarters of adverse development. </w:t>
            </w:r>
            <w:r w:rsidR="008C79DA">
              <w:rPr>
                <w:spacing w:val="-4"/>
                <w:lang w:val="en-GB"/>
              </w:rPr>
              <w:t xml:space="preserve">The demand for </w:t>
            </w:r>
            <w:r w:rsidR="002A0E4F">
              <w:rPr>
                <w:color w:val="000000" w:themeColor="text1"/>
                <w:spacing w:val="-4"/>
                <w:lang w:val="en-GB"/>
              </w:rPr>
              <w:t xml:space="preserve">photographic, design, translation and interpretation activities </w:t>
            </w:r>
            <w:r w:rsidR="00F91E9E">
              <w:rPr>
                <w:color w:val="000000" w:themeColor="text1"/>
                <w:spacing w:val="-4"/>
                <w:lang w:val="en-GB"/>
              </w:rPr>
              <w:t>(+8.</w:t>
            </w:r>
            <w:r w:rsidR="00654093" w:rsidRPr="00933F72">
              <w:rPr>
                <w:color w:val="000000" w:themeColor="text1"/>
                <w:spacing w:val="-4"/>
                <w:lang w:val="en-GB"/>
              </w:rPr>
              <w:t>5</w:t>
            </w:r>
            <w:r w:rsidR="00954C8E">
              <w:rPr>
                <w:color w:val="000000" w:themeColor="text1"/>
                <w:spacing w:val="-4"/>
                <w:lang w:val="en-GB"/>
              </w:rPr>
              <w:t>%</w:t>
            </w:r>
            <w:r w:rsidR="00654093" w:rsidRPr="00933F72">
              <w:rPr>
                <w:color w:val="000000" w:themeColor="text1"/>
                <w:spacing w:val="-4"/>
                <w:lang w:val="en-GB"/>
              </w:rPr>
              <w:t>)</w:t>
            </w:r>
            <w:r w:rsidR="008C79DA">
              <w:rPr>
                <w:color w:val="000000" w:themeColor="text1"/>
                <w:spacing w:val="-4"/>
                <w:lang w:val="en-GB"/>
              </w:rPr>
              <w:t xml:space="preserve"> also notably increased in H1</w:t>
            </w:r>
            <w:r w:rsidR="00654093" w:rsidRPr="00933F72">
              <w:rPr>
                <w:color w:val="000000" w:themeColor="text1"/>
                <w:spacing w:val="-4"/>
                <w:lang w:val="en-GB"/>
              </w:rPr>
              <w:t xml:space="preserve">. </w:t>
            </w:r>
            <w:r w:rsidR="008C79DA">
              <w:rPr>
                <w:color w:val="000000" w:themeColor="text1"/>
                <w:spacing w:val="-4"/>
                <w:lang w:val="en-GB"/>
              </w:rPr>
              <w:t xml:space="preserve">The dynamic growth of sales for </w:t>
            </w:r>
            <w:r w:rsidR="00180A6D">
              <w:rPr>
                <w:color w:val="000000" w:themeColor="text1"/>
                <w:spacing w:val="-4"/>
                <w:lang w:val="en-GB"/>
              </w:rPr>
              <w:t xml:space="preserve">market research and public opinion polling </w:t>
            </w:r>
            <w:r w:rsidR="008C79DA">
              <w:rPr>
                <w:color w:val="000000" w:themeColor="text1"/>
                <w:spacing w:val="-4"/>
                <w:lang w:val="en-GB"/>
              </w:rPr>
              <w:t>continued</w:t>
            </w:r>
            <w:r w:rsidR="00D9640A" w:rsidRPr="00933F72">
              <w:rPr>
                <w:color w:val="000000" w:themeColor="text1"/>
                <w:spacing w:val="-4"/>
                <w:lang w:val="en-GB"/>
              </w:rPr>
              <w:t xml:space="preserve">, </w:t>
            </w:r>
            <w:r w:rsidR="008C79DA">
              <w:rPr>
                <w:color w:val="000000" w:themeColor="text1"/>
                <w:spacing w:val="-4"/>
                <w:lang w:val="en-GB"/>
              </w:rPr>
              <w:t xml:space="preserve">on the contrary the </w:t>
            </w:r>
            <w:r w:rsidR="0098354B">
              <w:rPr>
                <w:color w:val="000000" w:themeColor="text1"/>
                <w:spacing w:val="-4"/>
                <w:lang w:val="en-GB"/>
              </w:rPr>
              <w:t xml:space="preserve">advertising activities </w:t>
            </w:r>
            <w:r w:rsidR="008C79DA">
              <w:rPr>
                <w:color w:val="000000" w:themeColor="text1"/>
                <w:spacing w:val="-4"/>
                <w:lang w:val="en-GB"/>
              </w:rPr>
              <w:t xml:space="preserve">were rather stagnating. </w:t>
            </w:r>
            <w:r w:rsidR="00134F9F">
              <w:rPr>
                <w:color w:val="000000" w:themeColor="text1"/>
                <w:spacing w:val="-4"/>
                <w:lang w:val="en-GB"/>
              </w:rPr>
              <w:t xml:space="preserve">Sales in the administrative and support activities rose by nearly one tenth, where especially the job agencies traditionally prospered </w:t>
            </w:r>
            <w:r w:rsidR="00654093" w:rsidRPr="00933F72">
              <w:rPr>
                <w:color w:val="000000" w:themeColor="text1"/>
                <w:spacing w:val="-4"/>
                <w:lang w:val="en-GB"/>
              </w:rPr>
              <w:t>(+17</w:t>
            </w:r>
            <w:r w:rsidR="00134F9F">
              <w:rPr>
                <w:color w:val="000000" w:themeColor="text1"/>
                <w:spacing w:val="-4"/>
                <w:lang w:val="en-GB"/>
              </w:rPr>
              <w:t>.</w:t>
            </w:r>
            <w:r w:rsidR="00654093" w:rsidRPr="00933F72">
              <w:rPr>
                <w:color w:val="000000" w:themeColor="text1"/>
                <w:spacing w:val="-4"/>
                <w:lang w:val="en-GB"/>
              </w:rPr>
              <w:t>3</w:t>
            </w:r>
            <w:r w:rsidR="00954C8E">
              <w:rPr>
                <w:color w:val="000000" w:themeColor="text1"/>
                <w:spacing w:val="-4"/>
                <w:lang w:val="en-GB"/>
              </w:rPr>
              <w:t>%</w:t>
            </w:r>
            <w:r w:rsidR="00654093" w:rsidRPr="00933F72">
              <w:rPr>
                <w:color w:val="000000" w:themeColor="text1"/>
                <w:spacing w:val="-4"/>
                <w:lang w:val="en-GB"/>
              </w:rPr>
              <w:t xml:space="preserve">). </w:t>
            </w:r>
            <w:r w:rsidR="00134F9F">
              <w:rPr>
                <w:color w:val="000000" w:themeColor="text1"/>
                <w:spacing w:val="-4"/>
                <w:lang w:val="en-GB"/>
              </w:rPr>
              <w:t xml:space="preserve">The travel agencies, offices and other reservation and connected activities considerably recovered and reached the best result </w:t>
            </w:r>
            <w:r w:rsidR="00654093" w:rsidRPr="00933F72">
              <w:rPr>
                <w:color w:val="000000" w:themeColor="text1"/>
                <w:spacing w:val="-4"/>
                <w:lang w:val="en-GB"/>
              </w:rPr>
              <w:t>(13</w:t>
            </w:r>
            <w:r w:rsidR="00134F9F">
              <w:rPr>
                <w:color w:val="000000" w:themeColor="text1"/>
                <w:spacing w:val="-4"/>
                <w:lang w:val="en-GB"/>
              </w:rPr>
              <w:t>.</w:t>
            </w:r>
            <w:r w:rsidR="00654093" w:rsidRPr="00933F72">
              <w:rPr>
                <w:color w:val="000000" w:themeColor="text1"/>
                <w:spacing w:val="-4"/>
                <w:lang w:val="en-GB"/>
              </w:rPr>
              <w:t>2</w:t>
            </w:r>
            <w:r w:rsidR="00954C8E">
              <w:rPr>
                <w:color w:val="000000" w:themeColor="text1"/>
                <w:spacing w:val="-4"/>
                <w:lang w:val="en-GB"/>
              </w:rPr>
              <w:t>%</w:t>
            </w:r>
            <w:r w:rsidR="00654093" w:rsidRPr="00933F72">
              <w:rPr>
                <w:color w:val="000000" w:themeColor="text1"/>
                <w:spacing w:val="-4"/>
                <w:lang w:val="en-GB"/>
              </w:rPr>
              <w:t xml:space="preserve">) </w:t>
            </w:r>
            <w:r w:rsidR="00134F9F">
              <w:rPr>
                <w:color w:val="000000" w:themeColor="text1"/>
                <w:spacing w:val="-4"/>
                <w:lang w:val="en-GB"/>
              </w:rPr>
              <w:t xml:space="preserve">for the last ten years. However, their sales were still by more than one quarter weaker in comparison to the peak of the business cycle </w:t>
            </w:r>
            <w:r w:rsidR="00654093" w:rsidRPr="00933F72">
              <w:rPr>
                <w:color w:val="000000" w:themeColor="text1"/>
                <w:spacing w:val="-4"/>
                <w:lang w:val="en-GB"/>
              </w:rPr>
              <w:t>(</w:t>
            </w:r>
            <w:r w:rsidR="00134F9F">
              <w:rPr>
                <w:color w:val="000000" w:themeColor="text1"/>
                <w:spacing w:val="-4"/>
                <w:lang w:val="en-GB"/>
              </w:rPr>
              <w:t>H</w:t>
            </w:r>
            <w:r w:rsidR="00654093" w:rsidRPr="00933F72">
              <w:rPr>
                <w:color w:val="000000" w:themeColor="text1"/>
                <w:spacing w:val="-4"/>
                <w:lang w:val="en-GB"/>
              </w:rPr>
              <w:t>1</w:t>
            </w:r>
            <w:r w:rsidR="00134F9F">
              <w:rPr>
                <w:color w:val="000000" w:themeColor="text1"/>
                <w:spacing w:val="-4"/>
                <w:lang w:val="en-GB"/>
              </w:rPr>
              <w:t xml:space="preserve"> </w:t>
            </w:r>
            <w:r w:rsidR="00654093" w:rsidRPr="00933F72">
              <w:rPr>
                <w:color w:val="000000" w:themeColor="text1"/>
                <w:spacing w:val="-4"/>
                <w:lang w:val="en-GB"/>
              </w:rPr>
              <w:t xml:space="preserve">2008) </w:t>
            </w:r>
            <w:r w:rsidR="00134F9F">
              <w:rPr>
                <w:color w:val="000000" w:themeColor="text1"/>
                <w:spacing w:val="-4"/>
                <w:lang w:val="en-GB"/>
              </w:rPr>
              <w:t xml:space="preserve">this year. </w:t>
            </w:r>
            <w:r w:rsidR="00654093" w:rsidRPr="00933F72">
              <w:rPr>
                <w:color w:val="000000" w:themeColor="text1"/>
                <w:spacing w:val="-4"/>
                <w:lang w:val="en-GB"/>
              </w:rPr>
              <w:t xml:space="preserve"> </w:t>
            </w:r>
          </w:p>
        </w:tc>
      </w:tr>
    </w:tbl>
    <w:p w:rsidR="00654093" w:rsidRPr="00535F78" w:rsidRDefault="00654093" w:rsidP="00654093">
      <w:pPr>
        <w:pStyle w:val="Textpoznpodarou"/>
        <w:jc w:val="both"/>
        <w:rPr>
          <w:sz w:val="14"/>
          <w:szCs w:val="14"/>
        </w:rPr>
      </w:pPr>
    </w:p>
    <w:tbl>
      <w:tblPr>
        <w:tblW w:w="4963" w:type="pct"/>
        <w:tblInd w:w="108" w:type="dxa"/>
        <w:tblLayout w:type="fixed"/>
        <w:tblLook w:val="00A0"/>
      </w:tblPr>
      <w:tblGrid>
        <w:gridCol w:w="1997"/>
        <w:gridCol w:w="284"/>
        <w:gridCol w:w="980"/>
        <w:gridCol w:w="6520"/>
      </w:tblGrid>
      <w:tr w:rsidR="00654093" w:rsidRPr="00AA4A76" w:rsidTr="00853C0F">
        <w:trPr>
          <w:trHeight w:val="145"/>
        </w:trPr>
        <w:tc>
          <w:tcPr>
            <w:tcW w:w="1021" w:type="pct"/>
            <w:shd w:val="clear" w:color="auto" w:fill="auto"/>
          </w:tcPr>
          <w:p w:rsidR="00654093" w:rsidRPr="00AA4A76" w:rsidRDefault="00654093" w:rsidP="00853C0F">
            <w:pPr>
              <w:spacing w:line="240" w:lineRule="auto"/>
              <w:jc w:val="center"/>
              <w:rPr>
                <w:color w:val="000000"/>
                <w:szCs w:val="20"/>
              </w:rPr>
            </w:pPr>
          </w:p>
        </w:tc>
        <w:tc>
          <w:tcPr>
            <w:tcW w:w="145" w:type="pct"/>
          </w:tcPr>
          <w:p w:rsidR="00654093" w:rsidRPr="00AA4A76" w:rsidRDefault="00654093" w:rsidP="00853C0F">
            <w:pPr>
              <w:pStyle w:val="Textpoznpodarou"/>
              <w:jc w:val="both"/>
              <w:rPr>
                <w:highlight w:val="yellow"/>
              </w:rPr>
            </w:pPr>
          </w:p>
        </w:tc>
        <w:tc>
          <w:tcPr>
            <w:tcW w:w="501" w:type="pct"/>
          </w:tcPr>
          <w:p w:rsidR="00654093" w:rsidRPr="00E62A33" w:rsidRDefault="00806D73" w:rsidP="00806D73">
            <w:pPr>
              <w:pStyle w:val="Textpoznpodarou"/>
              <w:jc w:val="both"/>
              <w:rPr>
                <w:spacing w:val="-2"/>
                <w:highlight w:val="yellow"/>
              </w:rPr>
            </w:pPr>
            <w:r>
              <w:rPr>
                <w:color w:val="000000"/>
                <w:spacing w:val="-2"/>
              </w:rPr>
              <w:t xml:space="preserve">Chart </w:t>
            </w:r>
            <w:r w:rsidR="00654093" w:rsidRPr="00E62A33">
              <w:rPr>
                <w:color w:val="000000"/>
                <w:spacing w:val="-2"/>
              </w:rPr>
              <w:t>8</w:t>
            </w:r>
          </w:p>
        </w:tc>
        <w:tc>
          <w:tcPr>
            <w:tcW w:w="3333" w:type="pct"/>
          </w:tcPr>
          <w:p w:rsidR="00654093" w:rsidRPr="00806D73" w:rsidRDefault="00806D73" w:rsidP="00853C0F">
            <w:pPr>
              <w:pStyle w:val="Textpoznpodarou"/>
              <w:rPr>
                <w:b/>
                <w:spacing w:val="-2"/>
                <w:lang w:val="en-GB"/>
              </w:rPr>
            </w:pPr>
            <w:r w:rsidRPr="00806D73">
              <w:rPr>
                <w:b/>
                <w:spacing w:val="-2"/>
                <w:lang w:val="en-GB"/>
              </w:rPr>
              <w:t>Sales in services</w:t>
            </w:r>
            <w:r w:rsidR="00654093" w:rsidRPr="00806D73">
              <w:rPr>
                <w:b/>
                <w:spacing w:val="-2"/>
                <w:lang w:val="en-GB"/>
              </w:rPr>
              <w:t xml:space="preserve"> a</w:t>
            </w:r>
            <w:r w:rsidRPr="00806D73">
              <w:rPr>
                <w:b/>
                <w:spacing w:val="-2"/>
                <w:lang w:val="en-GB"/>
              </w:rPr>
              <w:t>nd their selected branch sections</w:t>
            </w:r>
          </w:p>
          <w:p w:rsidR="00654093" w:rsidRPr="00E62A33" w:rsidRDefault="00654093" w:rsidP="00806D73">
            <w:pPr>
              <w:pStyle w:val="Textpoznpodarou"/>
              <w:rPr>
                <w:spacing w:val="-2"/>
                <w:lang w:eastAsia="en-US"/>
              </w:rPr>
            </w:pPr>
            <w:r w:rsidRPr="00806D73">
              <w:rPr>
                <w:bCs/>
                <w:spacing w:val="-2"/>
                <w:lang w:val="en-GB"/>
              </w:rPr>
              <w:t>(</w:t>
            </w:r>
            <w:proofErr w:type="gramStart"/>
            <w:r w:rsidR="00806D73" w:rsidRPr="00806D73">
              <w:rPr>
                <w:bCs/>
                <w:spacing w:val="-2"/>
                <w:lang w:val="en-GB"/>
              </w:rPr>
              <w:t>in</w:t>
            </w:r>
            <w:proofErr w:type="gramEnd"/>
            <w:r w:rsidR="00806D73" w:rsidRPr="00806D73">
              <w:rPr>
                <w:bCs/>
                <w:spacing w:val="-2"/>
                <w:lang w:val="en-GB"/>
              </w:rPr>
              <w:t xml:space="preserve"> real terms</w:t>
            </w:r>
            <w:r w:rsidRPr="00806D73">
              <w:rPr>
                <w:bCs/>
                <w:spacing w:val="-2"/>
                <w:lang w:val="en-GB"/>
              </w:rPr>
              <w:t xml:space="preserve">, </w:t>
            </w:r>
            <w:r w:rsidR="00806D73" w:rsidRPr="00806D73">
              <w:rPr>
                <w:bCs/>
                <w:spacing w:val="-2"/>
                <w:lang w:val="en-GB"/>
              </w:rPr>
              <w:t xml:space="preserve">adjusted for the effect of the number of working days, year-on-year </w:t>
            </w:r>
            <w:r w:rsidR="00954C8E">
              <w:rPr>
                <w:bCs/>
                <w:spacing w:val="-2"/>
                <w:lang w:val="en-GB"/>
              </w:rPr>
              <w:t>in %</w:t>
            </w:r>
            <w:r w:rsidRPr="00806D73">
              <w:rPr>
                <w:bCs/>
                <w:spacing w:val="-2"/>
                <w:lang w:val="en-GB"/>
              </w:rPr>
              <w:t>)</w:t>
            </w:r>
          </w:p>
        </w:tc>
      </w:tr>
      <w:tr w:rsidR="00654093" w:rsidRPr="00AA4A76" w:rsidTr="00853C0F">
        <w:trPr>
          <w:trHeight w:val="145"/>
        </w:trPr>
        <w:tc>
          <w:tcPr>
            <w:tcW w:w="1021" w:type="pct"/>
            <w:shd w:val="clear" w:color="auto" w:fill="auto"/>
          </w:tcPr>
          <w:p w:rsidR="00654093" w:rsidRPr="006D3F53" w:rsidRDefault="00654093" w:rsidP="00853C0F">
            <w:pPr>
              <w:spacing w:line="240" w:lineRule="auto"/>
              <w:rPr>
                <w:color w:val="000000"/>
                <w:sz w:val="16"/>
                <w:szCs w:val="16"/>
                <w:highlight w:val="yellow"/>
              </w:rPr>
            </w:pPr>
          </w:p>
        </w:tc>
        <w:tc>
          <w:tcPr>
            <w:tcW w:w="145" w:type="pct"/>
          </w:tcPr>
          <w:p w:rsidR="00654093" w:rsidRPr="00A74192" w:rsidRDefault="00654093" w:rsidP="00853C0F">
            <w:pPr>
              <w:pStyle w:val="Textpoznpodarou"/>
              <w:jc w:val="both"/>
            </w:pPr>
          </w:p>
        </w:tc>
        <w:tc>
          <w:tcPr>
            <w:tcW w:w="3834" w:type="pct"/>
            <w:gridSpan w:val="2"/>
          </w:tcPr>
          <w:p w:rsidR="00231499" w:rsidRPr="00E62A33" w:rsidRDefault="00486640" w:rsidP="00214DB7">
            <w:pPr>
              <w:pStyle w:val="Textpoznpodarou"/>
              <w:ind w:left="-124"/>
              <w:rPr>
                <w:sz w:val="16"/>
                <w:szCs w:val="16"/>
              </w:rPr>
            </w:pPr>
            <w:r>
              <w:rPr>
                <w:noProof/>
                <w:color w:val="0D0D0D" w:themeColor="text1" w:themeTint="F2"/>
                <w:spacing w:val="-4"/>
                <w:sz w:val="14"/>
                <w:szCs w:val="14"/>
              </w:rPr>
              <w:drawing>
                <wp:inline distT="0" distB="0" distL="0" distR="0">
                  <wp:extent cx="4752000" cy="3528000"/>
                  <wp:effectExtent l="19050" t="0" r="0" b="0"/>
                  <wp:docPr id="1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A59E4">
              <w:rPr>
                <w:color w:val="0D0D0D" w:themeColor="text1" w:themeTint="F2"/>
                <w:spacing w:val="-4"/>
                <w:sz w:val="14"/>
                <w:szCs w:val="14"/>
              </w:rPr>
              <w:t>*</w:t>
            </w:r>
            <w:r w:rsidR="004A59E4" w:rsidRPr="004A59E4">
              <w:rPr>
                <w:color w:val="0D0D0D" w:themeColor="text1" w:themeTint="F2"/>
                <w:spacing w:val="-4"/>
                <w:sz w:val="14"/>
                <w:szCs w:val="14"/>
                <w:lang w:val="en-GB"/>
              </w:rPr>
              <w:t>Excluding trade, financial and insurance activities, science, research and public services.</w:t>
            </w:r>
            <w:r w:rsidR="004A59E4">
              <w:rPr>
                <w:color w:val="0D0D0D" w:themeColor="text1" w:themeTint="F2"/>
                <w:spacing w:val="-4"/>
                <w:sz w:val="14"/>
                <w:szCs w:val="14"/>
              </w:rPr>
              <w:t xml:space="preserve">  </w:t>
            </w:r>
            <w:r w:rsidR="00654093">
              <w:rPr>
                <w:color w:val="0D0D0D" w:themeColor="text1" w:themeTint="F2"/>
                <w:spacing w:val="-4"/>
                <w:sz w:val="14"/>
                <w:szCs w:val="14"/>
              </w:rPr>
              <w:t xml:space="preserve">                            </w:t>
            </w:r>
            <w:r w:rsidR="00654093" w:rsidRPr="00612A06">
              <w:rPr>
                <w:color w:val="0D0D0D" w:themeColor="text1" w:themeTint="F2"/>
                <w:spacing w:val="-4"/>
                <w:sz w:val="14"/>
                <w:szCs w:val="14"/>
              </w:rPr>
              <w:t xml:space="preserve">        </w:t>
            </w:r>
            <w:proofErr w:type="spellStart"/>
            <w:r w:rsidR="00231499">
              <w:rPr>
                <w:color w:val="0D0D0D" w:themeColor="text1" w:themeTint="F2"/>
                <w:spacing w:val="-4"/>
                <w:sz w:val="14"/>
                <w:szCs w:val="14"/>
              </w:rPr>
              <w:t>Source</w:t>
            </w:r>
            <w:proofErr w:type="spellEnd"/>
            <w:r w:rsidR="00654093" w:rsidRPr="00E62A33">
              <w:rPr>
                <w:sz w:val="14"/>
                <w:szCs w:val="14"/>
              </w:rPr>
              <w:t>:</w:t>
            </w:r>
            <w:r w:rsidR="00231499">
              <w:rPr>
                <w:sz w:val="14"/>
                <w:szCs w:val="14"/>
              </w:rPr>
              <w:t xml:space="preserve"> CZSO</w:t>
            </w:r>
          </w:p>
        </w:tc>
      </w:tr>
    </w:tbl>
    <w:p w:rsidR="00654093" w:rsidRPr="00787688" w:rsidRDefault="00654093" w:rsidP="00654093">
      <w:pPr>
        <w:pStyle w:val="Textpoznpodarou"/>
        <w:jc w:val="both"/>
        <w:rPr>
          <w:sz w:val="15"/>
          <w:szCs w:val="15"/>
        </w:rPr>
      </w:pPr>
    </w:p>
    <w:tbl>
      <w:tblPr>
        <w:tblW w:w="4986" w:type="pct"/>
        <w:tblInd w:w="107" w:type="dxa"/>
        <w:tblLayout w:type="fixed"/>
        <w:tblLook w:val="00A0"/>
      </w:tblPr>
      <w:tblGrid>
        <w:gridCol w:w="1997"/>
        <w:gridCol w:w="283"/>
        <w:gridCol w:w="7546"/>
      </w:tblGrid>
      <w:tr w:rsidR="00654093" w:rsidRPr="006C5BE9" w:rsidTr="00853C0F">
        <w:tc>
          <w:tcPr>
            <w:tcW w:w="1016" w:type="pct"/>
            <w:shd w:val="clear" w:color="auto" w:fill="auto"/>
          </w:tcPr>
          <w:p w:rsidR="00654093" w:rsidRPr="00FD300F" w:rsidRDefault="00FD300F" w:rsidP="00853C0F">
            <w:pPr>
              <w:spacing w:line="240" w:lineRule="auto"/>
              <w:rPr>
                <w:color w:val="0D0D0D" w:themeColor="text1" w:themeTint="F2"/>
                <w:spacing w:val="-2"/>
                <w:sz w:val="16"/>
                <w:szCs w:val="16"/>
                <w:lang w:val="en-GB"/>
              </w:rPr>
            </w:pPr>
            <w:r w:rsidRPr="00FD300F">
              <w:rPr>
                <w:color w:val="0D0D0D" w:themeColor="text1" w:themeTint="F2"/>
                <w:spacing w:val="-2"/>
                <w:sz w:val="16"/>
                <w:szCs w:val="16"/>
                <w:lang w:val="en-GB"/>
              </w:rPr>
              <w:lastRenderedPageBreak/>
              <w:t>Growth of the retail sales was stable in the last two and half years, it mildly fluctuated just below the 6</w:t>
            </w:r>
            <w:r w:rsidR="00954C8E">
              <w:rPr>
                <w:color w:val="0D0D0D" w:themeColor="text1" w:themeTint="F2"/>
                <w:spacing w:val="-2"/>
                <w:sz w:val="16"/>
                <w:szCs w:val="16"/>
                <w:lang w:val="en-GB"/>
              </w:rPr>
              <w:t>%</w:t>
            </w:r>
            <w:r w:rsidRPr="00FD300F">
              <w:rPr>
                <w:color w:val="0D0D0D" w:themeColor="text1" w:themeTint="F2"/>
                <w:spacing w:val="-2"/>
                <w:sz w:val="16"/>
                <w:szCs w:val="16"/>
                <w:lang w:val="en-GB"/>
              </w:rPr>
              <w:t xml:space="preserve"> level. </w:t>
            </w:r>
          </w:p>
          <w:p w:rsidR="00654093" w:rsidRPr="00FD300F" w:rsidRDefault="00654093" w:rsidP="00853C0F">
            <w:pPr>
              <w:spacing w:line="240" w:lineRule="auto"/>
              <w:rPr>
                <w:color w:val="0D0D0D" w:themeColor="text1" w:themeTint="F2"/>
                <w:spacing w:val="-2"/>
                <w:sz w:val="16"/>
                <w:szCs w:val="16"/>
                <w:lang w:val="en-GB"/>
              </w:rPr>
            </w:pPr>
          </w:p>
          <w:p w:rsidR="00654093" w:rsidRPr="00FD300F" w:rsidRDefault="00654093" w:rsidP="00853C0F">
            <w:pPr>
              <w:spacing w:line="240" w:lineRule="auto"/>
              <w:rPr>
                <w:color w:val="0D0D0D" w:themeColor="text1" w:themeTint="F2"/>
                <w:spacing w:val="-2"/>
                <w:sz w:val="16"/>
                <w:szCs w:val="16"/>
                <w:lang w:val="en-GB"/>
              </w:rPr>
            </w:pPr>
          </w:p>
          <w:p w:rsidR="00654093" w:rsidRPr="00FD300F" w:rsidRDefault="00654093" w:rsidP="00853C0F">
            <w:pPr>
              <w:spacing w:line="240" w:lineRule="auto"/>
              <w:rPr>
                <w:color w:val="0D0D0D" w:themeColor="text1" w:themeTint="F2"/>
                <w:spacing w:val="-2"/>
                <w:sz w:val="16"/>
                <w:szCs w:val="16"/>
                <w:lang w:val="en-GB"/>
              </w:rPr>
            </w:pPr>
          </w:p>
          <w:p w:rsidR="00654093" w:rsidRPr="00FD300F" w:rsidRDefault="00654093" w:rsidP="00853C0F">
            <w:pPr>
              <w:spacing w:line="240" w:lineRule="auto"/>
              <w:rPr>
                <w:color w:val="0D0D0D" w:themeColor="text1" w:themeTint="F2"/>
                <w:spacing w:val="-2"/>
                <w:sz w:val="16"/>
                <w:szCs w:val="16"/>
                <w:lang w:val="en-GB"/>
              </w:rPr>
            </w:pPr>
          </w:p>
          <w:p w:rsidR="00654093" w:rsidRPr="00FD300F" w:rsidRDefault="00FD300F" w:rsidP="00853C0F">
            <w:pPr>
              <w:spacing w:line="240" w:lineRule="auto"/>
              <w:rPr>
                <w:color w:val="0D0D0D" w:themeColor="text1" w:themeTint="F2"/>
                <w:spacing w:val="-2"/>
                <w:sz w:val="16"/>
                <w:szCs w:val="16"/>
                <w:lang w:val="en-GB"/>
              </w:rPr>
            </w:pPr>
            <w:r>
              <w:rPr>
                <w:color w:val="0D0D0D" w:themeColor="text1" w:themeTint="F2"/>
                <w:spacing w:val="-2"/>
                <w:sz w:val="16"/>
                <w:szCs w:val="16"/>
                <w:lang w:val="en-GB"/>
              </w:rPr>
              <w:t xml:space="preserve">Rate of growth of sales for the non-food goods climbed the highest in the last ten years. The dynamic growth of the internet sale also continued. </w:t>
            </w:r>
          </w:p>
          <w:p w:rsidR="00654093" w:rsidRPr="00FD300F" w:rsidRDefault="00654093" w:rsidP="00853C0F">
            <w:pPr>
              <w:spacing w:line="240" w:lineRule="auto"/>
              <w:rPr>
                <w:spacing w:val="-2"/>
                <w:sz w:val="16"/>
                <w:szCs w:val="16"/>
                <w:lang w:val="en-GB"/>
              </w:rPr>
            </w:pPr>
          </w:p>
        </w:tc>
        <w:tc>
          <w:tcPr>
            <w:tcW w:w="144" w:type="pct"/>
          </w:tcPr>
          <w:p w:rsidR="00654093" w:rsidRPr="00FD300F" w:rsidRDefault="00654093" w:rsidP="00853C0F">
            <w:pPr>
              <w:rPr>
                <w:spacing w:val="-4"/>
                <w:szCs w:val="20"/>
                <w:lang w:val="en-GB"/>
              </w:rPr>
            </w:pPr>
          </w:p>
        </w:tc>
        <w:tc>
          <w:tcPr>
            <w:tcW w:w="3840" w:type="pct"/>
          </w:tcPr>
          <w:p w:rsidR="00654093" w:rsidRDefault="006C36F4" w:rsidP="00523550">
            <w:pPr>
              <w:pStyle w:val="Textpoznpodarou"/>
              <w:jc w:val="both"/>
              <w:rPr>
                <w:color w:val="000000" w:themeColor="text1"/>
                <w:spacing w:val="-4"/>
                <w:lang w:val="en-GB"/>
              </w:rPr>
            </w:pPr>
            <w:r>
              <w:rPr>
                <w:spacing w:val="-4"/>
                <w:lang w:val="en-GB"/>
              </w:rPr>
              <w:t xml:space="preserve">From the viewpoint of employees, the very favourable situation on the labour market was reflected in the swift pace of growth of the disposable incomes of households. This factor together with the more than two years lasting optimistic confidence indicator of consumers led to the high rates of growth of the retail sales. </w:t>
            </w:r>
            <w:r w:rsidR="00654093" w:rsidRPr="00FD300F">
              <w:rPr>
                <w:spacing w:val="-4"/>
                <w:lang w:val="en-GB"/>
              </w:rPr>
              <w:t>T</w:t>
            </w:r>
            <w:r>
              <w:rPr>
                <w:spacing w:val="-4"/>
                <w:lang w:val="en-GB"/>
              </w:rPr>
              <w:t>hey grew by 5.7</w:t>
            </w:r>
            <w:r w:rsidR="00954C8E">
              <w:rPr>
                <w:spacing w:val="-4"/>
                <w:lang w:val="en-GB"/>
              </w:rPr>
              <w:t>%</w:t>
            </w:r>
            <w:r>
              <w:rPr>
                <w:spacing w:val="-4"/>
                <w:lang w:val="en-GB"/>
              </w:rPr>
              <w:t xml:space="preserve"> year-on-year in Q1, by </w:t>
            </w:r>
            <w:r w:rsidR="00654093" w:rsidRPr="00FD300F">
              <w:rPr>
                <w:spacing w:val="-4"/>
                <w:lang w:val="en-GB"/>
              </w:rPr>
              <w:t>6</w:t>
            </w:r>
            <w:r>
              <w:rPr>
                <w:spacing w:val="-4"/>
                <w:lang w:val="en-GB"/>
              </w:rPr>
              <w:t>.</w:t>
            </w:r>
            <w:r w:rsidR="00654093" w:rsidRPr="00FD300F">
              <w:rPr>
                <w:spacing w:val="-4"/>
                <w:lang w:val="en-GB"/>
              </w:rPr>
              <w:t>5</w:t>
            </w:r>
            <w:r w:rsidR="00954C8E">
              <w:rPr>
                <w:spacing w:val="-4"/>
                <w:lang w:val="en-GB"/>
              </w:rPr>
              <w:t>%</w:t>
            </w:r>
            <w:r w:rsidR="00654093" w:rsidRPr="00FD300F">
              <w:rPr>
                <w:rStyle w:val="Znakapoznpodarou"/>
                <w:spacing w:val="-4"/>
                <w:lang w:val="en-GB"/>
              </w:rPr>
              <w:footnoteReference w:id="20"/>
            </w:r>
            <w:r>
              <w:rPr>
                <w:spacing w:val="-4"/>
                <w:lang w:val="en-GB"/>
              </w:rPr>
              <w:t xml:space="preserve"> in Q2</w:t>
            </w:r>
            <w:r w:rsidR="00654093" w:rsidRPr="00FD300F">
              <w:rPr>
                <w:spacing w:val="-4"/>
                <w:lang w:val="en-GB"/>
              </w:rPr>
              <w:t xml:space="preserve">. </w:t>
            </w:r>
            <w:r w:rsidR="00835B51" w:rsidRPr="00835B51">
              <w:rPr>
                <w:spacing w:val="-4"/>
                <w:lang w:val="en-US"/>
              </w:rPr>
              <w:t xml:space="preserve">The internet sellers earned by nearly one quarter more. The sales for the non-food goods the most significant by weight traditionally drove the </w:t>
            </w:r>
            <w:proofErr w:type="gramStart"/>
            <w:r w:rsidR="00835B51" w:rsidRPr="00835B51">
              <w:rPr>
                <w:spacing w:val="-4"/>
                <w:lang w:val="en-US"/>
              </w:rPr>
              <w:t>retail,</w:t>
            </w:r>
            <w:proofErr w:type="gramEnd"/>
            <w:r w:rsidR="00835B51" w:rsidRPr="00835B51">
              <w:rPr>
                <w:spacing w:val="-4"/>
                <w:lang w:val="en-US"/>
              </w:rPr>
              <w:t xml:space="preserve"> their growth climbed up to 9.4</w:t>
            </w:r>
            <w:r w:rsidR="00954C8E">
              <w:rPr>
                <w:spacing w:val="-4"/>
                <w:lang w:val="en-US"/>
              </w:rPr>
              <w:t>%</w:t>
            </w:r>
            <w:r w:rsidR="00835B51" w:rsidRPr="00835B51">
              <w:rPr>
                <w:spacing w:val="-4"/>
                <w:lang w:val="en-US"/>
              </w:rPr>
              <w:t xml:space="preserve"> (in Q2) during the year and attained the highest rate of growth since the end of year 2</w:t>
            </w:r>
            <w:r w:rsidR="00654093" w:rsidRPr="00FD300F">
              <w:rPr>
                <w:spacing w:val="-4"/>
                <w:lang w:val="en-GB"/>
              </w:rPr>
              <w:t xml:space="preserve">007. </w:t>
            </w:r>
            <w:r w:rsidR="007303CA">
              <w:rPr>
                <w:spacing w:val="-4"/>
                <w:lang w:val="en-GB"/>
              </w:rPr>
              <w:t xml:space="preserve">Mainly the </w:t>
            </w:r>
            <w:r w:rsidR="003E73E7">
              <w:rPr>
                <w:spacing w:val="-4"/>
                <w:lang w:val="en-GB"/>
              </w:rPr>
              <w:t xml:space="preserve">retail </w:t>
            </w:r>
            <w:r w:rsidR="007303CA">
              <w:rPr>
                <w:spacing w:val="-4"/>
                <w:lang w:val="en-GB"/>
              </w:rPr>
              <w:t xml:space="preserve">sales of </w:t>
            </w:r>
            <w:r w:rsidR="003E73E7">
              <w:rPr>
                <w:spacing w:val="-4"/>
                <w:lang w:val="en-GB"/>
              </w:rPr>
              <w:t>computer and communication equipment</w:t>
            </w:r>
            <w:r w:rsidR="00654093" w:rsidRPr="00FD300F">
              <w:rPr>
                <w:spacing w:val="-4"/>
                <w:lang w:val="en-GB"/>
              </w:rPr>
              <w:t xml:space="preserve">, </w:t>
            </w:r>
            <w:r w:rsidR="003E73E7">
              <w:rPr>
                <w:spacing w:val="-4"/>
                <w:lang w:val="en-GB"/>
              </w:rPr>
              <w:t xml:space="preserve">cultural and recreation goods </w:t>
            </w:r>
            <w:r w:rsidR="007303CA">
              <w:rPr>
                <w:spacing w:val="-4"/>
                <w:lang w:val="en-GB"/>
              </w:rPr>
              <w:t>fared the best in H</w:t>
            </w:r>
            <w:r w:rsidR="007303CA" w:rsidRPr="00FD300F">
              <w:rPr>
                <w:spacing w:val="-4"/>
                <w:lang w:val="en-GB"/>
              </w:rPr>
              <w:t>1</w:t>
            </w:r>
            <w:r w:rsidR="00BA6D2C" w:rsidRPr="00FD300F">
              <w:rPr>
                <w:spacing w:val="-4"/>
                <w:lang w:val="en-GB"/>
              </w:rPr>
              <w:t xml:space="preserve">. </w:t>
            </w:r>
            <w:r w:rsidR="00A67959">
              <w:rPr>
                <w:spacing w:val="-4"/>
                <w:lang w:val="en-GB"/>
              </w:rPr>
              <w:t xml:space="preserve">The retail with </w:t>
            </w:r>
            <w:r w:rsidR="003E73E7">
              <w:rPr>
                <w:spacing w:val="-4"/>
                <w:lang w:val="en-GB"/>
              </w:rPr>
              <w:t>clothes, footwear and leather goods (</w:t>
            </w:r>
            <w:r w:rsidR="00654093" w:rsidRPr="00FD300F">
              <w:rPr>
                <w:spacing w:val="-4"/>
                <w:lang w:val="en-GB"/>
              </w:rPr>
              <w:t>10</w:t>
            </w:r>
            <w:r w:rsidR="00A67959">
              <w:rPr>
                <w:spacing w:val="-4"/>
                <w:lang w:val="en-GB"/>
              </w:rPr>
              <w:t>.</w:t>
            </w:r>
            <w:r w:rsidR="00654093" w:rsidRPr="00FD300F">
              <w:rPr>
                <w:spacing w:val="-4"/>
                <w:lang w:val="en-GB"/>
              </w:rPr>
              <w:t>6</w:t>
            </w:r>
            <w:r w:rsidR="00954C8E">
              <w:rPr>
                <w:spacing w:val="-4"/>
                <w:lang w:val="en-GB"/>
              </w:rPr>
              <w:t>%</w:t>
            </w:r>
            <w:r w:rsidR="00654093" w:rsidRPr="00FD300F">
              <w:rPr>
                <w:spacing w:val="-4"/>
                <w:lang w:val="en-GB"/>
              </w:rPr>
              <w:t>)</w:t>
            </w:r>
            <w:r w:rsidR="00A67959">
              <w:rPr>
                <w:spacing w:val="-4"/>
                <w:lang w:val="en-GB"/>
              </w:rPr>
              <w:t xml:space="preserve"> also considerably revived</w:t>
            </w:r>
            <w:r w:rsidR="00654093" w:rsidRPr="00FD300F">
              <w:rPr>
                <w:spacing w:val="-4"/>
                <w:lang w:val="en-GB"/>
              </w:rPr>
              <w:t xml:space="preserve">. </w:t>
            </w:r>
            <w:r w:rsidR="00A67959">
              <w:rPr>
                <w:spacing w:val="-4"/>
                <w:lang w:val="en-GB"/>
              </w:rPr>
              <w:t xml:space="preserve">Sales for food decreased compared to the rates of growth from the first half of the last year </w:t>
            </w:r>
            <w:r w:rsidR="00654093" w:rsidRPr="00FD300F">
              <w:rPr>
                <w:color w:val="000000" w:themeColor="text1"/>
                <w:spacing w:val="-4"/>
                <w:lang w:val="en-GB"/>
              </w:rPr>
              <w:t>(</w:t>
            </w:r>
            <w:r w:rsidR="00A67959">
              <w:rPr>
                <w:color w:val="000000" w:themeColor="text1"/>
                <w:spacing w:val="-4"/>
                <w:lang w:val="en-GB"/>
              </w:rPr>
              <w:t xml:space="preserve">to </w:t>
            </w:r>
            <w:r w:rsidR="00654093" w:rsidRPr="00FD300F">
              <w:rPr>
                <w:color w:val="000000" w:themeColor="text1"/>
                <w:spacing w:val="-4"/>
                <w:lang w:val="en-GB"/>
              </w:rPr>
              <w:t>+2</w:t>
            </w:r>
            <w:r w:rsidR="00A67959">
              <w:rPr>
                <w:color w:val="000000" w:themeColor="text1"/>
                <w:spacing w:val="-4"/>
                <w:lang w:val="en-GB"/>
              </w:rPr>
              <w:t>.</w:t>
            </w:r>
            <w:r w:rsidR="00654093" w:rsidRPr="00FD300F">
              <w:rPr>
                <w:color w:val="000000" w:themeColor="text1"/>
                <w:spacing w:val="-4"/>
                <w:lang w:val="en-GB"/>
              </w:rPr>
              <w:t>4</w:t>
            </w:r>
            <w:r w:rsidR="00954C8E">
              <w:rPr>
                <w:color w:val="000000" w:themeColor="text1"/>
                <w:spacing w:val="-4"/>
                <w:lang w:val="en-GB"/>
              </w:rPr>
              <w:t>%</w:t>
            </w:r>
            <w:r w:rsidR="00654093" w:rsidRPr="00FD300F">
              <w:rPr>
                <w:color w:val="000000" w:themeColor="text1"/>
                <w:spacing w:val="-4"/>
                <w:lang w:val="en-GB"/>
              </w:rPr>
              <w:t xml:space="preserve">), </w:t>
            </w:r>
            <w:r w:rsidR="00A67959">
              <w:rPr>
                <w:color w:val="000000" w:themeColor="text1"/>
                <w:spacing w:val="-4"/>
                <w:lang w:val="en-GB"/>
              </w:rPr>
              <w:t xml:space="preserve">the same was also valid for the sellers of fuels </w:t>
            </w:r>
            <w:r w:rsidR="00654093" w:rsidRPr="00FD300F">
              <w:rPr>
                <w:color w:val="000000" w:themeColor="text1"/>
                <w:spacing w:val="-4"/>
                <w:lang w:val="en-GB"/>
              </w:rPr>
              <w:t>(+4</w:t>
            </w:r>
            <w:r w:rsidR="00A67959">
              <w:rPr>
                <w:color w:val="000000" w:themeColor="text1"/>
                <w:spacing w:val="-4"/>
                <w:lang w:val="en-GB"/>
              </w:rPr>
              <w:t>.</w:t>
            </w:r>
            <w:r w:rsidR="00654093" w:rsidRPr="00FD300F">
              <w:rPr>
                <w:color w:val="000000" w:themeColor="text1"/>
                <w:spacing w:val="-4"/>
                <w:lang w:val="en-GB"/>
              </w:rPr>
              <w:t>8</w:t>
            </w:r>
            <w:r w:rsidR="00954C8E">
              <w:rPr>
                <w:color w:val="000000" w:themeColor="text1"/>
                <w:spacing w:val="-4"/>
                <w:lang w:val="en-GB"/>
              </w:rPr>
              <w:t>%</w:t>
            </w:r>
            <w:r w:rsidR="00654093" w:rsidRPr="00FD300F">
              <w:rPr>
                <w:color w:val="000000" w:themeColor="text1"/>
                <w:spacing w:val="-4"/>
                <w:lang w:val="en-GB"/>
              </w:rPr>
              <w:t xml:space="preserve">, </w:t>
            </w:r>
            <w:r w:rsidR="00A67959">
              <w:rPr>
                <w:color w:val="000000" w:themeColor="text1"/>
                <w:spacing w:val="-4"/>
                <w:lang w:val="en-GB"/>
              </w:rPr>
              <w:t xml:space="preserve">from last year´s </w:t>
            </w:r>
            <w:r w:rsidR="00654093" w:rsidRPr="00FD300F">
              <w:rPr>
                <w:color w:val="000000" w:themeColor="text1"/>
                <w:spacing w:val="-4"/>
                <w:lang w:val="en-GB"/>
              </w:rPr>
              <w:t>+7</w:t>
            </w:r>
            <w:r w:rsidR="00A67959">
              <w:rPr>
                <w:color w:val="000000" w:themeColor="text1"/>
                <w:spacing w:val="-4"/>
                <w:lang w:val="en-GB"/>
              </w:rPr>
              <w:t>.</w:t>
            </w:r>
            <w:r w:rsidR="00654093" w:rsidRPr="00FD300F">
              <w:rPr>
                <w:color w:val="000000" w:themeColor="text1"/>
                <w:spacing w:val="-4"/>
                <w:lang w:val="en-GB"/>
              </w:rPr>
              <w:t>2</w:t>
            </w:r>
            <w:r w:rsidR="00954C8E">
              <w:rPr>
                <w:color w:val="000000" w:themeColor="text1"/>
                <w:spacing w:val="-4"/>
                <w:lang w:val="en-GB"/>
              </w:rPr>
              <w:t>%</w:t>
            </w:r>
            <w:r w:rsidR="00654093" w:rsidRPr="00FD300F">
              <w:rPr>
                <w:color w:val="000000" w:themeColor="text1"/>
                <w:spacing w:val="-4"/>
                <w:lang w:val="en-GB"/>
              </w:rPr>
              <w:t xml:space="preserve">). </w:t>
            </w:r>
            <w:r w:rsidR="00A67959">
              <w:rPr>
                <w:color w:val="000000" w:themeColor="text1"/>
                <w:spacing w:val="-4"/>
                <w:lang w:val="en-GB"/>
              </w:rPr>
              <w:t xml:space="preserve">The total retail sales grew by more than double pace in the CR in H1 compared to the EU </w:t>
            </w:r>
            <w:r w:rsidR="00654093" w:rsidRPr="00FD300F">
              <w:rPr>
                <w:color w:val="000000" w:themeColor="text1"/>
                <w:spacing w:val="-4"/>
                <w:lang w:val="en-GB"/>
              </w:rPr>
              <w:t>(+2</w:t>
            </w:r>
            <w:r w:rsidR="00A67959">
              <w:rPr>
                <w:color w:val="000000" w:themeColor="text1"/>
                <w:spacing w:val="-4"/>
                <w:lang w:val="en-GB"/>
              </w:rPr>
              <w:t>.</w:t>
            </w:r>
            <w:r w:rsidR="00654093" w:rsidRPr="00FD300F">
              <w:rPr>
                <w:color w:val="000000" w:themeColor="text1"/>
                <w:spacing w:val="-4"/>
                <w:lang w:val="en-GB"/>
              </w:rPr>
              <w:t>7</w:t>
            </w:r>
            <w:r w:rsidR="00954C8E">
              <w:rPr>
                <w:color w:val="000000" w:themeColor="text1"/>
                <w:spacing w:val="-4"/>
                <w:lang w:val="en-GB"/>
              </w:rPr>
              <w:t>%</w:t>
            </w:r>
            <w:r w:rsidR="00654093" w:rsidRPr="00FD300F">
              <w:rPr>
                <w:color w:val="000000" w:themeColor="text1"/>
                <w:spacing w:val="-4"/>
                <w:lang w:val="en-GB"/>
              </w:rPr>
              <w:t xml:space="preserve">). </w:t>
            </w:r>
            <w:r w:rsidR="00A67959">
              <w:rPr>
                <w:color w:val="000000" w:themeColor="text1"/>
                <w:spacing w:val="-4"/>
                <w:lang w:val="en-GB"/>
              </w:rPr>
              <w:t xml:space="preserve">The CR thus ranked on the sixth position among countries (fourth for the non-food goods). </w:t>
            </w:r>
            <w:r w:rsidR="004F7990">
              <w:rPr>
                <w:color w:val="000000" w:themeColor="text1"/>
                <w:spacing w:val="-4"/>
                <w:lang w:val="en-GB"/>
              </w:rPr>
              <w:t xml:space="preserve">The core of growth was in the EU located in countries of Central and Eastern Europe. </w:t>
            </w:r>
            <w:r w:rsidR="00523550">
              <w:rPr>
                <w:color w:val="000000" w:themeColor="text1"/>
                <w:spacing w:val="-4"/>
                <w:lang w:val="en-GB"/>
              </w:rPr>
              <w:t>Retail grew slightly above 3</w:t>
            </w:r>
            <w:r w:rsidR="00954C8E">
              <w:rPr>
                <w:color w:val="000000" w:themeColor="text1"/>
                <w:spacing w:val="-4"/>
                <w:lang w:val="en-GB"/>
              </w:rPr>
              <w:t>%</w:t>
            </w:r>
            <w:r w:rsidR="00523550">
              <w:rPr>
                <w:color w:val="000000" w:themeColor="text1"/>
                <w:spacing w:val="-4"/>
                <w:lang w:val="en-GB"/>
              </w:rPr>
              <w:t xml:space="preserve"> in Germany as well as France, Belgium, Denmark, Italy and Spain recorded growth below 1.5</w:t>
            </w:r>
            <w:r w:rsidR="00954C8E">
              <w:rPr>
                <w:color w:val="000000" w:themeColor="text1"/>
                <w:spacing w:val="-4"/>
                <w:lang w:val="en-GB"/>
              </w:rPr>
              <w:t>%</w:t>
            </w:r>
            <w:r w:rsidR="00523550">
              <w:rPr>
                <w:color w:val="000000" w:themeColor="text1"/>
                <w:spacing w:val="-4"/>
                <w:lang w:val="en-GB"/>
              </w:rPr>
              <w:t>.</w:t>
            </w:r>
          </w:p>
          <w:p w:rsidR="00523550" w:rsidRPr="00FD300F" w:rsidRDefault="00523550" w:rsidP="00523550">
            <w:pPr>
              <w:pStyle w:val="Textpoznpodarou"/>
              <w:jc w:val="both"/>
              <w:rPr>
                <w:color w:val="000000" w:themeColor="text1"/>
                <w:spacing w:val="-4"/>
                <w:lang w:val="en-GB"/>
              </w:rPr>
            </w:pPr>
          </w:p>
        </w:tc>
      </w:tr>
    </w:tbl>
    <w:p w:rsidR="00813CB4" w:rsidRPr="00654093" w:rsidRDefault="00813CB4" w:rsidP="00492991">
      <w:pPr>
        <w:pStyle w:val="Textpoznpodarou"/>
        <w:jc w:val="both"/>
        <w:rPr>
          <w:sz w:val="2"/>
          <w:szCs w:val="2"/>
        </w:rPr>
      </w:pPr>
    </w:p>
    <w:p w:rsidR="00DD0726" w:rsidRPr="00E22561" w:rsidRDefault="00F76217" w:rsidP="00DD0726">
      <w:pPr>
        <w:pStyle w:val="Nadpis1"/>
        <w:numPr>
          <w:ilvl w:val="0"/>
          <w:numId w:val="12"/>
        </w:numPr>
        <w:ind w:left="709"/>
        <w:jc w:val="both"/>
        <w:rPr>
          <w:lang w:val="en-GB"/>
        </w:rPr>
      </w:pPr>
      <w:bookmarkStart w:id="10" w:name="_Toc469299932"/>
      <w:bookmarkStart w:id="11" w:name="_Toc493683636"/>
      <w:bookmarkStart w:id="12" w:name="_Toc469299933"/>
      <w:r w:rsidRPr="00E22561">
        <w:rPr>
          <w:lang w:val="en-GB"/>
        </w:rPr>
        <w:t>External Economic Relations</w:t>
      </w:r>
      <w:bookmarkEnd w:id="10"/>
      <w:bookmarkEnd w:id="11"/>
    </w:p>
    <w:tbl>
      <w:tblPr>
        <w:tblW w:w="4963" w:type="pct"/>
        <w:tblInd w:w="108" w:type="dxa"/>
        <w:tblLayout w:type="fixed"/>
        <w:tblLook w:val="00A0"/>
      </w:tblPr>
      <w:tblGrid>
        <w:gridCol w:w="1985"/>
        <w:gridCol w:w="282"/>
        <w:gridCol w:w="1135"/>
        <w:gridCol w:w="143"/>
        <w:gridCol w:w="2533"/>
        <w:gridCol w:w="3703"/>
      </w:tblGrid>
      <w:tr w:rsidR="009F62C9" w:rsidRPr="00A74192" w:rsidTr="009F62C9">
        <w:trPr>
          <w:trHeight w:val="1722"/>
        </w:trPr>
        <w:tc>
          <w:tcPr>
            <w:tcW w:w="1015" w:type="pct"/>
          </w:tcPr>
          <w:p w:rsidR="009F62C9" w:rsidRPr="00F76217" w:rsidRDefault="009F62C9" w:rsidP="006C36F4">
            <w:pPr>
              <w:spacing w:line="240" w:lineRule="auto"/>
              <w:rPr>
                <w:sz w:val="16"/>
                <w:szCs w:val="16"/>
                <w:lang w:val="en-GB"/>
              </w:rPr>
            </w:pPr>
            <w:r w:rsidRPr="00F76217">
              <w:rPr>
                <w:sz w:val="16"/>
                <w:szCs w:val="16"/>
                <w:lang w:val="en-GB"/>
              </w:rPr>
              <w:t xml:space="preserve">The current account of the balance of payments again attained a surplus.  </w:t>
            </w:r>
          </w:p>
        </w:tc>
        <w:tc>
          <w:tcPr>
            <w:tcW w:w="144" w:type="pct"/>
          </w:tcPr>
          <w:p w:rsidR="009F62C9" w:rsidRPr="00F76217" w:rsidRDefault="009F62C9" w:rsidP="00260FBE">
            <w:pPr>
              <w:pStyle w:val="Textpoznpodarou"/>
              <w:jc w:val="both"/>
              <w:rPr>
                <w:color w:val="FF0000"/>
                <w:highlight w:val="yellow"/>
                <w:lang w:val="en-GB"/>
              </w:rPr>
            </w:pPr>
          </w:p>
        </w:tc>
        <w:tc>
          <w:tcPr>
            <w:tcW w:w="3841" w:type="pct"/>
            <w:gridSpan w:val="4"/>
          </w:tcPr>
          <w:p w:rsidR="009F62C9" w:rsidRDefault="009F62C9" w:rsidP="00260FBE">
            <w:pPr>
              <w:pStyle w:val="Textpoznpodarou"/>
              <w:jc w:val="both"/>
              <w:rPr>
                <w:spacing w:val="-4"/>
                <w:lang w:val="en-GB"/>
              </w:rPr>
            </w:pPr>
            <w:r>
              <w:rPr>
                <w:spacing w:val="-4"/>
                <w:lang w:val="en-GB"/>
              </w:rPr>
              <w:t xml:space="preserve">The balance of the current account of the balance of payments reached 90.0 CZK </w:t>
            </w:r>
            <w:proofErr w:type="spellStart"/>
            <w:r>
              <w:rPr>
                <w:spacing w:val="-4"/>
                <w:lang w:val="en-GB"/>
              </w:rPr>
              <w:t>bn</w:t>
            </w:r>
            <w:proofErr w:type="spellEnd"/>
            <w:r>
              <w:rPr>
                <w:spacing w:val="-4"/>
                <w:lang w:val="en-GB"/>
              </w:rPr>
              <w:t xml:space="preserve"> in H</w:t>
            </w:r>
            <w:r w:rsidRPr="00F76217">
              <w:rPr>
                <w:spacing w:val="-4"/>
                <w:lang w:val="en-GB"/>
              </w:rPr>
              <w:t>1</w:t>
            </w:r>
            <w:r>
              <w:rPr>
                <w:spacing w:val="-4"/>
                <w:lang w:val="en-GB"/>
              </w:rPr>
              <w:t xml:space="preserve"> </w:t>
            </w:r>
            <w:r w:rsidRPr="00F76217">
              <w:rPr>
                <w:spacing w:val="-4"/>
                <w:lang w:val="en-GB"/>
              </w:rPr>
              <w:t>2017</w:t>
            </w:r>
            <w:r>
              <w:rPr>
                <w:spacing w:val="-4"/>
                <w:lang w:val="en-GB"/>
              </w:rPr>
              <w:t xml:space="preserve"> and lowered by 8.3 CZK </w:t>
            </w:r>
            <w:proofErr w:type="spellStart"/>
            <w:r>
              <w:rPr>
                <w:spacing w:val="-4"/>
                <w:lang w:val="en-GB"/>
              </w:rPr>
              <w:t>bn</w:t>
            </w:r>
            <w:proofErr w:type="spellEnd"/>
            <w:r>
              <w:rPr>
                <w:spacing w:val="-4"/>
                <w:lang w:val="en-GB"/>
              </w:rPr>
              <w:t xml:space="preserve"> </w:t>
            </w:r>
            <w:proofErr w:type="gramStart"/>
            <w:r>
              <w:rPr>
                <w:spacing w:val="-4"/>
                <w:lang w:val="en-GB"/>
              </w:rPr>
              <w:t>year-on-year</w:t>
            </w:r>
            <w:proofErr w:type="gramEnd"/>
            <w:r>
              <w:rPr>
                <w:spacing w:val="-4"/>
                <w:lang w:val="en-GB"/>
              </w:rPr>
              <w:t xml:space="preserve">. The surplus of trade with goods remained practically unchanged and reached </w:t>
            </w:r>
            <w:r w:rsidRPr="00F76217">
              <w:rPr>
                <w:spacing w:val="-4"/>
                <w:lang w:val="en-GB"/>
              </w:rPr>
              <w:t>165</w:t>
            </w:r>
            <w:r>
              <w:rPr>
                <w:spacing w:val="-4"/>
                <w:lang w:val="en-GB"/>
              </w:rPr>
              <w:t>.</w:t>
            </w:r>
            <w:r w:rsidRPr="00F76217">
              <w:rPr>
                <w:spacing w:val="-4"/>
                <w:lang w:val="en-GB"/>
              </w:rPr>
              <w:t xml:space="preserve">5 </w:t>
            </w:r>
            <w:proofErr w:type="spellStart"/>
            <w:r>
              <w:rPr>
                <w:spacing w:val="-4"/>
                <w:lang w:val="en-GB"/>
              </w:rPr>
              <w:t>bn</w:t>
            </w:r>
            <w:proofErr w:type="spellEnd"/>
            <w:r w:rsidRPr="00F76217">
              <w:rPr>
                <w:spacing w:val="-4"/>
                <w:lang w:val="en-GB"/>
              </w:rPr>
              <w:t xml:space="preserve">, </w:t>
            </w:r>
            <w:r>
              <w:rPr>
                <w:spacing w:val="-4"/>
                <w:lang w:val="en-GB"/>
              </w:rPr>
              <w:t xml:space="preserve">surplus of the trade with services increased by </w:t>
            </w:r>
            <w:r w:rsidRPr="00F76217">
              <w:rPr>
                <w:spacing w:val="-4"/>
                <w:lang w:val="en-GB"/>
              </w:rPr>
              <w:t>7</w:t>
            </w:r>
            <w:r>
              <w:rPr>
                <w:spacing w:val="-4"/>
                <w:lang w:val="en-GB"/>
              </w:rPr>
              <w:t>.</w:t>
            </w:r>
            <w:r w:rsidRPr="00F76217">
              <w:rPr>
                <w:spacing w:val="-4"/>
                <w:lang w:val="en-GB"/>
              </w:rPr>
              <w:t xml:space="preserve">6 </w:t>
            </w:r>
            <w:r>
              <w:rPr>
                <w:spacing w:val="-4"/>
                <w:lang w:val="en-GB"/>
              </w:rPr>
              <w:t>CZK bn</w:t>
            </w:r>
            <w:r w:rsidRPr="00F76217">
              <w:rPr>
                <w:spacing w:val="-4"/>
                <w:lang w:val="en-GB"/>
              </w:rPr>
              <w:t xml:space="preserve">. </w:t>
            </w:r>
            <w:r>
              <w:rPr>
                <w:spacing w:val="-4"/>
                <w:lang w:val="en-GB"/>
              </w:rPr>
              <w:t xml:space="preserve">The balance of primary incomes worked in the direction of the deficit </w:t>
            </w:r>
            <w:r w:rsidRPr="00F76217">
              <w:rPr>
                <w:spacing w:val="-4"/>
                <w:lang w:val="en-GB"/>
              </w:rPr>
              <w:t>(</w:t>
            </w:r>
            <w:r>
              <w:rPr>
                <w:spacing w:val="-4"/>
                <w:lang w:val="en-GB"/>
              </w:rPr>
              <w:t xml:space="preserve">reached </w:t>
            </w:r>
            <w:r w:rsidRPr="00F76217">
              <w:rPr>
                <w:spacing w:val="-4"/>
                <w:lang w:val="en-GB"/>
              </w:rPr>
              <w:t>102</w:t>
            </w:r>
            <w:r>
              <w:rPr>
                <w:spacing w:val="-4"/>
                <w:lang w:val="en-GB"/>
              </w:rPr>
              <w:t>.</w:t>
            </w:r>
            <w:r w:rsidRPr="00F76217">
              <w:rPr>
                <w:spacing w:val="-4"/>
                <w:lang w:val="en-GB"/>
              </w:rPr>
              <w:t>1 </w:t>
            </w:r>
            <w:r>
              <w:rPr>
                <w:spacing w:val="-4"/>
                <w:lang w:val="en-GB"/>
              </w:rPr>
              <w:t xml:space="preserve">CZK </w:t>
            </w:r>
            <w:proofErr w:type="spellStart"/>
            <w:r>
              <w:rPr>
                <w:spacing w:val="-4"/>
                <w:lang w:val="en-GB"/>
              </w:rPr>
              <w:t>bn</w:t>
            </w:r>
            <w:proofErr w:type="spellEnd"/>
            <w:r>
              <w:rPr>
                <w:spacing w:val="-4"/>
                <w:lang w:val="en-GB"/>
              </w:rPr>
              <w:t xml:space="preserve">, year-on-year it lowered by </w:t>
            </w:r>
            <w:r w:rsidRPr="00F76217">
              <w:rPr>
                <w:spacing w:val="-4"/>
                <w:lang w:val="en-GB"/>
              </w:rPr>
              <w:t>9</w:t>
            </w:r>
            <w:r>
              <w:rPr>
                <w:spacing w:val="-4"/>
                <w:lang w:val="en-GB"/>
              </w:rPr>
              <w:t>.</w:t>
            </w:r>
            <w:r w:rsidRPr="00F76217">
              <w:rPr>
                <w:spacing w:val="-4"/>
                <w:lang w:val="en-GB"/>
              </w:rPr>
              <w:t xml:space="preserve">5 </w:t>
            </w:r>
            <w:proofErr w:type="spellStart"/>
            <w:r>
              <w:rPr>
                <w:spacing w:val="-4"/>
                <w:lang w:val="en-GB"/>
              </w:rPr>
              <w:t>bn</w:t>
            </w:r>
            <w:proofErr w:type="spellEnd"/>
            <w:r w:rsidRPr="00F76217">
              <w:rPr>
                <w:spacing w:val="-4"/>
                <w:lang w:val="en-GB"/>
              </w:rPr>
              <w:t xml:space="preserve">), </w:t>
            </w:r>
            <w:r>
              <w:rPr>
                <w:spacing w:val="-4"/>
                <w:lang w:val="en-GB"/>
              </w:rPr>
              <w:t xml:space="preserve">the outflow of income from investment participated the most on this result. </w:t>
            </w:r>
            <w:r w:rsidRPr="00F76217">
              <w:rPr>
                <w:spacing w:val="-4"/>
                <w:lang w:val="en-GB"/>
              </w:rPr>
              <w:t>T</w:t>
            </w:r>
            <w:r>
              <w:rPr>
                <w:spacing w:val="-4"/>
                <w:lang w:val="en-GB"/>
              </w:rPr>
              <w:t xml:space="preserve">his outflow amounted to </w:t>
            </w:r>
            <w:r w:rsidRPr="00F76217">
              <w:rPr>
                <w:spacing w:val="-4"/>
                <w:lang w:val="en-GB"/>
              </w:rPr>
              <w:t>143</w:t>
            </w:r>
            <w:r>
              <w:rPr>
                <w:spacing w:val="-4"/>
                <w:lang w:val="en-GB"/>
              </w:rPr>
              <w:t>.</w:t>
            </w:r>
            <w:r w:rsidRPr="00F76217">
              <w:rPr>
                <w:spacing w:val="-4"/>
                <w:lang w:val="en-GB"/>
              </w:rPr>
              <w:t xml:space="preserve">7 </w:t>
            </w:r>
            <w:r>
              <w:rPr>
                <w:spacing w:val="-4"/>
                <w:lang w:val="en-GB"/>
              </w:rPr>
              <w:t xml:space="preserve">CZK </w:t>
            </w:r>
            <w:proofErr w:type="spellStart"/>
            <w:r>
              <w:rPr>
                <w:spacing w:val="-4"/>
                <w:lang w:val="en-GB"/>
              </w:rPr>
              <w:t>bn</w:t>
            </w:r>
            <w:proofErr w:type="spellEnd"/>
            <w:r>
              <w:rPr>
                <w:spacing w:val="-4"/>
                <w:lang w:val="en-GB"/>
              </w:rPr>
              <w:t xml:space="preserve"> in H1</w:t>
            </w:r>
            <w:r w:rsidRPr="00F76217">
              <w:rPr>
                <w:spacing w:val="-4"/>
                <w:lang w:val="en-GB"/>
              </w:rPr>
              <w:t xml:space="preserve">. </w:t>
            </w:r>
            <w:r>
              <w:rPr>
                <w:spacing w:val="-4"/>
                <w:lang w:val="en-GB"/>
              </w:rPr>
              <w:t xml:space="preserve">The deficit of the secondary incomes deepened by </w:t>
            </w:r>
            <w:r w:rsidRPr="00F76217">
              <w:rPr>
                <w:spacing w:val="-4"/>
                <w:lang w:val="en-GB"/>
              </w:rPr>
              <w:t>25</w:t>
            </w:r>
            <w:r>
              <w:rPr>
                <w:spacing w:val="-4"/>
                <w:lang w:val="en-GB"/>
              </w:rPr>
              <w:t>.</w:t>
            </w:r>
            <w:r w:rsidRPr="00F76217">
              <w:rPr>
                <w:spacing w:val="-4"/>
                <w:lang w:val="en-GB"/>
              </w:rPr>
              <w:t xml:space="preserve">7 </w:t>
            </w:r>
            <w:r>
              <w:rPr>
                <w:spacing w:val="-4"/>
                <w:lang w:val="en-GB"/>
              </w:rPr>
              <w:t xml:space="preserve">bn. The financial account balance ended in surplus of </w:t>
            </w:r>
            <w:r w:rsidRPr="00F76217">
              <w:rPr>
                <w:spacing w:val="-4"/>
                <w:lang w:val="en-GB"/>
              </w:rPr>
              <w:t>123</w:t>
            </w:r>
            <w:r>
              <w:rPr>
                <w:spacing w:val="-4"/>
                <w:lang w:val="en-GB"/>
              </w:rPr>
              <w:t>.</w:t>
            </w:r>
            <w:r w:rsidRPr="00F76217">
              <w:rPr>
                <w:spacing w:val="-4"/>
                <w:lang w:val="en-GB"/>
              </w:rPr>
              <w:t>6 </w:t>
            </w:r>
            <w:r>
              <w:rPr>
                <w:spacing w:val="-4"/>
                <w:lang w:val="en-GB"/>
              </w:rPr>
              <w:t xml:space="preserve">CZK </w:t>
            </w:r>
            <w:proofErr w:type="spellStart"/>
            <w:r>
              <w:rPr>
                <w:spacing w:val="-4"/>
                <w:lang w:val="en-GB"/>
              </w:rPr>
              <w:t>bn</w:t>
            </w:r>
            <w:proofErr w:type="spellEnd"/>
            <w:r>
              <w:rPr>
                <w:spacing w:val="-4"/>
                <w:lang w:val="en-GB"/>
              </w:rPr>
              <w:t xml:space="preserve"> in H1</w:t>
            </w:r>
            <w:r w:rsidRPr="00F76217">
              <w:rPr>
                <w:spacing w:val="-4"/>
                <w:lang w:val="en-GB"/>
              </w:rPr>
              <w:t xml:space="preserve"> (96</w:t>
            </w:r>
            <w:r>
              <w:rPr>
                <w:spacing w:val="-4"/>
                <w:lang w:val="en-GB"/>
              </w:rPr>
              <w:t>.</w:t>
            </w:r>
            <w:r w:rsidRPr="00F76217">
              <w:rPr>
                <w:spacing w:val="-4"/>
                <w:lang w:val="en-GB"/>
              </w:rPr>
              <w:t xml:space="preserve">3 </w:t>
            </w:r>
            <w:proofErr w:type="spellStart"/>
            <w:r>
              <w:rPr>
                <w:spacing w:val="-4"/>
                <w:lang w:val="en-GB"/>
              </w:rPr>
              <w:t>bn</w:t>
            </w:r>
            <w:proofErr w:type="spellEnd"/>
            <w:r>
              <w:rPr>
                <w:spacing w:val="-4"/>
                <w:lang w:val="en-GB"/>
              </w:rPr>
              <w:t xml:space="preserve"> in Q</w:t>
            </w:r>
            <w:r w:rsidRPr="00F76217">
              <w:rPr>
                <w:spacing w:val="-4"/>
                <w:lang w:val="en-GB"/>
              </w:rPr>
              <w:t>1</w:t>
            </w:r>
            <w:r>
              <w:rPr>
                <w:spacing w:val="-4"/>
                <w:lang w:val="en-GB"/>
              </w:rPr>
              <w:t xml:space="preserve"> and </w:t>
            </w:r>
            <w:r w:rsidRPr="00F76217">
              <w:rPr>
                <w:spacing w:val="-4"/>
                <w:lang w:val="en-GB"/>
              </w:rPr>
              <w:t>27</w:t>
            </w:r>
            <w:r>
              <w:rPr>
                <w:spacing w:val="-4"/>
                <w:lang w:val="en-GB"/>
              </w:rPr>
              <w:t>.</w:t>
            </w:r>
            <w:r w:rsidRPr="00F76217">
              <w:rPr>
                <w:spacing w:val="-4"/>
                <w:lang w:val="en-GB"/>
              </w:rPr>
              <w:t xml:space="preserve">3 </w:t>
            </w:r>
            <w:proofErr w:type="spellStart"/>
            <w:r>
              <w:rPr>
                <w:spacing w:val="-4"/>
                <w:lang w:val="en-GB"/>
              </w:rPr>
              <w:t>bn</w:t>
            </w:r>
            <w:proofErr w:type="spellEnd"/>
            <w:r>
              <w:rPr>
                <w:spacing w:val="-4"/>
                <w:lang w:val="en-GB"/>
              </w:rPr>
              <w:t xml:space="preserve"> in Q</w:t>
            </w:r>
            <w:r w:rsidRPr="00F76217">
              <w:rPr>
                <w:spacing w:val="-4"/>
                <w:lang w:val="en-GB"/>
              </w:rPr>
              <w:t xml:space="preserve">2). </w:t>
            </w:r>
            <w:r>
              <w:rPr>
                <w:spacing w:val="-4"/>
                <w:lang w:val="en-GB"/>
              </w:rPr>
              <w:t xml:space="preserve">The April end of the regime of intervention however created a break between Q1 and Q2. The flows on the financial account, whose size several times increased the long-term average in Q1, halted in Q2. The increase of the reserve assets still worked in the direction of surplus, however it was one tenth compared to Q1. </w:t>
            </w:r>
            <w:r w:rsidR="000E53BD" w:rsidRPr="000E53BD">
              <w:rPr>
                <w:spacing w:val="-5"/>
                <w:lang w:val="en-GB"/>
              </w:rPr>
              <w:t xml:space="preserve">The net inflow of portfolio investment decreased and amounted to 353.8 </w:t>
            </w:r>
            <w:proofErr w:type="spellStart"/>
            <w:r w:rsidR="000E53BD" w:rsidRPr="000E53BD">
              <w:rPr>
                <w:spacing w:val="-5"/>
                <w:lang w:val="en-GB"/>
              </w:rPr>
              <w:t>bn</w:t>
            </w:r>
            <w:proofErr w:type="spellEnd"/>
            <w:r w:rsidR="000E53BD" w:rsidRPr="000E53BD">
              <w:rPr>
                <w:spacing w:val="-5"/>
                <w:lang w:val="en-GB"/>
              </w:rPr>
              <w:t xml:space="preserve"> in Q1. The net inflow in the amount of 45.9 CZK </w:t>
            </w:r>
            <w:proofErr w:type="spellStart"/>
            <w:r w:rsidR="000E53BD" w:rsidRPr="000E53BD">
              <w:rPr>
                <w:spacing w:val="-5"/>
                <w:lang w:val="en-GB"/>
              </w:rPr>
              <w:t>bn</w:t>
            </w:r>
            <w:proofErr w:type="spellEnd"/>
            <w:r w:rsidR="000E53BD" w:rsidRPr="000E53BD">
              <w:rPr>
                <w:spacing w:val="-5"/>
                <w:lang w:val="en-GB"/>
              </w:rPr>
              <w:t xml:space="preserve"> manifested in Q2. The net inflow of other investment also reduced to less than one thirtieth quarter-on-quarter. </w:t>
            </w:r>
          </w:p>
          <w:p w:rsidR="009F62C9" w:rsidRPr="00F76217" w:rsidRDefault="009F62C9" w:rsidP="00260FBE">
            <w:pPr>
              <w:pStyle w:val="Textpoznpodarou"/>
              <w:jc w:val="both"/>
              <w:rPr>
                <w:spacing w:val="-4"/>
                <w:sz w:val="14"/>
                <w:szCs w:val="14"/>
                <w:highlight w:val="yellow"/>
                <w:lang w:val="en-GB"/>
              </w:rPr>
            </w:pPr>
          </w:p>
        </w:tc>
      </w:tr>
      <w:tr w:rsidR="009F62C9" w:rsidRPr="00A74192" w:rsidTr="009F62C9">
        <w:trPr>
          <w:trHeight w:val="663"/>
        </w:trPr>
        <w:tc>
          <w:tcPr>
            <w:tcW w:w="1015" w:type="pct"/>
          </w:tcPr>
          <w:p w:rsidR="009F62C9" w:rsidRPr="00F76217" w:rsidRDefault="009F62C9" w:rsidP="006C36F4">
            <w:pPr>
              <w:spacing w:line="240" w:lineRule="auto"/>
              <w:rPr>
                <w:sz w:val="16"/>
                <w:szCs w:val="16"/>
                <w:lang w:val="en-GB"/>
              </w:rPr>
            </w:pPr>
            <w:r w:rsidRPr="0062588B">
              <w:rPr>
                <w:sz w:val="16"/>
                <w:szCs w:val="16"/>
                <w:lang w:val="en-GB"/>
              </w:rPr>
              <w:t xml:space="preserve">Exports from the CR increased year-on-year. </w:t>
            </w:r>
          </w:p>
        </w:tc>
        <w:tc>
          <w:tcPr>
            <w:tcW w:w="144" w:type="pct"/>
          </w:tcPr>
          <w:p w:rsidR="009F62C9" w:rsidRPr="00F76217" w:rsidRDefault="009F62C9" w:rsidP="00260FBE">
            <w:pPr>
              <w:pStyle w:val="Textpoznpodarou"/>
              <w:jc w:val="both"/>
              <w:rPr>
                <w:color w:val="FF0000"/>
                <w:highlight w:val="yellow"/>
                <w:lang w:val="en-GB"/>
              </w:rPr>
            </w:pPr>
          </w:p>
        </w:tc>
        <w:tc>
          <w:tcPr>
            <w:tcW w:w="3841" w:type="pct"/>
            <w:gridSpan w:val="4"/>
          </w:tcPr>
          <w:p w:rsidR="009F62C9" w:rsidRPr="0062588B" w:rsidRDefault="009F62C9" w:rsidP="00486640">
            <w:pPr>
              <w:pStyle w:val="Textpoznpodarou"/>
              <w:jc w:val="both"/>
              <w:rPr>
                <w:spacing w:val="-4"/>
                <w:sz w:val="16"/>
                <w:szCs w:val="16"/>
                <w:lang w:val="en-GB"/>
              </w:rPr>
            </w:pPr>
            <w:r>
              <w:rPr>
                <w:spacing w:val="-4"/>
                <w:lang w:val="en-GB"/>
              </w:rPr>
              <w:t xml:space="preserve">There were goods exported from the CR in the value of </w:t>
            </w:r>
            <w:r w:rsidRPr="0062588B">
              <w:rPr>
                <w:spacing w:val="-4"/>
                <w:lang w:val="en-GB"/>
              </w:rPr>
              <w:t>1</w:t>
            </w:r>
            <w:r>
              <w:rPr>
                <w:spacing w:val="-4"/>
                <w:lang w:val="en-GB"/>
              </w:rPr>
              <w:t> </w:t>
            </w:r>
            <w:r w:rsidRPr="0062588B">
              <w:rPr>
                <w:spacing w:val="-4"/>
                <w:lang w:val="en-GB"/>
              </w:rPr>
              <w:t>796</w:t>
            </w:r>
            <w:r>
              <w:rPr>
                <w:spacing w:val="-4"/>
                <w:lang w:val="en-GB"/>
              </w:rPr>
              <w:t>.</w:t>
            </w:r>
            <w:r w:rsidRPr="0062588B">
              <w:rPr>
                <w:spacing w:val="-4"/>
                <w:lang w:val="en-GB"/>
              </w:rPr>
              <w:t>9 </w:t>
            </w:r>
            <w:r>
              <w:rPr>
                <w:spacing w:val="-4"/>
                <w:lang w:val="en-GB"/>
              </w:rPr>
              <w:t xml:space="preserve">CZK </w:t>
            </w:r>
            <w:proofErr w:type="spellStart"/>
            <w:r>
              <w:rPr>
                <w:spacing w:val="-4"/>
                <w:lang w:val="en-GB"/>
              </w:rPr>
              <w:t>bn</w:t>
            </w:r>
            <w:proofErr w:type="spellEnd"/>
            <w:r w:rsidRPr="0062588B">
              <w:rPr>
                <w:rStyle w:val="Znakapoznpodarou"/>
                <w:spacing w:val="-4"/>
                <w:lang w:val="en-GB"/>
              </w:rPr>
              <w:footnoteReference w:id="21"/>
            </w:r>
            <w:r w:rsidRPr="0062588B">
              <w:rPr>
                <w:spacing w:val="-4"/>
                <w:lang w:val="en-GB"/>
              </w:rPr>
              <w:t xml:space="preserve"> </w:t>
            </w:r>
            <w:r>
              <w:rPr>
                <w:spacing w:val="-4"/>
                <w:lang w:val="en-GB"/>
              </w:rPr>
              <w:t xml:space="preserve">during first half of the year 2017 and the same period of the preceding year was exceeded by </w:t>
            </w:r>
            <w:r w:rsidRPr="0062588B">
              <w:rPr>
                <w:spacing w:val="-4"/>
                <w:lang w:val="en-GB"/>
              </w:rPr>
              <w:t>111</w:t>
            </w:r>
            <w:r>
              <w:rPr>
                <w:spacing w:val="-4"/>
                <w:lang w:val="en-GB"/>
              </w:rPr>
              <w:t>.</w:t>
            </w:r>
            <w:r w:rsidRPr="0062588B">
              <w:rPr>
                <w:spacing w:val="-4"/>
                <w:lang w:val="en-GB"/>
              </w:rPr>
              <w:t xml:space="preserve">0 </w:t>
            </w:r>
            <w:r>
              <w:rPr>
                <w:spacing w:val="-4"/>
                <w:lang w:val="en-GB"/>
              </w:rPr>
              <w:t xml:space="preserve">CZK </w:t>
            </w:r>
            <w:proofErr w:type="spellStart"/>
            <w:r>
              <w:rPr>
                <w:spacing w:val="-4"/>
                <w:lang w:val="en-GB"/>
              </w:rPr>
              <w:t>bn</w:t>
            </w:r>
            <w:proofErr w:type="spellEnd"/>
            <w:r>
              <w:rPr>
                <w:spacing w:val="-4"/>
                <w:lang w:val="en-GB"/>
              </w:rPr>
              <w:t xml:space="preserve"> </w:t>
            </w:r>
            <w:r w:rsidRPr="0062588B">
              <w:rPr>
                <w:spacing w:val="-4"/>
                <w:lang w:val="en-GB"/>
              </w:rPr>
              <w:t>(6</w:t>
            </w:r>
            <w:r>
              <w:rPr>
                <w:spacing w:val="-4"/>
                <w:lang w:val="en-GB"/>
              </w:rPr>
              <w:t>.</w:t>
            </w:r>
            <w:r w:rsidRPr="0062588B">
              <w:rPr>
                <w:spacing w:val="-4"/>
                <w:lang w:val="en-GB"/>
              </w:rPr>
              <w:t>6</w:t>
            </w:r>
            <w:r>
              <w:rPr>
                <w:spacing w:val="-4"/>
                <w:lang w:val="en-GB"/>
              </w:rPr>
              <w:t>%</w:t>
            </w:r>
            <w:r w:rsidRPr="0062588B">
              <w:rPr>
                <w:spacing w:val="-4"/>
                <w:lang w:val="en-GB"/>
              </w:rPr>
              <w:t xml:space="preserve">). </w:t>
            </w:r>
            <w:r>
              <w:rPr>
                <w:spacing w:val="-4"/>
                <w:lang w:val="en-GB"/>
              </w:rPr>
              <w:t xml:space="preserve">A large part of the relatively strong year-on-year increase was achieved mainly thanks to the extraordinary Q1 </w:t>
            </w:r>
            <w:r w:rsidRPr="0062588B">
              <w:rPr>
                <w:spacing w:val="-4"/>
                <w:lang w:val="en-GB"/>
              </w:rPr>
              <w:t>(75</w:t>
            </w:r>
            <w:r>
              <w:rPr>
                <w:spacing w:val="-4"/>
                <w:lang w:val="en-GB"/>
              </w:rPr>
              <w:t>.</w:t>
            </w:r>
            <w:r w:rsidRPr="0062588B">
              <w:rPr>
                <w:spacing w:val="-4"/>
                <w:lang w:val="en-GB"/>
              </w:rPr>
              <w:t xml:space="preserve">4 </w:t>
            </w:r>
            <w:r>
              <w:rPr>
                <w:spacing w:val="-4"/>
                <w:lang w:val="en-GB"/>
              </w:rPr>
              <w:t xml:space="preserve">CZK </w:t>
            </w:r>
            <w:proofErr w:type="spellStart"/>
            <w:r>
              <w:rPr>
                <w:spacing w:val="-4"/>
                <w:lang w:val="en-GB"/>
              </w:rPr>
              <w:t>bn</w:t>
            </w:r>
            <w:proofErr w:type="spellEnd"/>
            <w:r w:rsidRPr="0062588B">
              <w:rPr>
                <w:spacing w:val="-4"/>
                <w:lang w:val="en-GB"/>
              </w:rPr>
              <w:t xml:space="preserve">). </w:t>
            </w:r>
            <w:r>
              <w:rPr>
                <w:spacing w:val="-4"/>
                <w:lang w:val="en-GB"/>
              </w:rPr>
              <w:t xml:space="preserve">The second quarter overtook the same period of the last year by </w:t>
            </w:r>
            <w:r w:rsidRPr="0062588B">
              <w:rPr>
                <w:spacing w:val="-4"/>
                <w:lang w:val="en-GB"/>
              </w:rPr>
              <w:t>35</w:t>
            </w:r>
            <w:r>
              <w:rPr>
                <w:spacing w:val="-4"/>
                <w:lang w:val="en-GB"/>
              </w:rPr>
              <w:t>.</w:t>
            </w:r>
            <w:r w:rsidRPr="0062588B">
              <w:rPr>
                <w:spacing w:val="-4"/>
                <w:lang w:val="en-GB"/>
              </w:rPr>
              <w:t xml:space="preserve">6 </w:t>
            </w:r>
            <w:r>
              <w:rPr>
                <w:spacing w:val="-4"/>
                <w:lang w:val="en-GB"/>
              </w:rPr>
              <w:t xml:space="preserve">CZK </w:t>
            </w:r>
            <w:proofErr w:type="spellStart"/>
            <w:r>
              <w:rPr>
                <w:spacing w:val="-4"/>
                <w:lang w:val="en-GB"/>
              </w:rPr>
              <w:t>bn</w:t>
            </w:r>
            <w:proofErr w:type="spellEnd"/>
            <w:r>
              <w:rPr>
                <w:spacing w:val="-4"/>
                <w:lang w:val="en-GB"/>
              </w:rPr>
              <w:t xml:space="preserve">, at the same time however it had four working days less. </w:t>
            </w:r>
            <w:r w:rsidRPr="0062588B">
              <w:rPr>
                <w:spacing w:val="-4"/>
                <w:lang w:val="en-GB"/>
              </w:rPr>
              <w:t xml:space="preserve"> </w:t>
            </w:r>
          </w:p>
          <w:p w:rsidR="009F62C9" w:rsidRDefault="009F62C9" w:rsidP="00260FBE">
            <w:pPr>
              <w:pStyle w:val="Textpoznpodarou"/>
              <w:jc w:val="both"/>
              <w:rPr>
                <w:spacing w:val="-4"/>
                <w:lang w:val="en-GB"/>
              </w:rPr>
            </w:pPr>
          </w:p>
        </w:tc>
      </w:tr>
      <w:tr w:rsidR="009F62C9" w:rsidRPr="00A74192" w:rsidTr="00260FBE">
        <w:trPr>
          <w:trHeight w:val="662"/>
        </w:trPr>
        <w:tc>
          <w:tcPr>
            <w:tcW w:w="1015" w:type="pct"/>
          </w:tcPr>
          <w:p w:rsidR="009F62C9" w:rsidRPr="00F76217" w:rsidRDefault="009F62C9" w:rsidP="006C36F4">
            <w:pPr>
              <w:spacing w:line="240" w:lineRule="auto"/>
              <w:rPr>
                <w:sz w:val="16"/>
                <w:szCs w:val="16"/>
                <w:lang w:val="en-GB"/>
              </w:rPr>
            </w:pPr>
            <w:r>
              <w:rPr>
                <w:sz w:val="16"/>
                <w:szCs w:val="16"/>
                <w:lang w:val="en-GB"/>
              </w:rPr>
              <w:t xml:space="preserve">Exports grew into the majority of the main export destinations. </w:t>
            </w:r>
          </w:p>
        </w:tc>
        <w:tc>
          <w:tcPr>
            <w:tcW w:w="144" w:type="pct"/>
          </w:tcPr>
          <w:p w:rsidR="009F62C9" w:rsidRPr="00F76217" w:rsidRDefault="009F62C9" w:rsidP="00260FBE">
            <w:pPr>
              <w:pStyle w:val="Textpoznpodarou"/>
              <w:jc w:val="both"/>
              <w:rPr>
                <w:color w:val="FF0000"/>
                <w:highlight w:val="yellow"/>
                <w:lang w:val="en-GB"/>
              </w:rPr>
            </w:pPr>
          </w:p>
        </w:tc>
        <w:tc>
          <w:tcPr>
            <w:tcW w:w="3841" w:type="pct"/>
            <w:gridSpan w:val="4"/>
          </w:tcPr>
          <w:p w:rsidR="009F62C9" w:rsidRPr="009F62C9" w:rsidRDefault="009F62C9" w:rsidP="00260FBE">
            <w:pPr>
              <w:pStyle w:val="Textpoznpodarou"/>
              <w:jc w:val="both"/>
              <w:rPr>
                <w:spacing w:val="-4"/>
                <w:sz w:val="16"/>
                <w:szCs w:val="16"/>
                <w:lang w:val="en-GB"/>
              </w:rPr>
            </w:pPr>
            <w:r>
              <w:rPr>
                <w:spacing w:val="-4"/>
                <w:lang w:val="en-GB"/>
              </w:rPr>
              <w:t xml:space="preserve">The territorial structure of the Czech export did not practically differ in Q1 and Q2 </w:t>
            </w:r>
            <w:r w:rsidRPr="0062588B">
              <w:rPr>
                <w:spacing w:val="-4"/>
                <w:lang w:val="en-GB"/>
              </w:rPr>
              <w:t>2017</w:t>
            </w:r>
            <w:r>
              <w:rPr>
                <w:spacing w:val="-4"/>
                <w:lang w:val="en-GB"/>
              </w:rPr>
              <w:t xml:space="preserve"> from the same period of the preceding year. </w:t>
            </w:r>
            <w:r w:rsidRPr="0062588B">
              <w:rPr>
                <w:spacing w:val="-4"/>
                <w:lang w:val="en-GB"/>
              </w:rPr>
              <w:t>83</w:t>
            </w:r>
            <w:r>
              <w:rPr>
                <w:spacing w:val="-4"/>
                <w:lang w:val="en-GB"/>
              </w:rPr>
              <w:t>.</w:t>
            </w:r>
            <w:r w:rsidRPr="0062588B">
              <w:rPr>
                <w:spacing w:val="-4"/>
                <w:lang w:val="en-GB"/>
              </w:rPr>
              <w:t>9</w:t>
            </w:r>
            <w:r>
              <w:rPr>
                <w:spacing w:val="-4"/>
                <w:lang w:val="en-GB"/>
              </w:rPr>
              <w:t>%</w:t>
            </w:r>
            <w:r w:rsidRPr="0062588B">
              <w:rPr>
                <w:spacing w:val="-4"/>
                <w:lang w:val="en-GB"/>
              </w:rPr>
              <w:t xml:space="preserve"> </w:t>
            </w:r>
            <w:r>
              <w:rPr>
                <w:spacing w:val="-4"/>
                <w:lang w:val="en-GB"/>
              </w:rPr>
              <w:t xml:space="preserve">of exports headed to the EU and its value increased by 82.3 </w:t>
            </w:r>
            <w:proofErr w:type="spellStart"/>
            <w:r>
              <w:rPr>
                <w:spacing w:val="-4"/>
                <w:lang w:val="en-GB"/>
              </w:rPr>
              <w:t>bn</w:t>
            </w:r>
            <w:proofErr w:type="spellEnd"/>
            <w:r>
              <w:rPr>
                <w:spacing w:val="-4"/>
                <w:lang w:val="en-GB"/>
              </w:rPr>
              <w:t xml:space="preserve"> (5.8%) year-on-year. Apart from Slovakia, where it was exported by 6.7% less in H1 compared to the last year, the exports grew into the all main export destinations. The exports to Germany increased by 7.7% year-on-year, to Poland by 8.7% and to France by </w:t>
            </w:r>
            <w:r w:rsidRPr="0062588B">
              <w:rPr>
                <w:spacing w:val="-4"/>
                <w:lang w:val="en-GB"/>
              </w:rPr>
              <w:t>9</w:t>
            </w:r>
            <w:r>
              <w:rPr>
                <w:spacing w:val="-4"/>
                <w:lang w:val="en-GB"/>
              </w:rPr>
              <w:t>.</w:t>
            </w:r>
            <w:r w:rsidRPr="0062588B">
              <w:rPr>
                <w:spacing w:val="-4"/>
                <w:lang w:val="en-GB"/>
              </w:rPr>
              <w:t>2</w:t>
            </w:r>
            <w:r>
              <w:rPr>
                <w:spacing w:val="-4"/>
                <w:lang w:val="en-GB"/>
              </w:rPr>
              <w:t>%</w:t>
            </w:r>
            <w:r w:rsidRPr="0062588B">
              <w:rPr>
                <w:spacing w:val="-4"/>
                <w:lang w:val="en-GB"/>
              </w:rPr>
              <w:t xml:space="preserve">. </w:t>
            </w:r>
            <w:r>
              <w:rPr>
                <w:spacing w:val="-4"/>
                <w:lang w:val="en-GB"/>
              </w:rPr>
              <w:t xml:space="preserve">The smaller export destinations did not stay behind either. The exports grew strongly to Austria </w:t>
            </w:r>
            <w:r w:rsidRPr="0062588B">
              <w:rPr>
                <w:spacing w:val="-4"/>
                <w:lang w:val="en-GB"/>
              </w:rPr>
              <w:t>(12</w:t>
            </w:r>
            <w:r>
              <w:rPr>
                <w:spacing w:val="-4"/>
                <w:lang w:val="en-GB"/>
              </w:rPr>
              <w:t>.</w:t>
            </w:r>
            <w:r w:rsidRPr="0062588B">
              <w:rPr>
                <w:spacing w:val="-4"/>
                <w:lang w:val="en-GB"/>
              </w:rPr>
              <w:t>1</w:t>
            </w:r>
            <w:r>
              <w:rPr>
                <w:spacing w:val="-4"/>
                <w:lang w:val="en-GB"/>
              </w:rPr>
              <w:t>%</w:t>
            </w:r>
            <w:r w:rsidRPr="0062588B">
              <w:rPr>
                <w:spacing w:val="-4"/>
                <w:lang w:val="en-GB"/>
              </w:rPr>
              <w:t xml:space="preserve">) </w:t>
            </w:r>
            <w:r>
              <w:rPr>
                <w:spacing w:val="-4"/>
                <w:lang w:val="en-GB"/>
              </w:rPr>
              <w:t xml:space="preserve">as well as the Netherlands </w:t>
            </w:r>
            <w:r w:rsidRPr="0062588B">
              <w:rPr>
                <w:spacing w:val="-4"/>
                <w:lang w:val="en-GB"/>
              </w:rPr>
              <w:t>(14</w:t>
            </w:r>
            <w:r>
              <w:rPr>
                <w:spacing w:val="-4"/>
                <w:lang w:val="en-GB"/>
              </w:rPr>
              <w:t>.</w:t>
            </w:r>
            <w:r w:rsidRPr="0062588B">
              <w:rPr>
                <w:spacing w:val="-4"/>
                <w:lang w:val="en-GB"/>
              </w:rPr>
              <w:t>2</w:t>
            </w:r>
            <w:r>
              <w:rPr>
                <w:spacing w:val="-4"/>
                <w:lang w:val="en-GB"/>
              </w:rPr>
              <w:t>%</w:t>
            </w:r>
            <w:r w:rsidRPr="0062588B">
              <w:rPr>
                <w:spacing w:val="-4"/>
                <w:lang w:val="en-GB"/>
              </w:rPr>
              <w:t xml:space="preserve">). </w:t>
            </w:r>
            <w:r>
              <w:rPr>
                <w:spacing w:val="-4"/>
                <w:lang w:val="en-GB"/>
              </w:rPr>
              <w:t xml:space="preserve">The exports also strengthened into countries outside the EU. It reached </w:t>
            </w:r>
            <w:r w:rsidRPr="0062588B">
              <w:rPr>
                <w:spacing w:val="-4"/>
                <w:lang w:val="en-GB"/>
              </w:rPr>
              <w:t>287</w:t>
            </w:r>
            <w:r>
              <w:rPr>
                <w:spacing w:val="-4"/>
                <w:lang w:val="en-GB"/>
              </w:rPr>
              <w:t>.</w:t>
            </w:r>
            <w:r w:rsidRPr="0062588B">
              <w:rPr>
                <w:spacing w:val="-4"/>
                <w:lang w:val="en-GB"/>
              </w:rPr>
              <w:t xml:space="preserve">2 </w:t>
            </w:r>
            <w:r>
              <w:rPr>
                <w:spacing w:val="-4"/>
                <w:lang w:val="en-GB"/>
              </w:rPr>
              <w:t xml:space="preserve">CZK </w:t>
            </w:r>
            <w:proofErr w:type="spellStart"/>
            <w:r>
              <w:rPr>
                <w:spacing w:val="-4"/>
                <w:lang w:val="en-GB"/>
              </w:rPr>
              <w:t>bn</w:t>
            </w:r>
            <w:proofErr w:type="spellEnd"/>
            <w:r>
              <w:rPr>
                <w:spacing w:val="-4"/>
                <w:lang w:val="en-GB"/>
              </w:rPr>
              <w:t xml:space="preserve"> in H1 and increased by </w:t>
            </w:r>
            <w:r w:rsidRPr="0062588B">
              <w:rPr>
                <w:spacing w:val="-4"/>
                <w:lang w:val="en-GB"/>
              </w:rPr>
              <w:t>10</w:t>
            </w:r>
            <w:r>
              <w:rPr>
                <w:spacing w:val="-4"/>
                <w:lang w:val="en-GB"/>
              </w:rPr>
              <w:t>.</w:t>
            </w:r>
            <w:r w:rsidRPr="0062588B">
              <w:rPr>
                <w:spacing w:val="-4"/>
                <w:lang w:val="en-GB"/>
              </w:rPr>
              <w:t>9</w:t>
            </w:r>
            <w:r>
              <w:rPr>
                <w:spacing w:val="-4"/>
                <w:lang w:val="en-GB"/>
              </w:rPr>
              <w:t>% year-on-year</w:t>
            </w:r>
            <w:r w:rsidRPr="0062588B">
              <w:rPr>
                <w:spacing w:val="-4"/>
                <w:lang w:val="en-GB"/>
              </w:rPr>
              <w:t xml:space="preserve">. </w:t>
            </w:r>
            <w:r>
              <w:rPr>
                <w:spacing w:val="-4"/>
                <w:lang w:val="en-GB"/>
              </w:rPr>
              <w:t xml:space="preserve">The export into the United States arrived at </w:t>
            </w:r>
            <w:r w:rsidRPr="0062588B">
              <w:rPr>
                <w:spacing w:val="-4"/>
                <w:lang w:val="en-GB"/>
              </w:rPr>
              <w:t>39</w:t>
            </w:r>
            <w:r>
              <w:rPr>
                <w:spacing w:val="-4"/>
                <w:lang w:val="en-GB"/>
              </w:rPr>
              <w:t>.</w:t>
            </w:r>
            <w:r w:rsidRPr="0062588B">
              <w:rPr>
                <w:spacing w:val="-4"/>
                <w:lang w:val="en-GB"/>
              </w:rPr>
              <w:t xml:space="preserve">7 </w:t>
            </w:r>
            <w:proofErr w:type="spellStart"/>
            <w:r>
              <w:rPr>
                <w:spacing w:val="-4"/>
                <w:lang w:val="en-GB"/>
              </w:rPr>
              <w:t>bn</w:t>
            </w:r>
            <w:proofErr w:type="spellEnd"/>
            <w:r>
              <w:rPr>
                <w:spacing w:val="-4"/>
                <w:lang w:val="en-GB"/>
              </w:rPr>
              <w:t xml:space="preserve"> and went up by </w:t>
            </w:r>
            <w:r w:rsidRPr="0062588B">
              <w:rPr>
                <w:spacing w:val="-4"/>
                <w:lang w:val="en-GB"/>
              </w:rPr>
              <w:t>6</w:t>
            </w:r>
            <w:r>
              <w:rPr>
                <w:spacing w:val="-4"/>
                <w:lang w:val="en-GB"/>
              </w:rPr>
              <w:t>.</w:t>
            </w:r>
            <w:r w:rsidRPr="0062588B">
              <w:rPr>
                <w:spacing w:val="-4"/>
                <w:lang w:val="en-GB"/>
              </w:rPr>
              <w:t>1</w:t>
            </w:r>
            <w:r>
              <w:rPr>
                <w:spacing w:val="-4"/>
                <w:lang w:val="en-GB"/>
              </w:rPr>
              <w:t>%</w:t>
            </w:r>
            <w:r w:rsidRPr="0062588B">
              <w:rPr>
                <w:spacing w:val="-4"/>
                <w:lang w:val="en-GB"/>
              </w:rPr>
              <w:t xml:space="preserve">. </w:t>
            </w:r>
            <w:r>
              <w:rPr>
                <w:spacing w:val="-4"/>
                <w:lang w:val="en-GB"/>
              </w:rPr>
              <w:t xml:space="preserve">Exports into the Russian Federation reached twenty percent year-on-year addition, 20.6% more was exported to China. For Russia, it meant an increase of </w:t>
            </w:r>
            <w:r w:rsidRPr="0062588B">
              <w:rPr>
                <w:spacing w:val="-4"/>
                <w:lang w:val="en-GB"/>
              </w:rPr>
              <w:t>5</w:t>
            </w:r>
            <w:r>
              <w:rPr>
                <w:spacing w:val="-4"/>
                <w:lang w:val="en-GB"/>
              </w:rPr>
              <w:t>.</w:t>
            </w:r>
            <w:r w:rsidRPr="0062588B">
              <w:rPr>
                <w:spacing w:val="-4"/>
                <w:lang w:val="en-GB"/>
              </w:rPr>
              <w:t xml:space="preserve">8 </w:t>
            </w:r>
            <w:r>
              <w:rPr>
                <w:spacing w:val="-4"/>
                <w:lang w:val="en-GB"/>
              </w:rPr>
              <w:t xml:space="preserve">CZK </w:t>
            </w:r>
            <w:proofErr w:type="spellStart"/>
            <w:r>
              <w:rPr>
                <w:spacing w:val="-4"/>
                <w:lang w:val="en-GB"/>
              </w:rPr>
              <w:t>bn</w:t>
            </w:r>
            <w:proofErr w:type="spellEnd"/>
            <w:r>
              <w:rPr>
                <w:spacing w:val="-4"/>
                <w:lang w:val="en-GB"/>
              </w:rPr>
              <w:t xml:space="preserve">, 3.5 </w:t>
            </w:r>
            <w:proofErr w:type="spellStart"/>
            <w:r>
              <w:rPr>
                <w:spacing w:val="-4"/>
                <w:lang w:val="en-GB"/>
              </w:rPr>
              <w:t>bn</w:t>
            </w:r>
            <w:proofErr w:type="spellEnd"/>
            <w:r>
              <w:rPr>
                <w:spacing w:val="-4"/>
                <w:lang w:val="en-GB"/>
              </w:rPr>
              <w:t xml:space="preserve"> for China. </w:t>
            </w:r>
          </w:p>
        </w:tc>
      </w:tr>
      <w:tr w:rsidR="009F62C9" w:rsidRPr="006647AD" w:rsidTr="00260FBE">
        <w:tc>
          <w:tcPr>
            <w:tcW w:w="1015" w:type="pct"/>
          </w:tcPr>
          <w:p w:rsidR="009F62C9" w:rsidRPr="006647AD" w:rsidRDefault="009F62C9" w:rsidP="00260FBE">
            <w:pPr>
              <w:spacing w:line="240" w:lineRule="auto"/>
              <w:rPr>
                <w:szCs w:val="20"/>
                <w:highlight w:val="yellow"/>
              </w:rPr>
            </w:pPr>
          </w:p>
        </w:tc>
        <w:tc>
          <w:tcPr>
            <w:tcW w:w="144" w:type="pct"/>
          </w:tcPr>
          <w:p w:rsidR="009F62C9" w:rsidRPr="006647AD" w:rsidRDefault="009F62C9" w:rsidP="00260FBE">
            <w:pPr>
              <w:pStyle w:val="Textpoznpodarou"/>
              <w:rPr>
                <w:color w:val="FF0000"/>
              </w:rPr>
            </w:pPr>
          </w:p>
        </w:tc>
        <w:tc>
          <w:tcPr>
            <w:tcW w:w="580" w:type="pct"/>
          </w:tcPr>
          <w:p w:rsidR="009F62C9" w:rsidRPr="00F76217" w:rsidRDefault="009F62C9" w:rsidP="00F76217">
            <w:pPr>
              <w:pStyle w:val="Textpoznpodarou"/>
              <w:rPr>
                <w:color w:val="FF0000"/>
                <w:spacing w:val="-4"/>
                <w:highlight w:val="yellow"/>
                <w:lang w:val="en-GB"/>
              </w:rPr>
            </w:pPr>
            <w:r w:rsidRPr="00F76217">
              <w:rPr>
                <w:spacing w:val="-4"/>
                <w:lang w:val="en-GB"/>
              </w:rPr>
              <w:t>Chart 9</w:t>
            </w:r>
          </w:p>
        </w:tc>
        <w:tc>
          <w:tcPr>
            <w:tcW w:w="3261" w:type="pct"/>
            <w:gridSpan w:val="3"/>
          </w:tcPr>
          <w:p w:rsidR="001077AE" w:rsidRDefault="009F62C9" w:rsidP="00F76217">
            <w:pPr>
              <w:pStyle w:val="Textpoznpodarou"/>
              <w:jc w:val="both"/>
              <w:rPr>
                <w:b/>
                <w:spacing w:val="-4"/>
                <w:lang w:val="en-GB"/>
              </w:rPr>
            </w:pPr>
            <w:r w:rsidRPr="00F76217">
              <w:rPr>
                <w:b/>
                <w:spacing w:val="-4"/>
                <w:lang w:val="en-GB"/>
              </w:rPr>
              <w:t xml:space="preserve">Current account of balance of payments </w:t>
            </w:r>
          </w:p>
          <w:p w:rsidR="009F62C9" w:rsidRPr="00F76217" w:rsidRDefault="009F62C9" w:rsidP="00F76217">
            <w:pPr>
              <w:pStyle w:val="Textpoznpodarou"/>
              <w:jc w:val="both"/>
              <w:rPr>
                <w:color w:val="FF0000"/>
                <w:spacing w:val="-4"/>
                <w:highlight w:val="yellow"/>
                <w:lang w:val="en-GB"/>
              </w:rPr>
            </w:pPr>
            <w:r w:rsidRPr="00F76217">
              <w:rPr>
                <w:spacing w:val="-4"/>
                <w:lang w:val="en-GB"/>
              </w:rPr>
              <w:t>(</w:t>
            </w:r>
            <w:proofErr w:type="spellStart"/>
            <w:r w:rsidRPr="00F76217">
              <w:rPr>
                <w:spacing w:val="-4"/>
                <w:lang w:val="en-GB"/>
              </w:rPr>
              <w:t>cumulation</w:t>
            </w:r>
            <w:proofErr w:type="spellEnd"/>
            <w:r w:rsidRPr="00F76217">
              <w:rPr>
                <w:spacing w:val="-4"/>
                <w:lang w:val="en-GB"/>
              </w:rPr>
              <w:t xml:space="preserve"> of Q1 and Q2 in </w:t>
            </w:r>
            <w:r>
              <w:rPr>
                <w:spacing w:val="-4"/>
                <w:lang w:val="en-GB"/>
              </w:rPr>
              <w:t xml:space="preserve">CZK </w:t>
            </w:r>
            <w:proofErr w:type="spellStart"/>
            <w:r>
              <w:rPr>
                <w:spacing w:val="-4"/>
                <w:lang w:val="en-GB"/>
              </w:rPr>
              <w:t>bn</w:t>
            </w:r>
            <w:proofErr w:type="spellEnd"/>
            <w:r w:rsidRPr="00F76217">
              <w:rPr>
                <w:spacing w:val="-4"/>
                <w:lang w:val="en-GB"/>
              </w:rPr>
              <w:t>)</w:t>
            </w:r>
          </w:p>
        </w:tc>
      </w:tr>
      <w:tr w:rsidR="009F62C9" w:rsidRPr="00A74192" w:rsidTr="00260FBE">
        <w:tc>
          <w:tcPr>
            <w:tcW w:w="1015" w:type="pct"/>
          </w:tcPr>
          <w:p w:rsidR="009F62C9" w:rsidRPr="002804BB" w:rsidRDefault="009F62C9" w:rsidP="00260FBE">
            <w:pPr>
              <w:spacing w:line="240" w:lineRule="auto"/>
              <w:rPr>
                <w:sz w:val="16"/>
                <w:szCs w:val="16"/>
                <w:highlight w:val="yellow"/>
              </w:rPr>
            </w:pPr>
          </w:p>
        </w:tc>
        <w:tc>
          <w:tcPr>
            <w:tcW w:w="144" w:type="pct"/>
          </w:tcPr>
          <w:p w:rsidR="009F62C9" w:rsidRPr="00A74192" w:rsidRDefault="009F62C9" w:rsidP="00260FBE">
            <w:pPr>
              <w:pStyle w:val="Textpoznpodarou"/>
              <w:rPr>
                <w:color w:val="FF0000"/>
              </w:rPr>
            </w:pPr>
          </w:p>
        </w:tc>
        <w:tc>
          <w:tcPr>
            <w:tcW w:w="3841" w:type="pct"/>
            <w:gridSpan w:val="4"/>
          </w:tcPr>
          <w:p w:rsidR="009F62C9" w:rsidRPr="00DC21E2" w:rsidRDefault="009F62C9" w:rsidP="00260FBE">
            <w:pPr>
              <w:pStyle w:val="Textpoznpodarou"/>
              <w:ind w:left="-73"/>
              <w:jc w:val="both"/>
              <w:rPr>
                <w:spacing w:val="-4"/>
                <w:sz w:val="16"/>
                <w:highlight w:val="yellow"/>
              </w:rPr>
            </w:pPr>
            <w:r w:rsidRPr="0068748C">
              <w:rPr>
                <w:noProof/>
                <w:spacing w:val="-4"/>
                <w:sz w:val="16"/>
              </w:rPr>
              <w:drawing>
                <wp:inline distT="0" distB="0" distL="0" distR="0">
                  <wp:extent cx="4737600" cy="3553200"/>
                  <wp:effectExtent l="0" t="0" r="0" b="0"/>
                  <wp:docPr id="2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F62C9" w:rsidRDefault="009F62C9" w:rsidP="00260FBE">
            <w:pPr>
              <w:pStyle w:val="Textpoznpodarou"/>
              <w:ind w:left="-73"/>
              <w:jc w:val="right"/>
              <w:rPr>
                <w:spacing w:val="-4"/>
                <w:sz w:val="14"/>
                <w:szCs w:val="14"/>
              </w:rPr>
            </w:pPr>
            <w:proofErr w:type="spellStart"/>
            <w:r>
              <w:rPr>
                <w:spacing w:val="-4"/>
                <w:sz w:val="14"/>
                <w:szCs w:val="14"/>
              </w:rPr>
              <w:t>Source</w:t>
            </w:r>
            <w:proofErr w:type="spellEnd"/>
            <w:r w:rsidRPr="00DC21E2">
              <w:rPr>
                <w:spacing w:val="-4"/>
                <w:sz w:val="14"/>
                <w:szCs w:val="14"/>
              </w:rPr>
              <w:t xml:space="preserve">: </w:t>
            </w:r>
            <w:r>
              <w:rPr>
                <w:spacing w:val="-4"/>
                <w:sz w:val="14"/>
                <w:szCs w:val="14"/>
              </w:rPr>
              <w:t>CNB</w:t>
            </w:r>
          </w:p>
          <w:p w:rsidR="009F62C9" w:rsidRPr="00ED7C3C" w:rsidRDefault="009F62C9" w:rsidP="0068748C">
            <w:pPr>
              <w:pStyle w:val="Textpoznpodarou"/>
              <w:ind w:left="-73"/>
              <w:jc w:val="right"/>
              <w:rPr>
                <w:color w:val="FF0000"/>
                <w:spacing w:val="-4"/>
                <w:sz w:val="15"/>
                <w:szCs w:val="15"/>
                <w:highlight w:val="yellow"/>
              </w:rPr>
            </w:pPr>
          </w:p>
        </w:tc>
      </w:tr>
      <w:tr w:rsidR="009F62C9" w:rsidRPr="00A74192" w:rsidTr="00260FBE">
        <w:tc>
          <w:tcPr>
            <w:tcW w:w="1015" w:type="pct"/>
          </w:tcPr>
          <w:p w:rsidR="009F62C9" w:rsidRPr="002D34BF" w:rsidRDefault="009F62C9" w:rsidP="00260FBE">
            <w:pPr>
              <w:spacing w:line="240" w:lineRule="auto"/>
              <w:rPr>
                <w:sz w:val="16"/>
                <w:szCs w:val="16"/>
                <w:highlight w:val="yellow"/>
                <w:lang w:val="en-GB"/>
              </w:rPr>
            </w:pPr>
            <w:r w:rsidRPr="002D34BF">
              <w:rPr>
                <w:sz w:val="16"/>
                <w:szCs w:val="16"/>
                <w:lang w:val="en-GB"/>
              </w:rPr>
              <w:t xml:space="preserve">The foreign trade with both motor vehicles and machinery thrived. </w:t>
            </w:r>
          </w:p>
        </w:tc>
        <w:tc>
          <w:tcPr>
            <w:tcW w:w="144" w:type="pct"/>
          </w:tcPr>
          <w:p w:rsidR="009F62C9" w:rsidRPr="002D34BF" w:rsidRDefault="009F62C9" w:rsidP="00260FBE">
            <w:pPr>
              <w:pStyle w:val="Textpoznpodarou"/>
              <w:jc w:val="both"/>
              <w:rPr>
                <w:highlight w:val="yellow"/>
                <w:lang w:val="en-GB"/>
              </w:rPr>
            </w:pPr>
          </w:p>
        </w:tc>
        <w:tc>
          <w:tcPr>
            <w:tcW w:w="3841" w:type="pct"/>
            <w:gridSpan w:val="4"/>
          </w:tcPr>
          <w:p w:rsidR="009F62C9" w:rsidRPr="002D34BF" w:rsidRDefault="009F62C9" w:rsidP="00260FBE">
            <w:pPr>
              <w:pStyle w:val="Textpoznpodarou"/>
              <w:jc w:val="both"/>
              <w:rPr>
                <w:spacing w:val="-4"/>
                <w:sz w:val="16"/>
                <w:szCs w:val="16"/>
                <w:lang w:val="en-GB"/>
              </w:rPr>
            </w:pPr>
            <w:r w:rsidRPr="002D34BF">
              <w:rPr>
                <w:spacing w:val="-4"/>
                <w:lang w:val="en-GB"/>
              </w:rPr>
              <w:t>Motor</w:t>
            </w:r>
            <w:r>
              <w:rPr>
                <w:spacing w:val="-4"/>
                <w:lang w:val="en-GB"/>
              </w:rPr>
              <w:t xml:space="preserve"> vehicles, which comprised 29.4% of exports in H1, again reinforced their position a bit more. The value of their exports increased by 8.6% in comparison to the same period of the last year and reached </w:t>
            </w:r>
            <w:r w:rsidRPr="002D34BF">
              <w:rPr>
                <w:spacing w:val="-4"/>
                <w:lang w:val="en-GB"/>
              </w:rPr>
              <w:t>528</w:t>
            </w:r>
            <w:r>
              <w:rPr>
                <w:spacing w:val="-4"/>
                <w:lang w:val="en-GB"/>
              </w:rPr>
              <w:t>.</w:t>
            </w:r>
            <w:r w:rsidRPr="002D34BF">
              <w:rPr>
                <w:spacing w:val="-4"/>
                <w:lang w:val="en-GB"/>
              </w:rPr>
              <w:t xml:space="preserve">5 </w:t>
            </w:r>
            <w:r>
              <w:rPr>
                <w:spacing w:val="-4"/>
                <w:lang w:val="en-GB"/>
              </w:rPr>
              <w:t>CZK bn. Other divisions significant for the Czech exports also recorded strong increase of exports. E</w:t>
            </w:r>
            <w:r w:rsidRPr="002D34BF">
              <w:rPr>
                <w:spacing w:val="-4"/>
                <w:lang w:val="en-GB"/>
              </w:rPr>
              <w:t>xport</w:t>
            </w:r>
            <w:r>
              <w:rPr>
                <w:spacing w:val="-4"/>
                <w:lang w:val="en-GB"/>
              </w:rPr>
              <w:t xml:space="preserve"> of machinery and equipment increased by </w:t>
            </w:r>
            <w:r w:rsidRPr="002D34BF">
              <w:rPr>
                <w:spacing w:val="-4"/>
                <w:lang w:val="en-GB"/>
              </w:rPr>
              <w:t>8</w:t>
            </w:r>
            <w:r>
              <w:rPr>
                <w:spacing w:val="-4"/>
                <w:lang w:val="en-GB"/>
              </w:rPr>
              <w:t>.</w:t>
            </w:r>
            <w:r w:rsidRPr="002D34BF">
              <w:rPr>
                <w:spacing w:val="-4"/>
                <w:lang w:val="en-GB"/>
              </w:rPr>
              <w:t>9</w:t>
            </w:r>
            <w:r>
              <w:rPr>
                <w:spacing w:val="-4"/>
                <w:lang w:val="en-GB"/>
              </w:rPr>
              <w:t>%</w:t>
            </w:r>
            <w:r w:rsidRPr="002D34BF">
              <w:rPr>
                <w:spacing w:val="-4"/>
                <w:lang w:val="en-GB"/>
              </w:rPr>
              <w:t xml:space="preserve">, </w:t>
            </w:r>
            <w:r>
              <w:rPr>
                <w:spacing w:val="-4"/>
                <w:lang w:val="en-GB"/>
              </w:rPr>
              <w:t xml:space="preserve">computers, electronic and optical appliances by </w:t>
            </w:r>
            <w:r w:rsidRPr="002D34BF">
              <w:rPr>
                <w:spacing w:val="-4"/>
                <w:lang w:val="en-GB"/>
              </w:rPr>
              <w:t>5</w:t>
            </w:r>
            <w:r>
              <w:rPr>
                <w:spacing w:val="-4"/>
                <w:lang w:val="en-GB"/>
              </w:rPr>
              <w:t>.</w:t>
            </w:r>
            <w:r w:rsidRPr="002D34BF">
              <w:rPr>
                <w:spacing w:val="-4"/>
                <w:lang w:val="en-GB"/>
              </w:rPr>
              <w:t>5</w:t>
            </w:r>
            <w:r>
              <w:rPr>
                <w:spacing w:val="-4"/>
                <w:lang w:val="en-GB"/>
              </w:rPr>
              <w:t>%</w:t>
            </w:r>
            <w:r w:rsidRPr="002D34BF">
              <w:rPr>
                <w:spacing w:val="-4"/>
                <w:lang w:val="en-GB"/>
              </w:rPr>
              <w:t xml:space="preserve">. </w:t>
            </w:r>
            <w:r>
              <w:rPr>
                <w:spacing w:val="-4"/>
                <w:lang w:val="en-GB"/>
              </w:rPr>
              <w:t>Electrical appliances were exported more by 7.7%</w:t>
            </w:r>
            <w:r w:rsidRPr="002D34BF">
              <w:rPr>
                <w:spacing w:val="-4"/>
                <w:lang w:val="en-GB"/>
              </w:rPr>
              <w:t>. P</w:t>
            </w:r>
            <w:r>
              <w:rPr>
                <w:spacing w:val="-4"/>
                <w:lang w:val="en-GB"/>
              </w:rPr>
              <w:t xml:space="preserve">ositive trends of the exports of the chemicals and chemical products also continued and increased by 15.2% year-on-year. At the same time, it reached the level, which it held in </w:t>
            </w:r>
            <w:proofErr w:type="gramStart"/>
            <w:r>
              <w:rPr>
                <w:spacing w:val="-4"/>
                <w:lang w:val="en-GB"/>
              </w:rPr>
              <w:t>2014, that</w:t>
            </w:r>
            <w:proofErr w:type="gramEnd"/>
            <w:r>
              <w:rPr>
                <w:spacing w:val="-4"/>
                <w:lang w:val="en-GB"/>
              </w:rPr>
              <w:t xml:space="preserve"> is before the crash of the production capacities, which were renewed at the end of 2016. The manufacture of metal products (-6.3%) and food products (-3.7%) were the only two divisions, which recorded a year-on-year decline in H1. </w:t>
            </w:r>
          </w:p>
          <w:p w:rsidR="009F62C9" w:rsidRPr="002D34BF" w:rsidRDefault="009F62C9" w:rsidP="00260FBE">
            <w:pPr>
              <w:pStyle w:val="Textpoznpodarou"/>
              <w:jc w:val="both"/>
              <w:rPr>
                <w:spacing w:val="-4"/>
                <w:sz w:val="14"/>
                <w:szCs w:val="14"/>
                <w:lang w:val="en-GB"/>
              </w:rPr>
            </w:pPr>
          </w:p>
        </w:tc>
      </w:tr>
      <w:tr w:rsidR="009F62C9" w:rsidRPr="00A74192" w:rsidTr="00260FBE">
        <w:tc>
          <w:tcPr>
            <w:tcW w:w="1015" w:type="pct"/>
          </w:tcPr>
          <w:p w:rsidR="009F62C9" w:rsidRPr="007D5055" w:rsidRDefault="009F62C9" w:rsidP="00260FBE">
            <w:pPr>
              <w:spacing w:line="240" w:lineRule="auto"/>
              <w:rPr>
                <w:sz w:val="16"/>
                <w:szCs w:val="16"/>
                <w:highlight w:val="yellow"/>
                <w:lang w:val="en-GB"/>
              </w:rPr>
            </w:pPr>
            <w:r w:rsidRPr="007D5055">
              <w:rPr>
                <w:sz w:val="16"/>
                <w:szCs w:val="16"/>
                <w:lang w:val="en-GB"/>
              </w:rPr>
              <w:t xml:space="preserve">The value of imports also grew, among other things due to the increase of the prices of oil. </w:t>
            </w:r>
          </w:p>
        </w:tc>
        <w:tc>
          <w:tcPr>
            <w:tcW w:w="144" w:type="pct"/>
          </w:tcPr>
          <w:p w:rsidR="009F62C9" w:rsidRPr="007D5055" w:rsidRDefault="009F62C9" w:rsidP="00260FBE">
            <w:pPr>
              <w:pStyle w:val="Textpoznpodarou"/>
              <w:jc w:val="both"/>
              <w:rPr>
                <w:highlight w:val="yellow"/>
                <w:lang w:val="en-GB"/>
              </w:rPr>
            </w:pPr>
          </w:p>
        </w:tc>
        <w:tc>
          <w:tcPr>
            <w:tcW w:w="3841" w:type="pct"/>
            <w:gridSpan w:val="4"/>
          </w:tcPr>
          <w:p w:rsidR="009F62C9" w:rsidRPr="007D5055" w:rsidRDefault="009F62C9" w:rsidP="00260FBE">
            <w:pPr>
              <w:pStyle w:val="Textpoznpodarou"/>
              <w:jc w:val="both"/>
              <w:rPr>
                <w:spacing w:val="-4"/>
                <w:sz w:val="16"/>
                <w:szCs w:val="16"/>
                <w:lang w:val="en-GB"/>
              </w:rPr>
            </w:pPr>
            <w:r>
              <w:rPr>
                <w:spacing w:val="-4"/>
                <w:lang w:val="en-GB"/>
              </w:rPr>
              <w:t xml:space="preserve">The goods worth </w:t>
            </w:r>
            <w:r w:rsidRPr="007D5055">
              <w:rPr>
                <w:spacing w:val="-4"/>
                <w:lang w:val="en-GB"/>
              </w:rPr>
              <w:t>1</w:t>
            </w:r>
            <w:r>
              <w:rPr>
                <w:spacing w:val="-4"/>
                <w:lang w:val="en-GB"/>
              </w:rPr>
              <w:t> </w:t>
            </w:r>
            <w:r w:rsidRPr="007D5055">
              <w:rPr>
                <w:spacing w:val="-4"/>
                <w:lang w:val="en-GB"/>
              </w:rPr>
              <w:t>681</w:t>
            </w:r>
            <w:r>
              <w:rPr>
                <w:spacing w:val="-4"/>
                <w:lang w:val="en-GB"/>
              </w:rPr>
              <w:t>.</w:t>
            </w:r>
            <w:r w:rsidRPr="007D5055">
              <w:rPr>
                <w:spacing w:val="-4"/>
                <w:lang w:val="en-GB"/>
              </w:rPr>
              <w:t xml:space="preserve">6 </w:t>
            </w:r>
            <w:r>
              <w:rPr>
                <w:spacing w:val="-4"/>
                <w:lang w:val="en-GB"/>
              </w:rPr>
              <w:t xml:space="preserve">CZK </w:t>
            </w:r>
            <w:proofErr w:type="spellStart"/>
            <w:r>
              <w:rPr>
                <w:spacing w:val="-4"/>
                <w:lang w:val="en-GB"/>
              </w:rPr>
              <w:t>bn</w:t>
            </w:r>
            <w:proofErr w:type="spellEnd"/>
            <w:r>
              <w:rPr>
                <w:spacing w:val="-4"/>
                <w:lang w:val="en-GB"/>
              </w:rPr>
              <w:t xml:space="preserve"> were imported into the CR in H1</w:t>
            </w:r>
            <w:r w:rsidRPr="007D5055">
              <w:rPr>
                <w:spacing w:val="-4"/>
                <w:lang w:val="en-GB"/>
              </w:rPr>
              <w:t xml:space="preserve">, </w:t>
            </w:r>
            <w:r>
              <w:rPr>
                <w:spacing w:val="-4"/>
                <w:lang w:val="en-GB"/>
              </w:rPr>
              <w:t xml:space="preserve">which is by </w:t>
            </w:r>
            <w:r w:rsidRPr="007D5055">
              <w:rPr>
                <w:spacing w:val="-4"/>
                <w:lang w:val="en-GB"/>
              </w:rPr>
              <w:t>7</w:t>
            </w:r>
            <w:r>
              <w:rPr>
                <w:spacing w:val="-4"/>
                <w:lang w:val="en-GB"/>
              </w:rPr>
              <w:t>.</w:t>
            </w:r>
            <w:r w:rsidRPr="007D5055">
              <w:rPr>
                <w:spacing w:val="-4"/>
                <w:lang w:val="en-GB"/>
              </w:rPr>
              <w:t>6</w:t>
            </w:r>
            <w:r>
              <w:rPr>
                <w:spacing w:val="-4"/>
                <w:lang w:val="en-GB"/>
              </w:rPr>
              <w:t xml:space="preserve">% more in relation to the same period of the last year. Mostly the imports from countries outside the EU </w:t>
            </w:r>
            <w:proofErr w:type="gramStart"/>
            <w:r>
              <w:rPr>
                <w:spacing w:val="-4"/>
                <w:lang w:val="en-GB"/>
              </w:rPr>
              <w:t>grew,</w:t>
            </w:r>
            <w:proofErr w:type="gramEnd"/>
            <w:r>
              <w:rPr>
                <w:spacing w:val="-4"/>
                <w:lang w:val="en-GB"/>
              </w:rPr>
              <w:t xml:space="preserve"> where the oil and gas dominates, and whose growing prices also affected the nominal value of imports. The value of the imported oil and natural gas itself rose by 20.1 CZK </w:t>
            </w:r>
            <w:proofErr w:type="spellStart"/>
            <w:r>
              <w:rPr>
                <w:spacing w:val="-4"/>
                <w:lang w:val="en-GB"/>
              </w:rPr>
              <w:t>bn</w:t>
            </w:r>
            <w:proofErr w:type="spellEnd"/>
            <w:r>
              <w:rPr>
                <w:spacing w:val="-4"/>
                <w:lang w:val="en-GB"/>
              </w:rPr>
              <w:t xml:space="preserve"> </w:t>
            </w:r>
            <w:r w:rsidRPr="007D5055">
              <w:rPr>
                <w:spacing w:val="-4"/>
                <w:lang w:val="en-GB"/>
              </w:rPr>
              <w:t>(45</w:t>
            </w:r>
            <w:r>
              <w:rPr>
                <w:spacing w:val="-4"/>
                <w:lang w:val="en-GB"/>
              </w:rPr>
              <w:t>.</w:t>
            </w:r>
            <w:r w:rsidRPr="007D5055">
              <w:rPr>
                <w:spacing w:val="-4"/>
                <w:lang w:val="en-GB"/>
              </w:rPr>
              <w:t>7</w:t>
            </w:r>
            <w:r>
              <w:rPr>
                <w:spacing w:val="-4"/>
                <w:lang w:val="en-GB"/>
              </w:rPr>
              <w:t>%</w:t>
            </w:r>
            <w:r w:rsidRPr="007D5055">
              <w:rPr>
                <w:spacing w:val="-4"/>
                <w:lang w:val="en-GB"/>
              </w:rPr>
              <w:t>)</w:t>
            </w:r>
            <w:r>
              <w:rPr>
                <w:spacing w:val="-4"/>
                <w:lang w:val="en-GB"/>
              </w:rPr>
              <w:t xml:space="preserve"> year-on-year</w:t>
            </w:r>
            <w:r w:rsidRPr="007D5055">
              <w:rPr>
                <w:spacing w:val="-4"/>
                <w:lang w:val="en-GB"/>
              </w:rPr>
              <w:t xml:space="preserve">. </w:t>
            </w:r>
            <w:r>
              <w:rPr>
                <w:spacing w:val="-4"/>
                <w:lang w:val="en-GB"/>
              </w:rPr>
              <w:t xml:space="preserve">The import from Russia, which is the majority source of this commodity, went up by </w:t>
            </w:r>
            <w:r w:rsidRPr="007D5055">
              <w:rPr>
                <w:spacing w:val="-4"/>
                <w:lang w:val="en-GB"/>
              </w:rPr>
              <w:t>22</w:t>
            </w:r>
            <w:r>
              <w:rPr>
                <w:spacing w:val="-4"/>
                <w:lang w:val="en-GB"/>
              </w:rPr>
              <w:t>.</w:t>
            </w:r>
            <w:r w:rsidRPr="007D5055">
              <w:rPr>
                <w:spacing w:val="-4"/>
                <w:lang w:val="en-GB"/>
              </w:rPr>
              <w:t xml:space="preserve">0 </w:t>
            </w:r>
            <w:r>
              <w:rPr>
                <w:spacing w:val="-4"/>
                <w:lang w:val="en-GB"/>
              </w:rPr>
              <w:t xml:space="preserve">CZK </w:t>
            </w:r>
            <w:proofErr w:type="spellStart"/>
            <w:r>
              <w:rPr>
                <w:spacing w:val="-4"/>
                <w:lang w:val="en-GB"/>
              </w:rPr>
              <w:t>bn</w:t>
            </w:r>
            <w:proofErr w:type="spellEnd"/>
            <w:r>
              <w:rPr>
                <w:spacing w:val="-4"/>
                <w:lang w:val="en-GB"/>
              </w:rPr>
              <w:t xml:space="preserve"> </w:t>
            </w:r>
            <w:r w:rsidRPr="007D5055">
              <w:rPr>
                <w:spacing w:val="-4"/>
                <w:lang w:val="en-GB"/>
              </w:rPr>
              <w:t>(55</w:t>
            </w:r>
            <w:r>
              <w:rPr>
                <w:spacing w:val="-4"/>
                <w:lang w:val="en-GB"/>
              </w:rPr>
              <w:t>.</w:t>
            </w:r>
            <w:r w:rsidRPr="007D5055">
              <w:rPr>
                <w:spacing w:val="-4"/>
                <w:lang w:val="en-GB"/>
              </w:rPr>
              <w:t>3</w:t>
            </w:r>
            <w:r>
              <w:rPr>
                <w:spacing w:val="-4"/>
                <w:lang w:val="en-GB"/>
              </w:rPr>
              <w:t>%</w:t>
            </w:r>
            <w:r w:rsidRPr="007D5055">
              <w:rPr>
                <w:spacing w:val="-4"/>
                <w:lang w:val="en-GB"/>
              </w:rPr>
              <w:t xml:space="preserve">). </w:t>
            </w:r>
            <w:r>
              <w:rPr>
                <w:spacing w:val="-4"/>
                <w:lang w:val="en-GB"/>
              </w:rPr>
              <w:t xml:space="preserve">The imports of basic metals markedly grew </w:t>
            </w:r>
            <w:r w:rsidRPr="007D5055">
              <w:rPr>
                <w:spacing w:val="-4"/>
                <w:lang w:val="en-GB"/>
              </w:rPr>
              <w:t>(19</w:t>
            </w:r>
            <w:r>
              <w:rPr>
                <w:spacing w:val="-4"/>
                <w:lang w:val="en-GB"/>
              </w:rPr>
              <w:t>.</w:t>
            </w:r>
            <w:r w:rsidRPr="007D5055">
              <w:rPr>
                <w:spacing w:val="-4"/>
                <w:lang w:val="en-GB"/>
              </w:rPr>
              <w:t>5</w:t>
            </w:r>
            <w:r>
              <w:rPr>
                <w:spacing w:val="-4"/>
                <w:lang w:val="en-GB"/>
              </w:rPr>
              <w:t>%</w:t>
            </w:r>
            <w:r w:rsidRPr="007D5055">
              <w:rPr>
                <w:spacing w:val="-4"/>
                <w:lang w:val="en-GB"/>
              </w:rPr>
              <w:t>, 22</w:t>
            </w:r>
            <w:r>
              <w:rPr>
                <w:spacing w:val="-4"/>
                <w:lang w:val="en-GB"/>
              </w:rPr>
              <w:t>.</w:t>
            </w:r>
            <w:r w:rsidRPr="007D5055">
              <w:rPr>
                <w:spacing w:val="-4"/>
                <w:lang w:val="en-GB"/>
              </w:rPr>
              <w:t xml:space="preserve">2 </w:t>
            </w:r>
            <w:r>
              <w:rPr>
                <w:spacing w:val="-4"/>
                <w:lang w:val="en-GB"/>
              </w:rPr>
              <w:t xml:space="preserve">CZK </w:t>
            </w:r>
            <w:proofErr w:type="spellStart"/>
            <w:r>
              <w:rPr>
                <w:spacing w:val="-4"/>
                <w:lang w:val="en-GB"/>
              </w:rPr>
              <w:t>bn</w:t>
            </w:r>
            <w:proofErr w:type="spellEnd"/>
            <w:r w:rsidRPr="007D5055">
              <w:rPr>
                <w:spacing w:val="-4"/>
                <w:lang w:val="en-GB"/>
              </w:rPr>
              <w:t xml:space="preserve">), </w:t>
            </w:r>
            <w:r>
              <w:rPr>
                <w:spacing w:val="-4"/>
                <w:lang w:val="en-GB"/>
              </w:rPr>
              <w:t xml:space="preserve">motor vehicles experienced strong growth </w:t>
            </w:r>
            <w:r w:rsidRPr="007D5055">
              <w:rPr>
                <w:spacing w:val="-4"/>
                <w:lang w:val="en-GB"/>
              </w:rPr>
              <w:t>(11</w:t>
            </w:r>
            <w:r>
              <w:rPr>
                <w:spacing w:val="-4"/>
                <w:lang w:val="en-GB"/>
              </w:rPr>
              <w:t>.</w:t>
            </w:r>
            <w:r w:rsidRPr="007D5055">
              <w:rPr>
                <w:spacing w:val="-4"/>
                <w:lang w:val="en-GB"/>
              </w:rPr>
              <w:t>2</w:t>
            </w:r>
            <w:r>
              <w:rPr>
                <w:spacing w:val="-4"/>
                <w:lang w:val="en-GB"/>
              </w:rPr>
              <w:t>%</w:t>
            </w:r>
            <w:r w:rsidRPr="007D5055">
              <w:rPr>
                <w:spacing w:val="-4"/>
                <w:lang w:val="en-GB"/>
              </w:rPr>
              <w:t>, 28</w:t>
            </w:r>
            <w:r>
              <w:rPr>
                <w:spacing w:val="-4"/>
                <w:lang w:val="en-GB"/>
              </w:rPr>
              <w:t>.</w:t>
            </w:r>
            <w:r w:rsidRPr="007D5055">
              <w:rPr>
                <w:spacing w:val="-4"/>
                <w:lang w:val="en-GB"/>
              </w:rPr>
              <w:t xml:space="preserve">7 </w:t>
            </w:r>
            <w:proofErr w:type="spellStart"/>
            <w:r>
              <w:rPr>
                <w:spacing w:val="-4"/>
                <w:lang w:val="en-GB"/>
              </w:rPr>
              <w:t>bn</w:t>
            </w:r>
            <w:proofErr w:type="spellEnd"/>
            <w:r w:rsidRPr="007D5055">
              <w:rPr>
                <w:spacing w:val="-4"/>
                <w:lang w:val="en-GB"/>
              </w:rPr>
              <w:t xml:space="preserve">) </w:t>
            </w:r>
            <w:r>
              <w:rPr>
                <w:spacing w:val="-4"/>
                <w:lang w:val="en-GB"/>
              </w:rPr>
              <w:t xml:space="preserve">as well as the electrical equipment </w:t>
            </w:r>
            <w:r w:rsidRPr="007D5055">
              <w:rPr>
                <w:spacing w:val="-4"/>
                <w:lang w:val="en-GB"/>
              </w:rPr>
              <w:t>(10</w:t>
            </w:r>
            <w:r>
              <w:rPr>
                <w:spacing w:val="-4"/>
                <w:lang w:val="en-GB"/>
              </w:rPr>
              <w:t>.</w:t>
            </w:r>
            <w:r w:rsidRPr="007D5055">
              <w:rPr>
                <w:spacing w:val="-4"/>
                <w:lang w:val="en-GB"/>
              </w:rPr>
              <w:t>0</w:t>
            </w:r>
            <w:r>
              <w:rPr>
                <w:spacing w:val="-4"/>
                <w:lang w:val="en-GB"/>
              </w:rPr>
              <w:t>%</w:t>
            </w:r>
            <w:r w:rsidRPr="007D5055">
              <w:rPr>
                <w:spacing w:val="-4"/>
                <w:lang w:val="en-GB"/>
              </w:rPr>
              <w:t>, 11</w:t>
            </w:r>
            <w:r>
              <w:rPr>
                <w:spacing w:val="-4"/>
                <w:lang w:val="en-GB"/>
              </w:rPr>
              <w:t>.</w:t>
            </w:r>
            <w:r w:rsidRPr="007D5055">
              <w:rPr>
                <w:spacing w:val="-4"/>
                <w:lang w:val="en-GB"/>
              </w:rPr>
              <w:t xml:space="preserve">6 </w:t>
            </w:r>
            <w:proofErr w:type="spellStart"/>
            <w:r>
              <w:rPr>
                <w:spacing w:val="-4"/>
                <w:lang w:val="en-GB"/>
              </w:rPr>
              <w:t>bn</w:t>
            </w:r>
            <w:proofErr w:type="spellEnd"/>
            <w:r w:rsidRPr="007D5055">
              <w:rPr>
                <w:spacing w:val="-4"/>
                <w:lang w:val="en-GB"/>
              </w:rPr>
              <w:t xml:space="preserve">). </w:t>
            </w:r>
            <w:r>
              <w:rPr>
                <w:spacing w:val="-4"/>
                <w:lang w:val="en-GB"/>
              </w:rPr>
              <w:t xml:space="preserve">The value of imports of the metalworking products decreased by </w:t>
            </w:r>
            <w:r w:rsidRPr="007D5055">
              <w:rPr>
                <w:spacing w:val="-4"/>
                <w:lang w:val="en-GB"/>
              </w:rPr>
              <w:t>6</w:t>
            </w:r>
            <w:r>
              <w:rPr>
                <w:spacing w:val="-4"/>
                <w:lang w:val="en-GB"/>
              </w:rPr>
              <w:t>.</w:t>
            </w:r>
            <w:r w:rsidRPr="007D5055">
              <w:rPr>
                <w:spacing w:val="-4"/>
                <w:lang w:val="en-GB"/>
              </w:rPr>
              <w:t>2</w:t>
            </w:r>
            <w:r>
              <w:rPr>
                <w:spacing w:val="-4"/>
                <w:lang w:val="en-GB"/>
              </w:rPr>
              <w:t>%</w:t>
            </w:r>
            <w:r w:rsidRPr="007D5055">
              <w:rPr>
                <w:spacing w:val="-4"/>
                <w:lang w:val="en-GB"/>
              </w:rPr>
              <w:t xml:space="preserve"> (5</w:t>
            </w:r>
            <w:r>
              <w:rPr>
                <w:spacing w:val="-4"/>
                <w:lang w:val="en-GB"/>
              </w:rPr>
              <w:t>.</w:t>
            </w:r>
            <w:r w:rsidRPr="007D5055">
              <w:rPr>
                <w:spacing w:val="-4"/>
                <w:lang w:val="en-GB"/>
              </w:rPr>
              <w:t xml:space="preserve">5 </w:t>
            </w:r>
            <w:proofErr w:type="spellStart"/>
            <w:r>
              <w:rPr>
                <w:spacing w:val="-4"/>
                <w:lang w:val="en-GB"/>
              </w:rPr>
              <w:t>bn</w:t>
            </w:r>
            <w:proofErr w:type="spellEnd"/>
            <w:r w:rsidRPr="007D5055">
              <w:rPr>
                <w:spacing w:val="-4"/>
                <w:lang w:val="en-GB"/>
              </w:rPr>
              <w:t xml:space="preserve">), </w:t>
            </w:r>
            <w:r>
              <w:rPr>
                <w:spacing w:val="-4"/>
                <w:lang w:val="en-GB"/>
              </w:rPr>
              <w:t xml:space="preserve">for coke and refined oil products by </w:t>
            </w:r>
            <w:r w:rsidRPr="007D5055">
              <w:rPr>
                <w:spacing w:val="-4"/>
                <w:lang w:val="en-GB"/>
              </w:rPr>
              <w:t>10</w:t>
            </w:r>
            <w:r>
              <w:rPr>
                <w:spacing w:val="-4"/>
                <w:lang w:val="en-GB"/>
              </w:rPr>
              <w:t>.</w:t>
            </w:r>
            <w:r w:rsidRPr="007D5055">
              <w:rPr>
                <w:spacing w:val="-4"/>
                <w:lang w:val="en-GB"/>
              </w:rPr>
              <w:t>3</w:t>
            </w:r>
            <w:r>
              <w:rPr>
                <w:spacing w:val="-4"/>
                <w:lang w:val="en-GB"/>
              </w:rPr>
              <w:t>%</w:t>
            </w:r>
            <w:r w:rsidRPr="007D5055">
              <w:rPr>
                <w:spacing w:val="-4"/>
                <w:lang w:val="en-GB"/>
              </w:rPr>
              <w:t xml:space="preserve"> (2</w:t>
            </w:r>
            <w:r>
              <w:rPr>
                <w:spacing w:val="-4"/>
                <w:lang w:val="en-GB"/>
              </w:rPr>
              <w:t>.</w:t>
            </w:r>
            <w:r w:rsidRPr="007D5055">
              <w:rPr>
                <w:spacing w:val="-4"/>
                <w:lang w:val="en-GB"/>
              </w:rPr>
              <w:t xml:space="preserve">7 </w:t>
            </w:r>
            <w:proofErr w:type="spellStart"/>
            <w:r>
              <w:rPr>
                <w:spacing w:val="-4"/>
                <w:lang w:val="en-GB"/>
              </w:rPr>
              <w:t>bn</w:t>
            </w:r>
            <w:proofErr w:type="spellEnd"/>
            <w:r w:rsidRPr="007D5055">
              <w:rPr>
                <w:spacing w:val="-4"/>
                <w:lang w:val="en-GB"/>
              </w:rPr>
              <w:t>) a</w:t>
            </w:r>
            <w:r>
              <w:rPr>
                <w:spacing w:val="-4"/>
                <w:lang w:val="en-GB"/>
              </w:rPr>
              <w:t>nd slightly for the food products (</w:t>
            </w:r>
            <w:r w:rsidRPr="007D5055">
              <w:rPr>
                <w:spacing w:val="-4"/>
                <w:lang w:val="en-GB"/>
              </w:rPr>
              <w:t>-1</w:t>
            </w:r>
            <w:r>
              <w:rPr>
                <w:spacing w:val="-4"/>
                <w:lang w:val="en-GB"/>
              </w:rPr>
              <w:t>.</w:t>
            </w:r>
            <w:r w:rsidRPr="007D5055">
              <w:rPr>
                <w:spacing w:val="-4"/>
                <w:lang w:val="en-GB"/>
              </w:rPr>
              <w:t>6</w:t>
            </w:r>
            <w:r>
              <w:rPr>
                <w:spacing w:val="-4"/>
                <w:lang w:val="en-GB"/>
              </w:rPr>
              <w:t>%</w:t>
            </w:r>
            <w:r w:rsidRPr="007D5055">
              <w:rPr>
                <w:spacing w:val="-4"/>
                <w:lang w:val="en-GB"/>
              </w:rPr>
              <w:t>, 1</w:t>
            </w:r>
            <w:r>
              <w:rPr>
                <w:spacing w:val="-4"/>
                <w:lang w:val="en-GB"/>
              </w:rPr>
              <w:t>.</w:t>
            </w:r>
            <w:r w:rsidRPr="007D5055">
              <w:rPr>
                <w:spacing w:val="-4"/>
                <w:lang w:val="en-GB"/>
              </w:rPr>
              <w:t>2 </w:t>
            </w:r>
            <w:proofErr w:type="spellStart"/>
            <w:r>
              <w:rPr>
                <w:spacing w:val="-4"/>
                <w:lang w:val="en-GB"/>
              </w:rPr>
              <w:t>bn</w:t>
            </w:r>
            <w:proofErr w:type="spellEnd"/>
            <w:r w:rsidRPr="007D5055">
              <w:rPr>
                <w:spacing w:val="-4"/>
                <w:lang w:val="en-GB"/>
              </w:rPr>
              <w:t>).</w:t>
            </w:r>
          </w:p>
          <w:p w:rsidR="009F62C9" w:rsidRPr="007D5055" w:rsidRDefault="009F62C9" w:rsidP="00260FBE">
            <w:pPr>
              <w:pStyle w:val="Textpoznpodarou"/>
              <w:jc w:val="both"/>
              <w:rPr>
                <w:spacing w:val="-4"/>
                <w:sz w:val="14"/>
                <w:szCs w:val="14"/>
                <w:highlight w:val="yellow"/>
                <w:lang w:val="en-GB"/>
              </w:rPr>
            </w:pPr>
          </w:p>
        </w:tc>
      </w:tr>
      <w:tr w:rsidR="009F62C9" w:rsidRPr="00A74192" w:rsidTr="00260FBE">
        <w:tc>
          <w:tcPr>
            <w:tcW w:w="1015" w:type="pct"/>
          </w:tcPr>
          <w:p w:rsidR="009F62C9" w:rsidRPr="007D5055" w:rsidRDefault="009F62C9" w:rsidP="00260FBE">
            <w:pPr>
              <w:spacing w:line="240" w:lineRule="auto"/>
              <w:rPr>
                <w:sz w:val="16"/>
                <w:szCs w:val="16"/>
                <w:lang w:val="en-GB"/>
              </w:rPr>
            </w:pPr>
            <w:r w:rsidRPr="00CD7E3B">
              <w:rPr>
                <w:sz w:val="16"/>
                <w:szCs w:val="16"/>
                <w:lang w:val="en-GB"/>
              </w:rPr>
              <w:t xml:space="preserve">Foreign trade balance remains positive, even though slightly lower compared to the last year. </w:t>
            </w:r>
          </w:p>
        </w:tc>
        <w:tc>
          <w:tcPr>
            <w:tcW w:w="144" w:type="pct"/>
          </w:tcPr>
          <w:p w:rsidR="009F62C9" w:rsidRPr="007D5055" w:rsidRDefault="009F62C9" w:rsidP="00260FBE">
            <w:pPr>
              <w:pStyle w:val="Textpoznpodarou"/>
              <w:jc w:val="both"/>
              <w:rPr>
                <w:highlight w:val="yellow"/>
                <w:lang w:val="en-GB"/>
              </w:rPr>
            </w:pPr>
          </w:p>
        </w:tc>
        <w:tc>
          <w:tcPr>
            <w:tcW w:w="3841" w:type="pct"/>
            <w:gridSpan w:val="4"/>
          </w:tcPr>
          <w:p w:rsidR="009F62C9" w:rsidRDefault="009F62C9" w:rsidP="00260FBE">
            <w:pPr>
              <w:pStyle w:val="Textpoznpodarou"/>
              <w:jc w:val="both"/>
              <w:rPr>
                <w:spacing w:val="-4"/>
                <w:lang w:val="en-GB"/>
              </w:rPr>
            </w:pPr>
            <w:r>
              <w:rPr>
                <w:spacing w:val="-4"/>
                <w:lang w:val="en-GB"/>
              </w:rPr>
              <w:t xml:space="preserve">The foreign trade balance ended in surplus of 115.3 CZK </w:t>
            </w:r>
            <w:proofErr w:type="spellStart"/>
            <w:r>
              <w:rPr>
                <w:spacing w:val="-4"/>
                <w:lang w:val="en-GB"/>
              </w:rPr>
              <w:t>bn</w:t>
            </w:r>
            <w:proofErr w:type="spellEnd"/>
            <w:r>
              <w:rPr>
                <w:spacing w:val="-4"/>
                <w:lang w:val="en-GB"/>
              </w:rPr>
              <w:t xml:space="preserve"> in H1. This corresponds to the year-on-year decline of 7.2 bn. The deepening of the deficit of trade with countries outside the EU by 36.6 CZK </w:t>
            </w:r>
            <w:proofErr w:type="spellStart"/>
            <w:r>
              <w:rPr>
                <w:spacing w:val="-4"/>
                <w:lang w:val="en-GB"/>
              </w:rPr>
              <w:t>bn</w:t>
            </w:r>
            <w:proofErr w:type="spellEnd"/>
            <w:r>
              <w:rPr>
                <w:spacing w:val="-4"/>
                <w:lang w:val="en-GB"/>
              </w:rPr>
              <w:t xml:space="preserve"> stands behind this development, specifically mostly with Russia (deficit </w:t>
            </w:r>
            <w:r w:rsidRPr="00CD7E3B">
              <w:rPr>
                <w:spacing w:val="-4"/>
                <w:lang w:val="en-GB"/>
              </w:rPr>
              <w:t>27</w:t>
            </w:r>
            <w:r>
              <w:rPr>
                <w:spacing w:val="-4"/>
                <w:lang w:val="en-GB"/>
              </w:rPr>
              <w:t>.</w:t>
            </w:r>
            <w:r w:rsidRPr="00CD7E3B">
              <w:rPr>
                <w:spacing w:val="-4"/>
                <w:lang w:val="en-GB"/>
              </w:rPr>
              <w:t>0 </w:t>
            </w:r>
            <w:proofErr w:type="spellStart"/>
            <w:r>
              <w:rPr>
                <w:spacing w:val="-4"/>
                <w:lang w:val="en-GB"/>
              </w:rPr>
              <w:t>bn</w:t>
            </w:r>
            <w:proofErr w:type="spellEnd"/>
            <w:r>
              <w:rPr>
                <w:spacing w:val="-4"/>
                <w:lang w:val="en-GB"/>
              </w:rPr>
              <w:t xml:space="preserve">, deepened by </w:t>
            </w:r>
            <w:r w:rsidRPr="00CD7E3B">
              <w:rPr>
                <w:spacing w:val="-4"/>
                <w:lang w:val="en-GB"/>
              </w:rPr>
              <w:t>16</w:t>
            </w:r>
            <w:r>
              <w:rPr>
                <w:spacing w:val="-4"/>
                <w:lang w:val="en-GB"/>
              </w:rPr>
              <w:t>.</w:t>
            </w:r>
            <w:r w:rsidRPr="00CD7E3B">
              <w:rPr>
                <w:spacing w:val="-4"/>
                <w:lang w:val="en-GB"/>
              </w:rPr>
              <w:t xml:space="preserve">2 </w:t>
            </w:r>
            <w:r>
              <w:rPr>
                <w:spacing w:val="-4"/>
                <w:lang w:val="en-GB"/>
              </w:rPr>
              <w:t xml:space="preserve">CZK </w:t>
            </w:r>
            <w:proofErr w:type="spellStart"/>
            <w:r>
              <w:rPr>
                <w:spacing w:val="-4"/>
                <w:lang w:val="en-GB"/>
              </w:rPr>
              <w:t>bn</w:t>
            </w:r>
            <w:proofErr w:type="spellEnd"/>
            <w:r w:rsidRPr="00CD7E3B">
              <w:rPr>
                <w:spacing w:val="-4"/>
                <w:lang w:val="en-GB"/>
              </w:rPr>
              <w:t xml:space="preserve">). </w:t>
            </w:r>
            <w:r>
              <w:rPr>
                <w:spacing w:val="-4"/>
                <w:lang w:val="en-GB"/>
              </w:rPr>
              <w:t>The deficit with China also mildly deepened. The raising of oil prices is one of the reasons.</w:t>
            </w:r>
            <w:r w:rsidRPr="00CD7E3B">
              <w:rPr>
                <w:spacing w:val="-4"/>
                <w:lang w:val="en-GB"/>
              </w:rPr>
              <w:t xml:space="preserve"> </w:t>
            </w:r>
            <w:r>
              <w:rPr>
                <w:spacing w:val="-4"/>
                <w:lang w:val="en-GB"/>
              </w:rPr>
              <w:t xml:space="preserve">The deficit of trade with oil and natural gas widened by </w:t>
            </w:r>
            <w:r w:rsidRPr="00CD7E3B">
              <w:rPr>
                <w:spacing w:val="-4"/>
                <w:lang w:val="en-GB"/>
              </w:rPr>
              <w:t>26</w:t>
            </w:r>
            <w:r>
              <w:rPr>
                <w:spacing w:val="-4"/>
                <w:lang w:val="en-GB"/>
              </w:rPr>
              <w:t>.</w:t>
            </w:r>
            <w:r w:rsidRPr="00CD7E3B">
              <w:rPr>
                <w:spacing w:val="-4"/>
                <w:lang w:val="en-GB"/>
              </w:rPr>
              <w:t xml:space="preserve">5 </w:t>
            </w:r>
            <w:r>
              <w:rPr>
                <w:spacing w:val="-4"/>
                <w:lang w:val="en-GB"/>
              </w:rPr>
              <w:t xml:space="preserve">CZK </w:t>
            </w:r>
            <w:proofErr w:type="spellStart"/>
            <w:r>
              <w:rPr>
                <w:spacing w:val="-4"/>
                <w:lang w:val="en-GB"/>
              </w:rPr>
              <w:t>bn</w:t>
            </w:r>
            <w:proofErr w:type="spellEnd"/>
            <w:r>
              <w:rPr>
                <w:spacing w:val="-4"/>
                <w:lang w:val="en-GB"/>
              </w:rPr>
              <w:t xml:space="preserve">, with basic metals by </w:t>
            </w:r>
            <w:r w:rsidRPr="00CD7E3B">
              <w:rPr>
                <w:spacing w:val="-4"/>
                <w:lang w:val="en-GB"/>
              </w:rPr>
              <w:t>13</w:t>
            </w:r>
            <w:r>
              <w:rPr>
                <w:spacing w:val="-4"/>
                <w:lang w:val="en-GB"/>
              </w:rPr>
              <w:t>.</w:t>
            </w:r>
            <w:r w:rsidRPr="00CD7E3B">
              <w:rPr>
                <w:spacing w:val="-4"/>
                <w:lang w:val="en-GB"/>
              </w:rPr>
              <w:t xml:space="preserve">8 </w:t>
            </w:r>
            <w:r>
              <w:rPr>
                <w:spacing w:val="-4"/>
                <w:lang w:val="en-GB"/>
              </w:rPr>
              <w:t>bn</w:t>
            </w:r>
            <w:r w:rsidRPr="00CD7E3B">
              <w:rPr>
                <w:spacing w:val="-4"/>
                <w:lang w:val="en-GB"/>
              </w:rPr>
              <w:t xml:space="preserve">. </w:t>
            </w:r>
            <w:r>
              <w:rPr>
                <w:spacing w:val="-4"/>
                <w:lang w:val="en-GB"/>
              </w:rPr>
              <w:t xml:space="preserve">The long-term surplus of the trade with the motor vehicles or machinery on the contrary increased </w:t>
            </w:r>
            <w:r w:rsidRPr="00CD7E3B">
              <w:rPr>
                <w:spacing w:val="-4"/>
                <w:lang w:val="en-GB"/>
              </w:rPr>
              <w:t>(</w:t>
            </w:r>
            <w:r>
              <w:rPr>
                <w:spacing w:val="-4"/>
                <w:lang w:val="en-GB"/>
              </w:rPr>
              <w:t>by</w:t>
            </w:r>
            <w:r w:rsidRPr="00CD7E3B">
              <w:rPr>
                <w:spacing w:val="-4"/>
                <w:lang w:val="en-GB"/>
              </w:rPr>
              <w:t xml:space="preserve"> 13</w:t>
            </w:r>
            <w:r>
              <w:rPr>
                <w:spacing w:val="-4"/>
                <w:lang w:val="en-GB"/>
              </w:rPr>
              <w:t>.</w:t>
            </w:r>
            <w:r w:rsidRPr="00CD7E3B">
              <w:rPr>
                <w:spacing w:val="-4"/>
                <w:lang w:val="en-GB"/>
              </w:rPr>
              <w:t xml:space="preserve">1 </w:t>
            </w:r>
            <w:proofErr w:type="spellStart"/>
            <w:r>
              <w:rPr>
                <w:spacing w:val="-4"/>
                <w:lang w:val="en-GB"/>
              </w:rPr>
              <w:t>bn</w:t>
            </w:r>
            <w:proofErr w:type="spellEnd"/>
            <w:r>
              <w:rPr>
                <w:spacing w:val="-4"/>
                <w:lang w:val="en-GB"/>
              </w:rPr>
              <w:t xml:space="preserve"> and </w:t>
            </w:r>
            <w:r w:rsidRPr="00CD7E3B">
              <w:rPr>
                <w:spacing w:val="-4"/>
                <w:lang w:val="en-GB"/>
              </w:rPr>
              <w:t>10</w:t>
            </w:r>
            <w:r>
              <w:rPr>
                <w:spacing w:val="-4"/>
                <w:lang w:val="en-GB"/>
              </w:rPr>
              <w:t>.</w:t>
            </w:r>
            <w:r w:rsidRPr="00CD7E3B">
              <w:rPr>
                <w:spacing w:val="-4"/>
                <w:lang w:val="en-GB"/>
              </w:rPr>
              <w:t xml:space="preserve">6 </w:t>
            </w:r>
            <w:r>
              <w:rPr>
                <w:spacing w:val="-4"/>
                <w:lang w:val="en-GB"/>
              </w:rPr>
              <w:t xml:space="preserve">CZK </w:t>
            </w:r>
            <w:proofErr w:type="spellStart"/>
            <w:r>
              <w:rPr>
                <w:spacing w:val="-4"/>
                <w:lang w:val="en-GB"/>
              </w:rPr>
              <w:t>bn</w:t>
            </w:r>
            <w:proofErr w:type="spellEnd"/>
            <w:r w:rsidRPr="00CD7E3B">
              <w:rPr>
                <w:spacing w:val="-4"/>
                <w:lang w:val="en-GB"/>
              </w:rPr>
              <w:t>).</w:t>
            </w:r>
          </w:p>
          <w:p w:rsidR="009F62C9" w:rsidRDefault="009F62C9" w:rsidP="00260FBE">
            <w:pPr>
              <w:pStyle w:val="Textpoznpodarou"/>
              <w:jc w:val="both"/>
              <w:rPr>
                <w:spacing w:val="-4"/>
                <w:sz w:val="16"/>
                <w:szCs w:val="16"/>
                <w:lang w:val="en-GB"/>
              </w:rPr>
            </w:pPr>
          </w:p>
          <w:p w:rsidR="009F62C9" w:rsidRPr="00214DB7" w:rsidRDefault="009F62C9" w:rsidP="00260FBE">
            <w:pPr>
              <w:pStyle w:val="Textpoznpodarou"/>
              <w:jc w:val="both"/>
              <w:rPr>
                <w:spacing w:val="-4"/>
                <w:sz w:val="16"/>
                <w:szCs w:val="16"/>
                <w:lang w:val="en-GB"/>
              </w:rPr>
            </w:pPr>
          </w:p>
          <w:p w:rsidR="009F62C9" w:rsidRDefault="009F62C9" w:rsidP="00214DB7">
            <w:pPr>
              <w:pStyle w:val="Textpoznpodarou"/>
              <w:jc w:val="both"/>
              <w:rPr>
                <w:spacing w:val="-4"/>
                <w:lang w:val="en-GB"/>
              </w:rPr>
            </w:pPr>
          </w:p>
        </w:tc>
      </w:tr>
      <w:tr w:rsidR="009F62C9" w:rsidRPr="00A74192" w:rsidTr="00260FBE">
        <w:tc>
          <w:tcPr>
            <w:tcW w:w="1015" w:type="pct"/>
          </w:tcPr>
          <w:p w:rsidR="009F62C9" w:rsidRPr="002804BB" w:rsidRDefault="009F62C9" w:rsidP="00260FBE">
            <w:pPr>
              <w:spacing w:line="240" w:lineRule="auto"/>
              <w:rPr>
                <w:sz w:val="16"/>
                <w:szCs w:val="16"/>
                <w:highlight w:val="yellow"/>
              </w:rPr>
            </w:pPr>
          </w:p>
        </w:tc>
        <w:tc>
          <w:tcPr>
            <w:tcW w:w="144" w:type="pct"/>
          </w:tcPr>
          <w:p w:rsidR="009F62C9" w:rsidRPr="00A74192" w:rsidRDefault="009F62C9" w:rsidP="00260FBE">
            <w:pPr>
              <w:pStyle w:val="Textpoznpodarou"/>
              <w:jc w:val="both"/>
            </w:pPr>
          </w:p>
        </w:tc>
        <w:tc>
          <w:tcPr>
            <w:tcW w:w="653" w:type="pct"/>
            <w:gridSpan w:val="2"/>
          </w:tcPr>
          <w:p w:rsidR="009F62C9" w:rsidRPr="00DC21E2" w:rsidRDefault="009F62C9" w:rsidP="00260FBE">
            <w:pPr>
              <w:pStyle w:val="Textpoznpodarou"/>
              <w:jc w:val="both"/>
              <w:rPr>
                <w:spacing w:val="-4"/>
                <w:sz w:val="16"/>
                <w:szCs w:val="16"/>
                <w:highlight w:val="yellow"/>
              </w:rPr>
            </w:pPr>
            <w:r>
              <w:rPr>
                <w:spacing w:val="-4"/>
              </w:rPr>
              <w:t xml:space="preserve">Chart </w:t>
            </w:r>
            <w:r w:rsidRPr="00DC21E2">
              <w:rPr>
                <w:spacing w:val="-4"/>
              </w:rPr>
              <w:t>10</w:t>
            </w:r>
          </w:p>
        </w:tc>
        <w:tc>
          <w:tcPr>
            <w:tcW w:w="3188" w:type="pct"/>
            <w:gridSpan w:val="2"/>
          </w:tcPr>
          <w:p w:rsidR="009F62C9" w:rsidRPr="00DC21E2" w:rsidRDefault="009F62C9" w:rsidP="00260FBE">
            <w:pPr>
              <w:pStyle w:val="Textpoznpodarou"/>
              <w:rPr>
                <w:spacing w:val="-4"/>
                <w:sz w:val="16"/>
                <w:szCs w:val="16"/>
                <w:highlight w:val="yellow"/>
              </w:rPr>
            </w:pPr>
            <w:r w:rsidRPr="0036045E">
              <w:rPr>
                <w:b/>
                <w:spacing w:val="-4"/>
                <w:lang w:val="en-GB"/>
              </w:rPr>
              <w:t xml:space="preserve">Balance of foreign trade* in foreign trade statistics </w:t>
            </w:r>
            <w:r w:rsidRPr="0036045E">
              <w:rPr>
                <w:spacing w:val="-4"/>
                <w:lang w:val="en-GB"/>
              </w:rPr>
              <w:t xml:space="preserve">(accumulation Q1 and Q2, in CZK </w:t>
            </w:r>
            <w:proofErr w:type="spellStart"/>
            <w:r w:rsidRPr="0036045E">
              <w:rPr>
                <w:spacing w:val="-4"/>
                <w:lang w:val="en-GB"/>
              </w:rPr>
              <w:t>bn</w:t>
            </w:r>
            <w:proofErr w:type="spellEnd"/>
            <w:r w:rsidRPr="0036045E">
              <w:rPr>
                <w:spacing w:val="-4"/>
                <w:lang w:val="en-GB"/>
              </w:rPr>
              <w:t xml:space="preserve">, selected divisions of the </w:t>
            </w:r>
            <w:r>
              <w:rPr>
                <w:spacing w:val="-4"/>
                <w:lang w:val="en-GB"/>
              </w:rPr>
              <w:t>CZ-CPA classification</w:t>
            </w:r>
            <w:r w:rsidRPr="00DC21E2">
              <w:rPr>
                <w:spacing w:val="-4"/>
              </w:rPr>
              <w:t>)</w:t>
            </w:r>
          </w:p>
        </w:tc>
      </w:tr>
      <w:tr w:rsidR="009F62C9" w:rsidRPr="00A74192" w:rsidTr="00260FBE">
        <w:tc>
          <w:tcPr>
            <w:tcW w:w="1015" w:type="pct"/>
          </w:tcPr>
          <w:p w:rsidR="009F62C9" w:rsidRPr="002804BB" w:rsidRDefault="009F62C9" w:rsidP="00260FBE">
            <w:pPr>
              <w:spacing w:line="240" w:lineRule="auto"/>
              <w:rPr>
                <w:sz w:val="16"/>
                <w:szCs w:val="16"/>
                <w:highlight w:val="yellow"/>
              </w:rPr>
            </w:pPr>
          </w:p>
        </w:tc>
        <w:tc>
          <w:tcPr>
            <w:tcW w:w="144" w:type="pct"/>
          </w:tcPr>
          <w:p w:rsidR="009F62C9" w:rsidRPr="00A74192" w:rsidRDefault="009F62C9" w:rsidP="00260FBE">
            <w:pPr>
              <w:pStyle w:val="Textpoznpodarou"/>
              <w:jc w:val="both"/>
            </w:pPr>
          </w:p>
        </w:tc>
        <w:tc>
          <w:tcPr>
            <w:tcW w:w="3841" w:type="pct"/>
            <w:gridSpan w:val="4"/>
          </w:tcPr>
          <w:p w:rsidR="009F62C9" w:rsidRPr="00DC21E2" w:rsidRDefault="009F62C9" w:rsidP="00260FBE">
            <w:pPr>
              <w:pStyle w:val="Textpoznpodarou"/>
              <w:ind w:left="-73"/>
              <w:jc w:val="right"/>
              <w:rPr>
                <w:spacing w:val="-4"/>
                <w:sz w:val="14"/>
                <w:szCs w:val="14"/>
              </w:rPr>
            </w:pPr>
            <w:r w:rsidRPr="0068748C">
              <w:rPr>
                <w:noProof/>
                <w:spacing w:val="-4"/>
                <w:sz w:val="14"/>
                <w:szCs w:val="14"/>
              </w:rPr>
              <w:drawing>
                <wp:inline distT="0" distB="0" distL="0" distR="0">
                  <wp:extent cx="4737600" cy="3553200"/>
                  <wp:effectExtent l="19050" t="0" r="0" b="0"/>
                  <wp:docPr id="2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9F62C9" w:rsidRPr="008F1638" w:rsidTr="00260FBE">
        <w:tc>
          <w:tcPr>
            <w:tcW w:w="1015" w:type="pct"/>
          </w:tcPr>
          <w:p w:rsidR="009F62C9" w:rsidRPr="00F35066" w:rsidRDefault="009F62C9" w:rsidP="00260FBE">
            <w:pPr>
              <w:spacing w:line="240" w:lineRule="auto"/>
              <w:rPr>
                <w:sz w:val="16"/>
                <w:szCs w:val="16"/>
              </w:rPr>
            </w:pPr>
          </w:p>
        </w:tc>
        <w:tc>
          <w:tcPr>
            <w:tcW w:w="144" w:type="pct"/>
          </w:tcPr>
          <w:p w:rsidR="009F62C9" w:rsidRPr="002804BB" w:rsidRDefault="009F62C9" w:rsidP="00260FBE">
            <w:pPr>
              <w:pStyle w:val="Textpoznpodarou"/>
              <w:jc w:val="both"/>
              <w:rPr>
                <w:highlight w:val="yellow"/>
              </w:rPr>
            </w:pPr>
          </w:p>
        </w:tc>
        <w:tc>
          <w:tcPr>
            <w:tcW w:w="1948" w:type="pct"/>
            <w:gridSpan w:val="3"/>
          </w:tcPr>
          <w:p w:rsidR="009F62C9" w:rsidRPr="00DC21E2" w:rsidRDefault="009F62C9" w:rsidP="00260FBE">
            <w:pPr>
              <w:pStyle w:val="Textpoznpodarou"/>
              <w:jc w:val="both"/>
              <w:rPr>
                <w:spacing w:val="-4"/>
                <w:sz w:val="14"/>
                <w:szCs w:val="14"/>
              </w:rPr>
            </w:pPr>
            <w:r w:rsidRPr="00DC21E2">
              <w:rPr>
                <w:spacing w:val="-4"/>
                <w:sz w:val="14"/>
                <w:szCs w:val="14"/>
              </w:rPr>
              <w:t>*</w:t>
            </w:r>
            <w:r w:rsidRPr="000056A1">
              <w:rPr>
                <w:spacing w:val="-4"/>
                <w:sz w:val="14"/>
                <w:szCs w:val="14"/>
                <w:lang w:val="en-GB"/>
              </w:rPr>
              <w:t>in the national conception</w:t>
            </w:r>
          </w:p>
        </w:tc>
        <w:tc>
          <w:tcPr>
            <w:tcW w:w="1893" w:type="pct"/>
          </w:tcPr>
          <w:p w:rsidR="00486640" w:rsidRDefault="009F62C9">
            <w:pPr>
              <w:pStyle w:val="Textpoznpodarou"/>
              <w:jc w:val="right"/>
              <w:rPr>
                <w:spacing w:val="-4"/>
                <w:sz w:val="14"/>
                <w:szCs w:val="14"/>
              </w:rPr>
            </w:pPr>
            <w:proofErr w:type="spellStart"/>
            <w:r>
              <w:rPr>
                <w:spacing w:val="-4"/>
                <w:sz w:val="14"/>
                <w:szCs w:val="14"/>
              </w:rPr>
              <w:t>Source</w:t>
            </w:r>
            <w:proofErr w:type="spellEnd"/>
            <w:r w:rsidRPr="00DC21E2">
              <w:rPr>
                <w:spacing w:val="-4"/>
                <w:sz w:val="14"/>
                <w:szCs w:val="14"/>
              </w:rPr>
              <w:t xml:space="preserve">: </w:t>
            </w:r>
            <w:r>
              <w:rPr>
                <w:spacing w:val="-4"/>
                <w:sz w:val="14"/>
                <w:szCs w:val="14"/>
              </w:rPr>
              <w:t>CZSO</w:t>
            </w:r>
          </w:p>
        </w:tc>
      </w:tr>
    </w:tbl>
    <w:p w:rsidR="00DD0726" w:rsidRPr="00794E50" w:rsidRDefault="004A7695" w:rsidP="00DD0726">
      <w:pPr>
        <w:pStyle w:val="Nadpis1"/>
        <w:numPr>
          <w:ilvl w:val="0"/>
          <w:numId w:val="12"/>
        </w:numPr>
        <w:ind w:left="709"/>
        <w:jc w:val="both"/>
        <w:rPr>
          <w:lang w:val="en-GB"/>
        </w:rPr>
      </w:pPr>
      <w:bookmarkStart w:id="13" w:name="_Toc493683637"/>
      <w:bookmarkStart w:id="14" w:name="_Toc454185153"/>
      <w:bookmarkEnd w:id="12"/>
      <w:r w:rsidRPr="00794E50">
        <w:rPr>
          <w:lang w:val="en-GB"/>
        </w:rPr>
        <w:t>Prices</w:t>
      </w:r>
      <w:bookmarkEnd w:id="13"/>
    </w:p>
    <w:tbl>
      <w:tblPr>
        <w:tblW w:w="4963" w:type="pct"/>
        <w:tblInd w:w="108" w:type="dxa"/>
        <w:tblLayout w:type="fixed"/>
        <w:tblLook w:val="00A0"/>
      </w:tblPr>
      <w:tblGrid>
        <w:gridCol w:w="1985"/>
        <w:gridCol w:w="282"/>
        <w:gridCol w:w="1135"/>
        <w:gridCol w:w="6379"/>
      </w:tblGrid>
      <w:tr w:rsidR="00DD0726" w:rsidRPr="00794E50" w:rsidTr="00260FBE">
        <w:tc>
          <w:tcPr>
            <w:tcW w:w="1015" w:type="pct"/>
          </w:tcPr>
          <w:p w:rsidR="00DD0726" w:rsidRPr="00794E50" w:rsidRDefault="00794E50" w:rsidP="00794E50">
            <w:pPr>
              <w:spacing w:line="240" w:lineRule="auto"/>
              <w:ind w:right="-19"/>
              <w:rPr>
                <w:sz w:val="16"/>
                <w:szCs w:val="16"/>
                <w:lang w:val="en-GB"/>
              </w:rPr>
            </w:pPr>
            <w:r w:rsidRPr="00794E50">
              <w:rPr>
                <w:sz w:val="16"/>
                <w:szCs w:val="16"/>
                <w:lang w:val="en-GB"/>
              </w:rPr>
              <w:t xml:space="preserve">The total price level increased. </w:t>
            </w:r>
          </w:p>
        </w:tc>
        <w:tc>
          <w:tcPr>
            <w:tcW w:w="144" w:type="pct"/>
          </w:tcPr>
          <w:p w:rsidR="00DD0726" w:rsidRPr="00794E50" w:rsidRDefault="00DD0726" w:rsidP="00260FBE">
            <w:pPr>
              <w:pStyle w:val="Textpoznpodarou"/>
              <w:jc w:val="both"/>
              <w:rPr>
                <w:lang w:val="en-GB"/>
              </w:rPr>
            </w:pPr>
          </w:p>
        </w:tc>
        <w:tc>
          <w:tcPr>
            <w:tcW w:w="3841" w:type="pct"/>
            <w:gridSpan w:val="2"/>
          </w:tcPr>
          <w:p w:rsidR="00DD0726" w:rsidRPr="00794E50" w:rsidRDefault="004F2BD2" w:rsidP="00260FBE">
            <w:pPr>
              <w:pStyle w:val="Textpoznpodarou"/>
              <w:ind w:right="-35"/>
              <w:jc w:val="both"/>
              <w:rPr>
                <w:spacing w:val="-5"/>
                <w:sz w:val="16"/>
                <w:szCs w:val="16"/>
                <w:lang w:val="en-GB"/>
              </w:rPr>
            </w:pPr>
            <w:r>
              <w:rPr>
                <w:spacing w:val="-5"/>
                <w:lang w:val="en-GB"/>
              </w:rPr>
              <w:t>The total price level gauged by the GDP deflator increased by 1.0</w:t>
            </w:r>
            <w:r w:rsidR="00954C8E">
              <w:rPr>
                <w:spacing w:val="-5"/>
                <w:lang w:val="en-GB"/>
              </w:rPr>
              <w:t>%</w:t>
            </w:r>
            <w:r>
              <w:rPr>
                <w:spacing w:val="-5"/>
                <w:lang w:val="en-GB"/>
              </w:rPr>
              <w:t xml:space="preserve"> in Q2</w:t>
            </w:r>
            <w:r w:rsidR="00DD0726" w:rsidRPr="00794E50">
              <w:rPr>
                <w:spacing w:val="-5"/>
                <w:lang w:val="en-GB"/>
              </w:rPr>
              <w:t>. T</w:t>
            </w:r>
            <w:r>
              <w:rPr>
                <w:spacing w:val="-5"/>
                <w:lang w:val="en-GB"/>
              </w:rPr>
              <w:t>his is by 0.5 p. p. more than in Q1</w:t>
            </w:r>
            <w:r w:rsidR="00DD0726" w:rsidRPr="00794E50">
              <w:rPr>
                <w:spacing w:val="-5"/>
                <w:lang w:val="en-GB"/>
              </w:rPr>
              <w:t xml:space="preserve">, </w:t>
            </w:r>
            <w:r>
              <w:rPr>
                <w:spacing w:val="-5"/>
                <w:lang w:val="en-GB"/>
              </w:rPr>
              <w:t xml:space="preserve">but still below the level of </w:t>
            </w:r>
            <w:r w:rsidR="00DD0726" w:rsidRPr="00794E50">
              <w:rPr>
                <w:spacing w:val="-5"/>
                <w:lang w:val="en-GB"/>
              </w:rPr>
              <w:t xml:space="preserve">2016. </w:t>
            </w:r>
            <w:r w:rsidR="00761605">
              <w:rPr>
                <w:spacing w:val="-5"/>
                <w:lang w:val="en-GB"/>
              </w:rPr>
              <w:t xml:space="preserve">Mainly the negative terms of trade had an impact on the slowdown of the price growth </w:t>
            </w:r>
            <w:r w:rsidR="00DD0726" w:rsidRPr="00794E50">
              <w:rPr>
                <w:spacing w:val="-5"/>
                <w:lang w:val="en-GB"/>
              </w:rPr>
              <w:t>(98</w:t>
            </w:r>
            <w:r w:rsidR="00761605">
              <w:rPr>
                <w:spacing w:val="-5"/>
                <w:lang w:val="en-GB"/>
              </w:rPr>
              <w:t>.</w:t>
            </w:r>
            <w:r w:rsidR="00DD0726" w:rsidRPr="00794E50">
              <w:rPr>
                <w:spacing w:val="-5"/>
                <w:lang w:val="en-GB"/>
              </w:rPr>
              <w:t>3</w:t>
            </w:r>
            <w:r w:rsidR="00954C8E">
              <w:rPr>
                <w:spacing w:val="-5"/>
                <w:lang w:val="en-GB"/>
              </w:rPr>
              <w:t>%</w:t>
            </w:r>
            <w:r w:rsidR="00DD0726" w:rsidRPr="00794E50">
              <w:rPr>
                <w:spacing w:val="-5"/>
                <w:lang w:val="en-GB"/>
              </w:rPr>
              <w:t xml:space="preserve">). </w:t>
            </w:r>
            <w:r w:rsidR="00761605">
              <w:rPr>
                <w:spacing w:val="-5"/>
                <w:lang w:val="en-GB"/>
              </w:rPr>
              <w:t xml:space="preserve">Prices of </w:t>
            </w:r>
            <w:r w:rsidR="00D43A2B">
              <w:rPr>
                <w:spacing w:val="-5"/>
                <w:lang w:val="en-GB"/>
              </w:rPr>
              <w:t xml:space="preserve">goods </w:t>
            </w:r>
            <w:r w:rsidR="00761605">
              <w:rPr>
                <w:spacing w:val="-5"/>
                <w:lang w:val="en-GB"/>
              </w:rPr>
              <w:t xml:space="preserve">consumed by the households increased by </w:t>
            </w:r>
            <w:r w:rsidR="00DD0726" w:rsidRPr="00794E50">
              <w:rPr>
                <w:spacing w:val="-5"/>
                <w:lang w:val="en-GB"/>
              </w:rPr>
              <w:t>2</w:t>
            </w:r>
            <w:r w:rsidR="00761605">
              <w:rPr>
                <w:spacing w:val="-5"/>
                <w:lang w:val="en-GB"/>
              </w:rPr>
              <w:t>.</w:t>
            </w:r>
            <w:r w:rsidR="00DD0726" w:rsidRPr="00794E50">
              <w:rPr>
                <w:spacing w:val="-5"/>
                <w:lang w:val="en-GB"/>
              </w:rPr>
              <w:t>4</w:t>
            </w:r>
            <w:r w:rsidR="00954C8E">
              <w:rPr>
                <w:spacing w:val="-5"/>
                <w:lang w:val="en-GB"/>
              </w:rPr>
              <w:t>%</w:t>
            </w:r>
            <w:r w:rsidR="00DD0726" w:rsidRPr="00794E50">
              <w:rPr>
                <w:spacing w:val="-5"/>
                <w:lang w:val="en-GB"/>
              </w:rPr>
              <w:t xml:space="preserve">, </w:t>
            </w:r>
            <w:r w:rsidR="00761605">
              <w:rPr>
                <w:spacing w:val="-5"/>
                <w:lang w:val="en-GB"/>
              </w:rPr>
              <w:t xml:space="preserve">similarly to the preceding quarter. The growth of prices of the </w:t>
            </w:r>
            <w:r w:rsidR="00D43A2B">
              <w:rPr>
                <w:spacing w:val="-5"/>
                <w:lang w:val="en-GB"/>
              </w:rPr>
              <w:t>capital goods</w:t>
            </w:r>
            <w:r w:rsidR="00DD0726" w:rsidRPr="00794E50">
              <w:rPr>
                <w:spacing w:val="-5"/>
                <w:lang w:val="en-GB"/>
              </w:rPr>
              <w:t xml:space="preserve"> </w:t>
            </w:r>
            <w:r w:rsidR="00761605">
              <w:rPr>
                <w:spacing w:val="-5"/>
                <w:lang w:val="en-GB"/>
              </w:rPr>
              <w:t xml:space="preserve">reached </w:t>
            </w:r>
            <w:r w:rsidR="00DD0726" w:rsidRPr="00794E50">
              <w:rPr>
                <w:spacing w:val="-5"/>
                <w:lang w:val="en-GB"/>
              </w:rPr>
              <w:t>1</w:t>
            </w:r>
            <w:r w:rsidR="00761605">
              <w:rPr>
                <w:spacing w:val="-5"/>
                <w:lang w:val="en-GB"/>
              </w:rPr>
              <w:t>.</w:t>
            </w:r>
            <w:r w:rsidR="00DD0726" w:rsidRPr="00794E50">
              <w:rPr>
                <w:spacing w:val="-5"/>
                <w:lang w:val="en-GB"/>
              </w:rPr>
              <w:t>6</w:t>
            </w:r>
            <w:r w:rsidR="00954C8E">
              <w:rPr>
                <w:spacing w:val="-5"/>
                <w:lang w:val="en-GB"/>
              </w:rPr>
              <w:t>%</w:t>
            </w:r>
            <w:r w:rsidR="00DD0726" w:rsidRPr="00794E50">
              <w:rPr>
                <w:spacing w:val="-5"/>
                <w:lang w:val="en-GB"/>
              </w:rPr>
              <w:t>.</w:t>
            </w:r>
          </w:p>
          <w:p w:rsidR="00DD0726" w:rsidRPr="00794E50" w:rsidRDefault="00DD0726" w:rsidP="00260FBE">
            <w:pPr>
              <w:pStyle w:val="Textpoznpodarou"/>
              <w:ind w:right="-35"/>
              <w:jc w:val="both"/>
              <w:rPr>
                <w:spacing w:val="-5"/>
                <w:sz w:val="16"/>
                <w:szCs w:val="16"/>
                <w:lang w:val="en-GB"/>
              </w:rPr>
            </w:pPr>
          </w:p>
        </w:tc>
      </w:tr>
      <w:tr w:rsidR="00DD0726" w:rsidRPr="00794E50" w:rsidTr="00260FBE">
        <w:tc>
          <w:tcPr>
            <w:tcW w:w="1015" w:type="pct"/>
          </w:tcPr>
          <w:p w:rsidR="00DD0726" w:rsidRPr="00794E50" w:rsidRDefault="00761605" w:rsidP="00761605">
            <w:pPr>
              <w:spacing w:line="240" w:lineRule="auto"/>
              <w:ind w:right="-19"/>
              <w:rPr>
                <w:spacing w:val="-4"/>
                <w:sz w:val="16"/>
                <w:szCs w:val="16"/>
                <w:lang w:val="en-GB"/>
              </w:rPr>
            </w:pPr>
            <w:r>
              <w:rPr>
                <w:spacing w:val="-4"/>
                <w:sz w:val="16"/>
                <w:szCs w:val="16"/>
                <w:lang w:val="en-GB"/>
              </w:rPr>
              <w:t>The growth of consumer prices crossed the 2</w:t>
            </w:r>
            <w:r w:rsidR="00954C8E">
              <w:rPr>
                <w:spacing w:val="-4"/>
                <w:sz w:val="16"/>
                <w:szCs w:val="16"/>
                <w:lang w:val="en-GB"/>
              </w:rPr>
              <w:t>%</w:t>
            </w:r>
            <w:r>
              <w:rPr>
                <w:spacing w:val="-4"/>
                <w:sz w:val="16"/>
                <w:szCs w:val="16"/>
                <w:lang w:val="en-GB"/>
              </w:rPr>
              <w:t xml:space="preserve"> level, but did not accelerate further. </w:t>
            </w:r>
          </w:p>
        </w:tc>
        <w:tc>
          <w:tcPr>
            <w:tcW w:w="144" w:type="pct"/>
          </w:tcPr>
          <w:p w:rsidR="00DD0726" w:rsidRPr="00794E50" w:rsidRDefault="00DD0726" w:rsidP="00260FBE">
            <w:pPr>
              <w:pStyle w:val="Textpoznpodarou"/>
              <w:jc w:val="both"/>
              <w:rPr>
                <w:spacing w:val="-4"/>
                <w:lang w:val="en-GB"/>
              </w:rPr>
            </w:pPr>
          </w:p>
        </w:tc>
        <w:tc>
          <w:tcPr>
            <w:tcW w:w="3841" w:type="pct"/>
            <w:gridSpan w:val="2"/>
          </w:tcPr>
          <w:p w:rsidR="00DD0726" w:rsidRPr="00794E50" w:rsidRDefault="00FD1B51" w:rsidP="00260FBE">
            <w:pPr>
              <w:pStyle w:val="Textpoznpodarou"/>
              <w:ind w:right="-35"/>
              <w:jc w:val="both"/>
              <w:rPr>
                <w:spacing w:val="-5"/>
                <w:sz w:val="16"/>
                <w:szCs w:val="16"/>
                <w:lang w:val="en-GB"/>
              </w:rPr>
            </w:pPr>
            <w:r>
              <w:rPr>
                <w:spacing w:val="-5"/>
                <w:lang w:val="en-GB"/>
              </w:rPr>
              <w:t>The consumer prices increased by 2.3</w:t>
            </w:r>
            <w:r w:rsidR="00954C8E">
              <w:rPr>
                <w:spacing w:val="-5"/>
                <w:lang w:val="en-GB"/>
              </w:rPr>
              <w:t>%</w:t>
            </w:r>
            <w:r>
              <w:rPr>
                <w:spacing w:val="-5"/>
                <w:lang w:val="en-GB"/>
              </w:rPr>
              <w:t xml:space="preserve"> year-on-year in the first half of the year 2017. The price growth experienced </w:t>
            </w:r>
            <w:r w:rsidR="00AF7C5D">
              <w:rPr>
                <w:spacing w:val="-5"/>
                <w:lang w:val="en-GB"/>
              </w:rPr>
              <w:t>a more moderate dynamic</w:t>
            </w:r>
            <w:r>
              <w:rPr>
                <w:spacing w:val="-5"/>
                <w:lang w:val="en-GB"/>
              </w:rPr>
              <w:t xml:space="preserve"> in Q1, when it reached </w:t>
            </w:r>
            <w:r w:rsidR="00DD0726" w:rsidRPr="00794E50">
              <w:rPr>
                <w:spacing w:val="-5"/>
                <w:lang w:val="en-GB"/>
              </w:rPr>
              <w:t>2</w:t>
            </w:r>
            <w:r>
              <w:rPr>
                <w:spacing w:val="-5"/>
                <w:lang w:val="en-GB"/>
              </w:rPr>
              <w:t>.</w:t>
            </w:r>
            <w:r w:rsidR="00DD0726" w:rsidRPr="00794E50">
              <w:rPr>
                <w:spacing w:val="-5"/>
                <w:lang w:val="en-GB"/>
              </w:rPr>
              <w:t>4</w:t>
            </w:r>
            <w:r w:rsidR="00954C8E">
              <w:rPr>
                <w:spacing w:val="-5"/>
                <w:lang w:val="en-GB"/>
              </w:rPr>
              <w:t>%</w:t>
            </w:r>
            <w:r w:rsidR="00DD0726" w:rsidRPr="00794E50">
              <w:rPr>
                <w:spacing w:val="-5"/>
                <w:lang w:val="en-GB"/>
              </w:rPr>
              <w:t xml:space="preserve">. </w:t>
            </w:r>
            <w:r w:rsidR="00E11ED5">
              <w:rPr>
                <w:spacing w:val="-5"/>
                <w:lang w:val="en-GB"/>
              </w:rPr>
              <w:t>The year-on-year addition to consumer prices was 2.2</w:t>
            </w:r>
            <w:r w:rsidR="00954C8E">
              <w:rPr>
                <w:spacing w:val="-5"/>
                <w:lang w:val="en-GB"/>
              </w:rPr>
              <w:t>%</w:t>
            </w:r>
            <w:r w:rsidR="00E11ED5">
              <w:rPr>
                <w:spacing w:val="-5"/>
                <w:lang w:val="en-GB"/>
              </w:rPr>
              <w:t xml:space="preserve"> in Q</w:t>
            </w:r>
            <w:r w:rsidR="00DD0726" w:rsidRPr="00794E50">
              <w:rPr>
                <w:spacing w:val="-5"/>
                <w:lang w:val="en-GB"/>
              </w:rPr>
              <w:t>2.</w:t>
            </w:r>
            <w:r w:rsidR="00E11ED5">
              <w:rPr>
                <w:spacing w:val="-5"/>
                <w:lang w:val="en-GB"/>
              </w:rPr>
              <w:t xml:space="preserve"> The acceleration of the price growth, which was connected to the year-on-year increase of the prices of transportation, halted in Q2 and the consumer inflation only mildly exceeded the 2</w:t>
            </w:r>
            <w:r w:rsidR="00954C8E">
              <w:rPr>
                <w:spacing w:val="-5"/>
                <w:lang w:val="en-GB"/>
              </w:rPr>
              <w:t>%</w:t>
            </w:r>
            <w:r w:rsidR="00E11ED5">
              <w:rPr>
                <w:spacing w:val="-5"/>
                <w:lang w:val="en-GB"/>
              </w:rPr>
              <w:t xml:space="preserve"> inflation target. </w:t>
            </w:r>
            <w:r w:rsidR="00B014DD">
              <w:rPr>
                <w:spacing w:val="-5"/>
                <w:lang w:val="en-GB"/>
              </w:rPr>
              <w:t xml:space="preserve">The core of the price growth shifted into the item food and non-alcoholic beverages. The stagnation of prices of alcoholic beverages also influenced the mild slowdown of the dynamics, these prices worked in the inflationary direction in the preceding two years. </w:t>
            </w:r>
          </w:p>
          <w:p w:rsidR="00DD0726" w:rsidRPr="00794E50" w:rsidRDefault="00DD0726" w:rsidP="00260FBE">
            <w:pPr>
              <w:pStyle w:val="Textpoznpodarou"/>
              <w:ind w:right="-35"/>
              <w:jc w:val="both"/>
              <w:rPr>
                <w:spacing w:val="-5"/>
                <w:sz w:val="16"/>
                <w:szCs w:val="16"/>
                <w:lang w:val="en-GB"/>
              </w:rPr>
            </w:pPr>
          </w:p>
        </w:tc>
      </w:tr>
      <w:tr w:rsidR="00DD0726" w:rsidRPr="00F81A26" w:rsidTr="00260FBE">
        <w:tc>
          <w:tcPr>
            <w:tcW w:w="1015" w:type="pct"/>
          </w:tcPr>
          <w:p w:rsidR="00DD0726" w:rsidRPr="00075C2C" w:rsidRDefault="00075C2C" w:rsidP="00075C2C">
            <w:pPr>
              <w:spacing w:line="240" w:lineRule="auto"/>
              <w:ind w:right="-19"/>
              <w:rPr>
                <w:spacing w:val="-4"/>
                <w:sz w:val="16"/>
                <w:szCs w:val="16"/>
                <w:lang w:val="en-GB"/>
              </w:rPr>
            </w:pPr>
            <w:r w:rsidRPr="00075C2C">
              <w:rPr>
                <w:spacing w:val="-4"/>
                <w:sz w:val="16"/>
                <w:szCs w:val="16"/>
                <w:lang w:val="en-GB"/>
              </w:rPr>
              <w:t xml:space="preserve">The year-on-year dynamics of the prices of oil was one of the reasons. </w:t>
            </w:r>
            <w:r w:rsidR="00DD0726" w:rsidRPr="00075C2C">
              <w:rPr>
                <w:spacing w:val="-4"/>
                <w:sz w:val="16"/>
                <w:szCs w:val="16"/>
                <w:lang w:val="en-GB"/>
              </w:rPr>
              <w:t xml:space="preserve"> </w:t>
            </w:r>
            <w:r w:rsidRPr="00075C2C">
              <w:rPr>
                <w:spacing w:val="-4"/>
                <w:sz w:val="16"/>
                <w:szCs w:val="16"/>
                <w:lang w:val="en-GB"/>
              </w:rPr>
              <w:t xml:space="preserve">Prices of transport did not grow as fast </w:t>
            </w:r>
            <w:r w:rsidR="00AF7C5D">
              <w:rPr>
                <w:spacing w:val="-4"/>
                <w:sz w:val="16"/>
                <w:szCs w:val="16"/>
                <w:lang w:val="en-GB"/>
              </w:rPr>
              <w:t xml:space="preserve">as </w:t>
            </w:r>
            <w:r w:rsidRPr="00075C2C">
              <w:rPr>
                <w:spacing w:val="-4"/>
                <w:sz w:val="16"/>
                <w:szCs w:val="16"/>
                <w:lang w:val="en-GB"/>
              </w:rPr>
              <w:t xml:space="preserve">in the preceding quarter in Q2. </w:t>
            </w:r>
          </w:p>
        </w:tc>
        <w:tc>
          <w:tcPr>
            <w:tcW w:w="144" w:type="pct"/>
          </w:tcPr>
          <w:p w:rsidR="00DD0726" w:rsidRPr="00075C2C" w:rsidRDefault="00DD0726" w:rsidP="00260FBE">
            <w:pPr>
              <w:pStyle w:val="Textpoznpodarou"/>
              <w:jc w:val="both"/>
              <w:rPr>
                <w:spacing w:val="-4"/>
                <w:lang w:val="en-GB"/>
              </w:rPr>
            </w:pPr>
          </w:p>
        </w:tc>
        <w:tc>
          <w:tcPr>
            <w:tcW w:w="3841" w:type="pct"/>
            <w:gridSpan w:val="2"/>
          </w:tcPr>
          <w:p w:rsidR="00DD0726" w:rsidRPr="00075C2C" w:rsidRDefault="00075C2C" w:rsidP="00260FBE">
            <w:pPr>
              <w:pStyle w:val="Textpoznpodarou"/>
              <w:jc w:val="both"/>
              <w:rPr>
                <w:spacing w:val="-5"/>
                <w:sz w:val="16"/>
                <w:szCs w:val="16"/>
                <w:lang w:val="en-GB"/>
              </w:rPr>
            </w:pPr>
            <w:r>
              <w:rPr>
                <w:spacing w:val="-5"/>
                <w:lang w:val="en-GB"/>
              </w:rPr>
              <w:t xml:space="preserve">Prices of oil sharply dropped at the turn of years </w:t>
            </w:r>
            <w:r w:rsidR="00DD0726" w:rsidRPr="00075C2C">
              <w:rPr>
                <w:spacing w:val="-5"/>
                <w:lang w:val="en-GB"/>
              </w:rPr>
              <w:t>2015 a</w:t>
            </w:r>
            <w:r>
              <w:rPr>
                <w:spacing w:val="-5"/>
                <w:lang w:val="en-GB"/>
              </w:rPr>
              <w:t>nd</w:t>
            </w:r>
            <w:r w:rsidR="00DD0726" w:rsidRPr="00075C2C">
              <w:rPr>
                <w:spacing w:val="-5"/>
                <w:lang w:val="en-GB"/>
              </w:rPr>
              <w:t xml:space="preserve"> 2016 (</w:t>
            </w:r>
            <w:r>
              <w:rPr>
                <w:spacing w:val="-5"/>
                <w:lang w:val="en-GB"/>
              </w:rPr>
              <w:t xml:space="preserve">from </w:t>
            </w:r>
            <w:r w:rsidR="00DD0726" w:rsidRPr="00075C2C">
              <w:rPr>
                <w:spacing w:val="-5"/>
                <w:lang w:val="en-GB"/>
              </w:rPr>
              <w:t>44</w:t>
            </w:r>
            <w:r>
              <w:rPr>
                <w:spacing w:val="-5"/>
                <w:lang w:val="en-GB"/>
              </w:rPr>
              <w:t xml:space="preserve">.3 dollars per </w:t>
            </w:r>
            <w:r w:rsidR="00E710C7">
              <w:rPr>
                <w:spacing w:val="-5"/>
                <w:lang w:val="en-GB"/>
              </w:rPr>
              <w:t>barrel</w:t>
            </w:r>
            <w:r>
              <w:rPr>
                <w:spacing w:val="-5"/>
                <w:lang w:val="en-GB"/>
              </w:rPr>
              <w:t xml:space="preserve"> in </w:t>
            </w:r>
            <w:r w:rsidR="00E710C7">
              <w:rPr>
                <w:spacing w:val="-5"/>
                <w:lang w:val="en-GB"/>
              </w:rPr>
              <w:t>November</w:t>
            </w:r>
            <w:r>
              <w:rPr>
                <w:spacing w:val="-5"/>
                <w:lang w:val="en-GB"/>
              </w:rPr>
              <w:t xml:space="preserve"> </w:t>
            </w:r>
            <w:r w:rsidR="00DD0726" w:rsidRPr="00075C2C">
              <w:rPr>
                <w:spacing w:val="-5"/>
                <w:lang w:val="en-GB"/>
              </w:rPr>
              <w:t xml:space="preserve">2015 </w:t>
            </w:r>
            <w:r>
              <w:rPr>
                <w:spacing w:val="-5"/>
                <w:lang w:val="en-GB"/>
              </w:rPr>
              <w:t xml:space="preserve">to </w:t>
            </w:r>
            <w:r w:rsidR="00DD0726" w:rsidRPr="00075C2C">
              <w:rPr>
                <w:spacing w:val="-5"/>
                <w:lang w:val="en-GB"/>
              </w:rPr>
              <w:t>30</w:t>
            </w:r>
            <w:r>
              <w:rPr>
                <w:spacing w:val="-5"/>
                <w:lang w:val="en-GB"/>
              </w:rPr>
              <w:t>.</w:t>
            </w:r>
            <w:r w:rsidR="00DD0726" w:rsidRPr="00075C2C">
              <w:rPr>
                <w:spacing w:val="-5"/>
                <w:lang w:val="en-GB"/>
              </w:rPr>
              <w:t xml:space="preserve">7 </w:t>
            </w:r>
            <w:r>
              <w:rPr>
                <w:spacing w:val="-5"/>
                <w:lang w:val="en-GB"/>
              </w:rPr>
              <w:t xml:space="preserve">in January </w:t>
            </w:r>
            <w:r w:rsidR="00DD0726" w:rsidRPr="00075C2C">
              <w:rPr>
                <w:spacing w:val="-5"/>
                <w:lang w:val="en-GB"/>
              </w:rPr>
              <w:t>2016) a</w:t>
            </w:r>
            <w:r>
              <w:rPr>
                <w:spacing w:val="-5"/>
                <w:lang w:val="en-GB"/>
              </w:rPr>
              <w:t xml:space="preserve">nd they returned back above the level of </w:t>
            </w:r>
            <w:r w:rsidR="00DD0726" w:rsidRPr="00075C2C">
              <w:rPr>
                <w:spacing w:val="-5"/>
                <w:lang w:val="en-GB"/>
              </w:rPr>
              <w:t xml:space="preserve">45 </w:t>
            </w:r>
            <w:r>
              <w:rPr>
                <w:spacing w:val="-5"/>
                <w:lang w:val="en-GB"/>
              </w:rPr>
              <w:t xml:space="preserve">dollars per </w:t>
            </w:r>
            <w:r w:rsidR="003B2F75" w:rsidRPr="00075C2C">
              <w:rPr>
                <w:spacing w:val="-5"/>
                <w:lang w:val="en-GB"/>
              </w:rPr>
              <w:t>barrel</w:t>
            </w:r>
            <w:r w:rsidR="00DD0726" w:rsidRPr="00075C2C">
              <w:rPr>
                <w:spacing w:val="-5"/>
                <w:lang w:val="en-GB"/>
              </w:rPr>
              <w:t xml:space="preserve"> </w:t>
            </w:r>
            <w:r>
              <w:rPr>
                <w:spacing w:val="-5"/>
                <w:lang w:val="en-GB"/>
              </w:rPr>
              <w:t xml:space="preserve">already in April </w:t>
            </w:r>
            <w:r w:rsidR="00DD0726" w:rsidRPr="00075C2C">
              <w:rPr>
                <w:spacing w:val="-5"/>
                <w:lang w:val="en-GB"/>
              </w:rPr>
              <w:t>2016. T</w:t>
            </w:r>
            <w:r>
              <w:rPr>
                <w:spacing w:val="-5"/>
                <w:lang w:val="en-GB"/>
              </w:rPr>
              <w:t xml:space="preserve">hese shifts were consequently reflected in the year-on-year dynamics of the prices of oil and transportation in the first half of year </w:t>
            </w:r>
            <w:r w:rsidR="00DD0726" w:rsidRPr="00075C2C">
              <w:rPr>
                <w:spacing w:val="-5"/>
                <w:lang w:val="en-GB"/>
              </w:rPr>
              <w:t xml:space="preserve">2017. </w:t>
            </w:r>
            <w:r>
              <w:rPr>
                <w:spacing w:val="-5"/>
                <w:lang w:val="en-GB"/>
              </w:rPr>
              <w:t xml:space="preserve">The average price of oil reached 53.7 dollars per </w:t>
            </w:r>
            <w:r w:rsidR="003B2F75">
              <w:rPr>
                <w:spacing w:val="-5"/>
                <w:lang w:val="en-GB"/>
              </w:rPr>
              <w:t>barrel</w:t>
            </w:r>
            <w:r>
              <w:rPr>
                <w:spacing w:val="-5"/>
                <w:lang w:val="en-GB"/>
              </w:rPr>
              <w:t xml:space="preserve"> in Q</w:t>
            </w:r>
            <w:r w:rsidR="00DD0726" w:rsidRPr="00075C2C">
              <w:rPr>
                <w:spacing w:val="-5"/>
                <w:lang w:val="en-GB"/>
              </w:rPr>
              <w:t>1</w:t>
            </w:r>
            <w:r>
              <w:rPr>
                <w:spacing w:val="-5"/>
                <w:lang w:val="en-GB"/>
              </w:rPr>
              <w:t xml:space="preserve">, which was by </w:t>
            </w:r>
            <w:r w:rsidR="00DD0726" w:rsidRPr="00075C2C">
              <w:rPr>
                <w:spacing w:val="-5"/>
                <w:lang w:val="en-GB"/>
              </w:rPr>
              <w:t>59</w:t>
            </w:r>
            <w:r>
              <w:rPr>
                <w:spacing w:val="-5"/>
                <w:lang w:val="en-GB"/>
              </w:rPr>
              <w:t>.</w:t>
            </w:r>
            <w:r w:rsidR="00DD0726" w:rsidRPr="00075C2C">
              <w:rPr>
                <w:spacing w:val="-5"/>
                <w:lang w:val="en-GB"/>
              </w:rPr>
              <w:t>3</w:t>
            </w:r>
            <w:r w:rsidR="00954C8E">
              <w:rPr>
                <w:spacing w:val="-5"/>
                <w:lang w:val="en-GB"/>
              </w:rPr>
              <w:t>%</w:t>
            </w:r>
            <w:r w:rsidR="00DD0726" w:rsidRPr="00075C2C">
              <w:rPr>
                <w:spacing w:val="-5"/>
                <w:lang w:val="en-GB"/>
              </w:rPr>
              <w:t xml:space="preserve"> </w:t>
            </w:r>
            <w:r>
              <w:rPr>
                <w:spacing w:val="-5"/>
                <w:lang w:val="en-GB"/>
              </w:rPr>
              <w:t xml:space="preserve">more compared to the same period of the previous year. </w:t>
            </w:r>
            <w:r w:rsidR="00455843">
              <w:rPr>
                <w:spacing w:val="-5"/>
                <w:lang w:val="en-GB"/>
              </w:rPr>
              <w:t>The crown depreciation against the dollar also affected the increase of the prices of oil. The prices of transportation thus increased by 6.0</w:t>
            </w:r>
            <w:r w:rsidR="00954C8E">
              <w:rPr>
                <w:spacing w:val="-5"/>
                <w:lang w:val="en-GB"/>
              </w:rPr>
              <w:t>%</w:t>
            </w:r>
            <w:r w:rsidR="00455843">
              <w:rPr>
                <w:spacing w:val="-5"/>
                <w:lang w:val="en-GB"/>
              </w:rPr>
              <w:t xml:space="preserve"> in Q1 year-on-year </w:t>
            </w:r>
            <w:r w:rsidR="00DD0726" w:rsidRPr="00075C2C">
              <w:rPr>
                <w:spacing w:val="-5"/>
                <w:lang w:val="en-GB"/>
              </w:rPr>
              <w:t>(</w:t>
            </w:r>
            <w:r w:rsidR="00455843">
              <w:rPr>
                <w:spacing w:val="-5"/>
                <w:lang w:val="en-GB"/>
              </w:rPr>
              <w:t xml:space="preserve">in </w:t>
            </w:r>
            <w:proofErr w:type="gramStart"/>
            <w:r w:rsidR="00455843">
              <w:rPr>
                <w:spacing w:val="-5"/>
                <w:lang w:val="en-GB"/>
              </w:rPr>
              <w:t xml:space="preserve">that prices of the </w:t>
            </w:r>
            <w:r w:rsidR="00A56343">
              <w:rPr>
                <w:spacing w:val="-5"/>
                <w:lang w:val="en-GB"/>
              </w:rPr>
              <w:t xml:space="preserve">operation of private motor vehicles by </w:t>
            </w:r>
            <w:r w:rsidR="00DD0726" w:rsidRPr="00075C2C">
              <w:rPr>
                <w:spacing w:val="-5"/>
                <w:lang w:val="en-GB"/>
              </w:rPr>
              <w:t>10</w:t>
            </w:r>
            <w:r w:rsidR="00A56343">
              <w:rPr>
                <w:spacing w:val="-5"/>
                <w:lang w:val="en-GB"/>
              </w:rPr>
              <w:t>.</w:t>
            </w:r>
            <w:r w:rsidR="00DD0726" w:rsidRPr="00075C2C">
              <w:rPr>
                <w:spacing w:val="-5"/>
                <w:lang w:val="en-GB"/>
              </w:rPr>
              <w:t>7</w:t>
            </w:r>
            <w:r w:rsidR="00954C8E">
              <w:rPr>
                <w:spacing w:val="-5"/>
                <w:lang w:val="en-GB"/>
              </w:rPr>
              <w:t>%</w:t>
            </w:r>
            <w:r w:rsidR="00DD0726" w:rsidRPr="00075C2C">
              <w:rPr>
                <w:spacing w:val="-5"/>
                <w:lang w:val="en-GB"/>
              </w:rPr>
              <w:t>)</w:t>
            </w:r>
            <w:proofErr w:type="gramEnd"/>
            <w:r w:rsidR="00DD0726" w:rsidRPr="00075C2C">
              <w:rPr>
                <w:spacing w:val="-5"/>
                <w:lang w:val="en-GB"/>
              </w:rPr>
              <w:t xml:space="preserve">. </w:t>
            </w:r>
            <w:r w:rsidR="00A56343">
              <w:rPr>
                <w:spacing w:val="-5"/>
                <w:lang w:val="en-GB"/>
              </w:rPr>
              <w:t xml:space="preserve">It was not possible to maintain the weak price growth commenced in the autumn 2016 in the second quarter and the average price for the barrel of oil slightly lowered to </w:t>
            </w:r>
            <w:r w:rsidR="00DD0726" w:rsidRPr="00075C2C">
              <w:rPr>
                <w:spacing w:val="-5"/>
                <w:lang w:val="en-GB"/>
              </w:rPr>
              <w:t>49</w:t>
            </w:r>
            <w:r w:rsidR="00A56343">
              <w:rPr>
                <w:spacing w:val="-5"/>
                <w:lang w:val="en-GB"/>
              </w:rPr>
              <w:t>.</w:t>
            </w:r>
            <w:r w:rsidR="00DD0726" w:rsidRPr="00075C2C">
              <w:rPr>
                <w:spacing w:val="-5"/>
                <w:lang w:val="en-GB"/>
              </w:rPr>
              <w:t xml:space="preserve">7 </w:t>
            </w:r>
            <w:r w:rsidR="00A56343">
              <w:rPr>
                <w:spacing w:val="-5"/>
                <w:lang w:val="en-GB"/>
              </w:rPr>
              <w:t xml:space="preserve">dollars, which meant the year-on-year increase </w:t>
            </w:r>
            <w:r w:rsidR="005746C8">
              <w:rPr>
                <w:spacing w:val="-5"/>
                <w:lang w:val="en-GB"/>
              </w:rPr>
              <w:t xml:space="preserve">of </w:t>
            </w:r>
            <w:r w:rsidR="005746C8" w:rsidRPr="00075C2C">
              <w:rPr>
                <w:spacing w:val="-5"/>
                <w:lang w:val="en-GB"/>
              </w:rPr>
              <w:t>9.1</w:t>
            </w:r>
            <w:r w:rsidR="00954C8E">
              <w:rPr>
                <w:spacing w:val="-5"/>
                <w:lang w:val="en-GB"/>
              </w:rPr>
              <w:t>%</w:t>
            </w:r>
            <w:r w:rsidR="00DD0726" w:rsidRPr="00075C2C">
              <w:rPr>
                <w:spacing w:val="-5"/>
                <w:lang w:val="en-GB"/>
              </w:rPr>
              <w:t xml:space="preserve">. </w:t>
            </w:r>
            <w:r w:rsidR="005746C8">
              <w:rPr>
                <w:spacing w:val="-5"/>
                <w:lang w:val="en-GB"/>
              </w:rPr>
              <w:t xml:space="preserve">This was also the reason, why the growth of the prices of transportation slowed down to </w:t>
            </w:r>
            <w:r w:rsidR="00DD0726" w:rsidRPr="00075C2C">
              <w:rPr>
                <w:spacing w:val="-5"/>
                <w:lang w:val="en-GB"/>
              </w:rPr>
              <w:t>3</w:t>
            </w:r>
            <w:r w:rsidR="005746C8">
              <w:rPr>
                <w:spacing w:val="-5"/>
                <w:lang w:val="en-GB"/>
              </w:rPr>
              <w:t>.</w:t>
            </w:r>
            <w:r w:rsidR="00DD0726" w:rsidRPr="00075C2C">
              <w:rPr>
                <w:spacing w:val="-5"/>
                <w:lang w:val="en-GB"/>
              </w:rPr>
              <w:t>9</w:t>
            </w:r>
            <w:r w:rsidR="00954C8E">
              <w:rPr>
                <w:spacing w:val="-5"/>
                <w:lang w:val="en-GB"/>
              </w:rPr>
              <w:t>%</w:t>
            </w:r>
            <w:r w:rsidR="00DD0726" w:rsidRPr="00075C2C">
              <w:rPr>
                <w:spacing w:val="-5"/>
                <w:lang w:val="en-GB"/>
              </w:rPr>
              <w:t xml:space="preserve"> (</w:t>
            </w:r>
            <w:r w:rsidR="007D3524">
              <w:rPr>
                <w:spacing w:val="-5"/>
                <w:lang w:val="en-GB"/>
              </w:rPr>
              <w:t xml:space="preserve">in that the growth of the cost of transport vehicle operations was </w:t>
            </w:r>
            <w:r w:rsidR="00DD0726" w:rsidRPr="00075C2C">
              <w:rPr>
                <w:spacing w:val="-5"/>
                <w:lang w:val="en-GB"/>
              </w:rPr>
              <w:t>5</w:t>
            </w:r>
            <w:r w:rsidR="007D3524">
              <w:rPr>
                <w:spacing w:val="-5"/>
                <w:lang w:val="en-GB"/>
              </w:rPr>
              <w:t>.</w:t>
            </w:r>
            <w:r w:rsidR="00DD0726" w:rsidRPr="00075C2C">
              <w:rPr>
                <w:spacing w:val="-5"/>
                <w:lang w:val="en-GB"/>
              </w:rPr>
              <w:t>8</w:t>
            </w:r>
            <w:r w:rsidR="00954C8E">
              <w:rPr>
                <w:spacing w:val="-5"/>
                <w:lang w:val="en-GB"/>
              </w:rPr>
              <w:t>%</w:t>
            </w:r>
            <w:r w:rsidR="00DD0726" w:rsidRPr="00075C2C">
              <w:rPr>
                <w:spacing w:val="-5"/>
                <w:lang w:val="en-GB"/>
              </w:rPr>
              <w:t xml:space="preserve">). </w:t>
            </w:r>
            <w:r w:rsidR="007D3524">
              <w:rPr>
                <w:spacing w:val="-5"/>
                <w:lang w:val="en-GB"/>
              </w:rPr>
              <w:t xml:space="preserve">However, despite the slowdown, the prices of transportation contributed to the total inflation of the consumer prices 0.4 p. p. in Q2. </w:t>
            </w:r>
            <w:r w:rsidR="00DD0726" w:rsidRPr="00075C2C">
              <w:rPr>
                <w:spacing w:val="-5"/>
                <w:lang w:val="en-GB"/>
              </w:rPr>
              <w:t xml:space="preserve"> </w:t>
            </w:r>
          </w:p>
          <w:p w:rsidR="00DD0726" w:rsidRPr="00075C2C" w:rsidRDefault="00DD0726" w:rsidP="00260FBE">
            <w:pPr>
              <w:pStyle w:val="Textpoznpodarou"/>
              <w:jc w:val="both"/>
              <w:rPr>
                <w:spacing w:val="-5"/>
                <w:sz w:val="16"/>
                <w:szCs w:val="16"/>
                <w:lang w:val="en-GB"/>
              </w:rPr>
            </w:pPr>
          </w:p>
        </w:tc>
      </w:tr>
      <w:tr w:rsidR="00DD0726" w:rsidRPr="00F81A26" w:rsidTr="00260FBE">
        <w:tc>
          <w:tcPr>
            <w:tcW w:w="1015" w:type="pct"/>
          </w:tcPr>
          <w:p w:rsidR="00DD0726" w:rsidRPr="00F81A26" w:rsidRDefault="00DD0726" w:rsidP="00260FBE">
            <w:pPr>
              <w:spacing w:line="240" w:lineRule="auto"/>
              <w:ind w:right="-19"/>
              <w:jc w:val="center"/>
              <w:rPr>
                <w:spacing w:val="-4"/>
                <w:szCs w:val="20"/>
              </w:rPr>
            </w:pPr>
          </w:p>
        </w:tc>
        <w:tc>
          <w:tcPr>
            <w:tcW w:w="144" w:type="pct"/>
          </w:tcPr>
          <w:p w:rsidR="00DD0726" w:rsidRPr="00F81A26" w:rsidRDefault="00DD0726" w:rsidP="00260FBE">
            <w:pPr>
              <w:pStyle w:val="Textpoznpodarou"/>
              <w:jc w:val="both"/>
              <w:rPr>
                <w:spacing w:val="-4"/>
              </w:rPr>
            </w:pPr>
          </w:p>
        </w:tc>
        <w:tc>
          <w:tcPr>
            <w:tcW w:w="580" w:type="pct"/>
          </w:tcPr>
          <w:p w:rsidR="00DD0726" w:rsidRPr="00F81A26" w:rsidRDefault="00611E4E" w:rsidP="00611E4E">
            <w:pPr>
              <w:pStyle w:val="Textpoznpodarou"/>
              <w:jc w:val="both"/>
              <w:rPr>
                <w:spacing w:val="-4"/>
              </w:rPr>
            </w:pPr>
            <w:r>
              <w:rPr>
                <w:spacing w:val="-4"/>
              </w:rPr>
              <w:t xml:space="preserve">Chart </w:t>
            </w:r>
            <w:r w:rsidR="00DD0726" w:rsidRPr="00F81A26">
              <w:rPr>
                <w:spacing w:val="-4"/>
              </w:rPr>
              <w:t>11</w:t>
            </w:r>
          </w:p>
        </w:tc>
        <w:tc>
          <w:tcPr>
            <w:tcW w:w="3261" w:type="pct"/>
          </w:tcPr>
          <w:p w:rsidR="001077AE" w:rsidRDefault="00611E4E" w:rsidP="00611E4E">
            <w:pPr>
              <w:pStyle w:val="Textpoznpodarou"/>
              <w:rPr>
                <w:b/>
                <w:spacing w:val="-4"/>
                <w:lang w:val="en-GB"/>
              </w:rPr>
            </w:pPr>
            <w:r w:rsidRPr="00611E4E">
              <w:rPr>
                <w:b/>
                <w:spacing w:val="-4"/>
                <w:lang w:val="en-GB"/>
              </w:rPr>
              <w:t xml:space="preserve">Prices in the selected divisions of the consumer price index </w:t>
            </w:r>
          </w:p>
          <w:p w:rsidR="00DD0726" w:rsidRPr="00611E4E" w:rsidRDefault="00DD0726" w:rsidP="00611E4E">
            <w:pPr>
              <w:pStyle w:val="Textpoznpodarou"/>
              <w:rPr>
                <w:spacing w:val="-4"/>
                <w:lang w:val="en-GB"/>
              </w:rPr>
            </w:pPr>
            <w:r w:rsidRPr="00611E4E">
              <w:rPr>
                <w:spacing w:val="-4"/>
                <w:lang w:val="en-GB"/>
              </w:rPr>
              <w:t>(</w:t>
            </w:r>
            <w:r w:rsidR="00611E4E" w:rsidRPr="00611E4E">
              <w:rPr>
                <w:spacing w:val="-4"/>
                <w:lang w:val="en-GB"/>
              </w:rPr>
              <w:t>year-on-year change</w:t>
            </w:r>
            <w:r w:rsidRPr="00611E4E">
              <w:rPr>
                <w:spacing w:val="-4"/>
                <w:lang w:val="en-GB"/>
              </w:rPr>
              <w:t xml:space="preserve">, </w:t>
            </w:r>
            <w:r w:rsidR="00954C8E">
              <w:rPr>
                <w:spacing w:val="-4"/>
                <w:lang w:val="en-GB"/>
              </w:rPr>
              <w:t>in %</w:t>
            </w:r>
            <w:r w:rsidRPr="00611E4E">
              <w:rPr>
                <w:spacing w:val="-4"/>
                <w:lang w:val="en-GB"/>
              </w:rPr>
              <w:t>)</w:t>
            </w:r>
          </w:p>
        </w:tc>
      </w:tr>
      <w:tr w:rsidR="00DD0726" w:rsidRPr="00F81A26" w:rsidTr="00260FBE">
        <w:tc>
          <w:tcPr>
            <w:tcW w:w="1015" w:type="pct"/>
          </w:tcPr>
          <w:p w:rsidR="00DD0726" w:rsidRPr="00F81A26" w:rsidRDefault="00DD0726" w:rsidP="00260FBE">
            <w:pPr>
              <w:spacing w:line="240" w:lineRule="auto"/>
              <w:ind w:right="-19"/>
              <w:rPr>
                <w:spacing w:val="-4"/>
                <w:sz w:val="16"/>
                <w:szCs w:val="16"/>
              </w:rPr>
            </w:pPr>
          </w:p>
        </w:tc>
        <w:tc>
          <w:tcPr>
            <w:tcW w:w="144" w:type="pct"/>
          </w:tcPr>
          <w:p w:rsidR="00DD0726" w:rsidRPr="00F81A26" w:rsidRDefault="00DD0726" w:rsidP="00260FBE">
            <w:pPr>
              <w:pStyle w:val="Textpoznpodarou"/>
              <w:jc w:val="both"/>
              <w:rPr>
                <w:spacing w:val="-4"/>
              </w:rPr>
            </w:pPr>
          </w:p>
        </w:tc>
        <w:tc>
          <w:tcPr>
            <w:tcW w:w="3841" w:type="pct"/>
            <w:gridSpan w:val="2"/>
          </w:tcPr>
          <w:p w:rsidR="00DD0726" w:rsidRPr="00F81A26" w:rsidRDefault="0068748C" w:rsidP="00260FBE">
            <w:pPr>
              <w:pStyle w:val="Textpoznpodarou"/>
              <w:ind w:left="-54"/>
              <w:jc w:val="both"/>
              <w:rPr>
                <w:spacing w:val="-4"/>
              </w:rPr>
            </w:pPr>
            <w:r w:rsidRPr="0068748C">
              <w:rPr>
                <w:noProof/>
                <w:spacing w:val="-4"/>
              </w:rPr>
              <w:drawing>
                <wp:inline distT="0" distB="0" distL="0" distR="0">
                  <wp:extent cx="4737600" cy="3553200"/>
                  <wp:effectExtent l="0" t="0" r="0" b="0"/>
                  <wp:docPr id="2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D0726" w:rsidRDefault="00B15ED5" w:rsidP="00260FBE">
            <w:pPr>
              <w:pStyle w:val="Textpoznpodarou"/>
              <w:ind w:left="-54"/>
              <w:jc w:val="right"/>
              <w:rPr>
                <w:spacing w:val="-4"/>
                <w:sz w:val="14"/>
                <w:szCs w:val="14"/>
              </w:rPr>
            </w:pPr>
            <w:proofErr w:type="spellStart"/>
            <w:r>
              <w:rPr>
                <w:spacing w:val="-4"/>
                <w:sz w:val="14"/>
                <w:szCs w:val="14"/>
              </w:rPr>
              <w:t>Source</w:t>
            </w:r>
            <w:proofErr w:type="spellEnd"/>
            <w:r w:rsidR="00DD0726" w:rsidRPr="00F81A26">
              <w:rPr>
                <w:spacing w:val="-4"/>
                <w:sz w:val="14"/>
                <w:szCs w:val="14"/>
              </w:rPr>
              <w:t xml:space="preserve">: </w:t>
            </w:r>
            <w:r>
              <w:rPr>
                <w:spacing w:val="-4"/>
                <w:sz w:val="14"/>
                <w:szCs w:val="14"/>
              </w:rPr>
              <w:t>CZSO</w:t>
            </w:r>
          </w:p>
          <w:p w:rsidR="00DD0726" w:rsidRPr="00F81A26" w:rsidRDefault="00DD0726" w:rsidP="0068748C">
            <w:pPr>
              <w:pStyle w:val="Textpoznpodarou"/>
              <w:ind w:left="-54"/>
              <w:rPr>
                <w:spacing w:val="-4"/>
                <w:sz w:val="14"/>
                <w:szCs w:val="14"/>
              </w:rPr>
            </w:pPr>
          </w:p>
        </w:tc>
      </w:tr>
      <w:tr w:rsidR="00DD0726" w:rsidRPr="00F81A26" w:rsidTr="00260FBE">
        <w:tc>
          <w:tcPr>
            <w:tcW w:w="1015" w:type="pct"/>
          </w:tcPr>
          <w:p w:rsidR="00DD0726" w:rsidRPr="00227CF4" w:rsidRDefault="00227CF4" w:rsidP="00260FBE">
            <w:pPr>
              <w:spacing w:line="240" w:lineRule="auto"/>
              <w:ind w:right="-19"/>
              <w:rPr>
                <w:spacing w:val="-4"/>
                <w:sz w:val="16"/>
                <w:szCs w:val="16"/>
                <w:lang w:val="en-GB"/>
              </w:rPr>
            </w:pPr>
            <w:r w:rsidRPr="00227CF4">
              <w:rPr>
                <w:spacing w:val="-4"/>
                <w:sz w:val="16"/>
                <w:szCs w:val="16"/>
                <w:lang w:val="en-GB"/>
              </w:rPr>
              <w:t xml:space="preserve">The raising of the prices of food continued strongly. </w:t>
            </w:r>
          </w:p>
        </w:tc>
        <w:tc>
          <w:tcPr>
            <w:tcW w:w="144" w:type="pct"/>
          </w:tcPr>
          <w:p w:rsidR="00DD0726" w:rsidRPr="00227CF4" w:rsidRDefault="00DD0726" w:rsidP="00260FBE">
            <w:pPr>
              <w:pStyle w:val="Textpoznpodarou"/>
              <w:jc w:val="both"/>
              <w:rPr>
                <w:spacing w:val="-4"/>
                <w:lang w:val="en-GB"/>
              </w:rPr>
            </w:pPr>
          </w:p>
        </w:tc>
        <w:tc>
          <w:tcPr>
            <w:tcW w:w="3841" w:type="pct"/>
            <w:gridSpan w:val="2"/>
          </w:tcPr>
          <w:p w:rsidR="00DD0726" w:rsidRPr="00227CF4" w:rsidRDefault="004269F9" w:rsidP="00260FBE">
            <w:pPr>
              <w:pStyle w:val="Textpoznpodarou"/>
              <w:jc w:val="both"/>
              <w:rPr>
                <w:spacing w:val="-5"/>
                <w:sz w:val="16"/>
                <w:szCs w:val="16"/>
                <w:lang w:val="en-GB"/>
              </w:rPr>
            </w:pPr>
            <w:r>
              <w:rPr>
                <w:spacing w:val="-5"/>
                <w:lang w:val="en-GB"/>
              </w:rPr>
              <w:t>The prices of food and non-alcoholic beverages increased by 4.5</w:t>
            </w:r>
            <w:r w:rsidR="00954C8E">
              <w:rPr>
                <w:spacing w:val="-5"/>
                <w:lang w:val="en-GB"/>
              </w:rPr>
              <w:t>%</w:t>
            </w:r>
            <w:r>
              <w:rPr>
                <w:spacing w:val="-5"/>
                <w:lang w:val="en-GB"/>
              </w:rPr>
              <w:t xml:space="preserve"> year-on-year and they mildly accelerated compared to the preceding quarter.</w:t>
            </w:r>
            <w:r w:rsidR="00DD0726" w:rsidRPr="00227CF4">
              <w:rPr>
                <w:spacing w:val="-5"/>
                <w:lang w:val="en-GB"/>
              </w:rPr>
              <w:t xml:space="preserve"> </w:t>
            </w:r>
            <w:r w:rsidR="00534CDA">
              <w:rPr>
                <w:spacing w:val="-5"/>
                <w:lang w:val="en-GB"/>
              </w:rPr>
              <w:t>They added 0.8 p. p. to the total growth of the consumer prices.</w:t>
            </w:r>
            <w:r w:rsidR="00DD0726" w:rsidRPr="00227CF4">
              <w:rPr>
                <w:spacing w:val="-5"/>
                <w:lang w:val="en-GB"/>
              </w:rPr>
              <w:t xml:space="preserve"> </w:t>
            </w:r>
            <w:r w:rsidR="00CE1CFC">
              <w:rPr>
                <w:spacing w:val="-5"/>
                <w:lang w:val="en-GB"/>
              </w:rPr>
              <w:t xml:space="preserve">The prices of </w:t>
            </w:r>
            <w:r w:rsidR="00DA07D3">
              <w:rPr>
                <w:spacing w:val="-5"/>
                <w:lang w:val="en-GB"/>
              </w:rPr>
              <w:t>oils and fats</w:t>
            </w:r>
            <w:r w:rsidR="00CE1CFC">
              <w:rPr>
                <w:spacing w:val="-5"/>
                <w:lang w:val="en-GB"/>
              </w:rPr>
              <w:t xml:space="preserve"> grew the fastest</w:t>
            </w:r>
            <w:r w:rsidR="00DD0726" w:rsidRPr="00227CF4">
              <w:rPr>
                <w:spacing w:val="-5"/>
                <w:lang w:val="en-GB"/>
              </w:rPr>
              <w:t xml:space="preserve"> (11</w:t>
            </w:r>
            <w:r w:rsidR="00CE1CFC">
              <w:rPr>
                <w:spacing w:val="-5"/>
                <w:lang w:val="en-GB"/>
              </w:rPr>
              <w:t>.</w:t>
            </w:r>
            <w:r w:rsidR="00DD0726" w:rsidRPr="00227CF4">
              <w:rPr>
                <w:spacing w:val="-5"/>
                <w:lang w:val="en-GB"/>
              </w:rPr>
              <w:t>0</w:t>
            </w:r>
            <w:r w:rsidR="00954C8E">
              <w:rPr>
                <w:spacing w:val="-5"/>
                <w:lang w:val="en-GB"/>
              </w:rPr>
              <w:t>%</w:t>
            </w:r>
            <w:r w:rsidR="00DD0726" w:rsidRPr="00227CF4">
              <w:rPr>
                <w:spacing w:val="-5"/>
                <w:lang w:val="en-GB"/>
              </w:rPr>
              <w:t xml:space="preserve">), </w:t>
            </w:r>
            <w:r w:rsidR="00CE1CFC">
              <w:rPr>
                <w:spacing w:val="-5"/>
                <w:lang w:val="en-GB"/>
              </w:rPr>
              <w:t>the butter is placed here, whose prices rose by 21.7</w:t>
            </w:r>
            <w:r w:rsidR="00954C8E">
              <w:rPr>
                <w:spacing w:val="-5"/>
                <w:lang w:val="en-GB"/>
              </w:rPr>
              <w:t>%</w:t>
            </w:r>
            <w:r w:rsidR="00CE1CFC">
              <w:rPr>
                <w:spacing w:val="-5"/>
                <w:lang w:val="en-GB"/>
              </w:rPr>
              <w:t xml:space="preserve"> year-on-year and milk, cheese and eggs (9.8</w:t>
            </w:r>
            <w:r w:rsidR="00954C8E">
              <w:rPr>
                <w:spacing w:val="-5"/>
                <w:lang w:val="en-GB"/>
              </w:rPr>
              <w:t>%</w:t>
            </w:r>
            <w:r w:rsidR="00CE1CFC">
              <w:rPr>
                <w:spacing w:val="-5"/>
                <w:lang w:val="en-GB"/>
              </w:rPr>
              <w:t xml:space="preserve">). </w:t>
            </w:r>
            <w:r w:rsidR="00E163F9">
              <w:rPr>
                <w:spacing w:val="-5"/>
                <w:lang w:val="en-GB"/>
              </w:rPr>
              <w:t>The price growth was quickening for both these items in comparison to the previous quarter. The year-on-year growth of the prices of the</w:t>
            </w:r>
            <w:r w:rsidR="00DA07D3">
              <w:rPr>
                <w:spacing w:val="-5"/>
                <w:lang w:val="en-GB"/>
              </w:rPr>
              <w:t xml:space="preserve"> bakery products</w:t>
            </w:r>
            <w:r w:rsidR="00DD0726" w:rsidRPr="00227CF4">
              <w:rPr>
                <w:spacing w:val="-5"/>
                <w:lang w:val="en-GB"/>
              </w:rPr>
              <w:t xml:space="preserve"> </w:t>
            </w:r>
            <w:r w:rsidR="00E163F9">
              <w:rPr>
                <w:spacing w:val="-5"/>
                <w:lang w:val="en-GB"/>
              </w:rPr>
              <w:t xml:space="preserve">also gained pace </w:t>
            </w:r>
            <w:r w:rsidR="00DD0726" w:rsidRPr="00227CF4">
              <w:rPr>
                <w:spacing w:val="-5"/>
                <w:lang w:val="en-GB"/>
              </w:rPr>
              <w:t>(</w:t>
            </w:r>
            <w:r w:rsidR="00E163F9">
              <w:rPr>
                <w:spacing w:val="-5"/>
                <w:lang w:val="en-GB"/>
              </w:rPr>
              <w:t xml:space="preserve">from </w:t>
            </w:r>
            <w:r w:rsidR="00DD0726" w:rsidRPr="00227CF4">
              <w:rPr>
                <w:spacing w:val="-5"/>
                <w:lang w:val="en-GB"/>
              </w:rPr>
              <w:t>3</w:t>
            </w:r>
            <w:r w:rsidR="00E163F9">
              <w:rPr>
                <w:spacing w:val="-5"/>
                <w:lang w:val="en-GB"/>
              </w:rPr>
              <w:t>.</w:t>
            </w:r>
            <w:r w:rsidR="00DD0726" w:rsidRPr="00227CF4">
              <w:rPr>
                <w:spacing w:val="-5"/>
                <w:lang w:val="en-GB"/>
              </w:rPr>
              <w:t>5</w:t>
            </w:r>
            <w:r w:rsidR="00954C8E">
              <w:rPr>
                <w:spacing w:val="-5"/>
                <w:lang w:val="en-GB"/>
              </w:rPr>
              <w:t>%</w:t>
            </w:r>
            <w:r w:rsidR="00DD0726" w:rsidRPr="00227CF4">
              <w:rPr>
                <w:spacing w:val="-5"/>
                <w:lang w:val="en-GB"/>
              </w:rPr>
              <w:t xml:space="preserve"> </w:t>
            </w:r>
            <w:r w:rsidR="00E163F9">
              <w:rPr>
                <w:spacing w:val="-5"/>
                <w:lang w:val="en-GB"/>
              </w:rPr>
              <w:t xml:space="preserve">to </w:t>
            </w:r>
            <w:r w:rsidR="00DD0726" w:rsidRPr="00227CF4">
              <w:rPr>
                <w:spacing w:val="-5"/>
                <w:lang w:val="en-GB"/>
              </w:rPr>
              <w:t>5</w:t>
            </w:r>
            <w:r w:rsidR="00E163F9">
              <w:rPr>
                <w:spacing w:val="-5"/>
                <w:lang w:val="en-GB"/>
              </w:rPr>
              <w:t>.</w:t>
            </w:r>
            <w:r w:rsidR="00DD0726" w:rsidRPr="00227CF4">
              <w:rPr>
                <w:spacing w:val="-5"/>
                <w:lang w:val="en-GB"/>
              </w:rPr>
              <w:t>2</w:t>
            </w:r>
            <w:r w:rsidR="00954C8E">
              <w:rPr>
                <w:spacing w:val="-5"/>
                <w:lang w:val="en-GB"/>
              </w:rPr>
              <w:t>%</w:t>
            </w:r>
            <w:r w:rsidR="00DD0726" w:rsidRPr="00227CF4">
              <w:rPr>
                <w:spacing w:val="-5"/>
                <w:lang w:val="en-GB"/>
              </w:rPr>
              <w:t>) a</w:t>
            </w:r>
            <w:r w:rsidR="00E163F9">
              <w:rPr>
                <w:spacing w:val="-5"/>
                <w:lang w:val="en-GB"/>
              </w:rPr>
              <w:t xml:space="preserve">nd meat </w:t>
            </w:r>
            <w:r w:rsidR="00DD0726" w:rsidRPr="00227CF4">
              <w:rPr>
                <w:spacing w:val="-5"/>
                <w:lang w:val="en-GB"/>
              </w:rPr>
              <w:t>(</w:t>
            </w:r>
            <w:r w:rsidR="00E163F9">
              <w:rPr>
                <w:spacing w:val="-5"/>
                <w:lang w:val="en-GB"/>
              </w:rPr>
              <w:t xml:space="preserve">from </w:t>
            </w:r>
            <w:r w:rsidR="00DD0726" w:rsidRPr="00227CF4">
              <w:rPr>
                <w:spacing w:val="-5"/>
                <w:lang w:val="en-GB"/>
              </w:rPr>
              <w:t>2</w:t>
            </w:r>
            <w:r w:rsidR="00E163F9">
              <w:rPr>
                <w:spacing w:val="-5"/>
                <w:lang w:val="en-GB"/>
              </w:rPr>
              <w:t>.</w:t>
            </w:r>
            <w:r w:rsidR="00DD0726" w:rsidRPr="00227CF4">
              <w:rPr>
                <w:spacing w:val="-5"/>
                <w:lang w:val="en-GB"/>
              </w:rPr>
              <w:t>2</w:t>
            </w:r>
            <w:r w:rsidR="00954C8E">
              <w:rPr>
                <w:spacing w:val="-5"/>
                <w:lang w:val="en-GB"/>
              </w:rPr>
              <w:t>%</w:t>
            </w:r>
            <w:r w:rsidR="00E163F9">
              <w:rPr>
                <w:spacing w:val="-5"/>
                <w:lang w:val="en-GB"/>
              </w:rPr>
              <w:t xml:space="preserve"> to 5.</w:t>
            </w:r>
            <w:r w:rsidR="00DD0726" w:rsidRPr="00227CF4">
              <w:rPr>
                <w:spacing w:val="-5"/>
                <w:lang w:val="en-GB"/>
              </w:rPr>
              <w:t>1</w:t>
            </w:r>
            <w:r w:rsidR="00954C8E">
              <w:rPr>
                <w:spacing w:val="-5"/>
                <w:lang w:val="en-GB"/>
              </w:rPr>
              <w:t>%</w:t>
            </w:r>
            <w:r w:rsidR="00DD0726" w:rsidRPr="00227CF4">
              <w:rPr>
                <w:spacing w:val="-5"/>
                <w:lang w:val="en-GB"/>
              </w:rPr>
              <w:t xml:space="preserve">). </w:t>
            </w:r>
            <w:r w:rsidR="004009B7">
              <w:rPr>
                <w:spacing w:val="-5"/>
                <w:lang w:val="en-GB"/>
              </w:rPr>
              <w:t xml:space="preserve">The vegetable was the only product, which was lowering prices year-on-year in the second quarter </w:t>
            </w:r>
            <w:r w:rsidR="00DD0726" w:rsidRPr="00227CF4">
              <w:rPr>
                <w:spacing w:val="-5"/>
                <w:lang w:val="en-GB"/>
              </w:rPr>
              <w:t>(</w:t>
            </w:r>
            <w:r w:rsidR="004009B7">
              <w:rPr>
                <w:spacing w:val="-5"/>
                <w:lang w:val="en-GB"/>
              </w:rPr>
              <w:t>by</w:t>
            </w:r>
            <w:r w:rsidR="00DD0726" w:rsidRPr="00227CF4">
              <w:rPr>
                <w:spacing w:val="-5"/>
                <w:lang w:val="en-GB"/>
              </w:rPr>
              <w:t xml:space="preserve"> 4</w:t>
            </w:r>
            <w:r w:rsidR="004009B7">
              <w:rPr>
                <w:spacing w:val="-5"/>
                <w:lang w:val="en-GB"/>
              </w:rPr>
              <w:t>.</w:t>
            </w:r>
            <w:r w:rsidR="00DD0726" w:rsidRPr="00227CF4">
              <w:rPr>
                <w:spacing w:val="-5"/>
                <w:lang w:val="en-GB"/>
              </w:rPr>
              <w:t>8</w:t>
            </w:r>
            <w:r w:rsidR="00954C8E">
              <w:rPr>
                <w:spacing w:val="-5"/>
                <w:lang w:val="en-GB"/>
              </w:rPr>
              <w:t>%</w:t>
            </w:r>
            <w:r w:rsidR="00DD0726" w:rsidRPr="00227CF4">
              <w:rPr>
                <w:spacing w:val="-5"/>
                <w:lang w:val="en-GB"/>
              </w:rPr>
              <w:t xml:space="preserve">). </w:t>
            </w:r>
            <w:r w:rsidR="004009B7">
              <w:rPr>
                <w:spacing w:val="-5"/>
                <w:lang w:val="en-GB"/>
              </w:rPr>
              <w:t xml:space="preserve">Non-alcoholic beverages raised prices by moderate </w:t>
            </w:r>
            <w:r w:rsidR="00DD0726" w:rsidRPr="00227CF4">
              <w:rPr>
                <w:spacing w:val="-5"/>
                <w:lang w:val="en-GB"/>
              </w:rPr>
              <w:t>1</w:t>
            </w:r>
            <w:r w:rsidR="004009B7">
              <w:rPr>
                <w:spacing w:val="-5"/>
                <w:lang w:val="en-GB"/>
              </w:rPr>
              <w:t>.</w:t>
            </w:r>
            <w:r w:rsidR="00DD0726" w:rsidRPr="00227CF4">
              <w:rPr>
                <w:spacing w:val="-5"/>
                <w:lang w:val="en-GB"/>
              </w:rPr>
              <w:t>1</w:t>
            </w:r>
            <w:r w:rsidR="00954C8E">
              <w:rPr>
                <w:spacing w:val="-5"/>
                <w:lang w:val="en-GB"/>
              </w:rPr>
              <w:t>%</w:t>
            </w:r>
            <w:r w:rsidR="00DD0726" w:rsidRPr="00227CF4">
              <w:rPr>
                <w:spacing w:val="-5"/>
                <w:lang w:val="en-GB"/>
              </w:rPr>
              <w:t xml:space="preserve">. </w:t>
            </w:r>
            <w:r w:rsidR="00DA07D3">
              <w:rPr>
                <w:spacing w:val="-5"/>
                <w:lang w:val="en-GB"/>
              </w:rPr>
              <w:t>T</w:t>
            </w:r>
            <w:r w:rsidR="005659C0">
              <w:rPr>
                <w:spacing w:val="-5"/>
                <w:lang w:val="en-GB"/>
              </w:rPr>
              <w:t xml:space="preserve">he development of the price of </w:t>
            </w:r>
            <w:proofErr w:type="gramStart"/>
            <w:r w:rsidR="005659C0">
              <w:rPr>
                <w:spacing w:val="-5"/>
                <w:lang w:val="en-GB"/>
              </w:rPr>
              <w:t>coffee, that</w:t>
            </w:r>
            <w:proofErr w:type="gramEnd"/>
            <w:r w:rsidR="005659C0">
              <w:rPr>
                <w:spacing w:val="-5"/>
                <w:lang w:val="en-GB"/>
              </w:rPr>
              <w:t xml:space="preserve"> rose by 5.4</w:t>
            </w:r>
            <w:r w:rsidR="00954C8E">
              <w:rPr>
                <w:spacing w:val="-5"/>
                <w:lang w:val="en-GB"/>
              </w:rPr>
              <w:t>%</w:t>
            </w:r>
            <w:r w:rsidR="005659C0">
              <w:rPr>
                <w:spacing w:val="-5"/>
                <w:lang w:val="en-GB"/>
              </w:rPr>
              <w:t xml:space="preserve"> year-on-year </w:t>
            </w:r>
            <w:r w:rsidR="00DD0726" w:rsidRPr="00227CF4">
              <w:rPr>
                <w:spacing w:val="-5"/>
                <w:lang w:val="en-GB"/>
              </w:rPr>
              <w:t>(</w:t>
            </w:r>
            <w:r w:rsidR="005659C0">
              <w:rPr>
                <w:spacing w:val="-5"/>
                <w:lang w:val="en-GB"/>
              </w:rPr>
              <w:t>while the prices of tea were stagnating</w:t>
            </w:r>
            <w:r w:rsidR="00DD0726" w:rsidRPr="00227CF4">
              <w:rPr>
                <w:spacing w:val="-5"/>
                <w:lang w:val="en-GB"/>
              </w:rPr>
              <w:t>)</w:t>
            </w:r>
            <w:r w:rsidR="00DA07D3">
              <w:rPr>
                <w:spacing w:val="-5"/>
                <w:lang w:val="en-GB"/>
              </w:rPr>
              <w:t xml:space="preserve"> is also worth mentioning</w:t>
            </w:r>
            <w:r w:rsidR="00DD0726" w:rsidRPr="00227CF4">
              <w:rPr>
                <w:spacing w:val="-5"/>
                <w:lang w:val="en-GB"/>
              </w:rPr>
              <w:t xml:space="preserve">. </w:t>
            </w:r>
            <w:r w:rsidR="001E6004">
              <w:rPr>
                <w:spacing w:val="-5"/>
                <w:lang w:val="en-GB"/>
              </w:rPr>
              <w:t xml:space="preserve">Here it is possible to observe an association with the reports of the shortage of coffee beans due to the poor harvest in the main plant growing destinations as well as the possible </w:t>
            </w:r>
            <w:r w:rsidR="00426D46">
              <w:rPr>
                <w:spacing w:val="-5"/>
                <w:lang w:val="en-GB"/>
              </w:rPr>
              <w:t xml:space="preserve">depletion </w:t>
            </w:r>
            <w:r w:rsidR="001E6004">
              <w:rPr>
                <w:spacing w:val="-5"/>
                <w:lang w:val="en-GB"/>
              </w:rPr>
              <w:t xml:space="preserve">of coffee as a result of the global climate change. </w:t>
            </w:r>
          </w:p>
          <w:p w:rsidR="00DD0726" w:rsidRPr="00227CF4" w:rsidRDefault="00DD0726" w:rsidP="00260FBE">
            <w:pPr>
              <w:pStyle w:val="Textpoznpodarou"/>
              <w:jc w:val="both"/>
              <w:rPr>
                <w:spacing w:val="-5"/>
                <w:sz w:val="16"/>
                <w:szCs w:val="16"/>
                <w:lang w:val="en-GB"/>
              </w:rPr>
            </w:pPr>
          </w:p>
        </w:tc>
      </w:tr>
      <w:tr w:rsidR="00DD0726" w:rsidRPr="00F81A26" w:rsidTr="00260FBE">
        <w:tc>
          <w:tcPr>
            <w:tcW w:w="1015" w:type="pct"/>
          </w:tcPr>
          <w:p w:rsidR="00DD0726" w:rsidRPr="00227CF4" w:rsidRDefault="003B2F75" w:rsidP="003B2F75">
            <w:pPr>
              <w:spacing w:line="240" w:lineRule="auto"/>
              <w:ind w:right="-19"/>
              <w:rPr>
                <w:spacing w:val="-4"/>
                <w:sz w:val="16"/>
                <w:szCs w:val="16"/>
                <w:lang w:val="en-GB"/>
              </w:rPr>
            </w:pPr>
            <w:r w:rsidRPr="00227CF4">
              <w:rPr>
                <w:spacing w:val="-4"/>
                <w:sz w:val="16"/>
                <w:szCs w:val="16"/>
                <w:lang w:val="en-GB"/>
              </w:rPr>
              <w:t xml:space="preserve">The prices of housing and energies also accelerated. </w:t>
            </w:r>
          </w:p>
        </w:tc>
        <w:tc>
          <w:tcPr>
            <w:tcW w:w="144" w:type="pct"/>
          </w:tcPr>
          <w:p w:rsidR="00DD0726" w:rsidRPr="00227CF4" w:rsidRDefault="00DD0726" w:rsidP="00260FBE">
            <w:pPr>
              <w:pStyle w:val="Textpoznpodarou"/>
              <w:jc w:val="both"/>
              <w:rPr>
                <w:spacing w:val="-4"/>
                <w:lang w:val="en-GB"/>
              </w:rPr>
            </w:pPr>
          </w:p>
        </w:tc>
        <w:tc>
          <w:tcPr>
            <w:tcW w:w="3841" w:type="pct"/>
            <w:gridSpan w:val="2"/>
          </w:tcPr>
          <w:p w:rsidR="00DD0726" w:rsidRPr="00227CF4" w:rsidRDefault="003B2F75" w:rsidP="00260FBE">
            <w:pPr>
              <w:pStyle w:val="Textpoznpodarou"/>
              <w:ind w:right="-35"/>
              <w:jc w:val="both"/>
              <w:rPr>
                <w:spacing w:val="-5"/>
                <w:sz w:val="16"/>
                <w:szCs w:val="16"/>
                <w:lang w:val="en-GB"/>
              </w:rPr>
            </w:pPr>
            <w:r w:rsidRPr="00227CF4">
              <w:rPr>
                <w:spacing w:val="-5"/>
                <w:lang w:val="en-GB"/>
              </w:rPr>
              <w:t xml:space="preserve">Housing, water, energies and fuels represent the most significant item in the Czech consumption basket and especially their growth quickened markedly in May and June compared to the previous period. </w:t>
            </w:r>
            <w:r w:rsidR="002F07AC" w:rsidRPr="00227CF4">
              <w:rPr>
                <w:spacing w:val="-5"/>
                <w:lang w:val="en-GB"/>
              </w:rPr>
              <w:t>The total cost of housing and energies went up year-on-year by 1.5</w:t>
            </w:r>
            <w:r w:rsidR="00954C8E">
              <w:rPr>
                <w:spacing w:val="-5"/>
                <w:lang w:val="en-GB"/>
              </w:rPr>
              <w:t>%</w:t>
            </w:r>
            <w:r w:rsidR="002F07AC" w:rsidRPr="00227CF4">
              <w:rPr>
                <w:spacing w:val="-5"/>
                <w:lang w:val="en-GB"/>
              </w:rPr>
              <w:t xml:space="preserve"> in Q</w:t>
            </w:r>
            <w:r w:rsidR="00DD0726" w:rsidRPr="00227CF4">
              <w:rPr>
                <w:spacing w:val="-5"/>
                <w:lang w:val="en-GB"/>
              </w:rPr>
              <w:t xml:space="preserve">2, </w:t>
            </w:r>
            <w:r w:rsidR="002F07AC" w:rsidRPr="00227CF4">
              <w:rPr>
                <w:spacing w:val="-5"/>
                <w:lang w:val="en-GB"/>
              </w:rPr>
              <w:t xml:space="preserve">which is by </w:t>
            </w:r>
            <w:r w:rsidR="00DD0726" w:rsidRPr="00227CF4">
              <w:rPr>
                <w:spacing w:val="-5"/>
                <w:lang w:val="en-GB"/>
              </w:rPr>
              <w:t>0</w:t>
            </w:r>
            <w:r w:rsidR="002F07AC" w:rsidRPr="00227CF4">
              <w:rPr>
                <w:spacing w:val="-5"/>
                <w:lang w:val="en-GB"/>
              </w:rPr>
              <w:t>.</w:t>
            </w:r>
            <w:r w:rsidR="00DD0726" w:rsidRPr="00227CF4">
              <w:rPr>
                <w:spacing w:val="-5"/>
                <w:lang w:val="en-GB"/>
              </w:rPr>
              <w:t>7 p.</w:t>
            </w:r>
            <w:r w:rsidR="002F07AC" w:rsidRPr="00227CF4">
              <w:rPr>
                <w:spacing w:val="-5"/>
                <w:lang w:val="en-GB"/>
              </w:rPr>
              <w:t>p</w:t>
            </w:r>
            <w:r w:rsidR="00DD0726" w:rsidRPr="00227CF4">
              <w:rPr>
                <w:spacing w:val="-5"/>
                <w:lang w:val="en-GB"/>
              </w:rPr>
              <w:t xml:space="preserve">. </w:t>
            </w:r>
            <w:r w:rsidR="002F07AC" w:rsidRPr="00227CF4">
              <w:rPr>
                <w:spacing w:val="-5"/>
                <w:lang w:val="en-GB"/>
              </w:rPr>
              <w:t>more than in the previous quarter. The prices of imputed rent, which accelerated their growth since the beginning of the year and grew by 3.9</w:t>
            </w:r>
            <w:r w:rsidR="00954C8E">
              <w:rPr>
                <w:spacing w:val="-5"/>
                <w:lang w:val="en-GB"/>
              </w:rPr>
              <w:t>%</w:t>
            </w:r>
            <w:r w:rsidR="002F07AC" w:rsidRPr="00227CF4">
              <w:rPr>
                <w:spacing w:val="-5"/>
                <w:lang w:val="en-GB"/>
              </w:rPr>
              <w:t xml:space="preserve"> in </w:t>
            </w:r>
            <w:proofErr w:type="gramStart"/>
            <w:r w:rsidR="002F07AC" w:rsidRPr="00227CF4">
              <w:rPr>
                <w:spacing w:val="-5"/>
                <w:lang w:val="en-GB"/>
              </w:rPr>
              <w:t>Q2</w:t>
            </w:r>
            <w:proofErr w:type="gramEnd"/>
            <w:r w:rsidR="002F07AC" w:rsidRPr="00227CF4">
              <w:rPr>
                <w:spacing w:val="-5"/>
                <w:lang w:val="en-GB"/>
              </w:rPr>
              <w:t xml:space="preserve"> influenced this movement. </w:t>
            </w:r>
            <w:r w:rsidR="00B164F6" w:rsidRPr="00227CF4">
              <w:rPr>
                <w:spacing w:val="-5"/>
                <w:lang w:val="en-GB"/>
              </w:rPr>
              <w:t xml:space="preserve">The prices of rents from flats mildly quickened the growth, they increased by </w:t>
            </w:r>
            <w:r w:rsidR="00DD0726" w:rsidRPr="00227CF4">
              <w:rPr>
                <w:spacing w:val="-5"/>
                <w:lang w:val="en-GB"/>
              </w:rPr>
              <w:t>2</w:t>
            </w:r>
            <w:r w:rsidR="00B164F6" w:rsidRPr="00227CF4">
              <w:rPr>
                <w:spacing w:val="-5"/>
                <w:lang w:val="en-GB"/>
              </w:rPr>
              <w:t>.</w:t>
            </w:r>
            <w:r w:rsidR="00DD0726" w:rsidRPr="00227CF4">
              <w:rPr>
                <w:spacing w:val="-5"/>
                <w:lang w:val="en-GB"/>
              </w:rPr>
              <w:t>1</w:t>
            </w:r>
            <w:r w:rsidR="00954C8E">
              <w:rPr>
                <w:spacing w:val="-5"/>
                <w:lang w:val="en-GB"/>
              </w:rPr>
              <w:t>%</w:t>
            </w:r>
            <w:r w:rsidR="00DD0726" w:rsidRPr="00227CF4">
              <w:rPr>
                <w:spacing w:val="-5"/>
                <w:lang w:val="en-GB"/>
              </w:rPr>
              <w:t xml:space="preserve">. </w:t>
            </w:r>
            <w:r w:rsidR="00B164F6" w:rsidRPr="00227CF4">
              <w:rPr>
                <w:spacing w:val="-5"/>
                <w:lang w:val="en-GB"/>
              </w:rPr>
              <w:t>On the contrary, the prices of the electrical energy and heating, gas and other fuels (by 0.7</w:t>
            </w:r>
            <w:r w:rsidR="00954C8E">
              <w:rPr>
                <w:spacing w:val="-5"/>
                <w:lang w:val="en-GB"/>
              </w:rPr>
              <w:t>%</w:t>
            </w:r>
            <w:r w:rsidR="00B164F6" w:rsidRPr="00227CF4">
              <w:rPr>
                <w:spacing w:val="-5"/>
                <w:lang w:val="en-GB"/>
              </w:rPr>
              <w:t xml:space="preserve"> in Q2) kept decreasing (to a lower extent than before).</w:t>
            </w:r>
          </w:p>
          <w:p w:rsidR="00DD0726" w:rsidRPr="00227CF4" w:rsidRDefault="00DD0726" w:rsidP="00260FBE">
            <w:pPr>
              <w:pStyle w:val="Textpoznpodarou"/>
              <w:ind w:right="-35"/>
              <w:jc w:val="both"/>
              <w:rPr>
                <w:spacing w:val="-5"/>
                <w:sz w:val="16"/>
                <w:szCs w:val="16"/>
                <w:lang w:val="en-GB"/>
              </w:rPr>
            </w:pPr>
          </w:p>
        </w:tc>
      </w:tr>
      <w:tr w:rsidR="00DD0726" w:rsidRPr="00F81A26" w:rsidTr="00260FBE">
        <w:tc>
          <w:tcPr>
            <w:tcW w:w="1015" w:type="pct"/>
          </w:tcPr>
          <w:p w:rsidR="00DD0726" w:rsidRPr="0052439A" w:rsidRDefault="0052439A" w:rsidP="00260FBE">
            <w:pPr>
              <w:spacing w:line="240" w:lineRule="auto"/>
              <w:ind w:right="-19"/>
              <w:rPr>
                <w:spacing w:val="-4"/>
                <w:sz w:val="16"/>
                <w:szCs w:val="16"/>
                <w:lang w:val="en-GB"/>
              </w:rPr>
            </w:pPr>
            <w:r w:rsidRPr="0052439A">
              <w:rPr>
                <w:spacing w:val="-4"/>
                <w:sz w:val="16"/>
                <w:szCs w:val="16"/>
                <w:lang w:val="en-GB"/>
              </w:rPr>
              <w:t>The prices of real estate keep growing</w:t>
            </w:r>
            <w:r w:rsidR="00541BDA">
              <w:rPr>
                <w:spacing w:val="-4"/>
                <w:sz w:val="16"/>
                <w:szCs w:val="16"/>
                <w:lang w:val="en-GB"/>
              </w:rPr>
              <w:t xml:space="preserve"> </w:t>
            </w:r>
            <w:r w:rsidRPr="0052439A">
              <w:rPr>
                <w:spacing w:val="-4"/>
                <w:sz w:val="16"/>
                <w:szCs w:val="16"/>
                <w:lang w:val="en-GB"/>
              </w:rPr>
              <w:t xml:space="preserve">and the increase of their prices is accelerating. </w:t>
            </w:r>
            <w:r w:rsidR="00DD0726" w:rsidRPr="0052439A">
              <w:rPr>
                <w:spacing w:val="-4"/>
                <w:sz w:val="16"/>
                <w:szCs w:val="16"/>
                <w:lang w:val="en-GB"/>
              </w:rPr>
              <w:t xml:space="preserve"> </w:t>
            </w:r>
          </w:p>
        </w:tc>
        <w:tc>
          <w:tcPr>
            <w:tcW w:w="144" w:type="pct"/>
          </w:tcPr>
          <w:p w:rsidR="00DD0726" w:rsidRPr="0052439A" w:rsidRDefault="00DD0726" w:rsidP="00260FBE">
            <w:pPr>
              <w:pStyle w:val="Textpoznpodarou"/>
              <w:jc w:val="both"/>
              <w:rPr>
                <w:spacing w:val="-4"/>
                <w:lang w:val="en-GB"/>
              </w:rPr>
            </w:pPr>
          </w:p>
        </w:tc>
        <w:tc>
          <w:tcPr>
            <w:tcW w:w="3841" w:type="pct"/>
            <w:gridSpan w:val="2"/>
          </w:tcPr>
          <w:p w:rsidR="00DD0726" w:rsidRDefault="00541BDA" w:rsidP="00260FBE">
            <w:pPr>
              <w:pStyle w:val="Textpoznpodarou"/>
              <w:ind w:right="-35"/>
              <w:jc w:val="both"/>
              <w:rPr>
                <w:spacing w:val="-5"/>
                <w:lang w:val="en-GB"/>
              </w:rPr>
            </w:pPr>
            <w:r>
              <w:rPr>
                <w:spacing w:val="-5"/>
                <w:lang w:val="en-GB"/>
              </w:rPr>
              <w:t>The growth of the supply prices of real estate reached 9.5</w:t>
            </w:r>
            <w:r w:rsidR="00954C8E">
              <w:rPr>
                <w:spacing w:val="-5"/>
                <w:lang w:val="en-GB"/>
              </w:rPr>
              <w:t>%</w:t>
            </w:r>
            <w:r>
              <w:rPr>
                <w:spacing w:val="-5"/>
                <w:lang w:val="en-GB"/>
              </w:rPr>
              <w:t xml:space="preserve"> in the CR in Q2 compared to the same period of the previous year and it did not change in comparison to the preceding quarter.</w:t>
            </w:r>
            <w:r w:rsidR="00DD0726" w:rsidRPr="0052439A">
              <w:rPr>
                <w:spacing w:val="-5"/>
                <w:lang w:val="en-GB"/>
              </w:rPr>
              <w:t xml:space="preserve"> </w:t>
            </w:r>
            <w:r w:rsidR="00151B1E">
              <w:rPr>
                <w:spacing w:val="-5"/>
                <w:lang w:val="en-GB"/>
              </w:rPr>
              <w:t xml:space="preserve">The growth of the supply prices again quickened in Prague </w:t>
            </w:r>
            <w:r w:rsidR="00DD0726" w:rsidRPr="0052439A">
              <w:rPr>
                <w:spacing w:val="-5"/>
                <w:lang w:val="en-GB"/>
              </w:rPr>
              <w:t>(</w:t>
            </w:r>
            <w:r w:rsidR="00151B1E">
              <w:rPr>
                <w:spacing w:val="-5"/>
                <w:lang w:val="en-GB"/>
              </w:rPr>
              <w:t xml:space="preserve">from </w:t>
            </w:r>
            <w:r w:rsidR="00DD0726" w:rsidRPr="0052439A">
              <w:rPr>
                <w:spacing w:val="-5"/>
                <w:lang w:val="en-GB"/>
              </w:rPr>
              <w:t>13</w:t>
            </w:r>
            <w:r w:rsidR="00151B1E">
              <w:rPr>
                <w:spacing w:val="-5"/>
                <w:lang w:val="en-GB"/>
              </w:rPr>
              <w:t>.</w:t>
            </w:r>
            <w:r w:rsidR="00DD0726" w:rsidRPr="0052439A">
              <w:rPr>
                <w:spacing w:val="-5"/>
                <w:lang w:val="en-GB"/>
              </w:rPr>
              <w:t>6</w:t>
            </w:r>
            <w:r w:rsidR="00954C8E">
              <w:rPr>
                <w:spacing w:val="-5"/>
                <w:lang w:val="en-GB"/>
              </w:rPr>
              <w:t>%</w:t>
            </w:r>
            <w:r w:rsidR="00DD0726" w:rsidRPr="0052439A">
              <w:rPr>
                <w:spacing w:val="-5"/>
                <w:lang w:val="en-GB"/>
              </w:rPr>
              <w:t xml:space="preserve"> </w:t>
            </w:r>
            <w:r w:rsidR="00151B1E">
              <w:rPr>
                <w:spacing w:val="-5"/>
                <w:lang w:val="en-GB"/>
              </w:rPr>
              <w:t xml:space="preserve">to </w:t>
            </w:r>
            <w:r w:rsidR="00DD0726" w:rsidRPr="0052439A">
              <w:rPr>
                <w:spacing w:val="-5"/>
                <w:lang w:val="en-GB"/>
              </w:rPr>
              <w:t>14</w:t>
            </w:r>
            <w:r w:rsidR="00151B1E">
              <w:rPr>
                <w:spacing w:val="-5"/>
                <w:lang w:val="en-GB"/>
              </w:rPr>
              <w:t>.</w:t>
            </w:r>
            <w:r w:rsidR="00DD0726" w:rsidRPr="0052439A">
              <w:rPr>
                <w:spacing w:val="-5"/>
                <w:lang w:val="en-GB"/>
              </w:rPr>
              <w:t>6</w:t>
            </w:r>
            <w:r w:rsidR="00954C8E">
              <w:rPr>
                <w:spacing w:val="-5"/>
                <w:lang w:val="en-GB"/>
              </w:rPr>
              <w:t>%</w:t>
            </w:r>
            <w:r w:rsidR="00DD0726" w:rsidRPr="0052439A">
              <w:rPr>
                <w:spacing w:val="-5"/>
                <w:lang w:val="en-GB"/>
              </w:rPr>
              <w:t xml:space="preserve">). </w:t>
            </w:r>
            <w:r w:rsidR="00151B1E">
              <w:rPr>
                <w:spacing w:val="-5"/>
                <w:lang w:val="en-GB"/>
              </w:rPr>
              <w:t>O the contrary, the growth of the supply prices of real estate outside Prague lowered to 3.6</w:t>
            </w:r>
            <w:r w:rsidR="00954C8E">
              <w:rPr>
                <w:spacing w:val="-5"/>
                <w:lang w:val="en-GB"/>
              </w:rPr>
              <w:t>%</w:t>
            </w:r>
            <w:r w:rsidR="00151B1E">
              <w:rPr>
                <w:spacing w:val="-5"/>
                <w:lang w:val="en-GB"/>
              </w:rPr>
              <w:t xml:space="preserve"> in Q2. </w:t>
            </w:r>
            <w:r w:rsidR="00611A08">
              <w:rPr>
                <w:spacing w:val="-5"/>
                <w:lang w:val="en-GB"/>
              </w:rPr>
              <w:t>Realised prices of older flats accelerated their growth quite markedly in Q2. They increased by 18.7</w:t>
            </w:r>
            <w:r w:rsidR="00954C8E">
              <w:rPr>
                <w:spacing w:val="-5"/>
                <w:lang w:val="en-GB"/>
              </w:rPr>
              <w:t>%</w:t>
            </w:r>
            <w:r w:rsidR="00611A08">
              <w:rPr>
                <w:spacing w:val="-5"/>
                <w:lang w:val="en-GB"/>
              </w:rPr>
              <w:t xml:space="preserve"> in the whole CR year-on-year, by 18.0</w:t>
            </w:r>
            <w:r w:rsidR="00954C8E">
              <w:rPr>
                <w:spacing w:val="-5"/>
                <w:lang w:val="en-GB"/>
              </w:rPr>
              <w:t>%</w:t>
            </w:r>
            <w:r w:rsidR="00611A08">
              <w:rPr>
                <w:spacing w:val="-5"/>
                <w:lang w:val="en-GB"/>
              </w:rPr>
              <w:t xml:space="preserve"> in Prague. </w:t>
            </w:r>
          </w:p>
          <w:p w:rsidR="007502A6" w:rsidRDefault="007502A6" w:rsidP="00260FBE">
            <w:pPr>
              <w:pStyle w:val="Textpoznpodarou"/>
              <w:ind w:right="-35"/>
              <w:jc w:val="both"/>
              <w:rPr>
                <w:spacing w:val="-5"/>
                <w:sz w:val="16"/>
                <w:szCs w:val="16"/>
                <w:lang w:val="en-GB"/>
              </w:rPr>
            </w:pPr>
          </w:p>
          <w:p w:rsidR="009F62C9" w:rsidRPr="0052439A" w:rsidRDefault="009F62C9" w:rsidP="00260FBE">
            <w:pPr>
              <w:pStyle w:val="Textpoznpodarou"/>
              <w:ind w:right="-35"/>
              <w:jc w:val="both"/>
              <w:rPr>
                <w:spacing w:val="-5"/>
                <w:sz w:val="16"/>
                <w:szCs w:val="16"/>
                <w:lang w:val="en-GB"/>
              </w:rPr>
            </w:pPr>
          </w:p>
          <w:p w:rsidR="00DD0726" w:rsidRPr="0052439A" w:rsidRDefault="00DD0726" w:rsidP="00260FBE">
            <w:pPr>
              <w:pStyle w:val="Textpoznpodarou"/>
              <w:ind w:right="-35"/>
              <w:jc w:val="both"/>
              <w:rPr>
                <w:spacing w:val="-5"/>
                <w:sz w:val="16"/>
                <w:szCs w:val="16"/>
                <w:lang w:val="en-GB"/>
              </w:rPr>
            </w:pPr>
          </w:p>
        </w:tc>
      </w:tr>
      <w:tr w:rsidR="00DD0726" w:rsidRPr="00F81A26" w:rsidTr="00260FBE">
        <w:tc>
          <w:tcPr>
            <w:tcW w:w="1015" w:type="pct"/>
          </w:tcPr>
          <w:p w:rsidR="00DD0726" w:rsidRPr="00F81A26" w:rsidRDefault="00DD0726" w:rsidP="00260FBE">
            <w:pPr>
              <w:pStyle w:val="Textpoznpodarou"/>
              <w:jc w:val="center"/>
              <w:rPr>
                <w:spacing w:val="-4"/>
              </w:rPr>
            </w:pPr>
          </w:p>
        </w:tc>
        <w:tc>
          <w:tcPr>
            <w:tcW w:w="144" w:type="pct"/>
          </w:tcPr>
          <w:p w:rsidR="00DD0726" w:rsidRPr="00F81A26" w:rsidRDefault="00DD0726" w:rsidP="00260FBE">
            <w:pPr>
              <w:pStyle w:val="Textpoznpodarou"/>
              <w:jc w:val="both"/>
              <w:rPr>
                <w:spacing w:val="-4"/>
              </w:rPr>
            </w:pPr>
          </w:p>
        </w:tc>
        <w:tc>
          <w:tcPr>
            <w:tcW w:w="580" w:type="pct"/>
          </w:tcPr>
          <w:p w:rsidR="00DD0726" w:rsidRPr="00F81A26" w:rsidRDefault="00446367" w:rsidP="00446367">
            <w:pPr>
              <w:pStyle w:val="Textpoznpodarou"/>
              <w:ind w:right="-35"/>
              <w:jc w:val="both"/>
              <w:rPr>
                <w:spacing w:val="-4"/>
              </w:rPr>
            </w:pPr>
            <w:r>
              <w:rPr>
                <w:spacing w:val="-4"/>
              </w:rPr>
              <w:t xml:space="preserve">Chart </w:t>
            </w:r>
            <w:r w:rsidR="00DD0726" w:rsidRPr="00F81A26">
              <w:rPr>
                <w:spacing w:val="-4"/>
              </w:rPr>
              <w:t>12</w:t>
            </w:r>
          </w:p>
        </w:tc>
        <w:tc>
          <w:tcPr>
            <w:tcW w:w="3261" w:type="pct"/>
          </w:tcPr>
          <w:p w:rsidR="00DD0726" w:rsidRPr="00F81A26" w:rsidRDefault="00446367" w:rsidP="00446367">
            <w:pPr>
              <w:pStyle w:val="Textpoznpodarou"/>
              <w:ind w:right="-35"/>
              <w:rPr>
                <w:spacing w:val="-4"/>
              </w:rPr>
            </w:pPr>
            <w:r w:rsidRPr="00446367">
              <w:rPr>
                <w:b/>
                <w:spacing w:val="-4"/>
                <w:lang w:val="en-GB" w:eastAsia="en-US"/>
              </w:rPr>
              <w:t xml:space="preserve">Prices of real </w:t>
            </w:r>
            <w:r w:rsidRPr="00F73AED">
              <w:rPr>
                <w:b/>
                <w:spacing w:val="-4"/>
                <w:lang w:val="en-GB" w:eastAsia="en-US"/>
              </w:rPr>
              <w:t xml:space="preserve">estate </w:t>
            </w:r>
            <w:r w:rsidR="00DD0726" w:rsidRPr="00F73AED">
              <w:rPr>
                <w:spacing w:val="-4"/>
                <w:lang w:val="en-GB" w:eastAsia="en-US"/>
              </w:rPr>
              <w:t>(</w:t>
            </w:r>
            <w:r w:rsidRPr="00F73AED">
              <w:rPr>
                <w:spacing w:val="-4"/>
                <w:lang w:val="en-GB" w:eastAsia="en-US"/>
              </w:rPr>
              <w:t>year-on-year change</w:t>
            </w:r>
            <w:r w:rsidR="00DD0726" w:rsidRPr="00F73AED">
              <w:rPr>
                <w:spacing w:val="-4"/>
                <w:lang w:val="en-GB" w:eastAsia="en-US"/>
              </w:rPr>
              <w:t xml:space="preserve">, </w:t>
            </w:r>
            <w:r w:rsidR="00954C8E">
              <w:rPr>
                <w:spacing w:val="-4"/>
                <w:lang w:val="en-GB" w:eastAsia="en-US"/>
              </w:rPr>
              <w:t>in %</w:t>
            </w:r>
            <w:r w:rsidR="00DD0726" w:rsidRPr="00F73AED">
              <w:rPr>
                <w:spacing w:val="-4"/>
                <w:lang w:val="en-GB" w:eastAsia="en-US"/>
              </w:rPr>
              <w:t>)</w:t>
            </w:r>
          </w:p>
        </w:tc>
      </w:tr>
      <w:tr w:rsidR="00DD0726" w:rsidRPr="00F81A26" w:rsidTr="00260FBE">
        <w:tc>
          <w:tcPr>
            <w:tcW w:w="1015" w:type="pct"/>
          </w:tcPr>
          <w:p w:rsidR="00DD0726" w:rsidRPr="00F81A26" w:rsidRDefault="00DD0726" w:rsidP="00260FBE">
            <w:pPr>
              <w:spacing w:line="240" w:lineRule="auto"/>
              <w:ind w:right="-19"/>
              <w:rPr>
                <w:spacing w:val="-4"/>
                <w:sz w:val="16"/>
                <w:szCs w:val="16"/>
              </w:rPr>
            </w:pPr>
          </w:p>
        </w:tc>
        <w:tc>
          <w:tcPr>
            <w:tcW w:w="144" w:type="pct"/>
          </w:tcPr>
          <w:p w:rsidR="00DD0726" w:rsidRPr="00F81A26" w:rsidRDefault="00DD0726" w:rsidP="00260FBE">
            <w:pPr>
              <w:pStyle w:val="Textpoznpodarou"/>
              <w:jc w:val="both"/>
              <w:rPr>
                <w:spacing w:val="-4"/>
              </w:rPr>
            </w:pPr>
          </w:p>
        </w:tc>
        <w:tc>
          <w:tcPr>
            <w:tcW w:w="3841" w:type="pct"/>
            <w:gridSpan w:val="2"/>
          </w:tcPr>
          <w:p w:rsidR="00DD0726" w:rsidRPr="00F81A26" w:rsidRDefault="0068748C" w:rsidP="00260FBE">
            <w:pPr>
              <w:pStyle w:val="Textpoznpodarou"/>
              <w:ind w:left="-54" w:right="-35"/>
              <w:jc w:val="both"/>
              <w:rPr>
                <w:spacing w:val="-4"/>
              </w:rPr>
            </w:pPr>
            <w:r w:rsidRPr="0068748C">
              <w:rPr>
                <w:noProof/>
                <w:spacing w:val="-4"/>
              </w:rPr>
              <w:drawing>
                <wp:inline distT="0" distB="0" distL="0" distR="0">
                  <wp:extent cx="4737600" cy="3553200"/>
                  <wp:effectExtent l="19050" t="0" r="0" b="0"/>
                  <wp:docPr id="4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0726" w:rsidRDefault="00446367" w:rsidP="00260FBE">
            <w:pPr>
              <w:pStyle w:val="Textpoznpodarou"/>
              <w:ind w:left="-54" w:right="-35"/>
              <w:jc w:val="right"/>
              <w:rPr>
                <w:spacing w:val="-4"/>
                <w:sz w:val="14"/>
                <w:szCs w:val="14"/>
              </w:rPr>
            </w:pPr>
            <w:proofErr w:type="spellStart"/>
            <w:r>
              <w:rPr>
                <w:spacing w:val="-4"/>
                <w:sz w:val="14"/>
                <w:szCs w:val="14"/>
              </w:rPr>
              <w:t>Source</w:t>
            </w:r>
            <w:proofErr w:type="spellEnd"/>
            <w:r w:rsidR="00DD0726" w:rsidRPr="00F81A26">
              <w:rPr>
                <w:spacing w:val="-4"/>
                <w:sz w:val="14"/>
                <w:szCs w:val="14"/>
              </w:rPr>
              <w:t xml:space="preserve">: </w:t>
            </w:r>
            <w:r>
              <w:rPr>
                <w:spacing w:val="-4"/>
                <w:sz w:val="14"/>
                <w:szCs w:val="14"/>
              </w:rPr>
              <w:t>CZSO</w:t>
            </w:r>
          </w:p>
          <w:p w:rsidR="00DD0726" w:rsidRPr="00F81A26" w:rsidRDefault="00DD0726" w:rsidP="0068748C">
            <w:pPr>
              <w:pStyle w:val="Textpoznpodarou"/>
              <w:ind w:left="-54" w:right="-35"/>
              <w:rPr>
                <w:spacing w:val="-4"/>
                <w:sz w:val="14"/>
                <w:szCs w:val="14"/>
              </w:rPr>
            </w:pPr>
          </w:p>
        </w:tc>
      </w:tr>
      <w:tr w:rsidR="00DD0726" w:rsidRPr="00F81A26" w:rsidTr="00260FBE">
        <w:tc>
          <w:tcPr>
            <w:tcW w:w="1015" w:type="pct"/>
          </w:tcPr>
          <w:p w:rsidR="00DD0726" w:rsidRPr="00C468A2" w:rsidRDefault="00C468A2" w:rsidP="00C468A2">
            <w:pPr>
              <w:spacing w:line="240" w:lineRule="auto"/>
              <w:ind w:right="-19"/>
              <w:rPr>
                <w:spacing w:val="-4"/>
                <w:sz w:val="16"/>
                <w:szCs w:val="16"/>
                <w:lang w:val="en-GB"/>
              </w:rPr>
            </w:pPr>
            <w:r w:rsidRPr="00C468A2">
              <w:rPr>
                <w:spacing w:val="-4"/>
                <w:sz w:val="16"/>
                <w:szCs w:val="16"/>
                <w:lang w:val="en-GB"/>
              </w:rPr>
              <w:t xml:space="preserve">Moderation of the year-on-year growth of the consumer prices was </w:t>
            </w:r>
            <w:r w:rsidR="00611A08" w:rsidRPr="00C468A2">
              <w:rPr>
                <w:spacing w:val="-4"/>
                <w:sz w:val="16"/>
                <w:szCs w:val="16"/>
                <w:lang w:val="en-GB"/>
              </w:rPr>
              <w:t>common to</w:t>
            </w:r>
            <w:r w:rsidRPr="00C468A2">
              <w:rPr>
                <w:spacing w:val="-4"/>
                <w:sz w:val="16"/>
                <w:szCs w:val="16"/>
                <w:lang w:val="en-GB"/>
              </w:rPr>
              <w:t xml:space="preserve"> the most of the EU</w:t>
            </w:r>
            <w:r w:rsidR="00DD0726" w:rsidRPr="00C468A2">
              <w:rPr>
                <w:spacing w:val="-4"/>
                <w:sz w:val="16"/>
                <w:szCs w:val="16"/>
                <w:lang w:val="en-GB"/>
              </w:rPr>
              <w:t xml:space="preserve">. </w:t>
            </w:r>
          </w:p>
        </w:tc>
        <w:tc>
          <w:tcPr>
            <w:tcW w:w="144" w:type="pct"/>
          </w:tcPr>
          <w:p w:rsidR="00DD0726" w:rsidRPr="00C468A2" w:rsidRDefault="00DD0726" w:rsidP="00260FBE">
            <w:pPr>
              <w:pStyle w:val="Textpoznpodarou"/>
              <w:jc w:val="both"/>
              <w:rPr>
                <w:spacing w:val="-4"/>
                <w:lang w:val="en-GB"/>
              </w:rPr>
            </w:pPr>
          </w:p>
        </w:tc>
        <w:tc>
          <w:tcPr>
            <w:tcW w:w="3841" w:type="pct"/>
            <w:gridSpan w:val="2"/>
          </w:tcPr>
          <w:p w:rsidR="00DD0726" w:rsidRPr="00C468A2" w:rsidRDefault="009D57B9" w:rsidP="00260FBE">
            <w:pPr>
              <w:pStyle w:val="Textpoznpodarou"/>
              <w:ind w:right="-35"/>
              <w:jc w:val="both"/>
              <w:rPr>
                <w:spacing w:val="-5"/>
                <w:lang w:val="en-GB"/>
              </w:rPr>
            </w:pPr>
            <w:r>
              <w:rPr>
                <w:spacing w:val="-5"/>
                <w:lang w:val="en-GB"/>
              </w:rPr>
              <w:t xml:space="preserve">Acceleration of the year-on-year price growth in the EU, which occurred in Q1 of the year </w:t>
            </w:r>
            <w:r w:rsidR="00DD0726" w:rsidRPr="00C468A2">
              <w:rPr>
                <w:spacing w:val="-5"/>
                <w:lang w:val="en-GB"/>
              </w:rPr>
              <w:t>(</w:t>
            </w:r>
            <w:r>
              <w:rPr>
                <w:spacing w:val="-5"/>
                <w:lang w:val="en-GB"/>
              </w:rPr>
              <w:t xml:space="preserve">year-on-year increase of the harmonised index of consumer prices by </w:t>
            </w:r>
            <w:proofErr w:type="gramStart"/>
            <w:r w:rsidR="00DD0726" w:rsidRPr="00C468A2">
              <w:rPr>
                <w:spacing w:val="-5"/>
                <w:lang w:val="en-GB"/>
              </w:rPr>
              <w:t>1</w:t>
            </w:r>
            <w:r w:rsidR="00F91E9E">
              <w:rPr>
                <w:spacing w:val="-5"/>
                <w:lang w:val="en-GB"/>
              </w:rPr>
              <w:t>.</w:t>
            </w:r>
            <w:r w:rsidR="00DD0726" w:rsidRPr="00C468A2">
              <w:rPr>
                <w:spacing w:val="-5"/>
                <w:lang w:val="en-GB"/>
              </w:rPr>
              <w:t>8</w:t>
            </w:r>
            <w:r w:rsidR="00954C8E">
              <w:rPr>
                <w:spacing w:val="-5"/>
                <w:lang w:val="en-GB"/>
              </w:rPr>
              <w:t>%</w:t>
            </w:r>
            <w:r w:rsidR="00DD0726" w:rsidRPr="00C468A2">
              <w:rPr>
                <w:spacing w:val="-5"/>
                <w:lang w:val="en-GB"/>
              </w:rPr>
              <w:t>)</w:t>
            </w:r>
            <w:proofErr w:type="gramEnd"/>
            <w:r w:rsidR="00DD0726" w:rsidRPr="00C468A2">
              <w:rPr>
                <w:spacing w:val="-5"/>
                <w:lang w:val="en-GB"/>
              </w:rPr>
              <w:t xml:space="preserve"> </w:t>
            </w:r>
            <w:r>
              <w:rPr>
                <w:spacing w:val="-5"/>
                <w:lang w:val="en-GB"/>
              </w:rPr>
              <w:t xml:space="preserve">did not remain and the year-on-year growth slowed down to </w:t>
            </w:r>
            <w:r w:rsidR="00DD0726" w:rsidRPr="00C468A2">
              <w:rPr>
                <w:spacing w:val="-5"/>
                <w:lang w:val="en-GB"/>
              </w:rPr>
              <w:t>1</w:t>
            </w:r>
            <w:r>
              <w:rPr>
                <w:spacing w:val="-5"/>
                <w:lang w:val="en-GB"/>
              </w:rPr>
              <w:t>.</w:t>
            </w:r>
            <w:r w:rsidR="00DD0726" w:rsidRPr="00C468A2">
              <w:rPr>
                <w:spacing w:val="-5"/>
                <w:lang w:val="en-GB"/>
              </w:rPr>
              <w:t>6</w:t>
            </w:r>
            <w:r w:rsidR="00954C8E">
              <w:rPr>
                <w:spacing w:val="-5"/>
                <w:lang w:val="en-GB"/>
              </w:rPr>
              <w:t>%</w:t>
            </w:r>
            <w:r>
              <w:rPr>
                <w:spacing w:val="-5"/>
                <w:lang w:val="en-GB"/>
              </w:rPr>
              <w:t xml:space="preserve"> in Q2</w:t>
            </w:r>
            <w:r w:rsidR="00DD0726" w:rsidRPr="00C468A2">
              <w:rPr>
                <w:spacing w:val="-5"/>
                <w:lang w:val="en-GB"/>
              </w:rPr>
              <w:t xml:space="preserve">. </w:t>
            </w:r>
            <w:r>
              <w:rPr>
                <w:spacing w:val="-5"/>
                <w:lang w:val="en-GB"/>
              </w:rPr>
              <w:t xml:space="preserve">The stated slowdown was common to the majority of the Union </w:t>
            </w:r>
            <w:r w:rsidR="00611A08">
              <w:rPr>
                <w:spacing w:val="-5"/>
                <w:lang w:val="en-GB"/>
              </w:rPr>
              <w:t>states;</w:t>
            </w:r>
            <w:r>
              <w:rPr>
                <w:spacing w:val="-5"/>
                <w:lang w:val="en-GB"/>
              </w:rPr>
              <w:t xml:space="preserve"> </w:t>
            </w:r>
            <w:r w:rsidR="00611A08">
              <w:rPr>
                <w:spacing w:val="-5"/>
                <w:lang w:val="en-GB"/>
              </w:rPr>
              <w:t>however,</w:t>
            </w:r>
            <w:r>
              <w:rPr>
                <w:spacing w:val="-5"/>
                <w:lang w:val="en-GB"/>
              </w:rPr>
              <w:t xml:space="preserve"> it did not cross 0.6 p. p. </w:t>
            </w:r>
            <w:r w:rsidR="00196656">
              <w:rPr>
                <w:spacing w:val="-5"/>
                <w:lang w:val="en-GB"/>
              </w:rPr>
              <w:t xml:space="preserve">Consumer prices grew the fastest in Estonia </w:t>
            </w:r>
            <w:r w:rsidR="00DD0726" w:rsidRPr="00C468A2">
              <w:rPr>
                <w:spacing w:val="-5"/>
                <w:lang w:val="en-GB"/>
              </w:rPr>
              <w:t>(3</w:t>
            </w:r>
            <w:r w:rsidR="00196656">
              <w:rPr>
                <w:spacing w:val="-5"/>
                <w:lang w:val="en-GB"/>
              </w:rPr>
              <w:t>.</w:t>
            </w:r>
            <w:r w:rsidR="00DD0726" w:rsidRPr="00C468A2">
              <w:rPr>
                <w:spacing w:val="-5"/>
                <w:lang w:val="en-GB"/>
              </w:rPr>
              <w:t>4</w:t>
            </w:r>
            <w:r w:rsidR="00954C8E">
              <w:rPr>
                <w:spacing w:val="-5"/>
                <w:lang w:val="en-GB"/>
              </w:rPr>
              <w:t>%</w:t>
            </w:r>
            <w:r w:rsidR="00DD0726" w:rsidRPr="00C468A2">
              <w:rPr>
                <w:spacing w:val="-5"/>
                <w:lang w:val="en-GB"/>
              </w:rPr>
              <w:t>), L</w:t>
            </w:r>
            <w:r w:rsidR="00196656">
              <w:rPr>
                <w:spacing w:val="-5"/>
                <w:lang w:val="en-GB"/>
              </w:rPr>
              <w:t xml:space="preserve">ithuania </w:t>
            </w:r>
            <w:r w:rsidR="00DD0726" w:rsidRPr="00C468A2">
              <w:rPr>
                <w:spacing w:val="-5"/>
                <w:lang w:val="en-GB"/>
              </w:rPr>
              <w:t>(3</w:t>
            </w:r>
            <w:r w:rsidR="00196656">
              <w:rPr>
                <w:spacing w:val="-5"/>
                <w:lang w:val="en-GB"/>
              </w:rPr>
              <w:t>.</w:t>
            </w:r>
            <w:r w:rsidR="00DD0726" w:rsidRPr="00C468A2">
              <w:rPr>
                <w:spacing w:val="-5"/>
                <w:lang w:val="en-GB"/>
              </w:rPr>
              <w:t>4</w:t>
            </w:r>
            <w:r w:rsidR="00954C8E">
              <w:rPr>
                <w:spacing w:val="-5"/>
                <w:lang w:val="en-GB"/>
              </w:rPr>
              <w:t>%</w:t>
            </w:r>
            <w:r w:rsidR="00DD0726" w:rsidRPr="00C468A2">
              <w:rPr>
                <w:spacing w:val="-5"/>
                <w:lang w:val="en-GB"/>
              </w:rPr>
              <w:t>) a</w:t>
            </w:r>
            <w:r w:rsidR="00196656">
              <w:rPr>
                <w:spacing w:val="-5"/>
                <w:lang w:val="en-GB"/>
              </w:rPr>
              <w:t xml:space="preserve">nd Latvia </w:t>
            </w:r>
            <w:r w:rsidR="00DD0726" w:rsidRPr="00C468A2">
              <w:rPr>
                <w:spacing w:val="-5"/>
                <w:lang w:val="en-GB"/>
              </w:rPr>
              <w:t>(</w:t>
            </w:r>
            <w:r w:rsidR="00196656">
              <w:rPr>
                <w:spacing w:val="-5"/>
                <w:lang w:val="en-GB"/>
              </w:rPr>
              <w:t>3.</w:t>
            </w:r>
            <w:r w:rsidR="00DD0726" w:rsidRPr="00C468A2">
              <w:rPr>
                <w:spacing w:val="-5"/>
                <w:lang w:val="en-GB"/>
              </w:rPr>
              <w:t>0</w:t>
            </w:r>
            <w:r w:rsidR="00954C8E">
              <w:rPr>
                <w:spacing w:val="-5"/>
                <w:lang w:val="en-GB"/>
              </w:rPr>
              <w:t>%</w:t>
            </w:r>
            <w:r w:rsidR="00DD0726" w:rsidRPr="00C468A2">
              <w:rPr>
                <w:spacing w:val="-5"/>
                <w:lang w:val="en-GB"/>
              </w:rPr>
              <w:t>)</w:t>
            </w:r>
            <w:r w:rsidR="00196656">
              <w:rPr>
                <w:spacing w:val="-5"/>
                <w:lang w:val="en-GB"/>
              </w:rPr>
              <w:t xml:space="preserve"> in Q2</w:t>
            </w:r>
            <w:r w:rsidR="00DD0726" w:rsidRPr="00C468A2">
              <w:rPr>
                <w:spacing w:val="-5"/>
                <w:lang w:val="en-GB"/>
              </w:rPr>
              <w:t xml:space="preserve">. </w:t>
            </w:r>
            <w:r w:rsidR="00196656">
              <w:rPr>
                <w:spacing w:val="-5"/>
                <w:lang w:val="en-GB"/>
              </w:rPr>
              <w:t xml:space="preserve">The </w:t>
            </w:r>
            <w:r w:rsidR="00611A08">
              <w:rPr>
                <w:spacing w:val="-5"/>
                <w:lang w:val="en-GB"/>
              </w:rPr>
              <w:t>Czech Republic</w:t>
            </w:r>
            <w:r w:rsidR="00196656">
              <w:rPr>
                <w:spacing w:val="-5"/>
                <w:lang w:val="en-GB"/>
              </w:rPr>
              <w:t xml:space="preserve"> in this respect also ranked among the countries with the fastest price growth. The growth of consumer prices ceased in Ireland in Q2 and it stayed below one percent in Romania </w:t>
            </w:r>
            <w:r w:rsidR="00DD0726" w:rsidRPr="00C468A2">
              <w:rPr>
                <w:spacing w:val="-5"/>
                <w:lang w:val="en-GB"/>
              </w:rPr>
              <w:t>(0</w:t>
            </w:r>
            <w:r w:rsidR="00196656">
              <w:rPr>
                <w:spacing w:val="-5"/>
                <w:lang w:val="en-GB"/>
              </w:rPr>
              <w:t>.</w:t>
            </w:r>
            <w:r w:rsidR="00DD0726" w:rsidRPr="00C468A2">
              <w:rPr>
                <w:spacing w:val="-5"/>
                <w:lang w:val="en-GB"/>
              </w:rPr>
              <w:t>6</w:t>
            </w:r>
            <w:r w:rsidR="00954C8E">
              <w:rPr>
                <w:spacing w:val="-5"/>
                <w:lang w:val="en-GB"/>
              </w:rPr>
              <w:t>%</w:t>
            </w:r>
            <w:r w:rsidR="00DD0726" w:rsidRPr="00C468A2">
              <w:rPr>
                <w:spacing w:val="-5"/>
                <w:lang w:val="en-GB"/>
              </w:rPr>
              <w:t xml:space="preserve">, </w:t>
            </w:r>
            <w:r w:rsidR="00196656">
              <w:rPr>
                <w:spacing w:val="-5"/>
                <w:lang w:val="en-GB"/>
              </w:rPr>
              <w:t>however a slowdown occurred compared to the previous quarter</w:t>
            </w:r>
            <w:r w:rsidR="00DD0726" w:rsidRPr="00C468A2">
              <w:rPr>
                <w:spacing w:val="-5"/>
                <w:lang w:val="en-GB"/>
              </w:rPr>
              <w:t>), D</w:t>
            </w:r>
            <w:r w:rsidR="00196656">
              <w:rPr>
                <w:spacing w:val="-5"/>
                <w:lang w:val="en-GB"/>
              </w:rPr>
              <w:t xml:space="preserve">enmark </w:t>
            </w:r>
            <w:r w:rsidR="00DD0726" w:rsidRPr="00C468A2">
              <w:rPr>
                <w:spacing w:val="-5"/>
                <w:lang w:val="en-GB"/>
              </w:rPr>
              <w:t>(0</w:t>
            </w:r>
            <w:r w:rsidR="00196656">
              <w:rPr>
                <w:spacing w:val="-5"/>
                <w:lang w:val="en-GB"/>
              </w:rPr>
              <w:t>.</w:t>
            </w:r>
            <w:r w:rsidR="00DD0726" w:rsidRPr="00C468A2">
              <w:rPr>
                <w:spacing w:val="-5"/>
                <w:lang w:val="en-GB"/>
              </w:rPr>
              <w:t>7</w:t>
            </w:r>
            <w:r w:rsidR="00954C8E">
              <w:rPr>
                <w:spacing w:val="-5"/>
                <w:lang w:val="en-GB"/>
              </w:rPr>
              <w:t>%</w:t>
            </w:r>
            <w:r w:rsidR="00DD0726" w:rsidRPr="00C468A2">
              <w:rPr>
                <w:spacing w:val="-5"/>
                <w:lang w:val="en-GB"/>
              </w:rPr>
              <w:t>) a</w:t>
            </w:r>
            <w:r w:rsidR="00196656">
              <w:rPr>
                <w:spacing w:val="-5"/>
                <w:lang w:val="en-GB"/>
              </w:rPr>
              <w:t xml:space="preserve">nd Finland </w:t>
            </w:r>
            <w:r w:rsidR="00DD0726" w:rsidRPr="00C468A2">
              <w:rPr>
                <w:spacing w:val="-5"/>
                <w:lang w:val="en-GB"/>
              </w:rPr>
              <w:t>(0</w:t>
            </w:r>
            <w:r w:rsidR="00196656">
              <w:rPr>
                <w:spacing w:val="-5"/>
                <w:lang w:val="en-GB"/>
              </w:rPr>
              <w:t>.</w:t>
            </w:r>
            <w:r w:rsidR="00DD0726" w:rsidRPr="00C468A2">
              <w:rPr>
                <w:spacing w:val="-5"/>
                <w:lang w:val="en-GB"/>
              </w:rPr>
              <w:t>9</w:t>
            </w:r>
            <w:r w:rsidR="00954C8E">
              <w:rPr>
                <w:spacing w:val="-5"/>
                <w:lang w:val="en-GB"/>
              </w:rPr>
              <w:t>%</w:t>
            </w:r>
            <w:r w:rsidR="00DD0726" w:rsidRPr="00C468A2">
              <w:rPr>
                <w:spacing w:val="-5"/>
                <w:lang w:val="en-GB"/>
              </w:rPr>
              <w:t>).</w:t>
            </w:r>
          </w:p>
          <w:p w:rsidR="00DD0726" w:rsidRPr="00C468A2" w:rsidRDefault="00DD0726" w:rsidP="00260FBE">
            <w:pPr>
              <w:pStyle w:val="Textpoznpodarou"/>
              <w:ind w:right="-35"/>
              <w:jc w:val="both"/>
              <w:rPr>
                <w:spacing w:val="-5"/>
                <w:sz w:val="16"/>
                <w:szCs w:val="16"/>
                <w:lang w:val="en-GB"/>
              </w:rPr>
            </w:pPr>
          </w:p>
        </w:tc>
      </w:tr>
      <w:tr w:rsidR="00DD0726" w:rsidRPr="00F81A26" w:rsidTr="00260FBE">
        <w:tc>
          <w:tcPr>
            <w:tcW w:w="1015" w:type="pct"/>
          </w:tcPr>
          <w:p w:rsidR="00DD0726" w:rsidRPr="00C468A2" w:rsidRDefault="00C468A2" w:rsidP="00C468A2">
            <w:pPr>
              <w:spacing w:line="240" w:lineRule="auto"/>
              <w:ind w:right="-19"/>
              <w:rPr>
                <w:spacing w:val="-4"/>
                <w:sz w:val="16"/>
                <w:szCs w:val="16"/>
                <w:lang w:val="en-GB"/>
              </w:rPr>
            </w:pPr>
            <w:r w:rsidRPr="00C468A2">
              <w:rPr>
                <w:spacing w:val="-4"/>
                <w:sz w:val="16"/>
                <w:szCs w:val="16"/>
                <w:lang w:val="en-GB"/>
              </w:rPr>
              <w:t xml:space="preserve">Prices of industrial producers grew year-on-year in Q2. </w:t>
            </w:r>
          </w:p>
        </w:tc>
        <w:tc>
          <w:tcPr>
            <w:tcW w:w="144" w:type="pct"/>
          </w:tcPr>
          <w:p w:rsidR="00DD0726" w:rsidRPr="00C468A2" w:rsidRDefault="00DD0726" w:rsidP="00260FBE">
            <w:pPr>
              <w:pStyle w:val="Textpoznpodarou"/>
              <w:jc w:val="both"/>
              <w:rPr>
                <w:spacing w:val="-4"/>
                <w:lang w:val="en-GB"/>
              </w:rPr>
            </w:pPr>
          </w:p>
        </w:tc>
        <w:tc>
          <w:tcPr>
            <w:tcW w:w="3841" w:type="pct"/>
            <w:gridSpan w:val="2"/>
          </w:tcPr>
          <w:p w:rsidR="00DD0726" w:rsidRDefault="003D7323" w:rsidP="008D2C16">
            <w:pPr>
              <w:pStyle w:val="Textpoznpodarou"/>
              <w:ind w:right="-35"/>
              <w:jc w:val="both"/>
              <w:rPr>
                <w:spacing w:val="-5"/>
                <w:lang w:val="en-GB"/>
              </w:rPr>
            </w:pPr>
            <w:r>
              <w:rPr>
                <w:spacing w:val="-5"/>
                <w:lang w:val="en-GB"/>
              </w:rPr>
              <w:t xml:space="preserve">Year-on-year growth of the industrial producer prices, which was renewed in Q1 </w:t>
            </w:r>
            <w:r w:rsidR="00DD0726" w:rsidRPr="00C468A2">
              <w:rPr>
                <w:spacing w:val="-5"/>
                <w:lang w:val="en-GB"/>
              </w:rPr>
              <w:t>(2</w:t>
            </w:r>
            <w:r>
              <w:rPr>
                <w:spacing w:val="-5"/>
                <w:lang w:val="en-GB"/>
              </w:rPr>
              <w:t>.</w:t>
            </w:r>
            <w:r w:rsidR="00DD0726" w:rsidRPr="00C468A2">
              <w:rPr>
                <w:spacing w:val="-5"/>
                <w:lang w:val="en-GB"/>
              </w:rPr>
              <w:t>7</w:t>
            </w:r>
            <w:r w:rsidR="00954C8E">
              <w:rPr>
                <w:spacing w:val="-5"/>
                <w:lang w:val="en-GB"/>
              </w:rPr>
              <w:t>%</w:t>
            </w:r>
            <w:r w:rsidR="00DD0726" w:rsidRPr="00C468A2">
              <w:rPr>
                <w:spacing w:val="-5"/>
                <w:lang w:val="en-GB"/>
              </w:rPr>
              <w:t xml:space="preserve">), </w:t>
            </w:r>
            <w:r>
              <w:rPr>
                <w:spacing w:val="-5"/>
                <w:lang w:val="en-GB"/>
              </w:rPr>
              <w:t xml:space="preserve">again slowed down following the April peak. </w:t>
            </w:r>
            <w:r w:rsidR="00EC7360">
              <w:rPr>
                <w:spacing w:val="-5"/>
                <w:lang w:val="en-GB"/>
              </w:rPr>
              <w:t>The industrial producer prices thus increased by 2.3</w:t>
            </w:r>
            <w:r w:rsidR="00954C8E">
              <w:rPr>
                <w:spacing w:val="-5"/>
                <w:lang w:val="en-GB"/>
              </w:rPr>
              <w:t>%</w:t>
            </w:r>
            <w:r w:rsidR="00EC7360">
              <w:rPr>
                <w:spacing w:val="-5"/>
                <w:lang w:val="en-GB"/>
              </w:rPr>
              <w:t xml:space="preserve"> in Q2 compared to the same period of the past year. The described dynamics was markedly affected by the development of the prices of coke and refined oil products. These significantly grew in Q1 and the growth subsequently slowed down. </w:t>
            </w:r>
            <w:r w:rsidR="007D368A">
              <w:rPr>
                <w:spacing w:val="-5"/>
                <w:lang w:val="en-GB"/>
              </w:rPr>
              <w:t xml:space="preserve">Prices of mining and quarrying grew constantly since the beginning of the year </w:t>
            </w:r>
            <w:r w:rsidR="00DD0726" w:rsidRPr="00C468A2">
              <w:rPr>
                <w:spacing w:val="-5"/>
                <w:lang w:val="en-GB"/>
              </w:rPr>
              <w:t>(</w:t>
            </w:r>
            <w:r w:rsidR="007D368A">
              <w:rPr>
                <w:spacing w:val="-5"/>
                <w:lang w:val="en-GB"/>
              </w:rPr>
              <w:t>year-on-year growth was 4.9</w:t>
            </w:r>
            <w:r w:rsidR="00954C8E">
              <w:rPr>
                <w:spacing w:val="-5"/>
                <w:lang w:val="en-GB"/>
              </w:rPr>
              <w:t>%</w:t>
            </w:r>
            <w:r w:rsidR="007D368A">
              <w:rPr>
                <w:spacing w:val="-5"/>
                <w:lang w:val="en-GB"/>
              </w:rPr>
              <w:t xml:space="preserve"> in Q2). The year-on-year price growth slowed down in the most significant industry by weight, manufacturing, </w:t>
            </w:r>
            <w:r w:rsidR="00C4335D">
              <w:rPr>
                <w:spacing w:val="-5"/>
                <w:lang w:val="en-GB"/>
              </w:rPr>
              <w:t>and reached 2.8</w:t>
            </w:r>
            <w:r w:rsidR="00954C8E">
              <w:rPr>
                <w:spacing w:val="-5"/>
                <w:lang w:val="en-GB"/>
              </w:rPr>
              <w:t>%</w:t>
            </w:r>
            <w:r w:rsidR="00C4335D">
              <w:rPr>
                <w:spacing w:val="-5"/>
                <w:lang w:val="en-GB"/>
              </w:rPr>
              <w:t xml:space="preserve"> in Q2 </w:t>
            </w:r>
            <w:r w:rsidR="00DD0726" w:rsidRPr="00C468A2">
              <w:rPr>
                <w:spacing w:val="-5"/>
                <w:lang w:val="en-GB"/>
              </w:rPr>
              <w:t>(</w:t>
            </w:r>
            <w:r w:rsidR="00C4335D">
              <w:rPr>
                <w:spacing w:val="-5"/>
                <w:lang w:val="en-GB"/>
              </w:rPr>
              <w:t>by 0.</w:t>
            </w:r>
            <w:r w:rsidR="00DD0726" w:rsidRPr="00C468A2">
              <w:rPr>
                <w:spacing w:val="-5"/>
                <w:lang w:val="en-GB"/>
              </w:rPr>
              <w:t>6 p.</w:t>
            </w:r>
            <w:r w:rsidR="00C4335D">
              <w:rPr>
                <w:spacing w:val="-5"/>
                <w:lang w:val="en-GB"/>
              </w:rPr>
              <w:t>p</w:t>
            </w:r>
            <w:r w:rsidR="00DD0726" w:rsidRPr="00C468A2">
              <w:rPr>
                <w:spacing w:val="-5"/>
                <w:lang w:val="en-GB"/>
              </w:rPr>
              <w:t xml:space="preserve">. </w:t>
            </w:r>
            <w:r w:rsidR="00C4335D">
              <w:rPr>
                <w:spacing w:val="-5"/>
                <w:lang w:val="en-GB"/>
              </w:rPr>
              <w:t>less compared to the preceding quarter). Prices of food products, beverages and tobacco were raised by 3.3</w:t>
            </w:r>
            <w:r w:rsidR="00954C8E">
              <w:rPr>
                <w:spacing w:val="-5"/>
                <w:lang w:val="en-GB"/>
              </w:rPr>
              <w:t>%</w:t>
            </w:r>
            <w:r w:rsidR="00C4335D">
              <w:rPr>
                <w:spacing w:val="-5"/>
                <w:lang w:val="en-GB"/>
              </w:rPr>
              <w:t xml:space="preserve"> (acceleration of 2.4 p. p.).</w:t>
            </w:r>
            <w:r w:rsidR="00DD0726" w:rsidRPr="00C468A2">
              <w:rPr>
                <w:spacing w:val="-5"/>
                <w:lang w:val="en-GB"/>
              </w:rPr>
              <w:t xml:space="preserve"> </w:t>
            </w:r>
            <w:r w:rsidR="00486700">
              <w:rPr>
                <w:spacing w:val="-5"/>
                <w:lang w:val="en-GB"/>
              </w:rPr>
              <w:t xml:space="preserve">Among the other weight significant sections, the prices of rubber and plastic products and other non-metal mineral products mildly increased </w:t>
            </w:r>
            <w:r w:rsidR="00DD0726" w:rsidRPr="00C468A2">
              <w:rPr>
                <w:spacing w:val="-5"/>
                <w:lang w:val="en-GB"/>
              </w:rPr>
              <w:t>(0</w:t>
            </w:r>
            <w:r w:rsidR="00486700">
              <w:rPr>
                <w:spacing w:val="-5"/>
                <w:lang w:val="en-GB"/>
              </w:rPr>
              <w:t>.</w:t>
            </w:r>
            <w:r w:rsidR="00DD0726" w:rsidRPr="00C468A2">
              <w:rPr>
                <w:spacing w:val="-5"/>
                <w:lang w:val="en-GB"/>
              </w:rPr>
              <w:t>8</w:t>
            </w:r>
            <w:r w:rsidR="00954C8E">
              <w:rPr>
                <w:spacing w:val="-5"/>
                <w:lang w:val="en-GB"/>
              </w:rPr>
              <w:t>%</w:t>
            </w:r>
            <w:r w:rsidR="00DD0726" w:rsidRPr="00C468A2">
              <w:rPr>
                <w:spacing w:val="-5"/>
                <w:lang w:val="en-GB"/>
              </w:rPr>
              <w:t>) a</w:t>
            </w:r>
            <w:r w:rsidR="00486700">
              <w:rPr>
                <w:spacing w:val="-5"/>
                <w:lang w:val="en-GB"/>
              </w:rPr>
              <w:t xml:space="preserve">nd the year-on-year increase of the prices of the general metals and metal products accelerated to </w:t>
            </w:r>
            <w:r w:rsidR="00DD0726" w:rsidRPr="00C468A2">
              <w:rPr>
                <w:spacing w:val="-5"/>
                <w:lang w:val="en-GB"/>
              </w:rPr>
              <w:t>7</w:t>
            </w:r>
            <w:r w:rsidR="00486700">
              <w:rPr>
                <w:spacing w:val="-5"/>
                <w:lang w:val="en-GB"/>
              </w:rPr>
              <w:t>.</w:t>
            </w:r>
            <w:r w:rsidR="00DD0726" w:rsidRPr="00C468A2">
              <w:rPr>
                <w:spacing w:val="-5"/>
                <w:lang w:val="en-GB"/>
              </w:rPr>
              <w:t>1</w:t>
            </w:r>
            <w:r w:rsidR="00954C8E">
              <w:rPr>
                <w:spacing w:val="-5"/>
                <w:lang w:val="en-GB"/>
              </w:rPr>
              <w:t>%</w:t>
            </w:r>
            <w:r w:rsidR="00486700">
              <w:rPr>
                <w:spacing w:val="-5"/>
                <w:lang w:val="en-GB"/>
              </w:rPr>
              <w:t xml:space="preserve">. </w:t>
            </w:r>
            <w:r w:rsidR="005A5FAD">
              <w:rPr>
                <w:spacing w:val="-5"/>
                <w:lang w:val="en-GB"/>
              </w:rPr>
              <w:t xml:space="preserve">Prices of transport equipment were slightly falling </w:t>
            </w:r>
            <w:r w:rsidR="00DD0726" w:rsidRPr="00C468A2">
              <w:rPr>
                <w:spacing w:val="-5"/>
                <w:lang w:val="en-GB"/>
              </w:rPr>
              <w:t>(</w:t>
            </w:r>
            <w:r w:rsidR="005A5FAD">
              <w:rPr>
                <w:spacing w:val="-5"/>
                <w:lang w:val="en-GB"/>
              </w:rPr>
              <w:t>by</w:t>
            </w:r>
            <w:r w:rsidR="00DD0726" w:rsidRPr="00C468A2">
              <w:rPr>
                <w:spacing w:val="-5"/>
                <w:lang w:val="en-GB"/>
              </w:rPr>
              <w:t> 1</w:t>
            </w:r>
            <w:r w:rsidR="005A5FAD">
              <w:rPr>
                <w:spacing w:val="-5"/>
                <w:lang w:val="en-GB"/>
              </w:rPr>
              <w:t>.</w:t>
            </w:r>
            <w:r w:rsidR="00DD0726" w:rsidRPr="00C468A2">
              <w:rPr>
                <w:spacing w:val="-5"/>
                <w:lang w:val="en-GB"/>
              </w:rPr>
              <w:t>8</w:t>
            </w:r>
            <w:r w:rsidR="00954C8E">
              <w:rPr>
                <w:spacing w:val="-5"/>
                <w:lang w:val="en-GB"/>
              </w:rPr>
              <w:t>%</w:t>
            </w:r>
            <w:r w:rsidR="00DD0726" w:rsidRPr="00C468A2">
              <w:rPr>
                <w:spacing w:val="-5"/>
                <w:lang w:val="en-GB"/>
              </w:rPr>
              <w:t xml:space="preserve">). </w:t>
            </w:r>
            <w:r w:rsidR="005A5FAD">
              <w:rPr>
                <w:spacing w:val="-5"/>
                <w:lang w:val="en-GB"/>
              </w:rPr>
              <w:t>The prices of chemicals and chemical products grew markedly (5.3</w:t>
            </w:r>
            <w:r w:rsidR="00954C8E">
              <w:rPr>
                <w:spacing w:val="-5"/>
                <w:lang w:val="en-GB"/>
              </w:rPr>
              <w:t>%</w:t>
            </w:r>
            <w:r w:rsidR="005A5FAD">
              <w:rPr>
                <w:spacing w:val="-5"/>
                <w:lang w:val="en-GB"/>
              </w:rPr>
              <w:t xml:space="preserve">, mild slowdown compared to the previous quarter). </w:t>
            </w:r>
            <w:r w:rsidR="008D2C16">
              <w:rPr>
                <w:spacing w:val="-5"/>
                <w:lang w:val="en-GB"/>
              </w:rPr>
              <w:t xml:space="preserve">The prices of electricity, steam and air conditioning supply keep decreasing </w:t>
            </w:r>
            <w:r w:rsidR="00DD0726" w:rsidRPr="00C468A2">
              <w:rPr>
                <w:spacing w:val="-5"/>
                <w:lang w:val="en-GB"/>
              </w:rPr>
              <w:t>(</w:t>
            </w:r>
            <w:r w:rsidR="008D2C16">
              <w:rPr>
                <w:spacing w:val="-5"/>
                <w:lang w:val="en-GB"/>
              </w:rPr>
              <w:t>by</w:t>
            </w:r>
            <w:r w:rsidR="00DD0726" w:rsidRPr="00C468A2">
              <w:rPr>
                <w:spacing w:val="-5"/>
                <w:lang w:val="en-GB"/>
              </w:rPr>
              <w:t xml:space="preserve"> 1</w:t>
            </w:r>
            <w:r w:rsidR="008D2C16">
              <w:rPr>
                <w:spacing w:val="-5"/>
                <w:lang w:val="en-GB"/>
              </w:rPr>
              <w:t>.</w:t>
            </w:r>
            <w:r w:rsidR="00DD0726" w:rsidRPr="00C468A2">
              <w:rPr>
                <w:spacing w:val="-5"/>
                <w:lang w:val="en-GB"/>
              </w:rPr>
              <w:t>3</w:t>
            </w:r>
            <w:r w:rsidR="00954C8E">
              <w:rPr>
                <w:spacing w:val="-5"/>
                <w:lang w:val="en-GB"/>
              </w:rPr>
              <w:t>%</w:t>
            </w:r>
            <w:r w:rsidR="00DD0726" w:rsidRPr="00C468A2">
              <w:rPr>
                <w:spacing w:val="-5"/>
                <w:lang w:val="en-GB"/>
              </w:rPr>
              <w:t xml:space="preserve"> </w:t>
            </w:r>
            <w:r w:rsidR="008D2C16">
              <w:rPr>
                <w:spacing w:val="-5"/>
                <w:lang w:val="en-GB"/>
              </w:rPr>
              <w:t>in Q2</w:t>
            </w:r>
            <w:r w:rsidR="00DD0726" w:rsidRPr="00C468A2">
              <w:rPr>
                <w:spacing w:val="-5"/>
                <w:lang w:val="en-GB"/>
              </w:rPr>
              <w:t xml:space="preserve">), </w:t>
            </w:r>
            <w:r w:rsidR="008D2C16">
              <w:rPr>
                <w:spacing w:val="-5"/>
                <w:lang w:val="en-GB"/>
              </w:rPr>
              <w:t xml:space="preserve">however the drop shrank compared to the previous year. </w:t>
            </w:r>
          </w:p>
          <w:p w:rsidR="008D2C16" w:rsidRPr="00C468A2" w:rsidRDefault="008D2C16" w:rsidP="008D2C16">
            <w:pPr>
              <w:pStyle w:val="Textpoznpodarou"/>
              <w:ind w:right="-35"/>
              <w:jc w:val="both"/>
              <w:rPr>
                <w:spacing w:val="-5"/>
                <w:sz w:val="16"/>
                <w:szCs w:val="16"/>
                <w:lang w:val="en-GB"/>
              </w:rPr>
            </w:pPr>
          </w:p>
        </w:tc>
      </w:tr>
      <w:tr w:rsidR="00DD0726" w:rsidRPr="00F81A26" w:rsidTr="00260FBE">
        <w:tc>
          <w:tcPr>
            <w:tcW w:w="1015" w:type="pct"/>
          </w:tcPr>
          <w:p w:rsidR="00DD0726" w:rsidRPr="00FC605E" w:rsidRDefault="00FC605E" w:rsidP="00260FBE">
            <w:pPr>
              <w:spacing w:line="240" w:lineRule="auto"/>
              <w:ind w:right="-19"/>
              <w:rPr>
                <w:spacing w:val="-4"/>
                <w:sz w:val="16"/>
                <w:szCs w:val="16"/>
                <w:lang w:val="en-GB"/>
              </w:rPr>
            </w:pPr>
            <w:r w:rsidRPr="00FC605E">
              <w:rPr>
                <w:spacing w:val="-4"/>
                <w:sz w:val="16"/>
                <w:szCs w:val="16"/>
                <w:lang w:val="en-GB"/>
              </w:rPr>
              <w:t>Growth of</w:t>
            </w:r>
            <w:r>
              <w:rPr>
                <w:spacing w:val="-4"/>
                <w:sz w:val="16"/>
                <w:szCs w:val="16"/>
                <w:lang w:val="en-GB"/>
              </w:rPr>
              <w:t xml:space="preserve"> p</w:t>
            </w:r>
            <w:r w:rsidRPr="00FC605E">
              <w:rPr>
                <w:spacing w:val="-4"/>
                <w:sz w:val="16"/>
                <w:szCs w:val="16"/>
                <w:lang w:val="en-GB"/>
              </w:rPr>
              <w:t xml:space="preserve">rices of producers in the EU was faster than in the CR. </w:t>
            </w:r>
          </w:p>
        </w:tc>
        <w:tc>
          <w:tcPr>
            <w:tcW w:w="144" w:type="pct"/>
          </w:tcPr>
          <w:p w:rsidR="00DD0726" w:rsidRPr="00FC605E" w:rsidRDefault="00DD0726" w:rsidP="00260FBE">
            <w:pPr>
              <w:pStyle w:val="Textpoznpodarou"/>
              <w:jc w:val="both"/>
              <w:rPr>
                <w:spacing w:val="-4"/>
                <w:lang w:val="en-GB"/>
              </w:rPr>
            </w:pPr>
          </w:p>
        </w:tc>
        <w:tc>
          <w:tcPr>
            <w:tcW w:w="3841" w:type="pct"/>
            <w:gridSpan w:val="2"/>
          </w:tcPr>
          <w:p w:rsidR="00DD0726" w:rsidRPr="00FC605E" w:rsidRDefault="00FC605E" w:rsidP="00260FBE">
            <w:pPr>
              <w:pStyle w:val="Textpoznpodarou"/>
              <w:ind w:right="-35"/>
              <w:jc w:val="both"/>
              <w:rPr>
                <w:spacing w:val="-5"/>
                <w:sz w:val="16"/>
                <w:szCs w:val="16"/>
                <w:lang w:val="en-GB"/>
              </w:rPr>
            </w:pPr>
            <w:r>
              <w:rPr>
                <w:spacing w:val="-5"/>
                <w:lang w:val="en-GB"/>
              </w:rPr>
              <w:t>Prices of industrial producers in the EU rose faster in the EU year-on-year than in the CR (3.</w:t>
            </w:r>
            <w:r w:rsidR="00DD0726" w:rsidRPr="00FC605E">
              <w:rPr>
                <w:spacing w:val="-5"/>
                <w:lang w:val="en-GB"/>
              </w:rPr>
              <w:t>7</w:t>
            </w:r>
            <w:r w:rsidR="00954C8E">
              <w:rPr>
                <w:spacing w:val="-5"/>
                <w:lang w:val="en-GB"/>
              </w:rPr>
              <w:t>%</w:t>
            </w:r>
            <w:r w:rsidR="00DD0726" w:rsidRPr="00FC605E">
              <w:rPr>
                <w:spacing w:val="-5"/>
                <w:lang w:val="en-GB"/>
              </w:rPr>
              <w:t>)</w:t>
            </w:r>
            <w:proofErr w:type="gramStart"/>
            <w:r w:rsidR="00DD0726" w:rsidRPr="00FC605E">
              <w:rPr>
                <w:spacing w:val="-5"/>
                <w:lang w:val="en-GB"/>
              </w:rPr>
              <w:t>,</w:t>
            </w:r>
            <w:proofErr w:type="gramEnd"/>
            <w:r w:rsidR="00DD0726" w:rsidRPr="00FC605E">
              <w:rPr>
                <w:spacing w:val="-5"/>
                <w:lang w:val="en-GB"/>
              </w:rPr>
              <w:t xml:space="preserve"> </w:t>
            </w:r>
            <w:r>
              <w:rPr>
                <w:spacing w:val="-5"/>
                <w:lang w:val="en-GB"/>
              </w:rPr>
              <w:t xml:space="preserve">however the slowdown by 1.0 p. p. compared to the preceding quarter manifested also here. </w:t>
            </w:r>
            <w:r w:rsidR="003A72DF">
              <w:rPr>
                <w:spacing w:val="-5"/>
                <w:lang w:val="en-GB"/>
              </w:rPr>
              <w:t>Apart from Luxembourg, where the industrial producer prices fell by 2.9</w:t>
            </w:r>
            <w:r w:rsidR="00954C8E">
              <w:rPr>
                <w:spacing w:val="-5"/>
                <w:lang w:val="en-GB"/>
              </w:rPr>
              <w:t>%</w:t>
            </w:r>
            <w:r w:rsidR="003A72DF">
              <w:rPr>
                <w:spacing w:val="-5"/>
                <w:lang w:val="en-GB"/>
              </w:rPr>
              <w:t xml:space="preserve"> year-on-year in Q2, the prices at least slightly rose in the individual EU countries. The CR ranked in this respect within the range of a more moderate dynamics. </w:t>
            </w:r>
            <w:r w:rsidR="00941631">
              <w:rPr>
                <w:spacing w:val="-5"/>
                <w:lang w:val="en-GB"/>
              </w:rPr>
              <w:t xml:space="preserve">Prices grew slower than in our country only in Austria </w:t>
            </w:r>
            <w:r w:rsidR="00DD0726" w:rsidRPr="00FC605E">
              <w:rPr>
                <w:spacing w:val="-5"/>
                <w:lang w:val="en-GB"/>
              </w:rPr>
              <w:t>(1</w:t>
            </w:r>
            <w:r w:rsidR="00941631">
              <w:rPr>
                <w:spacing w:val="-5"/>
                <w:lang w:val="en-GB"/>
              </w:rPr>
              <w:t>.</w:t>
            </w:r>
            <w:r w:rsidR="00DD0726" w:rsidRPr="00FC605E">
              <w:rPr>
                <w:spacing w:val="-5"/>
                <w:lang w:val="en-GB"/>
              </w:rPr>
              <w:t>9</w:t>
            </w:r>
            <w:r w:rsidR="00954C8E">
              <w:rPr>
                <w:spacing w:val="-5"/>
                <w:lang w:val="en-GB"/>
              </w:rPr>
              <w:t>%</w:t>
            </w:r>
            <w:r w:rsidR="00DD0726" w:rsidRPr="00FC605E">
              <w:rPr>
                <w:spacing w:val="-5"/>
                <w:lang w:val="en-GB"/>
              </w:rPr>
              <w:t>), C</w:t>
            </w:r>
            <w:r w:rsidR="00941631">
              <w:rPr>
                <w:spacing w:val="-5"/>
                <w:lang w:val="en-GB"/>
              </w:rPr>
              <w:t>roatia (1.9</w:t>
            </w:r>
            <w:r w:rsidR="00954C8E">
              <w:rPr>
                <w:spacing w:val="-5"/>
                <w:lang w:val="en-GB"/>
              </w:rPr>
              <w:t>%</w:t>
            </w:r>
            <w:r w:rsidR="00941631">
              <w:rPr>
                <w:spacing w:val="-5"/>
                <w:lang w:val="en-GB"/>
              </w:rPr>
              <w:t xml:space="preserve">), Slovenia </w:t>
            </w:r>
            <w:r w:rsidR="00DD0726" w:rsidRPr="00FC605E">
              <w:rPr>
                <w:spacing w:val="-5"/>
                <w:lang w:val="en-GB"/>
              </w:rPr>
              <w:t>(1</w:t>
            </w:r>
            <w:r w:rsidR="00941631">
              <w:rPr>
                <w:spacing w:val="-5"/>
                <w:lang w:val="en-GB"/>
              </w:rPr>
              <w:t>.</w:t>
            </w:r>
            <w:r w:rsidR="00DD0726" w:rsidRPr="00FC605E">
              <w:rPr>
                <w:spacing w:val="-5"/>
                <w:lang w:val="en-GB"/>
              </w:rPr>
              <w:t>4</w:t>
            </w:r>
            <w:r w:rsidR="00954C8E">
              <w:rPr>
                <w:spacing w:val="-5"/>
                <w:lang w:val="en-GB"/>
              </w:rPr>
              <w:t>%</w:t>
            </w:r>
            <w:r w:rsidR="00DD0726" w:rsidRPr="00FC605E">
              <w:rPr>
                <w:spacing w:val="-5"/>
                <w:lang w:val="en-GB"/>
              </w:rPr>
              <w:t>) a</w:t>
            </w:r>
            <w:r w:rsidR="00941631">
              <w:rPr>
                <w:spacing w:val="-5"/>
                <w:lang w:val="en-GB"/>
              </w:rPr>
              <w:t xml:space="preserve">nd Malta </w:t>
            </w:r>
            <w:r w:rsidR="00DD0726" w:rsidRPr="00FC605E">
              <w:rPr>
                <w:spacing w:val="-5"/>
                <w:lang w:val="en-GB"/>
              </w:rPr>
              <w:t>(0</w:t>
            </w:r>
            <w:r w:rsidR="00941631">
              <w:rPr>
                <w:spacing w:val="-5"/>
                <w:lang w:val="en-GB"/>
              </w:rPr>
              <w:t>.</w:t>
            </w:r>
            <w:r w:rsidR="00DD0726" w:rsidRPr="00FC605E">
              <w:rPr>
                <w:spacing w:val="-5"/>
                <w:lang w:val="en-GB"/>
              </w:rPr>
              <w:t>8</w:t>
            </w:r>
            <w:r w:rsidR="00954C8E">
              <w:rPr>
                <w:spacing w:val="-5"/>
                <w:lang w:val="en-GB"/>
              </w:rPr>
              <w:t>%</w:t>
            </w:r>
            <w:r w:rsidR="00DD0726" w:rsidRPr="00FC605E">
              <w:rPr>
                <w:spacing w:val="-5"/>
                <w:lang w:val="en-GB"/>
              </w:rPr>
              <w:t xml:space="preserve">). </w:t>
            </w:r>
            <w:r w:rsidR="00D67B47">
              <w:rPr>
                <w:spacing w:val="-5"/>
                <w:lang w:val="en-GB"/>
              </w:rPr>
              <w:t xml:space="preserve">Very strong growth of the industrial producer prices </w:t>
            </w:r>
            <w:r w:rsidR="00D67B47">
              <w:rPr>
                <w:spacing w:val="-5"/>
                <w:lang w:val="en-GB"/>
              </w:rPr>
              <w:lastRenderedPageBreak/>
              <w:t xml:space="preserve">continued in Belgium </w:t>
            </w:r>
            <w:r w:rsidR="00DD0726" w:rsidRPr="00FC605E">
              <w:rPr>
                <w:spacing w:val="-5"/>
                <w:lang w:val="en-GB"/>
              </w:rPr>
              <w:t>(9</w:t>
            </w:r>
            <w:r w:rsidR="00D67B47">
              <w:rPr>
                <w:spacing w:val="-5"/>
                <w:lang w:val="en-GB"/>
              </w:rPr>
              <w:t>.</w:t>
            </w:r>
            <w:r w:rsidR="00DD0726" w:rsidRPr="00FC605E">
              <w:rPr>
                <w:spacing w:val="-5"/>
                <w:lang w:val="en-GB"/>
              </w:rPr>
              <w:t>3</w:t>
            </w:r>
            <w:r w:rsidR="00954C8E">
              <w:rPr>
                <w:spacing w:val="-5"/>
                <w:lang w:val="en-GB"/>
              </w:rPr>
              <w:t>%</w:t>
            </w:r>
            <w:r w:rsidR="00DD0726" w:rsidRPr="00FC605E">
              <w:rPr>
                <w:spacing w:val="-5"/>
                <w:lang w:val="en-GB"/>
              </w:rPr>
              <w:t xml:space="preserve">), </w:t>
            </w:r>
            <w:r w:rsidR="00D67B47">
              <w:rPr>
                <w:spacing w:val="-5"/>
                <w:lang w:val="en-GB"/>
              </w:rPr>
              <w:t xml:space="preserve">placed behind was the Great Britain </w:t>
            </w:r>
            <w:r w:rsidR="00DD0726" w:rsidRPr="00FC605E">
              <w:rPr>
                <w:spacing w:val="-5"/>
                <w:lang w:val="en-GB"/>
              </w:rPr>
              <w:t>(6</w:t>
            </w:r>
            <w:r w:rsidR="00D67B47">
              <w:rPr>
                <w:spacing w:val="-5"/>
                <w:lang w:val="en-GB"/>
              </w:rPr>
              <w:t>.</w:t>
            </w:r>
            <w:r w:rsidR="00DD0726" w:rsidRPr="00FC605E">
              <w:rPr>
                <w:spacing w:val="-5"/>
                <w:lang w:val="en-GB"/>
              </w:rPr>
              <w:t>0</w:t>
            </w:r>
            <w:r w:rsidR="00954C8E">
              <w:rPr>
                <w:spacing w:val="-5"/>
                <w:lang w:val="en-GB"/>
              </w:rPr>
              <w:t>%</w:t>
            </w:r>
            <w:r w:rsidR="00DD0726" w:rsidRPr="00FC605E">
              <w:rPr>
                <w:spacing w:val="-5"/>
                <w:lang w:val="en-GB"/>
              </w:rPr>
              <w:t>) a</w:t>
            </w:r>
            <w:r w:rsidR="00D67B47">
              <w:rPr>
                <w:spacing w:val="-5"/>
                <w:lang w:val="en-GB"/>
              </w:rPr>
              <w:t>nd the Netherlands</w:t>
            </w:r>
            <w:r w:rsidR="00DD0726" w:rsidRPr="00FC605E">
              <w:rPr>
                <w:spacing w:val="-5"/>
                <w:lang w:val="en-GB"/>
              </w:rPr>
              <w:t xml:space="preserve"> (5</w:t>
            </w:r>
            <w:r w:rsidR="00D67B47">
              <w:rPr>
                <w:spacing w:val="-5"/>
                <w:lang w:val="en-GB"/>
              </w:rPr>
              <w:t>.</w:t>
            </w:r>
            <w:r w:rsidR="00DD0726" w:rsidRPr="00FC605E">
              <w:rPr>
                <w:spacing w:val="-5"/>
                <w:lang w:val="en-GB"/>
              </w:rPr>
              <w:t>5</w:t>
            </w:r>
            <w:r w:rsidR="00954C8E">
              <w:rPr>
                <w:spacing w:val="-5"/>
                <w:lang w:val="en-GB"/>
              </w:rPr>
              <w:t>%</w:t>
            </w:r>
            <w:r w:rsidR="00DD0726" w:rsidRPr="00FC605E">
              <w:rPr>
                <w:spacing w:val="-5"/>
                <w:lang w:val="en-GB"/>
              </w:rPr>
              <w:t>).</w:t>
            </w:r>
          </w:p>
          <w:p w:rsidR="00DD0726" w:rsidRPr="00FC605E" w:rsidRDefault="00DD0726" w:rsidP="00260FBE">
            <w:pPr>
              <w:pStyle w:val="Textpoznpodarou"/>
              <w:ind w:right="-35"/>
              <w:jc w:val="both"/>
              <w:rPr>
                <w:spacing w:val="-5"/>
                <w:sz w:val="16"/>
                <w:szCs w:val="16"/>
                <w:lang w:val="en-GB"/>
              </w:rPr>
            </w:pPr>
          </w:p>
        </w:tc>
      </w:tr>
      <w:tr w:rsidR="00DD0726" w:rsidRPr="00F81A26" w:rsidTr="00260FBE">
        <w:tc>
          <w:tcPr>
            <w:tcW w:w="1015" w:type="pct"/>
          </w:tcPr>
          <w:p w:rsidR="00DD0726" w:rsidRPr="00F81A26" w:rsidRDefault="00DD0726" w:rsidP="00260FBE">
            <w:pPr>
              <w:spacing w:line="240" w:lineRule="auto"/>
              <w:ind w:right="-19"/>
              <w:jc w:val="center"/>
              <w:rPr>
                <w:spacing w:val="-4"/>
                <w:szCs w:val="20"/>
              </w:rPr>
            </w:pPr>
          </w:p>
        </w:tc>
        <w:tc>
          <w:tcPr>
            <w:tcW w:w="144" w:type="pct"/>
          </w:tcPr>
          <w:p w:rsidR="00DD0726" w:rsidRPr="00F81A26" w:rsidRDefault="00DD0726" w:rsidP="00260FBE">
            <w:pPr>
              <w:pStyle w:val="Textpoznpodarou"/>
              <w:jc w:val="both"/>
              <w:rPr>
                <w:spacing w:val="-4"/>
              </w:rPr>
            </w:pPr>
          </w:p>
        </w:tc>
        <w:tc>
          <w:tcPr>
            <w:tcW w:w="580" w:type="pct"/>
          </w:tcPr>
          <w:p w:rsidR="00DD0726" w:rsidRPr="00F81A26" w:rsidRDefault="003B39B9" w:rsidP="003B39B9">
            <w:pPr>
              <w:pStyle w:val="Textpoznpodarou"/>
              <w:ind w:right="-35"/>
              <w:jc w:val="both"/>
              <w:rPr>
                <w:spacing w:val="-4"/>
              </w:rPr>
            </w:pPr>
            <w:r>
              <w:rPr>
                <w:spacing w:val="-4"/>
              </w:rPr>
              <w:t xml:space="preserve">Chart </w:t>
            </w:r>
            <w:r w:rsidR="00DD0726" w:rsidRPr="00F81A26">
              <w:rPr>
                <w:spacing w:val="-4"/>
              </w:rPr>
              <w:t>13</w:t>
            </w:r>
          </w:p>
        </w:tc>
        <w:tc>
          <w:tcPr>
            <w:tcW w:w="3261" w:type="pct"/>
          </w:tcPr>
          <w:p w:rsidR="00DD0726" w:rsidRPr="00F81A26" w:rsidRDefault="006D381F" w:rsidP="00260FBE">
            <w:pPr>
              <w:pStyle w:val="Textpoznpodarou"/>
              <w:ind w:right="-35"/>
              <w:rPr>
                <w:spacing w:val="-4"/>
              </w:rPr>
            </w:pPr>
            <w:r w:rsidRPr="006D381F">
              <w:rPr>
                <w:b/>
                <w:spacing w:val="-4"/>
                <w:lang w:val="en-GB" w:eastAsia="en-US"/>
              </w:rPr>
              <w:t xml:space="preserve">Prices of main groups of industrial producers </w:t>
            </w:r>
            <w:r w:rsidR="00DD0726" w:rsidRPr="006D381F">
              <w:rPr>
                <w:spacing w:val="-4"/>
                <w:lang w:val="en-GB" w:eastAsia="en-US"/>
              </w:rPr>
              <w:t>(</w:t>
            </w:r>
            <w:r w:rsidRPr="006D381F">
              <w:rPr>
                <w:spacing w:val="-4"/>
                <w:lang w:val="en-GB" w:eastAsia="en-US"/>
              </w:rPr>
              <w:t>year-on-year change</w:t>
            </w:r>
            <w:r w:rsidR="00DD0726" w:rsidRPr="006D381F">
              <w:rPr>
                <w:spacing w:val="-4"/>
                <w:lang w:val="en-GB" w:eastAsia="en-US"/>
              </w:rPr>
              <w:t xml:space="preserve">, </w:t>
            </w:r>
            <w:r w:rsidR="00954C8E">
              <w:rPr>
                <w:spacing w:val="-4"/>
                <w:lang w:val="en-GB" w:eastAsia="en-US"/>
              </w:rPr>
              <w:t>in %</w:t>
            </w:r>
            <w:r w:rsidR="00DD0726" w:rsidRPr="006D381F">
              <w:rPr>
                <w:spacing w:val="-4"/>
                <w:lang w:val="en-GB" w:eastAsia="en-US"/>
              </w:rPr>
              <w:t xml:space="preserve">, </w:t>
            </w:r>
            <w:r w:rsidRPr="006D381F">
              <w:rPr>
                <w:spacing w:val="-4"/>
                <w:lang w:val="en-GB" w:eastAsia="en-US"/>
              </w:rPr>
              <w:t>based on CZ-CPA classification</w:t>
            </w:r>
            <w:r w:rsidR="00DD0726" w:rsidRPr="00F81A26">
              <w:rPr>
                <w:spacing w:val="-4"/>
                <w:lang w:eastAsia="en-US"/>
              </w:rPr>
              <w:t>)</w:t>
            </w:r>
          </w:p>
        </w:tc>
      </w:tr>
      <w:tr w:rsidR="00DD0726" w:rsidRPr="00F81A26" w:rsidTr="00260FBE">
        <w:tc>
          <w:tcPr>
            <w:tcW w:w="1015" w:type="pct"/>
          </w:tcPr>
          <w:p w:rsidR="00DD0726" w:rsidRPr="00F81A26" w:rsidRDefault="00DD0726" w:rsidP="00260FBE">
            <w:pPr>
              <w:spacing w:line="240" w:lineRule="auto"/>
              <w:ind w:right="-19"/>
              <w:rPr>
                <w:spacing w:val="-4"/>
                <w:sz w:val="16"/>
                <w:szCs w:val="16"/>
              </w:rPr>
            </w:pPr>
          </w:p>
        </w:tc>
        <w:tc>
          <w:tcPr>
            <w:tcW w:w="144" w:type="pct"/>
          </w:tcPr>
          <w:p w:rsidR="00DD0726" w:rsidRPr="00F81A26" w:rsidRDefault="00DD0726" w:rsidP="00260FBE">
            <w:pPr>
              <w:pStyle w:val="Textpoznpodarou"/>
              <w:jc w:val="both"/>
              <w:rPr>
                <w:spacing w:val="-4"/>
              </w:rPr>
            </w:pPr>
          </w:p>
        </w:tc>
        <w:tc>
          <w:tcPr>
            <w:tcW w:w="3841" w:type="pct"/>
            <w:gridSpan w:val="2"/>
          </w:tcPr>
          <w:p w:rsidR="00DD0726" w:rsidRPr="00F81A26" w:rsidRDefault="0068748C" w:rsidP="00260FBE">
            <w:pPr>
              <w:pStyle w:val="Textpoznpodarou"/>
              <w:ind w:left="-54" w:right="-35"/>
              <w:jc w:val="both"/>
              <w:rPr>
                <w:spacing w:val="-4"/>
              </w:rPr>
            </w:pPr>
            <w:r w:rsidRPr="0068748C">
              <w:rPr>
                <w:noProof/>
                <w:spacing w:val="-4"/>
              </w:rPr>
              <w:drawing>
                <wp:inline distT="0" distB="0" distL="0" distR="0">
                  <wp:extent cx="4737600" cy="3553200"/>
                  <wp:effectExtent l="0" t="0" r="0" b="0"/>
                  <wp:docPr id="4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D381F" w:rsidRDefault="003B39B9" w:rsidP="003B39B9">
            <w:pPr>
              <w:pStyle w:val="Textpoznpodarou"/>
              <w:ind w:left="-54" w:right="-35"/>
              <w:jc w:val="right"/>
              <w:rPr>
                <w:spacing w:val="-4"/>
                <w:sz w:val="14"/>
                <w:szCs w:val="14"/>
              </w:rPr>
            </w:pPr>
            <w:proofErr w:type="spellStart"/>
            <w:r>
              <w:rPr>
                <w:spacing w:val="-4"/>
                <w:sz w:val="14"/>
                <w:szCs w:val="14"/>
              </w:rPr>
              <w:t>Source</w:t>
            </w:r>
            <w:proofErr w:type="spellEnd"/>
            <w:r w:rsidR="00DD0726" w:rsidRPr="00F81A26">
              <w:rPr>
                <w:spacing w:val="-4"/>
                <w:sz w:val="14"/>
                <w:szCs w:val="14"/>
              </w:rPr>
              <w:t>:</w:t>
            </w:r>
            <w:r w:rsidR="006D381F">
              <w:rPr>
                <w:spacing w:val="-4"/>
                <w:sz w:val="14"/>
                <w:szCs w:val="14"/>
              </w:rPr>
              <w:t xml:space="preserve"> </w:t>
            </w:r>
            <w:r>
              <w:rPr>
                <w:spacing w:val="-4"/>
                <w:sz w:val="14"/>
                <w:szCs w:val="14"/>
              </w:rPr>
              <w:t>CZSO</w:t>
            </w:r>
          </w:p>
          <w:p w:rsidR="003B39B9" w:rsidRPr="00F81A26" w:rsidRDefault="003B39B9" w:rsidP="0068748C">
            <w:pPr>
              <w:pStyle w:val="Textpoznpodarou"/>
              <w:ind w:left="-54" w:right="-35"/>
              <w:jc w:val="right"/>
              <w:rPr>
                <w:spacing w:val="-4"/>
                <w:sz w:val="14"/>
                <w:szCs w:val="14"/>
              </w:rPr>
            </w:pPr>
          </w:p>
        </w:tc>
      </w:tr>
      <w:tr w:rsidR="00DD0726" w:rsidRPr="00F81A26" w:rsidTr="00260FBE">
        <w:tc>
          <w:tcPr>
            <w:tcW w:w="1015" w:type="pct"/>
          </w:tcPr>
          <w:p w:rsidR="00DD0726" w:rsidRPr="00F94231" w:rsidRDefault="00F94231" w:rsidP="00260FBE">
            <w:pPr>
              <w:spacing w:line="240" w:lineRule="auto"/>
              <w:ind w:right="-19"/>
              <w:rPr>
                <w:spacing w:val="-4"/>
                <w:sz w:val="16"/>
                <w:szCs w:val="16"/>
                <w:lang w:val="en-GB"/>
              </w:rPr>
            </w:pPr>
            <w:r w:rsidRPr="00F94231">
              <w:rPr>
                <w:spacing w:val="-4"/>
                <w:sz w:val="16"/>
                <w:szCs w:val="16"/>
                <w:lang w:val="en-GB"/>
              </w:rPr>
              <w:t>The agricultura</w:t>
            </w:r>
            <w:r w:rsidR="00843CEC">
              <w:rPr>
                <w:spacing w:val="-4"/>
                <w:sz w:val="16"/>
                <w:szCs w:val="16"/>
                <w:lang w:val="en-GB"/>
              </w:rPr>
              <w:t>l</w:t>
            </w:r>
            <w:r w:rsidRPr="00F94231">
              <w:rPr>
                <w:spacing w:val="-4"/>
                <w:sz w:val="16"/>
                <w:szCs w:val="16"/>
                <w:lang w:val="en-GB"/>
              </w:rPr>
              <w:t xml:space="preserve"> producer prices increased year-on-year for the first time since 2013. </w:t>
            </w:r>
          </w:p>
        </w:tc>
        <w:tc>
          <w:tcPr>
            <w:tcW w:w="144" w:type="pct"/>
          </w:tcPr>
          <w:p w:rsidR="00DD0726" w:rsidRPr="00F94231" w:rsidRDefault="00DD0726" w:rsidP="00260FBE">
            <w:pPr>
              <w:pStyle w:val="Textpoznpodarou"/>
              <w:jc w:val="both"/>
              <w:rPr>
                <w:spacing w:val="-4"/>
                <w:lang w:val="en-GB"/>
              </w:rPr>
            </w:pPr>
          </w:p>
        </w:tc>
        <w:tc>
          <w:tcPr>
            <w:tcW w:w="3841" w:type="pct"/>
            <w:gridSpan w:val="2"/>
          </w:tcPr>
          <w:p w:rsidR="00DD0726" w:rsidRDefault="00843CEC" w:rsidP="003C33F6">
            <w:pPr>
              <w:pStyle w:val="Textpoznpodarou"/>
              <w:ind w:right="-35"/>
              <w:jc w:val="both"/>
              <w:rPr>
                <w:spacing w:val="-5"/>
                <w:lang w:val="en-GB"/>
              </w:rPr>
            </w:pPr>
            <w:r>
              <w:rPr>
                <w:spacing w:val="-5"/>
                <w:lang w:val="en-GB"/>
              </w:rPr>
              <w:t>Agricultural producer prices (incl. fish) were raised year-on-year in Q2 for the first time since Q3 2013 (except for Q4 2015) and specifically by 11.3</w:t>
            </w:r>
            <w:r w:rsidR="00954C8E">
              <w:rPr>
                <w:spacing w:val="-5"/>
                <w:lang w:val="en-GB"/>
              </w:rPr>
              <w:t>%</w:t>
            </w:r>
            <w:r>
              <w:rPr>
                <w:spacing w:val="-5"/>
                <w:lang w:val="en-GB"/>
              </w:rPr>
              <w:t xml:space="preserve">. </w:t>
            </w:r>
            <w:r w:rsidR="00DD0726" w:rsidRPr="00F94231">
              <w:rPr>
                <w:spacing w:val="-5"/>
                <w:lang w:val="en-GB"/>
              </w:rPr>
              <w:t> </w:t>
            </w:r>
            <w:r w:rsidR="00DA42CF">
              <w:rPr>
                <w:spacing w:val="-5"/>
                <w:lang w:val="en-GB"/>
              </w:rPr>
              <w:t>Mostly the animal production contributed to the growth of the total index, whose prices grew by 16.9</w:t>
            </w:r>
            <w:r w:rsidR="00954C8E">
              <w:rPr>
                <w:spacing w:val="-5"/>
                <w:lang w:val="en-GB"/>
              </w:rPr>
              <w:t>%</w:t>
            </w:r>
            <w:r w:rsidR="00DA42CF">
              <w:rPr>
                <w:spacing w:val="-5"/>
                <w:lang w:val="en-GB"/>
              </w:rPr>
              <w:t>, the prices of the plant production however also increased after more than one year (6.7</w:t>
            </w:r>
            <w:r w:rsidR="00954C8E">
              <w:rPr>
                <w:spacing w:val="-5"/>
                <w:lang w:val="en-GB"/>
              </w:rPr>
              <w:t>%</w:t>
            </w:r>
            <w:r w:rsidR="00DA42CF">
              <w:rPr>
                <w:spacing w:val="-5"/>
                <w:lang w:val="en-GB"/>
              </w:rPr>
              <w:t xml:space="preserve">). </w:t>
            </w:r>
            <w:r w:rsidR="001062F1">
              <w:rPr>
                <w:spacing w:val="-5"/>
                <w:lang w:val="en-GB"/>
              </w:rPr>
              <w:t>The raised prices of cereals (2.6</w:t>
            </w:r>
            <w:r w:rsidR="00954C8E">
              <w:rPr>
                <w:spacing w:val="-5"/>
                <w:lang w:val="en-GB"/>
              </w:rPr>
              <w:t>%</w:t>
            </w:r>
            <w:r w:rsidR="001062F1">
              <w:rPr>
                <w:spacing w:val="-5"/>
                <w:lang w:val="en-GB"/>
              </w:rPr>
              <w:t>, first growth since Q4 2015), especially wheat (5.3</w:t>
            </w:r>
            <w:r w:rsidR="00954C8E">
              <w:rPr>
                <w:spacing w:val="-5"/>
                <w:lang w:val="en-GB"/>
              </w:rPr>
              <w:t>%</w:t>
            </w:r>
            <w:r w:rsidR="001062F1">
              <w:rPr>
                <w:spacing w:val="-5"/>
                <w:lang w:val="en-GB"/>
              </w:rPr>
              <w:t>) was reflected here. The estimated lowering of yields compared to the above average year 2016 can also be one of the reasons. Industrial plants were another significant group of plants, whose prices rose (7.2</w:t>
            </w:r>
            <w:r w:rsidR="00954C8E">
              <w:rPr>
                <w:spacing w:val="-5"/>
                <w:lang w:val="en-GB"/>
              </w:rPr>
              <w:t>%</w:t>
            </w:r>
            <w:r w:rsidR="001062F1">
              <w:rPr>
                <w:spacing w:val="-5"/>
                <w:lang w:val="en-GB"/>
              </w:rPr>
              <w:t xml:space="preserve">), especially </w:t>
            </w:r>
            <w:r w:rsidR="008C05F3">
              <w:rPr>
                <w:spacing w:val="-5"/>
                <w:lang w:val="en-GB"/>
              </w:rPr>
              <w:t>oil plants, where the oilseed rape holds the largest share (year-on-year growth of 10.2</w:t>
            </w:r>
            <w:r w:rsidR="00954C8E">
              <w:rPr>
                <w:spacing w:val="-5"/>
                <w:lang w:val="en-GB"/>
              </w:rPr>
              <w:t>%</w:t>
            </w:r>
            <w:r w:rsidR="000A62FA">
              <w:rPr>
                <w:spacing w:val="-5"/>
                <w:lang w:val="en-GB"/>
              </w:rPr>
              <w:t>)</w:t>
            </w:r>
            <w:r w:rsidR="003C33F6">
              <w:rPr>
                <w:spacing w:val="-5"/>
                <w:lang w:val="en-GB"/>
              </w:rPr>
              <w:t>. The year-on-year increase of the prices of vegetables and garden products by 23.7</w:t>
            </w:r>
            <w:r w:rsidR="00954C8E">
              <w:rPr>
                <w:spacing w:val="-5"/>
                <w:lang w:val="en-GB"/>
              </w:rPr>
              <w:t>%</w:t>
            </w:r>
            <w:r w:rsidR="003C33F6">
              <w:rPr>
                <w:spacing w:val="-5"/>
                <w:lang w:val="en-GB"/>
              </w:rPr>
              <w:t xml:space="preserve"> also had a notable share. The prices of animal production grew already second quarter in a row (16.9</w:t>
            </w:r>
            <w:r w:rsidR="00954C8E">
              <w:rPr>
                <w:spacing w:val="-5"/>
                <w:lang w:val="en-GB"/>
              </w:rPr>
              <w:t>%</w:t>
            </w:r>
            <w:r w:rsidR="003C33F6">
              <w:rPr>
                <w:spacing w:val="-5"/>
                <w:lang w:val="en-GB"/>
              </w:rPr>
              <w:t xml:space="preserve">). The prices of live animals were raised </w:t>
            </w:r>
            <w:r w:rsidR="00DD0726" w:rsidRPr="00F94231">
              <w:rPr>
                <w:spacing w:val="-5"/>
                <w:lang w:val="en-GB"/>
              </w:rPr>
              <w:t>(10</w:t>
            </w:r>
            <w:r w:rsidR="003C33F6">
              <w:rPr>
                <w:spacing w:val="-5"/>
                <w:lang w:val="en-GB"/>
              </w:rPr>
              <w:t>.</w:t>
            </w:r>
            <w:r w:rsidR="00DD0726" w:rsidRPr="00F94231">
              <w:rPr>
                <w:spacing w:val="-5"/>
                <w:lang w:val="en-GB"/>
              </w:rPr>
              <w:t>5</w:t>
            </w:r>
            <w:r w:rsidR="00954C8E">
              <w:rPr>
                <w:spacing w:val="-5"/>
                <w:lang w:val="en-GB"/>
              </w:rPr>
              <w:t>%</w:t>
            </w:r>
            <w:r w:rsidR="00DD0726" w:rsidRPr="00F94231">
              <w:rPr>
                <w:spacing w:val="-5"/>
                <w:lang w:val="en-GB"/>
              </w:rPr>
              <w:t xml:space="preserve">, </w:t>
            </w:r>
            <w:r w:rsidR="003C33F6">
              <w:rPr>
                <w:spacing w:val="-5"/>
                <w:lang w:val="en-GB"/>
              </w:rPr>
              <w:t>the prices of pigs, whose growth is accelerati</w:t>
            </w:r>
            <w:r w:rsidR="000A62FA">
              <w:rPr>
                <w:spacing w:val="-5"/>
                <w:lang w:val="en-GB"/>
              </w:rPr>
              <w:t>ng</w:t>
            </w:r>
            <w:r w:rsidR="003C33F6">
              <w:rPr>
                <w:spacing w:val="-5"/>
                <w:lang w:val="en-GB"/>
              </w:rPr>
              <w:t xml:space="preserve"> already one year and reached 27.6</w:t>
            </w:r>
            <w:r w:rsidR="00954C8E">
              <w:rPr>
                <w:spacing w:val="-5"/>
                <w:lang w:val="en-GB"/>
              </w:rPr>
              <w:t>%</w:t>
            </w:r>
            <w:r w:rsidR="003C33F6">
              <w:rPr>
                <w:spacing w:val="-5"/>
                <w:lang w:val="en-GB"/>
              </w:rPr>
              <w:t xml:space="preserve"> in Q2, had the main impact). The poultry offset the mentioned </w:t>
            </w:r>
            <w:proofErr w:type="gramStart"/>
            <w:r w:rsidR="003C33F6">
              <w:rPr>
                <w:spacing w:val="-5"/>
                <w:lang w:val="en-GB"/>
              </w:rPr>
              <w:t>growth,</w:t>
            </w:r>
            <w:proofErr w:type="gramEnd"/>
            <w:r w:rsidR="003C33F6">
              <w:rPr>
                <w:spacing w:val="-5"/>
                <w:lang w:val="en-GB"/>
              </w:rPr>
              <w:t xml:space="preserve"> its prices fell by 5.1</w:t>
            </w:r>
            <w:r w:rsidR="00954C8E">
              <w:rPr>
                <w:spacing w:val="-5"/>
                <w:lang w:val="en-GB"/>
              </w:rPr>
              <w:t>%</w:t>
            </w:r>
            <w:r w:rsidR="003C33F6">
              <w:rPr>
                <w:spacing w:val="-5"/>
                <w:lang w:val="en-GB"/>
              </w:rPr>
              <w:t>. The growth of the prices of milk also gained pace (26.1</w:t>
            </w:r>
            <w:r w:rsidR="00954C8E">
              <w:rPr>
                <w:spacing w:val="-5"/>
                <w:lang w:val="en-GB"/>
              </w:rPr>
              <w:t>%</w:t>
            </w:r>
            <w:r w:rsidR="003C33F6">
              <w:rPr>
                <w:spacing w:val="-5"/>
                <w:lang w:val="en-GB"/>
              </w:rPr>
              <w:t>), it has the highest weight among the animal products, whose prices went up by 24.5</w:t>
            </w:r>
            <w:r w:rsidR="00954C8E">
              <w:rPr>
                <w:spacing w:val="-5"/>
                <w:lang w:val="en-GB"/>
              </w:rPr>
              <w:t>%</w:t>
            </w:r>
            <w:r w:rsidR="003C33F6">
              <w:rPr>
                <w:spacing w:val="-5"/>
                <w:lang w:val="en-GB"/>
              </w:rPr>
              <w:t xml:space="preserve">. </w:t>
            </w:r>
            <w:r w:rsidR="00DD0726" w:rsidRPr="00F94231">
              <w:rPr>
                <w:spacing w:val="-5"/>
                <w:lang w:val="en-GB"/>
              </w:rPr>
              <w:t xml:space="preserve"> </w:t>
            </w:r>
          </w:p>
          <w:p w:rsidR="003C33F6" w:rsidRPr="00F94231" w:rsidRDefault="003C33F6" w:rsidP="003C33F6">
            <w:pPr>
              <w:pStyle w:val="Textpoznpodarou"/>
              <w:ind w:right="-35"/>
              <w:jc w:val="both"/>
              <w:rPr>
                <w:spacing w:val="-5"/>
                <w:sz w:val="16"/>
                <w:szCs w:val="16"/>
                <w:lang w:val="en-GB"/>
              </w:rPr>
            </w:pPr>
          </w:p>
        </w:tc>
      </w:tr>
      <w:tr w:rsidR="00DD0726" w:rsidRPr="00F81A26" w:rsidTr="00260FBE">
        <w:tc>
          <w:tcPr>
            <w:tcW w:w="1015" w:type="pct"/>
          </w:tcPr>
          <w:p w:rsidR="00DD0726" w:rsidRPr="00604D90" w:rsidRDefault="004D2BE3" w:rsidP="00260FBE">
            <w:pPr>
              <w:spacing w:line="240" w:lineRule="auto"/>
              <w:ind w:right="-19"/>
              <w:rPr>
                <w:spacing w:val="-4"/>
                <w:sz w:val="16"/>
                <w:szCs w:val="16"/>
                <w:lang w:val="en-GB"/>
              </w:rPr>
            </w:pPr>
            <w:r>
              <w:rPr>
                <w:spacing w:val="-4"/>
                <w:sz w:val="16"/>
                <w:szCs w:val="16"/>
                <w:lang w:val="en-GB"/>
              </w:rPr>
              <w:t>The growth of prices of market services, stagnat</w:t>
            </w:r>
            <w:r w:rsidR="000A62FA">
              <w:rPr>
                <w:spacing w:val="-4"/>
                <w:sz w:val="16"/>
                <w:szCs w:val="16"/>
                <w:lang w:val="en-GB"/>
              </w:rPr>
              <w:t>ing</w:t>
            </w:r>
            <w:r>
              <w:rPr>
                <w:spacing w:val="-4"/>
                <w:sz w:val="16"/>
                <w:szCs w:val="16"/>
                <w:lang w:val="en-GB"/>
              </w:rPr>
              <w:t xml:space="preserve"> in the long-term, gained pace.</w:t>
            </w:r>
          </w:p>
        </w:tc>
        <w:tc>
          <w:tcPr>
            <w:tcW w:w="144" w:type="pct"/>
          </w:tcPr>
          <w:p w:rsidR="00DD0726" w:rsidRPr="00604D90" w:rsidRDefault="00DD0726" w:rsidP="00260FBE">
            <w:pPr>
              <w:pStyle w:val="Textpoznpodarou"/>
              <w:jc w:val="both"/>
              <w:rPr>
                <w:spacing w:val="-4"/>
                <w:lang w:val="en-GB"/>
              </w:rPr>
            </w:pPr>
          </w:p>
        </w:tc>
        <w:tc>
          <w:tcPr>
            <w:tcW w:w="3841" w:type="pct"/>
            <w:gridSpan w:val="2"/>
          </w:tcPr>
          <w:p w:rsidR="00DD0726" w:rsidRDefault="00604D90" w:rsidP="00334FE5">
            <w:pPr>
              <w:pStyle w:val="Textpoznpodarou"/>
              <w:ind w:right="-35"/>
              <w:jc w:val="both"/>
              <w:rPr>
                <w:spacing w:val="-4"/>
                <w:lang w:val="en-GB"/>
              </w:rPr>
            </w:pPr>
            <w:r w:rsidRPr="00604D90">
              <w:rPr>
                <w:spacing w:val="-4"/>
                <w:lang w:val="en-GB"/>
              </w:rPr>
              <w:t xml:space="preserve">Prices of market services continued with their dynamics in the development from previous quarters and their year-on-year growth accelerated to </w:t>
            </w:r>
            <w:r w:rsidR="00DD0726" w:rsidRPr="00604D90">
              <w:rPr>
                <w:spacing w:val="-4"/>
                <w:lang w:val="en-GB"/>
              </w:rPr>
              <w:t>1</w:t>
            </w:r>
            <w:r w:rsidRPr="00604D90">
              <w:rPr>
                <w:spacing w:val="-4"/>
                <w:lang w:val="en-GB"/>
              </w:rPr>
              <w:t>.</w:t>
            </w:r>
            <w:r w:rsidR="00DD0726" w:rsidRPr="00604D90">
              <w:rPr>
                <w:spacing w:val="-4"/>
                <w:lang w:val="en-GB"/>
              </w:rPr>
              <w:t>0</w:t>
            </w:r>
            <w:r w:rsidR="00954C8E">
              <w:rPr>
                <w:spacing w:val="-4"/>
                <w:lang w:val="en-GB"/>
              </w:rPr>
              <w:t>%</w:t>
            </w:r>
            <w:r w:rsidR="00DD0726" w:rsidRPr="00604D90">
              <w:rPr>
                <w:spacing w:val="-4"/>
                <w:lang w:val="en-GB"/>
              </w:rPr>
              <w:t xml:space="preserve">. </w:t>
            </w:r>
            <w:r w:rsidR="004D2BE3">
              <w:rPr>
                <w:spacing w:val="-4"/>
                <w:lang w:val="en-GB"/>
              </w:rPr>
              <w:t xml:space="preserve">The division insurance and pension financing, whose prices went up </w:t>
            </w:r>
            <w:r w:rsidR="00AD1299">
              <w:rPr>
                <w:spacing w:val="-4"/>
                <w:lang w:val="en-GB"/>
              </w:rPr>
              <w:t>b</w:t>
            </w:r>
            <w:r w:rsidR="004D2BE3">
              <w:rPr>
                <w:spacing w:val="-4"/>
                <w:lang w:val="en-GB"/>
              </w:rPr>
              <w:t>y 5.3</w:t>
            </w:r>
            <w:r w:rsidR="00954C8E">
              <w:rPr>
                <w:spacing w:val="-4"/>
                <w:lang w:val="en-GB"/>
              </w:rPr>
              <w:t>%</w:t>
            </w:r>
            <w:r w:rsidR="004D2BE3">
              <w:rPr>
                <w:spacing w:val="-4"/>
                <w:lang w:val="en-GB"/>
              </w:rPr>
              <w:t xml:space="preserve"> and further the advertising services and market research, whose prices were raised by 2.0</w:t>
            </w:r>
            <w:r w:rsidR="00954C8E">
              <w:rPr>
                <w:spacing w:val="-4"/>
                <w:lang w:val="en-GB"/>
              </w:rPr>
              <w:t>%</w:t>
            </w:r>
            <w:r w:rsidR="004D2BE3">
              <w:rPr>
                <w:spacing w:val="-4"/>
                <w:lang w:val="en-GB"/>
              </w:rPr>
              <w:t xml:space="preserve"> especially supported the growth of the total index. The strong growth of the prices of postal and courier services </w:t>
            </w:r>
            <w:r w:rsidR="00B979AF">
              <w:rPr>
                <w:spacing w:val="-4"/>
                <w:lang w:val="en-GB"/>
              </w:rPr>
              <w:t xml:space="preserve">as well </w:t>
            </w:r>
            <w:r w:rsidR="00DD0726" w:rsidRPr="00604D90">
              <w:rPr>
                <w:spacing w:val="-4"/>
                <w:lang w:val="en-GB"/>
              </w:rPr>
              <w:t>(4</w:t>
            </w:r>
            <w:r w:rsidR="004D2BE3">
              <w:rPr>
                <w:spacing w:val="-4"/>
                <w:lang w:val="en-GB"/>
              </w:rPr>
              <w:t>.</w:t>
            </w:r>
            <w:r w:rsidR="00DD0726" w:rsidRPr="00604D90">
              <w:rPr>
                <w:spacing w:val="-4"/>
                <w:lang w:val="en-GB"/>
              </w:rPr>
              <w:t>5</w:t>
            </w:r>
            <w:r w:rsidR="00954C8E">
              <w:rPr>
                <w:spacing w:val="-4"/>
                <w:lang w:val="en-GB"/>
              </w:rPr>
              <w:t>%</w:t>
            </w:r>
            <w:r w:rsidR="00DD0726" w:rsidRPr="00604D90">
              <w:rPr>
                <w:spacing w:val="-4"/>
                <w:lang w:val="en-GB"/>
              </w:rPr>
              <w:t xml:space="preserve">). </w:t>
            </w:r>
            <w:r w:rsidR="00121387">
              <w:rPr>
                <w:spacing w:val="-4"/>
                <w:lang w:val="en-GB"/>
              </w:rPr>
              <w:t>Even the mild growth of the two most significant components by weight, that is land and pipe transport and architectural and engineering services revived (0.4</w:t>
            </w:r>
            <w:r w:rsidR="00954C8E">
              <w:rPr>
                <w:spacing w:val="-4"/>
                <w:lang w:val="en-GB"/>
              </w:rPr>
              <w:t>%</w:t>
            </w:r>
            <w:r w:rsidR="00121387">
              <w:rPr>
                <w:spacing w:val="-4"/>
                <w:lang w:val="en-GB"/>
              </w:rPr>
              <w:t>).</w:t>
            </w:r>
            <w:r w:rsidR="00334FE5">
              <w:rPr>
                <w:spacing w:val="-4"/>
                <w:lang w:val="en-GB"/>
              </w:rPr>
              <w:t xml:space="preserve"> Both services renewed their price growth after a period of mild decreased. </w:t>
            </w:r>
          </w:p>
          <w:p w:rsidR="00334FE5" w:rsidRPr="00604D90" w:rsidRDefault="00334FE5" w:rsidP="00334FE5">
            <w:pPr>
              <w:pStyle w:val="Textpoznpodarou"/>
              <w:ind w:right="-35"/>
              <w:jc w:val="both"/>
              <w:rPr>
                <w:spacing w:val="-5"/>
                <w:sz w:val="16"/>
                <w:szCs w:val="16"/>
                <w:lang w:val="en-GB"/>
              </w:rPr>
            </w:pPr>
          </w:p>
        </w:tc>
      </w:tr>
      <w:tr w:rsidR="00DD0726" w:rsidRPr="00F81A26" w:rsidTr="00260FBE">
        <w:tc>
          <w:tcPr>
            <w:tcW w:w="1015" w:type="pct"/>
          </w:tcPr>
          <w:p w:rsidR="00DD0726" w:rsidRPr="00604D90" w:rsidRDefault="00143594" w:rsidP="00260FBE">
            <w:pPr>
              <w:spacing w:line="240" w:lineRule="auto"/>
              <w:ind w:right="-19"/>
              <w:rPr>
                <w:spacing w:val="-4"/>
                <w:sz w:val="16"/>
                <w:szCs w:val="16"/>
                <w:lang w:val="en-GB"/>
              </w:rPr>
            </w:pPr>
            <w:r>
              <w:rPr>
                <w:spacing w:val="-4"/>
                <w:sz w:val="16"/>
                <w:szCs w:val="16"/>
                <w:lang w:val="en-GB"/>
              </w:rPr>
              <w:t xml:space="preserve">Development of prices of foreign trade was markedly affected by the loosening of the exchange rate commitment and appreciation of crown </w:t>
            </w:r>
            <w:r>
              <w:rPr>
                <w:spacing w:val="-4"/>
                <w:sz w:val="16"/>
                <w:szCs w:val="16"/>
                <w:lang w:val="en-GB"/>
              </w:rPr>
              <w:lastRenderedPageBreak/>
              <w:t>towards euro.</w:t>
            </w:r>
            <w:r w:rsidR="00DD0726" w:rsidRPr="00604D90">
              <w:rPr>
                <w:spacing w:val="-4"/>
                <w:sz w:val="16"/>
                <w:szCs w:val="16"/>
                <w:lang w:val="en-GB"/>
              </w:rPr>
              <w:t xml:space="preserve"> </w:t>
            </w:r>
          </w:p>
        </w:tc>
        <w:tc>
          <w:tcPr>
            <w:tcW w:w="144" w:type="pct"/>
          </w:tcPr>
          <w:p w:rsidR="00DD0726" w:rsidRPr="00604D90" w:rsidRDefault="00DD0726" w:rsidP="00260FBE">
            <w:pPr>
              <w:pStyle w:val="Textpoznpodarou"/>
              <w:jc w:val="both"/>
              <w:rPr>
                <w:spacing w:val="-4"/>
                <w:lang w:val="en-GB"/>
              </w:rPr>
            </w:pPr>
          </w:p>
        </w:tc>
        <w:tc>
          <w:tcPr>
            <w:tcW w:w="3841" w:type="pct"/>
            <w:gridSpan w:val="2"/>
          </w:tcPr>
          <w:p w:rsidR="00DD0726" w:rsidRPr="00604D90" w:rsidRDefault="00291417" w:rsidP="00260FBE">
            <w:pPr>
              <w:pStyle w:val="Textpoznpodarou"/>
              <w:ind w:right="-35"/>
              <w:jc w:val="both"/>
              <w:rPr>
                <w:spacing w:val="-5"/>
                <w:sz w:val="16"/>
                <w:szCs w:val="16"/>
                <w:lang w:val="en-GB"/>
              </w:rPr>
            </w:pPr>
            <w:r>
              <w:rPr>
                <w:spacing w:val="-5"/>
                <w:lang w:val="en-GB"/>
              </w:rPr>
              <w:t>The growth of prices of export and import again slowed down in Q2 2017, following the acceleration of the year-on-year dynamics in the first quarter of the year. The export prices increased by 1.0</w:t>
            </w:r>
            <w:r w:rsidR="00954C8E">
              <w:rPr>
                <w:spacing w:val="-5"/>
                <w:lang w:val="en-GB"/>
              </w:rPr>
              <w:t>%</w:t>
            </w:r>
            <w:r>
              <w:rPr>
                <w:spacing w:val="-5"/>
                <w:lang w:val="en-GB"/>
              </w:rPr>
              <w:t xml:space="preserve"> during Q2 </w:t>
            </w:r>
            <w:r w:rsidR="00DD0726" w:rsidRPr="00604D90">
              <w:rPr>
                <w:spacing w:val="-5"/>
                <w:lang w:val="en-GB"/>
              </w:rPr>
              <w:t>(</w:t>
            </w:r>
            <w:r>
              <w:rPr>
                <w:spacing w:val="-5"/>
                <w:lang w:val="en-GB"/>
              </w:rPr>
              <w:t>slowdown against Q1 by 1.2 p. p.) and the import prices increased by 2.9</w:t>
            </w:r>
            <w:r w:rsidR="00954C8E">
              <w:rPr>
                <w:spacing w:val="-5"/>
                <w:lang w:val="en-GB"/>
              </w:rPr>
              <w:t>%</w:t>
            </w:r>
            <w:r>
              <w:rPr>
                <w:spacing w:val="-5"/>
                <w:lang w:val="en-GB"/>
              </w:rPr>
              <w:t xml:space="preserve"> (slowdown of 2.2 p. p.). </w:t>
            </w:r>
            <w:r w:rsidR="008B069F">
              <w:rPr>
                <w:spacing w:val="-5"/>
                <w:lang w:val="en-GB"/>
              </w:rPr>
              <w:t xml:space="preserve">Mineral fuels and semi-finished </w:t>
            </w:r>
            <w:r w:rsidR="008B069F">
              <w:rPr>
                <w:spacing w:val="-5"/>
                <w:lang w:val="en-GB"/>
              </w:rPr>
              <w:lastRenderedPageBreak/>
              <w:t xml:space="preserve">products similarly added to the growth of export prices by 0.5 p. p. in Q2. The contribution of other materials of 0.3 p. p. was also not negligible. </w:t>
            </w:r>
            <w:r w:rsidR="007E28DB">
              <w:rPr>
                <w:spacing w:val="-5"/>
                <w:lang w:val="en-GB"/>
              </w:rPr>
              <w:t xml:space="preserve">Machinery and transport vehicles had an opposite effect, their prices lowered by 1.3 Their effect on the total index reached </w:t>
            </w:r>
            <w:r w:rsidR="00DD0726" w:rsidRPr="00604D90">
              <w:rPr>
                <w:spacing w:val="-5"/>
                <w:lang w:val="en-GB"/>
              </w:rPr>
              <w:t>-</w:t>
            </w:r>
            <w:proofErr w:type="gramStart"/>
            <w:r w:rsidR="00DD0726" w:rsidRPr="00604D90">
              <w:rPr>
                <w:spacing w:val="-5"/>
                <w:lang w:val="en-GB"/>
              </w:rPr>
              <w:t>0</w:t>
            </w:r>
            <w:r w:rsidR="007E28DB">
              <w:rPr>
                <w:spacing w:val="-5"/>
                <w:lang w:val="en-GB"/>
              </w:rPr>
              <w:t>.</w:t>
            </w:r>
            <w:r w:rsidR="00DD0726" w:rsidRPr="00604D90">
              <w:rPr>
                <w:spacing w:val="-5"/>
                <w:lang w:val="en-GB"/>
              </w:rPr>
              <w:t>7 p.</w:t>
            </w:r>
            <w:r w:rsidR="007E28DB">
              <w:rPr>
                <w:spacing w:val="-5"/>
                <w:lang w:val="en-GB"/>
              </w:rPr>
              <w:t>p</w:t>
            </w:r>
            <w:proofErr w:type="gramEnd"/>
            <w:r w:rsidR="00DD0726" w:rsidRPr="00604D90">
              <w:rPr>
                <w:spacing w:val="-5"/>
                <w:lang w:val="en-GB"/>
              </w:rPr>
              <w:t xml:space="preserve">. </w:t>
            </w:r>
            <w:r w:rsidR="007E28DB">
              <w:rPr>
                <w:spacing w:val="-5"/>
                <w:lang w:val="en-GB"/>
              </w:rPr>
              <w:t>The growth of import prices was supported by similar factors as in export. The mineral fuels have larger weight in import than in export</w:t>
            </w:r>
            <w:r w:rsidR="00DD0726" w:rsidRPr="00604D90">
              <w:rPr>
                <w:spacing w:val="-5"/>
                <w:lang w:val="en-GB"/>
              </w:rPr>
              <w:t xml:space="preserve">. </w:t>
            </w:r>
            <w:r w:rsidR="00B817E0">
              <w:rPr>
                <w:spacing w:val="-5"/>
                <w:lang w:val="en-GB"/>
              </w:rPr>
              <w:t xml:space="preserve">That is also why their addition to the growth of import prices achieved 1.2 p. p. The addition of the semi-finished products had the same value. Other materials contributed 0.5 p. p. to the growth. </w:t>
            </w:r>
            <w:r w:rsidR="00360FA0">
              <w:rPr>
                <w:spacing w:val="-5"/>
                <w:lang w:val="en-GB"/>
              </w:rPr>
              <w:t xml:space="preserve">Similarly, to the export prices, machinery and transport vehicles had a negative effect </w:t>
            </w:r>
            <w:r w:rsidR="00DD0726" w:rsidRPr="00604D90">
              <w:rPr>
                <w:spacing w:val="-5"/>
                <w:lang w:val="en-GB"/>
              </w:rPr>
              <w:t>(-0</w:t>
            </w:r>
            <w:r w:rsidR="00360FA0">
              <w:rPr>
                <w:spacing w:val="-5"/>
                <w:lang w:val="en-GB"/>
              </w:rPr>
              <w:t>.</w:t>
            </w:r>
            <w:r w:rsidR="00DD0726" w:rsidRPr="00604D90">
              <w:rPr>
                <w:spacing w:val="-5"/>
                <w:lang w:val="en-GB"/>
              </w:rPr>
              <w:t>6 p.</w:t>
            </w:r>
            <w:r w:rsidR="00360FA0">
              <w:rPr>
                <w:spacing w:val="-5"/>
                <w:lang w:val="en-GB"/>
              </w:rPr>
              <w:t>p</w:t>
            </w:r>
            <w:r w:rsidR="00DD0726" w:rsidRPr="00604D90">
              <w:rPr>
                <w:spacing w:val="-5"/>
                <w:lang w:val="en-GB"/>
              </w:rPr>
              <w:t>.).</w:t>
            </w:r>
            <w:r w:rsidR="00360FA0">
              <w:rPr>
                <w:spacing w:val="-5"/>
                <w:lang w:val="en-GB"/>
              </w:rPr>
              <w:t xml:space="preserve"> The terms of trade were negative in Q2, however they moderated by 1.0 p. p. compared to the previous period and attained </w:t>
            </w:r>
            <w:r w:rsidR="00F91E9E">
              <w:rPr>
                <w:spacing w:val="-5"/>
                <w:lang w:val="en-GB"/>
              </w:rPr>
              <w:t>98.</w:t>
            </w:r>
            <w:r w:rsidR="00DD0726" w:rsidRPr="00604D90">
              <w:rPr>
                <w:spacing w:val="-5"/>
                <w:lang w:val="en-GB"/>
              </w:rPr>
              <w:t>2</w:t>
            </w:r>
            <w:r w:rsidR="00954C8E">
              <w:rPr>
                <w:spacing w:val="-5"/>
                <w:lang w:val="en-GB"/>
              </w:rPr>
              <w:t>%</w:t>
            </w:r>
            <w:r w:rsidR="00DD0726" w:rsidRPr="00604D90">
              <w:rPr>
                <w:spacing w:val="-5"/>
                <w:lang w:val="en-GB"/>
              </w:rPr>
              <w:t xml:space="preserve">. </w:t>
            </w:r>
            <w:r w:rsidR="00FA4730">
              <w:rPr>
                <w:spacing w:val="-5"/>
                <w:lang w:val="en-GB"/>
              </w:rPr>
              <w:t xml:space="preserve">It was the merit of the mineral fuels, where the negative terms of trade were lessening throughout the whole quarter. </w:t>
            </w:r>
            <w:r w:rsidR="00BE0AB0">
              <w:rPr>
                <w:spacing w:val="-5"/>
                <w:lang w:val="en-GB"/>
              </w:rPr>
              <w:t xml:space="preserve">The terms of trade of machinery as well as the industrial consumption goods went in the similar direction. The crown appreciated towards both euro and dollar and thus dampened the growth of the foreign trade prices. Given the territorial and type structure of the foreign trade, the crown appreciation was more manifested </w:t>
            </w:r>
            <w:r w:rsidR="00B979AF">
              <w:rPr>
                <w:spacing w:val="-5"/>
                <w:lang w:val="en-GB"/>
              </w:rPr>
              <w:t>in</w:t>
            </w:r>
            <w:r w:rsidR="00BE0AB0">
              <w:rPr>
                <w:spacing w:val="-5"/>
                <w:lang w:val="en-GB"/>
              </w:rPr>
              <w:t xml:space="preserve"> export, which is dominated by machinery and transport vehicles.</w:t>
            </w:r>
            <w:r w:rsidR="00FE6E67">
              <w:rPr>
                <w:spacing w:val="-5"/>
                <w:lang w:val="en-GB"/>
              </w:rPr>
              <w:t xml:space="preserve"> In their case, the crown appreciation was the reason for the decrease of their prices. The difference between the published and adjusted value of import price inflation arrived at 1.3 p. p. in Q2. The difference between published and adjusted value of the import prices was </w:t>
            </w:r>
            <w:r w:rsidR="00DD0726" w:rsidRPr="00604D90">
              <w:rPr>
                <w:spacing w:val="-5"/>
                <w:lang w:val="en-GB"/>
              </w:rPr>
              <w:t>1</w:t>
            </w:r>
            <w:r w:rsidR="00FE6E67">
              <w:rPr>
                <w:spacing w:val="-5"/>
                <w:lang w:val="en-GB"/>
              </w:rPr>
              <w:t>.</w:t>
            </w:r>
            <w:r w:rsidR="00DD0726" w:rsidRPr="00604D90">
              <w:rPr>
                <w:spacing w:val="-5"/>
                <w:lang w:val="en-GB"/>
              </w:rPr>
              <w:t>0 p.</w:t>
            </w:r>
            <w:r w:rsidR="00FE6E67">
              <w:rPr>
                <w:spacing w:val="-5"/>
                <w:lang w:val="en-GB"/>
              </w:rPr>
              <w:t>p</w:t>
            </w:r>
            <w:r w:rsidR="00DD0726" w:rsidRPr="00604D90">
              <w:rPr>
                <w:spacing w:val="-5"/>
                <w:lang w:val="en-GB"/>
              </w:rPr>
              <w:t>.</w:t>
            </w:r>
          </w:p>
          <w:p w:rsidR="00DD0726" w:rsidRPr="00604D90" w:rsidRDefault="00DD0726" w:rsidP="00260FBE">
            <w:pPr>
              <w:pStyle w:val="Textpoznpodarou"/>
              <w:ind w:right="-35"/>
              <w:jc w:val="both"/>
              <w:rPr>
                <w:spacing w:val="-5"/>
                <w:sz w:val="16"/>
                <w:szCs w:val="16"/>
                <w:lang w:val="en-GB"/>
              </w:rPr>
            </w:pPr>
          </w:p>
        </w:tc>
      </w:tr>
      <w:tr w:rsidR="00DD0726" w:rsidRPr="00F81A26" w:rsidTr="00260FBE">
        <w:tc>
          <w:tcPr>
            <w:tcW w:w="1015" w:type="pct"/>
          </w:tcPr>
          <w:p w:rsidR="00DD0726" w:rsidRPr="00F81A26" w:rsidRDefault="00DD0726" w:rsidP="00260FBE">
            <w:pPr>
              <w:spacing w:line="240" w:lineRule="auto"/>
              <w:ind w:right="-19"/>
              <w:jc w:val="center"/>
              <w:rPr>
                <w:spacing w:val="-4"/>
                <w:szCs w:val="20"/>
              </w:rPr>
            </w:pPr>
          </w:p>
        </w:tc>
        <w:tc>
          <w:tcPr>
            <w:tcW w:w="144" w:type="pct"/>
          </w:tcPr>
          <w:p w:rsidR="00DD0726" w:rsidRPr="00F81A26" w:rsidRDefault="00DD0726" w:rsidP="00260FBE">
            <w:pPr>
              <w:pStyle w:val="Textpoznpodarou"/>
              <w:jc w:val="both"/>
              <w:rPr>
                <w:spacing w:val="-4"/>
              </w:rPr>
            </w:pPr>
          </w:p>
        </w:tc>
        <w:tc>
          <w:tcPr>
            <w:tcW w:w="580" w:type="pct"/>
          </w:tcPr>
          <w:p w:rsidR="00DD0726" w:rsidRPr="00F81A26" w:rsidRDefault="003B39B9" w:rsidP="003B39B9">
            <w:pPr>
              <w:pStyle w:val="Textpoznpodarou"/>
              <w:ind w:right="-35"/>
              <w:jc w:val="both"/>
              <w:rPr>
                <w:spacing w:val="-4"/>
              </w:rPr>
            </w:pPr>
            <w:r>
              <w:rPr>
                <w:spacing w:val="-4"/>
              </w:rPr>
              <w:t xml:space="preserve">Chart </w:t>
            </w:r>
            <w:r w:rsidR="00DD0726" w:rsidRPr="00F81A26">
              <w:rPr>
                <w:spacing w:val="-4"/>
              </w:rPr>
              <w:t>14</w:t>
            </w:r>
          </w:p>
        </w:tc>
        <w:tc>
          <w:tcPr>
            <w:tcW w:w="3261" w:type="pct"/>
          </w:tcPr>
          <w:p w:rsidR="00DD0726" w:rsidRPr="003B39B9" w:rsidRDefault="00DD0726" w:rsidP="003B39B9">
            <w:pPr>
              <w:pStyle w:val="Textpoznpodarou"/>
              <w:ind w:right="-35"/>
              <w:rPr>
                <w:spacing w:val="-4"/>
                <w:lang w:val="en-GB"/>
              </w:rPr>
            </w:pPr>
            <w:r w:rsidRPr="003B39B9">
              <w:rPr>
                <w:b/>
                <w:spacing w:val="-4"/>
                <w:lang w:val="en-GB" w:eastAsia="en-US"/>
              </w:rPr>
              <w:t>Defl</w:t>
            </w:r>
            <w:r w:rsidR="003B39B9" w:rsidRPr="003B39B9">
              <w:rPr>
                <w:b/>
                <w:spacing w:val="-4"/>
                <w:lang w:val="en-GB" w:eastAsia="en-US"/>
              </w:rPr>
              <w:t xml:space="preserve">ators </w:t>
            </w:r>
            <w:r w:rsidRPr="003B39B9">
              <w:rPr>
                <w:spacing w:val="-4"/>
                <w:lang w:val="en-GB" w:eastAsia="en-US"/>
              </w:rPr>
              <w:t>(</w:t>
            </w:r>
            <w:r w:rsidR="003B39B9" w:rsidRPr="003B39B9">
              <w:rPr>
                <w:spacing w:val="-4"/>
                <w:lang w:val="en-GB" w:eastAsia="en-US"/>
              </w:rPr>
              <w:t xml:space="preserve">adjusted for seas. and calendar effects, year-on-year change, </w:t>
            </w:r>
            <w:r w:rsidR="00954C8E">
              <w:rPr>
                <w:spacing w:val="-4"/>
                <w:lang w:val="en-GB" w:eastAsia="en-US"/>
              </w:rPr>
              <w:t>in %</w:t>
            </w:r>
            <w:r w:rsidRPr="003B39B9">
              <w:rPr>
                <w:spacing w:val="-4"/>
                <w:lang w:val="en-GB" w:eastAsia="en-US"/>
              </w:rPr>
              <w:t>)</w:t>
            </w:r>
          </w:p>
        </w:tc>
      </w:tr>
      <w:tr w:rsidR="00DD0726" w:rsidRPr="00F81A26" w:rsidTr="00260FBE">
        <w:tc>
          <w:tcPr>
            <w:tcW w:w="1015" w:type="pct"/>
          </w:tcPr>
          <w:p w:rsidR="00DD0726" w:rsidRPr="00F81A26" w:rsidRDefault="00DD0726" w:rsidP="00260FBE">
            <w:pPr>
              <w:spacing w:line="240" w:lineRule="auto"/>
              <w:ind w:right="-19"/>
              <w:rPr>
                <w:rFonts w:cs="Arial"/>
                <w:spacing w:val="-4"/>
                <w:sz w:val="16"/>
                <w:szCs w:val="16"/>
              </w:rPr>
            </w:pPr>
          </w:p>
        </w:tc>
        <w:tc>
          <w:tcPr>
            <w:tcW w:w="144" w:type="pct"/>
          </w:tcPr>
          <w:p w:rsidR="00DD0726" w:rsidRPr="00F81A26" w:rsidRDefault="00DD0726" w:rsidP="00260FBE">
            <w:pPr>
              <w:pStyle w:val="Textpoznpodarou"/>
              <w:jc w:val="both"/>
              <w:rPr>
                <w:spacing w:val="-4"/>
              </w:rPr>
            </w:pPr>
          </w:p>
        </w:tc>
        <w:tc>
          <w:tcPr>
            <w:tcW w:w="3841" w:type="pct"/>
            <w:gridSpan w:val="2"/>
          </w:tcPr>
          <w:p w:rsidR="00DD0726" w:rsidRPr="00F81A26" w:rsidRDefault="007502A6" w:rsidP="00260FBE">
            <w:pPr>
              <w:pStyle w:val="Textpoznpodarou"/>
              <w:ind w:left="-54" w:right="-35"/>
              <w:jc w:val="both"/>
              <w:rPr>
                <w:spacing w:val="-4"/>
                <w:sz w:val="14"/>
                <w:szCs w:val="14"/>
              </w:rPr>
            </w:pPr>
            <w:r w:rsidRPr="007502A6">
              <w:rPr>
                <w:noProof/>
                <w:spacing w:val="-4"/>
                <w:sz w:val="14"/>
                <w:szCs w:val="14"/>
              </w:rPr>
              <w:drawing>
                <wp:inline distT="0" distB="0" distL="0" distR="0">
                  <wp:extent cx="4737600" cy="3553200"/>
                  <wp:effectExtent l="0" t="0" r="0" b="0"/>
                  <wp:docPr id="4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D0726" w:rsidRDefault="004E4A7B" w:rsidP="004E4A7B">
            <w:pPr>
              <w:pStyle w:val="Textpoznpodarou"/>
              <w:ind w:left="-54" w:right="-35"/>
              <w:jc w:val="right"/>
              <w:rPr>
                <w:spacing w:val="-4"/>
                <w:sz w:val="14"/>
                <w:szCs w:val="14"/>
              </w:rPr>
            </w:pPr>
            <w:proofErr w:type="spellStart"/>
            <w:r>
              <w:rPr>
                <w:spacing w:val="-4"/>
                <w:sz w:val="14"/>
                <w:szCs w:val="14"/>
              </w:rPr>
              <w:t>Source</w:t>
            </w:r>
            <w:proofErr w:type="spellEnd"/>
            <w:r w:rsidR="00DD0726" w:rsidRPr="00F81A26">
              <w:rPr>
                <w:spacing w:val="-4"/>
                <w:sz w:val="14"/>
                <w:szCs w:val="14"/>
              </w:rPr>
              <w:t xml:space="preserve">: </w:t>
            </w:r>
            <w:r>
              <w:rPr>
                <w:spacing w:val="-4"/>
                <w:sz w:val="14"/>
                <w:szCs w:val="14"/>
              </w:rPr>
              <w:t>CZSO</w:t>
            </w:r>
          </w:p>
          <w:p w:rsidR="00910AB7" w:rsidRPr="00F81A26" w:rsidRDefault="00910AB7" w:rsidP="007502A6">
            <w:pPr>
              <w:pStyle w:val="Textpoznpodarou"/>
              <w:ind w:left="-54" w:right="-35"/>
              <w:rPr>
                <w:spacing w:val="-4"/>
                <w:sz w:val="14"/>
                <w:szCs w:val="14"/>
              </w:rPr>
            </w:pPr>
          </w:p>
        </w:tc>
      </w:tr>
    </w:tbl>
    <w:p w:rsidR="00D84BD1" w:rsidRPr="004C70A3" w:rsidRDefault="009A696E" w:rsidP="00DD0726">
      <w:pPr>
        <w:pStyle w:val="Nadpis1"/>
        <w:numPr>
          <w:ilvl w:val="0"/>
          <w:numId w:val="12"/>
        </w:numPr>
        <w:ind w:left="709"/>
        <w:rPr>
          <w:lang w:val="en-GB"/>
        </w:rPr>
      </w:pPr>
      <w:bookmarkStart w:id="15" w:name="_Toc493683638"/>
      <w:r w:rsidRPr="004C70A3">
        <w:rPr>
          <w:lang w:val="en-GB"/>
        </w:rPr>
        <w:t>Labour Market</w:t>
      </w:r>
      <w:bookmarkEnd w:id="14"/>
      <w:bookmarkEnd w:id="15"/>
    </w:p>
    <w:tbl>
      <w:tblPr>
        <w:tblW w:w="4995" w:type="pct"/>
        <w:tblInd w:w="108" w:type="dxa"/>
        <w:tblLayout w:type="fixed"/>
        <w:tblLook w:val="00A0"/>
      </w:tblPr>
      <w:tblGrid>
        <w:gridCol w:w="2000"/>
        <w:gridCol w:w="284"/>
        <w:gridCol w:w="7560"/>
      </w:tblGrid>
      <w:tr w:rsidR="0036710C" w:rsidRPr="00F06A1D" w:rsidTr="00853C0F">
        <w:trPr>
          <w:trHeight w:val="145"/>
        </w:trPr>
        <w:tc>
          <w:tcPr>
            <w:tcW w:w="1016" w:type="pct"/>
            <w:shd w:val="clear" w:color="auto" w:fill="auto"/>
          </w:tcPr>
          <w:p w:rsidR="009A696E" w:rsidRDefault="009A696E" w:rsidP="009A696E">
            <w:pPr>
              <w:spacing w:line="240" w:lineRule="auto"/>
              <w:rPr>
                <w:rFonts w:cs="Arial"/>
                <w:bCs/>
                <w:iCs/>
                <w:color w:val="0D0D0D" w:themeColor="text1" w:themeTint="F2"/>
                <w:spacing w:val="-2"/>
                <w:sz w:val="16"/>
                <w:szCs w:val="16"/>
                <w:lang w:val="en-GB"/>
              </w:rPr>
            </w:pPr>
            <w:r>
              <w:rPr>
                <w:rFonts w:cs="Arial"/>
                <w:bCs/>
                <w:iCs/>
                <w:color w:val="0D0D0D" w:themeColor="text1" w:themeTint="F2"/>
                <w:spacing w:val="-2"/>
                <w:sz w:val="16"/>
                <w:szCs w:val="16"/>
                <w:lang w:val="en-GB"/>
              </w:rPr>
              <w:t xml:space="preserve">Rate of growth of the total employment did not ease up markedly. The highest number of people held a job in Q2 in the history of the independent CR. </w:t>
            </w:r>
          </w:p>
          <w:p w:rsidR="0036710C" w:rsidRDefault="0036710C" w:rsidP="00853C0F">
            <w:pPr>
              <w:spacing w:line="240" w:lineRule="auto"/>
              <w:rPr>
                <w:rFonts w:cs="Arial"/>
                <w:bCs/>
                <w:iCs/>
                <w:color w:val="0D0D0D" w:themeColor="text1" w:themeTint="F2"/>
                <w:spacing w:val="-2"/>
                <w:sz w:val="16"/>
                <w:szCs w:val="16"/>
              </w:rPr>
            </w:pPr>
          </w:p>
          <w:p w:rsidR="0036710C" w:rsidRDefault="0036710C" w:rsidP="00853C0F">
            <w:pPr>
              <w:spacing w:line="240" w:lineRule="auto"/>
              <w:rPr>
                <w:rFonts w:cs="Arial"/>
                <w:bCs/>
                <w:iCs/>
                <w:color w:val="0D0D0D" w:themeColor="text1" w:themeTint="F2"/>
                <w:spacing w:val="-2"/>
                <w:sz w:val="16"/>
                <w:szCs w:val="16"/>
              </w:rPr>
            </w:pPr>
          </w:p>
          <w:p w:rsidR="0036710C" w:rsidRDefault="0036710C" w:rsidP="00853C0F">
            <w:pPr>
              <w:spacing w:line="240" w:lineRule="auto"/>
              <w:rPr>
                <w:rFonts w:cs="Arial"/>
                <w:bCs/>
                <w:iCs/>
                <w:color w:val="0D0D0D" w:themeColor="text1" w:themeTint="F2"/>
                <w:spacing w:val="-2"/>
                <w:sz w:val="16"/>
                <w:szCs w:val="16"/>
              </w:rPr>
            </w:pPr>
          </w:p>
          <w:p w:rsidR="009A696E" w:rsidRDefault="009A696E" w:rsidP="009A696E">
            <w:pPr>
              <w:spacing w:line="240" w:lineRule="auto"/>
              <w:rPr>
                <w:rFonts w:cs="Arial"/>
                <w:bCs/>
                <w:iCs/>
                <w:color w:val="0D0D0D" w:themeColor="text1" w:themeTint="F2"/>
                <w:spacing w:val="-2"/>
                <w:sz w:val="16"/>
                <w:szCs w:val="16"/>
                <w:lang w:val="en-GB"/>
              </w:rPr>
            </w:pPr>
            <w:r>
              <w:rPr>
                <w:rFonts w:cs="Arial"/>
                <w:bCs/>
                <w:iCs/>
                <w:color w:val="0D0D0D" w:themeColor="text1" w:themeTint="F2"/>
                <w:spacing w:val="-2"/>
                <w:sz w:val="16"/>
                <w:szCs w:val="16"/>
                <w:lang w:val="en-GB"/>
              </w:rPr>
              <w:lastRenderedPageBreak/>
              <w:t xml:space="preserve">Swift growth of employment was apparent also in the EU this year, as well as in all the states neighbouring with the CR. </w:t>
            </w:r>
          </w:p>
          <w:p w:rsidR="0036710C" w:rsidRPr="003804E1" w:rsidRDefault="0036710C" w:rsidP="00853C0F">
            <w:pPr>
              <w:spacing w:line="240" w:lineRule="auto"/>
              <w:rPr>
                <w:rFonts w:cs="Arial"/>
                <w:bCs/>
                <w:iCs/>
                <w:color w:val="0D0D0D" w:themeColor="text1" w:themeTint="F2"/>
                <w:spacing w:val="-2"/>
                <w:sz w:val="16"/>
                <w:szCs w:val="16"/>
              </w:rPr>
            </w:pPr>
          </w:p>
          <w:p w:rsidR="0036710C" w:rsidRPr="000C7A77" w:rsidRDefault="0036710C" w:rsidP="00853C0F">
            <w:pPr>
              <w:spacing w:line="240" w:lineRule="auto"/>
              <w:rPr>
                <w:rFonts w:cs="Arial"/>
                <w:color w:val="0D0D0D" w:themeColor="text1" w:themeTint="F2"/>
                <w:spacing w:val="-4"/>
                <w:sz w:val="16"/>
                <w:szCs w:val="16"/>
              </w:rPr>
            </w:pPr>
          </w:p>
        </w:tc>
        <w:tc>
          <w:tcPr>
            <w:tcW w:w="144" w:type="pct"/>
          </w:tcPr>
          <w:p w:rsidR="0036710C" w:rsidRPr="00A90EFD" w:rsidRDefault="0036710C" w:rsidP="00853C0F">
            <w:pPr>
              <w:pStyle w:val="Textpoznpodarou"/>
              <w:jc w:val="both"/>
              <w:rPr>
                <w:rFonts w:cs="Arial"/>
                <w:color w:val="0D0D0D" w:themeColor="text1" w:themeTint="F2"/>
              </w:rPr>
            </w:pPr>
          </w:p>
        </w:tc>
        <w:tc>
          <w:tcPr>
            <w:tcW w:w="3840" w:type="pct"/>
          </w:tcPr>
          <w:p w:rsidR="009A696E" w:rsidRDefault="009A696E" w:rsidP="009A696E">
            <w:pPr>
              <w:pStyle w:val="Textpoznpodarou"/>
              <w:jc w:val="both"/>
              <w:rPr>
                <w:rFonts w:cs="Arial"/>
                <w:color w:val="0D0D0D" w:themeColor="text1" w:themeTint="F2"/>
                <w:spacing w:val="-2"/>
                <w:lang w:val="en-GB"/>
              </w:rPr>
            </w:pPr>
            <w:r>
              <w:rPr>
                <w:rFonts w:cs="Arial"/>
                <w:color w:val="0D0D0D" w:themeColor="text1" w:themeTint="F2"/>
                <w:spacing w:val="-2"/>
                <w:lang w:val="en-GB"/>
              </w:rPr>
              <w:t>More than four years lasting economic growth spilled over fully also into the labour market. Rate of growth of the total employment</w:t>
            </w:r>
            <w:r>
              <w:rPr>
                <w:rStyle w:val="Znakapoznpodarou"/>
                <w:color w:val="0D0D0D" w:themeColor="text1" w:themeTint="F2"/>
                <w:spacing w:val="-2"/>
                <w:lang w:val="en-GB"/>
              </w:rPr>
              <w:footnoteReference w:id="22"/>
            </w:r>
            <w:r>
              <w:rPr>
                <w:rFonts w:cs="Arial"/>
                <w:color w:val="0D0D0D" w:themeColor="text1" w:themeTint="F2"/>
                <w:spacing w:val="-2"/>
                <w:lang w:val="en-GB"/>
              </w:rPr>
              <w:t xml:space="preserve"> </w:t>
            </w:r>
            <w:r w:rsidR="001A5F8C">
              <w:rPr>
                <w:rFonts w:cs="Arial"/>
                <w:color w:val="0D0D0D" w:themeColor="text1" w:themeTint="F2"/>
                <w:spacing w:val="-2"/>
                <w:lang w:val="en-GB"/>
              </w:rPr>
              <w:t xml:space="preserve">did not ease </w:t>
            </w:r>
            <w:proofErr w:type="gramStart"/>
            <w:r w:rsidR="001A5F8C">
              <w:rPr>
                <w:rFonts w:cs="Arial"/>
                <w:color w:val="0D0D0D" w:themeColor="text1" w:themeTint="F2"/>
                <w:spacing w:val="-2"/>
                <w:lang w:val="en-GB"/>
              </w:rPr>
              <w:t>up</w:t>
            </w:r>
            <w:r>
              <w:rPr>
                <w:rFonts w:cs="Arial"/>
                <w:color w:val="0D0D0D" w:themeColor="text1" w:themeTint="F2"/>
                <w:spacing w:val="-2"/>
                <w:lang w:val="en-GB"/>
              </w:rPr>
              <w:t>,</w:t>
            </w:r>
            <w:proofErr w:type="gramEnd"/>
            <w:r>
              <w:rPr>
                <w:rFonts w:cs="Arial"/>
                <w:color w:val="0D0D0D" w:themeColor="text1" w:themeTint="F2"/>
                <w:spacing w:val="-2"/>
                <w:lang w:val="en-GB"/>
              </w:rPr>
              <w:t xml:space="preserve"> it increased by 1.4</w:t>
            </w:r>
            <w:r w:rsidR="00954C8E">
              <w:rPr>
                <w:rFonts w:cs="Arial"/>
                <w:color w:val="0D0D0D" w:themeColor="text1" w:themeTint="F2"/>
                <w:spacing w:val="-2"/>
                <w:lang w:val="en-GB"/>
              </w:rPr>
              <w:t>%</w:t>
            </w:r>
            <w:r>
              <w:rPr>
                <w:rFonts w:cs="Arial"/>
                <w:color w:val="0D0D0D" w:themeColor="text1" w:themeTint="F2"/>
                <w:spacing w:val="-2"/>
                <w:lang w:val="en-GB"/>
              </w:rPr>
              <w:t xml:space="preserve"> year-on-year in H1 (by similar pace as for the whole year 2015 as well as 2016). The number of workers expanded by 0.4</w:t>
            </w:r>
            <w:r w:rsidR="00954C8E">
              <w:rPr>
                <w:rFonts w:cs="Arial"/>
                <w:color w:val="0D0D0D" w:themeColor="text1" w:themeTint="F2"/>
                <w:spacing w:val="-2"/>
                <w:lang w:val="en-GB"/>
              </w:rPr>
              <w:t>%</w:t>
            </w:r>
            <w:r>
              <w:rPr>
                <w:rFonts w:cs="Arial"/>
                <w:color w:val="0D0D0D" w:themeColor="text1" w:themeTint="F2"/>
                <w:spacing w:val="-2"/>
                <w:lang w:val="en-GB"/>
              </w:rPr>
              <w:t xml:space="preserve"> q</w:t>
            </w:r>
            <w:r w:rsidR="00F91E9E">
              <w:rPr>
                <w:rFonts w:cs="Arial"/>
                <w:color w:val="0D0D0D" w:themeColor="text1" w:themeTint="F2"/>
                <w:spacing w:val="-2"/>
                <w:lang w:val="en-GB"/>
              </w:rPr>
              <w:t>uarter-on-quarter in Q2 2017. 5.</w:t>
            </w:r>
            <w:r>
              <w:rPr>
                <w:rFonts w:cs="Arial"/>
                <w:color w:val="0D0D0D" w:themeColor="text1" w:themeTint="F2"/>
                <w:spacing w:val="-2"/>
                <w:lang w:val="en-GB"/>
              </w:rPr>
              <w:t xml:space="preserve">32 </w:t>
            </w:r>
            <w:r w:rsidR="00F91E9E">
              <w:rPr>
                <w:rFonts w:cs="Arial"/>
                <w:color w:val="0D0D0D" w:themeColor="text1" w:themeTint="F2"/>
                <w:spacing w:val="-2"/>
                <w:lang w:val="en-GB"/>
              </w:rPr>
              <w:t xml:space="preserve">million </w:t>
            </w:r>
            <w:proofErr w:type="gramStart"/>
            <w:r>
              <w:rPr>
                <w:rFonts w:cs="Arial"/>
                <w:color w:val="0D0D0D" w:themeColor="text1" w:themeTint="F2"/>
                <w:spacing w:val="-2"/>
                <w:lang w:val="en-GB"/>
              </w:rPr>
              <w:t>people</w:t>
            </w:r>
            <w:proofErr w:type="gramEnd"/>
            <w:r>
              <w:rPr>
                <w:rFonts w:cs="Arial"/>
                <w:color w:val="0D0D0D" w:themeColor="text1" w:themeTint="F2"/>
                <w:spacing w:val="-2"/>
                <w:lang w:val="en-GB"/>
              </w:rPr>
              <w:t xml:space="preserve"> thus held a job, the most in the history of the independent CR. Nevertheless, the rate of growth of employment was not at all unique in the European context. The number of workers increased by 1.5</w:t>
            </w:r>
            <w:r w:rsidR="00954C8E">
              <w:rPr>
                <w:rFonts w:cs="Arial"/>
                <w:color w:val="0D0D0D" w:themeColor="text1" w:themeTint="F2"/>
                <w:spacing w:val="-2"/>
                <w:lang w:val="en-GB"/>
              </w:rPr>
              <w:t>%</w:t>
            </w:r>
            <w:r>
              <w:rPr>
                <w:rFonts w:cs="Arial"/>
                <w:color w:val="0D0D0D" w:themeColor="text1" w:themeTint="F2"/>
                <w:spacing w:val="-2"/>
                <w:lang w:val="en-GB"/>
              </w:rPr>
              <w:t xml:space="preserve"> year-on-year in the EU </w:t>
            </w:r>
            <w:r>
              <w:rPr>
                <w:rFonts w:cs="Arial"/>
                <w:color w:val="0D0D0D" w:themeColor="text1" w:themeTint="F2"/>
                <w:spacing w:val="-2"/>
                <w:lang w:val="en-GB"/>
              </w:rPr>
              <w:lastRenderedPageBreak/>
              <w:t xml:space="preserve">in H1. All the other neighbouring states of the CR however also recorded </w:t>
            </w:r>
            <w:r w:rsidR="00B93341">
              <w:rPr>
                <w:rFonts w:cs="Arial"/>
                <w:color w:val="0D0D0D" w:themeColor="text1" w:themeTint="F2"/>
                <w:spacing w:val="-2"/>
                <w:lang w:val="en-GB"/>
              </w:rPr>
              <w:t>slightly higher rates of growth</w:t>
            </w:r>
            <w:r>
              <w:rPr>
                <w:rFonts w:cs="Arial"/>
                <w:color w:val="0D0D0D" w:themeColor="text1" w:themeTint="F2"/>
                <w:spacing w:val="-2"/>
                <w:lang w:val="en-GB"/>
              </w:rPr>
              <w:t xml:space="preserve"> (Slovakia the most +2.2</w:t>
            </w:r>
            <w:r w:rsidR="00954C8E">
              <w:rPr>
                <w:rFonts w:cs="Arial"/>
                <w:color w:val="0D0D0D" w:themeColor="text1" w:themeTint="F2"/>
                <w:spacing w:val="-2"/>
                <w:lang w:val="en-GB"/>
              </w:rPr>
              <w:t>%</w:t>
            </w:r>
            <w:r>
              <w:rPr>
                <w:rFonts w:cs="Arial"/>
                <w:color w:val="0D0D0D" w:themeColor="text1" w:themeTint="F2"/>
                <w:spacing w:val="-2"/>
                <w:lang w:val="en-GB"/>
              </w:rPr>
              <w:t xml:space="preserve">). The Czech Republic held a much more favourable position in the EU with respect to the high rate of employment. It was mostly thanks to males, whose employment rate reached the highest value among the Union states at the beginning of the year. </w:t>
            </w:r>
            <w:r w:rsidR="00A479BA">
              <w:rPr>
                <w:rFonts w:cs="Arial"/>
                <w:color w:val="0D0D0D" w:themeColor="text1" w:themeTint="F2"/>
                <w:spacing w:val="-2"/>
                <w:lang w:val="en-GB"/>
              </w:rPr>
              <w:t xml:space="preserve">Total employment rate for all persons </w:t>
            </w:r>
            <w:r>
              <w:rPr>
                <w:rFonts w:cs="Arial"/>
                <w:color w:val="0D0D0D" w:themeColor="text1" w:themeTint="F2"/>
                <w:spacing w:val="-2"/>
                <w:lang w:val="en-GB"/>
              </w:rPr>
              <w:t>aged 15 –</w:t>
            </w:r>
            <w:r w:rsidR="00FA3AB1">
              <w:rPr>
                <w:rFonts w:cs="Arial"/>
                <w:color w:val="0D0D0D" w:themeColor="text1" w:themeTint="F2"/>
                <w:spacing w:val="-2"/>
                <w:lang w:val="en-GB"/>
              </w:rPr>
              <w:t xml:space="preserve"> </w:t>
            </w:r>
            <w:r>
              <w:rPr>
                <w:rFonts w:cs="Arial"/>
                <w:color w:val="0D0D0D" w:themeColor="text1" w:themeTint="F2"/>
                <w:spacing w:val="-2"/>
                <w:lang w:val="en-GB"/>
              </w:rPr>
              <w:t xml:space="preserve">64 years </w:t>
            </w:r>
            <w:r w:rsidR="00A479BA">
              <w:rPr>
                <w:rFonts w:cs="Arial"/>
                <w:color w:val="0D0D0D" w:themeColor="text1" w:themeTint="F2"/>
                <w:spacing w:val="-2"/>
                <w:lang w:val="en-GB"/>
              </w:rPr>
              <w:t xml:space="preserve">was 73.3% </w:t>
            </w:r>
            <w:r>
              <w:rPr>
                <w:rFonts w:cs="Arial"/>
                <w:color w:val="0D0D0D" w:themeColor="text1" w:themeTint="F2"/>
                <w:spacing w:val="-2"/>
                <w:lang w:val="en-GB"/>
              </w:rPr>
              <w:t xml:space="preserve">in Q2 </w:t>
            </w:r>
            <w:proofErr w:type="gramStart"/>
            <w:r>
              <w:rPr>
                <w:rFonts w:cs="Arial"/>
                <w:color w:val="0D0D0D" w:themeColor="text1" w:themeTint="F2"/>
                <w:spacing w:val="-2"/>
                <w:lang w:val="en-GB"/>
              </w:rPr>
              <w:t>2017,</w:t>
            </w:r>
            <w:proofErr w:type="gramEnd"/>
            <w:r>
              <w:rPr>
                <w:rFonts w:cs="Arial"/>
                <w:color w:val="0D0D0D" w:themeColor="text1" w:themeTint="F2"/>
                <w:spacing w:val="-2"/>
                <w:lang w:val="en-GB"/>
              </w:rPr>
              <w:t xml:space="preserve"> </w:t>
            </w:r>
            <w:r w:rsidR="00A479BA">
              <w:rPr>
                <w:rFonts w:cs="Arial"/>
                <w:color w:val="0D0D0D" w:themeColor="text1" w:themeTint="F2"/>
                <w:spacing w:val="-2"/>
                <w:lang w:val="en-GB"/>
              </w:rPr>
              <w:t xml:space="preserve">it was </w:t>
            </w:r>
            <w:r>
              <w:rPr>
                <w:rFonts w:cs="Arial"/>
                <w:color w:val="0D0D0D" w:themeColor="text1" w:themeTint="F2"/>
                <w:spacing w:val="-2"/>
                <w:lang w:val="en-GB"/>
              </w:rPr>
              <w:t>by 1.6 p.p. more year-o</w:t>
            </w:r>
            <w:r w:rsidR="00FA3AB1">
              <w:rPr>
                <w:rFonts w:cs="Arial"/>
                <w:color w:val="0D0D0D" w:themeColor="text1" w:themeTint="F2"/>
                <w:spacing w:val="-2"/>
                <w:lang w:val="en-GB"/>
              </w:rPr>
              <w:t>n</w:t>
            </w:r>
            <w:r>
              <w:rPr>
                <w:rFonts w:cs="Arial"/>
                <w:color w:val="0D0D0D" w:themeColor="text1" w:themeTint="F2"/>
                <w:spacing w:val="-2"/>
                <w:lang w:val="en-GB"/>
              </w:rPr>
              <w:t xml:space="preserve">-year – without larger difference between genders. However, in the longer term view the employment rate of females grew more dynamically than in case of males – partially due to the effect of a faster shift of the pension age boundary. </w:t>
            </w:r>
          </w:p>
          <w:p w:rsidR="0036710C" w:rsidRPr="00607C08" w:rsidRDefault="0036710C" w:rsidP="00853C0F">
            <w:pPr>
              <w:pStyle w:val="Textpoznpodarou"/>
              <w:jc w:val="both"/>
              <w:rPr>
                <w:rFonts w:cs="Arial"/>
                <w:color w:val="0D0D0D" w:themeColor="text1" w:themeTint="F2"/>
                <w:spacing w:val="-3"/>
                <w:sz w:val="15"/>
                <w:szCs w:val="15"/>
              </w:rPr>
            </w:pPr>
          </w:p>
        </w:tc>
      </w:tr>
      <w:tr w:rsidR="0036710C" w:rsidRPr="0094422D" w:rsidTr="00853C0F">
        <w:trPr>
          <w:trHeight w:val="145"/>
        </w:trPr>
        <w:tc>
          <w:tcPr>
            <w:tcW w:w="1016" w:type="pct"/>
            <w:shd w:val="clear" w:color="auto" w:fill="auto"/>
          </w:tcPr>
          <w:p w:rsidR="0036710C" w:rsidRPr="000C7A77" w:rsidRDefault="0036710C" w:rsidP="00853C0F">
            <w:pPr>
              <w:spacing w:line="240" w:lineRule="auto"/>
              <w:rPr>
                <w:rFonts w:cs="Arial"/>
                <w:bCs/>
                <w:iCs/>
                <w:color w:val="0D0D0D" w:themeColor="text1" w:themeTint="F2"/>
                <w:spacing w:val="-2"/>
                <w:sz w:val="16"/>
                <w:szCs w:val="16"/>
              </w:rPr>
            </w:pPr>
            <w:r w:rsidRPr="000C7A77">
              <w:rPr>
                <w:rFonts w:cs="Arial"/>
                <w:bCs/>
                <w:iCs/>
                <w:color w:val="0D0D0D" w:themeColor="text1" w:themeTint="F2"/>
                <w:spacing w:val="-2"/>
                <w:sz w:val="16"/>
                <w:szCs w:val="16"/>
              </w:rPr>
              <w:lastRenderedPageBreak/>
              <w:t>T</w:t>
            </w:r>
            <w:r w:rsidR="001A5F8C">
              <w:rPr>
                <w:rFonts w:cs="Arial"/>
                <w:bCs/>
                <w:iCs/>
                <w:color w:val="0D0D0D" w:themeColor="text1" w:themeTint="F2"/>
                <w:spacing w:val="-2"/>
                <w:sz w:val="16"/>
                <w:szCs w:val="16"/>
                <w:lang w:val="en-GB"/>
              </w:rPr>
              <w:t>he core of the creation of new job positions gradually moved from manufacturing into the services sector</w:t>
            </w:r>
            <w:r>
              <w:rPr>
                <w:rFonts w:cs="Arial"/>
                <w:bCs/>
                <w:iCs/>
                <w:color w:val="0D0D0D" w:themeColor="text1" w:themeTint="F2"/>
                <w:spacing w:val="-2"/>
                <w:sz w:val="16"/>
                <w:szCs w:val="16"/>
              </w:rPr>
              <w:t>.</w:t>
            </w:r>
          </w:p>
          <w:p w:rsidR="0036710C" w:rsidRDefault="0036710C" w:rsidP="00853C0F">
            <w:pPr>
              <w:spacing w:line="240" w:lineRule="auto"/>
              <w:rPr>
                <w:rFonts w:cs="Arial"/>
                <w:color w:val="0D0D0D" w:themeColor="text1" w:themeTint="F2"/>
                <w:spacing w:val="-2"/>
                <w:sz w:val="16"/>
                <w:szCs w:val="16"/>
              </w:rPr>
            </w:pPr>
          </w:p>
          <w:p w:rsidR="0036710C" w:rsidRDefault="0036710C" w:rsidP="00853C0F">
            <w:pPr>
              <w:spacing w:line="240" w:lineRule="auto"/>
              <w:rPr>
                <w:rFonts w:cs="Arial"/>
                <w:color w:val="0D0D0D" w:themeColor="text1" w:themeTint="F2"/>
                <w:spacing w:val="-2"/>
                <w:sz w:val="16"/>
                <w:szCs w:val="16"/>
              </w:rPr>
            </w:pPr>
          </w:p>
          <w:p w:rsidR="0036710C" w:rsidRDefault="0036710C" w:rsidP="00853C0F">
            <w:pPr>
              <w:spacing w:line="240" w:lineRule="auto"/>
              <w:rPr>
                <w:rFonts w:cs="Arial"/>
                <w:color w:val="0D0D0D" w:themeColor="text1" w:themeTint="F2"/>
                <w:spacing w:val="-2"/>
                <w:sz w:val="16"/>
                <w:szCs w:val="16"/>
              </w:rPr>
            </w:pPr>
          </w:p>
          <w:p w:rsidR="001A5F8C" w:rsidRDefault="001A5F8C" w:rsidP="00853C0F">
            <w:pPr>
              <w:spacing w:line="240" w:lineRule="auto"/>
              <w:rPr>
                <w:rFonts w:cs="Arial"/>
                <w:color w:val="0D0D0D" w:themeColor="text1" w:themeTint="F2"/>
                <w:spacing w:val="-2"/>
                <w:sz w:val="16"/>
                <w:szCs w:val="16"/>
                <w:lang w:val="en-GB"/>
              </w:rPr>
            </w:pPr>
          </w:p>
          <w:p w:rsidR="001A5F8C" w:rsidRDefault="001A5F8C" w:rsidP="00853C0F">
            <w:pPr>
              <w:spacing w:line="240" w:lineRule="auto"/>
              <w:rPr>
                <w:rFonts w:cs="Arial"/>
                <w:color w:val="0D0D0D" w:themeColor="text1" w:themeTint="F2"/>
                <w:spacing w:val="-2"/>
                <w:sz w:val="16"/>
                <w:szCs w:val="16"/>
                <w:lang w:val="en-GB"/>
              </w:rPr>
            </w:pPr>
          </w:p>
          <w:p w:rsidR="001A5F8C" w:rsidRDefault="001A5F8C" w:rsidP="00853C0F">
            <w:pPr>
              <w:spacing w:line="240" w:lineRule="auto"/>
              <w:rPr>
                <w:rFonts w:cs="Arial"/>
                <w:color w:val="0D0D0D" w:themeColor="text1" w:themeTint="F2"/>
                <w:spacing w:val="-2"/>
                <w:sz w:val="16"/>
                <w:szCs w:val="16"/>
                <w:lang w:val="en-GB"/>
              </w:rPr>
            </w:pPr>
          </w:p>
          <w:p w:rsidR="001A5F8C" w:rsidRDefault="001A5F8C" w:rsidP="00853C0F">
            <w:pPr>
              <w:spacing w:line="240" w:lineRule="auto"/>
              <w:rPr>
                <w:rFonts w:cs="Arial"/>
                <w:color w:val="0D0D0D" w:themeColor="text1" w:themeTint="F2"/>
                <w:spacing w:val="-2"/>
                <w:sz w:val="16"/>
                <w:szCs w:val="16"/>
                <w:lang w:val="en-GB"/>
              </w:rPr>
            </w:pPr>
          </w:p>
          <w:p w:rsidR="001A5F8C" w:rsidRDefault="001A5F8C" w:rsidP="00853C0F">
            <w:pPr>
              <w:spacing w:line="240" w:lineRule="auto"/>
              <w:rPr>
                <w:rFonts w:cs="Arial"/>
                <w:color w:val="0D0D0D" w:themeColor="text1" w:themeTint="F2"/>
                <w:spacing w:val="-2"/>
                <w:sz w:val="16"/>
                <w:szCs w:val="16"/>
                <w:lang w:val="en-GB"/>
              </w:rPr>
            </w:pPr>
          </w:p>
          <w:p w:rsidR="0036710C" w:rsidRPr="001C4DD3" w:rsidRDefault="001A5F8C" w:rsidP="00853C0F">
            <w:pPr>
              <w:spacing w:line="240" w:lineRule="auto"/>
              <w:rPr>
                <w:rFonts w:cs="Arial"/>
                <w:color w:val="0D0D0D" w:themeColor="text1" w:themeTint="F2"/>
                <w:spacing w:val="-2"/>
                <w:sz w:val="16"/>
                <w:szCs w:val="16"/>
              </w:rPr>
            </w:pPr>
            <w:r>
              <w:rPr>
                <w:rFonts w:cs="Arial"/>
                <w:color w:val="0D0D0D" w:themeColor="text1" w:themeTint="F2"/>
                <w:spacing w:val="-2"/>
                <w:sz w:val="16"/>
                <w:szCs w:val="16"/>
                <w:lang w:val="en-GB"/>
              </w:rPr>
              <w:t xml:space="preserve">The self-employed also contributed to higher year-on-year employment for the fifth quarter in a row.  </w:t>
            </w:r>
          </w:p>
        </w:tc>
        <w:tc>
          <w:tcPr>
            <w:tcW w:w="144" w:type="pct"/>
          </w:tcPr>
          <w:p w:rsidR="0036710C" w:rsidRPr="00A90EFD" w:rsidRDefault="0036710C" w:rsidP="00853C0F">
            <w:pPr>
              <w:pStyle w:val="Textpoznpodarou"/>
              <w:jc w:val="both"/>
              <w:rPr>
                <w:rFonts w:cs="Arial"/>
                <w:color w:val="0D0D0D" w:themeColor="text1" w:themeTint="F2"/>
              </w:rPr>
            </w:pPr>
          </w:p>
        </w:tc>
        <w:tc>
          <w:tcPr>
            <w:tcW w:w="3840" w:type="pct"/>
          </w:tcPr>
          <w:p w:rsidR="0036710C" w:rsidRPr="00FF5A0D" w:rsidRDefault="0011458D" w:rsidP="00853C0F">
            <w:pPr>
              <w:pStyle w:val="Textpoznpodarou"/>
              <w:jc w:val="both"/>
              <w:rPr>
                <w:rFonts w:cs="Arial"/>
                <w:color w:val="000000" w:themeColor="text1"/>
                <w:spacing w:val="-4"/>
              </w:rPr>
            </w:pPr>
            <w:r w:rsidRPr="00FA3AB1">
              <w:rPr>
                <w:rFonts w:cs="Arial"/>
                <w:color w:val="000000" w:themeColor="text1"/>
                <w:spacing w:val="-4"/>
                <w:lang w:val="en-GB"/>
              </w:rPr>
              <w:t>Not only employees, but also the self-employed, whose numbers were expanding already fifth quarter in a row, contributed to the year-on-year growth of the total employment. From the</w:t>
            </w:r>
            <w:r>
              <w:rPr>
                <w:rFonts w:cs="Arial"/>
                <w:color w:val="000000" w:themeColor="text1"/>
                <w:spacing w:val="-4"/>
                <w:lang w:val="en-GB"/>
              </w:rPr>
              <w:t xml:space="preserve"> branches point of view the reality was such, that the core of the growth of employment was more and more located in services. This tendency has been apparent already in year 2016. The weakening growth rates of employment in manufacturing do not signal worsening economic outlook of this branch, but they rather give evidence about growing difficulties to find qualified employees. Mainly the professional, scientific, technical and administrative activities, where the employment growth quickened to 5.1</w:t>
            </w:r>
            <w:r w:rsidR="00954C8E">
              <w:rPr>
                <w:rFonts w:cs="Arial"/>
                <w:color w:val="000000" w:themeColor="text1"/>
                <w:spacing w:val="-4"/>
                <w:lang w:val="en-GB"/>
              </w:rPr>
              <w:t>%</w:t>
            </w:r>
            <w:r>
              <w:rPr>
                <w:rFonts w:cs="Arial"/>
                <w:color w:val="000000" w:themeColor="text1"/>
                <w:spacing w:val="-4"/>
                <w:lang w:val="en-GB"/>
              </w:rPr>
              <w:t xml:space="preserve"> (from last year´s 3.2</w:t>
            </w:r>
            <w:r w:rsidR="00954C8E">
              <w:rPr>
                <w:rFonts w:cs="Arial"/>
                <w:color w:val="000000" w:themeColor="text1"/>
                <w:spacing w:val="-4"/>
                <w:lang w:val="en-GB"/>
              </w:rPr>
              <w:t>%</w:t>
            </w:r>
            <w:r>
              <w:rPr>
                <w:rFonts w:cs="Arial"/>
                <w:color w:val="000000" w:themeColor="text1"/>
                <w:spacing w:val="-4"/>
                <w:lang w:val="en-GB"/>
              </w:rPr>
              <w:t>) in H1, created new job positions in the tertiary sector. The weight dominant services activity – trade, transportation, accommodation and restaurants, which employed by 1.9</w:t>
            </w:r>
            <w:r w:rsidR="00954C8E">
              <w:rPr>
                <w:rFonts w:cs="Arial"/>
                <w:color w:val="000000" w:themeColor="text1"/>
                <w:spacing w:val="-4"/>
                <w:lang w:val="en-GB"/>
              </w:rPr>
              <w:t>%</w:t>
            </w:r>
            <w:r>
              <w:rPr>
                <w:rFonts w:cs="Arial"/>
                <w:color w:val="000000" w:themeColor="text1"/>
                <w:spacing w:val="-4"/>
                <w:lang w:val="en-GB"/>
              </w:rPr>
              <w:t xml:space="preserve"> persons more, contributed to a similar extent to the higher employment in the whole economy. The long-term demand for workers persisted in information and communication, whose numbers increased by nearly 15</w:t>
            </w:r>
            <w:r w:rsidR="00954C8E">
              <w:rPr>
                <w:rFonts w:cs="Arial"/>
                <w:color w:val="000000" w:themeColor="text1"/>
                <w:spacing w:val="-4"/>
                <w:lang w:val="en-GB"/>
              </w:rPr>
              <w:t>%</w:t>
            </w:r>
            <w:r>
              <w:rPr>
                <w:rFonts w:cs="Arial"/>
                <w:color w:val="000000" w:themeColor="text1"/>
                <w:spacing w:val="-4"/>
                <w:lang w:val="en-GB"/>
              </w:rPr>
              <w:t xml:space="preserve"> in the last five years. On the contrary, the employment did not change markedly in </w:t>
            </w:r>
            <w:r w:rsidR="00FA3AB1">
              <w:rPr>
                <w:rFonts w:cs="Arial"/>
                <w:color w:val="000000" w:themeColor="text1"/>
                <w:spacing w:val="-4"/>
                <w:lang w:val="en-GB"/>
              </w:rPr>
              <w:t>financial and insurance activities</w:t>
            </w:r>
            <w:r>
              <w:rPr>
                <w:rFonts w:cs="Arial"/>
                <w:color w:val="000000" w:themeColor="text1"/>
                <w:spacing w:val="-4"/>
                <w:lang w:val="en-GB"/>
              </w:rPr>
              <w:t xml:space="preserve"> for the same time period and it even fell by 1.3</w:t>
            </w:r>
            <w:r w:rsidR="00954C8E">
              <w:rPr>
                <w:rFonts w:cs="Arial"/>
                <w:color w:val="000000" w:themeColor="text1"/>
                <w:spacing w:val="-4"/>
                <w:lang w:val="en-GB"/>
              </w:rPr>
              <w:t>%</w:t>
            </w:r>
            <w:r>
              <w:rPr>
                <w:rFonts w:cs="Arial"/>
                <w:color w:val="000000" w:themeColor="text1"/>
                <w:spacing w:val="-4"/>
                <w:lang w:val="en-GB"/>
              </w:rPr>
              <w:t xml:space="preserve"> compared to the first half of year 2016 (mainly due to the effect of the reduction in self-employed).</w:t>
            </w:r>
            <w:r w:rsidR="0036710C">
              <w:rPr>
                <w:rFonts w:cs="Arial"/>
                <w:color w:val="000000" w:themeColor="text1"/>
                <w:spacing w:val="-4"/>
              </w:rPr>
              <w:t xml:space="preserve"> </w:t>
            </w:r>
          </w:p>
        </w:tc>
      </w:tr>
    </w:tbl>
    <w:p w:rsidR="0036710C" w:rsidRPr="0036710C" w:rsidRDefault="0036710C" w:rsidP="0036710C">
      <w:pPr>
        <w:rPr>
          <w:sz w:val="15"/>
          <w:szCs w:val="15"/>
          <w:lang w:eastAsia="ar-SA"/>
        </w:rPr>
      </w:pPr>
    </w:p>
    <w:tbl>
      <w:tblPr>
        <w:tblW w:w="4977" w:type="pct"/>
        <w:tblInd w:w="80" w:type="dxa"/>
        <w:tblLayout w:type="fixed"/>
        <w:tblLook w:val="00A0"/>
      </w:tblPr>
      <w:tblGrid>
        <w:gridCol w:w="27"/>
        <w:gridCol w:w="1997"/>
        <w:gridCol w:w="20"/>
        <w:gridCol w:w="265"/>
        <w:gridCol w:w="10"/>
        <w:gridCol w:w="1108"/>
        <w:gridCol w:w="6266"/>
        <w:gridCol w:w="116"/>
      </w:tblGrid>
      <w:tr w:rsidR="0036710C" w:rsidRPr="00AA4A76" w:rsidTr="00853C0F">
        <w:trPr>
          <w:gridBefore w:val="1"/>
          <w:wBefore w:w="14" w:type="pct"/>
          <w:trHeight w:val="145"/>
        </w:trPr>
        <w:tc>
          <w:tcPr>
            <w:tcW w:w="1018" w:type="pct"/>
            <w:shd w:val="clear" w:color="auto" w:fill="auto"/>
          </w:tcPr>
          <w:p w:rsidR="0036710C" w:rsidRPr="00AA4A76" w:rsidRDefault="0036710C" w:rsidP="00853C0F">
            <w:pPr>
              <w:spacing w:line="240" w:lineRule="auto"/>
              <w:jc w:val="center"/>
              <w:rPr>
                <w:color w:val="000000"/>
                <w:szCs w:val="20"/>
              </w:rPr>
            </w:pPr>
          </w:p>
        </w:tc>
        <w:tc>
          <w:tcPr>
            <w:tcW w:w="145" w:type="pct"/>
            <w:gridSpan w:val="2"/>
          </w:tcPr>
          <w:p w:rsidR="0036710C" w:rsidRPr="00AA4A76" w:rsidRDefault="0036710C" w:rsidP="00853C0F">
            <w:pPr>
              <w:pStyle w:val="Textpoznpodarou"/>
              <w:jc w:val="both"/>
              <w:rPr>
                <w:highlight w:val="yellow"/>
              </w:rPr>
            </w:pPr>
          </w:p>
        </w:tc>
        <w:tc>
          <w:tcPr>
            <w:tcW w:w="570" w:type="pct"/>
            <w:gridSpan w:val="2"/>
          </w:tcPr>
          <w:p w:rsidR="0036710C" w:rsidRPr="00AA4A76" w:rsidRDefault="00EC3608" w:rsidP="00853C0F">
            <w:pPr>
              <w:pStyle w:val="Textpoznpodarou"/>
              <w:jc w:val="both"/>
              <w:rPr>
                <w:highlight w:val="yellow"/>
              </w:rPr>
            </w:pPr>
            <w:r>
              <w:rPr>
                <w:color w:val="000000"/>
              </w:rPr>
              <w:t xml:space="preserve">Chart </w:t>
            </w:r>
            <w:r w:rsidR="0036710C">
              <w:rPr>
                <w:color w:val="000000"/>
              </w:rPr>
              <w:t>15</w:t>
            </w:r>
          </w:p>
        </w:tc>
        <w:tc>
          <w:tcPr>
            <w:tcW w:w="3253" w:type="pct"/>
            <w:gridSpan w:val="2"/>
          </w:tcPr>
          <w:p w:rsidR="0036710C" w:rsidRPr="000117D0" w:rsidRDefault="0075258D" w:rsidP="00853C0F">
            <w:pPr>
              <w:pStyle w:val="Textpoznpodarou"/>
              <w:rPr>
                <w:b/>
                <w:lang w:eastAsia="en-US"/>
              </w:rPr>
            </w:pPr>
            <w:r w:rsidRPr="00AC7965">
              <w:rPr>
                <w:b/>
                <w:lang w:val="en-GB" w:eastAsia="en-US"/>
              </w:rPr>
              <w:t xml:space="preserve">Number of </w:t>
            </w:r>
            <w:r w:rsidR="00A479BA">
              <w:rPr>
                <w:b/>
                <w:lang w:val="en-GB" w:eastAsia="en-US"/>
              </w:rPr>
              <w:t>workers</w:t>
            </w:r>
            <w:r>
              <w:rPr>
                <w:b/>
                <w:lang w:val="en-GB" w:eastAsia="en-US"/>
              </w:rPr>
              <w:t xml:space="preserve"> in selected branches and total employ</w:t>
            </w:r>
            <w:r w:rsidR="00A479BA">
              <w:rPr>
                <w:b/>
                <w:lang w:val="en-GB" w:eastAsia="en-US"/>
              </w:rPr>
              <w:t>ment</w:t>
            </w:r>
            <w:r>
              <w:rPr>
                <w:b/>
                <w:lang w:val="en-GB" w:eastAsia="en-US"/>
              </w:rPr>
              <w:t xml:space="preserve"> </w:t>
            </w:r>
            <w:r w:rsidR="0036710C">
              <w:rPr>
                <w:spacing w:val="-4"/>
                <w:lang w:eastAsia="en-US"/>
              </w:rPr>
              <w:t>(</w:t>
            </w:r>
            <w:r w:rsidR="00EC3608" w:rsidRPr="004E4A7B">
              <w:rPr>
                <w:spacing w:val="-4"/>
                <w:lang w:val="en-GB" w:eastAsia="en-US"/>
              </w:rPr>
              <w:t xml:space="preserve">based on national accounts, seasonally adjusted, year-on-year </w:t>
            </w:r>
            <w:r w:rsidR="00954C8E">
              <w:rPr>
                <w:spacing w:val="-4"/>
                <w:lang w:val="en-GB" w:eastAsia="en-US"/>
              </w:rPr>
              <w:t>in %</w:t>
            </w:r>
            <w:r w:rsidR="0036710C" w:rsidRPr="004E4A7B">
              <w:rPr>
                <w:bCs/>
                <w:spacing w:val="-2"/>
                <w:lang w:val="en-GB"/>
              </w:rPr>
              <w:t>)</w:t>
            </w:r>
          </w:p>
        </w:tc>
      </w:tr>
      <w:tr w:rsidR="0036710C" w:rsidRPr="00AA4A76" w:rsidTr="00853C0F">
        <w:trPr>
          <w:gridBefore w:val="1"/>
          <w:wBefore w:w="14" w:type="pct"/>
          <w:trHeight w:val="145"/>
        </w:trPr>
        <w:tc>
          <w:tcPr>
            <w:tcW w:w="1018" w:type="pct"/>
            <w:shd w:val="clear" w:color="auto" w:fill="auto"/>
          </w:tcPr>
          <w:p w:rsidR="0036710C" w:rsidRPr="006D3F53" w:rsidRDefault="0036710C" w:rsidP="00853C0F">
            <w:pPr>
              <w:spacing w:line="240" w:lineRule="auto"/>
              <w:rPr>
                <w:color w:val="000000"/>
                <w:sz w:val="16"/>
                <w:szCs w:val="16"/>
                <w:highlight w:val="yellow"/>
              </w:rPr>
            </w:pPr>
          </w:p>
        </w:tc>
        <w:tc>
          <w:tcPr>
            <w:tcW w:w="145" w:type="pct"/>
            <w:gridSpan w:val="2"/>
          </w:tcPr>
          <w:p w:rsidR="0036710C" w:rsidRPr="00A74192" w:rsidRDefault="0036710C" w:rsidP="00853C0F">
            <w:pPr>
              <w:pStyle w:val="Textpoznpodarou"/>
              <w:jc w:val="both"/>
            </w:pPr>
          </w:p>
        </w:tc>
        <w:tc>
          <w:tcPr>
            <w:tcW w:w="3823" w:type="pct"/>
            <w:gridSpan w:val="4"/>
          </w:tcPr>
          <w:p w:rsidR="0036710C" w:rsidRDefault="00A479BA" w:rsidP="00853C0F">
            <w:pPr>
              <w:pStyle w:val="Textpoznpodarou"/>
              <w:ind w:left="-124"/>
              <w:jc w:val="both"/>
              <w:rPr>
                <w:sz w:val="16"/>
                <w:szCs w:val="16"/>
              </w:rPr>
            </w:pPr>
            <w:r w:rsidRPr="00A479BA">
              <w:rPr>
                <w:noProof/>
                <w:sz w:val="16"/>
                <w:szCs w:val="16"/>
              </w:rPr>
              <w:drawing>
                <wp:inline distT="0" distB="0" distL="0" distR="0">
                  <wp:extent cx="4752000" cy="3528000"/>
                  <wp:effectExtent l="0" t="0" r="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80F8E" w:rsidRDefault="004C65FD" w:rsidP="004C65FD">
            <w:pPr>
              <w:pStyle w:val="Textpoznpodarou"/>
              <w:ind w:left="-124"/>
              <w:jc w:val="right"/>
              <w:rPr>
                <w:rFonts w:cs="Arial"/>
                <w:sz w:val="14"/>
                <w:szCs w:val="14"/>
              </w:rPr>
            </w:pPr>
            <w:proofErr w:type="spellStart"/>
            <w:r>
              <w:rPr>
                <w:rFonts w:cs="Arial"/>
                <w:sz w:val="14"/>
                <w:szCs w:val="14"/>
              </w:rPr>
              <w:t>Source</w:t>
            </w:r>
            <w:proofErr w:type="spellEnd"/>
            <w:r w:rsidR="0036710C" w:rsidRPr="00535F78">
              <w:rPr>
                <w:rFonts w:cs="Arial"/>
                <w:sz w:val="14"/>
                <w:szCs w:val="14"/>
              </w:rPr>
              <w:t xml:space="preserve">: </w:t>
            </w:r>
            <w:r>
              <w:rPr>
                <w:rFonts w:cs="Arial"/>
                <w:sz w:val="14"/>
                <w:szCs w:val="14"/>
              </w:rPr>
              <w:t>CZSO</w:t>
            </w:r>
          </w:p>
          <w:p w:rsidR="00486640" w:rsidRDefault="00486640">
            <w:pPr>
              <w:pStyle w:val="Textpoznpodarou"/>
              <w:ind w:left="-124"/>
              <w:jc w:val="right"/>
              <w:rPr>
                <w:sz w:val="14"/>
                <w:szCs w:val="14"/>
              </w:rPr>
            </w:pPr>
          </w:p>
        </w:tc>
      </w:tr>
      <w:tr w:rsidR="0036710C" w:rsidTr="00853C0F">
        <w:tblPrEx>
          <w:tblCellMar>
            <w:left w:w="28" w:type="dxa"/>
            <w:right w:w="28" w:type="dxa"/>
          </w:tblCellMar>
          <w:tblLook w:val="04A0"/>
        </w:tblPrEx>
        <w:trPr>
          <w:gridAfter w:val="1"/>
          <w:wAfter w:w="59" w:type="pct"/>
        </w:trPr>
        <w:tc>
          <w:tcPr>
            <w:tcW w:w="1042" w:type="pct"/>
            <w:gridSpan w:val="3"/>
          </w:tcPr>
          <w:p w:rsidR="0036710C" w:rsidRPr="00C418F0" w:rsidRDefault="00C418F0" w:rsidP="00853C0F">
            <w:pPr>
              <w:spacing w:line="240" w:lineRule="auto"/>
              <w:rPr>
                <w:rFonts w:cs="Arial"/>
                <w:bCs/>
                <w:iCs/>
                <w:color w:val="0D0D0D" w:themeColor="text1" w:themeTint="F2"/>
                <w:spacing w:val="-2"/>
                <w:sz w:val="16"/>
                <w:szCs w:val="16"/>
                <w:lang w:val="en-GB"/>
              </w:rPr>
            </w:pPr>
            <w:r w:rsidRPr="00C418F0">
              <w:rPr>
                <w:rFonts w:cs="Arial"/>
                <w:bCs/>
                <w:iCs/>
                <w:color w:val="0D0D0D" w:themeColor="text1" w:themeTint="F2"/>
                <w:spacing w:val="-2"/>
                <w:sz w:val="16"/>
                <w:szCs w:val="16"/>
                <w:lang w:val="en-GB"/>
              </w:rPr>
              <w:t xml:space="preserve">Higher numbers of self-employed contributed to the stabilisation of the total employment in construction. </w:t>
            </w:r>
            <w:r w:rsidR="0036710C" w:rsidRPr="00C418F0">
              <w:rPr>
                <w:rFonts w:cs="Arial"/>
                <w:bCs/>
                <w:iCs/>
                <w:color w:val="0D0D0D" w:themeColor="text1" w:themeTint="F2"/>
                <w:spacing w:val="-2"/>
                <w:sz w:val="16"/>
                <w:szCs w:val="16"/>
                <w:lang w:val="en-GB"/>
              </w:rPr>
              <w:t xml:space="preserve"> </w:t>
            </w:r>
          </w:p>
        </w:tc>
        <w:tc>
          <w:tcPr>
            <w:tcW w:w="140" w:type="pct"/>
            <w:gridSpan w:val="2"/>
          </w:tcPr>
          <w:p w:rsidR="0036710C" w:rsidRPr="00C418F0" w:rsidRDefault="0036710C" w:rsidP="00853C0F">
            <w:pPr>
              <w:pStyle w:val="Textpoznpodarou"/>
              <w:jc w:val="both"/>
              <w:rPr>
                <w:color w:val="0D0D0D" w:themeColor="text1" w:themeTint="F2"/>
                <w:lang w:val="en-GB"/>
              </w:rPr>
            </w:pPr>
          </w:p>
        </w:tc>
        <w:tc>
          <w:tcPr>
            <w:tcW w:w="3759" w:type="pct"/>
            <w:gridSpan w:val="2"/>
          </w:tcPr>
          <w:p w:rsidR="0036710C" w:rsidRPr="00C418F0" w:rsidRDefault="002846A5" w:rsidP="00853C0F">
            <w:pPr>
              <w:pStyle w:val="Textpoznpodarou"/>
              <w:jc w:val="both"/>
              <w:rPr>
                <w:rFonts w:cs="Arial"/>
                <w:color w:val="0D0D0D" w:themeColor="text1" w:themeTint="F2"/>
                <w:spacing w:val="-4"/>
                <w:lang w:val="en-GB"/>
              </w:rPr>
            </w:pPr>
            <w:r>
              <w:rPr>
                <w:rFonts w:cs="Arial"/>
                <w:color w:val="0D0D0D" w:themeColor="text1" w:themeTint="F2"/>
                <w:spacing w:val="-4"/>
                <w:lang w:val="en-GB"/>
              </w:rPr>
              <w:t>Employment in branches with the state dominance grew relatively moderately in H1</w:t>
            </w:r>
            <w:r w:rsidR="0036710C" w:rsidRPr="00C418F0">
              <w:rPr>
                <w:rStyle w:val="Znakapoznpodarou"/>
                <w:color w:val="0D0D0D" w:themeColor="text1" w:themeTint="F2"/>
                <w:spacing w:val="-4"/>
                <w:lang w:val="en-GB"/>
              </w:rPr>
              <w:footnoteReference w:id="23"/>
            </w:r>
            <w:r w:rsidR="0036710C" w:rsidRPr="00C418F0">
              <w:rPr>
                <w:rFonts w:cs="Arial"/>
                <w:color w:val="0D0D0D" w:themeColor="text1" w:themeTint="F2"/>
                <w:spacing w:val="-4"/>
                <w:lang w:val="en-GB"/>
              </w:rPr>
              <w:t xml:space="preserve"> (+0</w:t>
            </w:r>
            <w:r>
              <w:rPr>
                <w:rFonts w:cs="Arial"/>
                <w:color w:val="0D0D0D" w:themeColor="text1" w:themeTint="F2"/>
                <w:spacing w:val="-4"/>
                <w:lang w:val="en-GB"/>
              </w:rPr>
              <w:t>.</w:t>
            </w:r>
            <w:r w:rsidR="0036710C" w:rsidRPr="00C418F0">
              <w:rPr>
                <w:rFonts w:cs="Arial"/>
                <w:color w:val="0D0D0D" w:themeColor="text1" w:themeTint="F2"/>
                <w:spacing w:val="-4"/>
                <w:lang w:val="en-GB"/>
              </w:rPr>
              <w:t>8</w:t>
            </w:r>
            <w:r w:rsidR="00954C8E">
              <w:rPr>
                <w:rFonts w:cs="Arial"/>
                <w:color w:val="0D0D0D" w:themeColor="text1" w:themeTint="F2"/>
                <w:spacing w:val="-4"/>
                <w:lang w:val="en-GB"/>
              </w:rPr>
              <w:t>%</w:t>
            </w:r>
            <w:r w:rsidR="0036710C" w:rsidRPr="00C418F0">
              <w:rPr>
                <w:rFonts w:cs="Arial"/>
                <w:color w:val="0D0D0D" w:themeColor="text1" w:themeTint="F2"/>
                <w:spacing w:val="-4"/>
                <w:lang w:val="en-GB"/>
              </w:rPr>
              <w:t xml:space="preserve"> </w:t>
            </w:r>
            <w:r>
              <w:rPr>
                <w:rFonts w:cs="Arial"/>
                <w:color w:val="0D0D0D" w:themeColor="text1" w:themeTint="F2"/>
                <w:spacing w:val="-4"/>
                <w:lang w:val="en-GB"/>
              </w:rPr>
              <w:t>year-on-year</w:t>
            </w:r>
            <w:r w:rsidR="0036710C" w:rsidRPr="00C418F0">
              <w:rPr>
                <w:rFonts w:cs="Arial"/>
                <w:color w:val="0D0D0D" w:themeColor="text1" w:themeTint="F2"/>
                <w:spacing w:val="-4"/>
                <w:lang w:val="en-GB"/>
              </w:rPr>
              <w:t>)</w:t>
            </w:r>
            <w:proofErr w:type="gramStart"/>
            <w:r w:rsidR="0036710C" w:rsidRPr="00C418F0">
              <w:rPr>
                <w:rFonts w:cs="Arial"/>
                <w:color w:val="0D0D0D" w:themeColor="text1" w:themeTint="F2"/>
                <w:spacing w:val="-4"/>
                <w:lang w:val="en-GB"/>
              </w:rPr>
              <w:t>,</w:t>
            </w:r>
            <w:proofErr w:type="gramEnd"/>
            <w:r w:rsidR="0036710C" w:rsidRPr="00C418F0">
              <w:rPr>
                <w:rFonts w:cs="Arial"/>
                <w:color w:val="0D0D0D" w:themeColor="text1" w:themeTint="F2"/>
                <w:spacing w:val="-4"/>
                <w:lang w:val="en-GB"/>
              </w:rPr>
              <w:t xml:space="preserve"> t</w:t>
            </w:r>
            <w:r>
              <w:rPr>
                <w:rFonts w:cs="Arial"/>
                <w:color w:val="0D0D0D" w:themeColor="text1" w:themeTint="F2"/>
                <w:spacing w:val="-4"/>
                <w:lang w:val="en-GB"/>
              </w:rPr>
              <w:t xml:space="preserve">his status persisted already for the fifth year in a row. The number of workers in construction ceased falling since half of year 2016. It was the result of higher number of entrepreneurs. On the contrary, the number of employees in </w:t>
            </w:r>
            <w:r>
              <w:rPr>
                <w:rFonts w:cs="Arial"/>
                <w:color w:val="0D0D0D" w:themeColor="text1" w:themeTint="F2"/>
                <w:spacing w:val="-4"/>
                <w:lang w:val="en-GB"/>
              </w:rPr>
              <w:lastRenderedPageBreak/>
              <w:t xml:space="preserve">the construction firms was further decreasing </w:t>
            </w:r>
            <w:r w:rsidR="0036710C" w:rsidRPr="00C418F0">
              <w:rPr>
                <w:rFonts w:cs="Arial"/>
                <w:color w:val="0D0D0D" w:themeColor="text1" w:themeTint="F2"/>
                <w:spacing w:val="-4"/>
                <w:lang w:val="en-GB"/>
              </w:rPr>
              <w:t>(</w:t>
            </w:r>
            <w:r w:rsidR="00CE3D1C">
              <w:rPr>
                <w:rFonts w:cs="Arial"/>
                <w:color w:val="0D0D0D" w:themeColor="text1" w:themeTint="F2"/>
                <w:spacing w:val="-4"/>
                <w:lang w:val="en-GB"/>
              </w:rPr>
              <w:t>there were by 18</w:t>
            </w:r>
            <w:r w:rsidR="00954C8E">
              <w:rPr>
                <w:rFonts w:cs="Arial"/>
                <w:color w:val="0D0D0D" w:themeColor="text1" w:themeTint="F2"/>
                <w:spacing w:val="-4"/>
                <w:lang w:val="en-GB"/>
              </w:rPr>
              <w:t>%</w:t>
            </w:r>
            <w:r w:rsidR="00CE3D1C">
              <w:rPr>
                <w:rFonts w:cs="Arial"/>
                <w:color w:val="0D0D0D" w:themeColor="text1" w:themeTint="F2"/>
                <w:spacing w:val="-4"/>
                <w:lang w:val="en-GB"/>
              </w:rPr>
              <w:t xml:space="preserve"> less </w:t>
            </w:r>
            <w:r w:rsidR="00D637A2">
              <w:rPr>
                <w:rFonts w:cs="Arial"/>
                <w:color w:val="0D0D0D" w:themeColor="text1" w:themeTint="F2"/>
                <w:spacing w:val="-4"/>
                <w:lang w:val="en-GB"/>
              </w:rPr>
              <w:t>against H</w:t>
            </w:r>
            <w:r w:rsidR="00CE3D1C">
              <w:rPr>
                <w:rFonts w:cs="Arial"/>
                <w:color w:val="0D0D0D" w:themeColor="text1" w:themeTint="F2"/>
                <w:spacing w:val="-4"/>
                <w:lang w:val="en-GB"/>
              </w:rPr>
              <w:t>1</w:t>
            </w:r>
            <w:r w:rsidR="00D637A2">
              <w:rPr>
                <w:rFonts w:cs="Arial"/>
                <w:color w:val="0D0D0D" w:themeColor="text1" w:themeTint="F2"/>
                <w:spacing w:val="-4"/>
                <w:lang w:val="en-GB"/>
              </w:rPr>
              <w:t xml:space="preserve"> 20</w:t>
            </w:r>
            <w:r w:rsidR="00CE3D1C">
              <w:rPr>
                <w:rFonts w:cs="Arial"/>
                <w:color w:val="0D0D0D" w:themeColor="text1" w:themeTint="F2"/>
                <w:spacing w:val="-4"/>
                <w:lang w:val="en-GB"/>
              </w:rPr>
              <w:t>0</w:t>
            </w:r>
            <w:r w:rsidR="00D637A2">
              <w:rPr>
                <w:rFonts w:cs="Arial"/>
                <w:color w:val="0D0D0D" w:themeColor="text1" w:themeTint="F2"/>
                <w:spacing w:val="-4"/>
                <w:lang w:val="en-GB"/>
              </w:rPr>
              <w:t>9</w:t>
            </w:r>
            <w:r w:rsidR="0036710C" w:rsidRPr="00C418F0">
              <w:rPr>
                <w:rFonts w:cs="Arial"/>
                <w:color w:val="0D0D0D" w:themeColor="text1" w:themeTint="F2"/>
                <w:spacing w:val="-4"/>
                <w:lang w:val="en-GB"/>
              </w:rPr>
              <w:t xml:space="preserve">). </w:t>
            </w:r>
            <w:r w:rsidR="00CE3D1C">
              <w:rPr>
                <w:rFonts w:cs="Arial"/>
                <w:color w:val="0D0D0D" w:themeColor="text1" w:themeTint="F2"/>
                <w:spacing w:val="-4"/>
                <w:lang w:val="en-GB"/>
              </w:rPr>
              <w:t xml:space="preserve">The numbers of self-employed persons grew accompanied simultaneously by the reduction of the levels of employees also in the primary sector. </w:t>
            </w:r>
          </w:p>
        </w:tc>
      </w:tr>
    </w:tbl>
    <w:p w:rsidR="0036710C" w:rsidRPr="00FF5A0D" w:rsidRDefault="0036710C" w:rsidP="0036710C">
      <w:pPr>
        <w:pStyle w:val="Textpoznpodarou"/>
        <w:jc w:val="both"/>
        <w:rPr>
          <w:rFonts w:cs="Arial"/>
          <w:color w:val="000000"/>
          <w:spacing w:val="-2"/>
          <w:sz w:val="14"/>
          <w:szCs w:val="14"/>
        </w:rPr>
      </w:pPr>
    </w:p>
    <w:tbl>
      <w:tblPr>
        <w:tblW w:w="4963" w:type="pct"/>
        <w:tblInd w:w="108" w:type="dxa"/>
        <w:tblLayout w:type="fixed"/>
        <w:tblLook w:val="00A0"/>
      </w:tblPr>
      <w:tblGrid>
        <w:gridCol w:w="1997"/>
        <w:gridCol w:w="284"/>
        <w:gridCol w:w="1119"/>
        <w:gridCol w:w="6381"/>
      </w:tblGrid>
      <w:tr w:rsidR="0036710C" w:rsidRPr="00AA4A76" w:rsidTr="00853C0F">
        <w:trPr>
          <w:trHeight w:val="145"/>
        </w:trPr>
        <w:tc>
          <w:tcPr>
            <w:tcW w:w="1021" w:type="pct"/>
            <w:shd w:val="clear" w:color="auto" w:fill="auto"/>
          </w:tcPr>
          <w:p w:rsidR="0036710C" w:rsidRPr="00AA4A76" w:rsidRDefault="0036710C" w:rsidP="00853C0F">
            <w:pPr>
              <w:spacing w:line="240" w:lineRule="auto"/>
              <w:jc w:val="center"/>
              <w:rPr>
                <w:color w:val="000000"/>
                <w:szCs w:val="20"/>
              </w:rPr>
            </w:pPr>
          </w:p>
        </w:tc>
        <w:tc>
          <w:tcPr>
            <w:tcW w:w="145" w:type="pct"/>
          </w:tcPr>
          <w:p w:rsidR="0036710C" w:rsidRPr="00AA4A76" w:rsidRDefault="0036710C" w:rsidP="00853C0F">
            <w:pPr>
              <w:pStyle w:val="Textpoznpodarou"/>
              <w:jc w:val="both"/>
              <w:rPr>
                <w:highlight w:val="yellow"/>
              </w:rPr>
            </w:pPr>
          </w:p>
        </w:tc>
        <w:tc>
          <w:tcPr>
            <w:tcW w:w="572" w:type="pct"/>
          </w:tcPr>
          <w:p w:rsidR="0036710C" w:rsidRPr="00AA4A76" w:rsidRDefault="004C65FD" w:rsidP="004C65FD">
            <w:pPr>
              <w:pStyle w:val="Textpoznpodarou"/>
              <w:jc w:val="both"/>
              <w:rPr>
                <w:highlight w:val="yellow"/>
              </w:rPr>
            </w:pPr>
            <w:r>
              <w:rPr>
                <w:color w:val="000000"/>
              </w:rPr>
              <w:t xml:space="preserve">Chart </w:t>
            </w:r>
            <w:r w:rsidR="0036710C">
              <w:rPr>
                <w:color w:val="000000"/>
              </w:rPr>
              <w:t>16</w:t>
            </w:r>
          </w:p>
        </w:tc>
        <w:tc>
          <w:tcPr>
            <w:tcW w:w="3262" w:type="pct"/>
          </w:tcPr>
          <w:p w:rsidR="0036710C" w:rsidRPr="00CE3D1C" w:rsidRDefault="00AF579A" w:rsidP="00853C0F">
            <w:pPr>
              <w:spacing w:line="240" w:lineRule="auto"/>
              <w:rPr>
                <w:rFonts w:cs="Arial"/>
                <w:b/>
                <w:bCs/>
                <w:spacing w:val="-2"/>
                <w:lang w:val="en-GB"/>
              </w:rPr>
            </w:pPr>
            <w:r>
              <w:rPr>
                <w:rFonts w:cs="Arial"/>
                <w:b/>
                <w:bCs/>
                <w:spacing w:val="-2"/>
                <w:lang w:val="en-GB"/>
              </w:rPr>
              <w:t>General unemployment rate of males and females</w:t>
            </w:r>
            <w:r w:rsidR="008C3460">
              <w:rPr>
                <w:rFonts w:cs="Arial"/>
                <w:b/>
                <w:bCs/>
                <w:spacing w:val="-2"/>
                <w:lang w:val="en-GB"/>
              </w:rPr>
              <w:t xml:space="preserve"> </w:t>
            </w:r>
            <w:r w:rsidR="0036710C" w:rsidRPr="00CE3D1C">
              <w:rPr>
                <w:rFonts w:cs="Arial"/>
                <w:bCs/>
                <w:spacing w:val="-2"/>
                <w:lang w:val="en-GB"/>
              </w:rPr>
              <w:t>(</w:t>
            </w:r>
            <w:r w:rsidR="00954C8E">
              <w:rPr>
                <w:rFonts w:cs="Arial"/>
                <w:bCs/>
                <w:spacing w:val="-2"/>
                <w:lang w:val="en-GB"/>
              </w:rPr>
              <w:t>in %</w:t>
            </w:r>
            <w:r w:rsidR="0036710C" w:rsidRPr="00CE3D1C">
              <w:rPr>
                <w:rFonts w:cs="Arial"/>
                <w:bCs/>
                <w:spacing w:val="-2"/>
                <w:lang w:val="en-GB"/>
              </w:rPr>
              <w:t>, se</w:t>
            </w:r>
            <w:r w:rsidR="00CE3D1C" w:rsidRPr="00CE3D1C">
              <w:rPr>
                <w:rFonts w:cs="Arial"/>
                <w:bCs/>
                <w:spacing w:val="-2"/>
                <w:lang w:val="en-GB"/>
              </w:rPr>
              <w:t>asonally adjusted</w:t>
            </w:r>
            <w:r w:rsidR="00925A21" w:rsidRPr="00CE3D1C">
              <w:rPr>
                <w:rFonts w:cs="Arial"/>
                <w:bCs/>
                <w:spacing w:val="-2"/>
                <w:lang w:val="en-GB"/>
              </w:rPr>
              <w:t xml:space="preserve">, </w:t>
            </w:r>
            <w:r w:rsidR="00CE3D1C" w:rsidRPr="00CE3D1C">
              <w:rPr>
                <w:rFonts w:cs="Arial"/>
                <w:bCs/>
                <w:spacing w:val="-2"/>
                <w:lang w:val="en-GB"/>
              </w:rPr>
              <w:t>right axis</w:t>
            </w:r>
            <w:r w:rsidR="0036710C" w:rsidRPr="00CE3D1C">
              <w:rPr>
                <w:rFonts w:cs="Arial"/>
                <w:bCs/>
                <w:spacing w:val="-2"/>
                <w:lang w:val="en-GB"/>
              </w:rPr>
              <w:t>)</w:t>
            </w:r>
            <w:r w:rsidR="0036710C" w:rsidRPr="00CE3D1C">
              <w:rPr>
                <w:rFonts w:cs="Arial"/>
                <w:b/>
                <w:bCs/>
                <w:spacing w:val="-2"/>
                <w:lang w:val="en-GB"/>
              </w:rPr>
              <w:t xml:space="preserve"> a</w:t>
            </w:r>
            <w:r>
              <w:rPr>
                <w:rFonts w:cs="Arial"/>
                <w:b/>
                <w:bCs/>
                <w:spacing w:val="-2"/>
                <w:lang w:val="en-GB"/>
              </w:rPr>
              <w:t xml:space="preserve">nd selected groups of unemployed </w:t>
            </w:r>
            <w:r w:rsidR="00925A21" w:rsidRPr="00CE3D1C">
              <w:rPr>
                <w:rFonts w:cs="Arial"/>
                <w:bCs/>
                <w:spacing w:val="-2"/>
                <w:lang w:val="en-GB"/>
              </w:rPr>
              <w:t>(</w:t>
            </w:r>
            <w:r w:rsidR="00CE3D1C" w:rsidRPr="00CE3D1C">
              <w:rPr>
                <w:rFonts w:cs="Arial"/>
                <w:bCs/>
                <w:spacing w:val="-2"/>
                <w:lang w:val="en-GB"/>
              </w:rPr>
              <w:t>year-on-year</w:t>
            </w:r>
            <w:r w:rsidR="0036710C" w:rsidRPr="00CE3D1C">
              <w:rPr>
                <w:rFonts w:cs="Arial"/>
                <w:bCs/>
                <w:spacing w:val="-2"/>
                <w:lang w:val="en-GB"/>
              </w:rPr>
              <w:t xml:space="preserve">, </w:t>
            </w:r>
            <w:r w:rsidR="00954C8E">
              <w:rPr>
                <w:rFonts w:cs="Arial"/>
                <w:bCs/>
                <w:spacing w:val="-2"/>
                <w:lang w:val="en-GB"/>
              </w:rPr>
              <w:t>in %</w:t>
            </w:r>
            <w:r w:rsidR="0036710C" w:rsidRPr="00CE3D1C">
              <w:rPr>
                <w:rFonts w:cs="Arial"/>
                <w:bCs/>
                <w:spacing w:val="-2"/>
                <w:lang w:val="en-GB"/>
              </w:rPr>
              <w:t>)</w:t>
            </w:r>
          </w:p>
        </w:tc>
      </w:tr>
      <w:tr w:rsidR="0036710C" w:rsidRPr="00AA4A76" w:rsidTr="00853C0F">
        <w:trPr>
          <w:trHeight w:val="145"/>
        </w:trPr>
        <w:tc>
          <w:tcPr>
            <w:tcW w:w="1021" w:type="pct"/>
            <w:shd w:val="clear" w:color="auto" w:fill="auto"/>
          </w:tcPr>
          <w:p w:rsidR="0036710C" w:rsidRPr="006D3F53" w:rsidRDefault="0036710C" w:rsidP="00853C0F">
            <w:pPr>
              <w:spacing w:line="240" w:lineRule="auto"/>
              <w:rPr>
                <w:color w:val="000000"/>
                <w:sz w:val="16"/>
                <w:szCs w:val="16"/>
                <w:highlight w:val="yellow"/>
              </w:rPr>
            </w:pPr>
          </w:p>
        </w:tc>
        <w:tc>
          <w:tcPr>
            <w:tcW w:w="145" w:type="pct"/>
          </w:tcPr>
          <w:p w:rsidR="0036710C" w:rsidRPr="00A74192" w:rsidRDefault="0036710C" w:rsidP="00853C0F">
            <w:pPr>
              <w:pStyle w:val="Textpoznpodarou"/>
              <w:jc w:val="both"/>
            </w:pPr>
          </w:p>
        </w:tc>
        <w:tc>
          <w:tcPr>
            <w:tcW w:w="3833" w:type="pct"/>
            <w:gridSpan w:val="2"/>
          </w:tcPr>
          <w:p w:rsidR="0036710C" w:rsidRPr="007E5880" w:rsidRDefault="00486640" w:rsidP="00853C0F">
            <w:pPr>
              <w:pStyle w:val="Textpoznpodarou"/>
              <w:rPr>
                <w:sz w:val="14"/>
                <w:szCs w:val="14"/>
              </w:rPr>
            </w:pPr>
            <w:r>
              <w:rPr>
                <w:noProof/>
                <w:sz w:val="14"/>
                <w:szCs w:val="14"/>
              </w:rPr>
              <w:drawing>
                <wp:inline distT="0" distB="0" distL="0" distR="0">
                  <wp:extent cx="4728809" cy="3449729"/>
                  <wp:effectExtent l="19050" t="0" r="0" b="0"/>
                  <wp:docPr id="3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86640" w:rsidRDefault="00D44477">
            <w:pPr>
              <w:pStyle w:val="Textpoznpodarou"/>
              <w:jc w:val="right"/>
              <w:rPr>
                <w:sz w:val="14"/>
                <w:szCs w:val="14"/>
              </w:rPr>
            </w:pPr>
            <w:proofErr w:type="spellStart"/>
            <w:r>
              <w:rPr>
                <w:rFonts w:cs="Arial"/>
                <w:sz w:val="14"/>
                <w:szCs w:val="14"/>
              </w:rPr>
              <w:t>Source</w:t>
            </w:r>
            <w:proofErr w:type="spellEnd"/>
            <w:r w:rsidR="0036710C" w:rsidRPr="00535F78">
              <w:rPr>
                <w:rFonts w:cs="Arial"/>
                <w:sz w:val="14"/>
                <w:szCs w:val="14"/>
              </w:rPr>
              <w:t xml:space="preserve">: </w:t>
            </w:r>
            <w:r>
              <w:rPr>
                <w:rFonts w:cs="Arial"/>
                <w:sz w:val="14"/>
                <w:szCs w:val="14"/>
              </w:rPr>
              <w:t>CZSO</w:t>
            </w:r>
          </w:p>
        </w:tc>
      </w:tr>
    </w:tbl>
    <w:p w:rsidR="0036710C" w:rsidRPr="002D3A9D" w:rsidRDefault="0036710C" w:rsidP="0036710C">
      <w:pPr>
        <w:pStyle w:val="Textpoznpodarou"/>
        <w:jc w:val="both"/>
        <w:rPr>
          <w:rFonts w:cs="Arial"/>
          <w:color w:val="000000"/>
          <w:spacing w:val="-2"/>
          <w:sz w:val="15"/>
          <w:szCs w:val="15"/>
        </w:rPr>
      </w:pPr>
    </w:p>
    <w:tbl>
      <w:tblPr>
        <w:tblW w:w="4995" w:type="pct"/>
        <w:tblInd w:w="108" w:type="dxa"/>
        <w:tblLayout w:type="fixed"/>
        <w:tblLook w:val="00A0"/>
      </w:tblPr>
      <w:tblGrid>
        <w:gridCol w:w="2000"/>
        <w:gridCol w:w="284"/>
        <w:gridCol w:w="7560"/>
      </w:tblGrid>
      <w:tr w:rsidR="0036710C" w:rsidRPr="00F06A1D" w:rsidTr="00853C0F">
        <w:trPr>
          <w:trHeight w:val="145"/>
        </w:trPr>
        <w:tc>
          <w:tcPr>
            <w:tcW w:w="1016" w:type="pct"/>
            <w:shd w:val="clear" w:color="auto" w:fill="auto"/>
          </w:tcPr>
          <w:p w:rsidR="0036710C" w:rsidRPr="00D44477" w:rsidRDefault="00D44477" w:rsidP="00853C0F">
            <w:pPr>
              <w:spacing w:line="240" w:lineRule="auto"/>
              <w:rPr>
                <w:rFonts w:cs="Arial"/>
                <w:bCs/>
                <w:iCs/>
                <w:color w:val="0D0D0D" w:themeColor="text1" w:themeTint="F2"/>
                <w:spacing w:val="-4"/>
                <w:sz w:val="16"/>
                <w:szCs w:val="16"/>
                <w:lang w:val="en-GB"/>
              </w:rPr>
            </w:pPr>
            <w:r w:rsidRPr="00D44477">
              <w:rPr>
                <w:rFonts w:cs="Arial"/>
                <w:bCs/>
                <w:iCs/>
                <w:color w:val="0D0D0D" w:themeColor="text1" w:themeTint="F2"/>
                <w:spacing w:val="-4"/>
                <w:sz w:val="16"/>
                <w:szCs w:val="16"/>
                <w:lang w:val="en-GB"/>
              </w:rPr>
              <w:t>General unemployment rate kept further falling down to the new absolute minimum, new vacancies increased the most in the history of the CR in H1.</w:t>
            </w: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Pr="00D44477" w:rsidRDefault="00ED2670" w:rsidP="00853C0F">
            <w:pPr>
              <w:spacing w:line="240" w:lineRule="auto"/>
              <w:rPr>
                <w:rFonts w:cs="Arial"/>
                <w:bCs/>
                <w:iCs/>
                <w:color w:val="0D0D0D" w:themeColor="text1" w:themeTint="F2"/>
                <w:spacing w:val="-4"/>
                <w:sz w:val="16"/>
                <w:szCs w:val="16"/>
                <w:lang w:val="en-GB"/>
              </w:rPr>
            </w:pPr>
            <w:r>
              <w:rPr>
                <w:rFonts w:cs="Arial"/>
                <w:bCs/>
                <w:iCs/>
                <w:color w:val="0D0D0D" w:themeColor="text1" w:themeTint="F2"/>
                <w:spacing w:val="-4"/>
                <w:sz w:val="16"/>
                <w:szCs w:val="16"/>
                <w:lang w:val="en-GB"/>
              </w:rPr>
              <w:t>There was</w:t>
            </w:r>
            <w:r w:rsidR="005F0867">
              <w:rPr>
                <w:rFonts w:cs="Arial"/>
                <w:bCs/>
                <w:iCs/>
                <w:color w:val="0D0D0D" w:themeColor="text1" w:themeTint="F2"/>
                <w:spacing w:val="-4"/>
                <w:sz w:val="16"/>
                <w:szCs w:val="16"/>
                <w:lang w:val="en-GB"/>
              </w:rPr>
              <w:t xml:space="preserve"> the lowest number of job</w:t>
            </w:r>
            <w:r w:rsidR="007D1996">
              <w:rPr>
                <w:rFonts w:cs="Arial"/>
                <w:bCs/>
                <w:iCs/>
                <w:color w:val="0D0D0D" w:themeColor="text1" w:themeTint="F2"/>
                <w:spacing w:val="-4"/>
                <w:sz w:val="16"/>
                <w:szCs w:val="16"/>
                <w:lang w:val="en-GB"/>
              </w:rPr>
              <w:t xml:space="preserve"> applicants </w:t>
            </w:r>
            <w:r w:rsidR="005F0867">
              <w:rPr>
                <w:rFonts w:cs="Arial"/>
                <w:bCs/>
                <w:iCs/>
                <w:color w:val="0D0D0D" w:themeColor="text1" w:themeTint="F2"/>
                <w:spacing w:val="-4"/>
                <w:sz w:val="16"/>
                <w:szCs w:val="16"/>
                <w:lang w:val="en-GB"/>
              </w:rPr>
              <w:t>per</w:t>
            </w:r>
            <w:r w:rsidR="007D1996">
              <w:rPr>
                <w:rFonts w:cs="Arial"/>
                <w:bCs/>
                <w:iCs/>
                <w:color w:val="0D0D0D" w:themeColor="text1" w:themeTint="F2"/>
                <w:spacing w:val="-4"/>
                <w:sz w:val="16"/>
                <w:szCs w:val="16"/>
                <w:lang w:val="en-GB"/>
              </w:rPr>
              <w:t xml:space="preserve"> one vacancy </w:t>
            </w:r>
            <w:r w:rsidR="005F0867">
              <w:rPr>
                <w:rFonts w:cs="Arial"/>
                <w:bCs/>
                <w:iCs/>
                <w:color w:val="0D0D0D" w:themeColor="text1" w:themeTint="F2"/>
                <w:spacing w:val="-4"/>
                <w:sz w:val="16"/>
                <w:szCs w:val="16"/>
                <w:lang w:val="en-GB"/>
              </w:rPr>
              <w:t>since half of 90s.</w:t>
            </w:r>
            <w:r w:rsidR="0036710C" w:rsidRPr="00D44477">
              <w:rPr>
                <w:rFonts w:cs="Arial"/>
                <w:bCs/>
                <w:iCs/>
                <w:color w:val="0D0D0D" w:themeColor="text1" w:themeTint="F2"/>
                <w:spacing w:val="-4"/>
                <w:sz w:val="16"/>
                <w:szCs w:val="16"/>
                <w:lang w:val="en-GB"/>
              </w:rPr>
              <w:t xml:space="preserve"> </w:t>
            </w:r>
            <w:r w:rsidR="005F0867">
              <w:rPr>
                <w:rFonts w:cs="Arial"/>
                <w:bCs/>
                <w:iCs/>
                <w:color w:val="0D0D0D" w:themeColor="text1" w:themeTint="F2"/>
                <w:spacing w:val="-4"/>
                <w:sz w:val="16"/>
                <w:szCs w:val="16"/>
                <w:lang w:val="en-GB"/>
              </w:rPr>
              <w:t xml:space="preserve">The supply of vacancies </w:t>
            </w:r>
            <w:r w:rsidR="006C0032">
              <w:rPr>
                <w:rFonts w:cs="Arial"/>
                <w:bCs/>
                <w:iCs/>
                <w:color w:val="0D0D0D" w:themeColor="text1" w:themeTint="F2"/>
                <w:spacing w:val="-4"/>
                <w:sz w:val="16"/>
                <w:szCs w:val="16"/>
                <w:lang w:val="en-GB"/>
              </w:rPr>
              <w:t xml:space="preserve">even </w:t>
            </w:r>
            <w:r w:rsidR="005F0867">
              <w:rPr>
                <w:rFonts w:cs="Arial"/>
                <w:bCs/>
                <w:iCs/>
                <w:color w:val="0D0D0D" w:themeColor="text1" w:themeTint="F2"/>
                <w:spacing w:val="-4"/>
                <w:sz w:val="16"/>
                <w:szCs w:val="16"/>
                <w:lang w:val="en-GB"/>
              </w:rPr>
              <w:t xml:space="preserve">exceeded the number of job applicants in </w:t>
            </w:r>
            <w:r w:rsidR="002429CF">
              <w:rPr>
                <w:rFonts w:cs="Arial"/>
                <w:bCs/>
                <w:iCs/>
                <w:color w:val="0D0D0D" w:themeColor="text1" w:themeTint="F2"/>
                <w:spacing w:val="-4"/>
                <w:sz w:val="16"/>
                <w:szCs w:val="16"/>
                <w:lang w:val="en-GB"/>
              </w:rPr>
              <w:t xml:space="preserve">more than one quarter </w:t>
            </w:r>
            <w:r w:rsidR="005F0867">
              <w:rPr>
                <w:rFonts w:cs="Arial"/>
                <w:bCs/>
                <w:iCs/>
                <w:color w:val="0D0D0D" w:themeColor="text1" w:themeTint="F2"/>
                <w:spacing w:val="-4"/>
                <w:sz w:val="16"/>
                <w:szCs w:val="16"/>
                <w:lang w:val="en-GB"/>
              </w:rPr>
              <w:t xml:space="preserve">of </w:t>
            </w:r>
            <w:r w:rsidR="006C26C2">
              <w:rPr>
                <w:rFonts w:cs="Arial"/>
                <w:bCs/>
                <w:iCs/>
                <w:color w:val="0D0D0D" w:themeColor="text1" w:themeTint="F2"/>
                <w:spacing w:val="-4"/>
                <w:sz w:val="16"/>
                <w:szCs w:val="16"/>
                <w:lang w:val="en-GB"/>
              </w:rPr>
              <w:t>district</w:t>
            </w:r>
            <w:r w:rsidR="005F0867">
              <w:rPr>
                <w:rFonts w:cs="Arial"/>
                <w:bCs/>
                <w:iCs/>
                <w:color w:val="0D0D0D" w:themeColor="text1" w:themeTint="F2"/>
                <w:spacing w:val="-4"/>
                <w:sz w:val="16"/>
                <w:szCs w:val="16"/>
                <w:lang w:val="en-GB"/>
              </w:rPr>
              <w:t xml:space="preserve">s. </w:t>
            </w: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Pr="00D44477" w:rsidRDefault="0036710C" w:rsidP="00853C0F">
            <w:pPr>
              <w:spacing w:line="240" w:lineRule="auto"/>
              <w:rPr>
                <w:rFonts w:cs="Arial"/>
                <w:bCs/>
                <w:iCs/>
                <w:color w:val="0D0D0D" w:themeColor="text1" w:themeTint="F2"/>
                <w:spacing w:val="-4"/>
                <w:sz w:val="16"/>
                <w:szCs w:val="16"/>
                <w:lang w:val="en-GB"/>
              </w:rPr>
            </w:pPr>
          </w:p>
          <w:p w:rsidR="0036710C" w:rsidRPr="00D44477" w:rsidRDefault="0036710C" w:rsidP="00853C0F">
            <w:pPr>
              <w:spacing w:line="240" w:lineRule="auto"/>
              <w:rPr>
                <w:rFonts w:cs="Arial"/>
                <w:bCs/>
                <w:iCs/>
                <w:color w:val="0D0D0D" w:themeColor="text1" w:themeTint="F2"/>
                <w:spacing w:val="-4"/>
                <w:sz w:val="16"/>
                <w:szCs w:val="16"/>
                <w:lang w:val="en-GB"/>
              </w:rPr>
            </w:pPr>
          </w:p>
          <w:p w:rsidR="005F0867" w:rsidRDefault="005F0867" w:rsidP="00853C0F">
            <w:pPr>
              <w:spacing w:line="240" w:lineRule="auto"/>
              <w:rPr>
                <w:rFonts w:cs="Arial"/>
                <w:bCs/>
                <w:iCs/>
                <w:color w:val="0D0D0D" w:themeColor="text1" w:themeTint="F2"/>
                <w:spacing w:val="-4"/>
                <w:sz w:val="16"/>
                <w:szCs w:val="16"/>
                <w:lang w:val="en-GB"/>
              </w:rPr>
            </w:pPr>
          </w:p>
          <w:p w:rsidR="005F0867" w:rsidRDefault="005F0867" w:rsidP="00853C0F">
            <w:pPr>
              <w:spacing w:line="240" w:lineRule="auto"/>
              <w:rPr>
                <w:rFonts w:cs="Arial"/>
                <w:bCs/>
                <w:iCs/>
                <w:color w:val="0D0D0D" w:themeColor="text1" w:themeTint="F2"/>
                <w:spacing w:val="-4"/>
                <w:sz w:val="16"/>
                <w:szCs w:val="16"/>
                <w:lang w:val="en-GB"/>
              </w:rPr>
            </w:pPr>
          </w:p>
          <w:p w:rsidR="005F0867" w:rsidRDefault="005F0867" w:rsidP="00853C0F">
            <w:pPr>
              <w:spacing w:line="240" w:lineRule="auto"/>
              <w:rPr>
                <w:rFonts w:cs="Arial"/>
                <w:bCs/>
                <w:iCs/>
                <w:color w:val="0D0D0D" w:themeColor="text1" w:themeTint="F2"/>
                <w:spacing w:val="-4"/>
                <w:sz w:val="16"/>
                <w:szCs w:val="16"/>
                <w:lang w:val="en-GB"/>
              </w:rPr>
            </w:pPr>
          </w:p>
          <w:p w:rsidR="0036710C" w:rsidRPr="00D44477" w:rsidRDefault="005F0867" w:rsidP="00853C0F">
            <w:pPr>
              <w:spacing w:line="240" w:lineRule="auto"/>
              <w:rPr>
                <w:rFonts w:cs="Arial"/>
                <w:bCs/>
                <w:iCs/>
                <w:color w:val="0D0D0D" w:themeColor="text1" w:themeTint="F2"/>
                <w:spacing w:val="-4"/>
                <w:sz w:val="16"/>
                <w:szCs w:val="16"/>
                <w:lang w:val="en-GB"/>
              </w:rPr>
            </w:pPr>
            <w:r>
              <w:rPr>
                <w:rFonts w:cs="Arial"/>
                <w:bCs/>
                <w:iCs/>
                <w:color w:val="0D0D0D" w:themeColor="text1" w:themeTint="F2"/>
                <w:spacing w:val="-4"/>
                <w:sz w:val="16"/>
                <w:szCs w:val="16"/>
                <w:lang w:val="en-GB"/>
              </w:rPr>
              <w:t xml:space="preserve">Nearly three quarters from the year-on-year addition of vacancies consisted of positions with very low </w:t>
            </w:r>
            <w:r w:rsidR="008C4BB5">
              <w:rPr>
                <w:rFonts w:cs="Arial"/>
                <w:bCs/>
                <w:iCs/>
                <w:color w:val="0D0D0D" w:themeColor="text1" w:themeTint="F2"/>
                <w:spacing w:val="-4"/>
                <w:sz w:val="16"/>
                <w:szCs w:val="16"/>
                <w:lang w:val="en-GB"/>
              </w:rPr>
              <w:t>demands for qualification.</w:t>
            </w:r>
          </w:p>
          <w:p w:rsidR="0036710C" w:rsidRPr="00D44477" w:rsidRDefault="0036710C" w:rsidP="00853C0F">
            <w:pPr>
              <w:spacing w:line="240" w:lineRule="auto"/>
              <w:rPr>
                <w:rFonts w:cs="Arial"/>
                <w:bCs/>
                <w:iCs/>
                <w:color w:val="0D0D0D" w:themeColor="text1" w:themeTint="F2"/>
                <w:spacing w:val="-2"/>
                <w:sz w:val="16"/>
                <w:szCs w:val="16"/>
                <w:lang w:val="en-GB"/>
              </w:rPr>
            </w:pPr>
          </w:p>
        </w:tc>
        <w:tc>
          <w:tcPr>
            <w:tcW w:w="144" w:type="pct"/>
          </w:tcPr>
          <w:p w:rsidR="0036710C" w:rsidRPr="00D44477" w:rsidRDefault="0036710C" w:rsidP="00853C0F">
            <w:pPr>
              <w:pStyle w:val="Textpoznpodarou"/>
              <w:jc w:val="both"/>
              <w:rPr>
                <w:rFonts w:cs="Arial"/>
                <w:color w:val="0D0D0D" w:themeColor="text1" w:themeTint="F2"/>
                <w:lang w:val="en-GB"/>
              </w:rPr>
            </w:pPr>
          </w:p>
        </w:tc>
        <w:tc>
          <w:tcPr>
            <w:tcW w:w="3840" w:type="pct"/>
          </w:tcPr>
          <w:p w:rsidR="0036710C" w:rsidRDefault="00D44477" w:rsidP="00853C0F">
            <w:pPr>
              <w:pStyle w:val="Textpoznpodarou"/>
              <w:jc w:val="both"/>
              <w:rPr>
                <w:rFonts w:cs="Arial"/>
                <w:color w:val="0D0D0D" w:themeColor="text1" w:themeTint="F2"/>
                <w:spacing w:val="-4"/>
                <w:lang w:val="en-GB"/>
              </w:rPr>
            </w:pPr>
            <w:r>
              <w:rPr>
                <w:rFonts w:cs="Arial"/>
                <w:color w:val="0D0D0D" w:themeColor="text1" w:themeTint="F2"/>
                <w:spacing w:val="-4"/>
                <w:lang w:val="en-GB"/>
              </w:rPr>
              <w:t xml:space="preserve">General unemployment rate further fell since the beginning of the year and it reached based on the seasonally adjusted data the so far record value in the history of the CR in June 2017: </w:t>
            </w:r>
            <w:r w:rsidR="0036710C" w:rsidRPr="00D44477">
              <w:rPr>
                <w:rFonts w:cs="Arial"/>
                <w:color w:val="0D0D0D" w:themeColor="text1" w:themeTint="F2"/>
                <w:spacing w:val="-4"/>
                <w:lang w:val="en-GB"/>
              </w:rPr>
              <w:t>2</w:t>
            </w:r>
            <w:r>
              <w:rPr>
                <w:rFonts w:cs="Arial"/>
                <w:color w:val="0D0D0D" w:themeColor="text1" w:themeTint="F2"/>
                <w:spacing w:val="-4"/>
                <w:lang w:val="en-GB"/>
              </w:rPr>
              <w:t>.</w:t>
            </w:r>
            <w:r w:rsidR="0036710C" w:rsidRPr="00D44477">
              <w:rPr>
                <w:rFonts w:cs="Arial"/>
                <w:color w:val="0D0D0D" w:themeColor="text1" w:themeTint="F2"/>
                <w:spacing w:val="-4"/>
                <w:lang w:val="en-GB"/>
              </w:rPr>
              <w:t>4</w:t>
            </w:r>
            <w:r w:rsidR="00954C8E">
              <w:rPr>
                <w:rFonts w:cs="Arial"/>
                <w:color w:val="0D0D0D" w:themeColor="text1" w:themeTint="F2"/>
                <w:spacing w:val="-4"/>
                <w:lang w:val="en-GB"/>
              </w:rPr>
              <w:t>%</w:t>
            </w:r>
            <w:r w:rsidR="0036710C" w:rsidRPr="00D44477">
              <w:rPr>
                <w:rFonts w:cs="Arial"/>
                <w:color w:val="0D0D0D" w:themeColor="text1" w:themeTint="F2"/>
                <w:spacing w:val="-4"/>
                <w:lang w:val="en-GB"/>
              </w:rPr>
              <w:t xml:space="preserve"> (</w:t>
            </w:r>
            <w:r>
              <w:rPr>
                <w:rFonts w:cs="Arial"/>
                <w:color w:val="0D0D0D" w:themeColor="text1" w:themeTint="F2"/>
                <w:spacing w:val="-4"/>
                <w:lang w:val="en-GB"/>
              </w:rPr>
              <w:t>for males</w:t>
            </w:r>
            <w:r w:rsidR="0036710C" w:rsidRPr="00D44477">
              <w:rPr>
                <w:rFonts w:cs="Arial"/>
                <w:color w:val="0D0D0D" w:themeColor="text1" w:themeTint="F2"/>
                <w:spacing w:val="-4"/>
                <w:lang w:val="en-GB"/>
              </w:rPr>
              <w:t>), resp. 3</w:t>
            </w:r>
            <w:r>
              <w:rPr>
                <w:rFonts w:cs="Arial"/>
                <w:color w:val="0D0D0D" w:themeColor="text1" w:themeTint="F2"/>
                <w:spacing w:val="-4"/>
                <w:lang w:val="en-GB"/>
              </w:rPr>
              <w:t>.</w:t>
            </w:r>
            <w:r w:rsidR="0036710C" w:rsidRPr="00D44477">
              <w:rPr>
                <w:rFonts w:cs="Arial"/>
                <w:color w:val="0D0D0D" w:themeColor="text1" w:themeTint="F2"/>
                <w:spacing w:val="-4"/>
                <w:lang w:val="en-GB"/>
              </w:rPr>
              <w:t>5</w:t>
            </w:r>
            <w:r w:rsidR="00954C8E">
              <w:rPr>
                <w:rFonts w:cs="Arial"/>
                <w:color w:val="0D0D0D" w:themeColor="text1" w:themeTint="F2"/>
                <w:spacing w:val="-4"/>
                <w:lang w:val="en-GB"/>
              </w:rPr>
              <w:t>%</w:t>
            </w:r>
            <w:r w:rsidR="0036710C" w:rsidRPr="00D44477">
              <w:rPr>
                <w:rFonts w:cs="Arial"/>
                <w:color w:val="0D0D0D" w:themeColor="text1" w:themeTint="F2"/>
                <w:spacing w:val="-4"/>
                <w:lang w:val="en-GB"/>
              </w:rPr>
              <w:t xml:space="preserve"> (</w:t>
            </w:r>
            <w:r>
              <w:rPr>
                <w:rFonts w:cs="Arial"/>
                <w:color w:val="0D0D0D" w:themeColor="text1" w:themeTint="F2"/>
                <w:spacing w:val="-4"/>
                <w:lang w:val="en-GB"/>
              </w:rPr>
              <w:t>for females</w:t>
            </w:r>
            <w:r w:rsidR="0036710C" w:rsidRPr="00D44477">
              <w:rPr>
                <w:rFonts w:cs="Arial"/>
                <w:color w:val="0D0D0D" w:themeColor="text1" w:themeTint="F2"/>
                <w:spacing w:val="-4"/>
                <w:lang w:val="en-GB"/>
              </w:rPr>
              <w:t xml:space="preserve">). </w:t>
            </w:r>
            <w:r w:rsidR="008D04F8">
              <w:rPr>
                <w:rFonts w:cs="Arial"/>
                <w:color w:val="0D0D0D" w:themeColor="text1" w:themeTint="F2"/>
                <w:spacing w:val="-4"/>
                <w:lang w:val="en-GB"/>
              </w:rPr>
              <w:t>The number of all unemploye</w:t>
            </w:r>
            <w:r w:rsidR="00CD78B7">
              <w:rPr>
                <w:rFonts w:cs="Arial"/>
                <w:color w:val="0D0D0D" w:themeColor="text1" w:themeTint="F2"/>
                <w:spacing w:val="-4"/>
                <w:lang w:val="en-GB"/>
              </w:rPr>
              <w:t>d</w:t>
            </w:r>
            <w:r w:rsidR="008D04F8">
              <w:rPr>
                <w:rFonts w:cs="Arial"/>
                <w:color w:val="0D0D0D" w:themeColor="text1" w:themeTint="F2"/>
                <w:spacing w:val="-4"/>
                <w:lang w:val="en-GB"/>
              </w:rPr>
              <w:t xml:space="preserve"> decreased by nearly one quarter year-on-year and it amounted to 159 thousand persons in Q2. This positive development was associated this year (similarly to last year) with the reduction of the number of unemployed, who were out of job for more than 1 year. Their levels shrank by one third compared to Q2 2016 (by 32 thousand persons in absolute terms). </w:t>
            </w:r>
            <w:r w:rsidR="005562DC">
              <w:rPr>
                <w:rFonts w:cs="Arial"/>
                <w:color w:val="0D0D0D" w:themeColor="text1" w:themeTint="F2"/>
                <w:spacing w:val="-4"/>
                <w:lang w:val="en-GB"/>
              </w:rPr>
              <w:t xml:space="preserve">The unemployment rate fell in all main education </w:t>
            </w:r>
            <w:r w:rsidR="008C4BB5">
              <w:rPr>
                <w:rFonts w:cs="Arial"/>
                <w:color w:val="0D0D0D" w:themeColor="text1" w:themeTint="F2"/>
                <w:spacing w:val="-4"/>
                <w:lang w:val="en-GB"/>
              </w:rPr>
              <w:t>groups</w:t>
            </w:r>
            <w:r w:rsidR="005562DC">
              <w:rPr>
                <w:rFonts w:cs="Arial"/>
                <w:color w:val="0D0D0D" w:themeColor="text1" w:themeTint="F2"/>
                <w:spacing w:val="-4"/>
                <w:lang w:val="en-GB"/>
              </w:rPr>
              <w:t xml:space="preserve">. The situation improved markedly </w:t>
            </w:r>
            <w:r w:rsidR="00A6666A">
              <w:rPr>
                <w:rFonts w:cs="Arial"/>
                <w:color w:val="0D0D0D" w:themeColor="text1" w:themeTint="F2"/>
                <w:spacing w:val="-4"/>
                <w:lang w:val="en-GB"/>
              </w:rPr>
              <w:t>in the</w:t>
            </w:r>
            <w:r w:rsidR="00C83CF4">
              <w:rPr>
                <w:rFonts w:cs="Arial"/>
                <w:color w:val="0D0D0D" w:themeColor="text1" w:themeTint="F2"/>
                <w:spacing w:val="-4"/>
                <w:lang w:val="en-GB"/>
              </w:rPr>
              <w:t xml:space="preserve"> </w:t>
            </w:r>
            <w:r w:rsidR="00A6666A">
              <w:rPr>
                <w:rFonts w:cs="Arial"/>
                <w:color w:val="0D0D0D" w:themeColor="text1" w:themeTint="F2"/>
                <w:spacing w:val="-4"/>
                <w:lang w:val="en-GB"/>
              </w:rPr>
              <w:t xml:space="preserve">small, but generally disadvantaged group of persons with the </w:t>
            </w:r>
            <w:r w:rsidR="00AD75F9">
              <w:rPr>
                <w:rFonts w:cs="Arial"/>
                <w:color w:val="0D0D0D" w:themeColor="text1" w:themeTint="F2"/>
                <w:spacing w:val="-4"/>
                <w:lang w:val="en-GB"/>
              </w:rPr>
              <w:t xml:space="preserve">primary </w:t>
            </w:r>
            <w:r w:rsidR="00A6666A">
              <w:rPr>
                <w:rFonts w:cs="Arial"/>
                <w:color w:val="0D0D0D" w:themeColor="text1" w:themeTint="F2"/>
                <w:spacing w:val="-4"/>
                <w:lang w:val="en-GB"/>
              </w:rPr>
              <w:t>education at most</w:t>
            </w:r>
            <w:r w:rsidR="0036710C" w:rsidRPr="00D44477">
              <w:rPr>
                <w:rStyle w:val="Znakapoznpodarou"/>
                <w:color w:val="0D0D0D" w:themeColor="text1" w:themeTint="F2"/>
                <w:spacing w:val="-4"/>
                <w:lang w:val="en-GB"/>
              </w:rPr>
              <w:footnoteReference w:id="24"/>
            </w:r>
            <w:r w:rsidR="0036710C" w:rsidRPr="00D44477">
              <w:rPr>
                <w:rFonts w:cs="Arial"/>
                <w:color w:val="0D0D0D" w:themeColor="text1" w:themeTint="F2"/>
                <w:spacing w:val="-4"/>
                <w:lang w:val="en-GB"/>
              </w:rPr>
              <w:t xml:space="preserve">. </w:t>
            </w:r>
            <w:r w:rsidR="00C83CF4">
              <w:rPr>
                <w:rFonts w:cs="Arial"/>
                <w:color w:val="0D0D0D" w:themeColor="text1" w:themeTint="F2"/>
                <w:spacing w:val="-4"/>
                <w:lang w:val="en-GB"/>
              </w:rPr>
              <w:t xml:space="preserve">The reduction of the unemployment was accompanied by the constantly expanding supply of job vacancies. Their number in the evidence of the </w:t>
            </w:r>
            <w:r w:rsidR="00125F07">
              <w:rPr>
                <w:rFonts w:cs="Arial"/>
                <w:color w:val="0D0D0D" w:themeColor="text1" w:themeTint="F2"/>
                <w:spacing w:val="-4"/>
                <w:lang w:val="en-GB"/>
              </w:rPr>
              <w:t>labour offices (L</w:t>
            </w:r>
            <w:r w:rsidR="00C83CF4">
              <w:rPr>
                <w:rFonts w:cs="Arial"/>
                <w:color w:val="0D0D0D" w:themeColor="text1" w:themeTint="F2"/>
                <w:spacing w:val="-4"/>
                <w:lang w:val="en-GB"/>
              </w:rPr>
              <w:t>O) markedly accelerated at the beginning of the year. This year´s increase of job vacancies was the highest within the fi</w:t>
            </w:r>
            <w:r w:rsidR="008C4BB5">
              <w:rPr>
                <w:rFonts w:cs="Arial"/>
                <w:color w:val="0D0D0D" w:themeColor="text1" w:themeTint="F2"/>
                <w:spacing w:val="-4"/>
                <w:lang w:val="en-GB"/>
              </w:rPr>
              <w:t>r</w:t>
            </w:r>
            <w:r w:rsidR="00C83CF4">
              <w:rPr>
                <w:rFonts w:cs="Arial"/>
                <w:color w:val="0D0D0D" w:themeColor="text1" w:themeTint="F2"/>
                <w:spacing w:val="-4"/>
                <w:lang w:val="en-GB"/>
              </w:rPr>
              <w:t xml:space="preserve">st half-years since the start of monitoring. The supply contained 183.5 thousand job vacancies at the end of June. Thus, there were 1.6 job applicants per one vacancy, the least since the half of 90s. The chance for employment nearly doubled on average year-on-year. The supply of vacancies even overtook the number of registered job applicants in more than one quarter of </w:t>
            </w:r>
            <w:r w:rsidR="006C26C2">
              <w:rPr>
                <w:rFonts w:cs="Arial"/>
                <w:color w:val="0D0D0D" w:themeColor="text1" w:themeTint="F2"/>
                <w:spacing w:val="-4"/>
                <w:lang w:val="en-GB"/>
              </w:rPr>
              <w:t>district</w:t>
            </w:r>
            <w:r w:rsidR="00C83CF4">
              <w:rPr>
                <w:rFonts w:cs="Arial"/>
                <w:color w:val="0D0D0D" w:themeColor="text1" w:themeTint="F2"/>
                <w:spacing w:val="-4"/>
                <w:lang w:val="en-GB"/>
              </w:rPr>
              <w:t xml:space="preserve">s. On the contrary, more than three job </w:t>
            </w:r>
            <w:r w:rsidR="001354EE">
              <w:rPr>
                <w:rFonts w:cs="Arial"/>
                <w:color w:val="0D0D0D" w:themeColor="text1" w:themeTint="F2"/>
                <w:spacing w:val="-4"/>
                <w:lang w:val="en-GB"/>
              </w:rPr>
              <w:t>a</w:t>
            </w:r>
            <w:r w:rsidR="00C83CF4">
              <w:rPr>
                <w:rFonts w:cs="Arial"/>
                <w:color w:val="0D0D0D" w:themeColor="text1" w:themeTint="F2"/>
                <w:spacing w:val="-4"/>
                <w:lang w:val="en-GB"/>
              </w:rPr>
              <w:t>pp</w:t>
            </w:r>
            <w:r w:rsidR="001354EE">
              <w:rPr>
                <w:rFonts w:cs="Arial"/>
                <w:color w:val="0D0D0D" w:themeColor="text1" w:themeTint="F2"/>
                <w:spacing w:val="-4"/>
                <w:lang w:val="en-GB"/>
              </w:rPr>
              <w:t>licants</w:t>
            </w:r>
            <w:r w:rsidR="00C83CF4">
              <w:rPr>
                <w:rFonts w:cs="Arial"/>
                <w:color w:val="0D0D0D" w:themeColor="text1" w:themeTint="F2"/>
                <w:spacing w:val="-4"/>
                <w:lang w:val="en-GB"/>
              </w:rPr>
              <w:t xml:space="preserve"> pertained to one vacancy only in twelve </w:t>
            </w:r>
            <w:r w:rsidR="006C26C2">
              <w:rPr>
                <w:rFonts w:cs="Arial"/>
                <w:color w:val="0D0D0D" w:themeColor="text1" w:themeTint="F2"/>
                <w:spacing w:val="-4"/>
                <w:lang w:val="en-GB"/>
              </w:rPr>
              <w:t xml:space="preserve">districts (form all 77 districts) – mainly </w:t>
            </w:r>
            <w:r w:rsidR="001354EE">
              <w:rPr>
                <w:rFonts w:cs="Arial"/>
                <w:color w:val="0D0D0D" w:themeColor="text1" w:themeTint="F2"/>
                <w:spacing w:val="-4"/>
                <w:lang w:val="en-GB"/>
              </w:rPr>
              <w:t xml:space="preserve">in </w:t>
            </w:r>
            <w:r w:rsidR="00125F07">
              <w:rPr>
                <w:rFonts w:cs="Arial"/>
                <w:color w:val="0D0D0D" w:themeColor="text1" w:themeTint="F2"/>
                <w:spacing w:val="-4"/>
                <w:lang w:val="en-GB"/>
              </w:rPr>
              <w:t xml:space="preserve">the </w:t>
            </w:r>
            <w:proofErr w:type="spellStart"/>
            <w:r w:rsidR="001354EE">
              <w:rPr>
                <w:rFonts w:cs="Arial"/>
                <w:color w:val="0D0D0D" w:themeColor="text1" w:themeTint="F2"/>
                <w:spacing w:val="-4"/>
                <w:lang w:val="en-GB"/>
              </w:rPr>
              <w:t>Ustecky</w:t>
            </w:r>
            <w:proofErr w:type="spellEnd"/>
            <w:r w:rsidR="001354EE">
              <w:rPr>
                <w:rFonts w:cs="Arial"/>
                <w:color w:val="0D0D0D" w:themeColor="text1" w:themeTint="F2"/>
                <w:spacing w:val="-4"/>
                <w:lang w:val="en-GB"/>
              </w:rPr>
              <w:t xml:space="preserve"> and </w:t>
            </w:r>
            <w:r w:rsidR="008C4BB5">
              <w:rPr>
                <w:rFonts w:cs="Arial"/>
                <w:color w:val="0D0D0D"/>
                <w:spacing w:val="-4"/>
                <w:lang w:val="en-GB"/>
              </w:rPr>
              <w:t xml:space="preserve">Moravian-Silesian </w:t>
            </w:r>
            <w:r w:rsidR="001354EE">
              <w:rPr>
                <w:rFonts w:cs="Arial"/>
                <w:color w:val="0D0D0D" w:themeColor="text1" w:themeTint="F2"/>
                <w:spacing w:val="-4"/>
                <w:lang w:val="en-GB"/>
              </w:rPr>
              <w:t>region</w:t>
            </w:r>
            <w:r w:rsidR="0036710C" w:rsidRPr="00D44477">
              <w:rPr>
                <w:rFonts w:cs="Arial"/>
                <w:color w:val="0D0D0D" w:themeColor="text1" w:themeTint="F2"/>
                <w:spacing w:val="-4"/>
                <w:lang w:val="en-GB"/>
              </w:rPr>
              <w:t xml:space="preserve">. </w:t>
            </w:r>
            <w:r w:rsidR="00F96648">
              <w:rPr>
                <w:rFonts w:cs="Arial"/>
                <w:color w:val="0D0D0D" w:themeColor="text1" w:themeTint="F2"/>
                <w:spacing w:val="-4"/>
                <w:lang w:val="en-GB"/>
              </w:rPr>
              <w:t xml:space="preserve">Nearly three quarters of the year-on-year addition to vacancies (50 thousand) included jobs with a minimum qualification (where the </w:t>
            </w:r>
            <w:r w:rsidR="00AD75F9">
              <w:rPr>
                <w:rFonts w:cs="Arial"/>
                <w:color w:val="0D0D0D" w:themeColor="text1" w:themeTint="F2"/>
                <w:spacing w:val="-4"/>
                <w:lang w:val="en-GB"/>
              </w:rPr>
              <w:t>primary</w:t>
            </w:r>
            <w:r w:rsidR="00F96648">
              <w:rPr>
                <w:rFonts w:cs="Arial"/>
                <w:color w:val="0D0D0D" w:themeColor="text1" w:themeTint="F2"/>
                <w:spacing w:val="-4"/>
                <w:lang w:val="en-GB"/>
              </w:rPr>
              <w:t xml:space="preserve"> education was adequate). They </w:t>
            </w:r>
            <w:r w:rsidR="006162F6">
              <w:rPr>
                <w:rFonts w:cs="Arial"/>
                <w:color w:val="0D0D0D" w:themeColor="text1" w:themeTint="F2"/>
                <w:spacing w:val="-4"/>
                <w:lang w:val="en-GB"/>
              </w:rPr>
              <w:t xml:space="preserve">constituted already slightly more than one half of the total number of job vacancies in June 2017. It remained valid, that the qualified manual works found employment the easiest </w:t>
            </w:r>
            <w:r w:rsidR="00AD75F9">
              <w:rPr>
                <w:rFonts w:cs="Arial"/>
                <w:color w:val="0D0D0D" w:themeColor="text1" w:themeTint="F2"/>
                <w:spacing w:val="-4"/>
                <w:lang w:val="en-GB"/>
              </w:rPr>
              <w:t>–</w:t>
            </w:r>
            <w:r w:rsidR="006162F6">
              <w:rPr>
                <w:rFonts w:cs="Arial"/>
                <w:color w:val="0D0D0D" w:themeColor="text1" w:themeTint="F2"/>
                <w:spacing w:val="-4"/>
                <w:lang w:val="en-GB"/>
              </w:rPr>
              <w:t xml:space="preserve"> </w:t>
            </w:r>
            <w:r w:rsidR="00AD75F9">
              <w:rPr>
                <w:rFonts w:cs="Arial"/>
                <w:color w:val="0D0D0D" w:themeColor="text1" w:themeTint="F2"/>
                <w:spacing w:val="-4"/>
                <w:lang w:val="en-GB"/>
              </w:rPr>
              <w:t xml:space="preserve">craft and repairmen and assemblers and </w:t>
            </w:r>
            <w:r w:rsidR="00AD75F9">
              <w:rPr>
                <w:lang w:val="en-GB"/>
              </w:rPr>
              <w:t>machine and equipment operators</w:t>
            </w:r>
            <w:r w:rsidR="00AD75F9">
              <w:rPr>
                <w:rFonts w:cs="Arial"/>
                <w:color w:val="0D0D0D" w:themeColor="text1" w:themeTint="F2"/>
                <w:spacing w:val="-4"/>
                <w:lang w:val="en-GB"/>
              </w:rPr>
              <w:t xml:space="preserve"> </w:t>
            </w:r>
            <w:r w:rsidR="0036710C" w:rsidRPr="00D44477">
              <w:rPr>
                <w:rFonts w:cs="Arial"/>
                <w:color w:val="0D0D0D" w:themeColor="text1" w:themeTint="F2"/>
                <w:spacing w:val="-4"/>
                <w:lang w:val="en-GB"/>
              </w:rPr>
              <w:t xml:space="preserve">– </w:t>
            </w:r>
            <w:r w:rsidR="00A8775C">
              <w:rPr>
                <w:rFonts w:cs="Arial"/>
                <w:color w:val="0D0D0D" w:themeColor="text1" w:themeTint="F2"/>
                <w:spacing w:val="-4"/>
                <w:lang w:val="en-GB"/>
              </w:rPr>
              <w:t xml:space="preserve">where already the supply of jobs exceeded the demand. On the contrary, for job applicants </w:t>
            </w:r>
            <w:r w:rsidR="00A8775C">
              <w:rPr>
                <w:rFonts w:cs="Arial"/>
                <w:color w:val="0D0D0D" w:themeColor="text1" w:themeTint="F2"/>
                <w:spacing w:val="-4"/>
                <w:lang w:val="en-GB"/>
              </w:rPr>
              <w:lastRenderedPageBreak/>
              <w:t xml:space="preserve">with the </w:t>
            </w:r>
            <w:r w:rsidR="00EC398B">
              <w:rPr>
                <w:rFonts w:cs="Arial"/>
                <w:color w:val="0D0D0D" w:themeColor="text1" w:themeTint="F2"/>
                <w:spacing w:val="-4"/>
                <w:lang w:val="en-GB"/>
              </w:rPr>
              <w:t>tertiary</w:t>
            </w:r>
            <w:r w:rsidR="00A8775C">
              <w:rPr>
                <w:rFonts w:cs="Arial"/>
                <w:color w:val="0D0D0D" w:themeColor="text1" w:themeTint="F2"/>
                <w:spacing w:val="-4"/>
                <w:lang w:val="en-GB"/>
              </w:rPr>
              <w:t xml:space="preserve"> education only 9.1 thousand vacancies </w:t>
            </w:r>
            <w:r w:rsidR="00AD75F9">
              <w:rPr>
                <w:rFonts w:cs="Arial"/>
                <w:color w:val="0D0D0D" w:themeColor="text1" w:themeTint="F2"/>
                <w:spacing w:val="-4"/>
                <w:lang w:val="en-GB"/>
              </w:rPr>
              <w:t>were</w:t>
            </w:r>
            <w:r w:rsidR="00A8775C">
              <w:rPr>
                <w:rFonts w:cs="Arial"/>
                <w:color w:val="0D0D0D" w:themeColor="text1" w:themeTint="F2"/>
                <w:spacing w:val="-4"/>
                <w:lang w:val="en-GB"/>
              </w:rPr>
              <w:t xml:space="preserve"> available from the supply of </w:t>
            </w:r>
            <w:r w:rsidR="00AD75F9">
              <w:rPr>
                <w:rFonts w:cs="Arial"/>
                <w:color w:val="0D0D0D" w:themeColor="text1" w:themeTint="F2"/>
                <w:spacing w:val="-4"/>
                <w:lang w:val="en-GB"/>
              </w:rPr>
              <w:t>L</w:t>
            </w:r>
            <w:r w:rsidR="00A8775C">
              <w:rPr>
                <w:rFonts w:cs="Arial"/>
                <w:color w:val="0D0D0D" w:themeColor="text1" w:themeTint="F2"/>
                <w:spacing w:val="-4"/>
                <w:lang w:val="en-GB"/>
              </w:rPr>
              <w:t>O. The number of these positions increased only by 2.5 thousand compared to last year´s June.</w:t>
            </w:r>
            <w:r w:rsidR="0036710C" w:rsidRPr="00D44477">
              <w:rPr>
                <w:rFonts w:cs="Arial"/>
                <w:color w:val="0D0D0D" w:themeColor="text1" w:themeTint="F2"/>
                <w:spacing w:val="-4"/>
                <w:lang w:val="en-GB"/>
              </w:rPr>
              <w:t xml:space="preserve"> </w:t>
            </w:r>
          </w:p>
          <w:p w:rsidR="00EC398B" w:rsidRPr="00D44477" w:rsidRDefault="00EC398B" w:rsidP="00853C0F">
            <w:pPr>
              <w:pStyle w:val="Textpoznpodarou"/>
              <w:jc w:val="both"/>
              <w:rPr>
                <w:rFonts w:cs="Arial"/>
                <w:color w:val="0D0D0D" w:themeColor="text1" w:themeTint="F2"/>
                <w:spacing w:val="-4"/>
                <w:lang w:val="en-GB"/>
              </w:rPr>
            </w:pPr>
          </w:p>
        </w:tc>
      </w:tr>
      <w:tr w:rsidR="0036710C" w:rsidRPr="0094422D" w:rsidTr="00853C0F">
        <w:trPr>
          <w:trHeight w:val="145"/>
        </w:trPr>
        <w:tc>
          <w:tcPr>
            <w:tcW w:w="1016" w:type="pct"/>
            <w:shd w:val="clear" w:color="auto" w:fill="auto"/>
          </w:tcPr>
          <w:p w:rsidR="0036710C" w:rsidRPr="00D02B7C" w:rsidRDefault="0036710C" w:rsidP="00853C0F">
            <w:pPr>
              <w:spacing w:line="240" w:lineRule="auto"/>
              <w:rPr>
                <w:rFonts w:cs="Arial"/>
                <w:bCs/>
                <w:iCs/>
                <w:color w:val="0D0D0D" w:themeColor="text1" w:themeTint="F2"/>
                <w:sz w:val="16"/>
                <w:szCs w:val="16"/>
              </w:rPr>
            </w:pPr>
          </w:p>
        </w:tc>
        <w:tc>
          <w:tcPr>
            <w:tcW w:w="144" w:type="pct"/>
          </w:tcPr>
          <w:p w:rsidR="0036710C" w:rsidRPr="00A90EFD" w:rsidRDefault="0036710C" w:rsidP="00853C0F">
            <w:pPr>
              <w:pStyle w:val="Textpoznpodarou"/>
              <w:jc w:val="both"/>
              <w:rPr>
                <w:rFonts w:cs="Arial"/>
                <w:color w:val="0D0D0D" w:themeColor="text1" w:themeTint="F2"/>
              </w:rPr>
            </w:pPr>
          </w:p>
        </w:tc>
        <w:tc>
          <w:tcPr>
            <w:tcW w:w="3840" w:type="pct"/>
          </w:tcPr>
          <w:p w:rsidR="0036710C" w:rsidRPr="004D2BFB" w:rsidRDefault="004D2BFB" w:rsidP="00EC398B">
            <w:pPr>
              <w:pStyle w:val="Textpoznpodarou"/>
              <w:jc w:val="both"/>
              <w:rPr>
                <w:rFonts w:cs="Arial"/>
                <w:color w:val="0D0D0D" w:themeColor="text1" w:themeTint="F2"/>
                <w:spacing w:val="-2"/>
                <w:lang w:val="en-GB"/>
              </w:rPr>
            </w:pPr>
            <w:r w:rsidRPr="004D2BFB">
              <w:rPr>
                <w:rFonts w:cs="Arial"/>
                <w:color w:val="0D0D0D" w:themeColor="text1" w:themeTint="F2"/>
                <w:spacing w:val="-4"/>
                <w:lang w:val="en-GB"/>
              </w:rPr>
              <w:t>Continuing fall of unemployment further reduced the sources of the usable labour force. The number of economically inactive person</w:t>
            </w:r>
            <w:r w:rsidR="00AD75F9">
              <w:rPr>
                <w:rFonts w:cs="Arial"/>
                <w:color w:val="0D0D0D" w:themeColor="text1" w:themeTint="F2"/>
                <w:spacing w:val="-4"/>
                <w:lang w:val="en-GB"/>
              </w:rPr>
              <w:t>s</w:t>
            </w:r>
            <w:r w:rsidR="00EC398B">
              <w:rPr>
                <w:rFonts w:cs="Arial"/>
                <w:color w:val="0D0D0D" w:themeColor="text1" w:themeTint="F2"/>
                <w:spacing w:val="-4"/>
                <w:lang w:val="en-GB"/>
              </w:rPr>
              <w:t>,</w:t>
            </w:r>
            <w:r w:rsidRPr="004D2BFB">
              <w:rPr>
                <w:rFonts w:cs="Arial"/>
                <w:color w:val="0D0D0D" w:themeColor="text1" w:themeTint="F2"/>
                <w:spacing w:val="-4"/>
                <w:lang w:val="en-GB"/>
              </w:rPr>
              <w:t xml:space="preserve"> who</w:t>
            </w:r>
            <w:r w:rsidR="00AD75F9">
              <w:rPr>
                <w:rFonts w:cs="Arial"/>
                <w:color w:val="0D0D0D" w:themeColor="text1" w:themeTint="F2"/>
                <w:spacing w:val="-4"/>
                <w:lang w:val="en-GB"/>
              </w:rPr>
              <w:t xml:space="preserve"> stated that they want to work, however </w:t>
            </w:r>
            <w:proofErr w:type="gramStart"/>
            <w:r w:rsidR="00AD75F9">
              <w:rPr>
                <w:rFonts w:cs="Arial"/>
                <w:color w:val="0D0D0D" w:themeColor="text1" w:themeTint="F2"/>
                <w:spacing w:val="-4"/>
                <w:lang w:val="en-GB"/>
              </w:rPr>
              <w:t>were</w:t>
            </w:r>
            <w:proofErr w:type="gramEnd"/>
            <w:r w:rsidR="00AD75F9">
              <w:rPr>
                <w:rFonts w:cs="Arial"/>
                <w:color w:val="0D0D0D" w:themeColor="text1" w:themeTint="F2"/>
                <w:spacing w:val="-4"/>
                <w:lang w:val="en-GB"/>
              </w:rPr>
              <w:t xml:space="preserve"> not actively seeking a </w:t>
            </w:r>
            <w:r w:rsidR="00C92E80">
              <w:rPr>
                <w:rFonts w:cs="Arial"/>
                <w:color w:val="0D0D0D" w:themeColor="text1" w:themeTint="F2"/>
                <w:spacing w:val="-4"/>
                <w:lang w:val="en-GB"/>
              </w:rPr>
              <w:t>job</w:t>
            </w:r>
            <w:r w:rsidR="00C92E80" w:rsidRPr="004D2BFB">
              <w:rPr>
                <w:rFonts w:cs="Arial"/>
                <w:color w:val="0D0D0D" w:themeColor="text1" w:themeTint="F2"/>
                <w:spacing w:val="-4"/>
                <w:lang w:val="en-GB"/>
              </w:rPr>
              <w:t xml:space="preserve"> </w:t>
            </w:r>
            <w:r w:rsidR="00EC398B">
              <w:rPr>
                <w:rFonts w:cs="Arial"/>
                <w:color w:val="0D0D0D" w:themeColor="text1" w:themeTint="F2"/>
                <w:spacing w:val="-4"/>
                <w:lang w:val="en-GB"/>
              </w:rPr>
              <w:t>also decreased year-on-year</w:t>
            </w:r>
            <w:r w:rsidR="00EC398B" w:rsidRPr="004D2BFB">
              <w:rPr>
                <w:rFonts w:cs="Arial"/>
                <w:color w:val="0D0D0D" w:themeColor="text1" w:themeTint="F2"/>
                <w:spacing w:val="-4"/>
                <w:lang w:val="en-GB"/>
              </w:rPr>
              <w:t xml:space="preserve"> </w:t>
            </w:r>
            <w:r w:rsidR="00C92E80" w:rsidRPr="004D2BFB">
              <w:rPr>
                <w:rFonts w:cs="Arial"/>
                <w:color w:val="0D0D0D" w:themeColor="text1" w:themeTint="F2"/>
                <w:spacing w:val="-4"/>
                <w:lang w:val="en-GB"/>
              </w:rPr>
              <w:t>(</w:t>
            </w:r>
            <w:r w:rsidR="00EF416C">
              <w:rPr>
                <w:rFonts w:cs="Arial"/>
                <w:color w:val="0D0D0D" w:themeColor="text1" w:themeTint="F2"/>
                <w:spacing w:val="-4"/>
                <w:lang w:val="en-GB"/>
              </w:rPr>
              <w:t xml:space="preserve">to </w:t>
            </w:r>
            <w:r w:rsidR="0036710C" w:rsidRPr="004D2BFB">
              <w:rPr>
                <w:rFonts w:cs="Arial"/>
                <w:color w:val="0D0D0D" w:themeColor="text1" w:themeTint="F2"/>
                <w:spacing w:val="-4"/>
                <w:lang w:val="en-GB"/>
              </w:rPr>
              <w:t>120 t</w:t>
            </w:r>
            <w:r w:rsidR="00EF416C">
              <w:rPr>
                <w:rFonts w:cs="Arial"/>
                <w:color w:val="0D0D0D" w:themeColor="text1" w:themeTint="F2"/>
                <w:spacing w:val="-4"/>
                <w:lang w:val="en-GB"/>
              </w:rPr>
              <w:t>housand persons in Q2</w:t>
            </w:r>
            <w:r w:rsidR="0036710C" w:rsidRPr="004D2BFB">
              <w:rPr>
                <w:rFonts w:cs="Arial"/>
                <w:color w:val="0D0D0D" w:themeColor="text1" w:themeTint="F2"/>
                <w:spacing w:val="-4"/>
                <w:lang w:val="en-GB"/>
              </w:rPr>
              <w:t>)</w:t>
            </w:r>
            <w:r w:rsidR="0036710C" w:rsidRPr="004D2BFB">
              <w:rPr>
                <w:rStyle w:val="Znakapoznpodarou"/>
                <w:color w:val="0D0D0D" w:themeColor="text1" w:themeTint="F2"/>
                <w:spacing w:val="-4"/>
                <w:lang w:val="en-GB"/>
              </w:rPr>
              <w:footnoteReference w:id="25"/>
            </w:r>
            <w:r w:rsidR="0036710C" w:rsidRPr="004D2BFB">
              <w:rPr>
                <w:rFonts w:cs="Arial"/>
                <w:color w:val="0D0D0D" w:themeColor="text1" w:themeTint="F2"/>
                <w:spacing w:val="-4"/>
                <w:lang w:val="en-GB"/>
              </w:rPr>
              <w:t xml:space="preserve">. </w:t>
            </w:r>
            <w:r w:rsidR="00C64620">
              <w:rPr>
                <w:rFonts w:cs="Arial"/>
                <w:color w:val="0D0D0D" w:themeColor="text1" w:themeTint="F2"/>
                <w:spacing w:val="-4"/>
                <w:lang w:val="en-GB"/>
              </w:rPr>
              <w:t xml:space="preserve">The businesses thus had to solve their need for further human </w:t>
            </w:r>
            <w:r w:rsidR="00F863B7">
              <w:rPr>
                <w:rFonts w:cs="Arial"/>
                <w:color w:val="0D0D0D" w:themeColor="text1" w:themeTint="F2"/>
                <w:spacing w:val="-4"/>
                <w:lang w:val="en-GB"/>
              </w:rPr>
              <w:t>resources</w:t>
            </w:r>
            <w:r w:rsidR="00C64620">
              <w:rPr>
                <w:rFonts w:cs="Arial"/>
                <w:color w:val="0D0D0D" w:themeColor="text1" w:themeTint="F2"/>
                <w:spacing w:val="-4"/>
                <w:lang w:val="en-GB"/>
              </w:rPr>
              <w:t xml:space="preserve"> by headhunting </w:t>
            </w:r>
            <w:r w:rsidR="00F863B7">
              <w:rPr>
                <w:rFonts w:cs="Arial"/>
                <w:color w:val="0D0D0D" w:themeColor="text1" w:themeTint="F2"/>
                <w:spacing w:val="-4"/>
                <w:lang w:val="en-GB"/>
              </w:rPr>
              <w:t xml:space="preserve">current employees on the labour market </w:t>
            </w:r>
            <w:r w:rsidR="00C64620">
              <w:rPr>
                <w:rFonts w:cs="Arial"/>
                <w:color w:val="0D0D0D" w:themeColor="text1" w:themeTint="F2"/>
                <w:spacing w:val="-4"/>
                <w:lang w:val="en-GB"/>
              </w:rPr>
              <w:t xml:space="preserve">more and more often. </w:t>
            </w:r>
            <w:r w:rsidR="001B22AA">
              <w:rPr>
                <w:rFonts w:cs="Arial"/>
                <w:color w:val="0D0D0D" w:themeColor="text1" w:themeTint="F2"/>
                <w:spacing w:val="-4"/>
                <w:lang w:val="en-GB"/>
              </w:rPr>
              <w:t xml:space="preserve">This had to echo in the more frequent utilisation of the recruiting benefits, but mostly in the growth of the average wages. </w:t>
            </w:r>
          </w:p>
        </w:tc>
      </w:tr>
    </w:tbl>
    <w:p w:rsidR="0036710C" w:rsidRPr="00814E7D" w:rsidRDefault="0036710C" w:rsidP="0036710C">
      <w:pPr>
        <w:pStyle w:val="Textpoznpodarou"/>
        <w:jc w:val="both"/>
        <w:rPr>
          <w:rFonts w:cs="Arial"/>
          <w:color w:val="000000"/>
          <w:spacing w:val="-2"/>
          <w:sz w:val="15"/>
          <w:szCs w:val="15"/>
        </w:rPr>
      </w:pPr>
    </w:p>
    <w:tbl>
      <w:tblPr>
        <w:tblW w:w="4963" w:type="pct"/>
        <w:tblInd w:w="108" w:type="dxa"/>
        <w:tblLayout w:type="fixed"/>
        <w:tblLook w:val="00A0"/>
      </w:tblPr>
      <w:tblGrid>
        <w:gridCol w:w="1997"/>
        <w:gridCol w:w="284"/>
        <w:gridCol w:w="1119"/>
        <w:gridCol w:w="6381"/>
      </w:tblGrid>
      <w:tr w:rsidR="0036710C" w:rsidRPr="00AA4A76" w:rsidTr="00853C0F">
        <w:trPr>
          <w:trHeight w:val="145"/>
        </w:trPr>
        <w:tc>
          <w:tcPr>
            <w:tcW w:w="1021" w:type="pct"/>
            <w:shd w:val="clear" w:color="auto" w:fill="auto"/>
          </w:tcPr>
          <w:p w:rsidR="0036710C" w:rsidRPr="00AA4A76" w:rsidRDefault="0036710C" w:rsidP="00853C0F">
            <w:pPr>
              <w:spacing w:line="240" w:lineRule="auto"/>
              <w:jc w:val="center"/>
              <w:rPr>
                <w:color w:val="000000"/>
                <w:szCs w:val="20"/>
              </w:rPr>
            </w:pPr>
          </w:p>
        </w:tc>
        <w:tc>
          <w:tcPr>
            <w:tcW w:w="145" w:type="pct"/>
          </w:tcPr>
          <w:p w:rsidR="0036710C" w:rsidRPr="00AA4A76" w:rsidRDefault="0036710C" w:rsidP="00853C0F">
            <w:pPr>
              <w:pStyle w:val="Textpoznpodarou"/>
              <w:jc w:val="both"/>
              <w:rPr>
                <w:highlight w:val="yellow"/>
              </w:rPr>
            </w:pPr>
          </w:p>
        </w:tc>
        <w:tc>
          <w:tcPr>
            <w:tcW w:w="572" w:type="pct"/>
          </w:tcPr>
          <w:p w:rsidR="0036710C" w:rsidRPr="00AA4A76" w:rsidRDefault="001B22AA" w:rsidP="00853C0F">
            <w:pPr>
              <w:pStyle w:val="Textpoznpodarou"/>
              <w:jc w:val="both"/>
              <w:rPr>
                <w:highlight w:val="yellow"/>
              </w:rPr>
            </w:pPr>
            <w:r>
              <w:rPr>
                <w:color w:val="000000"/>
              </w:rPr>
              <w:t>Chart 17</w:t>
            </w:r>
          </w:p>
        </w:tc>
        <w:tc>
          <w:tcPr>
            <w:tcW w:w="3262" w:type="pct"/>
          </w:tcPr>
          <w:p w:rsidR="00D80F8E" w:rsidRDefault="009A38F8" w:rsidP="009A38F8">
            <w:pPr>
              <w:pStyle w:val="Textpoznpodarou"/>
              <w:rPr>
                <w:b/>
                <w:spacing w:val="-2"/>
                <w:lang w:val="en-GB" w:eastAsia="en-US"/>
              </w:rPr>
            </w:pPr>
            <w:r w:rsidRPr="009A38F8">
              <w:rPr>
                <w:b/>
                <w:spacing w:val="-2"/>
                <w:lang w:val="en-GB" w:eastAsia="en-US"/>
              </w:rPr>
              <w:t xml:space="preserve">Average gross monthly wage and wage median </w:t>
            </w:r>
          </w:p>
          <w:p w:rsidR="0036710C" w:rsidRPr="009A38F8" w:rsidRDefault="0036710C" w:rsidP="009A38F8">
            <w:pPr>
              <w:pStyle w:val="Textpoznpodarou"/>
              <w:rPr>
                <w:spacing w:val="-2"/>
                <w:lang w:val="en-GB" w:eastAsia="en-US"/>
              </w:rPr>
            </w:pPr>
            <w:r w:rsidRPr="009A38F8">
              <w:rPr>
                <w:spacing w:val="-6"/>
                <w:lang w:val="en-GB" w:eastAsia="en-US"/>
              </w:rPr>
              <w:t>(</w:t>
            </w:r>
            <w:proofErr w:type="gramStart"/>
            <w:r w:rsidR="009A38F8" w:rsidRPr="009A38F8">
              <w:rPr>
                <w:spacing w:val="-6"/>
                <w:lang w:val="en-GB" w:eastAsia="en-US"/>
              </w:rPr>
              <w:t>employees</w:t>
            </w:r>
            <w:proofErr w:type="gramEnd"/>
            <w:r w:rsidR="00D80F8E">
              <w:rPr>
                <w:spacing w:val="-6"/>
                <w:lang w:val="en-GB" w:eastAsia="en-US"/>
              </w:rPr>
              <w:t xml:space="preserve"> in full- time equivalent</w:t>
            </w:r>
            <w:r w:rsidR="009A38F8" w:rsidRPr="009A38F8">
              <w:rPr>
                <w:spacing w:val="-6"/>
                <w:lang w:val="en-GB" w:eastAsia="en-US"/>
              </w:rPr>
              <w:t xml:space="preserve">, year-on-year </w:t>
            </w:r>
            <w:r w:rsidR="00954C8E">
              <w:rPr>
                <w:spacing w:val="-6"/>
                <w:lang w:val="en-GB" w:eastAsia="en-US"/>
              </w:rPr>
              <w:t>in %</w:t>
            </w:r>
            <w:r w:rsidRPr="009A38F8">
              <w:rPr>
                <w:bCs/>
                <w:spacing w:val="-2"/>
                <w:lang w:val="en-GB"/>
              </w:rPr>
              <w:t>)</w:t>
            </w:r>
          </w:p>
        </w:tc>
      </w:tr>
      <w:tr w:rsidR="0036710C" w:rsidRPr="00AA4A76" w:rsidTr="00853C0F">
        <w:trPr>
          <w:trHeight w:val="145"/>
        </w:trPr>
        <w:tc>
          <w:tcPr>
            <w:tcW w:w="1021" w:type="pct"/>
            <w:shd w:val="clear" w:color="auto" w:fill="auto"/>
          </w:tcPr>
          <w:p w:rsidR="0036710C" w:rsidRPr="006D3F53" w:rsidRDefault="0036710C" w:rsidP="00853C0F">
            <w:pPr>
              <w:spacing w:line="240" w:lineRule="auto"/>
              <w:rPr>
                <w:color w:val="000000"/>
                <w:sz w:val="16"/>
                <w:szCs w:val="16"/>
                <w:highlight w:val="yellow"/>
              </w:rPr>
            </w:pPr>
          </w:p>
        </w:tc>
        <w:tc>
          <w:tcPr>
            <w:tcW w:w="145" w:type="pct"/>
          </w:tcPr>
          <w:p w:rsidR="0036710C" w:rsidRPr="00A74192" w:rsidRDefault="0036710C" w:rsidP="00853C0F">
            <w:pPr>
              <w:pStyle w:val="Textpoznpodarou"/>
              <w:jc w:val="both"/>
            </w:pPr>
          </w:p>
        </w:tc>
        <w:tc>
          <w:tcPr>
            <w:tcW w:w="3834" w:type="pct"/>
            <w:gridSpan w:val="2"/>
          </w:tcPr>
          <w:p w:rsidR="0036710C" w:rsidRDefault="00486640" w:rsidP="00853C0F">
            <w:pPr>
              <w:pStyle w:val="Textpoznpodarou"/>
              <w:ind w:left="-124"/>
              <w:jc w:val="both"/>
              <w:rPr>
                <w:sz w:val="16"/>
                <w:szCs w:val="16"/>
              </w:rPr>
            </w:pPr>
            <w:r>
              <w:rPr>
                <w:noProof/>
                <w:sz w:val="16"/>
                <w:szCs w:val="16"/>
              </w:rPr>
              <w:drawing>
                <wp:inline distT="0" distB="0" distL="0" distR="0">
                  <wp:extent cx="4737600" cy="3528000"/>
                  <wp:effectExtent l="19050" t="0" r="0" b="0"/>
                  <wp:docPr id="3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86640" w:rsidRDefault="0036710C">
            <w:pPr>
              <w:pStyle w:val="Textpoznpodarou"/>
              <w:ind w:left="-124"/>
              <w:jc w:val="right"/>
              <w:rPr>
                <w:sz w:val="14"/>
                <w:szCs w:val="14"/>
              </w:rPr>
            </w:pPr>
            <w:r>
              <w:rPr>
                <w:rFonts w:cs="Arial"/>
                <w:sz w:val="14"/>
                <w:szCs w:val="14"/>
              </w:rPr>
              <w:t xml:space="preserve"> </w:t>
            </w:r>
            <w:proofErr w:type="spellStart"/>
            <w:r w:rsidR="004C65FD">
              <w:rPr>
                <w:rFonts w:cs="Arial"/>
                <w:sz w:val="14"/>
                <w:szCs w:val="14"/>
              </w:rPr>
              <w:t>Source</w:t>
            </w:r>
            <w:proofErr w:type="spellEnd"/>
            <w:r w:rsidRPr="00535F78">
              <w:rPr>
                <w:rFonts w:cs="Arial"/>
                <w:sz w:val="14"/>
                <w:szCs w:val="14"/>
              </w:rPr>
              <w:t xml:space="preserve">: </w:t>
            </w:r>
            <w:r w:rsidR="004C65FD">
              <w:rPr>
                <w:rFonts w:cs="Arial"/>
                <w:sz w:val="14"/>
                <w:szCs w:val="14"/>
              </w:rPr>
              <w:t>CZSO</w:t>
            </w:r>
          </w:p>
        </w:tc>
      </w:tr>
    </w:tbl>
    <w:p w:rsidR="0036710C" w:rsidRPr="0074690B" w:rsidRDefault="0036710C" w:rsidP="0036710C">
      <w:pPr>
        <w:pStyle w:val="Textpoznpodarou"/>
        <w:jc w:val="both"/>
        <w:rPr>
          <w:rFonts w:cs="Arial"/>
          <w:color w:val="000000"/>
          <w:spacing w:val="-2"/>
          <w:sz w:val="16"/>
          <w:szCs w:val="16"/>
        </w:rPr>
      </w:pPr>
    </w:p>
    <w:tbl>
      <w:tblPr>
        <w:tblW w:w="4995" w:type="pct"/>
        <w:tblInd w:w="108" w:type="dxa"/>
        <w:tblLayout w:type="fixed"/>
        <w:tblLook w:val="00A0"/>
      </w:tblPr>
      <w:tblGrid>
        <w:gridCol w:w="2000"/>
        <w:gridCol w:w="284"/>
        <w:gridCol w:w="7560"/>
      </w:tblGrid>
      <w:tr w:rsidR="0036710C" w:rsidRPr="00AD0FC0" w:rsidTr="00853C0F">
        <w:trPr>
          <w:trHeight w:val="145"/>
        </w:trPr>
        <w:tc>
          <w:tcPr>
            <w:tcW w:w="1016" w:type="pct"/>
            <w:shd w:val="clear" w:color="auto" w:fill="auto"/>
          </w:tcPr>
          <w:p w:rsidR="0036710C" w:rsidRPr="0028013E" w:rsidRDefault="0028013E" w:rsidP="00853C0F">
            <w:pPr>
              <w:spacing w:line="240" w:lineRule="auto"/>
              <w:rPr>
                <w:rFonts w:cs="Arial"/>
                <w:bCs/>
                <w:iCs/>
                <w:color w:val="0D0D0D" w:themeColor="text1" w:themeTint="F2"/>
                <w:spacing w:val="-4"/>
                <w:sz w:val="16"/>
                <w:szCs w:val="16"/>
                <w:lang w:val="en-GB"/>
              </w:rPr>
            </w:pPr>
            <w:r w:rsidRPr="0028013E">
              <w:rPr>
                <w:rFonts w:cs="Arial"/>
                <w:bCs/>
                <w:iCs/>
                <w:color w:val="0D0D0D" w:themeColor="text1" w:themeTint="F2"/>
                <w:spacing w:val="-4"/>
                <w:sz w:val="16"/>
                <w:szCs w:val="16"/>
                <w:lang w:val="en-GB"/>
              </w:rPr>
              <w:t xml:space="preserve">Growth of the average nominal wages accelerated year-on-year </w:t>
            </w:r>
            <w:r>
              <w:rPr>
                <w:rFonts w:cs="Arial"/>
                <w:bCs/>
                <w:iCs/>
                <w:color w:val="0D0D0D" w:themeColor="text1" w:themeTint="F2"/>
                <w:spacing w:val="-4"/>
                <w:sz w:val="16"/>
                <w:szCs w:val="16"/>
                <w:lang w:val="en-GB"/>
              </w:rPr>
              <w:t>d</w:t>
            </w:r>
            <w:r w:rsidRPr="0028013E">
              <w:rPr>
                <w:rFonts w:cs="Arial"/>
                <w:bCs/>
                <w:iCs/>
                <w:color w:val="0D0D0D" w:themeColor="text1" w:themeTint="F2"/>
                <w:spacing w:val="-4"/>
                <w:sz w:val="16"/>
                <w:szCs w:val="16"/>
                <w:lang w:val="en-GB"/>
              </w:rPr>
              <w:t xml:space="preserve">uring the first half of </w:t>
            </w:r>
            <w:r w:rsidR="00026B47">
              <w:rPr>
                <w:rFonts w:cs="Arial"/>
                <w:bCs/>
                <w:iCs/>
                <w:color w:val="0D0D0D" w:themeColor="text1" w:themeTint="F2"/>
                <w:spacing w:val="-4"/>
                <w:sz w:val="16"/>
                <w:szCs w:val="16"/>
                <w:lang w:val="en-GB"/>
              </w:rPr>
              <w:t>2017</w:t>
            </w:r>
            <w:r w:rsidRPr="0028013E">
              <w:rPr>
                <w:rFonts w:cs="Arial"/>
                <w:bCs/>
                <w:iCs/>
                <w:color w:val="0D0D0D" w:themeColor="text1" w:themeTint="F2"/>
                <w:spacing w:val="-4"/>
                <w:sz w:val="16"/>
                <w:szCs w:val="16"/>
                <w:lang w:val="en-GB"/>
              </w:rPr>
              <w:t xml:space="preserve"> and approached the pace from years </w:t>
            </w:r>
            <w:r w:rsidR="0036710C" w:rsidRPr="0028013E">
              <w:rPr>
                <w:rFonts w:cs="Arial"/>
                <w:bCs/>
                <w:iCs/>
                <w:color w:val="0D0D0D" w:themeColor="text1" w:themeTint="F2"/>
                <w:spacing w:val="-4"/>
                <w:sz w:val="16"/>
                <w:szCs w:val="16"/>
                <w:lang w:val="en-GB"/>
              </w:rPr>
              <w:t>2007 – 2008.</w:t>
            </w:r>
          </w:p>
          <w:p w:rsidR="0036710C" w:rsidRPr="0028013E" w:rsidRDefault="0036710C" w:rsidP="00853C0F">
            <w:pPr>
              <w:spacing w:line="240" w:lineRule="auto"/>
              <w:rPr>
                <w:rFonts w:cs="Arial"/>
                <w:bCs/>
                <w:iCs/>
                <w:color w:val="0D0D0D" w:themeColor="text1" w:themeTint="F2"/>
                <w:spacing w:val="-4"/>
                <w:sz w:val="16"/>
                <w:szCs w:val="16"/>
                <w:lang w:val="en-GB"/>
              </w:rPr>
            </w:pPr>
          </w:p>
          <w:p w:rsidR="0036710C" w:rsidRPr="0028013E" w:rsidRDefault="0036710C" w:rsidP="00853C0F">
            <w:pPr>
              <w:spacing w:line="240" w:lineRule="auto"/>
              <w:rPr>
                <w:rFonts w:cs="Arial"/>
                <w:bCs/>
                <w:iCs/>
                <w:color w:val="0D0D0D" w:themeColor="text1" w:themeTint="F2"/>
                <w:spacing w:val="-4"/>
                <w:sz w:val="16"/>
                <w:szCs w:val="16"/>
                <w:lang w:val="en-GB"/>
              </w:rPr>
            </w:pPr>
          </w:p>
          <w:p w:rsidR="0036710C" w:rsidRPr="0028013E" w:rsidRDefault="0036710C" w:rsidP="00853C0F">
            <w:pPr>
              <w:spacing w:line="240" w:lineRule="auto"/>
              <w:rPr>
                <w:rFonts w:cs="Arial"/>
                <w:bCs/>
                <w:iCs/>
                <w:color w:val="0D0D0D" w:themeColor="text1" w:themeTint="F2"/>
                <w:spacing w:val="-4"/>
                <w:sz w:val="16"/>
                <w:szCs w:val="16"/>
                <w:lang w:val="en-GB"/>
              </w:rPr>
            </w:pPr>
          </w:p>
          <w:p w:rsidR="0036710C" w:rsidRPr="0028013E" w:rsidRDefault="0036710C" w:rsidP="00853C0F">
            <w:pPr>
              <w:spacing w:line="240" w:lineRule="auto"/>
              <w:rPr>
                <w:rFonts w:cs="Arial"/>
                <w:bCs/>
                <w:iCs/>
                <w:color w:val="0D0D0D" w:themeColor="text1" w:themeTint="F2"/>
                <w:spacing w:val="-4"/>
                <w:sz w:val="16"/>
                <w:szCs w:val="16"/>
                <w:lang w:val="en-GB"/>
              </w:rPr>
            </w:pPr>
          </w:p>
          <w:p w:rsidR="0036710C" w:rsidRPr="0028013E" w:rsidRDefault="0028013E" w:rsidP="00853C0F">
            <w:pPr>
              <w:spacing w:line="240" w:lineRule="auto"/>
              <w:rPr>
                <w:rFonts w:cs="Arial"/>
                <w:bCs/>
                <w:iCs/>
                <w:color w:val="0D0D0D" w:themeColor="text1" w:themeTint="F2"/>
                <w:spacing w:val="-4"/>
                <w:sz w:val="16"/>
                <w:szCs w:val="16"/>
                <w:lang w:val="en-GB"/>
              </w:rPr>
            </w:pPr>
            <w:r>
              <w:rPr>
                <w:rFonts w:cs="Arial"/>
                <w:bCs/>
                <w:iCs/>
                <w:color w:val="0D0D0D" w:themeColor="text1" w:themeTint="F2"/>
                <w:spacing w:val="-4"/>
                <w:sz w:val="16"/>
                <w:szCs w:val="16"/>
                <w:lang w:val="en-GB"/>
              </w:rPr>
              <w:t>Inter</w:t>
            </w:r>
            <w:r w:rsidR="00ED2670">
              <w:rPr>
                <w:rFonts w:cs="Arial"/>
                <w:bCs/>
                <w:iCs/>
                <w:color w:val="0D0D0D" w:themeColor="text1" w:themeTint="F2"/>
                <w:spacing w:val="-4"/>
                <w:sz w:val="16"/>
                <w:szCs w:val="16"/>
                <w:lang w:val="en-GB"/>
              </w:rPr>
              <w:t>-</w:t>
            </w:r>
            <w:r>
              <w:rPr>
                <w:rFonts w:cs="Arial"/>
                <w:bCs/>
                <w:iCs/>
                <w:color w:val="0D0D0D" w:themeColor="text1" w:themeTint="F2"/>
                <w:spacing w:val="-4"/>
                <w:sz w:val="16"/>
                <w:szCs w:val="16"/>
                <w:lang w:val="en-GB"/>
              </w:rPr>
              <w:t xml:space="preserve">branch differences in the size of wages slightly shrank. Average earnings rose relatively the fastest in branches with the lowest level of wages in the long-term. </w:t>
            </w:r>
          </w:p>
          <w:p w:rsidR="0036710C" w:rsidRPr="0028013E" w:rsidRDefault="0036710C" w:rsidP="00853C0F">
            <w:pPr>
              <w:spacing w:line="240" w:lineRule="auto"/>
              <w:rPr>
                <w:rFonts w:cs="Arial"/>
                <w:bCs/>
                <w:iCs/>
                <w:color w:val="0D0D0D" w:themeColor="text1" w:themeTint="F2"/>
                <w:spacing w:val="-2"/>
                <w:sz w:val="16"/>
                <w:szCs w:val="16"/>
                <w:lang w:val="en-GB"/>
              </w:rPr>
            </w:pPr>
          </w:p>
          <w:p w:rsidR="0036710C" w:rsidRPr="0028013E" w:rsidRDefault="0036710C" w:rsidP="00853C0F">
            <w:pPr>
              <w:spacing w:line="240" w:lineRule="auto"/>
              <w:rPr>
                <w:rFonts w:cs="Arial"/>
                <w:bCs/>
                <w:iCs/>
                <w:color w:val="0D0D0D" w:themeColor="text1" w:themeTint="F2"/>
                <w:spacing w:val="-2"/>
                <w:sz w:val="16"/>
                <w:szCs w:val="16"/>
                <w:lang w:val="en-GB"/>
              </w:rPr>
            </w:pPr>
          </w:p>
          <w:p w:rsidR="0036710C" w:rsidRPr="0028013E" w:rsidRDefault="00C01A3C" w:rsidP="00853C0F">
            <w:pPr>
              <w:spacing w:line="240" w:lineRule="auto"/>
              <w:rPr>
                <w:rFonts w:cs="Arial"/>
                <w:bCs/>
                <w:iCs/>
                <w:color w:val="0D0D0D" w:themeColor="text1" w:themeTint="F2"/>
                <w:spacing w:val="-2"/>
                <w:sz w:val="16"/>
                <w:szCs w:val="16"/>
                <w:lang w:val="en-GB"/>
              </w:rPr>
            </w:pPr>
            <w:r>
              <w:rPr>
                <w:rFonts w:cs="Arial"/>
                <w:bCs/>
                <w:iCs/>
                <w:color w:val="0D0D0D" w:themeColor="text1" w:themeTint="F2"/>
                <w:spacing w:val="-2"/>
                <w:sz w:val="16"/>
                <w:szCs w:val="16"/>
                <w:lang w:val="en-GB"/>
              </w:rPr>
              <w:lastRenderedPageBreak/>
              <w:t xml:space="preserve">The purchasing power of wages grew in Q2 the most since the beginning of year 2007 despite the strengthening inflation. </w:t>
            </w:r>
          </w:p>
        </w:tc>
        <w:tc>
          <w:tcPr>
            <w:tcW w:w="144" w:type="pct"/>
          </w:tcPr>
          <w:p w:rsidR="0036710C" w:rsidRPr="0028013E" w:rsidRDefault="0036710C" w:rsidP="00853C0F">
            <w:pPr>
              <w:pStyle w:val="Textpoznpodarou"/>
              <w:jc w:val="both"/>
              <w:rPr>
                <w:rFonts w:cs="Arial"/>
                <w:color w:val="0D0D0D" w:themeColor="text1" w:themeTint="F2"/>
                <w:spacing w:val="-4"/>
                <w:lang w:val="en-GB"/>
              </w:rPr>
            </w:pPr>
          </w:p>
        </w:tc>
        <w:tc>
          <w:tcPr>
            <w:tcW w:w="3840" w:type="pct"/>
          </w:tcPr>
          <w:p w:rsidR="00FA4BFF" w:rsidRDefault="00C01A3C" w:rsidP="00853C0F">
            <w:pPr>
              <w:pStyle w:val="Textpoznpodarou"/>
              <w:jc w:val="both"/>
              <w:rPr>
                <w:rFonts w:cs="Arial"/>
                <w:color w:val="0D0D0D" w:themeColor="text1" w:themeTint="F2"/>
                <w:spacing w:val="-4"/>
                <w:lang w:val="en-GB"/>
              </w:rPr>
            </w:pPr>
            <w:r>
              <w:rPr>
                <w:rFonts w:cs="Arial"/>
                <w:color w:val="0D0D0D" w:themeColor="text1" w:themeTint="F2"/>
                <w:spacing w:val="-4"/>
                <w:lang w:val="en-GB"/>
              </w:rPr>
              <w:t>Year-on-year rate of growth of average nominal wages fluctuated tightly below 4</w:t>
            </w:r>
            <w:r w:rsidR="00954C8E">
              <w:rPr>
                <w:rFonts w:cs="Arial"/>
                <w:color w:val="0D0D0D" w:themeColor="text1" w:themeTint="F2"/>
                <w:spacing w:val="-4"/>
                <w:lang w:val="en-GB"/>
              </w:rPr>
              <w:t>%</w:t>
            </w:r>
            <w:r>
              <w:rPr>
                <w:rFonts w:cs="Arial"/>
                <w:color w:val="0D0D0D" w:themeColor="text1" w:themeTint="F2"/>
                <w:spacing w:val="-4"/>
                <w:lang w:val="en-GB"/>
              </w:rPr>
              <w:t xml:space="preserve"> during the last year. It gradually accelerated in the following two quarters </w:t>
            </w:r>
            <w:r w:rsidR="0036710C" w:rsidRPr="0028013E">
              <w:rPr>
                <w:rFonts w:cs="Arial"/>
                <w:color w:val="0D0D0D" w:themeColor="text1" w:themeTint="F2"/>
                <w:spacing w:val="-4"/>
                <w:lang w:val="en-GB"/>
              </w:rPr>
              <w:t>(</w:t>
            </w:r>
            <w:r>
              <w:rPr>
                <w:rFonts w:cs="Arial"/>
                <w:color w:val="0D0D0D" w:themeColor="text1" w:themeTint="F2"/>
                <w:spacing w:val="-4"/>
                <w:lang w:val="en-GB"/>
              </w:rPr>
              <w:t xml:space="preserve">up to </w:t>
            </w:r>
            <w:r w:rsidR="0036710C" w:rsidRPr="0028013E">
              <w:rPr>
                <w:rFonts w:cs="Arial"/>
                <w:color w:val="0D0D0D" w:themeColor="text1" w:themeTint="F2"/>
                <w:spacing w:val="-4"/>
                <w:lang w:val="en-GB"/>
              </w:rPr>
              <w:t>7</w:t>
            </w:r>
            <w:r>
              <w:rPr>
                <w:rFonts w:cs="Arial"/>
                <w:color w:val="0D0D0D" w:themeColor="text1" w:themeTint="F2"/>
                <w:spacing w:val="-4"/>
                <w:lang w:val="en-GB"/>
              </w:rPr>
              <w:t>.</w:t>
            </w:r>
            <w:r w:rsidR="0036710C" w:rsidRPr="0028013E">
              <w:rPr>
                <w:rFonts w:cs="Arial"/>
                <w:color w:val="0D0D0D" w:themeColor="text1" w:themeTint="F2"/>
                <w:spacing w:val="-4"/>
                <w:lang w:val="en-GB"/>
              </w:rPr>
              <w:t>6</w:t>
            </w:r>
            <w:r w:rsidR="00954C8E">
              <w:rPr>
                <w:rFonts w:cs="Arial"/>
                <w:color w:val="0D0D0D" w:themeColor="text1" w:themeTint="F2"/>
                <w:spacing w:val="-4"/>
                <w:lang w:val="en-GB"/>
              </w:rPr>
              <w:t>%</w:t>
            </w:r>
            <w:r w:rsidR="0036710C" w:rsidRPr="0028013E">
              <w:rPr>
                <w:rStyle w:val="Znakapoznpodarou"/>
                <w:color w:val="0D0D0D" w:themeColor="text1" w:themeTint="F2"/>
                <w:spacing w:val="-4"/>
                <w:lang w:val="en-GB"/>
              </w:rPr>
              <w:footnoteReference w:id="26"/>
            </w:r>
            <w:r>
              <w:rPr>
                <w:rFonts w:cs="Arial"/>
                <w:color w:val="0D0D0D" w:themeColor="text1" w:themeTint="F2"/>
                <w:spacing w:val="-4"/>
                <w:lang w:val="en-GB"/>
              </w:rPr>
              <w:t xml:space="preserve"> in Q</w:t>
            </w:r>
            <w:r w:rsidR="0036710C" w:rsidRPr="0028013E">
              <w:rPr>
                <w:rFonts w:cs="Arial"/>
                <w:color w:val="0D0D0D" w:themeColor="text1" w:themeTint="F2"/>
                <w:spacing w:val="-4"/>
                <w:lang w:val="en-GB"/>
              </w:rPr>
              <w:t>2</w:t>
            </w:r>
            <w:r>
              <w:rPr>
                <w:rFonts w:cs="Arial"/>
                <w:color w:val="0D0D0D" w:themeColor="text1" w:themeTint="F2"/>
                <w:spacing w:val="-4"/>
                <w:lang w:val="en-GB"/>
              </w:rPr>
              <w:t xml:space="preserve"> </w:t>
            </w:r>
            <w:r w:rsidR="0036710C" w:rsidRPr="0028013E">
              <w:rPr>
                <w:rFonts w:cs="Arial"/>
                <w:color w:val="0D0D0D" w:themeColor="text1" w:themeTint="F2"/>
                <w:spacing w:val="-4"/>
                <w:lang w:val="en-GB"/>
              </w:rPr>
              <w:t>2017) a</w:t>
            </w:r>
            <w:r>
              <w:rPr>
                <w:rFonts w:cs="Arial"/>
                <w:color w:val="0D0D0D" w:themeColor="text1" w:themeTint="F2"/>
                <w:spacing w:val="-4"/>
                <w:lang w:val="en-GB"/>
              </w:rPr>
              <w:t xml:space="preserve">nd approached the dynamics common in years </w:t>
            </w:r>
            <w:r w:rsidR="0036710C" w:rsidRPr="0028013E">
              <w:rPr>
                <w:rFonts w:cs="Arial"/>
                <w:color w:val="0D0D0D" w:themeColor="text1" w:themeTint="F2"/>
                <w:spacing w:val="-4"/>
                <w:lang w:val="en-GB"/>
              </w:rPr>
              <w:t>2007 a</w:t>
            </w:r>
            <w:r>
              <w:rPr>
                <w:rFonts w:cs="Arial"/>
                <w:color w:val="0D0D0D" w:themeColor="text1" w:themeTint="F2"/>
                <w:spacing w:val="-4"/>
                <w:lang w:val="en-GB"/>
              </w:rPr>
              <w:t>nd</w:t>
            </w:r>
            <w:r w:rsidR="0036710C" w:rsidRPr="0028013E">
              <w:rPr>
                <w:rFonts w:cs="Arial"/>
                <w:color w:val="0D0D0D" w:themeColor="text1" w:themeTint="F2"/>
                <w:spacing w:val="-4"/>
                <w:lang w:val="en-GB"/>
              </w:rPr>
              <w:t xml:space="preserve"> 2008. </w:t>
            </w:r>
            <w:r>
              <w:rPr>
                <w:rFonts w:cs="Arial"/>
                <w:color w:val="0D0D0D" w:themeColor="text1" w:themeTint="F2"/>
                <w:spacing w:val="-4"/>
                <w:lang w:val="en-GB"/>
              </w:rPr>
              <w:t>The wages rose by 6.5</w:t>
            </w:r>
            <w:r w:rsidR="00954C8E">
              <w:rPr>
                <w:rFonts w:cs="Arial"/>
                <w:color w:val="0D0D0D" w:themeColor="text1" w:themeTint="F2"/>
                <w:spacing w:val="-4"/>
                <w:lang w:val="en-GB"/>
              </w:rPr>
              <w:t>%</w:t>
            </w:r>
            <w:r>
              <w:rPr>
                <w:rFonts w:cs="Arial"/>
                <w:color w:val="0D0D0D" w:themeColor="text1" w:themeTint="F2"/>
                <w:spacing w:val="-4"/>
                <w:lang w:val="en-GB"/>
              </w:rPr>
              <w:t xml:space="preserve"> in total for </w:t>
            </w:r>
            <w:r w:rsidR="00FA4BFF">
              <w:rPr>
                <w:rFonts w:cs="Arial"/>
                <w:color w:val="0D0D0D" w:themeColor="text1" w:themeTint="F2"/>
                <w:spacing w:val="-4"/>
                <w:lang w:val="en-GB"/>
              </w:rPr>
              <w:t>H1 2017</w:t>
            </w:r>
            <w:r>
              <w:rPr>
                <w:rFonts w:cs="Arial"/>
                <w:color w:val="0D0D0D" w:themeColor="text1" w:themeTint="F2"/>
                <w:spacing w:val="-4"/>
                <w:lang w:val="en-GB"/>
              </w:rPr>
              <w:t xml:space="preserve"> and they grew in all sections of activities. </w:t>
            </w:r>
            <w:r w:rsidR="00753D29">
              <w:rPr>
                <w:rFonts w:cs="Arial"/>
                <w:color w:val="0D0D0D" w:themeColor="text1" w:themeTint="F2"/>
                <w:spacing w:val="-4"/>
                <w:lang w:val="en-GB"/>
              </w:rPr>
              <w:t>They increased by 7.1</w:t>
            </w:r>
            <w:r w:rsidR="00954C8E">
              <w:rPr>
                <w:rFonts w:cs="Arial"/>
                <w:color w:val="0D0D0D" w:themeColor="text1" w:themeTint="F2"/>
                <w:spacing w:val="-4"/>
                <w:lang w:val="en-GB"/>
              </w:rPr>
              <w:t>%</w:t>
            </w:r>
            <w:r w:rsidR="00753D29">
              <w:rPr>
                <w:rFonts w:cs="Arial"/>
                <w:color w:val="0D0D0D" w:themeColor="text1" w:themeTint="F2"/>
                <w:spacing w:val="-4"/>
                <w:lang w:val="en-GB"/>
              </w:rPr>
              <w:t xml:space="preserve"> in the weight dominant manufacturing. Still, the size of wages remained only negligibly above the level of the national economy in this activity. The highest growth was attained in the relatively small activities with low wage level – accommodation, food service activities and restaurants</w:t>
            </w:r>
            <w:r w:rsidR="00C63E8F">
              <w:rPr>
                <w:rFonts w:cs="Arial"/>
                <w:color w:val="0D0D0D" w:themeColor="text1" w:themeTint="F2"/>
                <w:spacing w:val="-4"/>
                <w:lang w:val="en-GB"/>
              </w:rPr>
              <w:t xml:space="preserve"> (+13.8</w:t>
            </w:r>
            <w:r w:rsidR="00954C8E">
              <w:rPr>
                <w:rFonts w:cs="Arial"/>
                <w:color w:val="0D0D0D" w:themeColor="text1" w:themeTint="F2"/>
                <w:spacing w:val="-4"/>
                <w:lang w:val="en-GB"/>
              </w:rPr>
              <w:t>%</w:t>
            </w:r>
            <w:r w:rsidR="00C63E8F">
              <w:rPr>
                <w:rFonts w:cs="Arial"/>
                <w:color w:val="0D0D0D" w:themeColor="text1" w:themeTint="F2"/>
                <w:spacing w:val="-4"/>
                <w:lang w:val="en-GB"/>
              </w:rPr>
              <w:t xml:space="preserve">) </w:t>
            </w:r>
            <w:r w:rsidR="0036710C" w:rsidRPr="0028013E">
              <w:rPr>
                <w:rFonts w:cs="Arial"/>
                <w:color w:val="0D0D0D" w:themeColor="text1" w:themeTint="F2"/>
                <w:spacing w:val="-4"/>
                <w:lang w:val="en-GB"/>
              </w:rPr>
              <w:t>a</w:t>
            </w:r>
            <w:r w:rsidR="00610F00">
              <w:rPr>
                <w:rFonts w:cs="Arial"/>
                <w:color w:val="0D0D0D" w:themeColor="text1" w:themeTint="F2"/>
                <w:spacing w:val="-4"/>
                <w:lang w:val="en-GB"/>
              </w:rPr>
              <w:t xml:space="preserve">nd administrative and support services activities </w:t>
            </w:r>
            <w:r w:rsidR="0036710C" w:rsidRPr="0028013E">
              <w:rPr>
                <w:rFonts w:cs="Arial"/>
                <w:color w:val="0D0D0D" w:themeColor="text1" w:themeTint="F2"/>
                <w:spacing w:val="-4"/>
                <w:lang w:val="en-GB"/>
              </w:rPr>
              <w:t>(+8</w:t>
            </w:r>
            <w:r w:rsidR="00C63E8F">
              <w:rPr>
                <w:rFonts w:cs="Arial"/>
                <w:color w:val="0D0D0D" w:themeColor="text1" w:themeTint="F2"/>
                <w:spacing w:val="-4"/>
                <w:lang w:val="en-GB"/>
              </w:rPr>
              <w:t>.</w:t>
            </w:r>
            <w:r w:rsidR="0036710C" w:rsidRPr="0028013E">
              <w:rPr>
                <w:rFonts w:cs="Arial"/>
                <w:color w:val="0D0D0D" w:themeColor="text1" w:themeTint="F2"/>
                <w:spacing w:val="-4"/>
                <w:lang w:val="en-GB"/>
              </w:rPr>
              <w:t>7</w:t>
            </w:r>
            <w:r w:rsidR="00954C8E">
              <w:rPr>
                <w:rFonts w:cs="Arial"/>
                <w:color w:val="0D0D0D" w:themeColor="text1" w:themeTint="F2"/>
                <w:spacing w:val="-4"/>
                <w:lang w:val="en-GB"/>
              </w:rPr>
              <w:t>%</w:t>
            </w:r>
            <w:r w:rsidR="0036710C" w:rsidRPr="0028013E">
              <w:rPr>
                <w:rFonts w:cs="Arial"/>
                <w:color w:val="0D0D0D" w:themeColor="text1" w:themeTint="F2"/>
                <w:spacing w:val="-4"/>
                <w:lang w:val="en-GB"/>
              </w:rPr>
              <w:t xml:space="preserve">). </w:t>
            </w:r>
            <w:r w:rsidR="00C63E8F">
              <w:rPr>
                <w:rFonts w:cs="Arial"/>
                <w:color w:val="0D0D0D" w:themeColor="text1" w:themeTint="F2"/>
                <w:spacing w:val="-4"/>
                <w:lang w:val="en-GB"/>
              </w:rPr>
              <w:t xml:space="preserve">High rates of growth reflected the January increase of the minimum wage in the economy (from </w:t>
            </w:r>
            <w:r w:rsidR="0036710C" w:rsidRPr="0028013E">
              <w:rPr>
                <w:rFonts w:cs="Arial"/>
                <w:color w:val="0D0D0D" w:themeColor="text1" w:themeTint="F2"/>
                <w:spacing w:val="-4"/>
                <w:lang w:val="en-GB"/>
              </w:rPr>
              <w:t xml:space="preserve">9 900 </w:t>
            </w:r>
            <w:r w:rsidR="00C63E8F">
              <w:rPr>
                <w:rFonts w:cs="Arial"/>
                <w:color w:val="0D0D0D" w:themeColor="text1" w:themeTint="F2"/>
                <w:spacing w:val="-4"/>
                <w:lang w:val="en-GB"/>
              </w:rPr>
              <w:t>to</w:t>
            </w:r>
            <w:r w:rsidR="0036710C" w:rsidRPr="0028013E">
              <w:rPr>
                <w:rFonts w:cs="Arial"/>
                <w:color w:val="0D0D0D" w:themeColor="text1" w:themeTint="F2"/>
                <w:spacing w:val="-4"/>
                <w:lang w:val="en-GB"/>
              </w:rPr>
              <w:t xml:space="preserve"> 11</w:t>
            </w:r>
            <w:r w:rsidR="00C63E8F">
              <w:rPr>
                <w:rFonts w:cs="Arial"/>
                <w:color w:val="0D0D0D" w:themeColor="text1" w:themeTint="F2"/>
                <w:spacing w:val="-4"/>
                <w:lang w:val="en-GB"/>
              </w:rPr>
              <w:t> </w:t>
            </w:r>
            <w:r w:rsidR="0036710C" w:rsidRPr="0028013E">
              <w:rPr>
                <w:rFonts w:cs="Arial"/>
                <w:color w:val="0D0D0D" w:themeColor="text1" w:themeTint="F2"/>
                <w:spacing w:val="-4"/>
                <w:lang w:val="en-GB"/>
              </w:rPr>
              <w:t>000</w:t>
            </w:r>
            <w:r w:rsidR="00C63E8F">
              <w:rPr>
                <w:rFonts w:cs="Arial"/>
                <w:color w:val="0D0D0D" w:themeColor="text1" w:themeTint="F2"/>
                <w:spacing w:val="-4"/>
                <w:lang w:val="en-GB"/>
              </w:rPr>
              <w:t xml:space="preserve"> crowns</w:t>
            </w:r>
            <w:r w:rsidR="0036710C" w:rsidRPr="0028013E">
              <w:rPr>
                <w:rFonts w:cs="Arial"/>
                <w:color w:val="0D0D0D" w:themeColor="text1" w:themeTint="F2"/>
                <w:spacing w:val="-4"/>
                <w:lang w:val="en-GB"/>
              </w:rPr>
              <w:t xml:space="preserve">). </w:t>
            </w:r>
            <w:r w:rsidR="00610F00">
              <w:rPr>
                <w:rFonts w:cs="Arial"/>
                <w:color w:val="0D0D0D" w:themeColor="text1" w:themeTint="F2"/>
                <w:spacing w:val="-4"/>
                <w:lang w:val="en-GB"/>
              </w:rPr>
              <w:t xml:space="preserve">Financial and insurance activities </w:t>
            </w:r>
            <w:r w:rsidR="00C63E8F">
              <w:rPr>
                <w:rFonts w:cs="Arial"/>
                <w:color w:val="0D0D0D" w:themeColor="text1" w:themeTint="F2"/>
                <w:spacing w:val="-4"/>
                <w:lang w:val="en-GB"/>
              </w:rPr>
              <w:t xml:space="preserve">maintained the position of activity with the highest level of wages also thanks to the traditional pay out of half-yearly </w:t>
            </w:r>
            <w:proofErr w:type="gramStart"/>
            <w:r w:rsidR="00C63E8F">
              <w:rPr>
                <w:rFonts w:cs="Arial"/>
                <w:color w:val="0D0D0D" w:themeColor="text1" w:themeTint="F2"/>
                <w:spacing w:val="-4"/>
                <w:lang w:val="en-GB"/>
              </w:rPr>
              <w:t>benefits,</w:t>
            </w:r>
            <w:proofErr w:type="gramEnd"/>
            <w:r w:rsidR="00C63E8F">
              <w:rPr>
                <w:rFonts w:cs="Arial"/>
                <w:color w:val="0D0D0D" w:themeColor="text1" w:themeTint="F2"/>
                <w:spacing w:val="-4"/>
                <w:lang w:val="en-GB"/>
              </w:rPr>
              <w:t xml:space="preserve"> the wages however grew only by 3.7</w:t>
            </w:r>
            <w:r w:rsidR="00954C8E">
              <w:rPr>
                <w:rFonts w:cs="Arial"/>
                <w:color w:val="0D0D0D" w:themeColor="text1" w:themeTint="F2"/>
                <w:spacing w:val="-4"/>
                <w:lang w:val="en-GB"/>
              </w:rPr>
              <w:t>%</w:t>
            </w:r>
            <w:r w:rsidR="00C63E8F">
              <w:rPr>
                <w:rFonts w:cs="Arial"/>
                <w:color w:val="0D0D0D" w:themeColor="text1" w:themeTint="F2"/>
                <w:spacing w:val="-4"/>
                <w:lang w:val="en-GB"/>
              </w:rPr>
              <w:t xml:space="preserve"> in this activity compared to last year´s H1</w:t>
            </w:r>
            <w:r w:rsidR="0036710C" w:rsidRPr="0028013E">
              <w:rPr>
                <w:rStyle w:val="Znakapoznpodarou"/>
                <w:color w:val="0D0D0D" w:themeColor="text1" w:themeTint="F2"/>
                <w:spacing w:val="-4"/>
                <w:lang w:val="en-GB"/>
              </w:rPr>
              <w:footnoteReference w:id="27"/>
            </w:r>
            <w:r w:rsidR="0036710C" w:rsidRPr="0028013E">
              <w:rPr>
                <w:rFonts w:cs="Arial"/>
                <w:color w:val="0D0D0D" w:themeColor="text1" w:themeTint="F2"/>
                <w:spacing w:val="-4"/>
                <w:lang w:val="en-GB"/>
              </w:rPr>
              <w:t xml:space="preserve">. </w:t>
            </w:r>
            <w:r w:rsidR="00333E05">
              <w:rPr>
                <w:rFonts w:cs="Arial"/>
                <w:color w:val="0D0D0D" w:themeColor="text1" w:themeTint="F2"/>
                <w:spacing w:val="-4"/>
                <w:lang w:val="en-GB"/>
              </w:rPr>
              <w:t>The employees are better of</w:t>
            </w:r>
            <w:r w:rsidR="00610F00">
              <w:rPr>
                <w:rFonts w:cs="Arial"/>
                <w:color w:val="0D0D0D" w:themeColor="text1" w:themeTint="F2"/>
                <w:spacing w:val="-4"/>
                <w:lang w:val="en-GB"/>
              </w:rPr>
              <w:t>f</w:t>
            </w:r>
            <w:r w:rsidR="00333E05">
              <w:rPr>
                <w:rFonts w:cs="Arial"/>
                <w:color w:val="0D0D0D" w:themeColor="text1" w:themeTint="F2"/>
                <w:spacing w:val="-4"/>
                <w:lang w:val="en-GB"/>
              </w:rPr>
              <w:t xml:space="preserve"> in both absolute and relative terms in </w:t>
            </w:r>
            <w:proofErr w:type="spellStart"/>
            <w:r w:rsidR="00333E05">
              <w:rPr>
                <w:rFonts w:cs="Arial"/>
                <w:color w:val="0D0D0D" w:themeColor="text1" w:themeTint="F2"/>
                <w:spacing w:val="-4"/>
                <w:lang w:val="en-GB"/>
              </w:rPr>
              <w:t>energetics</w:t>
            </w:r>
            <w:proofErr w:type="spellEnd"/>
            <w:r w:rsidR="00333E05">
              <w:rPr>
                <w:rFonts w:cs="Arial"/>
                <w:color w:val="0D0D0D" w:themeColor="text1" w:themeTint="F2"/>
                <w:spacing w:val="-4"/>
                <w:lang w:val="en-GB"/>
              </w:rPr>
              <w:t xml:space="preserve"> an</w:t>
            </w:r>
            <w:r w:rsidR="00610F00">
              <w:rPr>
                <w:rFonts w:cs="Arial"/>
                <w:color w:val="0D0D0D" w:themeColor="text1" w:themeTint="F2"/>
                <w:spacing w:val="-4"/>
                <w:lang w:val="en-GB"/>
              </w:rPr>
              <w:t>d information and communication</w:t>
            </w:r>
            <w:r w:rsidR="00333E05">
              <w:rPr>
                <w:rFonts w:cs="Arial"/>
                <w:color w:val="0D0D0D" w:themeColor="text1" w:themeTint="F2"/>
                <w:spacing w:val="-4"/>
                <w:lang w:val="en-GB"/>
              </w:rPr>
              <w:t xml:space="preserve">. The </w:t>
            </w:r>
            <w:r w:rsidR="00FA4BFF">
              <w:rPr>
                <w:rFonts w:cs="Arial"/>
                <w:color w:val="0D0D0D" w:themeColor="text1" w:themeTint="F2"/>
                <w:spacing w:val="-4"/>
                <w:lang w:val="en-GB"/>
              </w:rPr>
              <w:t xml:space="preserve">growth of </w:t>
            </w:r>
            <w:r w:rsidR="00333E05">
              <w:rPr>
                <w:rFonts w:cs="Arial"/>
                <w:color w:val="0D0D0D" w:themeColor="text1" w:themeTint="F2"/>
                <w:spacing w:val="-4"/>
                <w:lang w:val="en-GB"/>
              </w:rPr>
              <w:t xml:space="preserve">volume of paid out wages was more </w:t>
            </w:r>
            <w:r w:rsidR="00333E05">
              <w:rPr>
                <w:rFonts w:cs="Arial"/>
                <w:color w:val="0D0D0D" w:themeColor="text1" w:themeTint="F2"/>
                <w:spacing w:val="-4"/>
                <w:lang w:val="en-GB"/>
              </w:rPr>
              <w:lastRenderedPageBreak/>
              <w:t xml:space="preserve">than double compared to the financial sector (especially thanks to the brisk pace of growth of employment). The </w:t>
            </w:r>
            <w:r w:rsidR="00FA4BFF">
              <w:rPr>
                <w:rFonts w:cs="Arial"/>
                <w:color w:val="0D0D0D" w:themeColor="text1" w:themeTint="F2"/>
                <w:spacing w:val="-4"/>
                <w:lang w:val="en-GB"/>
              </w:rPr>
              <w:t xml:space="preserve">average </w:t>
            </w:r>
            <w:r w:rsidR="00333E05">
              <w:rPr>
                <w:rFonts w:cs="Arial"/>
                <w:color w:val="0D0D0D" w:themeColor="text1" w:themeTint="F2"/>
                <w:spacing w:val="-4"/>
                <w:lang w:val="en-GB"/>
              </w:rPr>
              <w:t>wage rate of growth (+4.0</w:t>
            </w:r>
            <w:r w:rsidR="00954C8E">
              <w:rPr>
                <w:rFonts w:cs="Arial"/>
                <w:color w:val="0D0D0D" w:themeColor="text1" w:themeTint="F2"/>
                <w:spacing w:val="-4"/>
                <w:lang w:val="en-GB"/>
              </w:rPr>
              <w:t>%</w:t>
            </w:r>
            <w:r w:rsidR="00333E05">
              <w:rPr>
                <w:rFonts w:cs="Arial"/>
                <w:color w:val="0D0D0D" w:themeColor="text1" w:themeTint="F2"/>
                <w:spacing w:val="-4"/>
                <w:lang w:val="en-GB"/>
              </w:rPr>
              <w:t>) mildly lagged behind the growth of the registered number of employees also in the professional, scientific and technical activities. The wages increased in the activities with the dominant participation of state</w:t>
            </w:r>
            <w:r w:rsidR="00FA4BFF">
              <w:rPr>
                <w:rFonts w:cs="Arial"/>
                <w:color w:val="0D0D0D" w:themeColor="text1" w:themeTint="F2"/>
                <w:spacing w:val="-4"/>
                <w:lang w:val="en-GB"/>
              </w:rPr>
              <w:t xml:space="preserve"> –</w:t>
            </w:r>
            <w:r w:rsidR="00333E05">
              <w:rPr>
                <w:rFonts w:cs="Arial"/>
                <w:color w:val="0D0D0D" w:themeColor="text1" w:themeTint="F2"/>
                <w:spacing w:val="-4"/>
                <w:lang w:val="en-GB"/>
              </w:rPr>
              <w:t xml:space="preserve"> the most in the health care and social care </w:t>
            </w:r>
            <w:r w:rsidR="0036710C" w:rsidRPr="0028013E">
              <w:rPr>
                <w:rFonts w:cs="Arial"/>
                <w:color w:val="0D0D0D" w:themeColor="text1" w:themeTint="F2"/>
                <w:spacing w:val="-4"/>
                <w:lang w:val="en-GB"/>
              </w:rPr>
              <w:t>(+7</w:t>
            </w:r>
            <w:r w:rsidR="00333E05">
              <w:rPr>
                <w:rFonts w:cs="Arial"/>
                <w:color w:val="0D0D0D" w:themeColor="text1" w:themeTint="F2"/>
                <w:spacing w:val="-4"/>
                <w:lang w:val="en-GB"/>
              </w:rPr>
              <w:t>.</w:t>
            </w:r>
            <w:r w:rsidR="0036710C" w:rsidRPr="0028013E">
              <w:rPr>
                <w:rFonts w:cs="Arial"/>
                <w:color w:val="0D0D0D" w:themeColor="text1" w:themeTint="F2"/>
                <w:spacing w:val="-4"/>
                <w:lang w:val="en-GB"/>
              </w:rPr>
              <w:t>5</w:t>
            </w:r>
            <w:r w:rsidR="00954C8E">
              <w:rPr>
                <w:rFonts w:cs="Arial"/>
                <w:color w:val="0D0D0D" w:themeColor="text1" w:themeTint="F2"/>
                <w:spacing w:val="-4"/>
                <w:lang w:val="en-GB"/>
              </w:rPr>
              <w:t>%</w:t>
            </w:r>
            <w:r w:rsidR="0036710C" w:rsidRPr="0028013E">
              <w:rPr>
                <w:rFonts w:cs="Arial"/>
                <w:color w:val="0D0D0D" w:themeColor="text1" w:themeTint="F2"/>
                <w:spacing w:val="-4"/>
                <w:lang w:val="en-GB"/>
              </w:rPr>
              <w:t xml:space="preserve">). </w:t>
            </w:r>
            <w:r w:rsidR="00D543F9">
              <w:rPr>
                <w:rFonts w:cs="Arial"/>
                <w:color w:val="0D0D0D" w:themeColor="text1" w:themeTint="F2"/>
                <w:spacing w:val="-4"/>
                <w:lang w:val="en-GB"/>
              </w:rPr>
              <w:t xml:space="preserve">Despite a marked quickening of the </w:t>
            </w:r>
            <w:r w:rsidR="007C7E1C">
              <w:rPr>
                <w:rFonts w:cs="Arial"/>
                <w:color w:val="0D0D0D" w:themeColor="text1" w:themeTint="F2"/>
                <w:spacing w:val="-4"/>
                <w:lang w:val="en-GB"/>
              </w:rPr>
              <w:t>rate</w:t>
            </w:r>
            <w:r w:rsidR="00D543F9">
              <w:rPr>
                <w:rFonts w:cs="Arial"/>
                <w:color w:val="0D0D0D" w:themeColor="text1" w:themeTint="F2"/>
                <w:spacing w:val="-4"/>
                <w:lang w:val="en-GB"/>
              </w:rPr>
              <w:t xml:space="preserve"> of growth (from last year´s +2.0% to 5.1</w:t>
            </w:r>
            <w:r w:rsidR="00954C8E">
              <w:rPr>
                <w:rFonts w:cs="Arial"/>
                <w:color w:val="0D0D0D" w:themeColor="text1" w:themeTint="F2"/>
                <w:spacing w:val="-4"/>
                <w:lang w:val="en-GB"/>
              </w:rPr>
              <w:t>%</w:t>
            </w:r>
            <w:r w:rsidR="00D543F9">
              <w:rPr>
                <w:rFonts w:cs="Arial"/>
                <w:color w:val="0D0D0D" w:themeColor="text1" w:themeTint="F2"/>
                <w:spacing w:val="-4"/>
                <w:lang w:val="en-GB"/>
              </w:rPr>
              <w:t xml:space="preserve">), the wage growth remained below the level of the whole economy in education </w:t>
            </w:r>
            <w:r w:rsidR="007C7E1C">
              <w:rPr>
                <w:rFonts w:cs="Arial"/>
                <w:color w:val="0D0D0D" w:themeColor="text1" w:themeTint="F2"/>
                <w:spacing w:val="-4"/>
                <w:lang w:val="en-GB"/>
              </w:rPr>
              <w:t xml:space="preserve">also this year. </w:t>
            </w:r>
          </w:p>
          <w:p w:rsidR="00FA4BFF" w:rsidRDefault="00FA4BFF" w:rsidP="00853C0F">
            <w:pPr>
              <w:pStyle w:val="Textpoznpodarou"/>
              <w:jc w:val="both"/>
              <w:rPr>
                <w:rFonts w:cs="Arial"/>
                <w:color w:val="0D0D0D" w:themeColor="text1" w:themeTint="F2"/>
                <w:spacing w:val="-4"/>
                <w:lang w:val="en-GB"/>
              </w:rPr>
            </w:pPr>
          </w:p>
          <w:p w:rsidR="0036710C" w:rsidRDefault="00FA4BFF" w:rsidP="00853C0F">
            <w:pPr>
              <w:pStyle w:val="Textpoznpodarou"/>
              <w:jc w:val="both"/>
              <w:rPr>
                <w:rFonts w:cs="Arial"/>
                <w:color w:val="0D0D0D" w:themeColor="text1" w:themeTint="F2"/>
                <w:spacing w:val="-4"/>
                <w:lang w:val="en-GB"/>
              </w:rPr>
            </w:pPr>
            <w:r>
              <w:rPr>
                <w:rFonts w:cs="Arial"/>
                <w:color w:val="0D0D0D" w:themeColor="text1" w:themeTint="F2"/>
                <w:spacing w:val="-4"/>
                <w:lang w:val="en-GB"/>
              </w:rPr>
              <w:t>Despite the strengthening growth of the consumer prices, t</w:t>
            </w:r>
            <w:r w:rsidR="007C7E1C">
              <w:rPr>
                <w:rFonts w:cs="Arial"/>
                <w:color w:val="0D0D0D" w:themeColor="text1" w:themeTint="F2"/>
                <w:spacing w:val="-4"/>
                <w:lang w:val="en-GB"/>
              </w:rPr>
              <w:t>he real wages improved by significant 4.1</w:t>
            </w:r>
            <w:r w:rsidR="00954C8E">
              <w:rPr>
                <w:rFonts w:cs="Arial"/>
                <w:color w:val="0D0D0D" w:themeColor="text1" w:themeTint="F2"/>
                <w:spacing w:val="-4"/>
                <w:lang w:val="en-GB"/>
              </w:rPr>
              <w:t>%</w:t>
            </w:r>
            <w:r w:rsidR="007C7E1C">
              <w:rPr>
                <w:rFonts w:cs="Arial"/>
                <w:color w:val="0D0D0D" w:themeColor="text1" w:themeTint="F2"/>
                <w:spacing w:val="-4"/>
                <w:lang w:val="en-GB"/>
              </w:rPr>
              <w:t xml:space="preserve"> in the whole economy in H1, even by 5.3</w:t>
            </w:r>
            <w:r w:rsidR="00954C8E">
              <w:rPr>
                <w:rFonts w:cs="Arial"/>
                <w:color w:val="0D0D0D" w:themeColor="text1" w:themeTint="F2"/>
                <w:spacing w:val="-4"/>
                <w:lang w:val="en-GB"/>
              </w:rPr>
              <w:t>%</w:t>
            </w:r>
            <w:r w:rsidR="007C7E1C">
              <w:rPr>
                <w:rFonts w:cs="Arial"/>
                <w:color w:val="0D0D0D" w:themeColor="text1" w:themeTint="F2"/>
                <w:spacing w:val="-4"/>
                <w:lang w:val="en-GB"/>
              </w:rPr>
              <w:t xml:space="preserve"> in Q2 (the highest year-on-year rate of growth since Q1 2007).  </w:t>
            </w:r>
          </w:p>
          <w:p w:rsidR="007C7E1C" w:rsidRPr="0028013E" w:rsidRDefault="007C7E1C" w:rsidP="00853C0F">
            <w:pPr>
              <w:pStyle w:val="Textpoznpodarou"/>
              <w:jc w:val="both"/>
              <w:rPr>
                <w:rFonts w:cs="Arial"/>
                <w:color w:val="0D0D0D" w:themeColor="text1" w:themeTint="F2"/>
                <w:spacing w:val="-4"/>
                <w:lang w:val="en-GB"/>
              </w:rPr>
            </w:pPr>
          </w:p>
        </w:tc>
      </w:tr>
    </w:tbl>
    <w:p w:rsidR="0036710C" w:rsidRPr="0036710C" w:rsidRDefault="0036710C" w:rsidP="00D94859">
      <w:pPr>
        <w:rPr>
          <w:sz w:val="2"/>
          <w:szCs w:val="2"/>
          <w:lang w:eastAsia="ar-SA"/>
        </w:rPr>
      </w:pPr>
    </w:p>
    <w:p w:rsidR="00DD0726" w:rsidRPr="00251AE8" w:rsidRDefault="00DD0726" w:rsidP="00DD0726">
      <w:pPr>
        <w:pStyle w:val="Nadpis1"/>
        <w:numPr>
          <w:ilvl w:val="0"/>
          <w:numId w:val="12"/>
        </w:numPr>
        <w:ind w:left="709"/>
        <w:jc w:val="both"/>
        <w:rPr>
          <w:lang w:val="en-GB"/>
        </w:rPr>
      </w:pPr>
      <w:bookmarkStart w:id="16" w:name="_Toc469299935"/>
      <w:bookmarkStart w:id="17" w:name="_Toc493683639"/>
      <w:r w:rsidRPr="00251AE8">
        <w:rPr>
          <w:lang w:val="en-GB"/>
        </w:rPr>
        <w:t>M</w:t>
      </w:r>
      <w:r w:rsidR="00251AE8" w:rsidRPr="00251AE8">
        <w:rPr>
          <w:lang w:val="en-GB"/>
        </w:rPr>
        <w:t>onetary Conditions</w:t>
      </w:r>
      <w:bookmarkEnd w:id="16"/>
      <w:bookmarkEnd w:id="17"/>
    </w:p>
    <w:tbl>
      <w:tblPr>
        <w:tblW w:w="4995" w:type="pct"/>
        <w:tblInd w:w="108" w:type="dxa"/>
        <w:tblLayout w:type="fixed"/>
        <w:tblLook w:val="00A0"/>
      </w:tblPr>
      <w:tblGrid>
        <w:gridCol w:w="2000"/>
        <w:gridCol w:w="284"/>
        <w:gridCol w:w="1118"/>
        <w:gridCol w:w="6442"/>
      </w:tblGrid>
      <w:tr w:rsidR="00DD0726" w:rsidRPr="00A74192" w:rsidTr="00260FBE">
        <w:trPr>
          <w:trHeight w:val="145"/>
        </w:trPr>
        <w:tc>
          <w:tcPr>
            <w:tcW w:w="1016" w:type="pct"/>
          </w:tcPr>
          <w:p w:rsidR="00DD0726" w:rsidRPr="006D5608" w:rsidRDefault="002E3766" w:rsidP="00260FBE">
            <w:pPr>
              <w:spacing w:line="240" w:lineRule="auto"/>
              <w:rPr>
                <w:color w:val="000000" w:themeColor="text1"/>
                <w:sz w:val="16"/>
                <w:szCs w:val="16"/>
                <w:highlight w:val="yellow"/>
              </w:rPr>
            </w:pPr>
            <w:r>
              <w:rPr>
                <w:color w:val="000000" w:themeColor="text1"/>
                <w:sz w:val="16"/>
                <w:szCs w:val="16"/>
              </w:rPr>
              <w:t>T</w:t>
            </w:r>
            <w:r>
              <w:rPr>
                <w:color w:val="000000" w:themeColor="text1"/>
                <w:sz w:val="16"/>
                <w:szCs w:val="16"/>
                <w:lang w:val="en-GB"/>
              </w:rPr>
              <w:t xml:space="preserve">he most important change was the </w:t>
            </w:r>
            <w:r w:rsidR="003122D9">
              <w:rPr>
                <w:color w:val="000000" w:themeColor="text1"/>
                <w:sz w:val="16"/>
                <w:szCs w:val="16"/>
                <w:lang w:val="en-GB"/>
              </w:rPr>
              <w:t xml:space="preserve">ending of the exchange rate commitment </w:t>
            </w:r>
            <w:r>
              <w:rPr>
                <w:color w:val="000000" w:themeColor="text1"/>
                <w:sz w:val="16"/>
                <w:szCs w:val="16"/>
                <w:lang w:val="en-GB"/>
              </w:rPr>
              <w:t>in the area of the monetary policy in Q2.</w:t>
            </w:r>
          </w:p>
        </w:tc>
        <w:tc>
          <w:tcPr>
            <w:tcW w:w="144" w:type="pct"/>
          </w:tcPr>
          <w:p w:rsidR="00DD0726" w:rsidRPr="003E6E0D" w:rsidRDefault="00DD0726" w:rsidP="00260FBE">
            <w:pPr>
              <w:pStyle w:val="Textpoznpodarou"/>
              <w:jc w:val="both"/>
            </w:pPr>
          </w:p>
        </w:tc>
        <w:tc>
          <w:tcPr>
            <w:tcW w:w="3840" w:type="pct"/>
            <w:gridSpan w:val="2"/>
          </w:tcPr>
          <w:p w:rsidR="00E662D1" w:rsidRDefault="00E662D1" w:rsidP="00E662D1">
            <w:pPr>
              <w:pStyle w:val="Textpoznpodarou"/>
              <w:jc w:val="both"/>
              <w:rPr>
                <w:sz w:val="16"/>
                <w:szCs w:val="16"/>
                <w:lang w:val="en-GB"/>
              </w:rPr>
            </w:pPr>
            <w:r>
              <w:rPr>
                <w:lang w:val="en-GB"/>
              </w:rPr>
              <w:t xml:space="preserve">The </w:t>
            </w:r>
            <w:r w:rsidR="003122D9">
              <w:rPr>
                <w:lang w:val="en-GB"/>
              </w:rPr>
              <w:t xml:space="preserve">ending of the regime of </w:t>
            </w:r>
            <w:proofErr w:type="spellStart"/>
            <w:r w:rsidR="003122D9">
              <w:rPr>
                <w:lang w:val="en-GB"/>
              </w:rPr>
              <w:t>forex</w:t>
            </w:r>
            <w:proofErr w:type="spellEnd"/>
            <w:r w:rsidR="003122D9">
              <w:rPr>
                <w:lang w:val="en-GB"/>
              </w:rPr>
              <w:t xml:space="preserve"> interventions of the CNB </w:t>
            </w:r>
            <w:r>
              <w:rPr>
                <w:lang w:val="en-GB"/>
              </w:rPr>
              <w:t xml:space="preserve">was the most important event in relation to the monetary policy in Q2 2017, it occurred on 6th of April. After the period of pressure on the </w:t>
            </w:r>
            <w:r w:rsidR="003122D9">
              <w:rPr>
                <w:lang w:val="en-GB"/>
              </w:rPr>
              <w:t xml:space="preserve">break of the commitment </w:t>
            </w:r>
            <w:r>
              <w:rPr>
                <w:lang w:val="en-GB"/>
              </w:rPr>
              <w:t>(the value of the foreign exchange rate stayed at 27.02</w:t>
            </w:r>
            <w:r>
              <w:rPr>
                <w:rStyle w:val="Znakapoznpodarou"/>
                <w:lang w:val="en-GB"/>
              </w:rPr>
              <w:footnoteReference w:id="28"/>
            </w:r>
            <w:r>
              <w:rPr>
                <w:lang w:val="en-GB"/>
              </w:rPr>
              <w:t xml:space="preserve"> </w:t>
            </w:r>
            <w:r w:rsidR="003122D9">
              <w:rPr>
                <w:lang w:val="en-GB"/>
              </w:rPr>
              <w:t>per</w:t>
            </w:r>
            <w:r>
              <w:rPr>
                <w:lang w:val="en-GB"/>
              </w:rPr>
              <w:t xml:space="preserve"> euro for every day since 1. 1. 2017) the crown mildly depreciated in the first April days. Following the </w:t>
            </w:r>
            <w:r w:rsidR="001D55F5">
              <w:rPr>
                <w:lang w:val="en-GB"/>
              </w:rPr>
              <w:t xml:space="preserve">exit from </w:t>
            </w:r>
            <w:r w:rsidR="003122D9">
              <w:rPr>
                <w:lang w:val="en-GB"/>
              </w:rPr>
              <w:t>the commitment</w:t>
            </w:r>
            <w:r>
              <w:rPr>
                <w:lang w:val="en-GB"/>
              </w:rPr>
              <w:t xml:space="preserve">, it immediately appreciated and the foreign exchange rate against euro fell to 26.53 within 10th April. However, the koruna did not maintain this value and it fluctuated around an average value 26.86 </w:t>
            </w:r>
            <w:r w:rsidR="003122D9">
              <w:rPr>
                <w:lang w:val="en-GB"/>
              </w:rPr>
              <w:t>crowns</w:t>
            </w:r>
            <w:r>
              <w:rPr>
                <w:lang w:val="en-GB"/>
              </w:rPr>
              <w:t xml:space="preserve"> per euro in the second half of April. Consequently, it started consistently appreciate. With the exception of a short depreciation on 18th May, the rate was strengthening throughout the whole May and the first half of June. It reached the minimum for Q2 on 13</w:t>
            </w:r>
            <w:r>
              <w:rPr>
                <w:vertAlign w:val="superscript"/>
                <w:lang w:val="en-GB"/>
              </w:rPr>
              <w:t>th</w:t>
            </w:r>
            <w:r>
              <w:rPr>
                <w:lang w:val="en-GB"/>
              </w:rPr>
              <w:t xml:space="preserve"> June (26.15). Until the end of the quarter, it already only oscillated in a narrow range between 26.20 and 26.30.</w:t>
            </w:r>
          </w:p>
          <w:p w:rsidR="00DD0726" w:rsidRPr="003C20C4" w:rsidRDefault="00DD0726" w:rsidP="00260FBE">
            <w:pPr>
              <w:pStyle w:val="Textpoznpodarou"/>
              <w:jc w:val="both"/>
            </w:pPr>
            <w:r>
              <w:t xml:space="preserve">    </w:t>
            </w:r>
          </w:p>
        </w:tc>
      </w:tr>
      <w:tr w:rsidR="00DD0726" w:rsidRPr="00A74192" w:rsidTr="00260FBE">
        <w:trPr>
          <w:trHeight w:val="145"/>
        </w:trPr>
        <w:tc>
          <w:tcPr>
            <w:tcW w:w="1016" w:type="pct"/>
            <w:shd w:val="clear" w:color="auto" w:fill="auto"/>
          </w:tcPr>
          <w:p w:rsidR="00DD0726" w:rsidRPr="002C0219" w:rsidRDefault="002C0219" w:rsidP="00260FBE">
            <w:pPr>
              <w:spacing w:line="240" w:lineRule="auto"/>
              <w:rPr>
                <w:color w:val="000000" w:themeColor="text1"/>
                <w:sz w:val="16"/>
                <w:szCs w:val="16"/>
                <w:highlight w:val="yellow"/>
                <w:lang w:val="en-GB"/>
              </w:rPr>
            </w:pPr>
            <w:r w:rsidRPr="002C0219">
              <w:rPr>
                <w:color w:val="000000" w:themeColor="text1"/>
                <w:sz w:val="16"/>
                <w:szCs w:val="16"/>
                <w:lang w:val="en-GB"/>
              </w:rPr>
              <w:t>E</w:t>
            </w:r>
            <w:r w:rsidR="004806A8">
              <w:rPr>
                <w:color w:val="000000" w:themeColor="text1"/>
                <w:sz w:val="16"/>
                <w:szCs w:val="16"/>
                <w:lang w:val="en-GB"/>
              </w:rPr>
              <w:t xml:space="preserve">xit from </w:t>
            </w:r>
            <w:r w:rsidRPr="002C0219">
              <w:rPr>
                <w:color w:val="000000" w:themeColor="text1"/>
                <w:sz w:val="16"/>
                <w:szCs w:val="16"/>
                <w:lang w:val="en-GB"/>
              </w:rPr>
              <w:t xml:space="preserve">the exchange rate </w:t>
            </w:r>
            <w:r w:rsidR="004806A8" w:rsidRPr="002C0219">
              <w:rPr>
                <w:color w:val="000000" w:themeColor="text1"/>
                <w:sz w:val="16"/>
                <w:szCs w:val="16"/>
                <w:lang w:val="en-GB"/>
              </w:rPr>
              <w:t>commitment</w:t>
            </w:r>
            <w:r w:rsidR="00E662D1" w:rsidRPr="002C0219">
              <w:rPr>
                <w:color w:val="000000" w:themeColor="text1"/>
                <w:sz w:val="16"/>
                <w:szCs w:val="16"/>
                <w:lang w:val="en-GB"/>
              </w:rPr>
              <w:t xml:space="preserve"> also meant the halting of purchases of foreign currencies. </w:t>
            </w:r>
          </w:p>
        </w:tc>
        <w:tc>
          <w:tcPr>
            <w:tcW w:w="144" w:type="pct"/>
          </w:tcPr>
          <w:p w:rsidR="00DD0726" w:rsidRPr="002C0219" w:rsidRDefault="00DD0726" w:rsidP="00260FBE">
            <w:pPr>
              <w:pStyle w:val="Textpoznpodarou"/>
              <w:jc w:val="both"/>
              <w:rPr>
                <w:lang w:val="en-GB"/>
              </w:rPr>
            </w:pPr>
          </w:p>
        </w:tc>
        <w:tc>
          <w:tcPr>
            <w:tcW w:w="3840" w:type="pct"/>
            <w:gridSpan w:val="2"/>
          </w:tcPr>
          <w:p w:rsidR="00E42070" w:rsidRPr="002C0219" w:rsidRDefault="004806A8" w:rsidP="00E42070">
            <w:pPr>
              <w:pStyle w:val="Textpoznpodarou"/>
              <w:jc w:val="both"/>
              <w:rPr>
                <w:sz w:val="16"/>
                <w:szCs w:val="16"/>
                <w:lang w:val="en-GB"/>
              </w:rPr>
            </w:pPr>
            <w:r>
              <w:rPr>
                <w:lang w:val="en-GB"/>
              </w:rPr>
              <w:t xml:space="preserve">The exchange rate commitment </w:t>
            </w:r>
            <w:r w:rsidR="00E42070" w:rsidRPr="002C0219">
              <w:rPr>
                <w:lang w:val="en-GB"/>
              </w:rPr>
              <w:t>requiring the purchase of foreign currencies lasted still till the 5</w:t>
            </w:r>
            <w:r w:rsidR="00E42070" w:rsidRPr="002C0219">
              <w:rPr>
                <w:vertAlign w:val="superscript"/>
                <w:lang w:val="en-GB"/>
              </w:rPr>
              <w:t>th</w:t>
            </w:r>
            <w:r w:rsidR="00E42070" w:rsidRPr="002C0219">
              <w:rPr>
                <w:lang w:val="en-GB"/>
              </w:rPr>
              <w:t xml:space="preserve"> April. The CNB purchased </w:t>
            </w:r>
            <w:proofErr w:type="spellStart"/>
            <w:r>
              <w:rPr>
                <w:lang w:val="en-GB"/>
              </w:rPr>
              <w:t>forex</w:t>
            </w:r>
            <w:proofErr w:type="spellEnd"/>
            <w:r w:rsidR="00E42070" w:rsidRPr="002C0219">
              <w:rPr>
                <w:lang w:val="en-GB"/>
              </w:rPr>
              <w:t xml:space="preserve"> valued 0.7 </w:t>
            </w:r>
            <w:proofErr w:type="spellStart"/>
            <w:r w:rsidR="00E42070" w:rsidRPr="002C0219">
              <w:rPr>
                <w:lang w:val="en-GB"/>
              </w:rPr>
              <w:t>bn</w:t>
            </w:r>
            <w:proofErr w:type="spellEnd"/>
            <w:r w:rsidR="00E42070" w:rsidRPr="002C0219">
              <w:rPr>
                <w:lang w:val="en-GB"/>
              </w:rPr>
              <w:t xml:space="preserve"> </w:t>
            </w:r>
            <w:r w:rsidRPr="002C0219">
              <w:rPr>
                <w:lang w:val="en-GB"/>
              </w:rPr>
              <w:t>euro</w:t>
            </w:r>
            <w:r>
              <w:rPr>
                <w:lang w:val="en-GB"/>
              </w:rPr>
              <w:t>.</w:t>
            </w:r>
            <w:r w:rsidR="00E42070" w:rsidRPr="002C0219">
              <w:rPr>
                <w:lang w:val="en-GB"/>
              </w:rPr>
              <w:t xml:space="preserve"> This is only a tiny </w:t>
            </w:r>
            <w:r>
              <w:rPr>
                <w:lang w:val="en-GB"/>
              </w:rPr>
              <w:t>fraction</w:t>
            </w:r>
            <w:r w:rsidR="00E42070" w:rsidRPr="002C0219">
              <w:rPr>
                <w:lang w:val="en-GB"/>
              </w:rPr>
              <w:t xml:space="preserve"> in comparison to the previous month, when the purchases of foreign currency attained 19.3 </w:t>
            </w:r>
            <w:proofErr w:type="spellStart"/>
            <w:r w:rsidR="00E42070" w:rsidRPr="002C0219">
              <w:rPr>
                <w:lang w:val="en-GB"/>
              </w:rPr>
              <w:t>bn</w:t>
            </w:r>
            <w:proofErr w:type="spellEnd"/>
            <w:r w:rsidR="00E42070" w:rsidRPr="002C0219">
              <w:rPr>
                <w:lang w:val="en-GB"/>
              </w:rPr>
              <w:t xml:space="preserve"> </w:t>
            </w:r>
            <w:proofErr w:type="gramStart"/>
            <w:r w:rsidR="00E42070" w:rsidRPr="002C0219">
              <w:rPr>
                <w:lang w:val="en-GB"/>
              </w:rPr>
              <w:t>eur</w:t>
            </w:r>
            <w:r>
              <w:rPr>
                <w:lang w:val="en-GB"/>
              </w:rPr>
              <w:t>o</w:t>
            </w:r>
            <w:proofErr w:type="gramEnd"/>
            <w:r w:rsidR="00E42070" w:rsidRPr="002C0219">
              <w:rPr>
                <w:lang w:val="en-GB"/>
              </w:rPr>
              <w:t>. Monetary</w:t>
            </w:r>
            <w:r w:rsidR="007502A6">
              <w:rPr>
                <w:lang w:val="en-GB"/>
              </w:rPr>
              <w:t xml:space="preserve"> policy</w:t>
            </w:r>
            <w:r w:rsidR="00E42070" w:rsidRPr="002C0219">
              <w:rPr>
                <w:lang w:val="en-GB"/>
              </w:rPr>
              <w:t xml:space="preserve"> rates, which represent the main instrument of the execution of the monetary policy did not change in Q2 and remained at the so called </w:t>
            </w:r>
            <w:r>
              <w:rPr>
                <w:lang w:val="en-GB"/>
              </w:rPr>
              <w:t>technical zero</w:t>
            </w:r>
            <w:r w:rsidR="00E42070" w:rsidRPr="002C0219">
              <w:rPr>
                <w:lang w:val="en-GB"/>
              </w:rPr>
              <w:t>.</w:t>
            </w:r>
          </w:p>
          <w:p w:rsidR="00DD0726" w:rsidRPr="002C0219" w:rsidRDefault="00DD0726" w:rsidP="00260FBE">
            <w:pPr>
              <w:pStyle w:val="Textpoznpodarou"/>
              <w:jc w:val="both"/>
              <w:rPr>
                <w:sz w:val="16"/>
                <w:szCs w:val="16"/>
                <w:lang w:val="en-GB"/>
              </w:rPr>
            </w:pPr>
          </w:p>
        </w:tc>
      </w:tr>
      <w:tr w:rsidR="00FF5899" w:rsidRPr="00A74192" w:rsidTr="00FF5899">
        <w:trPr>
          <w:trHeight w:val="1115"/>
        </w:trPr>
        <w:tc>
          <w:tcPr>
            <w:tcW w:w="1016" w:type="pct"/>
            <w:shd w:val="clear" w:color="auto" w:fill="auto"/>
          </w:tcPr>
          <w:p w:rsidR="00FF5899" w:rsidRPr="006D5608" w:rsidRDefault="00FF5899" w:rsidP="00260FBE">
            <w:pPr>
              <w:spacing w:line="240" w:lineRule="auto"/>
              <w:rPr>
                <w:color w:val="000000" w:themeColor="text1"/>
                <w:sz w:val="16"/>
                <w:szCs w:val="16"/>
                <w:highlight w:val="yellow"/>
              </w:rPr>
            </w:pPr>
            <w:r>
              <w:rPr>
                <w:color w:val="000000" w:themeColor="text1"/>
                <w:sz w:val="16"/>
                <w:szCs w:val="16"/>
                <w:lang w:val="en-GB"/>
              </w:rPr>
              <w:t xml:space="preserve">The interbank rates ceased falling further. </w:t>
            </w:r>
          </w:p>
        </w:tc>
        <w:tc>
          <w:tcPr>
            <w:tcW w:w="144" w:type="pct"/>
          </w:tcPr>
          <w:p w:rsidR="00FF5899" w:rsidRPr="003E6E0D" w:rsidRDefault="00FF5899" w:rsidP="00260FBE">
            <w:pPr>
              <w:pStyle w:val="Textpoznpodarou"/>
              <w:jc w:val="both"/>
              <w:rPr>
                <w:highlight w:val="yellow"/>
              </w:rPr>
            </w:pPr>
          </w:p>
        </w:tc>
        <w:tc>
          <w:tcPr>
            <w:tcW w:w="3840" w:type="pct"/>
            <w:gridSpan w:val="2"/>
          </w:tcPr>
          <w:p w:rsidR="00FF5899" w:rsidRDefault="00FF5899" w:rsidP="00E42070">
            <w:pPr>
              <w:pStyle w:val="Textpoznpodarou"/>
              <w:jc w:val="both"/>
              <w:rPr>
                <w:sz w:val="16"/>
                <w:szCs w:val="16"/>
              </w:rPr>
            </w:pPr>
            <w:r>
              <w:rPr>
                <w:spacing w:val="-2"/>
                <w:lang w:val="en-GB"/>
              </w:rPr>
              <w:t xml:space="preserve">Despite the constant monetary policy rates (both Czech and European), the trend shifted for the interbank interest rates, which started to slightly grow after more than four-year period of fall. The three-month rate PRIBOR increased by 0.01 p.p. to 0.29% in April and subsequently to value 0.30% in May, where it remained. The annual PRIBOR increased from the March 0.44% to 0.45% and then to 0.46%. The yields of government bonds, which grew mildly during Q1 still slightly increased in April, then they however kept falling (medium term and short-term bonds) or stayed nearly the same (short term bonds). The yield on two-year bonds still remains negative, the interest rate for the medium-term bonds again moved narrowly below zero in June. </w:t>
            </w:r>
          </w:p>
          <w:p w:rsidR="00FF5899" w:rsidRPr="00B07108" w:rsidRDefault="00FF5899" w:rsidP="00E42070">
            <w:pPr>
              <w:pStyle w:val="Textpoznpodarou"/>
              <w:jc w:val="both"/>
              <w:rPr>
                <w:sz w:val="16"/>
                <w:szCs w:val="16"/>
              </w:rPr>
            </w:pPr>
          </w:p>
        </w:tc>
      </w:tr>
      <w:tr w:rsidR="00FF5899" w:rsidRPr="00A74192" w:rsidTr="00260FBE">
        <w:trPr>
          <w:trHeight w:val="1114"/>
        </w:trPr>
        <w:tc>
          <w:tcPr>
            <w:tcW w:w="1016" w:type="pct"/>
            <w:shd w:val="clear" w:color="auto" w:fill="auto"/>
          </w:tcPr>
          <w:p w:rsidR="00FF5899" w:rsidRDefault="00FF5899" w:rsidP="00260FBE">
            <w:pPr>
              <w:spacing w:line="240" w:lineRule="auto"/>
              <w:rPr>
                <w:color w:val="000000" w:themeColor="text1"/>
                <w:sz w:val="16"/>
                <w:szCs w:val="16"/>
                <w:lang w:val="en-GB"/>
              </w:rPr>
            </w:pPr>
            <w:r>
              <w:rPr>
                <w:color w:val="000000" w:themeColor="text1"/>
                <w:sz w:val="16"/>
                <w:szCs w:val="16"/>
                <w:lang w:val="en-GB"/>
              </w:rPr>
              <w:t>The growth of the amount of money in the economy accelerated</w:t>
            </w:r>
            <w:r w:rsidRPr="005D2208">
              <w:rPr>
                <w:color w:val="000000" w:themeColor="text1"/>
                <w:sz w:val="16"/>
                <w:szCs w:val="16"/>
              </w:rPr>
              <w:t>.</w:t>
            </w:r>
          </w:p>
        </w:tc>
        <w:tc>
          <w:tcPr>
            <w:tcW w:w="144" w:type="pct"/>
          </w:tcPr>
          <w:p w:rsidR="00FF5899" w:rsidRPr="003E6E0D" w:rsidRDefault="00FF5899" w:rsidP="00260FBE">
            <w:pPr>
              <w:pStyle w:val="Textpoznpodarou"/>
              <w:jc w:val="both"/>
              <w:rPr>
                <w:highlight w:val="yellow"/>
              </w:rPr>
            </w:pPr>
          </w:p>
        </w:tc>
        <w:tc>
          <w:tcPr>
            <w:tcW w:w="3840" w:type="pct"/>
            <w:gridSpan w:val="2"/>
          </w:tcPr>
          <w:p w:rsidR="00FF5899" w:rsidRPr="00985B15" w:rsidRDefault="00FF5899" w:rsidP="00486640">
            <w:pPr>
              <w:pStyle w:val="Textpoznpodarou"/>
              <w:jc w:val="both"/>
              <w:rPr>
                <w:sz w:val="16"/>
                <w:szCs w:val="16"/>
                <w:lang w:val="en-GB"/>
              </w:rPr>
            </w:pPr>
            <w:r w:rsidRPr="00985B15">
              <w:rPr>
                <w:lang w:val="en-GB"/>
              </w:rPr>
              <w:t>Year-on-year growth of the amount of money in the economy accelerated during the first half of the year and crossed 10.0</w:t>
            </w:r>
            <w:r>
              <w:rPr>
                <w:lang w:val="en-GB"/>
              </w:rPr>
              <w:t>%</w:t>
            </w:r>
            <w:r w:rsidRPr="00985B15">
              <w:rPr>
                <w:lang w:val="en-GB"/>
              </w:rPr>
              <w:t>. In Q2, the money stock increased by 12.5</w:t>
            </w:r>
            <w:r>
              <w:rPr>
                <w:lang w:val="en-GB"/>
              </w:rPr>
              <w:t>%</w:t>
            </w:r>
            <w:r w:rsidRPr="00985B15">
              <w:rPr>
                <w:lang w:val="en-GB"/>
              </w:rPr>
              <w:t xml:space="preserve"> year-on-year. One</w:t>
            </w:r>
            <w:r>
              <w:rPr>
                <w:lang w:val="en-GB"/>
              </w:rPr>
              <w:t xml:space="preserve">-day deposits, which grew by </w:t>
            </w:r>
            <w:proofErr w:type="gramStart"/>
            <w:r>
              <w:rPr>
                <w:lang w:val="en-GB"/>
              </w:rPr>
              <w:t>14.</w:t>
            </w:r>
            <w:r w:rsidRPr="00985B15">
              <w:rPr>
                <w:lang w:val="en-GB"/>
              </w:rPr>
              <w:t>7</w:t>
            </w:r>
            <w:r>
              <w:rPr>
                <w:lang w:val="en-GB"/>
              </w:rPr>
              <w:t>%</w:t>
            </w:r>
            <w:proofErr w:type="gramEnd"/>
            <w:r w:rsidRPr="00985B15">
              <w:rPr>
                <w:lang w:val="en-GB"/>
              </w:rPr>
              <w:t xml:space="preserve"> were the main factor behind the growth. The volume of repo operations and </w:t>
            </w:r>
            <w:r>
              <w:rPr>
                <w:lang w:val="en-GB"/>
              </w:rPr>
              <w:t xml:space="preserve">participation certificates </w:t>
            </w:r>
            <w:r w:rsidRPr="00985B15">
              <w:rPr>
                <w:lang w:val="en-GB"/>
              </w:rPr>
              <w:t xml:space="preserve">grew </w:t>
            </w:r>
            <w:proofErr w:type="gramStart"/>
            <w:r w:rsidRPr="00985B15">
              <w:rPr>
                <w:lang w:val="en-GB"/>
              </w:rPr>
              <w:t>sharply,</w:t>
            </w:r>
            <w:proofErr w:type="gramEnd"/>
            <w:r w:rsidRPr="00985B15">
              <w:rPr>
                <w:lang w:val="en-GB"/>
              </w:rPr>
              <w:t xml:space="preserve"> they however form only a small </w:t>
            </w:r>
            <w:r>
              <w:rPr>
                <w:lang w:val="en-GB"/>
              </w:rPr>
              <w:t xml:space="preserve">fraction </w:t>
            </w:r>
            <w:r w:rsidRPr="00985B15">
              <w:rPr>
                <w:lang w:val="en-GB"/>
              </w:rPr>
              <w:t xml:space="preserve">of the total volume of money. On the contrary, the fall of the volume of </w:t>
            </w:r>
            <w:r>
              <w:rPr>
                <w:lang w:val="en-GB"/>
              </w:rPr>
              <w:t>deposits with agreed maturity</w:t>
            </w:r>
            <w:r w:rsidRPr="00985B15">
              <w:rPr>
                <w:lang w:val="en-GB"/>
              </w:rPr>
              <w:t xml:space="preserve">, which notably decreased in 2016, mildly weakened. </w:t>
            </w:r>
          </w:p>
          <w:p w:rsidR="00FF5899" w:rsidRDefault="00FF5899" w:rsidP="00E42070">
            <w:pPr>
              <w:pStyle w:val="Textpoznpodarou"/>
              <w:jc w:val="both"/>
              <w:rPr>
                <w:spacing w:val="-2"/>
                <w:lang w:val="en-GB"/>
              </w:rPr>
            </w:pPr>
          </w:p>
          <w:p w:rsidR="00FF5899" w:rsidRDefault="00FF5899" w:rsidP="00E42070">
            <w:pPr>
              <w:pStyle w:val="Textpoznpodarou"/>
              <w:jc w:val="both"/>
              <w:rPr>
                <w:spacing w:val="-2"/>
                <w:lang w:val="en-GB"/>
              </w:rPr>
            </w:pPr>
          </w:p>
          <w:p w:rsidR="00FA4BFF" w:rsidRDefault="00FA4BFF" w:rsidP="00E42070">
            <w:pPr>
              <w:pStyle w:val="Textpoznpodarou"/>
              <w:jc w:val="both"/>
              <w:rPr>
                <w:spacing w:val="-2"/>
                <w:lang w:val="en-GB"/>
              </w:rPr>
            </w:pPr>
          </w:p>
          <w:p w:rsidR="00FF5899" w:rsidRDefault="00FF5899" w:rsidP="00E42070">
            <w:pPr>
              <w:pStyle w:val="Textpoznpodarou"/>
              <w:jc w:val="both"/>
              <w:rPr>
                <w:spacing w:val="-2"/>
                <w:lang w:val="en-GB"/>
              </w:rPr>
            </w:pPr>
          </w:p>
        </w:tc>
      </w:tr>
      <w:tr w:rsidR="00FF5899" w:rsidRPr="00A74192" w:rsidTr="00260FBE">
        <w:trPr>
          <w:trHeight w:val="145"/>
        </w:trPr>
        <w:tc>
          <w:tcPr>
            <w:tcW w:w="1016" w:type="pct"/>
            <w:shd w:val="clear" w:color="auto" w:fill="auto"/>
          </w:tcPr>
          <w:p w:rsidR="00FF5899" w:rsidRPr="005D2208" w:rsidRDefault="00FF5899" w:rsidP="00260FBE">
            <w:pPr>
              <w:spacing w:line="240" w:lineRule="auto"/>
              <w:rPr>
                <w:color w:val="000000" w:themeColor="text1"/>
                <w:sz w:val="16"/>
                <w:szCs w:val="16"/>
              </w:rPr>
            </w:pPr>
          </w:p>
        </w:tc>
        <w:tc>
          <w:tcPr>
            <w:tcW w:w="144" w:type="pct"/>
          </w:tcPr>
          <w:p w:rsidR="00FF5899" w:rsidRPr="003E6E0D" w:rsidRDefault="00FF5899" w:rsidP="00260FBE">
            <w:pPr>
              <w:pStyle w:val="Textpoznpodarou"/>
              <w:jc w:val="both"/>
            </w:pPr>
          </w:p>
        </w:tc>
        <w:tc>
          <w:tcPr>
            <w:tcW w:w="568" w:type="pct"/>
          </w:tcPr>
          <w:p w:rsidR="00FF5899" w:rsidRDefault="00FF5899" w:rsidP="00260FBE">
            <w:pPr>
              <w:pStyle w:val="Textpoznpodarou"/>
              <w:jc w:val="both"/>
            </w:pPr>
            <w:r>
              <w:t>Chart 18</w:t>
            </w:r>
          </w:p>
        </w:tc>
        <w:tc>
          <w:tcPr>
            <w:tcW w:w="3272" w:type="pct"/>
          </w:tcPr>
          <w:p w:rsidR="00FF5899" w:rsidRPr="00173D81" w:rsidRDefault="00FF5899" w:rsidP="00260FBE">
            <w:pPr>
              <w:pStyle w:val="Textpoznpodarou"/>
              <w:jc w:val="both"/>
              <w:rPr>
                <w:lang w:val="en-GB"/>
              </w:rPr>
            </w:pPr>
            <w:r w:rsidRPr="00173D81">
              <w:rPr>
                <w:b/>
                <w:lang w:val="en-GB"/>
              </w:rPr>
              <w:t xml:space="preserve">Market interest rates </w:t>
            </w:r>
            <w:r w:rsidRPr="00173D81">
              <w:rPr>
                <w:lang w:val="en-GB"/>
              </w:rPr>
              <w:t>(</w:t>
            </w:r>
            <w:r>
              <w:rPr>
                <w:lang w:val="en-GB"/>
              </w:rPr>
              <w:t>in %</w:t>
            </w:r>
            <w:r w:rsidRPr="00173D81">
              <w:rPr>
                <w:lang w:val="en-GB"/>
              </w:rPr>
              <w:t>)</w:t>
            </w:r>
          </w:p>
        </w:tc>
      </w:tr>
      <w:tr w:rsidR="00FF5899" w:rsidRPr="00A74192" w:rsidTr="00260FBE">
        <w:trPr>
          <w:trHeight w:val="145"/>
        </w:trPr>
        <w:tc>
          <w:tcPr>
            <w:tcW w:w="1016" w:type="pct"/>
            <w:shd w:val="clear" w:color="auto" w:fill="auto"/>
          </w:tcPr>
          <w:p w:rsidR="00FF5899" w:rsidRPr="005D2208" w:rsidRDefault="00FF5899" w:rsidP="00260FBE">
            <w:pPr>
              <w:spacing w:line="240" w:lineRule="auto"/>
              <w:rPr>
                <w:color w:val="000000" w:themeColor="text1"/>
                <w:sz w:val="16"/>
                <w:szCs w:val="16"/>
              </w:rPr>
            </w:pPr>
          </w:p>
        </w:tc>
        <w:tc>
          <w:tcPr>
            <w:tcW w:w="144" w:type="pct"/>
          </w:tcPr>
          <w:p w:rsidR="00FF5899" w:rsidRPr="003E6E0D" w:rsidRDefault="00FF5899" w:rsidP="00260FBE">
            <w:pPr>
              <w:pStyle w:val="Textpoznpodarou"/>
              <w:jc w:val="both"/>
            </w:pPr>
          </w:p>
        </w:tc>
        <w:tc>
          <w:tcPr>
            <w:tcW w:w="3840" w:type="pct"/>
            <w:gridSpan w:val="2"/>
          </w:tcPr>
          <w:p w:rsidR="00FF5899" w:rsidRPr="00985B15" w:rsidRDefault="00FF5899" w:rsidP="00260FBE">
            <w:pPr>
              <w:pStyle w:val="Textpoznpodarou"/>
              <w:jc w:val="right"/>
              <w:rPr>
                <w:sz w:val="14"/>
                <w:szCs w:val="14"/>
                <w:lang w:val="en-GB"/>
              </w:rPr>
            </w:pPr>
            <w:r w:rsidRPr="007502A6">
              <w:rPr>
                <w:noProof/>
              </w:rPr>
              <w:drawing>
                <wp:inline distT="0" distB="0" distL="0" distR="0">
                  <wp:extent cx="4737600" cy="3553200"/>
                  <wp:effectExtent l="0" t="0" r="0" b="0"/>
                  <wp:docPr id="4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985B15">
              <w:rPr>
                <w:sz w:val="14"/>
                <w:szCs w:val="14"/>
                <w:lang w:val="en-GB"/>
              </w:rPr>
              <w:t xml:space="preserve"> Source: CNB</w:t>
            </w:r>
          </w:p>
          <w:p w:rsidR="00FF5899" w:rsidRPr="00985B15" w:rsidRDefault="00FF5899" w:rsidP="007502A6">
            <w:pPr>
              <w:pStyle w:val="Textpoznpodarou"/>
              <w:rPr>
                <w:sz w:val="14"/>
                <w:szCs w:val="14"/>
                <w:lang w:val="en-GB"/>
              </w:rPr>
            </w:pPr>
          </w:p>
        </w:tc>
      </w:tr>
      <w:tr w:rsidR="00FF5899" w:rsidRPr="00A74192" w:rsidTr="00260FBE">
        <w:trPr>
          <w:trHeight w:val="145"/>
        </w:trPr>
        <w:tc>
          <w:tcPr>
            <w:tcW w:w="1016" w:type="pct"/>
            <w:shd w:val="clear" w:color="auto" w:fill="auto"/>
          </w:tcPr>
          <w:p w:rsidR="00FF5899" w:rsidRPr="009C3D95" w:rsidRDefault="00FF5899" w:rsidP="00260FBE">
            <w:pPr>
              <w:spacing w:line="240" w:lineRule="auto"/>
              <w:rPr>
                <w:color w:val="000000" w:themeColor="text1"/>
                <w:sz w:val="16"/>
                <w:szCs w:val="16"/>
                <w:highlight w:val="yellow"/>
                <w:lang w:val="en-GB"/>
              </w:rPr>
            </w:pPr>
            <w:r w:rsidRPr="009C3D95">
              <w:rPr>
                <w:color w:val="000000" w:themeColor="text1"/>
                <w:sz w:val="16"/>
                <w:szCs w:val="16"/>
                <w:lang w:val="en-GB"/>
              </w:rPr>
              <w:t>Deposit interest rates remain very low.</w:t>
            </w:r>
          </w:p>
        </w:tc>
        <w:tc>
          <w:tcPr>
            <w:tcW w:w="144" w:type="pct"/>
          </w:tcPr>
          <w:p w:rsidR="00FF5899" w:rsidRPr="009C3D95" w:rsidRDefault="00FF5899" w:rsidP="00260FBE">
            <w:pPr>
              <w:pStyle w:val="Textpoznpodarou"/>
              <w:jc w:val="both"/>
              <w:rPr>
                <w:lang w:val="en-GB"/>
              </w:rPr>
            </w:pPr>
          </w:p>
        </w:tc>
        <w:tc>
          <w:tcPr>
            <w:tcW w:w="3840" w:type="pct"/>
            <w:gridSpan w:val="2"/>
          </w:tcPr>
          <w:p w:rsidR="00FF5899" w:rsidRPr="009C3D95" w:rsidRDefault="00FF5899" w:rsidP="00260FBE">
            <w:pPr>
              <w:pStyle w:val="Textpoznpodarou"/>
              <w:jc w:val="both"/>
              <w:rPr>
                <w:sz w:val="16"/>
                <w:szCs w:val="16"/>
                <w:lang w:val="en-GB"/>
              </w:rPr>
            </w:pPr>
            <w:r>
              <w:rPr>
                <w:lang w:val="en-GB"/>
              </w:rPr>
              <w:t>The situation remained practically the same for the deposit interest rates. The current accounts of households held nearly zero interest – the average rate was 0.04% in May and June. The short-term oscillation for deposits with agreed maturity</w:t>
            </w:r>
            <w:r w:rsidRPr="009C3D95">
              <w:rPr>
                <w:lang w:val="en-GB"/>
              </w:rPr>
              <w:t xml:space="preserve"> </w:t>
            </w:r>
            <w:r>
              <w:rPr>
                <w:lang w:val="en-GB"/>
              </w:rPr>
              <w:t xml:space="preserve">in February to April, when the interest grew, returned to the long-term trend – the average rates fell by 0.34 p. p. from April till June and ended on </w:t>
            </w:r>
            <w:r w:rsidRPr="009C3D95">
              <w:rPr>
                <w:lang w:val="en-GB"/>
              </w:rPr>
              <w:t>0</w:t>
            </w:r>
            <w:r>
              <w:rPr>
                <w:lang w:val="en-GB"/>
              </w:rPr>
              <w:t>.</w:t>
            </w:r>
            <w:r w:rsidRPr="009C3D95">
              <w:rPr>
                <w:lang w:val="en-GB"/>
              </w:rPr>
              <w:t>64</w:t>
            </w:r>
            <w:r>
              <w:rPr>
                <w:lang w:val="en-GB"/>
              </w:rPr>
              <w:t>%</w:t>
            </w:r>
            <w:r w:rsidRPr="009C3D95">
              <w:rPr>
                <w:lang w:val="en-GB"/>
              </w:rPr>
              <w:t xml:space="preserve">. </w:t>
            </w:r>
            <w:r>
              <w:rPr>
                <w:lang w:val="en-GB"/>
              </w:rPr>
              <w:t xml:space="preserve">However, in contrast to the previous two years, the low interests were not accompanied by nearly zero price growth. The deposits are thus losing the real value. Entrepreneurs did not have many options, how to keep the value of their money either. The rates on all types of accounts nearly unified and fluctuated between </w:t>
            </w:r>
            <w:r w:rsidRPr="009C3D95">
              <w:rPr>
                <w:lang w:val="en-GB"/>
              </w:rPr>
              <w:t>0</w:t>
            </w:r>
            <w:r>
              <w:rPr>
                <w:lang w:val="en-GB"/>
              </w:rPr>
              <w:t>.</w:t>
            </w:r>
            <w:r w:rsidRPr="009C3D95">
              <w:rPr>
                <w:lang w:val="en-GB"/>
              </w:rPr>
              <w:t>03</w:t>
            </w:r>
            <w:r>
              <w:rPr>
                <w:lang w:val="en-GB"/>
              </w:rPr>
              <w:t>%</w:t>
            </w:r>
            <w:r w:rsidRPr="009C3D95">
              <w:rPr>
                <w:lang w:val="en-GB"/>
              </w:rPr>
              <w:t xml:space="preserve"> a</w:t>
            </w:r>
            <w:r>
              <w:rPr>
                <w:lang w:val="en-GB"/>
              </w:rPr>
              <w:t>nd</w:t>
            </w:r>
            <w:r w:rsidRPr="009C3D95">
              <w:rPr>
                <w:lang w:val="en-GB"/>
              </w:rPr>
              <w:t xml:space="preserve"> 0</w:t>
            </w:r>
            <w:r>
              <w:rPr>
                <w:lang w:val="en-GB"/>
              </w:rPr>
              <w:t>.</w:t>
            </w:r>
            <w:r w:rsidRPr="009C3D95">
              <w:rPr>
                <w:lang w:val="en-GB"/>
              </w:rPr>
              <w:t>05</w:t>
            </w:r>
            <w:r>
              <w:rPr>
                <w:lang w:val="en-GB"/>
              </w:rPr>
              <w:t>%</w:t>
            </w:r>
            <w:r w:rsidRPr="009C3D95">
              <w:rPr>
                <w:lang w:val="en-GB"/>
              </w:rPr>
              <w:t xml:space="preserve">. </w:t>
            </w:r>
          </w:p>
          <w:p w:rsidR="00FF5899" w:rsidRPr="009C3D95" w:rsidRDefault="00FF5899" w:rsidP="00260FBE">
            <w:pPr>
              <w:pStyle w:val="Textpoznpodarou"/>
              <w:jc w:val="both"/>
              <w:rPr>
                <w:sz w:val="16"/>
                <w:szCs w:val="16"/>
                <w:lang w:val="en-GB"/>
              </w:rPr>
            </w:pPr>
            <w:r w:rsidRPr="009C3D95">
              <w:rPr>
                <w:lang w:val="en-GB"/>
              </w:rPr>
              <w:t xml:space="preserve"> </w:t>
            </w:r>
          </w:p>
        </w:tc>
      </w:tr>
      <w:tr w:rsidR="00FF5899" w:rsidRPr="00A74192" w:rsidTr="00260FBE">
        <w:trPr>
          <w:trHeight w:val="145"/>
        </w:trPr>
        <w:tc>
          <w:tcPr>
            <w:tcW w:w="1016" w:type="pct"/>
            <w:shd w:val="clear" w:color="auto" w:fill="auto"/>
          </w:tcPr>
          <w:p w:rsidR="00FF5899" w:rsidRPr="006436E8" w:rsidRDefault="00FF5899" w:rsidP="00260FBE">
            <w:pPr>
              <w:spacing w:line="240" w:lineRule="auto"/>
              <w:rPr>
                <w:color w:val="000000" w:themeColor="text1"/>
                <w:sz w:val="16"/>
                <w:szCs w:val="16"/>
                <w:lang w:val="en-GB"/>
              </w:rPr>
            </w:pPr>
            <w:r w:rsidRPr="006436E8">
              <w:rPr>
                <w:color w:val="000000" w:themeColor="text1"/>
                <w:sz w:val="16"/>
                <w:szCs w:val="16"/>
                <w:lang w:val="en-GB"/>
              </w:rPr>
              <w:t>Both households and businesses made use of lasting low rates on credit…</w:t>
            </w:r>
          </w:p>
        </w:tc>
        <w:tc>
          <w:tcPr>
            <w:tcW w:w="144" w:type="pct"/>
          </w:tcPr>
          <w:p w:rsidR="00FF5899" w:rsidRPr="006436E8" w:rsidRDefault="00FF5899" w:rsidP="00260FBE">
            <w:pPr>
              <w:pStyle w:val="Textpoznpodarou"/>
              <w:jc w:val="both"/>
              <w:rPr>
                <w:lang w:val="en-GB"/>
              </w:rPr>
            </w:pPr>
          </w:p>
        </w:tc>
        <w:tc>
          <w:tcPr>
            <w:tcW w:w="3840" w:type="pct"/>
            <w:gridSpan w:val="2"/>
          </w:tcPr>
          <w:p w:rsidR="00FF5899" w:rsidRDefault="00FF5899" w:rsidP="0013249D">
            <w:pPr>
              <w:pStyle w:val="Textpoznpodarou"/>
              <w:jc w:val="both"/>
              <w:rPr>
                <w:lang w:val="en-GB"/>
              </w:rPr>
            </w:pPr>
            <w:r>
              <w:rPr>
                <w:lang w:val="en-GB"/>
              </w:rPr>
              <w:t xml:space="preserve">The rates for credit to households developed in a varied manner depending on the type and term of the fixed rate credit, nonetheless the several years lasting fall halted at the turn of years 2016 and 2017 </w:t>
            </w:r>
            <w:r w:rsidRPr="006436E8">
              <w:rPr>
                <w:lang w:val="en-GB"/>
              </w:rPr>
              <w:t>a</w:t>
            </w:r>
            <w:r>
              <w:rPr>
                <w:lang w:val="en-GB"/>
              </w:rPr>
              <w:t xml:space="preserve">nd the rates were rather stagnating. The mild drop continued for interests on the consumer credit, which fell for the first time on average below 10.0% in the past quarter. Their average interest was 9.32% in June 2017. The rates started to slightly grow for the thoroughly watched mortgages already in December of the last year. Very mild growth continued also this year. The rates on fixed rate credits with terms between </w:t>
            </w:r>
            <w:r w:rsidRPr="006436E8">
              <w:rPr>
                <w:lang w:val="en-GB"/>
              </w:rPr>
              <w:t>1 a</w:t>
            </w:r>
            <w:r>
              <w:rPr>
                <w:lang w:val="en-GB"/>
              </w:rPr>
              <w:t xml:space="preserve">nd 5 years increased from </w:t>
            </w:r>
            <w:r w:rsidRPr="006436E8">
              <w:rPr>
                <w:lang w:val="en-GB"/>
              </w:rPr>
              <w:t>2</w:t>
            </w:r>
            <w:r>
              <w:rPr>
                <w:lang w:val="en-GB"/>
              </w:rPr>
              <w:t>.</w:t>
            </w:r>
            <w:r w:rsidRPr="006436E8">
              <w:rPr>
                <w:lang w:val="en-GB"/>
              </w:rPr>
              <w:t>18</w:t>
            </w:r>
            <w:r>
              <w:rPr>
                <w:lang w:val="en-GB"/>
              </w:rPr>
              <w:t>%</w:t>
            </w:r>
            <w:r w:rsidRPr="006436E8">
              <w:rPr>
                <w:lang w:val="en-GB"/>
              </w:rPr>
              <w:t xml:space="preserve"> </w:t>
            </w:r>
            <w:r>
              <w:rPr>
                <w:lang w:val="en-GB"/>
              </w:rPr>
              <w:t xml:space="preserve">in March to </w:t>
            </w:r>
            <w:r w:rsidRPr="006436E8">
              <w:rPr>
                <w:lang w:val="en-GB"/>
              </w:rPr>
              <w:t>2</w:t>
            </w:r>
            <w:r>
              <w:rPr>
                <w:lang w:val="en-GB"/>
              </w:rPr>
              <w:t>.</w:t>
            </w:r>
            <w:r w:rsidRPr="006436E8">
              <w:rPr>
                <w:lang w:val="en-GB"/>
              </w:rPr>
              <w:t>22</w:t>
            </w:r>
            <w:r>
              <w:rPr>
                <w:lang w:val="en-GB"/>
              </w:rPr>
              <w:t>%</w:t>
            </w:r>
            <w:r w:rsidRPr="006436E8">
              <w:rPr>
                <w:lang w:val="en-GB"/>
              </w:rPr>
              <w:t xml:space="preserve"> </w:t>
            </w:r>
            <w:r>
              <w:rPr>
                <w:lang w:val="en-GB"/>
              </w:rPr>
              <w:t xml:space="preserve">in June </w:t>
            </w:r>
            <w:r w:rsidRPr="006436E8">
              <w:rPr>
                <w:lang w:val="en-GB"/>
              </w:rPr>
              <w:t xml:space="preserve">2017. </w:t>
            </w:r>
            <w:r>
              <w:rPr>
                <w:lang w:val="en-GB"/>
              </w:rPr>
              <w:t xml:space="preserve">They increased for terms of the fixed rate credit between </w:t>
            </w:r>
            <w:r w:rsidRPr="006436E8">
              <w:rPr>
                <w:lang w:val="en-GB"/>
              </w:rPr>
              <w:t>5 a</w:t>
            </w:r>
            <w:r>
              <w:rPr>
                <w:lang w:val="en-GB"/>
              </w:rPr>
              <w:t>nd</w:t>
            </w:r>
            <w:r w:rsidRPr="006436E8">
              <w:rPr>
                <w:lang w:val="en-GB"/>
              </w:rPr>
              <w:t xml:space="preserve"> 10 </w:t>
            </w:r>
            <w:r>
              <w:rPr>
                <w:lang w:val="en-GB"/>
              </w:rPr>
              <w:t>years</w:t>
            </w:r>
            <w:r w:rsidRPr="006436E8">
              <w:rPr>
                <w:lang w:val="en-GB"/>
              </w:rPr>
              <w:t xml:space="preserve"> </w:t>
            </w:r>
            <w:r>
              <w:rPr>
                <w:lang w:val="en-GB"/>
              </w:rPr>
              <w:t xml:space="preserve">from 2.11% to 2.18% for the same time period. The interest rates on credit to non-financial business also ceased falling, but they were mildly fluctuating above the level from the end of year 2016. </w:t>
            </w:r>
          </w:p>
          <w:p w:rsidR="00FF5899" w:rsidRPr="006436E8" w:rsidRDefault="00FF5899" w:rsidP="0013249D">
            <w:pPr>
              <w:pStyle w:val="Textpoznpodarou"/>
              <w:jc w:val="both"/>
              <w:rPr>
                <w:sz w:val="16"/>
                <w:szCs w:val="16"/>
                <w:lang w:val="en-GB"/>
              </w:rPr>
            </w:pPr>
          </w:p>
        </w:tc>
      </w:tr>
      <w:tr w:rsidR="00FF5899" w:rsidRPr="00A74192" w:rsidTr="00260FBE">
        <w:trPr>
          <w:trHeight w:val="145"/>
        </w:trPr>
        <w:tc>
          <w:tcPr>
            <w:tcW w:w="1016" w:type="pct"/>
            <w:shd w:val="clear" w:color="auto" w:fill="auto"/>
          </w:tcPr>
          <w:p w:rsidR="00FF5899" w:rsidRPr="007A4BC3" w:rsidRDefault="00FF5899" w:rsidP="00260FBE">
            <w:pPr>
              <w:spacing w:line="240" w:lineRule="auto"/>
              <w:rPr>
                <w:color w:val="000000" w:themeColor="text1"/>
                <w:sz w:val="16"/>
                <w:szCs w:val="16"/>
                <w:highlight w:val="yellow"/>
                <w:lang w:val="en-GB"/>
              </w:rPr>
            </w:pPr>
            <w:r w:rsidRPr="007A4BC3">
              <w:rPr>
                <w:color w:val="000000" w:themeColor="text1"/>
                <w:sz w:val="16"/>
                <w:szCs w:val="16"/>
                <w:lang w:val="en-GB"/>
              </w:rPr>
              <w:t xml:space="preserve">…the volume of both the provided mortgages and credit to non-financial businesses increased. </w:t>
            </w:r>
          </w:p>
        </w:tc>
        <w:tc>
          <w:tcPr>
            <w:tcW w:w="144" w:type="pct"/>
          </w:tcPr>
          <w:p w:rsidR="00FF5899" w:rsidRPr="007A4BC3" w:rsidRDefault="00FF5899" w:rsidP="00260FBE">
            <w:pPr>
              <w:pStyle w:val="Textpoznpodarou"/>
              <w:jc w:val="both"/>
              <w:rPr>
                <w:highlight w:val="yellow"/>
                <w:lang w:val="en-GB"/>
              </w:rPr>
            </w:pPr>
          </w:p>
        </w:tc>
        <w:tc>
          <w:tcPr>
            <w:tcW w:w="3840" w:type="pct"/>
            <w:gridSpan w:val="2"/>
          </w:tcPr>
          <w:p w:rsidR="00FF5899" w:rsidRPr="007A4BC3" w:rsidRDefault="00FF5899" w:rsidP="00260FBE">
            <w:pPr>
              <w:pStyle w:val="Textpoznpodarou"/>
              <w:jc w:val="both"/>
              <w:rPr>
                <w:sz w:val="16"/>
                <w:szCs w:val="16"/>
                <w:lang w:val="en-GB"/>
              </w:rPr>
            </w:pPr>
            <w:r>
              <w:rPr>
                <w:lang w:val="en-GB"/>
              </w:rPr>
              <w:t xml:space="preserve">The volume of credit provided to households expanded by 32.4 CZK </w:t>
            </w:r>
            <w:proofErr w:type="spellStart"/>
            <w:r>
              <w:rPr>
                <w:lang w:val="en-GB"/>
              </w:rPr>
              <w:t>bn</w:t>
            </w:r>
            <w:proofErr w:type="spellEnd"/>
            <w:r>
              <w:rPr>
                <w:lang w:val="en-GB"/>
              </w:rPr>
              <w:t xml:space="preserve"> during Q2. The mortgages were forming most of this increase. The volume of the provided mortgages expanded by 25.7 </w:t>
            </w:r>
            <w:proofErr w:type="spellStart"/>
            <w:r>
              <w:rPr>
                <w:lang w:val="en-GB"/>
              </w:rPr>
              <w:t>bn</w:t>
            </w:r>
            <w:proofErr w:type="spellEnd"/>
            <w:r>
              <w:rPr>
                <w:lang w:val="en-GB"/>
              </w:rPr>
              <w:t xml:space="preserve"> and followed thus in the extraordinarily strong increase from the previous quarter. The volume of credit and liabilities of the non-financial businesses expanded by 17.9 </w:t>
            </w:r>
            <w:proofErr w:type="spellStart"/>
            <w:r>
              <w:rPr>
                <w:lang w:val="en-GB"/>
              </w:rPr>
              <w:t>bn</w:t>
            </w:r>
            <w:proofErr w:type="spellEnd"/>
            <w:r>
              <w:rPr>
                <w:lang w:val="en-GB"/>
              </w:rPr>
              <w:t xml:space="preserve"> during Q2. At the same time the growth of the volume of credit provided in foreign currency, which accelerated in the second half of the last year and in Q1 </w:t>
            </w:r>
            <w:r w:rsidRPr="007A4BC3">
              <w:rPr>
                <w:lang w:val="en-GB"/>
              </w:rPr>
              <w:t>2017</w:t>
            </w:r>
            <w:r>
              <w:rPr>
                <w:lang w:val="en-GB"/>
              </w:rPr>
              <w:t>, halted</w:t>
            </w:r>
            <w:r w:rsidRPr="007A4BC3">
              <w:rPr>
                <w:lang w:val="en-GB"/>
              </w:rPr>
              <w:t xml:space="preserve">. </w:t>
            </w:r>
            <w:r>
              <w:rPr>
                <w:lang w:val="en-GB"/>
              </w:rPr>
              <w:t xml:space="preserve">The volume of this credit still increased in April, however it was already falling both in May and June. </w:t>
            </w:r>
          </w:p>
          <w:p w:rsidR="00FF5899" w:rsidRDefault="00FF5899" w:rsidP="00260FBE">
            <w:pPr>
              <w:pStyle w:val="Textpoznpodarou"/>
              <w:jc w:val="both"/>
              <w:rPr>
                <w:sz w:val="16"/>
                <w:szCs w:val="16"/>
                <w:lang w:val="en-GB"/>
              </w:rPr>
            </w:pPr>
          </w:p>
          <w:p w:rsidR="00FF5899" w:rsidRDefault="00FF5899" w:rsidP="00260FBE">
            <w:pPr>
              <w:pStyle w:val="Textpoznpodarou"/>
              <w:jc w:val="both"/>
              <w:rPr>
                <w:sz w:val="16"/>
                <w:szCs w:val="16"/>
                <w:lang w:val="en-GB"/>
              </w:rPr>
            </w:pPr>
          </w:p>
          <w:p w:rsidR="00FF5899" w:rsidRDefault="00FF5899" w:rsidP="00260FBE">
            <w:pPr>
              <w:pStyle w:val="Textpoznpodarou"/>
              <w:jc w:val="both"/>
              <w:rPr>
                <w:sz w:val="16"/>
                <w:szCs w:val="16"/>
                <w:lang w:val="en-GB"/>
              </w:rPr>
            </w:pPr>
          </w:p>
          <w:p w:rsidR="00FF5899" w:rsidRPr="007A4BC3" w:rsidRDefault="00FF5899" w:rsidP="00260FBE">
            <w:pPr>
              <w:pStyle w:val="Textpoznpodarou"/>
              <w:jc w:val="both"/>
              <w:rPr>
                <w:sz w:val="16"/>
                <w:szCs w:val="16"/>
                <w:lang w:val="en-GB"/>
              </w:rPr>
            </w:pPr>
          </w:p>
        </w:tc>
      </w:tr>
      <w:tr w:rsidR="00FF5899" w:rsidRPr="00AA4A76" w:rsidTr="00260FBE">
        <w:trPr>
          <w:trHeight w:val="145"/>
        </w:trPr>
        <w:tc>
          <w:tcPr>
            <w:tcW w:w="1016" w:type="pct"/>
            <w:shd w:val="clear" w:color="auto" w:fill="auto"/>
          </w:tcPr>
          <w:p w:rsidR="00FF5899" w:rsidRPr="00AA4A76" w:rsidRDefault="00FF5899" w:rsidP="00260FBE">
            <w:pPr>
              <w:spacing w:line="240" w:lineRule="auto"/>
              <w:jc w:val="center"/>
              <w:rPr>
                <w:color w:val="000000"/>
                <w:szCs w:val="20"/>
              </w:rPr>
            </w:pPr>
          </w:p>
        </w:tc>
        <w:tc>
          <w:tcPr>
            <w:tcW w:w="144" w:type="pct"/>
          </w:tcPr>
          <w:p w:rsidR="00FF5899" w:rsidRPr="00AA4A76" w:rsidRDefault="00FF5899" w:rsidP="00260FBE">
            <w:pPr>
              <w:pStyle w:val="Textpoznpodarou"/>
              <w:jc w:val="both"/>
              <w:rPr>
                <w:highlight w:val="yellow"/>
              </w:rPr>
            </w:pPr>
          </w:p>
        </w:tc>
        <w:tc>
          <w:tcPr>
            <w:tcW w:w="568" w:type="pct"/>
          </w:tcPr>
          <w:p w:rsidR="00FF5899" w:rsidRPr="00AA4A76" w:rsidRDefault="00FF5899" w:rsidP="00717173">
            <w:pPr>
              <w:pStyle w:val="Textpoznpodarou"/>
              <w:jc w:val="both"/>
              <w:rPr>
                <w:highlight w:val="yellow"/>
              </w:rPr>
            </w:pPr>
            <w:r>
              <w:rPr>
                <w:color w:val="000000"/>
              </w:rPr>
              <w:t xml:space="preserve">Chart </w:t>
            </w:r>
            <w:r w:rsidRPr="00AA4A76">
              <w:rPr>
                <w:color w:val="000000"/>
              </w:rPr>
              <w:t>1</w:t>
            </w:r>
            <w:r>
              <w:rPr>
                <w:color w:val="000000"/>
              </w:rPr>
              <w:t>9</w:t>
            </w:r>
          </w:p>
        </w:tc>
        <w:tc>
          <w:tcPr>
            <w:tcW w:w="3272" w:type="pct"/>
          </w:tcPr>
          <w:p w:rsidR="00FF5899" w:rsidRPr="005F294D" w:rsidRDefault="00FF5899" w:rsidP="00260FBE">
            <w:pPr>
              <w:pStyle w:val="Textpoznpodarou"/>
              <w:jc w:val="both"/>
              <w:rPr>
                <w:highlight w:val="yellow"/>
                <w:lang w:val="en-GB"/>
              </w:rPr>
            </w:pPr>
            <w:r w:rsidRPr="005F294D">
              <w:rPr>
                <w:b/>
                <w:color w:val="000000" w:themeColor="text1"/>
                <w:lang w:val="en-GB"/>
              </w:rPr>
              <w:t xml:space="preserve">Credit provided to households </w:t>
            </w:r>
            <w:r w:rsidRPr="005F294D">
              <w:rPr>
                <w:color w:val="000000" w:themeColor="text1"/>
                <w:lang w:val="en-GB"/>
              </w:rPr>
              <w:t xml:space="preserve">(year-on-year growth, </w:t>
            </w:r>
            <w:r>
              <w:rPr>
                <w:color w:val="000000" w:themeColor="text1"/>
                <w:lang w:val="en-GB"/>
              </w:rPr>
              <w:t>in %</w:t>
            </w:r>
            <w:r w:rsidRPr="005F294D">
              <w:rPr>
                <w:color w:val="000000" w:themeColor="text1"/>
                <w:lang w:val="en-GB"/>
              </w:rPr>
              <w:t>)</w:t>
            </w:r>
          </w:p>
        </w:tc>
      </w:tr>
      <w:tr w:rsidR="00FF5899" w:rsidRPr="00A74192" w:rsidTr="00260FBE">
        <w:trPr>
          <w:trHeight w:val="145"/>
        </w:trPr>
        <w:tc>
          <w:tcPr>
            <w:tcW w:w="1016" w:type="pct"/>
            <w:shd w:val="clear" w:color="auto" w:fill="auto"/>
          </w:tcPr>
          <w:p w:rsidR="00FF5899" w:rsidRPr="006D3F53" w:rsidRDefault="00FF5899" w:rsidP="00260FBE">
            <w:pPr>
              <w:spacing w:line="240" w:lineRule="auto"/>
              <w:rPr>
                <w:color w:val="000000"/>
                <w:sz w:val="16"/>
                <w:szCs w:val="16"/>
                <w:highlight w:val="yellow"/>
              </w:rPr>
            </w:pPr>
          </w:p>
        </w:tc>
        <w:tc>
          <w:tcPr>
            <w:tcW w:w="144" w:type="pct"/>
          </w:tcPr>
          <w:p w:rsidR="00FF5899" w:rsidRPr="00A74192" w:rsidRDefault="00FF5899" w:rsidP="00260FBE">
            <w:pPr>
              <w:pStyle w:val="Textpoznpodarou"/>
              <w:jc w:val="both"/>
            </w:pPr>
          </w:p>
        </w:tc>
        <w:tc>
          <w:tcPr>
            <w:tcW w:w="3840" w:type="pct"/>
            <w:gridSpan w:val="2"/>
          </w:tcPr>
          <w:p w:rsidR="00FF5899" w:rsidRDefault="00FF5899" w:rsidP="00260FBE">
            <w:pPr>
              <w:pStyle w:val="Textpoznpodarou"/>
              <w:ind w:left="-124"/>
              <w:jc w:val="both"/>
              <w:rPr>
                <w:sz w:val="16"/>
                <w:szCs w:val="16"/>
              </w:rPr>
            </w:pPr>
            <w:r w:rsidRPr="007502A6">
              <w:rPr>
                <w:noProof/>
                <w:sz w:val="16"/>
                <w:szCs w:val="16"/>
              </w:rPr>
              <w:drawing>
                <wp:inline distT="0" distB="0" distL="0" distR="0">
                  <wp:extent cx="4737600" cy="3553200"/>
                  <wp:effectExtent l="19050" t="0" r="24900" b="9150"/>
                  <wp:docPr id="4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F5899" w:rsidRDefault="00FF5899" w:rsidP="00260FBE">
            <w:pPr>
              <w:pStyle w:val="Textpoznpodarou"/>
              <w:ind w:left="-124"/>
              <w:jc w:val="right"/>
              <w:rPr>
                <w:sz w:val="14"/>
                <w:szCs w:val="14"/>
              </w:rPr>
            </w:pPr>
            <w:proofErr w:type="spellStart"/>
            <w:r>
              <w:rPr>
                <w:sz w:val="14"/>
                <w:szCs w:val="14"/>
              </w:rPr>
              <w:t>Source</w:t>
            </w:r>
            <w:proofErr w:type="spellEnd"/>
            <w:r w:rsidRPr="00DE1460">
              <w:rPr>
                <w:sz w:val="14"/>
                <w:szCs w:val="14"/>
              </w:rPr>
              <w:t xml:space="preserve">: </w:t>
            </w:r>
            <w:r>
              <w:rPr>
                <w:sz w:val="14"/>
                <w:szCs w:val="14"/>
              </w:rPr>
              <w:t>CNB</w:t>
            </w:r>
          </w:p>
          <w:p w:rsidR="00FF5899" w:rsidRPr="003C20C4" w:rsidRDefault="00FF5899" w:rsidP="007502A6">
            <w:pPr>
              <w:pStyle w:val="Textpoznpodarou"/>
              <w:ind w:left="-124"/>
              <w:jc w:val="right"/>
              <w:rPr>
                <w:sz w:val="14"/>
                <w:szCs w:val="14"/>
              </w:rPr>
            </w:pPr>
          </w:p>
        </w:tc>
      </w:tr>
    </w:tbl>
    <w:p w:rsidR="00BF7F08" w:rsidRPr="0087703B" w:rsidRDefault="00F853A5" w:rsidP="00DD0726">
      <w:pPr>
        <w:pStyle w:val="Nadpis1"/>
        <w:numPr>
          <w:ilvl w:val="0"/>
          <w:numId w:val="12"/>
        </w:numPr>
        <w:ind w:left="709"/>
        <w:jc w:val="both"/>
        <w:rPr>
          <w:lang w:val="en-GB"/>
        </w:rPr>
      </w:pPr>
      <w:bookmarkStart w:id="19" w:name="_Toc493683640"/>
      <w:r w:rsidRPr="0087703B">
        <w:rPr>
          <w:lang w:val="en-GB"/>
        </w:rPr>
        <w:t>St</w:t>
      </w:r>
      <w:r w:rsidR="00CC47D7" w:rsidRPr="0087703B">
        <w:rPr>
          <w:lang w:val="en-GB"/>
        </w:rPr>
        <w:t>ate Budget</w:t>
      </w:r>
      <w:bookmarkEnd w:id="19"/>
    </w:p>
    <w:tbl>
      <w:tblPr>
        <w:tblW w:w="4995" w:type="pct"/>
        <w:tblInd w:w="108" w:type="dxa"/>
        <w:tblLayout w:type="fixed"/>
        <w:tblLook w:val="00A0"/>
      </w:tblPr>
      <w:tblGrid>
        <w:gridCol w:w="2000"/>
        <w:gridCol w:w="284"/>
        <w:gridCol w:w="7560"/>
      </w:tblGrid>
      <w:tr w:rsidR="001C3961" w:rsidRPr="00F06A1D" w:rsidTr="00853C0F">
        <w:trPr>
          <w:trHeight w:val="145"/>
        </w:trPr>
        <w:tc>
          <w:tcPr>
            <w:tcW w:w="1016" w:type="pct"/>
            <w:shd w:val="clear" w:color="auto" w:fill="auto"/>
          </w:tcPr>
          <w:p w:rsidR="001C3961" w:rsidRPr="00717173" w:rsidRDefault="00CC47D7" w:rsidP="00853C0F">
            <w:pPr>
              <w:spacing w:line="240" w:lineRule="auto"/>
              <w:rPr>
                <w:rFonts w:cs="Arial"/>
                <w:color w:val="0D0D0D" w:themeColor="text1" w:themeTint="F2"/>
                <w:spacing w:val="-4"/>
                <w:sz w:val="16"/>
                <w:szCs w:val="16"/>
                <w:lang w:val="en-GB"/>
              </w:rPr>
            </w:pPr>
            <w:r w:rsidRPr="00717173">
              <w:rPr>
                <w:rFonts w:cs="Arial"/>
                <w:color w:val="0D0D0D" w:themeColor="text1" w:themeTint="F2"/>
                <w:spacing w:val="-4"/>
                <w:sz w:val="16"/>
                <w:szCs w:val="16"/>
                <w:lang w:val="en-GB"/>
              </w:rPr>
              <w:t>State budget was staying in surplus within H1 already for the fourth time in a row, its size was how</w:t>
            </w:r>
            <w:r w:rsidR="0087703B">
              <w:rPr>
                <w:rFonts w:cs="Arial"/>
                <w:color w:val="0D0D0D" w:themeColor="text1" w:themeTint="F2"/>
                <w:spacing w:val="-4"/>
                <w:sz w:val="16"/>
                <w:szCs w:val="16"/>
                <w:lang w:val="en-GB"/>
              </w:rPr>
              <w:t>ev</w:t>
            </w:r>
            <w:r w:rsidRPr="00717173">
              <w:rPr>
                <w:rFonts w:cs="Arial"/>
                <w:color w:val="0D0D0D" w:themeColor="text1" w:themeTint="F2"/>
                <w:spacing w:val="-4"/>
                <w:sz w:val="16"/>
                <w:szCs w:val="16"/>
                <w:lang w:val="en-GB"/>
              </w:rPr>
              <w:t>er lower year-on-year</w:t>
            </w:r>
            <w:r w:rsidR="001C3961" w:rsidRPr="00717173">
              <w:rPr>
                <w:rFonts w:cs="Arial"/>
                <w:color w:val="0D0D0D" w:themeColor="text1" w:themeTint="F2"/>
                <w:spacing w:val="-4"/>
                <w:sz w:val="16"/>
                <w:szCs w:val="16"/>
                <w:lang w:val="en-GB"/>
              </w:rPr>
              <w:t>.</w:t>
            </w:r>
          </w:p>
          <w:p w:rsidR="001C3961" w:rsidRPr="00717173" w:rsidRDefault="001C3961" w:rsidP="00853C0F">
            <w:pPr>
              <w:spacing w:line="240" w:lineRule="auto"/>
              <w:rPr>
                <w:rFonts w:cs="Arial"/>
                <w:color w:val="0D0D0D" w:themeColor="text1" w:themeTint="F2"/>
                <w:spacing w:val="-4"/>
                <w:sz w:val="16"/>
                <w:szCs w:val="16"/>
                <w:lang w:val="en-GB"/>
              </w:rPr>
            </w:pPr>
          </w:p>
          <w:p w:rsidR="001C3961" w:rsidRPr="00717173" w:rsidRDefault="001C3961" w:rsidP="00853C0F">
            <w:pPr>
              <w:spacing w:line="240" w:lineRule="auto"/>
              <w:rPr>
                <w:rFonts w:cs="Arial"/>
                <w:color w:val="0D0D0D" w:themeColor="text1" w:themeTint="F2"/>
                <w:spacing w:val="-4"/>
                <w:sz w:val="16"/>
                <w:szCs w:val="16"/>
                <w:lang w:val="en-GB"/>
              </w:rPr>
            </w:pPr>
          </w:p>
          <w:p w:rsidR="001C3961" w:rsidRPr="00717173" w:rsidRDefault="001C3961" w:rsidP="00853C0F">
            <w:pPr>
              <w:spacing w:line="240" w:lineRule="auto"/>
              <w:rPr>
                <w:rFonts w:cs="Arial"/>
                <w:color w:val="0D0D0D" w:themeColor="text1" w:themeTint="F2"/>
                <w:spacing w:val="-4"/>
                <w:sz w:val="16"/>
                <w:szCs w:val="16"/>
                <w:lang w:val="en-GB"/>
              </w:rPr>
            </w:pPr>
          </w:p>
          <w:p w:rsidR="001C3961" w:rsidRPr="00717173" w:rsidRDefault="00CC47D7" w:rsidP="00853C0F">
            <w:pPr>
              <w:spacing w:line="240" w:lineRule="auto"/>
              <w:rPr>
                <w:rFonts w:cs="Arial"/>
                <w:color w:val="0D0D0D" w:themeColor="text1" w:themeTint="F2"/>
                <w:spacing w:val="-4"/>
                <w:sz w:val="16"/>
                <w:szCs w:val="16"/>
                <w:lang w:val="en-GB"/>
              </w:rPr>
            </w:pPr>
            <w:r w:rsidRPr="00717173">
              <w:rPr>
                <w:rFonts w:cs="Arial"/>
                <w:color w:val="0D0D0D" w:themeColor="text1" w:themeTint="F2"/>
                <w:spacing w:val="-4"/>
                <w:sz w:val="16"/>
                <w:szCs w:val="16"/>
                <w:lang w:val="en-GB"/>
              </w:rPr>
              <w:t xml:space="preserve">The marked decline of </w:t>
            </w:r>
            <w:r w:rsidR="003114A6">
              <w:rPr>
                <w:rFonts w:cs="Arial"/>
                <w:color w:val="0D0D0D" w:themeColor="text1" w:themeTint="F2"/>
                <w:spacing w:val="-4"/>
                <w:sz w:val="16"/>
                <w:szCs w:val="16"/>
                <w:lang w:val="en-GB"/>
              </w:rPr>
              <w:t>income</w:t>
            </w:r>
            <w:r w:rsidRPr="00717173">
              <w:rPr>
                <w:rFonts w:cs="Arial"/>
                <w:color w:val="0D0D0D" w:themeColor="text1" w:themeTint="F2"/>
                <w:spacing w:val="-4"/>
                <w:sz w:val="16"/>
                <w:szCs w:val="16"/>
                <w:lang w:val="en-GB"/>
              </w:rPr>
              <w:t xml:space="preserve"> flowing from the European funds anticipated by budget was only partially offset by </w:t>
            </w:r>
            <w:r w:rsidR="0087703B" w:rsidRPr="00717173">
              <w:rPr>
                <w:rFonts w:cs="Arial"/>
                <w:color w:val="0D0D0D" w:themeColor="text1" w:themeTint="F2"/>
                <w:spacing w:val="-4"/>
                <w:sz w:val="16"/>
                <w:szCs w:val="16"/>
                <w:lang w:val="en-GB"/>
              </w:rPr>
              <w:t>growing</w:t>
            </w:r>
            <w:r w:rsidRPr="00717173">
              <w:rPr>
                <w:rFonts w:cs="Arial"/>
                <w:color w:val="0D0D0D" w:themeColor="text1" w:themeTint="F2"/>
                <w:spacing w:val="-4"/>
                <w:sz w:val="16"/>
                <w:szCs w:val="16"/>
                <w:lang w:val="en-GB"/>
              </w:rPr>
              <w:t xml:space="preserve"> tax </w:t>
            </w:r>
            <w:r w:rsidR="003114A6">
              <w:rPr>
                <w:rFonts w:cs="Arial"/>
                <w:color w:val="0D0D0D" w:themeColor="text1" w:themeTint="F2"/>
                <w:spacing w:val="-4"/>
                <w:sz w:val="16"/>
                <w:szCs w:val="16"/>
                <w:lang w:val="en-GB"/>
              </w:rPr>
              <w:t>revenues</w:t>
            </w:r>
            <w:r w:rsidRPr="00717173">
              <w:rPr>
                <w:rFonts w:cs="Arial"/>
                <w:color w:val="0D0D0D" w:themeColor="text1" w:themeTint="F2"/>
                <w:spacing w:val="-4"/>
                <w:sz w:val="16"/>
                <w:szCs w:val="16"/>
                <w:lang w:val="en-GB"/>
              </w:rPr>
              <w:t>.</w:t>
            </w:r>
            <w:r w:rsidR="001C3961" w:rsidRPr="00717173">
              <w:rPr>
                <w:rFonts w:cs="Arial"/>
                <w:color w:val="0D0D0D" w:themeColor="text1" w:themeTint="F2"/>
                <w:spacing w:val="-4"/>
                <w:sz w:val="16"/>
                <w:szCs w:val="16"/>
                <w:lang w:val="en-GB"/>
              </w:rPr>
              <w:t xml:space="preserve"> </w:t>
            </w:r>
          </w:p>
        </w:tc>
        <w:tc>
          <w:tcPr>
            <w:tcW w:w="144" w:type="pct"/>
          </w:tcPr>
          <w:p w:rsidR="001C3961" w:rsidRPr="00717173" w:rsidRDefault="001C3961" w:rsidP="00853C0F">
            <w:pPr>
              <w:pStyle w:val="Textpoznpodarou"/>
              <w:jc w:val="both"/>
              <w:rPr>
                <w:rFonts w:cs="Arial"/>
                <w:color w:val="0D0D0D" w:themeColor="text1" w:themeTint="F2"/>
                <w:lang w:val="en-GB"/>
              </w:rPr>
            </w:pPr>
          </w:p>
        </w:tc>
        <w:tc>
          <w:tcPr>
            <w:tcW w:w="3840" w:type="pct"/>
          </w:tcPr>
          <w:p w:rsidR="001C3961" w:rsidRPr="00717173" w:rsidRDefault="004B3DA2" w:rsidP="00853C0F">
            <w:pPr>
              <w:pStyle w:val="Textpoznpodarou"/>
              <w:jc w:val="both"/>
              <w:rPr>
                <w:rFonts w:cs="Arial"/>
                <w:color w:val="000000" w:themeColor="text1"/>
                <w:spacing w:val="-3"/>
                <w:lang w:val="en-GB"/>
              </w:rPr>
            </w:pPr>
            <w:r>
              <w:rPr>
                <w:rFonts w:cs="Arial"/>
                <w:color w:val="0D0D0D" w:themeColor="text1" w:themeTint="F2"/>
                <w:spacing w:val="-3"/>
                <w:lang w:val="en-GB"/>
              </w:rPr>
              <w:t>State bud</w:t>
            </w:r>
            <w:r w:rsidR="007367BE">
              <w:rPr>
                <w:rFonts w:cs="Arial"/>
                <w:color w:val="0D0D0D" w:themeColor="text1" w:themeTint="F2"/>
                <w:spacing w:val="-3"/>
                <w:lang w:val="en-GB"/>
              </w:rPr>
              <w:t>get</w:t>
            </w:r>
            <w:r>
              <w:rPr>
                <w:rFonts w:cs="Arial"/>
                <w:color w:val="0D0D0D" w:themeColor="text1" w:themeTint="F2"/>
                <w:spacing w:val="-3"/>
                <w:lang w:val="en-GB"/>
              </w:rPr>
              <w:t xml:space="preserve"> (SB) </w:t>
            </w:r>
            <w:r w:rsidR="007367BE">
              <w:rPr>
                <w:rFonts w:cs="Arial"/>
                <w:color w:val="0D0D0D" w:themeColor="text1" w:themeTint="F2"/>
                <w:spacing w:val="-3"/>
                <w:lang w:val="en-GB"/>
              </w:rPr>
              <w:t xml:space="preserve">was most influenced by the strengthening economic growth together with the irregular cycle of the drawing of resources from the European funds in the course of the first half of the year. The SB achieved a moderate surplus of 4.6 </w:t>
            </w:r>
            <w:r w:rsidR="00467B4F">
              <w:rPr>
                <w:rFonts w:cs="Arial"/>
                <w:color w:val="0D0D0D" w:themeColor="text1" w:themeTint="F2"/>
                <w:spacing w:val="-3"/>
                <w:lang w:val="en-GB"/>
              </w:rPr>
              <w:t xml:space="preserve">CZK </w:t>
            </w:r>
            <w:proofErr w:type="spellStart"/>
            <w:r w:rsidR="00467B4F">
              <w:rPr>
                <w:rFonts w:cs="Arial"/>
                <w:color w:val="0D0D0D" w:themeColor="text1" w:themeTint="F2"/>
                <w:spacing w:val="-3"/>
                <w:lang w:val="en-GB"/>
              </w:rPr>
              <w:t>bn</w:t>
            </w:r>
            <w:proofErr w:type="spellEnd"/>
            <w:r w:rsidR="007367BE">
              <w:rPr>
                <w:rFonts w:cs="Arial"/>
                <w:color w:val="0D0D0D" w:themeColor="text1" w:themeTint="F2"/>
                <w:spacing w:val="-3"/>
                <w:lang w:val="en-GB"/>
              </w:rPr>
              <w:t xml:space="preserve"> in H1 2017 (based on the data of the Ministry of Finance on cash fulfilment). The positive balance was in this period attained already for the fourth time in a </w:t>
            </w:r>
            <w:proofErr w:type="gramStart"/>
            <w:r w:rsidR="007367BE">
              <w:rPr>
                <w:rFonts w:cs="Arial"/>
                <w:color w:val="0D0D0D" w:themeColor="text1" w:themeTint="F2"/>
                <w:spacing w:val="-3"/>
                <w:lang w:val="en-GB"/>
              </w:rPr>
              <w:t>row,</w:t>
            </w:r>
            <w:proofErr w:type="gramEnd"/>
            <w:r w:rsidR="007367BE">
              <w:rPr>
                <w:rFonts w:cs="Arial"/>
                <w:color w:val="0D0D0D" w:themeColor="text1" w:themeTint="F2"/>
                <w:spacing w:val="-3"/>
                <w:lang w:val="en-GB"/>
              </w:rPr>
              <w:t xml:space="preserve"> this year´s result was however at the same time the weakest after year 2014. </w:t>
            </w:r>
            <w:r w:rsidR="00473E0B">
              <w:rPr>
                <w:rFonts w:cs="Arial"/>
                <w:color w:val="0D0D0D" w:themeColor="text1" w:themeTint="F2"/>
                <w:spacing w:val="-3"/>
                <w:lang w:val="en-GB"/>
              </w:rPr>
              <w:t xml:space="preserve">The narrowing surplus mirrored the effect of the notable </w:t>
            </w:r>
            <w:r w:rsidR="0056260F">
              <w:rPr>
                <w:rFonts w:cs="Arial"/>
                <w:color w:val="0D0D0D" w:themeColor="text1" w:themeTint="F2"/>
                <w:spacing w:val="-3"/>
                <w:lang w:val="en-GB"/>
              </w:rPr>
              <w:t>irregularities in the flows of the resources from the EU budget</w:t>
            </w:r>
            <w:r w:rsidR="001C3961" w:rsidRPr="00717173">
              <w:rPr>
                <w:rStyle w:val="Znakapoznpodarou"/>
                <w:color w:val="0D0D0D" w:themeColor="text1" w:themeTint="F2"/>
                <w:spacing w:val="-3"/>
                <w:lang w:val="en-GB"/>
              </w:rPr>
              <w:footnoteReference w:id="29"/>
            </w:r>
            <w:r w:rsidR="001C3961" w:rsidRPr="00717173">
              <w:rPr>
                <w:rFonts w:cs="Arial"/>
                <w:color w:val="0D0D0D" w:themeColor="text1" w:themeTint="F2"/>
                <w:spacing w:val="-3"/>
                <w:lang w:val="en-GB"/>
              </w:rPr>
              <w:t xml:space="preserve">. </w:t>
            </w:r>
            <w:r w:rsidR="0056260F">
              <w:rPr>
                <w:rFonts w:cs="Arial"/>
                <w:color w:val="0D0D0D" w:themeColor="text1" w:themeTint="F2"/>
                <w:spacing w:val="-3"/>
                <w:lang w:val="en-GB"/>
              </w:rPr>
              <w:t>Revenues of the SB from the EU were by nearly 60</w:t>
            </w:r>
            <w:r w:rsidR="00954C8E">
              <w:rPr>
                <w:rFonts w:cs="Arial"/>
                <w:color w:val="0D0D0D" w:themeColor="text1" w:themeTint="F2"/>
                <w:spacing w:val="-3"/>
                <w:lang w:val="en-GB"/>
              </w:rPr>
              <w:t>%</w:t>
            </w:r>
            <w:r w:rsidR="0056260F">
              <w:rPr>
                <w:rFonts w:cs="Arial"/>
                <w:color w:val="0D0D0D" w:themeColor="text1" w:themeTint="F2"/>
                <w:spacing w:val="-3"/>
                <w:lang w:val="en-GB"/>
              </w:rPr>
              <w:t xml:space="preserve"> lower this year. This slump was connected with the fact, that the vast majority of the last year´s revenues </w:t>
            </w:r>
            <w:proofErr w:type="gramStart"/>
            <w:r w:rsidR="0056260F">
              <w:rPr>
                <w:rFonts w:cs="Arial"/>
                <w:color w:val="0D0D0D" w:themeColor="text1" w:themeTint="F2"/>
                <w:spacing w:val="-3"/>
                <w:lang w:val="en-GB"/>
              </w:rPr>
              <w:t>was</w:t>
            </w:r>
            <w:proofErr w:type="gramEnd"/>
            <w:r w:rsidR="0056260F">
              <w:rPr>
                <w:rFonts w:cs="Arial"/>
                <w:color w:val="0D0D0D" w:themeColor="text1" w:themeTint="F2"/>
                <w:spacing w:val="-3"/>
                <w:lang w:val="en-GB"/>
              </w:rPr>
              <w:t xml:space="preserve"> still linked to the programme period </w:t>
            </w:r>
            <w:r w:rsidR="00B6493D" w:rsidRPr="00717173">
              <w:rPr>
                <w:spacing w:val="-3"/>
                <w:lang w:val="en-GB"/>
              </w:rPr>
              <w:t xml:space="preserve">2007 </w:t>
            </w:r>
            <w:r w:rsidR="0056260F">
              <w:rPr>
                <w:spacing w:val="-3"/>
                <w:lang w:val="en-GB"/>
              </w:rPr>
              <w:t>till</w:t>
            </w:r>
            <w:r w:rsidR="00B6493D" w:rsidRPr="00717173">
              <w:rPr>
                <w:spacing w:val="-3"/>
                <w:lang w:val="en-GB"/>
              </w:rPr>
              <w:t xml:space="preserve"> </w:t>
            </w:r>
            <w:r w:rsidR="001C3961" w:rsidRPr="00717173">
              <w:rPr>
                <w:spacing w:val="-3"/>
                <w:lang w:val="en-GB"/>
              </w:rPr>
              <w:t xml:space="preserve">2013 </w:t>
            </w:r>
            <w:r w:rsidR="0056260F">
              <w:rPr>
                <w:spacing w:val="-3"/>
                <w:lang w:val="en-GB"/>
              </w:rPr>
              <w:t xml:space="preserve">and also with the slow last as well as this year´s onset of the drawing of funds in the new programme period. The favourable economic development further stimulated the growth of the total tax </w:t>
            </w:r>
            <w:r w:rsidR="003114A6">
              <w:rPr>
                <w:spacing w:val="-3"/>
                <w:lang w:val="en-GB"/>
              </w:rPr>
              <w:t>revenues</w:t>
            </w:r>
            <w:r w:rsidR="0056260F">
              <w:rPr>
                <w:spacing w:val="-3"/>
                <w:lang w:val="en-GB"/>
              </w:rPr>
              <w:t xml:space="preserve">, whose </w:t>
            </w:r>
            <w:r w:rsidR="00734EE6">
              <w:rPr>
                <w:spacing w:val="-3"/>
                <w:lang w:val="en-GB"/>
              </w:rPr>
              <w:t>state-wide</w:t>
            </w:r>
            <w:r w:rsidR="0056260F">
              <w:rPr>
                <w:spacing w:val="-3"/>
                <w:lang w:val="en-GB"/>
              </w:rPr>
              <w:t xml:space="preserve"> collection thus accelerated to 8.7</w:t>
            </w:r>
            <w:r w:rsidR="00954C8E">
              <w:rPr>
                <w:spacing w:val="-3"/>
                <w:lang w:val="en-GB"/>
              </w:rPr>
              <w:t>%</w:t>
            </w:r>
            <w:r w:rsidR="0056260F">
              <w:rPr>
                <w:spacing w:val="-3"/>
                <w:lang w:val="en-GB"/>
              </w:rPr>
              <w:t xml:space="preserve"> (the best result in the first half of the year after year 2005). The SB balance forming the key component of the deficit or surplus of the government institution sector arrived at +0.2</w:t>
            </w:r>
            <w:r w:rsidR="00954C8E">
              <w:rPr>
                <w:spacing w:val="-3"/>
                <w:lang w:val="en-GB"/>
              </w:rPr>
              <w:t>%</w:t>
            </w:r>
            <w:r w:rsidR="0056260F">
              <w:rPr>
                <w:spacing w:val="-3"/>
                <w:lang w:val="en-GB"/>
              </w:rPr>
              <w:t xml:space="preserve"> in relation to the nominal GDP (+1.7</w:t>
            </w:r>
            <w:r w:rsidR="00954C8E">
              <w:rPr>
                <w:spacing w:val="-3"/>
                <w:lang w:val="en-GB"/>
              </w:rPr>
              <w:t>%</w:t>
            </w:r>
            <w:r w:rsidR="0056260F">
              <w:rPr>
                <w:spacing w:val="-3"/>
                <w:lang w:val="en-GB"/>
              </w:rPr>
              <w:t xml:space="preserve"> a year ago). </w:t>
            </w:r>
          </w:p>
          <w:p w:rsidR="001C3961" w:rsidRPr="00717173" w:rsidRDefault="001C3961" w:rsidP="00853C0F">
            <w:pPr>
              <w:pStyle w:val="Textpoznpodarou"/>
              <w:jc w:val="both"/>
              <w:rPr>
                <w:rFonts w:cs="Arial"/>
                <w:color w:val="0D0D0D" w:themeColor="text1" w:themeTint="F2"/>
                <w:spacing w:val="-3"/>
                <w:sz w:val="15"/>
                <w:szCs w:val="15"/>
                <w:lang w:val="en-GB"/>
              </w:rPr>
            </w:pPr>
          </w:p>
        </w:tc>
      </w:tr>
      <w:tr w:rsidR="001C3961" w:rsidRPr="0094422D" w:rsidTr="00853C0F">
        <w:trPr>
          <w:trHeight w:val="145"/>
        </w:trPr>
        <w:tc>
          <w:tcPr>
            <w:tcW w:w="1016" w:type="pct"/>
            <w:shd w:val="clear" w:color="auto" w:fill="auto"/>
          </w:tcPr>
          <w:p w:rsidR="001C3961" w:rsidRPr="00DA06FE" w:rsidRDefault="00281E7F" w:rsidP="00853C0F">
            <w:pPr>
              <w:spacing w:line="240" w:lineRule="auto"/>
              <w:rPr>
                <w:rFonts w:cs="Arial"/>
                <w:color w:val="0D0D0D" w:themeColor="text1" w:themeTint="F2"/>
                <w:spacing w:val="-2"/>
                <w:sz w:val="16"/>
                <w:szCs w:val="16"/>
                <w:lang w:val="en-GB"/>
              </w:rPr>
            </w:pPr>
            <w:r w:rsidRPr="00DA06FE">
              <w:rPr>
                <w:rFonts w:cs="Arial"/>
                <w:color w:val="0D0D0D" w:themeColor="text1" w:themeTint="F2"/>
                <w:spacing w:val="-2"/>
                <w:sz w:val="16"/>
                <w:szCs w:val="16"/>
                <w:lang w:val="en-GB"/>
              </w:rPr>
              <w:t xml:space="preserve">Year-on-year rate of growth of the VAT collection accelerated during the first six months of year 2017. </w:t>
            </w:r>
          </w:p>
        </w:tc>
        <w:tc>
          <w:tcPr>
            <w:tcW w:w="144" w:type="pct"/>
          </w:tcPr>
          <w:p w:rsidR="001C3961" w:rsidRPr="00DA06FE" w:rsidRDefault="001C3961" w:rsidP="00853C0F">
            <w:pPr>
              <w:pStyle w:val="Textpoznpodarou"/>
              <w:jc w:val="both"/>
              <w:rPr>
                <w:rFonts w:cs="Arial"/>
                <w:color w:val="0D0D0D" w:themeColor="text1" w:themeTint="F2"/>
                <w:lang w:val="en-GB"/>
              </w:rPr>
            </w:pPr>
          </w:p>
        </w:tc>
        <w:tc>
          <w:tcPr>
            <w:tcW w:w="3840" w:type="pct"/>
          </w:tcPr>
          <w:p w:rsidR="001C3961" w:rsidRPr="00DA06FE" w:rsidRDefault="001C3961" w:rsidP="003D5135">
            <w:pPr>
              <w:spacing w:line="240" w:lineRule="auto"/>
              <w:jc w:val="both"/>
              <w:rPr>
                <w:rFonts w:cs="Arial"/>
                <w:color w:val="000000" w:themeColor="text1"/>
                <w:spacing w:val="-4"/>
                <w:lang w:val="en-GB"/>
              </w:rPr>
            </w:pPr>
            <w:r w:rsidRPr="00DA06FE">
              <w:rPr>
                <w:rFonts w:cs="Arial"/>
                <w:color w:val="000000" w:themeColor="text1"/>
                <w:spacing w:val="-4"/>
                <w:lang w:val="en-GB"/>
              </w:rPr>
              <w:t>T</w:t>
            </w:r>
            <w:r w:rsidR="00CC51B3" w:rsidRPr="00DA06FE">
              <w:rPr>
                <w:rFonts w:cs="Arial"/>
                <w:color w:val="000000" w:themeColor="text1"/>
                <w:spacing w:val="-4"/>
                <w:lang w:val="en-GB"/>
              </w:rPr>
              <w:t xml:space="preserve">he rate of growth of the </w:t>
            </w:r>
            <w:r w:rsidR="00DA06FE" w:rsidRPr="00DA06FE">
              <w:rPr>
                <w:rFonts w:cs="Arial"/>
                <w:color w:val="000000" w:themeColor="text1"/>
                <w:spacing w:val="-4"/>
                <w:lang w:val="en-GB"/>
              </w:rPr>
              <w:t>state-wide</w:t>
            </w:r>
            <w:r w:rsidR="00CC51B3" w:rsidRPr="00DA06FE">
              <w:rPr>
                <w:rFonts w:cs="Arial"/>
                <w:color w:val="000000" w:themeColor="text1"/>
                <w:spacing w:val="-4"/>
                <w:lang w:val="en-GB"/>
              </w:rPr>
              <w:t xml:space="preserve"> collection of the weight dominant tax – VAT – more than doubled year-on-year – to 14.1</w:t>
            </w:r>
            <w:r w:rsidR="00954C8E">
              <w:rPr>
                <w:rFonts w:cs="Arial"/>
                <w:color w:val="000000" w:themeColor="text1"/>
                <w:spacing w:val="-4"/>
                <w:lang w:val="en-GB"/>
              </w:rPr>
              <w:t>%</w:t>
            </w:r>
            <w:r w:rsidR="00CC51B3" w:rsidRPr="00DA06FE">
              <w:rPr>
                <w:rFonts w:cs="Arial"/>
                <w:color w:val="000000" w:themeColor="text1"/>
                <w:spacing w:val="-4"/>
                <w:lang w:val="en-GB"/>
              </w:rPr>
              <w:t xml:space="preserve"> (it increased by 13.1</w:t>
            </w:r>
            <w:r w:rsidR="00954C8E">
              <w:rPr>
                <w:rFonts w:cs="Arial"/>
                <w:color w:val="000000" w:themeColor="text1"/>
                <w:spacing w:val="-4"/>
                <w:lang w:val="en-GB"/>
              </w:rPr>
              <w:t>%</w:t>
            </w:r>
            <w:r w:rsidR="00CC51B3" w:rsidRPr="00DA06FE">
              <w:rPr>
                <w:rFonts w:cs="Arial"/>
                <w:color w:val="000000" w:themeColor="text1"/>
                <w:spacing w:val="-4"/>
                <w:lang w:val="en-GB"/>
              </w:rPr>
              <w:t xml:space="preserve"> at the level of the SB)</w:t>
            </w:r>
            <w:r w:rsidR="00CC51B3" w:rsidRPr="00DA06FE">
              <w:rPr>
                <w:rStyle w:val="Znakapoznpodarou"/>
                <w:color w:val="000000" w:themeColor="text1"/>
                <w:spacing w:val="-4"/>
                <w:lang w:val="en-GB"/>
              </w:rPr>
              <w:footnoteReference w:id="30"/>
            </w:r>
            <w:r w:rsidR="00CC51B3" w:rsidRPr="00DA06FE">
              <w:rPr>
                <w:rFonts w:cs="Arial"/>
                <w:color w:val="000000" w:themeColor="text1"/>
                <w:spacing w:val="-4"/>
                <w:lang w:val="en-GB"/>
              </w:rPr>
              <w:t xml:space="preserve"> primarily due to the pace acceleration in Q2 2017. The recent transfer of some activities from the grey economy due to the effect of the recent measures, introduced on the side of the tax </w:t>
            </w:r>
            <w:r w:rsidR="00965B40" w:rsidRPr="00DA06FE">
              <w:rPr>
                <w:rFonts w:cs="Arial"/>
                <w:color w:val="000000" w:themeColor="text1"/>
                <w:spacing w:val="-4"/>
                <w:lang w:val="en-GB"/>
              </w:rPr>
              <w:t>collection</w:t>
            </w:r>
            <w:r w:rsidR="00CC51B3" w:rsidRPr="00DA06FE">
              <w:rPr>
                <w:rFonts w:cs="Arial"/>
                <w:color w:val="000000" w:themeColor="text1"/>
                <w:spacing w:val="-4"/>
                <w:lang w:val="en-GB"/>
              </w:rPr>
              <w:t xml:space="preserve">, likely also partially contributed to this result. </w:t>
            </w:r>
            <w:r w:rsidR="002443A7" w:rsidRPr="00DA06FE">
              <w:rPr>
                <w:rFonts w:cs="Arial"/>
                <w:color w:val="000000" w:themeColor="text1"/>
                <w:spacing w:val="-4"/>
                <w:lang w:val="en-GB"/>
              </w:rPr>
              <w:t xml:space="preserve">The </w:t>
            </w:r>
            <w:r w:rsidR="00DA06FE" w:rsidRPr="00DA06FE">
              <w:rPr>
                <w:rFonts w:cs="Arial"/>
                <w:color w:val="000000" w:themeColor="text1"/>
                <w:spacing w:val="-4"/>
                <w:lang w:val="en-GB"/>
              </w:rPr>
              <w:t>long term</w:t>
            </w:r>
            <w:r w:rsidR="002443A7" w:rsidRPr="00DA06FE">
              <w:rPr>
                <w:rFonts w:cs="Arial"/>
                <w:color w:val="000000" w:themeColor="text1"/>
                <w:spacing w:val="-4"/>
                <w:lang w:val="en-GB"/>
              </w:rPr>
              <w:t xml:space="preserve"> favourable development of the economy, which was manifested also by the swift growth of final consumption expenditure in H1 </w:t>
            </w:r>
            <w:r w:rsidRPr="00DA06FE">
              <w:rPr>
                <w:rFonts w:cs="Arial"/>
                <w:color w:val="000000" w:themeColor="text1"/>
                <w:spacing w:val="-4"/>
                <w:lang w:val="en-GB"/>
              </w:rPr>
              <w:t>(</w:t>
            </w:r>
            <w:r w:rsidR="002443A7" w:rsidRPr="00DA06FE">
              <w:rPr>
                <w:rFonts w:cs="Arial"/>
                <w:color w:val="000000" w:themeColor="text1"/>
                <w:spacing w:val="-4"/>
                <w:lang w:val="en-GB"/>
              </w:rPr>
              <w:t>in nominal terms by 6.1</w:t>
            </w:r>
            <w:r w:rsidR="00954C8E">
              <w:rPr>
                <w:rFonts w:cs="Arial"/>
                <w:color w:val="000000" w:themeColor="text1"/>
                <w:spacing w:val="-4"/>
                <w:lang w:val="en-GB"/>
              </w:rPr>
              <w:t>%</w:t>
            </w:r>
            <w:r w:rsidR="002443A7" w:rsidRPr="00DA06FE">
              <w:rPr>
                <w:rFonts w:cs="Arial"/>
                <w:color w:val="000000" w:themeColor="text1"/>
                <w:spacing w:val="-4"/>
                <w:lang w:val="en-GB"/>
              </w:rPr>
              <w:t xml:space="preserve"> for households, by 5.5</w:t>
            </w:r>
            <w:r w:rsidR="00954C8E">
              <w:rPr>
                <w:rFonts w:cs="Arial"/>
                <w:color w:val="000000" w:themeColor="text1"/>
                <w:spacing w:val="-4"/>
                <w:lang w:val="en-GB"/>
              </w:rPr>
              <w:t>%</w:t>
            </w:r>
            <w:r w:rsidR="002443A7" w:rsidRPr="00DA06FE">
              <w:rPr>
                <w:rFonts w:cs="Arial"/>
                <w:color w:val="000000" w:themeColor="text1"/>
                <w:spacing w:val="-4"/>
                <w:lang w:val="en-GB"/>
              </w:rPr>
              <w:t xml:space="preserve"> for the government institutions</w:t>
            </w:r>
            <w:r w:rsidRPr="00DA06FE">
              <w:rPr>
                <w:rStyle w:val="Znakapoznpodarou"/>
                <w:color w:val="000000" w:themeColor="text1"/>
                <w:spacing w:val="-4"/>
                <w:lang w:val="en-GB"/>
              </w:rPr>
              <w:footnoteReference w:id="31"/>
            </w:r>
            <w:r w:rsidR="00D31EA5">
              <w:rPr>
                <w:rFonts w:cs="Arial"/>
                <w:color w:val="000000" w:themeColor="text1"/>
                <w:spacing w:val="-4"/>
                <w:lang w:val="en-GB"/>
              </w:rPr>
              <w:t>)</w:t>
            </w:r>
            <w:r w:rsidR="003D5135">
              <w:rPr>
                <w:rFonts w:cs="Arial"/>
                <w:color w:val="000000" w:themeColor="text1"/>
                <w:spacing w:val="-4"/>
                <w:lang w:val="en-GB"/>
              </w:rPr>
              <w:t xml:space="preserve"> had also positive effect</w:t>
            </w:r>
            <w:r w:rsidRPr="00DA06FE">
              <w:rPr>
                <w:rFonts w:cs="Arial"/>
                <w:color w:val="000000" w:themeColor="text1"/>
                <w:spacing w:val="-4"/>
                <w:lang w:val="en-GB"/>
              </w:rPr>
              <w:t xml:space="preserve">. </w:t>
            </w:r>
            <w:r w:rsidR="00A77C13">
              <w:rPr>
                <w:rFonts w:cs="Arial"/>
                <w:color w:val="000000" w:themeColor="text1"/>
                <w:spacing w:val="-4"/>
                <w:lang w:val="en-GB"/>
              </w:rPr>
              <w:t xml:space="preserve">This </w:t>
            </w:r>
            <w:r w:rsidR="00A77C13">
              <w:rPr>
                <w:rFonts w:cs="Arial"/>
                <w:color w:val="000000" w:themeColor="text1"/>
                <w:spacing w:val="-4"/>
                <w:lang w:val="en-GB"/>
              </w:rPr>
              <w:lastRenderedPageBreak/>
              <w:t xml:space="preserve">year´s growth of the VAT collection is also affected by the fact, that its last year´s collection (in contrast to other taxes important by volume) did not tightly fulfil the budget anticipations. </w:t>
            </w:r>
            <w:r w:rsidR="003D5135">
              <w:rPr>
                <w:rFonts w:cs="Arial"/>
                <w:color w:val="000000" w:themeColor="text1"/>
                <w:spacing w:val="-4"/>
                <w:lang w:val="en-GB"/>
              </w:rPr>
              <w:t>On the contrary t</w:t>
            </w:r>
            <w:r w:rsidR="00162714">
              <w:rPr>
                <w:rFonts w:cs="Arial"/>
                <w:color w:val="000000" w:themeColor="text1"/>
                <w:spacing w:val="-4"/>
                <w:lang w:val="en-GB"/>
              </w:rPr>
              <w:t xml:space="preserve">he lowering of the VAT rate for the food service activities </w:t>
            </w:r>
            <w:r w:rsidR="003D5135">
              <w:rPr>
                <w:rFonts w:cs="Arial"/>
                <w:color w:val="000000" w:themeColor="text1"/>
                <w:spacing w:val="-4"/>
                <w:lang w:val="en-GB"/>
              </w:rPr>
              <w:t xml:space="preserve">as well as for newspapers and magazines </w:t>
            </w:r>
            <w:r w:rsidR="00162714">
              <w:rPr>
                <w:rFonts w:cs="Arial"/>
                <w:color w:val="000000" w:themeColor="text1"/>
                <w:spacing w:val="-4"/>
                <w:lang w:val="en-GB"/>
              </w:rPr>
              <w:t>had a partial negative impact on th</w:t>
            </w:r>
            <w:r w:rsidR="003D5135">
              <w:rPr>
                <w:rFonts w:cs="Arial"/>
                <w:color w:val="000000" w:themeColor="text1"/>
                <w:spacing w:val="-4"/>
                <w:lang w:val="en-GB"/>
              </w:rPr>
              <w:t>is year´s</w:t>
            </w:r>
            <w:r w:rsidR="00162714">
              <w:rPr>
                <w:rFonts w:cs="Arial"/>
                <w:color w:val="000000" w:themeColor="text1"/>
                <w:spacing w:val="-4"/>
                <w:lang w:val="en-GB"/>
              </w:rPr>
              <w:t xml:space="preserve"> collection of the tax. </w:t>
            </w:r>
          </w:p>
        </w:tc>
      </w:tr>
    </w:tbl>
    <w:p w:rsidR="001C3961" w:rsidRPr="00FF5A0D" w:rsidRDefault="001C3961" w:rsidP="001C3961">
      <w:pPr>
        <w:pStyle w:val="Textpoznpodarou"/>
        <w:jc w:val="both"/>
        <w:rPr>
          <w:rFonts w:cs="Arial"/>
          <w:color w:val="000000"/>
          <w:spacing w:val="-2"/>
          <w:sz w:val="14"/>
          <w:szCs w:val="14"/>
        </w:rPr>
      </w:pPr>
    </w:p>
    <w:tbl>
      <w:tblPr>
        <w:tblW w:w="4963" w:type="pct"/>
        <w:tblInd w:w="108" w:type="dxa"/>
        <w:tblLayout w:type="fixed"/>
        <w:tblLook w:val="00A0"/>
      </w:tblPr>
      <w:tblGrid>
        <w:gridCol w:w="1997"/>
        <w:gridCol w:w="284"/>
        <w:gridCol w:w="1119"/>
        <w:gridCol w:w="6381"/>
      </w:tblGrid>
      <w:tr w:rsidR="001C3961" w:rsidRPr="00AA4A76"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87703B" w:rsidP="00853C0F">
            <w:pPr>
              <w:pStyle w:val="Textpoznpodarou"/>
              <w:jc w:val="both"/>
              <w:rPr>
                <w:highlight w:val="yellow"/>
              </w:rPr>
            </w:pPr>
            <w:r>
              <w:rPr>
                <w:color w:val="000000"/>
              </w:rPr>
              <w:t>Chart</w:t>
            </w:r>
            <w:r w:rsidR="001C3961">
              <w:rPr>
                <w:color w:val="000000"/>
              </w:rPr>
              <w:t xml:space="preserve"> 20</w:t>
            </w:r>
          </w:p>
        </w:tc>
        <w:tc>
          <w:tcPr>
            <w:tcW w:w="3262" w:type="pct"/>
          </w:tcPr>
          <w:p w:rsidR="001C3961" w:rsidRPr="00FC540C" w:rsidRDefault="00FC540C" w:rsidP="00853C0F">
            <w:pPr>
              <w:spacing w:line="240" w:lineRule="auto"/>
              <w:rPr>
                <w:rFonts w:cs="Arial"/>
                <w:bCs/>
                <w:lang w:val="en-GB"/>
              </w:rPr>
            </w:pPr>
            <w:r w:rsidRPr="00FC540C">
              <w:rPr>
                <w:rFonts w:cs="Arial"/>
                <w:b/>
                <w:bCs/>
                <w:lang w:val="en-GB"/>
              </w:rPr>
              <w:t xml:space="preserve">State wide collection of tax income </w:t>
            </w:r>
            <w:r w:rsidR="001C3961" w:rsidRPr="00FC540C">
              <w:rPr>
                <w:rFonts w:cs="Arial"/>
                <w:bCs/>
                <w:lang w:val="en-GB"/>
              </w:rPr>
              <w:t>(</w:t>
            </w:r>
            <w:r w:rsidRPr="00FC540C">
              <w:rPr>
                <w:rFonts w:cs="Arial"/>
                <w:bCs/>
                <w:lang w:val="en-GB"/>
              </w:rPr>
              <w:t xml:space="preserve">year-on-year </w:t>
            </w:r>
            <w:r w:rsidR="00954C8E">
              <w:rPr>
                <w:rFonts w:cs="Arial"/>
                <w:bCs/>
                <w:lang w:val="en-GB"/>
              </w:rPr>
              <w:t>in %</w:t>
            </w:r>
            <w:r w:rsidR="001C3961" w:rsidRPr="00FC540C">
              <w:rPr>
                <w:bCs/>
                <w:spacing w:val="-2"/>
                <w:lang w:val="en-GB"/>
              </w:rPr>
              <w:t>)</w:t>
            </w:r>
            <w:r w:rsidR="001C3961" w:rsidRPr="00FC540C">
              <w:rPr>
                <w:rFonts w:cs="Arial"/>
                <w:bCs/>
                <w:lang w:val="en-GB"/>
              </w:rPr>
              <w:t xml:space="preserve"> </w:t>
            </w:r>
          </w:p>
          <w:p w:rsidR="001C3961" w:rsidRPr="0007324C" w:rsidRDefault="00FC540C" w:rsidP="00853C0F">
            <w:pPr>
              <w:spacing w:line="240" w:lineRule="auto"/>
              <w:rPr>
                <w:rFonts w:cs="Arial"/>
                <w:b/>
                <w:bCs/>
              </w:rPr>
            </w:pPr>
            <w:r w:rsidRPr="00FC540C">
              <w:rPr>
                <w:rFonts w:cs="Arial"/>
                <w:b/>
                <w:bCs/>
                <w:lang w:val="en-GB"/>
              </w:rPr>
              <w:t xml:space="preserve">and state budget balance </w:t>
            </w:r>
            <w:r w:rsidR="001C3961" w:rsidRPr="00FC540C">
              <w:rPr>
                <w:rFonts w:cs="Arial"/>
                <w:bCs/>
                <w:lang w:val="en-GB"/>
              </w:rPr>
              <w:t>(</w:t>
            </w:r>
            <w:r w:rsidRPr="00FC540C">
              <w:rPr>
                <w:rFonts w:cs="Arial"/>
                <w:bCs/>
                <w:lang w:val="en-GB"/>
              </w:rPr>
              <w:t xml:space="preserve">in CZK </w:t>
            </w:r>
            <w:proofErr w:type="spellStart"/>
            <w:r w:rsidRPr="00FC540C">
              <w:rPr>
                <w:rFonts w:cs="Arial"/>
                <w:bCs/>
                <w:lang w:val="en-GB"/>
              </w:rPr>
              <w:t>bn</w:t>
            </w:r>
            <w:proofErr w:type="spellEnd"/>
            <w:r w:rsidR="001C3961" w:rsidRPr="00FC540C">
              <w:rPr>
                <w:rFonts w:cs="Arial"/>
                <w:bCs/>
                <w:lang w:val="en-GB"/>
              </w:rPr>
              <w:t xml:space="preserve">) </w:t>
            </w:r>
            <w:r w:rsidRPr="00FC540C">
              <w:rPr>
                <w:rFonts w:cs="Arial"/>
                <w:b/>
                <w:bCs/>
                <w:lang w:val="en-GB"/>
              </w:rPr>
              <w:t>in 1st half-years</w:t>
            </w:r>
            <w:r w:rsidR="001C3961">
              <w:rPr>
                <w:rFonts w:cs="Arial"/>
                <w:b/>
                <w:bCs/>
              </w:rPr>
              <w:t xml:space="preserve"> </w:t>
            </w:r>
          </w:p>
        </w:tc>
      </w:tr>
      <w:tr w:rsidR="001C3961" w:rsidRPr="00AA4A76"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3" w:type="pct"/>
            <w:gridSpan w:val="2"/>
          </w:tcPr>
          <w:p w:rsidR="001C3961" w:rsidRDefault="003D5135" w:rsidP="00853C0F">
            <w:pPr>
              <w:pStyle w:val="Textpoznpodarou"/>
              <w:ind w:left="-124"/>
              <w:jc w:val="both"/>
              <w:rPr>
                <w:sz w:val="16"/>
                <w:szCs w:val="16"/>
              </w:rPr>
            </w:pPr>
            <w:r w:rsidRPr="003D5135">
              <w:rPr>
                <w:noProof/>
                <w:sz w:val="16"/>
                <w:szCs w:val="16"/>
              </w:rPr>
              <w:drawing>
                <wp:inline distT="0" distB="0" distL="0" distR="0">
                  <wp:extent cx="4752000" cy="3528000"/>
                  <wp:effectExtent l="19050" t="0" r="0" b="0"/>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86640" w:rsidRDefault="00A77C13">
            <w:pPr>
              <w:pStyle w:val="Textpoznpodarou"/>
              <w:ind w:left="-124"/>
              <w:jc w:val="right"/>
              <w:rPr>
                <w:sz w:val="14"/>
                <w:szCs w:val="14"/>
              </w:rPr>
            </w:pPr>
            <w:proofErr w:type="spellStart"/>
            <w:r>
              <w:rPr>
                <w:rFonts w:cs="Arial"/>
                <w:sz w:val="14"/>
                <w:szCs w:val="14"/>
              </w:rPr>
              <w:t>Source</w:t>
            </w:r>
            <w:proofErr w:type="spellEnd"/>
            <w:r w:rsidR="001C3961" w:rsidRPr="00535F78">
              <w:rPr>
                <w:rFonts w:cs="Arial"/>
                <w:sz w:val="14"/>
                <w:szCs w:val="14"/>
              </w:rPr>
              <w:t>: MF</w:t>
            </w:r>
            <w:r w:rsidR="005B4B28">
              <w:rPr>
                <w:rFonts w:cs="Arial"/>
                <w:sz w:val="14"/>
                <w:szCs w:val="14"/>
              </w:rPr>
              <w:t xml:space="preserve"> C</w:t>
            </w:r>
            <w:r w:rsidR="004E09D4">
              <w:rPr>
                <w:rFonts w:cs="Arial"/>
                <w:sz w:val="14"/>
                <w:szCs w:val="14"/>
              </w:rPr>
              <w:t>R</w:t>
            </w:r>
          </w:p>
        </w:tc>
      </w:tr>
    </w:tbl>
    <w:p w:rsidR="001C3961" w:rsidRPr="004E09D4" w:rsidRDefault="001C3961" w:rsidP="001C3961">
      <w:pPr>
        <w:pStyle w:val="Textpoznpodarou"/>
        <w:jc w:val="both"/>
        <w:rPr>
          <w:rFonts w:cs="Arial"/>
          <w:color w:val="000000"/>
          <w:spacing w:val="-2"/>
          <w:sz w:val="16"/>
          <w:szCs w:val="16"/>
        </w:rPr>
      </w:pPr>
    </w:p>
    <w:tbl>
      <w:tblPr>
        <w:tblW w:w="4995" w:type="pct"/>
        <w:tblInd w:w="108" w:type="dxa"/>
        <w:tblLayout w:type="fixed"/>
        <w:tblLook w:val="00A0"/>
      </w:tblPr>
      <w:tblGrid>
        <w:gridCol w:w="2000"/>
        <w:gridCol w:w="284"/>
        <w:gridCol w:w="7560"/>
      </w:tblGrid>
      <w:tr w:rsidR="001C3961" w:rsidRPr="00F06A1D" w:rsidTr="00853C0F">
        <w:trPr>
          <w:trHeight w:val="145"/>
        </w:trPr>
        <w:tc>
          <w:tcPr>
            <w:tcW w:w="1016" w:type="pct"/>
            <w:shd w:val="clear" w:color="auto" w:fill="auto"/>
          </w:tcPr>
          <w:p w:rsidR="001C3961" w:rsidRPr="006B1684" w:rsidRDefault="001C0684" w:rsidP="00853C0F">
            <w:pPr>
              <w:spacing w:line="240" w:lineRule="auto"/>
              <w:rPr>
                <w:rFonts w:cs="Arial"/>
                <w:bCs/>
                <w:iCs/>
                <w:color w:val="0D0D0D" w:themeColor="text1" w:themeTint="F2"/>
                <w:spacing w:val="-2"/>
                <w:sz w:val="16"/>
                <w:szCs w:val="16"/>
                <w:lang w:val="en-GB"/>
              </w:rPr>
            </w:pPr>
            <w:r w:rsidRPr="006B1684">
              <w:rPr>
                <w:rFonts w:cs="Arial"/>
                <w:bCs/>
                <w:iCs/>
                <w:color w:val="0D0D0D" w:themeColor="text1" w:themeTint="F2"/>
                <w:sz w:val="16"/>
                <w:szCs w:val="16"/>
                <w:lang w:val="en-GB"/>
              </w:rPr>
              <w:t>The mild growth of the collection of the consumption taxes was affected by short</w:t>
            </w:r>
            <w:r w:rsidR="00F925B7">
              <w:rPr>
                <w:rFonts w:cs="Arial"/>
                <w:bCs/>
                <w:iCs/>
                <w:color w:val="0D0D0D" w:themeColor="text1" w:themeTint="F2"/>
                <w:sz w:val="16"/>
                <w:szCs w:val="16"/>
                <w:lang w:val="en-GB"/>
              </w:rPr>
              <w:t xml:space="preserve"> t</w:t>
            </w:r>
            <w:r w:rsidRPr="006B1684">
              <w:rPr>
                <w:rFonts w:cs="Arial"/>
                <w:bCs/>
                <w:iCs/>
                <w:color w:val="0D0D0D" w:themeColor="text1" w:themeTint="F2"/>
                <w:sz w:val="16"/>
                <w:szCs w:val="16"/>
                <w:lang w:val="en-GB"/>
              </w:rPr>
              <w:t xml:space="preserve">erm lowering of the collection of tax on tobacco products in the first half of the year. </w:t>
            </w:r>
            <w:r w:rsidR="001C3961" w:rsidRPr="006B1684">
              <w:rPr>
                <w:rFonts w:cs="Arial"/>
                <w:bCs/>
                <w:iCs/>
                <w:color w:val="0D0D0D" w:themeColor="text1" w:themeTint="F2"/>
                <w:sz w:val="16"/>
                <w:szCs w:val="16"/>
                <w:lang w:val="en-GB"/>
              </w:rPr>
              <w:t xml:space="preserve"> </w:t>
            </w:r>
          </w:p>
        </w:tc>
        <w:tc>
          <w:tcPr>
            <w:tcW w:w="144" w:type="pct"/>
          </w:tcPr>
          <w:p w:rsidR="001C3961" w:rsidRPr="006B1684" w:rsidRDefault="001C3961" w:rsidP="00853C0F">
            <w:pPr>
              <w:pStyle w:val="Textpoznpodarou"/>
              <w:jc w:val="both"/>
              <w:rPr>
                <w:rFonts w:cs="Arial"/>
                <w:color w:val="0D0D0D" w:themeColor="text1" w:themeTint="F2"/>
                <w:lang w:val="en-GB"/>
              </w:rPr>
            </w:pPr>
          </w:p>
        </w:tc>
        <w:tc>
          <w:tcPr>
            <w:tcW w:w="3840" w:type="pct"/>
          </w:tcPr>
          <w:p w:rsidR="00E84AAD" w:rsidRDefault="00F925B7" w:rsidP="009C6B47">
            <w:pPr>
              <w:pStyle w:val="Textpoznpodarou"/>
              <w:jc w:val="both"/>
              <w:rPr>
                <w:spacing w:val="-2"/>
                <w:lang w:val="en-GB"/>
              </w:rPr>
            </w:pPr>
            <w:r>
              <w:rPr>
                <w:rFonts w:cs="Arial"/>
                <w:color w:val="000000" w:themeColor="text1"/>
                <w:spacing w:val="-2"/>
                <w:lang w:val="en-GB"/>
              </w:rPr>
              <w:t xml:space="preserve">The growth of the collection of all consumption taxes (against the rates from year 2016) was slowing down this year. The SB </w:t>
            </w:r>
            <w:r w:rsidR="00C362A5">
              <w:rPr>
                <w:rFonts w:cs="Arial"/>
                <w:color w:val="000000" w:themeColor="text1"/>
                <w:spacing w:val="-2"/>
                <w:lang w:val="en-GB"/>
              </w:rPr>
              <w:t>acquired</w:t>
            </w:r>
            <w:r>
              <w:rPr>
                <w:rFonts w:cs="Arial"/>
                <w:color w:val="000000" w:themeColor="text1"/>
                <w:spacing w:val="-2"/>
                <w:lang w:val="en-GB"/>
              </w:rPr>
              <w:t xml:space="preserve"> by 2.3</w:t>
            </w:r>
            <w:r w:rsidR="00954C8E">
              <w:rPr>
                <w:rFonts w:cs="Arial"/>
                <w:color w:val="000000" w:themeColor="text1"/>
                <w:spacing w:val="-2"/>
                <w:lang w:val="en-GB"/>
              </w:rPr>
              <w:t>%</w:t>
            </w:r>
            <w:r>
              <w:rPr>
                <w:rFonts w:cs="Arial"/>
                <w:color w:val="000000" w:themeColor="text1"/>
                <w:spacing w:val="-2"/>
                <w:lang w:val="en-GB"/>
              </w:rPr>
              <w:t xml:space="preserve"> more </w:t>
            </w:r>
            <w:r w:rsidR="00C362A5">
              <w:rPr>
                <w:rFonts w:cs="Arial"/>
                <w:color w:val="000000" w:themeColor="text1"/>
                <w:spacing w:val="-2"/>
                <w:lang w:val="en-GB"/>
              </w:rPr>
              <w:t>year-on-year in Q1, the revenue in effect stagnated in Q2</w:t>
            </w:r>
            <w:r w:rsidR="001C3961" w:rsidRPr="006B1684">
              <w:rPr>
                <w:rFonts w:cs="Arial"/>
                <w:color w:val="000000" w:themeColor="text1"/>
                <w:spacing w:val="-2"/>
                <w:lang w:val="en-GB"/>
              </w:rPr>
              <w:t>. T</w:t>
            </w:r>
            <w:r w:rsidR="00C362A5">
              <w:rPr>
                <w:rFonts w:cs="Arial"/>
                <w:color w:val="000000" w:themeColor="text1"/>
                <w:spacing w:val="-2"/>
                <w:lang w:val="en-GB"/>
              </w:rPr>
              <w:t>his development was mainly affected by the drop of collection of taxes on the tobacco products (by 2.4</w:t>
            </w:r>
            <w:r w:rsidR="00954C8E">
              <w:rPr>
                <w:rFonts w:cs="Arial"/>
                <w:color w:val="000000" w:themeColor="text1"/>
                <w:spacing w:val="-2"/>
                <w:lang w:val="en-GB"/>
              </w:rPr>
              <w:t>%</w:t>
            </w:r>
            <w:r w:rsidR="00C362A5">
              <w:rPr>
                <w:rFonts w:cs="Arial"/>
                <w:color w:val="000000" w:themeColor="text1"/>
                <w:spacing w:val="-2"/>
                <w:lang w:val="en-GB"/>
              </w:rPr>
              <w:t xml:space="preserve"> in H1). </w:t>
            </w:r>
            <w:r w:rsidR="009C6B47">
              <w:rPr>
                <w:rFonts w:cs="Arial"/>
                <w:color w:val="000000" w:themeColor="text1"/>
                <w:spacing w:val="-2"/>
                <w:lang w:val="en-GB"/>
              </w:rPr>
              <w:t>The administrative influences having a short term negative effect</w:t>
            </w:r>
            <w:r w:rsidR="001C3961" w:rsidRPr="006B1684">
              <w:rPr>
                <w:rStyle w:val="Znakapoznpodarou"/>
                <w:color w:val="0D0D0D" w:themeColor="text1" w:themeTint="F2"/>
                <w:spacing w:val="-2"/>
                <w:lang w:val="en-GB"/>
              </w:rPr>
              <w:footnoteReference w:id="32"/>
            </w:r>
            <w:r w:rsidR="001C3961" w:rsidRPr="006B1684">
              <w:rPr>
                <w:rFonts w:cs="Arial"/>
                <w:color w:val="0D0D0D" w:themeColor="text1" w:themeTint="F2"/>
                <w:spacing w:val="-2"/>
                <w:lang w:val="en-GB"/>
              </w:rPr>
              <w:t xml:space="preserve"> t</w:t>
            </w:r>
            <w:r w:rsidR="009C6B47">
              <w:rPr>
                <w:rFonts w:cs="Arial"/>
                <w:color w:val="0D0D0D" w:themeColor="text1" w:themeTint="F2"/>
                <w:spacing w:val="-2"/>
                <w:lang w:val="en-GB"/>
              </w:rPr>
              <w:t>hus exceeded the impact of the increase of rates of the consumption tax on tobacco products</w:t>
            </w:r>
            <w:r w:rsidR="001C3961" w:rsidRPr="006B1684">
              <w:rPr>
                <w:rStyle w:val="Znakapoznpodarou"/>
                <w:spacing w:val="-2"/>
                <w:lang w:val="en-GB"/>
              </w:rPr>
              <w:footnoteReference w:id="33"/>
            </w:r>
            <w:r w:rsidR="001C3961" w:rsidRPr="006B1684">
              <w:rPr>
                <w:spacing w:val="-2"/>
                <w:lang w:val="en-GB"/>
              </w:rPr>
              <w:t xml:space="preserve">. </w:t>
            </w:r>
            <w:r w:rsidR="002007DE">
              <w:rPr>
                <w:spacing w:val="-2"/>
                <w:lang w:val="en-GB"/>
              </w:rPr>
              <w:t xml:space="preserve">On the contrary, the collection of the weight dominant </w:t>
            </w:r>
            <w:r w:rsidR="009C6B47">
              <w:rPr>
                <w:spacing w:val="-2"/>
                <w:lang w:val="en-GB"/>
              </w:rPr>
              <w:t xml:space="preserve">consumption </w:t>
            </w:r>
            <w:r w:rsidR="002007DE">
              <w:rPr>
                <w:spacing w:val="-2"/>
                <w:lang w:val="en-GB"/>
              </w:rPr>
              <w:t xml:space="preserve">tax – on mineral oils – has been so far </w:t>
            </w:r>
            <w:r w:rsidR="009C6B47">
              <w:rPr>
                <w:spacing w:val="-2"/>
                <w:lang w:val="en-GB"/>
              </w:rPr>
              <w:t>fulfilling</w:t>
            </w:r>
            <w:r w:rsidR="002007DE">
              <w:rPr>
                <w:spacing w:val="-2"/>
                <w:lang w:val="en-GB"/>
              </w:rPr>
              <w:t xml:space="preserve"> </w:t>
            </w:r>
            <w:proofErr w:type="gramStart"/>
            <w:r w:rsidR="002007DE">
              <w:rPr>
                <w:spacing w:val="-2"/>
                <w:lang w:val="en-GB"/>
              </w:rPr>
              <w:t>this year´s budget anticipations</w:t>
            </w:r>
            <w:proofErr w:type="gramEnd"/>
            <w:r w:rsidR="002007DE">
              <w:rPr>
                <w:spacing w:val="-2"/>
                <w:lang w:val="en-GB"/>
              </w:rPr>
              <w:t>. It was higher by 2.5</w:t>
            </w:r>
            <w:r w:rsidR="00954C8E">
              <w:rPr>
                <w:spacing w:val="-2"/>
                <w:lang w:val="en-GB"/>
              </w:rPr>
              <w:t>%</w:t>
            </w:r>
            <w:r w:rsidR="002007DE">
              <w:rPr>
                <w:spacing w:val="-2"/>
                <w:lang w:val="en-GB"/>
              </w:rPr>
              <w:t xml:space="preserve"> compared to H1 </w:t>
            </w:r>
            <w:proofErr w:type="gramStart"/>
            <w:r w:rsidR="002007DE">
              <w:rPr>
                <w:spacing w:val="-2"/>
                <w:lang w:val="en-GB"/>
              </w:rPr>
              <w:t>2016,</w:t>
            </w:r>
            <w:proofErr w:type="gramEnd"/>
            <w:r w:rsidR="002007DE">
              <w:rPr>
                <w:spacing w:val="-2"/>
                <w:lang w:val="en-GB"/>
              </w:rPr>
              <w:t xml:space="preserve"> it was driven mostly by the higher consumption of the</w:t>
            </w:r>
            <w:r w:rsidR="004E7E53">
              <w:rPr>
                <w:spacing w:val="-2"/>
                <w:lang w:val="en-GB"/>
              </w:rPr>
              <w:t xml:space="preserve"> diesel fuel and </w:t>
            </w:r>
            <w:r w:rsidR="00D64644">
              <w:rPr>
                <w:spacing w:val="-2"/>
                <w:lang w:val="en-GB"/>
              </w:rPr>
              <w:t>jet fuel</w:t>
            </w:r>
            <w:r w:rsidR="001C3961" w:rsidRPr="006B1684">
              <w:rPr>
                <w:spacing w:val="-2"/>
                <w:lang w:val="en-GB"/>
              </w:rPr>
              <w:t xml:space="preserve">. </w:t>
            </w:r>
            <w:r w:rsidR="009C6B47">
              <w:rPr>
                <w:spacing w:val="-2"/>
                <w:lang w:val="en-GB"/>
              </w:rPr>
              <w:t xml:space="preserve">The introduction of the so called green fuel also into the animal </w:t>
            </w:r>
            <w:r w:rsidR="00D64644">
              <w:rPr>
                <w:spacing w:val="-2"/>
                <w:lang w:val="en-GB"/>
              </w:rPr>
              <w:t>primary production</w:t>
            </w:r>
            <w:r w:rsidR="009C6B47">
              <w:rPr>
                <w:spacing w:val="-2"/>
                <w:lang w:val="en-GB"/>
              </w:rPr>
              <w:t xml:space="preserve"> had the opposite negative effect.</w:t>
            </w:r>
          </w:p>
          <w:p w:rsidR="001C3961" w:rsidRPr="006B1684" w:rsidRDefault="001C3961" w:rsidP="009C6B47">
            <w:pPr>
              <w:pStyle w:val="Textpoznpodarou"/>
              <w:jc w:val="both"/>
              <w:rPr>
                <w:rFonts w:cs="Arial"/>
                <w:color w:val="0D0D0D" w:themeColor="text1" w:themeTint="F2"/>
                <w:spacing w:val="-2"/>
                <w:sz w:val="15"/>
                <w:szCs w:val="15"/>
                <w:lang w:val="en-GB"/>
              </w:rPr>
            </w:pPr>
          </w:p>
        </w:tc>
      </w:tr>
      <w:tr w:rsidR="001C3961" w:rsidRPr="0094422D" w:rsidTr="00853C0F">
        <w:trPr>
          <w:trHeight w:val="145"/>
        </w:trPr>
        <w:tc>
          <w:tcPr>
            <w:tcW w:w="1016" w:type="pct"/>
            <w:shd w:val="clear" w:color="auto" w:fill="auto"/>
          </w:tcPr>
          <w:p w:rsidR="00F65A44" w:rsidRDefault="00F65A44" w:rsidP="00F65A44">
            <w:pPr>
              <w:spacing w:line="240" w:lineRule="auto"/>
              <w:rPr>
                <w:rFonts w:cs="Arial"/>
                <w:bCs/>
                <w:iCs/>
                <w:color w:val="0D0D0D" w:themeColor="text1" w:themeTint="F2"/>
                <w:sz w:val="16"/>
                <w:szCs w:val="16"/>
                <w:lang w:val="en-GB"/>
              </w:rPr>
            </w:pPr>
            <w:r>
              <w:rPr>
                <w:rFonts w:cs="Arial"/>
                <w:bCs/>
                <w:iCs/>
                <w:color w:val="0D0D0D" w:themeColor="text1" w:themeTint="F2"/>
                <w:sz w:val="16"/>
                <w:szCs w:val="16"/>
                <w:lang w:val="en-GB"/>
              </w:rPr>
              <w:t xml:space="preserve">Growth of the collection of the corporate taxes lagged behind the last year´s record pace. Rising wage costs were still more reflected in the growing </w:t>
            </w:r>
            <w:r w:rsidR="001434CE">
              <w:rPr>
                <w:rFonts w:cs="Arial"/>
                <w:bCs/>
                <w:iCs/>
                <w:color w:val="0D0D0D" w:themeColor="text1" w:themeTint="F2"/>
                <w:sz w:val="16"/>
                <w:szCs w:val="16"/>
                <w:lang w:val="en-GB"/>
              </w:rPr>
              <w:t xml:space="preserve">costs of </w:t>
            </w:r>
            <w:r>
              <w:rPr>
                <w:rFonts w:cs="Arial"/>
                <w:bCs/>
                <w:iCs/>
                <w:color w:val="0D0D0D" w:themeColor="text1" w:themeTint="F2"/>
                <w:sz w:val="16"/>
                <w:szCs w:val="16"/>
                <w:lang w:val="en-GB"/>
              </w:rPr>
              <w:t>wages</w:t>
            </w:r>
            <w:r w:rsidR="001434CE">
              <w:rPr>
                <w:rFonts w:cs="Arial"/>
                <w:bCs/>
                <w:iCs/>
                <w:color w:val="0D0D0D" w:themeColor="text1" w:themeTint="F2"/>
                <w:sz w:val="16"/>
                <w:szCs w:val="16"/>
                <w:lang w:val="en-GB"/>
              </w:rPr>
              <w:t xml:space="preserve">. </w:t>
            </w:r>
          </w:p>
          <w:p w:rsidR="001434CE" w:rsidRDefault="001434CE" w:rsidP="00F65A44">
            <w:pPr>
              <w:spacing w:line="240" w:lineRule="auto"/>
              <w:rPr>
                <w:rFonts w:cs="Arial"/>
                <w:bCs/>
                <w:iCs/>
                <w:color w:val="0D0D0D" w:themeColor="text1" w:themeTint="F2"/>
                <w:sz w:val="16"/>
                <w:szCs w:val="16"/>
                <w:lang w:val="en-GB"/>
              </w:rPr>
            </w:pPr>
          </w:p>
          <w:p w:rsidR="00F65A44" w:rsidRDefault="00F65A44" w:rsidP="00F65A44">
            <w:pPr>
              <w:spacing w:line="240" w:lineRule="auto"/>
              <w:rPr>
                <w:rFonts w:cs="Arial"/>
                <w:bCs/>
                <w:iCs/>
                <w:color w:val="0D0D0D" w:themeColor="text1" w:themeTint="F2"/>
                <w:sz w:val="16"/>
                <w:szCs w:val="16"/>
                <w:lang w:val="en-GB"/>
              </w:rPr>
            </w:pPr>
          </w:p>
          <w:p w:rsidR="00F65A44" w:rsidRDefault="00F65A44" w:rsidP="00F65A44">
            <w:pPr>
              <w:spacing w:line="240" w:lineRule="auto"/>
              <w:rPr>
                <w:rFonts w:cs="Arial"/>
                <w:bCs/>
                <w:iCs/>
                <w:color w:val="0D0D0D" w:themeColor="text1" w:themeTint="F2"/>
                <w:sz w:val="16"/>
                <w:szCs w:val="16"/>
                <w:lang w:val="en-GB"/>
              </w:rPr>
            </w:pPr>
          </w:p>
          <w:p w:rsidR="00F65A44" w:rsidRDefault="00F65A44" w:rsidP="00F65A44">
            <w:pPr>
              <w:spacing w:line="240" w:lineRule="auto"/>
              <w:rPr>
                <w:rFonts w:cs="Arial"/>
                <w:bCs/>
                <w:iCs/>
                <w:color w:val="0D0D0D" w:themeColor="text1" w:themeTint="F2"/>
                <w:sz w:val="16"/>
                <w:szCs w:val="16"/>
                <w:lang w:val="en-GB"/>
              </w:rPr>
            </w:pPr>
          </w:p>
          <w:p w:rsidR="001C3961" w:rsidRPr="00F65A44" w:rsidRDefault="007B3048" w:rsidP="00F65A44">
            <w:pPr>
              <w:spacing w:line="240" w:lineRule="auto"/>
              <w:rPr>
                <w:rFonts w:cs="Arial"/>
                <w:bCs/>
                <w:iCs/>
                <w:color w:val="0D0D0D" w:themeColor="text1" w:themeTint="F2"/>
                <w:sz w:val="16"/>
                <w:szCs w:val="16"/>
                <w:lang w:val="en-GB"/>
              </w:rPr>
            </w:pPr>
            <w:r w:rsidRPr="00F65A44">
              <w:rPr>
                <w:rFonts w:cs="Arial"/>
                <w:bCs/>
                <w:iCs/>
                <w:color w:val="0D0D0D" w:themeColor="text1" w:themeTint="F2"/>
                <w:sz w:val="16"/>
                <w:szCs w:val="16"/>
                <w:lang w:val="en-GB"/>
              </w:rPr>
              <w:t xml:space="preserve">On the contrary the collection of </w:t>
            </w:r>
            <w:r w:rsidR="000D622A">
              <w:rPr>
                <w:rFonts w:cs="Arial"/>
                <w:bCs/>
                <w:iCs/>
                <w:color w:val="0D0D0D" w:themeColor="text1" w:themeTint="F2"/>
                <w:sz w:val="16"/>
                <w:szCs w:val="16"/>
                <w:lang w:val="en-GB"/>
              </w:rPr>
              <w:t xml:space="preserve">the income </w:t>
            </w:r>
            <w:r w:rsidR="000D622A">
              <w:rPr>
                <w:rFonts w:cs="Arial"/>
                <w:bCs/>
                <w:iCs/>
                <w:color w:val="0D0D0D" w:themeColor="text1" w:themeTint="F2"/>
                <w:sz w:val="16"/>
                <w:szCs w:val="16"/>
                <w:lang w:val="en-GB"/>
              </w:rPr>
              <w:lastRenderedPageBreak/>
              <w:t xml:space="preserve">tax of natural persons from </w:t>
            </w:r>
            <w:r w:rsidR="00E84AAD">
              <w:rPr>
                <w:rFonts w:cs="Arial"/>
                <w:bCs/>
                <w:iCs/>
                <w:color w:val="0D0D0D" w:themeColor="text1" w:themeTint="F2"/>
                <w:sz w:val="16"/>
                <w:szCs w:val="16"/>
                <w:lang w:val="en-GB"/>
              </w:rPr>
              <w:t>employment</w:t>
            </w:r>
            <w:r w:rsidR="00F65A44" w:rsidRPr="00F65A44">
              <w:rPr>
                <w:rFonts w:cs="Arial"/>
                <w:bCs/>
                <w:iCs/>
                <w:color w:val="0D0D0D" w:themeColor="text1" w:themeTint="F2"/>
                <w:sz w:val="16"/>
                <w:szCs w:val="16"/>
                <w:lang w:val="en-GB"/>
              </w:rPr>
              <w:t xml:space="preserve"> </w:t>
            </w:r>
            <w:r w:rsidR="00F65A44" w:rsidRPr="00F65A44">
              <w:rPr>
                <w:rFonts w:cs="Arial"/>
                <w:bCs/>
                <w:iCs/>
                <w:color w:val="0D0D0D" w:themeColor="text1" w:themeTint="F2"/>
                <w:spacing w:val="-2"/>
                <w:sz w:val="16"/>
                <w:szCs w:val="16"/>
                <w:lang w:val="en-GB"/>
              </w:rPr>
              <w:t xml:space="preserve">further gained pace, since it benefited from the favourable situation on the labour market. </w:t>
            </w:r>
          </w:p>
        </w:tc>
        <w:tc>
          <w:tcPr>
            <w:tcW w:w="144" w:type="pct"/>
          </w:tcPr>
          <w:p w:rsidR="001C3961" w:rsidRPr="00F65A44" w:rsidRDefault="001C3961" w:rsidP="00853C0F">
            <w:pPr>
              <w:pStyle w:val="Textpoznpodarou"/>
              <w:jc w:val="both"/>
              <w:rPr>
                <w:rFonts w:cs="Arial"/>
                <w:color w:val="0D0D0D" w:themeColor="text1" w:themeTint="F2"/>
                <w:lang w:val="en-GB"/>
              </w:rPr>
            </w:pPr>
          </w:p>
        </w:tc>
        <w:tc>
          <w:tcPr>
            <w:tcW w:w="3840" w:type="pct"/>
          </w:tcPr>
          <w:p w:rsidR="001C3961" w:rsidRPr="00F65A44" w:rsidRDefault="001434CE" w:rsidP="00853C0F">
            <w:pPr>
              <w:pStyle w:val="Textpoznpodarou"/>
              <w:jc w:val="both"/>
              <w:rPr>
                <w:rFonts w:cs="Arial"/>
                <w:color w:val="0D0D0D" w:themeColor="text1" w:themeTint="F2"/>
                <w:spacing w:val="-2"/>
                <w:lang w:val="en-GB"/>
              </w:rPr>
            </w:pPr>
            <w:r>
              <w:rPr>
                <w:rFonts w:cs="Arial"/>
                <w:color w:val="0D0D0D" w:themeColor="text1" w:themeTint="F2"/>
                <w:spacing w:val="-2"/>
                <w:lang w:val="en-GB"/>
              </w:rPr>
              <w:t xml:space="preserve">Even though the </w:t>
            </w:r>
            <w:r w:rsidR="000D622A">
              <w:rPr>
                <w:rFonts w:cs="Arial"/>
                <w:color w:val="0D0D0D" w:themeColor="text1" w:themeTint="F2"/>
                <w:spacing w:val="-2"/>
                <w:lang w:val="en-GB"/>
              </w:rPr>
              <w:t>state-wide</w:t>
            </w:r>
            <w:r>
              <w:rPr>
                <w:rFonts w:cs="Arial"/>
                <w:color w:val="0D0D0D" w:themeColor="text1" w:themeTint="F2"/>
                <w:spacing w:val="-2"/>
                <w:lang w:val="en-GB"/>
              </w:rPr>
              <w:t xml:space="preserve"> collection of </w:t>
            </w:r>
            <w:r w:rsidR="000D622A">
              <w:rPr>
                <w:rFonts w:cs="Arial"/>
                <w:color w:val="0D0D0D" w:themeColor="text1" w:themeTint="F2"/>
                <w:spacing w:val="-2"/>
                <w:lang w:val="en-GB"/>
              </w:rPr>
              <w:t xml:space="preserve">corporate tax </w:t>
            </w:r>
            <w:r>
              <w:rPr>
                <w:rFonts w:cs="Arial"/>
                <w:color w:val="0D0D0D" w:themeColor="text1" w:themeTint="F2"/>
                <w:spacing w:val="-2"/>
                <w:lang w:val="en-GB"/>
              </w:rPr>
              <w:t>increased by brisk 7.6</w:t>
            </w:r>
            <w:r w:rsidR="00954C8E">
              <w:rPr>
                <w:rFonts w:cs="Arial"/>
                <w:color w:val="0D0D0D" w:themeColor="text1" w:themeTint="F2"/>
                <w:spacing w:val="-2"/>
                <w:lang w:val="en-GB"/>
              </w:rPr>
              <w:t>%</w:t>
            </w:r>
            <w:r>
              <w:rPr>
                <w:rFonts w:cs="Arial"/>
                <w:color w:val="0D0D0D" w:themeColor="text1" w:themeTint="F2"/>
                <w:spacing w:val="-2"/>
                <w:lang w:val="en-GB"/>
              </w:rPr>
              <w:t xml:space="preserve"> in H1, it presented the weakest result in the last four years. The slightly falling profitability of businesses from years 2016 (and partially also 2017) due to the growing wage costs already starts to be reflected in this year´s collection</w:t>
            </w:r>
            <w:r w:rsidR="001C3961" w:rsidRPr="00F65A44">
              <w:rPr>
                <w:rStyle w:val="Znakapoznpodarou"/>
                <w:color w:val="0D0D0D" w:themeColor="text1" w:themeTint="F2"/>
                <w:spacing w:val="-2"/>
                <w:lang w:val="en-GB"/>
              </w:rPr>
              <w:footnoteReference w:id="34"/>
            </w:r>
            <w:r w:rsidR="001C3961" w:rsidRPr="00F65A44">
              <w:rPr>
                <w:rFonts w:cs="Arial"/>
                <w:color w:val="0D0D0D" w:themeColor="text1" w:themeTint="F2"/>
                <w:spacing w:val="-2"/>
                <w:lang w:val="en-GB"/>
              </w:rPr>
              <w:t xml:space="preserve">. </w:t>
            </w:r>
            <w:r w:rsidR="004014D5">
              <w:rPr>
                <w:rFonts w:cs="Arial"/>
                <w:color w:val="0D0D0D" w:themeColor="text1" w:themeTint="F2"/>
                <w:spacing w:val="-2"/>
                <w:lang w:val="en-GB"/>
              </w:rPr>
              <w:t xml:space="preserve">The year-on-year rate of growth of the collection of </w:t>
            </w:r>
            <w:r w:rsidR="000D622A">
              <w:rPr>
                <w:rFonts w:cs="Arial"/>
                <w:color w:val="0D0D0D" w:themeColor="text1" w:themeTint="F2"/>
                <w:spacing w:val="-2"/>
                <w:lang w:val="en-GB"/>
              </w:rPr>
              <w:t xml:space="preserve">income tax of natural persons (ITNP) from dependent activity </w:t>
            </w:r>
            <w:r w:rsidR="004014D5">
              <w:rPr>
                <w:rFonts w:cs="Arial"/>
                <w:color w:val="0D0D0D" w:themeColor="text1" w:themeTint="F2"/>
                <w:spacing w:val="-2"/>
                <w:lang w:val="en-GB"/>
              </w:rPr>
              <w:t>kept further quickening and it strengthened by 12.6</w:t>
            </w:r>
            <w:r w:rsidR="00954C8E">
              <w:rPr>
                <w:rFonts w:cs="Arial"/>
                <w:color w:val="0D0D0D" w:themeColor="text1" w:themeTint="F2"/>
                <w:spacing w:val="-2"/>
                <w:lang w:val="en-GB"/>
              </w:rPr>
              <w:t>%</w:t>
            </w:r>
            <w:r w:rsidR="004014D5">
              <w:rPr>
                <w:rFonts w:cs="Arial"/>
                <w:color w:val="0D0D0D" w:themeColor="text1" w:themeTint="F2"/>
                <w:spacing w:val="-2"/>
                <w:lang w:val="en-GB"/>
              </w:rPr>
              <w:t xml:space="preserve"> for the whole half year. It thus tightly overtook the up-to-date record growth from the first half of year 2007. </w:t>
            </w:r>
            <w:r w:rsidR="00AF0522">
              <w:rPr>
                <w:rFonts w:cs="Arial"/>
                <w:color w:val="0D0D0D" w:themeColor="text1" w:themeTint="F2"/>
                <w:spacing w:val="-2"/>
                <w:lang w:val="en-GB"/>
              </w:rPr>
              <w:t>The collection was positive</w:t>
            </w:r>
            <w:r w:rsidR="007D4215">
              <w:rPr>
                <w:rFonts w:cs="Arial"/>
                <w:color w:val="0D0D0D" w:themeColor="text1" w:themeTint="F2"/>
                <w:spacing w:val="-2"/>
                <w:lang w:val="en-GB"/>
              </w:rPr>
              <w:t>ly</w:t>
            </w:r>
            <w:r w:rsidR="00AF0522">
              <w:rPr>
                <w:rFonts w:cs="Arial"/>
                <w:color w:val="0D0D0D" w:themeColor="text1" w:themeTint="F2"/>
                <w:spacing w:val="-2"/>
                <w:lang w:val="en-GB"/>
              </w:rPr>
              <w:t xml:space="preserve"> affected by the favourable situation on the labour market (high growth of employment, </w:t>
            </w:r>
            <w:proofErr w:type="gramStart"/>
            <w:r w:rsidR="00AF0522">
              <w:rPr>
                <w:rFonts w:cs="Arial"/>
                <w:color w:val="0D0D0D" w:themeColor="text1" w:themeTint="F2"/>
                <w:spacing w:val="-2"/>
                <w:lang w:val="en-GB"/>
              </w:rPr>
              <w:t>raising</w:t>
            </w:r>
            <w:proofErr w:type="gramEnd"/>
            <w:r w:rsidR="00AF0522">
              <w:rPr>
                <w:rFonts w:cs="Arial"/>
                <w:color w:val="0D0D0D" w:themeColor="text1" w:themeTint="F2"/>
                <w:spacing w:val="-2"/>
                <w:lang w:val="en-GB"/>
              </w:rPr>
              <w:t xml:space="preserve"> of average wages </w:t>
            </w:r>
            <w:r w:rsidR="00135C47">
              <w:rPr>
                <w:rFonts w:cs="Arial"/>
                <w:color w:val="0D0D0D" w:themeColor="text1" w:themeTint="F2"/>
                <w:spacing w:val="-2"/>
                <w:lang w:val="en-GB"/>
              </w:rPr>
              <w:t xml:space="preserve">both </w:t>
            </w:r>
            <w:r w:rsidR="00AF0522">
              <w:rPr>
                <w:rFonts w:cs="Arial"/>
                <w:color w:val="0D0D0D" w:themeColor="text1" w:themeTint="F2"/>
                <w:spacing w:val="-2"/>
                <w:lang w:val="en-GB"/>
              </w:rPr>
              <w:t>in the business sector a</w:t>
            </w:r>
            <w:r w:rsidR="00135C47">
              <w:rPr>
                <w:rFonts w:cs="Arial"/>
                <w:color w:val="0D0D0D" w:themeColor="text1" w:themeTint="F2"/>
                <w:spacing w:val="-2"/>
                <w:lang w:val="en-GB"/>
              </w:rPr>
              <w:t>nd th</w:t>
            </w:r>
            <w:r w:rsidR="00AF0522">
              <w:rPr>
                <w:rFonts w:cs="Arial"/>
                <w:color w:val="0D0D0D" w:themeColor="text1" w:themeTint="F2"/>
                <w:spacing w:val="-2"/>
                <w:lang w:val="en-GB"/>
              </w:rPr>
              <w:t xml:space="preserve">e activities with the dominance of state) as well as the </w:t>
            </w:r>
            <w:r w:rsidR="00135C47">
              <w:rPr>
                <w:rFonts w:cs="Arial"/>
                <w:color w:val="0D0D0D" w:themeColor="text1" w:themeTint="F2"/>
                <w:spacing w:val="-2"/>
                <w:lang w:val="en-GB"/>
              </w:rPr>
              <w:t xml:space="preserve">administrative measures of the state (repeated growth of the minimum wage limit, </w:t>
            </w:r>
            <w:r w:rsidR="00135C47">
              <w:rPr>
                <w:rFonts w:cs="Arial"/>
                <w:color w:val="0D0D0D" w:themeColor="text1" w:themeTint="F2"/>
                <w:spacing w:val="-2"/>
                <w:lang w:val="en-GB"/>
              </w:rPr>
              <w:lastRenderedPageBreak/>
              <w:t>instruments to limit the grey economy).</w:t>
            </w:r>
            <w:r w:rsidR="001C3961" w:rsidRPr="00F65A44">
              <w:rPr>
                <w:rFonts w:cs="Arial"/>
                <w:spacing w:val="-2"/>
                <w:lang w:val="en-GB"/>
              </w:rPr>
              <w:t xml:space="preserve"> </w:t>
            </w:r>
            <w:r w:rsidR="00C965DE">
              <w:rPr>
                <w:rFonts w:cs="Arial"/>
                <w:spacing w:val="-2"/>
                <w:lang w:val="en-GB"/>
              </w:rPr>
              <w:t xml:space="preserve">The </w:t>
            </w:r>
            <w:r w:rsidR="007D4215">
              <w:rPr>
                <w:rFonts w:cs="Arial"/>
                <w:spacing w:val="-2"/>
                <w:lang w:val="en-GB"/>
              </w:rPr>
              <w:t>state-wide</w:t>
            </w:r>
            <w:r w:rsidR="00C965DE">
              <w:rPr>
                <w:rFonts w:cs="Arial"/>
                <w:spacing w:val="-2"/>
                <w:lang w:val="en-GB"/>
              </w:rPr>
              <w:t xml:space="preserve"> collection of the </w:t>
            </w:r>
            <w:r w:rsidR="007D4215">
              <w:rPr>
                <w:rFonts w:cs="Arial"/>
                <w:spacing w:val="-2"/>
                <w:lang w:val="en-GB"/>
              </w:rPr>
              <w:t xml:space="preserve">ITNP from the </w:t>
            </w:r>
            <w:r w:rsidR="001D3ADA">
              <w:rPr>
                <w:rFonts w:cs="Arial"/>
                <w:spacing w:val="-2"/>
                <w:lang w:val="en-GB"/>
              </w:rPr>
              <w:t xml:space="preserve">self-employment activity </w:t>
            </w:r>
            <w:r w:rsidR="00C965DE">
              <w:rPr>
                <w:rFonts w:cs="Arial"/>
                <w:spacing w:val="-2"/>
                <w:lang w:val="en-GB"/>
              </w:rPr>
              <w:t xml:space="preserve">was also more favourable year-on-year this </w:t>
            </w:r>
            <w:proofErr w:type="gramStart"/>
            <w:r w:rsidR="00C965DE">
              <w:rPr>
                <w:rFonts w:cs="Arial"/>
                <w:spacing w:val="-2"/>
                <w:lang w:val="en-GB"/>
              </w:rPr>
              <w:t>year</w:t>
            </w:r>
            <w:r w:rsidR="001C3961" w:rsidRPr="00F65A44">
              <w:rPr>
                <w:rFonts w:cs="Arial"/>
                <w:spacing w:val="-2"/>
                <w:lang w:val="en-GB"/>
              </w:rPr>
              <w:t>,</w:t>
            </w:r>
            <w:proofErr w:type="gramEnd"/>
            <w:r w:rsidR="001C3961" w:rsidRPr="00F65A44">
              <w:rPr>
                <w:rFonts w:cs="Arial"/>
                <w:spacing w:val="-2"/>
                <w:lang w:val="en-GB"/>
              </w:rPr>
              <w:t xml:space="preserve"> </w:t>
            </w:r>
            <w:r w:rsidR="00C965DE">
              <w:rPr>
                <w:rFonts w:cs="Arial"/>
                <w:spacing w:val="-2"/>
                <w:lang w:val="en-GB"/>
              </w:rPr>
              <w:t xml:space="preserve">it reflected not only the financial situation of the small entrepreneurs, but also their increasing number. On the contrary, the collection of </w:t>
            </w:r>
            <w:r w:rsidR="001D3ADA">
              <w:rPr>
                <w:rFonts w:cs="Arial"/>
                <w:spacing w:val="-2"/>
                <w:lang w:val="en-GB"/>
              </w:rPr>
              <w:t>ITNP</w:t>
            </w:r>
            <w:r w:rsidR="001C3961" w:rsidRPr="00F65A44">
              <w:rPr>
                <w:rFonts w:cs="Arial"/>
                <w:spacing w:val="-2"/>
                <w:lang w:val="en-GB"/>
              </w:rPr>
              <w:t xml:space="preserve"> </w:t>
            </w:r>
            <w:r w:rsidR="001D3ADA">
              <w:rPr>
                <w:rFonts w:cs="Arial"/>
                <w:spacing w:val="-2"/>
                <w:lang w:val="en-GB"/>
              </w:rPr>
              <w:t>from the capital revenues</w:t>
            </w:r>
            <w:r w:rsidR="00C965DE">
              <w:rPr>
                <w:rFonts w:cs="Arial"/>
                <w:spacing w:val="-2"/>
                <w:lang w:val="en-GB"/>
              </w:rPr>
              <w:t xml:space="preserve"> reduced by nearly 4</w:t>
            </w:r>
            <w:r w:rsidR="00954C8E">
              <w:rPr>
                <w:rFonts w:cs="Arial"/>
                <w:spacing w:val="-2"/>
                <w:lang w:val="en-GB"/>
              </w:rPr>
              <w:t>%</w:t>
            </w:r>
            <w:r w:rsidR="00C965DE">
              <w:rPr>
                <w:rFonts w:cs="Arial"/>
                <w:spacing w:val="-2"/>
                <w:lang w:val="en-GB"/>
              </w:rPr>
              <w:t xml:space="preserve">. </w:t>
            </w:r>
            <w:r w:rsidR="00FB36E3">
              <w:rPr>
                <w:rFonts w:cs="Arial"/>
                <w:spacing w:val="-2"/>
                <w:lang w:val="en-GB"/>
              </w:rPr>
              <w:t xml:space="preserve">The weaker rates among other things reflected also the prevailing low interest rates on deposits. The </w:t>
            </w:r>
            <w:r w:rsidR="00AD47F5">
              <w:rPr>
                <w:rFonts w:cs="Arial"/>
                <w:spacing w:val="-2"/>
                <w:lang w:val="en-GB"/>
              </w:rPr>
              <w:t xml:space="preserve">tax exemption for the </w:t>
            </w:r>
            <w:r w:rsidR="007C004C">
              <w:rPr>
                <w:rFonts w:cs="Arial"/>
                <w:spacing w:val="-2"/>
                <w:lang w:val="en-GB"/>
              </w:rPr>
              <w:t>retirement entitlement of the defence forces also had</w:t>
            </w:r>
            <w:r w:rsidR="00FB36E3">
              <w:rPr>
                <w:rFonts w:cs="Arial"/>
                <w:spacing w:val="-2"/>
                <w:lang w:val="en-GB"/>
              </w:rPr>
              <w:t xml:space="preserve"> a negative effect. </w:t>
            </w:r>
          </w:p>
        </w:tc>
      </w:tr>
    </w:tbl>
    <w:p w:rsidR="001C3961" w:rsidRPr="0074690B" w:rsidRDefault="001C3961" w:rsidP="001C3961">
      <w:pPr>
        <w:pStyle w:val="Textpoznpodarou"/>
        <w:jc w:val="both"/>
        <w:rPr>
          <w:rFonts w:cs="Arial"/>
          <w:color w:val="000000"/>
          <w:spacing w:val="-2"/>
          <w:sz w:val="16"/>
          <w:szCs w:val="16"/>
        </w:rPr>
      </w:pPr>
    </w:p>
    <w:tbl>
      <w:tblPr>
        <w:tblW w:w="4963" w:type="pct"/>
        <w:tblInd w:w="108" w:type="dxa"/>
        <w:tblLayout w:type="fixed"/>
        <w:tblLook w:val="00A0"/>
      </w:tblPr>
      <w:tblGrid>
        <w:gridCol w:w="1997"/>
        <w:gridCol w:w="284"/>
        <w:gridCol w:w="1119"/>
        <w:gridCol w:w="6381"/>
      </w:tblGrid>
      <w:tr w:rsidR="001C3961" w:rsidRPr="00AA4A76"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87703B" w:rsidP="0087703B">
            <w:pPr>
              <w:pStyle w:val="Textpoznpodarou"/>
              <w:jc w:val="both"/>
              <w:rPr>
                <w:highlight w:val="yellow"/>
              </w:rPr>
            </w:pPr>
            <w:r>
              <w:rPr>
                <w:color w:val="000000"/>
              </w:rPr>
              <w:t xml:space="preserve">Chart </w:t>
            </w:r>
            <w:r w:rsidR="001C3961">
              <w:rPr>
                <w:color w:val="000000"/>
              </w:rPr>
              <w:t>21</w:t>
            </w:r>
          </w:p>
        </w:tc>
        <w:tc>
          <w:tcPr>
            <w:tcW w:w="3262" w:type="pct"/>
          </w:tcPr>
          <w:p w:rsidR="001C3961" w:rsidRPr="005E4728" w:rsidRDefault="001C3961" w:rsidP="0087703B">
            <w:pPr>
              <w:pStyle w:val="Textpoznpodarou"/>
              <w:rPr>
                <w:rFonts w:cs="Arial"/>
                <w:bCs/>
                <w:lang w:val="en-GB"/>
              </w:rPr>
            </w:pPr>
            <w:r w:rsidRPr="005E4728">
              <w:rPr>
                <w:rFonts w:cs="Arial"/>
                <w:b/>
                <w:bCs/>
                <w:lang w:val="en-GB"/>
              </w:rPr>
              <w:t>S</w:t>
            </w:r>
            <w:r w:rsidR="005E4728" w:rsidRPr="005E4728">
              <w:rPr>
                <w:rFonts w:cs="Arial"/>
                <w:b/>
                <w:bCs/>
                <w:lang w:val="en-GB"/>
              </w:rPr>
              <w:t xml:space="preserve">tructure of the CR income from the EU budget </w:t>
            </w:r>
            <w:r w:rsidRPr="005E4728">
              <w:rPr>
                <w:rFonts w:cs="Arial"/>
                <w:b/>
                <w:bCs/>
                <w:lang w:val="en-GB"/>
              </w:rPr>
              <w:t>a</w:t>
            </w:r>
            <w:r w:rsidR="005E4728" w:rsidRPr="005E4728">
              <w:rPr>
                <w:rFonts w:cs="Arial"/>
                <w:b/>
                <w:bCs/>
                <w:lang w:val="en-GB"/>
              </w:rPr>
              <w:t xml:space="preserve">nd net position of the CR towards EU in 1st half-years </w:t>
            </w:r>
            <w:r w:rsidRPr="005E4728">
              <w:rPr>
                <w:rFonts w:cs="Arial"/>
                <w:bCs/>
                <w:lang w:val="en-GB"/>
              </w:rPr>
              <w:t>(</w:t>
            </w:r>
            <w:r w:rsidR="0087703B" w:rsidRPr="005E4728">
              <w:rPr>
                <w:rFonts w:cs="Arial"/>
                <w:bCs/>
                <w:lang w:val="en-GB"/>
              </w:rPr>
              <w:t xml:space="preserve">in </w:t>
            </w:r>
            <w:r w:rsidR="00467B4F" w:rsidRPr="005E4728">
              <w:rPr>
                <w:rFonts w:cs="Arial"/>
                <w:bCs/>
                <w:lang w:val="en-GB"/>
              </w:rPr>
              <w:t xml:space="preserve">CZK </w:t>
            </w:r>
            <w:proofErr w:type="spellStart"/>
            <w:r w:rsidR="00467B4F" w:rsidRPr="005E4728">
              <w:rPr>
                <w:rFonts w:cs="Arial"/>
                <w:bCs/>
                <w:lang w:val="en-GB"/>
              </w:rPr>
              <w:t>bn</w:t>
            </w:r>
            <w:proofErr w:type="spellEnd"/>
            <w:r w:rsidRPr="005E4728">
              <w:rPr>
                <w:rFonts w:cs="Arial"/>
                <w:bCs/>
                <w:lang w:val="en-GB"/>
              </w:rPr>
              <w:t>)</w:t>
            </w:r>
          </w:p>
        </w:tc>
      </w:tr>
      <w:tr w:rsidR="001C3961" w:rsidRPr="00AA4A76"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4" w:type="pct"/>
            <w:gridSpan w:val="2"/>
          </w:tcPr>
          <w:p w:rsidR="001C3961" w:rsidRDefault="00486640" w:rsidP="00853C0F">
            <w:pPr>
              <w:pStyle w:val="Textpoznpodarou"/>
              <w:ind w:left="-124"/>
              <w:jc w:val="both"/>
              <w:rPr>
                <w:sz w:val="16"/>
                <w:szCs w:val="16"/>
              </w:rPr>
            </w:pPr>
            <w:r>
              <w:rPr>
                <w:noProof/>
                <w:sz w:val="16"/>
                <w:szCs w:val="16"/>
              </w:rPr>
              <w:drawing>
                <wp:inline distT="0" distB="0" distL="0" distR="0">
                  <wp:extent cx="4752000" cy="3528000"/>
                  <wp:effectExtent l="0" t="0" r="0" b="0"/>
                  <wp:docPr id="4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86640" w:rsidRDefault="001C3961">
            <w:pPr>
              <w:pStyle w:val="Textpoznpodarou"/>
              <w:ind w:left="-124"/>
              <w:rPr>
                <w:sz w:val="14"/>
                <w:szCs w:val="14"/>
              </w:rPr>
            </w:pPr>
            <w:r>
              <w:rPr>
                <w:rFonts w:cs="Arial"/>
                <w:sz w:val="14"/>
                <w:szCs w:val="14"/>
              </w:rPr>
              <w:t>*</w:t>
            </w:r>
            <w:r w:rsidR="005E4728" w:rsidRPr="005E4728">
              <w:rPr>
                <w:rFonts w:cs="Arial"/>
                <w:sz w:val="14"/>
                <w:szCs w:val="14"/>
                <w:lang w:val="en-GB"/>
              </w:rPr>
              <w:t>Includes also the market oper</w:t>
            </w:r>
            <w:r w:rsidR="005E4728">
              <w:rPr>
                <w:rFonts w:cs="Arial"/>
                <w:sz w:val="14"/>
                <w:szCs w:val="14"/>
                <w:lang w:val="en-GB"/>
              </w:rPr>
              <w:t>a</w:t>
            </w:r>
            <w:r w:rsidR="005E4728" w:rsidRPr="005E4728">
              <w:rPr>
                <w:rFonts w:cs="Arial"/>
                <w:sz w:val="14"/>
                <w:szCs w:val="14"/>
                <w:lang w:val="en-GB"/>
              </w:rPr>
              <w:t xml:space="preserve">tions and veterinary measures. </w:t>
            </w:r>
            <w:r w:rsidRPr="005E4728">
              <w:rPr>
                <w:rFonts w:cs="Arial"/>
                <w:sz w:val="14"/>
                <w:szCs w:val="14"/>
                <w:lang w:val="en-GB"/>
              </w:rPr>
              <w:t xml:space="preserve">                                                                </w:t>
            </w:r>
            <w:r w:rsidR="002E61AD" w:rsidRPr="005E4728">
              <w:rPr>
                <w:rFonts w:cs="Arial"/>
                <w:sz w:val="14"/>
                <w:szCs w:val="14"/>
                <w:lang w:val="en-GB"/>
              </w:rPr>
              <w:t>Source</w:t>
            </w:r>
            <w:r w:rsidRPr="00535F78">
              <w:rPr>
                <w:rFonts w:cs="Arial"/>
                <w:sz w:val="14"/>
                <w:szCs w:val="14"/>
              </w:rPr>
              <w:t>: M</w:t>
            </w:r>
            <w:r w:rsidR="00FB332E">
              <w:rPr>
                <w:rFonts w:cs="Arial"/>
                <w:sz w:val="14"/>
                <w:szCs w:val="14"/>
              </w:rPr>
              <w:t>F</w:t>
            </w:r>
            <w:r w:rsidR="004E09D4">
              <w:rPr>
                <w:rFonts w:cs="Arial"/>
                <w:sz w:val="14"/>
                <w:szCs w:val="14"/>
              </w:rPr>
              <w:t xml:space="preserve"> CR</w:t>
            </w:r>
          </w:p>
        </w:tc>
      </w:tr>
    </w:tbl>
    <w:p w:rsidR="001C3961" w:rsidRPr="0074690B" w:rsidRDefault="001C3961" w:rsidP="001C3961">
      <w:pPr>
        <w:pStyle w:val="Textpoznpodarou"/>
        <w:jc w:val="both"/>
        <w:rPr>
          <w:rFonts w:cs="Arial"/>
          <w:color w:val="000000"/>
          <w:spacing w:val="-2"/>
          <w:sz w:val="16"/>
          <w:szCs w:val="16"/>
        </w:rPr>
      </w:pPr>
    </w:p>
    <w:tbl>
      <w:tblPr>
        <w:tblW w:w="4995" w:type="pct"/>
        <w:tblInd w:w="108" w:type="dxa"/>
        <w:tblLayout w:type="fixed"/>
        <w:tblLook w:val="00A0"/>
      </w:tblPr>
      <w:tblGrid>
        <w:gridCol w:w="2000"/>
        <w:gridCol w:w="284"/>
        <w:gridCol w:w="7560"/>
      </w:tblGrid>
      <w:tr w:rsidR="001C3961" w:rsidRPr="00AD0FC0" w:rsidTr="00853C0F">
        <w:trPr>
          <w:trHeight w:val="145"/>
        </w:trPr>
        <w:tc>
          <w:tcPr>
            <w:tcW w:w="1016" w:type="pct"/>
            <w:shd w:val="clear" w:color="auto" w:fill="auto"/>
          </w:tcPr>
          <w:p w:rsidR="001C3961" w:rsidRPr="002E61AD" w:rsidRDefault="002E61AD" w:rsidP="00853C0F">
            <w:pPr>
              <w:spacing w:line="240" w:lineRule="auto"/>
              <w:rPr>
                <w:rFonts w:cs="Arial"/>
                <w:bCs/>
                <w:iCs/>
                <w:color w:val="0D0D0D" w:themeColor="text1" w:themeTint="F2"/>
                <w:spacing w:val="-2"/>
                <w:sz w:val="16"/>
                <w:szCs w:val="16"/>
                <w:lang w:val="en-GB"/>
              </w:rPr>
            </w:pPr>
            <w:r w:rsidRPr="002E61AD">
              <w:rPr>
                <w:rFonts w:cs="Arial"/>
                <w:bCs/>
                <w:iCs/>
                <w:color w:val="0D0D0D" w:themeColor="text1" w:themeTint="F2"/>
                <w:sz w:val="16"/>
                <w:szCs w:val="16"/>
                <w:lang w:val="en-GB"/>
              </w:rPr>
              <w:t xml:space="preserve">High growth rates of total tax revenues markedly exceeded the budget anticipations and contrasted with low revenues from the EU budget. </w:t>
            </w:r>
          </w:p>
        </w:tc>
        <w:tc>
          <w:tcPr>
            <w:tcW w:w="144" w:type="pct"/>
          </w:tcPr>
          <w:p w:rsidR="001C3961" w:rsidRPr="002E61AD" w:rsidRDefault="001C3961" w:rsidP="00853C0F">
            <w:pPr>
              <w:pStyle w:val="Textpoznpodarou"/>
              <w:jc w:val="both"/>
              <w:rPr>
                <w:rFonts w:cs="Arial"/>
                <w:color w:val="0D0D0D" w:themeColor="text1" w:themeTint="F2"/>
                <w:spacing w:val="-4"/>
                <w:lang w:val="en-GB"/>
              </w:rPr>
            </w:pPr>
          </w:p>
        </w:tc>
        <w:tc>
          <w:tcPr>
            <w:tcW w:w="3840" w:type="pct"/>
          </w:tcPr>
          <w:p w:rsidR="001C3961" w:rsidRPr="002E61AD" w:rsidRDefault="002E61AD" w:rsidP="00853C0F">
            <w:pPr>
              <w:pStyle w:val="Textpoznpodarou"/>
              <w:jc w:val="both"/>
              <w:rPr>
                <w:rFonts w:cs="Arial"/>
                <w:color w:val="0D0D0D" w:themeColor="text1" w:themeTint="F2"/>
                <w:spacing w:val="-2"/>
                <w:lang w:val="en-GB"/>
              </w:rPr>
            </w:pPr>
            <w:r>
              <w:rPr>
                <w:rFonts w:cs="Arial"/>
                <w:spacing w:val="-2"/>
                <w:lang w:val="en-GB"/>
              </w:rPr>
              <w:t>All SB tax revenues (including social security insurance) grew by 8.2</w:t>
            </w:r>
            <w:r w:rsidR="00954C8E">
              <w:rPr>
                <w:rFonts w:cs="Arial"/>
                <w:spacing w:val="-2"/>
                <w:lang w:val="en-GB"/>
              </w:rPr>
              <w:t>%</w:t>
            </w:r>
            <w:r>
              <w:rPr>
                <w:rFonts w:cs="Arial"/>
                <w:spacing w:val="-2"/>
                <w:lang w:val="en-GB"/>
              </w:rPr>
              <w:t xml:space="preserve"> in the first half of the year and significantly overtook the annual budget anticipations (3.9</w:t>
            </w:r>
            <w:r w:rsidR="00954C8E">
              <w:rPr>
                <w:rFonts w:cs="Arial"/>
                <w:spacing w:val="-2"/>
                <w:lang w:val="en-GB"/>
              </w:rPr>
              <w:t>%</w:t>
            </w:r>
            <w:r>
              <w:rPr>
                <w:rFonts w:cs="Arial"/>
                <w:spacing w:val="-2"/>
                <w:lang w:val="en-GB"/>
              </w:rPr>
              <w:t xml:space="preserve">). </w:t>
            </w:r>
            <w:r w:rsidR="00E84A6B">
              <w:rPr>
                <w:rFonts w:cs="Arial"/>
                <w:color w:val="0D0D0D" w:themeColor="text1" w:themeTint="F2"/>
                <w:spacing w:val="-2"/>
                <w:lang w:val="en-GB"/>
              </w:rPr>
              <w:t>I</w:t>
            </w:r>
            <w:r w:rsidR="00A91D49">
              <w:rPr>
                <w:rFonts w:cs="Arial"/>
                <w:color w:val="0D0D0D" w:themeColor="text1" w:themeTint="F2"/>
                <w:spacing w:val="-2"/>
                <w:lang w:val="en-GB"/>
              </w:rPr>
              <w:t>n</w:t>
            </w:r>
            <w:r w:rsidR="00E84A6B">
              <w:rPr>
                <w:rFonts w:cs="Arial"/>
                <w:color w:val="0D0D0D" w:themeColor="text1" w:themeTint="F2"/>
                <w:spacing w:val="-2"/>
                <w:lang w:val="en-GB"/>
              </w:rPr>
              <w:t xml:space="preserve"> contrast the total SB revenu</w:t>
            </w:r>
            <w:r w:rsidR="00A91D49">
              <w:rPr>
                <w:rFonts w:cs="Arial"/>
                <w:color w:val="0D0D0D" w:themeColor="text1" w:themeTint="F2"/>
                <w:spacing w:val="-2"/>
                <w:lang w:val="en-GB"/>
              </w:rPr>
              <w:t>e</w:t>
            </w:r>
            <w:r w:rsidR="00E84A6B">
              <w:rPr>
                <w:rFonts w:cs="Arial"/>
                <w:color w:val="0D0D0D" w:themeColor="text1" w:themeTint="F2"/>
                <w:spacing w:val="-2"/>
                <w:lang w:val="en-GB"/>
              </w:rPr>
              <w:t xml:space="preserve">s were by nearly 21 </w:t>
            </w:r>
            <w:proofErr w:type="spellStart"/>
            <w:r w:rsidR="00E84A6B">
              <w:rPr>
                <w:rFonts w:cs="Arial"/>
                <w:color w:val="0D0D0D" w:themeColor="text1" w:themeTint="F2"/>
                <w:spacing w:val="-2"/>
                <w:lang w:val="en-GB"/>
              </w:rPr>
              <w:t>bn</w:t>
            </w:r>
            <w:proofErr w:type="spellEnd"/>
            <w:r w:rsidR="00E84A6B">
              <w:rPr>
                <w:rFonts w:cs="Arial"/>
                <w:color w:val="0D0D0D" w:themeColor="text1" w:themeTint="F2"/>
                <w:spacing w:val="-2"/>
                <w:lang w:val="en-GB"/>
              </w:rPr>
              <w:t xml:space="preserve"> lower compared to H1 2016 and their rate of growth (-3.2</w:t>
            </w:r>
            <w:r w:rsidR="00954C8E">
              <w:rPr>
                <w:rFonts w:cs="Arial"/>
                <w:color w:val="0D0D0D" w:themeColor="text1" w:themeTint="F2"/>
                <w:spacing w:val="-2"/>
                <w:lang w:val="en-GB"/>
              </w:rPr>
              <w:t>%</w:t>
            </w:r>
            <w:r w:rsidR="00E84A6B">
              <w:rPr>
                <w:rFonts w:cs="Arial"/>
                <w:color w:val="0D0D0D" w:themeColor="text1" w:themeTint="F2"/>
                <w:spacing w:val="-2"/>
                <w:lang w:val="en-GB"/>
              </w:rPr>
              <w:t xml:space="preserve">) slightly lagged behind the budget anticipations so far. </w:t>
            </w:r>
            <w:r w:rsidR="001C3961" w:rsidRPr="002E61AD">
              <w:rPr>
                <w:rFonts w:cs="Arial"/>
                <w:color w:val="0D0D0D" w:themeColor="text1" w:themeTint="F2"/>
                <w:spacing w:val="-2"/>
                <w:lang w:val="en-GB"/>
              </w:rPr>
              <w:t>T</w:t>
            </w:r>
            <w:r w:rsidR="00A91D49">
              <w:rPr>
                <w:rFonts w:cs="Arial"/>
                <w:color w:val="0D0D0D" w:themeColor="text1" w:themeTint="F2"/>
                <w:spacing w:val="-2"/>
                <w:lang w:val="en-GB"/>
              </w:rPr>
              <w:t xml:space="preserve">his result was influenced by strong fall of the revenues from the EU sources. The CR acquired in total </w:t>
            </w:r>
            <w:r w:rsidR="001C3961" w:rsidRPr="002E61AD">
              <w:rPr>
                <w:rFonts w:cs="Arial"/>
                <w:color w:val="0D0D0D" w:themeColor="text1" w:themeTint="F2"/>
                <w:spacing w:val="-2"/>
                <w:lang w:val="en-GB"/>
              </w:rPr>
              <w:t>39</w:t>
            </w:r>
            <w:r w:rsidR="00A91D49">
              <w:rPr>
                <w:rFonts w:cs="Arial"/>
                <w:color w:val="0D0D0D" w:themeColor="text1" w:themeTint="F2"/>
                <w:spacing w:val="-2"/>
                <w:lang w:val="en-GB"/>
              </w:rPr>
              <w:t>.</w:t>
            </w:r>
            <w:r w:rsidR="001C3961" w:rsidRPr="002E61AD">
              <w:rPr>
                <w:rFonts w:cs="Arial"/>
                <w:color w:val="0D0D0D" w:themeColor="text1" w:themeTint="F2"/>
                <w:spacing w:val="-2"/>
                <w:lang w:val="en-GB"/>
              </w:rPr>
              <w:t xml:space="preserve">5 </w:t>
            </w:r>
            <w:r w:rsidR="00467B4F">
              <w:rPr>
                <w:rFonts w:cs="Arial"/>
                <w:color w:val="0D0D0D" w:themeColor="text1" w:themeTint="F2"/>
                <w:spacing w:val="-2"/>
                <w:lang w:val="en-GB"/>
              </w:rPr>
              <w:t xml:space="preserve">CZK </w:t>
            </w:r>
            <w:proofErr w:type="spellStart"/>
            <w:r w:rsidR="00467B4F">
              <w:rPr>
                <w:rFonts w:cs="Arial"/>
                <w:color w:val="0D0D0D" w:themeColor="text1" w:themeTint="F2"/>
                <w:spacing w:val="-2"/>
                <w:lang w:val="en-GB"/>
              </w:rPr>
              <w:t>bn</w:t>
            </w:r>
            <w:proofErr w:type="spellEnd"/>
            <w:r w:rsidR="001C3961" w:rsidRPr="002E61AD">
              <w:rPr>
                <w:rStyle w:val="Znakapoznpodarou"/>
                <w:color w:val="0D0D0D" w:themeColor="text1" w:themeTint="F2"/>
                <w:spacing w:val="-2"/>
                <w:lang w:val="en-GB"/>
              </w:rPr>
              <w:footnoteReference w:id="35"/>
            </w:r>
            <w:r w:rsidR="00A91D49">
              <w:rPr>
                <w:rFonts w:cs="Arial"/>
                <w:color w:val="0D0D0D" w:themeColor="text1" w:themeTint="F2"/>
                <w:spacing w:val="-2"/>
                <w:lang w:val="en-GB"/>
              </w:rPr>
              <w:t xml:space="preserve"> from the EU budget in H1 2017. It presented only one quarter of the amount from the first half of year 2015</w:t>
            </w:r>
            <w:r w:rsidR="00003721">
              <w:rPr>
                <w:rFonts w:cs="Arial"/>
                <w:color w:val="0D0D0D" w:themeColor="text1" w:themeTint="F2"/>
                <w:spacing w:val="-2"/>
                <w:lang w:val="en-GB"/>
              </w:rPr>
              <w:t>, when the drawing of the funds from the EU budget reached the peak. Apart from the volume of finances, their structure also changed.</w:t>
            </w:r>
            <w:r w:rsidR="00B01AEF">
              <w:rPr>
                <w:rFonts w:cs="Arial"/>
                <w:color w:val="0D0D0D" w:themeColor="text1" w:themeTint="F2"/>
                <w:spacing w:val="-2"/>
                <w:lang w:val="en-GB"/>
              </w:rPr>
              <w:t xml:space="preserve"> </w:t>
            </w:r>
            <w:r w:rsidR="004F267A">
              <w:rPr>
                <w:rFonts w:cs="Arial"/>
                <w:color w:val="0D0D0D" w:themeColor="text1" w:themeTint="F2"/>
                <w:spacing w:val="-2"/>
                <w:lang w:val="en-GB"/>
              </w:rPr>
              <w:t>Especially the break of the more project demanding structural actions (e.g. transportation constructions financed from the structural funds) stood behind the weaker drawing at the beginning of the new programme period. On the contrary, the volume of the direct payments in agriculture did not practically change in the last five years (it even slightly rose against H1 2016</w:t>
            </w:r>
            <w:r w:rsidR="001C3961" w:rsidRPr="002E61AD">
              <w:rPr>
                <w:rFonts w:cs="Arial"/>
                <w:color w:val="0D0D0D" w:themeColor="text1" w:themeTint="F2"/>
                <w:spacing w:val="-2"/>
                <w:lang w:val="en-GB"/>
              </w:rPr>
              <w:t>).</w:t>
            </w:r>
          </w:p>
          <w:p w:rsidR="001C3961" w:rsidRPr="002E61AD" w:rsidRDefault="001C3961" w:rsidP="00853C0F">
            <w:pPr>
              <w:pStyle w:val="Textpoznpodarou"/>
              <w:jc w:val="both"/>
              <w:rPr>
                <w:rFonts w:cs="Arial"/>
                <w:color w:val="0D0D0D" w:themeColor="text1" w:themeTint="F2"/>
                <w:spacing w:val="-2"/>
                <w:sz w:val="15"/>
                <w:szCs w:val="15"/>
                <w:lang w:val="en-GB"/>
              </w:rPr>
            </w:pPr>
          </w:p>
        </w:tc>
      </w:tr>
      <w:tr w:rsidR="001C3961" w:rsidRPr="00AD0FC0" w:rsidTr="00853C0F">
        <w:trPr>
          <w:trHeight w:val="145"/>
        </w:trPr>
        <w:tc>
          <w:tcPr>
            <w:tcW w:w="1016" w:type="pct"/>
            <w:shd w:val="clear" w:color="auto" w:fill="auto"/>
          </w:tcPr>
          <w:p w:rsidR="001C3961" w:rsidRPr="00E84A6B" w:rsidRDefault="00A80917" w:rsidP="00853C0F">
            <w:pPr>
              <w:spacing w:line="240" w:lineRule="auto"/>
              <w:rPr>
                <w:rFonts w:cs="Arial"/>
                <w:color w:val="0D0D0D" w:themeColor="text1" w:themeTint="F2"/>
                <w:spacing w:val="-2"/>
                <w:sz w:val="16"/>
                <w:szCs w:val="16"/>
                <w:lang w:val="en-GB"/>
              </w:rPr>
            </w:pPr>
            <w:r>
              <w:rPr>
                <w:rFonts w:cs="Arial"/>
                <w:color w:val="0D0D0D" w:themeColor="text1" w:themeTint="F2"/>
                <w:spacing w:val="-2"/>
                <w:sz w:val="16"/>
                <w:szCs w:val="16"/>
                <w:lang w:val="en-GB"/>
              </w:rPr>
              <w:t xml:space="preserve">Low drawing of investment continued during 2017. </w:t>
            </w:r>
          </w:p>
        </w:tc>
        <w:tc>
          <w:tcPr>
            <w:tcW w:w="144" w:type="pct"/>
          </w:tcPr>
          <w:p w:rsidR="001C3961" w:rsidRPr="00E84A6B" w:rsidRDefault="001C3961" w:rsidP="00853C0F">
            <w:pPr>
              <w:pStyle w:val="Textpoznpodarou"/>
              <w:jc w:val="both"/>
              <w:rPr>
                <w:rFonts w:cs="Arial"/>
                <w:color w:val="0D0D0D" w:themeColor="text1" w:themeTint="F2"/>
                <w:lang w:val="en-GB"/>
              </w:rPr>
            </w:pPr>
          </w:p>
        </w:tc>
        <w:tc>
          <w:tcPr>
            <w:tcW w:w="3840" w:type="pct"/>
          </w:tcPr>
          <w:p w:rsidR="007D232E" w:rsidRPr="00E84A6B" w:rsidRDefault="00A80917" w:rsidP="007D232E">
            <w:pPr>
              <w:pStyle w:val="Textpoznpodarou"/>
              <w:jc w:val="both"/>
              <w:rPr>
                <w:rFonts w:cs="Arial"/>
                <w:color w:val="0D0D0D" w:themeColor="text1" w:themeTint="F2"/>
                <w:spacing w:val="-2"/>
                <w:sz w:val="15"/>
                <w:szCs w:val="15"/>
                <w:lang w:val="en-GB"/>
              </w:rPr>
            </w:pPr>
            <w:r>
              <w:rPr>
                <w:rFonts w:cs="Arial"/>
                <w:color w:val="000000" w:themeColor="text1"/>
                <w:spacing w:val="-2"/>
                <w:lang w:val="en-GB"/>
              </w:rPr>
              <w:t>Total SB outlays strengthened by 2.5</w:t>
            </w:r>
            <w:r w:rsidR="00954C8E">
              <w:rPr>
                <w:rFonts w:cs="Arial"/>
                <w:color w:val="000000" w:themeColor="text1"/>
                <w:spacing w:val="-2"/>
                <w:lang w:val="en-GB"/>
              </w:rPr>
              <w:t>%</w:t>
            </w:r>
            <w:r>
              <w:rPr>
                <w:rFonts w:cs="Arial"/>
                <w:color w:val="000000" w:themeColor="text1"/>
                <w:spacing w:val="-2"/>
                <w:lang w:val="en-GB"/>
              </w:rPr>
              <w:t xml:space="preserve"> </w:t>
            </w:r>
            <w:r w:rsidR="00745DD4">
              <w:rPr>
                <w:rFonts w:cs="Arial"/>
                <w:color w:val="000000" w:themeColor="text1"/>
                <w:spacing w:val="-2"/>
                <w:lang w:val="en-GB"/>
              </w:rPr>
              <w:t xml:space="preserve">year-on-year </w:t>
            </w:r>
            <w:r>
              <w:rPr>
                <w:rFonts w:cs="Arial"/>
                <w:color w:val="000000" w:themeColor="text1"/>
                <w:spacing w:val="-2"/>
                <w:lang w:val="en-GB"/>
              </w:rPr>
              <w:t>from January till June 2017</w:t>
            </w:r>
            <w:r w:rsidR="00745DD4">
              <w:rPr>
                <w:rFonts w:cs="Arial"/>
                <w:color w:val="000000" w:themeColor="text1"/>
                <w:spacing w:val="-2"/>
                <w:lang w:val="en-GB"/>
              </w:rPr>
              <w:t>. The growth of the current outlays (5.9</w:t>
            </w:r>
            <w:r w:rsidR="00954C8E">
              <w:rPr>
                <w:rFonts w:cs="Arial"/>
                <w:color w:val="000000" w:themeColor="text1"/>
                <w:spacing w:val="-2"/>
                <w:lang w:val="en-GB"/>
              </w:rPr>
              <w:t>%</w:t>
            </w:r>
            <w:r w:rsidR="00745DD4">
              <w:rPr>
                <w:rFonts w:cs="Arial"/>
                <w:color w:val="000000" w:themeColor="text1"/>
                <w:spacing w:val="-2"/>
                <w:lang w:val="en-GB"/>
              </w:rPr>
              <w:t>) was in contrast to the slump of investment (by 48</w:t>
            </w:r>
            <w:r w:rsidR="00954C8E">
              <w:rPr>
                <w:rFonts w:cs="Arial"/>
                <w:color w:val="000000" w:themeColor="text1"/>
                <w:spacing w:val="-2"/>
                <w:lang w:val="en-GB"/>
              </w:rPr>
              <w:t>%</w:t>
            </w:r>
            <w:r w:rsidR="00745DD4">
              <w:rPr>
                <w:rFonts w:cs="Arial"/>
                <w:color w:val="000000" w:themeColor="text1"/>
                <w:spacing w:val="-2"/>
                <w:lang w:val="en-GB"/>
              </w:rPr>
              <w:t>) in accordance with the budget anticipations.</w:t>
            </w:r>
            <w:r w:rsidR="001C3961" w:rsidRPr="00E84A6B">
              <w:rPr>
                <w:rFonts w:cs="Arial"/>
                <w:color w:val="000000" w:themeColor="text1"/>
                <w:spacing w:val="-2"/>
                <w:lang w:val="en-GB"/>
              </w:rPr>
              <w:t xml:space="preserve"> </w:t>
            </w:r>
            <w:r w:rsidR="006632EB">
              <w:rPr>
                <w:rFonts w:cs="Arial"/>
                <w:color w:val="000000" w:themeColor="text1"/>
                <w:spacing w:val="-2"/>
                <w:lang w:val="en-GB"/>
              </w:rPr>
              <w:t xml:space="preserve">The capital </w:t>
            </w:r>
            <w:r w:rsidR="00B26984">
              <w:rPr>
                <w:rFonts w:cs="Arial"/>
                <w:color w:val="000000" w:themeColor="text1"/>
                <w:spacing w:val="-2"/>
                <w:lang w:val="en-GB"/>
              </w:rPr>
              <w:t>expenditure</w:t>
            </w:r>
            <w:r w:rsidR="006632EB">
              <w:rPr>
                <w:rFonts w:cs="Arial"/>
                <w:color w:val="000000" w:themeColor="text1"/>
                <w:spacing w:val="-2"/>
                <w:lang w:val="en-GB"/>
              </w:rPr>
              <w:t xml:space="preserve"> only negligibly crossed 20 </w:t>
            </w:r>
            <w:r w:rsidR="00467B4F">
              <w:rPr>
                <w:rFonts w:cs="Arial"/>
                <w:color w:val="000000" w:themeColor="text1"/>
                <w:spacing w:val="-2"/>
                <w:lang w:val="en-GB"/>
              </w:rPr>
              <w:t>CZK bn</w:t>
            </w:r>
            <w:r w:rsidR="006632EB">
              <w:rPr>
                <w:rFonts w:cs="Arial"/>
                <w:color w:val="000000" w:themeColor="text1"/>
                <w:spacing w:val="-2"/>
                <w:lang w:val="en-GB"/>
              </w:rPr>
              <w:t>. Nearly one half of that headed to the financing of the common CR and EU programmes (</w:t>
            </w:r>
            <w:r w:rsidR="00133C5B">
              <w:rPr>
                <w:rFonts w:cs="Arial"/>
                <w:color w:val="000000" w:themeColor="text1"/>
                <w:spacing w:val="-2"/>
                <w:lang w:val="en-GB"/>
              </w:rPr>
              <w:t xml:space="preserve">all </w:t>
            </w:r>
            <w:r w:rsidR="00B26984">
              <w:rPr>
                <w:rFonts w:cs="Arial"/>
                <w:color w:val="000000" w:themeColor="text1"/>
                <w:spacing w:val="-2"/>
                <w:lang w:val="en-GB"/>
              </w:rPr>
              <w:t>expenditure</w:t>
            </w:r>
            <w:r w:rsidR="00133C5B">
              <w:rPr>
                <w:rFonts w:cs="Arial"/>
                <w:color w:val="000000" w:themeColor="text1"/>
                <w:spacing w:val="-2"/>
                <w:lang w:val="en-GB"/>
              </w:rPr>
              <w:t xml:space="preserve">, i.e. the non-investment as well on these projects arrived at 34 </w:t>
            </w:r>
            <w:proofErr w:type="spellStart"/>
            <w:r w:rsidR="00133C5B">
              <w:rPr>
                <w:rFonts w:cs="Arial"/>
                <w:color w:val="000000" w:themeColor="text1"/>
                <w:spacing w:val="-2"/>
                <w:lang w:val="en-GB"/>
              </w:rPr>
              <w:t>bn</w:t>
            </w:r>
            <w:proofErr w:type="spellEnd"/>
            <w:r w:rsidR="00133C5B">
              <w:rPr>
                <w:rFonts w:cs="Arial"/>
                <w:color w:val="000000" w:themeColor="text1"/>
                <w:spacing w:val="-2"/>
                <w:lang w:val="en-GB"/>
              </w:rPr>
              <w:t xml:space="preserve">, by 16 </w:t>
            </w:r>
            <w:proofErr w:type="spellStart"/>
            <w:r w:rsidR="00133C5B">
              <w:rPr>
                <w:rFonts w:cs="Arial"/>
                <w:color w:val="000000" w:themeColor="text1"/>
                <w:spacing w:val="-2"/>
                <w:lang w:val="en-GB"/>
              </w:rPr>
              <w:t>bn</w:t>
            </w:r>
            <w:proofErr w:type="spellEnd"/>
            <w:r w:rsidR="00133C5B">
              <w:rPr>
                <w:rFonts w:cs="Arial"/>
                <w:color w:val="000000" w:themeColor="text1"/>
                <w:spacing w:val="-2"/>
                <w:lang w:val="en-GB"/>
              </w:rPr>
              <w:t xml:space="preserve"> less year-on-year). The drawing of investment did not improve much </w:t>
            </w:r>
            <w:r w:rsidR="00C960EC">
              <w:rPr>
                <w:rFonts w:cs="Arial"/>
                <w:color w:val="000000" w:themeColor="text1"/>
                <w:spacing w:val="-2"/>
                <w:lang w:val="en-GB"/>
              </w:rPr>
              <w:t xml:space="preserve">even </w:t>
            </w:r>
            <w:r w:rsidR="00E84AAD">
              <w:rPr>
                <w:rFonts w:cs="Arial"/>
                <w:color w:val="000000" w:themeColor="text1"/>
                <w:spacing w:val="-2"/>
                <w:lang w:val="en-GB"/>
              </w:rPr>
              <w:t>during</w:t>
            </w:r>
            <w:r w:rsidR="00C960EC">
              <w:rPr>
                <w:rFonts w:cs="Arial"/>
                <w:color w:val="000000" w:themeColor="text1"/>
                <w:spacing w:val="-2"/>
                <w:lang w:val="en-GB"/>
              </w:rPr>
              <w:t xml:space="preserve"> the </w:t>
            </w:r>
            <w:r w:rsidR="00E84AAD">
              <w:rPr>
                <w:rFonts w:cs="Arial"/>
                <w:color w:val="000000" w:themeColor="text1"/>
                <w:spacing w:val="-2"/>
                <w:lang w:val="en-GB"/>
              </w:rPr>
              <w:t xml:space="preserve">summer </w:t>
            </w:r>
            <w:r w:rsidR="00C960EC">
              <w:rPr>
                <w:rFonts w:cs="Arial"/>
                <w:color w:val="000000" w:themeColor="text1"/>
                <w:spacing w:val="-2"/>
                <w:lang w:val="en-GB"/>
              </w:rPr>
              <w:t>holiday</w:t>
            </w:r>
            <w:r w:rsidR="00B26984">
              <w:rPr>
                <w:rFonts w:cs="Arial"/>
                <w:color w:val="000000" w:themeColor="text1"/>
                <w:spacing w:val="-2"/>
                <w:lang w:val="en-GB"/>
              </w:rPr>
              <w:t>s</w:t>
            </w:r>
            <w:r w:rsidR="001C3961" w:rsidRPr="00E84A6B">
              <w:rPr>
                <w:rStyle w:val="Znakapoznpodarou"/>
                <w:color w:val="000000" w:themeColor="text1"/>
                <w:spacing w:val="-2"/>
                <w:lang w:val="en-GB"/>
              </w:rPr>
              <w:footnoteReference w:id="36"/>
            </w:r>
            <w:r w:rsidR="001C3961" w:rsidRPr="00E84A6B">
              <w:rPr>
                <w:rFonts w:cs="Arial"/>
                <w:color w:val="000000" w:themeColor="text1"/>
                <w:spacing w:val="-2"/>
                <w:lang w:val="en-GB"/>
              </w:rPr>
              <w:t xml:space="preserve">. </w:t>
            </w:r>
            <w:r w:rsidR="00C960EC">
              <w:rPr>
                <w:rFonts w:cs="Arial"/>
                <w:color w:val="000000" w:themeColor="text1"/>
                <w:spacing w:val="-2"/>
                <w:lang w:val="en-GB"/>
              </w:rPr>
              <w:t xml:space="preserve">The share of investment on all SB </w:t>
            </w:r>
            <w:r w:rsidR="00B26984">
              <w:rPr>
                <w:rFonts w:cs="Arial"/>
                <w:color w:val="000000" w:themeColor="text1"/>
                <w:spacing w:val="-2"/>
                <w:lang w:val="en-GB"/>
              </w:rPr>
              <w:t>expenditure</w:t>
            </w:r>
            <w:r w:rsidR="00C960EC">
              <w:rPr>
                <w:rFonts w:cs="Arial"/>
                <w:color w:val="000000" w:themeColor="text1"/>
                <w:spacing w:val="-2"/>
                <w:lang w:val="en-GB"/>
              </w:rPr>
              <w:t xml:space="preserve"> lowered to </w:t>
            </w:r>
            <w:r w:rsidR="001C3961" w:rsidRPr="00E84A6B">
              <w:rPr>
                <w:rFonts w:cs="Arial"/>
                <w:color w:val="000000" w:themeColor="text1"/>
                <w:spacing w:val="-2"/>
                <w:lang w:val="en-GB"/>
              </w:rPr>
              <w:t>3</w:t>
            </w:r>
            <w:r w:rsidR="00C960EC">
              <w:rPr>
                <w:rFonts w:cs="Arial"/>
                <w:color w:val="000000" w:themeColor="text1"/>
                <w:spacing w:val="-2"/>
                <w:lang w:val="en-GB"/>
              </w:rPr>
              <w:t>.</w:t>
            </w:r>
            <w:r w:rsidR="001C3961" w:rsidRPr="00E84A6B">
              <w:rPr>
                <w:rFonts w:cs="Arial"/>
                <w:color w:val="000000" w:themeColor="text1"/>
                <w:spacing w:val="-2"/>
                <w:lang w:val="en-GB"/>
              </w:rPr>
              <w:t>2</w:t>
            </w:r>
            <w:r w:rsidR="00954C8E">
              <w:rPr>
                <w:rFonts w:cs="Arial"/>
                <w:color w:val="000000" w:themeColor="text1"/>
                <w:spacing w:val="-2"/>
                <w:lang w:val="en-GB"/>
              </w:rPr>
              <w:t>%</w:t>
            </w:r>
            <w:r w:rsidR="001C3961" w:rsidRPr="00E84A6B">
              <w:rPr>
                <w:rFonts w:cs="Arial"/>
                <w:color w:val="000000" w:themeColor="text1"/>
                <w:spacing w:val="-2"/>
                <w:lang w:val="en-GB"/>
              </w:rPr>
              <w:t xml:space="preserve"> (</w:t>
            </w:r>
            <w:r w:rsidR="00F67CF0">
              <w:rPr>
                <w:rFonts w:cs="Arial"/>
                <w:color w:val="000000" w:themeColor="text1"/>
                <w:spacing w:val="-2"/>
                <w:lang w:val="en-GB"/>
              </w:rPr>
              <w:t>the lowest value after year 2000).</w:t>
            </w:r>
          </w:p>
        </w:tc>
      </w:tr>
      <w:tr w:rsidR="001C3961" w:rsidRPr="00AD0FC0" w:rsidTr="00853C0F">
        <w:trPr>
          <w:trHeight w:val="145"/>
        </w:trPr>
        <w:tc>
          <w:tcPr>
            <w:tcW w:w="1016" w:type="pct"/>
            <w:shd w:val="clear" w:color="auto" w:fill="auto"/>
          </w:tcPr>
          <w:p w:rsidR="001C3961" w:rsidRPr="00E84A6B" w:rsidRDefault="00D1221D" w:rsidP="0044315B">
            <w:pPr>
              <w:spacing w:line="240" w:lineRule="auto"/>
              <w:rPr>
                <w:rFonts w:cs="Arial"/>
                <w:bCs/>
                <w:iCs/>
                <w:color w:val="0D0D0D" w:themeColor="text1" w:themeTint="F2"/>
                <w:spacing w:val="-4"/>
                <w:sz w:val="16"/>
                <w:szCs w:val="16"/>
                <w:lang w:val="en-GB"/>
              </w:rPr>
            </w:pPr>
            <w:r>
              <w:rPr>
                <w:rFonts w:cs="Arial"/>
                <w:color w:val="0D0D0D" w:themeColor="text1" w:themeTint="F2"/>
                <w:spacing w:val="-2"/>
                <w:sz w:val="16"/>
                <w:szCs w:val="16"/>
                <w:lang w:val="en-GB"/>
              </w:rPr>
              <w:lastRenderedPageBreak/>
              <w:t xml:space="preserve">Especially the higher social benefits and expenditure on wages to </w:t>
            </w:r>
            <w:r w:rsidR="0044315B">
              <w:rPr>
                <w:rFonts w:cs="Arial"/>
                <w:color w:val="0D0D0D" w:themeColor="text1" w:themeTint="F2"/>
                <w:spacing w:val="-2"/>
                <w:sz w:val="16"/>
                <w:szCs w:val="16"/>
                <w:lang w:val="en-GB"/>
              </w:rPr>
              <w:t xml:space="preserve">public sector </w:t>
            </w:r>
            <w:r>
              <w:rPr>
                <w:rFonts w:cs="Arial"/>
                <w:color w:val="0D0D0D" w:themeColor="text1" w:themeTint="F2"/>
                <w:spacing w:val="-2"/>
                <w:sz w:val="16"/>
                <w:szCs w:val="16"/>
                <w:lang w:val="en-GB"/>
              </w:rPr>
              <w:t xml:space="preserve">employees contributed to the growth of the current </w:t>
            </w:r>
            <w:r w:rsidR="00B26984">
              <w:rPr>
                <w:rFonts w:cs="Arial"/>
                <w:color w:val="0D0D0D" w:themeColor="text1" w:themeTint="F2"/>
                <w:spacing w:val="-2"/>
                <w:sz w:val="16"/>
                <w:szCs w:val="16"/>
                <w:lang w:val="en-GB"/>
              </w:rPr>
              <w:t>expenditure</w:t>
            </w:r>
            <w:r>
              <w:rPr>
                <w:rFonts w:cs="Arial"/>
                <w:color w:val="0D0D0D" w:themeColor="text1" w:themeTint="F2"/>
                <w:spacing w:val="-2"/>
                <w:sz w:val="16"/>
                <w:szCs w:val="16"/>
                <w:lang w:val="en-GB"/>
              </w:rPr>
              <w:t xml:space="preserve">. </w:t>
            </w:r>
          </w:p>
        </w:tc>
        <w:tc>
          <w:tcPr>
            <w:tcW w:w="144" w:type="pct"/>
          </w:tcPr>
          <w:p w:rsidR="001C3961" w:rsidRPr="00E84A6B" w:rsidRDefault="001C3961" w:rsidP="00853C0F">
            <w:pPr>
              <w:pStyle w:val="Textpoznpodarou"/>
              <w:jc w:val="both"/>
              <w:rPr>
                <w:rFonts w:cs="Arial"/>
                <w:color w:val="000000" w:themeColor="text1"/>
                <w:spacing w:val="-4"/>
                <w:lang w:val="en-GB"/>
              </w:rPr>
            </w:pPr>
          </w:p>
        </w:tc>
        <w:tc>
          <w:tcPr>
            <w:tcW w:w="3840" w:type="pct"/>
          </w:tcPr>
          <w:p w:rsidR="001C3961" w:rsidRPr="00E84A6B" w:rsidRDefault="00DA5374" w:rsidP="00853C0F">
            <w:pPr>
              <w:pStyle w:val="Textpoznpodarou"/>
              <w:jc w:val="both"/>
              <w:rPr>
                <w:rFonts w:cs="Arial"/>
                <w:color w:val="000000" w:themeColor="text1"/>
                <w:spacing w:val="-2"/>
                <w:lang w:val="en-GB"/>
              </w:rPr>
            </w:pPr>
            <w:r>
              <w:rPr>
                <w:rFonts w:cs="Arial"/>
                <w:color w:val="000000" w:themeColor="text1"/>
                <w:spacing w:val="-2"/>
                <w:lang w:val="en-GB"/>
              </w:rPr>
              <w:t xml:space="preserve">Mainly the weight dominant item of the social benefits </w:t>
            </w:r>
            <w:r w:rsidR="00482185">
              <w:rPr>
                <w:rFonts w:cs="Arial"/>
                <w:color w:val="000000" w:themeColor="text1"/>
                <w:spacing w:val="-2"/>
                <w:lang w:val="en-GB"/>
              </w:rPr>
              <w:t xml:space="preserve">(+13.5 </w:t>
            </w:r>
            <w:proofErr w:type="spellStart"/>
            <w:r w:rsidR="00482185">
              <w:rPr>
                <w:rFonts w:cs="Arial"/>
                <w:color w:val="000000" w:themeColor="text1"/>
                <w:spacing w:val="-2"/>
                <w:lang w:val="en-GB"/>
              </w:rPr>
              <w:t>bn</w:t>
            </w:r>
            <w:proofErr w:type="spellEnd"/>
            <w:r w:rsidR="00482185">
              <w:rPr>
                <w:rFonts w:cs="Arial"/>
                <w:color w:val="000000" w:themeColor="text1"/>
                <w:spacing w:val="-2"/>
                <w:lang w:val="en-GB"/>
              </w:rPr>
              <w:t xml:space="preserve">) </w:t>
            </w:r>
            <w:r>
              <w:rPr>
                <w:rFonts w:cs="Arial"/>
                <w:color w:val="000000" w:themeColor="text1"/>
                <w:spacing w:val="-2"/>
                <w:lang w:val="en-GB"/>
              </w:rPr>
              <w:t xml:space="preserve">was behind the higher current </w:t>
            </w:r>
            <w:r w:rsidR="00B26984">
              <w:rPr>
                <w:rFonts w:cs="Arial"/>
                <w:color w:val="000000" w:themeColor="text1"/>
                <w:spacing w:val="-2"/>
                <w:lang w:val="en-GB"/>
              </w:rPr>
              <w:t>expenditure</w:t>
            </w:r>
            <w:r>
              <w:rPr>
                <w:rFonts w:cs="Arial"/>
                <w:color w:val="000000" w:themeColor="text1"/>
                <w:spacing w:val="-2"/>
                <w:lang w:val="en-GB"/>
              </w:rPr>
              <w:t xml:space="preserve"> </w:t>
            </w:r>
            <w:r w:rsidR="001C3961" w:rsidRPr="00E84A6B">
              <w:rPr>
                <w:rFonts w:cs="Arial"/>
                <w:color w:val="000000" w:themeColor="text1"/>
                <w:spacing w:val="-2"/>
                <w:lang w:val="en-GB"/>
              </w:rPr>
              <w:t xml:space="preserve">(+34 </w:t>
            </w:r>
            <w:r w:rsidR="00467B4F">
              <w:rPr>
                <w:rFonts w:cs="Arial"/>
                <w:color w:val="000000" w:themeColor="text1"/>
                <w:spacing w:val="-2"/>
                <w:lang w:val="en-GB"/>
              </w:rPr>
              <w:t xml:space="preserve">CZK </w:t>
            </w:r>
            <w:proofErr w:type="spellStart"/>
            <w:r w:rsidR="00467B4F">
              <w:rPr>
                <w:rFonts w:cs="Arial"/>
                <w:color w:val="000000" w:themeColor="text1"/>
                <w:spacing w:val="-2"/>
                <w:lang w:val="en-GB"/>
              </w:rPr>
              <w:t>bn</w:t>
            </w:r>
            <w:proofErr w:type="spellEnd"/>
            <w:r w:rsidR="00482185">
              <w:rPr>
                <w:rFonts w:cs="Arial"/>
                <w:color w:val="000000" w:themeColor="text1"/>
                <w:spacing w:val="-2"/>
                <w:lang w:val="en-GB"/>
              </w:rPr>
              <w:t>) in H1. The non-investment outlays to the business subjects also notably contributed, they were nearly by one third higher year-on-year. The expenditure on the salaries of state employees rose by 7.6</w:t>
            </w:r>
            <w:r w:rsidR="00954C8E">
              <w:rPr>
                <w:rFonts w:cs="Arial"/>
                <w:color w:val="000000" w:themeColor="text1"/>
                <w:spacing w:val="-2"/>
                <w:lang w:val="en-GB"/>
              </w:rPr>
              <w:t>%</w:t>
            </w:r>
            <w:r w:rsidR="000A62FA">
              <w:rPr>
                <w:rFonts w:cs="Arial"/>
                <w:color w:val="000000" w:themeColor="text1"/>
                <w:spacing w:val="-2"/>
                <w:lang w:val="en-GB"/>
              </w:rPr>
              <w:t xml:space="preserve"> </w:t>
            </w:r>
            <w:r w:rsidR="00482185">
              <w:rPr>
                <w:rFonts w:cs="Arial"/>
                <w:color w:val="000000" w:themeColor="text1"/>
                <w:spacing w:val="-2"/>
                <w:lang w:val="en-GB"/>
              </w:rPr>
              <w:t xml:space="preserve">(it was a higher pace compared both to the previous year and Q1 2017). The growth of earnings of employees in the regional </w:t>
            </w:r>
            <w:r w:rsidR="003034C7">
              <w:rPr>
                <w:rFonts w:cs="Arial"/>
                <w:color w:val="000000" w:themeColor="text1"/>
                <w:spacing w:val="-2"/>
                <w:lang w:val="en-GB"/>
              </w:rPr>
              <w:t>education</w:t>
            </w:r>
            <w:r w:rsidR="00482185">
              <w:rPr>
                <w:rFonts w:cs="Arial"/>
                <w:color w:val="000000" w:themeColor="text1"/>
                <w:spacing w:val="-2"/>
                <w:lang w:val="en-GB"/>
              </w:rPr>
              <w:t xml:space="preserve"> manifested in the higher non-investment transfers to the public budgets on the regional level (+9.1</w:t>
            </w:r>
            <w:r w:rsidR="00954C8E">
              <w:rPr>
                <w:rFonts w:cs="Arial"/>
                <w:color w:val="000000" w:themeColor="text1"/>
                <w:spacing w:val="-2"/>
                <w:lang w:val="en-GB"/>
              </w:rPr>
              <w:t>%</w:t>
            </w:r>
            <w:r w:rsidR="00482185">
              <w:rPr>
                <w:rFonts w:cs="Arial"/>
                <w:color w:val="000000" w:themeColor="text1"/>
                <w:spacing w:val="-2"/>
                <w:lang w:val="en-GB"/>
              </w:rPr>
              <w:t>, +4.6</w:t>
            </w:r>
            <w:r w:rsidR="00954C8E">
              <w:rPr>
                <w:rFonts w:cs="Arial"/>
                <w:color w:val="000000" w:themeColor="text1"/>
                <w:spacing w:val="-2"/>
                <w:lang w:val="en-GB"/>
              </w:rPr>
              <w:t>%</w:t>
            </w:r>
            <w:r w:rsidR="00482185">
              <w:rPr>
                <w:rFonts w:cs="Arial"/>
                <w:color w:val="000000" w:themeColor="text1"/>
                <w:spacing w:val="-2"/>
                <w:lang w:val="en-GB"/>
              </w:rPr>
              <w:t xml:space="preserve"> for the whole last year). Less funds w</w:t>
            </w:r>
            <w:r w:rsidR="009D48DC">
              <w:rPr>
                <w:rFonts w:cs="Arial"/>
                <w:color w:val="000000" w:themeColor="text1"/>
                <w:spacing w:val="-2"/>
                <w:lang w:val="en-GB"/>
              </w:rPr>
              <w:t>ere</w:t>
            </w:r>
            <w:r w:rsidR="00482185">
              <w:rPr>
                <w:rFonts w:cs="Arial"/>
                <w:color w:val="000000" w:themeColor="text1"/>
                <w:spacing w:val="-2"/>
                <w:lang w:val="en-GB"/>
              </w:rPr>
              <w:t xml:space="preserve"> on the contrary</w:t>
            </w:r>
            <w:r w:rsidR="009D48DC">
              <w:rPr>
                <w:rFonts w:cs="Arial"/>
                <w:color w:val="000000" w:themeColor="text1"/>
                <w:spacing w:val="-2"/>
                <w:lang w:val="en-GB"/>
              </w:rPr>
              <w:t xml:space="preserve"> expended on the non-investment transfers to state funds (-5.5 </w:t>
            </w:r>
            <w:proofErr w:type="spellStart"/>
            <w:r w:rsidR="009D48DC">
              <w:rPr>
                <w:rFonts w:cs="Arial"/>
                <w:color w:val="000000" w:themeColor="text1"/>
                <w:spacing w:val="-2"/>
                <w:lang w:val="en-GB"/>
              </w:rPr>
              <w:t>bn</w:t>
            </w:r>
            <w:proofErr w:type="spellEnd"/>
            <w:r w:rsidR="001C3961" w:rsidRPr="00E84A6B">
              <w:rPr>
                <w:rStyle w:val="tabulka"/>
                <w:spacing w:val="-2"/>
                <w:lang w:val="en-GB"/>
              </w:rPr>
              <w:t>).</w:t>
            </w:r>
            <w:r w:rsidR="009D48DC">
              <w:rPr>
                <w:rStyle w:val="tabulka"/>
                <w:spacing w:val="-2"/>
                <w:lang w:val="en-GB"/>
              </w:rPr>
              <w:t xml:space="preserve"> The more long-term</w:t>
            </w:r>
            <w:r w:rsidR="003034C7">
              <w:rPr>
                <w:rStyle w:val="tabulka"/>
                <w:spacing w:val="-2"/>
                <w:lang w:val="en-GB"/>
              </w:rPr>
              <w:t xml:space="preserve"> trend of the reduction of net expenditure</w:t>
            </w:r>
            <w:r w:rsidR="009D48DC">
              <w:rPr>
                <w:rStyle w:val="tabulka"/>
                <w:spacing w:val="-2"/>
                <w:lang w:val="en-GB"/>
              </w:rPr>
              <w:t xml:space="preserve"> on state debt further continued (5 </w:t>
            </w:r>
            <w:proofErr w:type="spellStart"/>
            <w:r w:rsidR="009D48DC">
              <w:rPr>
                <w:rStyle w:val="tabulka"/>
                <w:spacing w:val="-2"/>
                <w:lang w:val="en-GB"/>
              </w:rPr>
              <w:t>bn</w:t>
            </w:r>
            <w:proofErr w:type="spellEnd"/>
            <w:r w:rsidR="009D48DC">
              <w:rPr>
                <w:rStyle w:val="tabulka"/>
                <w:spacing w:val="-2"/>
                <w:lang w:val="en-GB"/>
              </w:rPr>
              <w:t xml:space="preserve">). </w:t>
            </w:r>
          </w:p>
        </w:tc>
      </w:tr>
    </w:tbl>
    <w:p w:rsidR="001C3961" w:rsidRPr="001C6DE6" w:rsidRDefault="001C3961" w:rsidP="001C3961">
      <w:pPr>
        <w:pStyle w:val="Textpoznpodarou"/>
        <w:jc w:val="both"/>
        <w:rPr>
          <w:rFonts w:cs="Arial"/>
          <w:color w:val="000000"/>
          <w:spacing w:val="-2"/>
          <w:sz w:val="15"/>
          <w:szCs w:val="15"/>
        </w:rPr>
      </w:pPr>
    </w:p>
    <w:tbl>
      <w:tblPr>
        <w:tblW w:w="4963" w:type="pct"/>
        <w:tblInd w:w="108" w:type="dxa"/>
        <w:tblLayout w:type="fixed"/>
        <w:tblLook w:val="00A0"/>
      </w:tblPr>
      <w:tblGrid>
        <w:gridCol w:w="1997"/>
        <w:gridCol w:w="284"/>
        <w:gridCol w:w="1119"/>
        <w:gridCol w:w="6381"/>
      </w:tblGrid>
      <w:tr w:rsidR="001C3961" w:rsidRPr="00AA4A76"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7D232E" w:rsidP="00853C0F">
            <w:pPr>
              <w:pStyle w:val="Textpoznpodarou"/>
              <w:jc w:val="both"/>
              <w:rPr>
                <w:highlight w:val="yellow"/>
              </w:rPr>
            </w:pPr>
            <w:r>
              <w:rPr>
                <w:color w:val="000000"/>
              </w:rPr>
              <w:t>Chart</w:t>
            </w:r>
            <w:r w:rsidR="001C3961">
              <w:rPr>
                <w:color w:val="000000"/>
              </w:rPr>
              <w:t xml:space="preserve"> 22</w:t>
            </w:r>
          </w:p>
        </w:tc>
        <w:tc>
          <w:tcPr>
            <w:tcW w:w="3262" w:type="pct"/>
          </w:tcPr>
          <w:p w:rsidR="001C3961" w:rsidRPr="0007324C" w:rsidRDefault="009277E9" w:rsidP="0044315B">
            <w:pPr>
              <w:spacing w:line="240" w:lineRule="auto"/>
              <w:rPr>
                <w:rFonts w:cs="Arial"/>
                <w:b/>
                <w:bCs/>
              </w:rPr>
            </w:pPr>
            <w:r w:rsidRPr="00403CE3">
              <w:rPr>
                <w:rFonts w:cs="Arial"/>
                <w:b/>
                <w:bCs/>
                <w:lang w:val="en-GB"/>
              </w:rPr>
              <w:t>Selected state budget expenditure</w:t>
            </w:r>
            <w:r>
              <w:rPr>
                <w:rFonts w:cs="Arial"/>
                <w:b/>
                <w:bCs/>
                <w:lang w:val="en-GB"/>
              </w:rPr>
              <w:t>s</w:t>
            </w:r>
            <w:r w:rsidRPr="00403CE3">
              <w:rPr>
                <w:rFonts w:cs="Arial"/>
                <w:b/>
                <w:bCs/>
                <w:lang w:val="en-GB"/>
              </w:rPr>
              <w:t xml:space="preserve"> </w:t>
            </w:r>
            <w:r>
              <w:rPr>
                <w:rFonts w:cs="Arial"/>
                <w:b/>
                <w:bCs/>
                <w:lang w:val="en-GB"/>
              </w:rPr>
              <w:t xml:space="preserve">in </w:t>
            </w:r>
            <w:r w:rsidR="0044315B" w:rsidRPr="009979D1">
              <w:rPr>
                <w:rFonts w:cs="Arial"/>
                <w:b/>
                <w:bCs/>
                <w:spacing w:val="-2"/>
                <w:lang w:val="en-GB"/>
              </w:rPr>
              <w:t>1st</w:t>
            </w:r>
            <w:r w:rsidR="0044315B" w:rsidDel="0044315B">
              <w:rPr>
                <w:rFonts w:cs="Arial"/>
                <w:b/>
                <w:bCs/>
                <w:lang w:val="en-GB"/>
              </w:rPr>
              <w:t xml:space="preserve"> </w:t>
            </w:r>
            <w:r>
              <w:rPr>
                <w:rFonts w:cs="Arial"/>
                <w:b/>
                <w:bCs/>
                <w:lang w:val="en-GB"/>
              </w:rPr>
              <w:t xml:space="preserve">half-years </w:t>
            </w:r>
            <w:r w:rsidR="001C3961">
              <w:rPr>
                <w:rFonts w:cs="Arial"/>
                <w:bCs/>
              </w:rPr>
              <w:t>(</w:t>
            </w:r>
            <w:r w:rsidR="007D232E">
              <w:rPr>
                <w:rFonts w:cs="Arial"/>
                <w:bCs/>
              </w:rPr>
              <w:t xml:space="preserve">in </w:t>
            </w:r>
            <w:r w:rsidR="00467B4F">
              <w:rPr>
                <w:rFonts w:cs="Arial"/>
                <w:bCs/>
              </w:rPr>
              <w:t xml:space="preserve">CZK </w:t>
            </w:r>
            <w:proofErr w:type="spellStart"/>
            <w:r w:rsidR="00467B4F">
              <w:rPr>
                <w:rFonts w:cs="Arial"/>
                <w:bCs/>
              </w:rPr>
              <w:t>bn</w:t>
            </w:r>
            <w:proofErr w:type="spellEnd"/>
            <w:r w:rsidR="001C3961">
              <w:rPr>
                <w:rFonts w:cs="Arial"/>
                <w:bCs/>
              </w:rPr>
              <w:t>)</w:t>
            </w:r>
          </w:p>
        </w:tc>
      </w:tr>
      <w:tr w:rsidR="001C3961" w:rsidRPr="00AA4A76"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3" w:type="pct"/>
            <w:gridSpan w:val="2"/>
          </w:tcPr>
          <w:p w:rsidR="001C3961" w:rsidRDefault="00486640" w:rsidP="00853C0F">
            <w:pPr>
              <w:pStyle w:val="Textpoznpodarou"/>
              <w:ind w:left="-124"/>
              <w:jc w:val="both"/>
              <w:rPr>
                <w:sz w:val="16"/>
                <w:szCs w:val="16"/>
              </w:rPr>
            </w:pPr>
            <w:r>
              <w:rPr>
                <w:noProof/>
                <w:sz w:val="16"/>
                <w:szCs w:val="16"/>
              </w:rPr>
              <w:drawing>
                <wp:inline distT="0" distB="0" distL="0" distR="0">
                  <wp:extent cx="4752000" cy="3528000"/>
                  <wp:effectExtent l="0" t="0" r="0" b="0"/>
                  <wp:docPr id="5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277E9" w:rsidRPr="009277E9" w:rsidRDefault="001C3961" w:rsidP="00853C0F">
            <w:pPr>
              <w:pStyle w:val="Textpoznpodarou"/>
              <w:rPr>
                <w:sz w:val="14"/>
                <w:szCs w:val="14"/>
                <w:lang w:val="en-GB"/>
              </w:rPr>
            </w:pPr>
            <w:r>
              <w:rPr>
                <w:sz w:val="14"/>
                <w:szCs w:val="14"/>
              </w:rPr>
              <w:t>*</w:t>
            </w:r>
            <w:r w:rsidR="009277E9">
              <w:t xml:space="preserve"> </w:t>
            </w:r>
            <w:r w:rsidR="009277E9" w:rsidRPr="009277E9">
              <w:rPr>
                <w:sz w:val="14"/>
                <w:szCs w:val="14"/>
                <w:lang w:val="en-GB"/>
              </w:rPr>
              <w:t xml:space="preserve">including the foster care benefits </w:t>
            </w:r>
          </w:p>
          <w:p w:rsidR="001C3961" w:rsidRPr="009277E9" w:rsidRDefault="001C3961" w:rsidP="00853C0F">
            <w:pPr>
              <w:pStyle w:val="Textpoznpodarou"/>
              <w:rPr>
                <w:sz w:val="14"/>
                <w:szCs w:val="14"/>
                <w:lang w:val="en-GB"/>
              </w:rPr>
            </w:pPr>
            <w:r w:rsidRPr="009277E9">
              <w:rPr>
                <w:sz w:val="14"/>
                <w:szCs w:val="14"/>
                <w:lang w:val="en-GB"/>
              </w:rPr>
              <w:t>**</w:t>
            </w:r>
            <w:r w:rsidR="00C16D5D">
              <w:t xml:space="preserve"> </w:t>
            </w:r>
            <w:r w:rsidR="00C16D5D">
              <w:rPr>
                <w:sz w:val="14"/>
                <w:szCs w:val="14"/>
                <w:lang w:val="en-GB"/>
              </w:rPr>
              <w:t>Ma</w:t>
            </w:r>
            <w:r w:rsidR="00C16D5D" w:rsidRPr="00C16D5D">
              <w:rPr>
                <w:sz w:val="14"/>
                <w:szCs w:val="14"/>
                <w:lang w:val="en-GB"/>
              </w:rPr>
              <w:t xml:space="preserve">terial deprivation assistance benefits, </w:t>
            </w:r>
            <w:r w:rsidR="00503EC3">
              <w:rPr>
                <w:sz w:val="14"/>
                <w:szCs w:val="14"/>
                <w:lang w:val="en-GB"/>
              </w:rPr>
              <w:t xml:space="preserve">Benefits for people with </w:t>
            </w:r>
            <w:r w:rsidR="00C16D5D" w:rsidRPr="00C16D5D">
              <w:rPr>
                <w:sz w:val="14"/>
                <w:szCs w:val="14"/>
                <w:lang w:val="en-GB"/>
              </w:rPr>
              <w:t>disabilit</w:t>
            </w:r>
            <w:r w:rsidR="00503EC3">
              <w:rPr>
                <w:sz w:val="14"/>
                <w:szCs w:val="14"/>
                <w:lang w:val="en-GB"/>
              </w:rPr>
              <w:t xml:space="preserve">ies, Care </w:t>
            </w:r>
            <w:r w:rsidR="00C16D5D" w:rsidRPr="00C16D5D">
              <w:rPr>
                <w:sz w:val="14"/>
                <w:szCs w:val="14"/>
                <w:lang w:val="en-GB"/>
              </w:rPr>
              <w:t xml:space="preserve">benefits </w:t>
            </w:r>
            <w:r w:rsidR="00556A44">
              <w:rPr>
                <w:sz w:val="14"/>
                <w:szCs w:val="14"/>
                <w:lang w:val="en-GB"/>
              </w:rPr>
              <w:t>(</w:t>
            </w:r>
            <w:r w:rsidR="00C16D5D" w:rsidRPr="00C16D5D">
              <w:rPr>
                <w:sz w:val="14"/>
                <w:szCs w:val="14"/>
                <w:lang w:val="en-GB"/>
              </w:rPr>
              <w:t>based on Act on State Social Support</w:t>
            </w:r>
            <w:r w:rsidR="00556A44">
              <w:rPr>
                <w:sz w:val="14"/>
                <w:szCs w:val="14"/>
                <w:lang w:val="en-GB"/>
              </w:rPr>
              <w:t>)</w:t>
            </w:r>
          </w:p>
          <w:p w:rsidR="00486640" w:rsidRDefault="001C3961">
            <w:pPr>
              <w:pStyle w:val="Textpoznpodarou"/>
              <w:rPr>
                <w:sz w:val="14"/>
                <w:szCs w:val="14"/>
              </w:rPr>
            </w:pPr>
            <w:r w:rsidRPr="009277E9">
              <w:rPr>
                <w:sz w:val="14"/>
                <w:szCs w:val="14"/>
                <w:lang w:val="en-GB"/>
              </w:rPr>
              <w:t>***</w:t>
            </w:r>
            <w:r w:rsidR="00C16D5D">
              <w:rPr>
                <w:sz w:val="14"/>
                <w:szCs w:val="14"/>
                <w:lang w:val="en-GB"/>
              </w:rPr>
              <w:t>Net expenditure</w:t>
            </w:r>
            <w:r w:rsidR="00556A44">
              <w:rPr>
                <w:sz w:val="14"/>
                <w:szCs w:val="14"/>
                <w:lang w:val="en-GB"/>
              </w:rPr>
              <w:t>s</w:t>
            </w:r>
            <w:r w:rsidR="00C16D5D">
              <w:rPr>
                <w:sz w:val="14"/>
                <w:szCs w:val="14"/>
                <w:lang w:val="en-GB"/>
              </w:rPr>
              <w:t xml:space="preserve"> </w:t>
            </w:r>
            <w:r w:rsidR="00C16D5D" w:rsidRPr="00C16D5D">
              <w:rPr>
                <w:sz w:val="14"/>
                <w:szCs w:val="14"/>
                <w:lang w:val="en-GB"/>
              </w:rPr>
              <w:t>also include the income of the chapter State debt</w:t>
            </w:r>
            <w:r w:rsidRPr="009277E9">
              <w:rPr>
                <w:sz w:val="14"/>
                <w:szCs w:val="14"/>
                <w:lang w:val="en-GB"/>
              </w:rPr>
              <w:t xml:space="preserve">.                                     </w:t>
            </w:r>
            <w:r w:rsidR="009277E9" w:rsidRPr="009277E9">
              <w:rPr>
                <w:sz w:val="14"/>
                <w:szCs w:val="14"/>
                <w:lang w:val="en-GB"/>
              </w:rPr>
              <w:t>Source</w:t>
            </w:r>
            <w:r w:rsidR="00FB332E" w:rsidRPr="009277E9">
              <w:rPr>
                <w:rFonts w:cs="Arial"/>
                <w:sz w:val="14"/>
                <w:szCs w:val="14"/>
                <w:lang w:val="en-GB"/>
              </w:rPr>
              <w:t>: MF</w:t>
            </w:r>
            <w:r w:rsidR="009277E9" w:rsidRPr="009277E9">
              <w:rPr>
                <w:rFonts w:cs="Arial"/>
                <w:sz w:val="14"/>
                <w:szCs w:val="14"/>
                <w:lang w:val="en-GB"/>
              </w:rPr>
              <w:t xml:space="preserve"> CR</w:t>
            </w:r>
            <w:r w:rsidRPr="009277E9">
              <w:rPr>
                <w:rFonts w:cs="Arial"/>
                <w:sz w:val="14"/>
                <w:szCs w:val="14"/>
                <w:lang w:val="en-GB"/>
              </w:rPr>
              <w:t>,</w:t>
            </w:r>
            <w:r w:rsidR="009277E9" w:rsidRPr="009277E9">
              <w:rPr>
                <w:rFonts w:cs="Arial"/>
                <w:sz w:val="14"/>
                <w:szCs w:val="14"/>
                <w:lang w:val="en-GB"/>
              </w:rPr>
              <w:t xml:space="preserve"> MLSA</w:t>
            </w:r>
          </w:p>
        </w:tc>
      </w:tr>
    </w:tbl>
    <w:p w:rsidR="001C3961" w:rsidRPr="0007324C" w:rsidRDefault="001C3961" w:rsidP="001C3961">
      <w:pPr>
        <w:pStyle w:val="Textpoznpodarou"/>
        <w:jc w:val="both"/>
        <w:rPr>
          <w:rFonts w:cs="Arial"/>
          <w:color w:val="000000"/>
          <w:spacing w:val="-2"/>
          <w:sz w:val="18"/>
          <w:szCs w:val="18"/>
        </w:rPr>
      </w:pPr>
    </w:p>
    <w:tbl>
      <w:tblPr>
        <w:tblW w:w="4995" w:type="pct"/>
        <w:tblInd w:w="108" w:type="dxa"/>
        <w:tblLayout w:type="fixed"/>
        <w:tblLook w:val="00A0"/>
      </w:tblPr>
      <w:tblGrid>
        <w:gridCol w:w="2000"/>
        <w:gridCol w:w="284"/>
        <w:gridCol w:w="7560"/>
      </w:tblGrid>
      <w:tr w:rsidR="001C3961" w:rsidRPr="00AD0FC0" w:rsidTr="00853C0F">
        <w:trPr>
          <w:trHeight w:val="145"/>
        </w:trPr>
        <w:tc>
          <w:tcPr>
            <w:tcW w:w="1016" w:type="pct"/>
            <w:shd w:val="clear" w:color="auto" w:fill="auto"/>
          </w:tcPr>
          <w:p w:rsidR="001C3961" w:rsidRPr="00BC65CE" w:rsidRDefault="00BC65CE" w:rsidP="00853C0F">
            <w:pPr>
              <w:spacing w:line="240" w:lineRule="auto"/>
              <w:rPr>
                <w:rFonts w:cs="Arial"/>
                <w:bCs/>
                <w:iCs/>
                <w:color w:val="0D0D0D" w:themeColor="text1" w:themeTint="F2"/>
                <w:sz w:val="16"/>
                <w:szCs w:val="16"/>
                <w:lang w:val="en-GB"/>
              </w:rPr>
            </w:pPr>
            <w:r w:rsidRPr="00BC65CE">
              <w:rPr>
                <w:rFonts w:cs="Arial"/>
                <w:bCs/>
                <w:iCs/>
                <w:color w:val="0D0D0D" w:themeColor="text1" w:themeTint="F2"/>
                <w:sz w:val="16"/>
                <w:szCs w:val="16"/>
                <w:lang w:val="en-GB"/>
              </w:rPr>
              <w:t>The increase of the</w:t>
            </w:r>
            <w:r w:rsidR="00971A20">
              <w:rPr>
                <w:rFonts w:cs="Arial"/>
                <w:bCs/>
                <w:iCs/>
                <w:color w:val="0D0D0D" w:themeColor="text1" w:themeTint="F2"/>
                <w:sz w:val="16"/>
                <w:szCs w:val="16"/>
                <w:lang w:val="en-GB"/>
              </w:rPr>
              <w:t xml:space="preserve"> total</w:t>
            </w:r>
            <w:r w:rsidRPr="00BC65CE">
              <w:rPr>
                <w:rFonts w:cs="Arial"/>
                <w:bCs/>
                <w:iCs/>
                <w:color w:val="0D0D0D" w:themeColor="text1" w:themeTint="F2"/>
                <w:sz w:val="16"/>
                <w:szCs w:val="16"/>
                <w:lang w:val="en-GB"/>
              </w:rPr>
              <w:t xml:space="preserve"> social benefit expenditure was primarily </w:t>
            </w:r>
            <w:r w:rsidR="00CF2090" w:rsidRPr="00BC65CE">
              <w:rPr>
                <w:rFonts w:cs="Arial"/>
                <w:bCs/>
                <w:iCs/>
                <w:color w:val="0D0D0D" w:themeColor="text1" w:themeTint="F2"/>
                <w:sz w:val="16"/>
                <w:szCs w:val="16"/>
                <w:lang w:val="en-GB"/>
              </w:rPr>
              <w:t>impacted</w:t>
            </w:r>
            <w:r w:rsidRPr="00BC65CE">
              <w:rPr>
                <w:rFonts w:cs="Arial"/>
                <w:bCs/>
                <w:iCs/>
                <w:color w:val="0D0D0D" w:themeColor="text1" w:themeTint="F2"/>
                <w:sz w:val="16"/>
                <w:szCs w:val="16"/>
                <w:lang w:val="en-GB"/>
              </w:rPr>
              <w:t xml:space="preserve"> by the resources on pension. These grew the most dynamically within the last six years in the </w:t>
            </w:r>
            <w:r w:rsidR="00CF2090" w:rsidRPr="00BC65CE">
              <w:rPr>
                <w:rFonts w:cs="Arial"/>
                <w:bCs/>
                <w:iCs/>
                <w:color w:val="0D0D0D" w:themeColor="text1" w:themeTint="F2"/>
                <w:sz w:val="16"/>
                <w:szCs w:val="16"/>
                <w:lang w:val="en-GB"/>
              </w:rPr>
              <w:t>first</w:t>
            </w:r>
            <w:r w:rsidRPr="00BC65CE">
              <w:rPr>
                <w:rFonts w:cs="Arial"/>
                <w:bCs/>
                <w:iCs/>
                <w:color w:val="0D0D0D" w:themeColor="text1" w:themeTint="F2"/>
                <w:sz w:val="16"/>
                <w:szCs w:val="16"/>
                <w:lang w:val="en-GB"/>
              </w:rPr>
              <w:t xml:space="preserve"> half year. </w:t>
            </w:r>
          </w:p>
        </w:tc>
        <w:tc>
          <w:tcPr>
            <w:tcW w:w="144" w:type="pct"/>
          </w:tcPr>
          <w:p w:rsidR="001C3961" w:rsidRPr="00BC65CE" w:rsidRDefault="001C3961" w:rsidP="00853C0F">
            <w:pPr>
              <w:pStyle w:val="Textpoznpodarou"/>
              <w:jc w:val="both"/>
              <w:rPr>
                <w:rFonts w:cs="Arial"/>
                <w:color w:val="0D0D0D" w:themeColor="text1" w:themeTint="F2"/>
                <w:lang w:val="en-GB"/>
              </w:rPr>
            </w:pPr>
          </w:p>
        </w:tc>
        <w:tc>
          <w:tcPr>
            <w:tcW w:w="3840" w:type="pct"/>
          </w:tcPr>
          <w:p w:rsidR="001C3961" w:rsidRDefault="00C63CB3" w:rsidP="00422502">
            <w:pPr>
              <w:pStyle w:val="Textpoznpodarou"/>
              <w:jc w:val="both"/>
              <w:rPr>
                <w:rFonts w:cs="Arial"/>
                <w:color w:val="000000" w:themeColor="text1"/>
                <w:spacing w:val="-4"/>
                <w:lang w:val="en-GB"/>
              </w:rPr>
            </w:pPr>
            <w:r>
              <w:rPr>
                <w:rFonts w:cs="Arial"/>
                <w:color w:val="0D0D0D" w:themeColor="text1" w:themeTint="F2"/>
                <w:spacing w:val="-4"/>
                <w:lang w:val="en-GB"/>
              </w:rPr>
              <w:t>Year-on-year rate of growth of the expenditure on social benefits increased already for the fourth time in a row within H1 and achieved 5.3</w:t>
            </w:r>
            <w:r w:rsidR="00954C8E">
              <w:rPr>
                <w:rFonts w:cs="Arial"/>
                <w:color w:val="0D0D0D" w:themeColor="text1" w:themeTint="F2"/>
                <w:spacing w:val="-4"/>
                <w:lang w:val="en-GB"/>
              </w:rPr>
              <w:t>%</w:t>
            </w:r>
            <w:r>
              <w:rPr>
                <w:rFonts w:cs="Arial"/>
                <w:color w:val="0D0D0D" w:themeColor="text1" w:themeTint="F2"/>
                <w:spacing w:val="-4"/>
                <w:lang w:val="en-GB"/>
              </w:rPr>
              <w:t xml:space="preserve"> in year 2017. It was driven mainly by the weight dominant expenditure on pensions </w:t>
            </w:r>
            <w:r w:rsidR="001C3961" w:rsidRPr="00BC65CE">
              <w:rPr>
                <w:rFonts w:cs="Arial"/>
                <w:color w:val="0D0D0D" w:themeColor="text1" w:themeTint="F2"/>
                <w:spacing w:val="-4"/>
                <w:lang w:val="en-GB"/>
              </w:rPr>
              <w:t>(+6</w:t>
            </w:r>
            <w:r>
              <w:rPr>
                <w:rFonts w:cs="Arial"/>
                <w:color w:val="0D0D0D" w:themeColor="text1" w:themeTint="F2"/>
                <w:spacing w:val="-4"/>
                <w:lang w:val="en-GB"/>
              </w:rPr>
              <w:t>.</w:t>
            </w:r>
            <w:r w:rsidR="001C3961" w:rsidRPr="00BC65CE">
              <w:rPr>
                <w:rFonts w:cs="Arial"/>
                <w:color w:val="0D0D0D" w:themeColor="text1" w:themeTint="F2"/>
                <w:spacing w:val="-4"/>
                <w:lang w:val="en-GB"/>
              </w:rPr>
              <w:t>0</w:t>
            </w:r>
            <w:r w:rsidR="00954C8E">
              <w:rPr>
                <w:rFonts w:cs="Arial"/>
                <w:color w:val="0D0D0D" w:themeColor="text1" w:themeTint="F2"/>
                <w:spacing w:val="-4"/>
                <w:lang w:val="en-GB"/>
              </w:rPr>
              <w:t>%</w:t>
            </w:r>
            <w:r w:rsidR="001C3961" w:rsidRPr="00BC65CE">
              <w:rPr>
                <w:rFonts w:cs="Arial"/>
                <w:color w:val="0D0D0D" w:themeColor="text1" w:themeTint="F2"/>
                <w:spacing w:val="-4"/>
                <w:lang w:val="en-GB"/>
              </w:rPr>
              <w:t xml:space="preserve">), </w:t>
            </w:r>
            <w:r>
              <w:rPr>
                <w:rFonts w:cs="Arial"/>
                <w:color w:val="0D0D0D" w:themeColor="text1" w:themeTint="F2"/>
                <w:spacing w:val="-4"/>
                <w:lang w:val="en-GB"/>
              </w:rPr>
              <w:t>since the new legislation, which enables to increase pensions a</w:t>
            </w:r>
            <w:r w:rsidR="004B6195">
              <w:rPr>
                <w:rFonts w:cs="Arial"/>
                <w:color w:val="0D0D0D" w:themeColor="text1" w:themeTint="F2"/>
                <w:spacing w:val="-4"/>
                <w:lang w:val="en-GB"/>
              </w:rPr>
              <w:t>b</w:t>
            </w:r>
            <w:r>
              <w:rPr>
                <w:rFonts w:cs="Arial"/>
                <w:color w:val="0D0D0D" w:themeColor="text1" w:themeTint="F2"/>
                <w:spacing w:val="-4"/>
                <w:lang w:val="en-GB"/>
              </w:rPr>
              <w:t>ove the framework of the standard</w:t>
            </w:r>
            <w:r w:rsidR="004B6195">
              <w:rPr>
                <w:rFonts w:cs="Arial"/>
                <w:color w:val="0D0D0D" w:themeColor="text1" w:themeTint="F2"/>
                <w:spacing w:val="-4"/>
                <w:lang w:val="en-GB"/>
              </w:rPr>
              <w:t xml:space="preserve"> adjustment was utilised. </w:t>
            </w:r>
            <w:r w:rsidR="00ED2670">
              <w:rPr>
                <w:rFonts w:cs="Arial"/>
                <w:color w:val="0D0D0D" w:themeColor="text1" w:themeTint="F2"/>
                <w:spacing w:val="-4"/>
                <w:lang w:val="en-GB"/>
              </w:rPr>
              <w:t>2.</w:t>
            </w:r>
            <w:r w:rsidR="001C3961" w:rsidRPr="00BC65CE">
              <w:rPr>
                <w:rFonts w:cs="Arial"/>
                <w:color w:val="0D0D0D" w:themeColor="text1" w:themeTint="F2"/>
                <w:spacing w:val="-4"/>
                <w:lang w:val="en-GB"/>
              </w:rPr>
              <w:t xml:space="preserve">89 </w:t>
            </w:r>
            <w:r w:rsidR="00ED2670">
              <w:rPr>
                <w:rFonts w:cs="Arial"/>
                <w:color w:val="0D0D0D" w:themeColor="text1" w:themeTint="F2"/>
                <w:spacing w:val="-4"/>
                <w:lang w:val="en-GB"/>
              </w:rPr>
              <w:t>million</w:t>
            </w:r>
            <w:r w:rsidR="001C3961" w:rsidRPr="00BC65CE">
              <w:rPr>
                <w:rFonts w:cs="Arial"/>
                <w:color w:val="0D0D0D" w:themeColor="text1" w:themeTint="F2"/>
                <w:spacing w:val="-4"/>
                <w:lang w:val="en-GB"/>
              </w:rPr>
              <w:t xml:space="preserve"> </w:t>
            </w:r>
            <w:r w:rsidR="00B335ED">
              <w:rPr>
                <w:rFonts w:cs="Arial"/>
                <w:color w:val="0D0D0D" w:themeColor="text1" w:themeTint="F2"/>
                <w:spacing w:val="-4"/>
                <w:lang w:val="en-GB"/>
              </w:rPr>
              <w:t>p</w:t>
            </w:r>
            <w:r w:rsidR="004B6195">
              <w:rPr>
                <w:rFonts w:cs="Arial"/>
                <w:color w:val="0D0D0D" w:themeColor="text1" w:themeTint="F2"/>
                <w:spacing w:val="-4"/>
                <w:lang w:val="en-GB"/>
              </w:rPr>
              <w:t>ersons were receivin</w:t>
            </w:r>
            <w:r w:rsidR="00B335ED">
              <w:rPr>
                <w:rFonts w:cs="Arial"/>
                <w:color w:val="0D0D0D" w:themeColor="text1" w:themeTint="F2"/>
                <w:spacing w:val="-4"/>
                <w:lang w:val="en-GB"/>
              </w:rPr>
              <w:t>g</w:t>
            </w:r>
            <w:r w:rsidR="004B6195">
              <w:rPr>
                <w:rFonts w:cs="Arial"/>
                <w:color w:val="0D0D0D" w:themeColor="text1" w:themeTint="F2"/>
                <w:spacing w:val="-4"/>
                <w:lang w:val="en-GB"/>
              </w:rPr>
              <w:t xml:space="preserve"> the pensions from the state at the end of June. Their number</w:t>
            </w:r>
            <w:r w:rsidR="00B335ED">
              <w:rPr>
                <w:rFonts w:cs="Arial"/>
                <w:color w:val="0D0D0D" w:themeColor="text1" w:themeTint="F2"/>
                <w:spacing w:val="-4"/>
                <w:lang w:val="en-GB"/>
              </w:rPr>
              <w:t xml:space="preserve"> </w:t>
            </w:r>
            <w:r w:rsidR="004B6195">
              <w:rPr>
                <w:rFonts w:cs="Arial"/>
                <w:color w:val="0D0D0D" w:themeColor="text1" w:themeTint="F2"/>
                <w:spacing w:val="-4"/>
                <w:lang w:val="en-GB"/>
              </w:rPr>
              <w:t>stagnated year-on-year (slight growt</w:t>
            </w:r>
            <w:r w:rsidR="00B335ED">
              <w:rPr>
                <w:rFonts w:cs="Arial"/>
                <w:color w:val="0D0D0D" w:themeColor="text1" w:themeTint="F2"/>
                <w:spacing w:val="-4"/>
                <w:lang w:val="en-GB"/>
              </w:rPr>
              <w:t>h</w:t>
            </w:r>
            <w:r w:rsidR="004B6195">
              <w:rPr>
                <w:rFonts w:cs="Arial"/>
                <w:color w:val="0D0D0D" w:themeColor="text1" w:themeTint="F2"/>
                <w:spacing w:val="-4"/>
                <w:lang w:val="en-GB"/>
              </w:rPr>
              <w:t xml:space="preserve"> of the number</w:t>
            </w:r>
            <w:r w:rsidR="00B335ED">
              <w:rPr>
                <w:rFonts w:cs="Arial"/>
                <w:color w:val="0D0D0D" w:themeColor="text1" w:themeTint="F2"/>
                <w:spacing w:val="-4"/>
                <w:lang w:val="en-GB"/>
              </w:rPr>
              <w:t xml:space="preserve"> </w:t>
            </w:r>
            <w:r w:rsidR="004B6195">
              <w:rPr>
                <w:rFonts w:cs="Arial"/>
                <w:color w:val="0D0D0D" w:themeColor="text1" w:themeTint="F2"/>
                <w:spacing w:val="-4"/>
                <w:lang w:val="en-GB"/>
              </w:rPr>
              <w:t>of paid out pensions by 0.7</w:t>
            </w:r>
            <w:r w:rsidR="00954C8E">
              <w:rPr>
                <w:rFonts w:cs="Arial"/>
                <w:color w:val="0D0D0D" w:themeColor="text1" w:themeTint="F2"/>
                <w:spacing w:val="-4"/>
                <w:lang w:val="en-GB"/>
              </w:rPr>
              <w:t>%</w:t>
            </w:r>
            <w:r w:rsidR="004B6195">
              <w:rPr>
                <w:rFonts w:cs="Arial"/>
                <w:color w:val="0D0D0D" w:themeColor="text1" w:themeTint="F2"/>
                <w:spacing w:val="-4"/>
                <w:lang w:val="en-GB"/>
              </w:rPr>
              <w:t xml:space="preserve"> was offset by the reduction in all other </w:t>
            </w:r>
            <w:r w:rsidR="00B335ED">
              <w:rPr>
                <w:rFonts w:cs="Arial"/>
                <w:color w:val="0D0D0D" w:themeColor="text1" w:themeTint="F2"/>
                <w:spacing w:val="-4"/>
                <w:lang w:val="en-GB"/>
              </w:rPr>
              <w:t>pension</w:t>
            </w:r>
            <w:r w:rsidR="004B6195">
              <w:rPr>
                <w:rFonts w:cs="Arial"/>
                <w:color w:val="0D0D0D" w:themeColor="text1" w:themeTint="F2"/>
                <w:spacing w:val="-4"/>
                <w:lang w:val="en-GB"/>
              </w:rPr>
              <w:t xml:space="preserve"> categories). Even though the growth of expenditure on pensions was the highest in the last six years this year, the pension account deficit</w:t>
            </w:r>
            <w:r w:rsidR="001C3961" w:rsidRPr="00BC65CE">
              <w:rPr>
                <w:rStyle w:val="Znakapoznpodarou"/>
                <w:color w:val="0D0D0D" w:themeColor="text1" w:themeTint="F2"/>
                <w:spacing w:val="-4"/>
                <w:lang w:val="en-GB"/>
              </w:rPr>
              <w:footnoteReference w:id="37"/>
            </w:r>
            <w:r w:rsidR="001C3961" w:rsidRPr="00BC65CE">
              <w:rPr>
                <w:rFonts w:cs="Arial"/>
                <w:color w:val="0D0D0D" w:themeColor="text1" w:themeTint="F2"/>
                <w:spacing w:val="-4"/>
                <w:lang w:val="en-GB"/>
              </w:rPr>
              <w:t xml:space="preserve"> </w:t>
            </w:r>
            <w:r w:rsidR="004B6195">
              <w:rPr>
                <w:rFonts w:cs="Arial"/>
                <w:color w:val="0D0D0D" w:themeColor="text1" w:themeTint="F2"/>
                <w:spacing w:val="-4"/>
                <w:lang w:val="en-GB"/>
              </w:rPr>
              <w:t xml:space="preserve">was further reduced </w:t>
            </w:r>
            <w:r w:rsidR="001C3961" w:rsidRPr="00BC65CE">
              <w:rPr>
                <w:rFonts w:cs="Arial"/>
                <w:color w:val="0D0D0D" w:themeColor="text1" w:themeTint="F2"/>
                <w:spacing w:val="-4"/>
                <w:lang w:val="en-GB"/>
              </w:rPr>
              <w:t>(</w:t>
            </w:r>
            <w:r w:rsidR="004B6195">
              <w:rPr>
                <w:rFonts w:cs="Arial"/>
                <w:color w:val="0D0D0D" w:themeColor="text1" w:themeTint="F2"/>
                <w:spacing w:val="-4"/>
                <w:lang w:val="en-GB"/>
              </w:rPr>
              <w:t xml:space="preserve">down to </w:t>
            </w:r>
            <w:r w:rsidR="001C3961" w:rsidRPr="00BC65CE">
              <w:rPr>
                <w:rFonts w:cs="Arial"/>
                <w:color w:val="0D0D0D" w:themeColor="text1" w:themeTint="F2"/>
                <w:spacing w:val="-4"/>
                <w:lang w:val="en-GB"/>
              </w:rPr>
              <w:t>6</w:t>
            </w:r>
            <w:r w:rsidR="004B6195">
              <w:rPr>
                <w:rFonts w:cs="Arial"/>
                <w:color w:val="0D0D0D" w:themeColor="text1" w:themeTint="F2"/>
                <w:spacing w:val="-4"/>
                <w:lang w:val="en-GB"/>
              </w:rPr>
              <w:t>.</w:t>
            </w:r>
            <w:r w:rsidR="001C3961" w:rsidRPr="00BC65CE">
              <w:rPr>
                <w:rFonts w:cs="Arial"/>
                <w:color w:val="0D0D0D" w:themeColor="text1" w:themeTint="F2"/>
                <w:spacing w:val="-4"/>
                <w:lang w:val="en-GB"/>
              </w:rPr>
              <w:t xml:space="preserve">8 </w:t>
            </w:r>
            <w:r w:rsidR="004B6195">
              <w:rPr>
                <w:rFonts w:cs="Arial"/>
                <w:color w:val="0D0D0D" w:themeColor="text1" w:themeTint="F2"/>
                <w:spacing w:val="-4"/>
                <w:lang w:val="en-GB"/>
              </w:rPr>
              <w:t xml:space="preserve">CZK </w:t>
            </w:r>
            <w:proofErr w:type="spellStart"/>
            <w:r w:rsidR="004B6195">
              <w:rPr>
                <w:rFonts w:cs="Arial"/>
                <w:color w:val="0D0D0D" w:themeColor="text1" w:themeTint="F2"/>
                <w:spacing w:val="-4"/>
                <w:lang w:val="en-GB"/>
              </w:rPr>
              <w:t>bn</w:t>
            </w:r>
            <w:proofErr w:type="spellEnd"/>
            <w:r w:rsidR="004B6195">
              <w:rPr>
                <w:rFonts w:cs="Arial"/>
                <w:color w:val="0D0D0D" w:themeColor="text1" w:themeTint="F2"/>
                <w:spacing w:val="-4"/>
                <w:lang w:val="en-GB"/>
              </w:rPr>
              <w:t xml:space="preserve"> in H</w:t>
            </w:r>
            <w:r w:rsidR="001C3961" w:rsidRPr="00BC65CE">
              <w:rPr>
                <w:rFonts w:cs="Arial"/>
                <w:color w:val="0D0D0D" w:themeColor="text1" w:themeTint="F2"/>
                <w:spacing w:val="-4"/>
                <w:lang w:val="en-GB"/>
              </w:rPr>
              <w:t>1</w:t>
            </w:r>
            <w:r w:rsidR="004B6195">
              <w:rPr>
                <w:rFonts w:cs="Arial"/>
                <w:color w:val="0D0D0D" w:themeColor="text1" w:themeTint="F2"/>
                <w:spacing w:val="-4"/>
                <w:lang w:val="en-GB"/>
              </w:rPr>
              <w:t xml:space="preserve"> </w:t>
            </w:r>
            <w:r w:rsidR="001C3961" w:rsidRPr="00BC65CE">
              <w:rPr>
                <w:rFonts w:cs="Arial"/>
                <w:color w:val="0D0D0D" w:themeColor="text1" w:themeTint="F2"/>
                <w:spacing w:val="-4"/>
                <w:lang w:val="en-GB"/>
              </w:rPr>
              <w:t>2017).</w:t>
            </w:r>
            <w:r w:rsidR="001C3961" w:rsidRPr="00BC65CE">
              <w:rPr>
                <w:rFonts w:cs="Arial"/>
                <w:color w:val="000000" w:themeColor="text1"/>
                <w:spacing w:val="-4"/>
                <w:lang w:val="en-GB"/>
              </w:rPr>
              <w:t xml:space="preserve"> </w:t>
            </w:r>
            <w:r w:rsidR="00422502">
              <w:rPr>
                <w:rFonts w:cs="Arial"/>
                <w:color w:val="000000" w:themeColor="text1"/>
                <w:spacing w:val="-4"/>
                <w:lang w:val="en-GB"/>
              </w:rPr>
              <w:t xml:space="preserve">The strengthening growth of the insurance collection, whose pace </w:t>
            </w:r>
            <w:r w:rsidR="001C3961" w:rsidRPr="00BC65CE">
              <w:rPr>
                <w:rFonts w:cs="Arial"/>
                <w:color w:val="000000" w:themeColor="text1"/>
                <w:spacing w:val="-4"/>
                <w:lang w:val="en-GB"/>
              </w:rPr>
              <w:t>(+7</w:t>
            </w:r>
            <w:r w:rsidR="00422502">
              <w:rPr>
                <w:rFonts w:cs="Arial"/>
                <w:color w:val="000000" w:themeColor="text1"/>
                <w:spacing w:val="-4"/>
                <w:lang w:val="en-GB"/>
              </w:rPr>
              <w:t>.</w:t>
            </w:r>
            <w:r w:rsidR="001C3961" w:rsidRPr="00BC65CE">
              <w:rPr>
                <w:rFonts w:cs="Arial"/>
                <w:color w:val="000000" w:themeColor="text1"/>
                <w:spacing w:val="-4"/>
                <w:lang w:val="en-GB"/>
              </w:rPr>
              <w:t>3</w:t>
            </w:r>
            <w:r w:rsidR="00954C8E">
              <w:rPr>
                <w:rFonts w:cs="Arial"/>
                <w:color w:val="000000" w:themeColor="text1"/>
                <w:spacing w:val="-4"/>
                <w:lang w:val="en-GB"/>
              </w:rPr>
              <w:t>%</w:t>
            </w:r>
            <w:r w:rsidR="001C3961" w:rsidRPr="00BC65CE">
              <w:rPr>
                <w:rFonts w:cs="Arial"/>
                <w:color w:val="000000" w:themeColor="text1"/>
                <w:spacing w:val="-4"/>
                <w:lang w:val="en-GB"/>
              </w:rPr>
              <w:t xml:space="preserve">) </w:t>
            </w:r>
            <w:r w:rsidR="00422502">
              <w:rPr>
                <w:rFonts w:cs="Arial"/>
                <w:color w:val="000000" w:themeColor="text1"/>
                <w:spacing w:val="-4"/>
                <w:lang w:val="en-GB"/>
              </w:rPr>
              <w:t xml:space="preserve">approached the values from the peak of the business cycle in the preceding decade, had a positive effect. </w:t>
            </w:r>
          </w:p>
          <w:p w:rsidR="00422502" w:rsidRPr="00BC65CE" w:rsidRDefault="00422502" w:rsidP="00422502">
            <w:pPr>
              <w:pStyle w:val="Textpoznpodarou"/>
              <w:jc w:val="both"/>
              <w:rPr>
                <w:rFonts w:cs="Arial"/>
                <w:color w:val="0D0D0D" w:themeColor="text1" w:themeTint="F2"/>
                <w:spacing w:val="-4"/>
                <w:sz w:val="14"/>
                <w:szCs w:val="14"/>
                <w:lang w:val="en-GB"/>
              </w:rPr>
            </w:pPr>
          </w:p>
        </w:tc>
      </w:tr>
      <w:tr w:rsidR="001C3961" w:rsidRPr="00AD0FC0" w:rsidTr="00853C0F">
        <w:trPr>
          <w:trHeight w:val="145"/>
        </w:trPr>
        <w:tc>
          <w:tcPr>
            <w:tcW w:w="1016" w:type="pct"/>
            <w:shd w:val="clear" w:color="auto" w:fill="auto"/>
          </w:tcPr>
          <w:p w:rsidR="001C3961" w:rsidRPr="0016448A" w:rsidRDefault="0016448A" w:rsidP="00853C0F">
            <w:pPr>
              <w:spacing w:line="240" w:lineRule="auto"/>
              <w:rPr>
                <w:rFonts w:cs="Arial"/>
                <w:bCs/>
                <w:iCs/>
                <w:color w:val="0D0D0D" w:themeColor="text1" w:themeTint="F2"/>
                <w:spacing w:val="-2"/>
                <w:sz w:val="16"/>
                <w:szCs w:val="16"/>
                <w:lang w:val="en-GB"/>
              </w:rPr>
            </w:pPr>
            <w:r w:rsidRPr="0016448A">
              <w:rPr>
                <w:rFonts w:cs="Arial"/>
                <w:bCs/>
                <w:iCs/>
                <w:color w:val="0D0D0D" w:themeColor="text1" w:themeTint="F2"/>
                <w:spacing w:val="-2"/>
                <w:sz w:val="16"/>
                <w:szCs w:val="16"/>
                <w:lang w:val="en-GB"/>
              </w:rPr>
              <w:t>The growth of the sickness benefits insurance continued, the social care benefits strengthened via the legislative amendment.</w:t>
            </w:r>
          </w:p>
          <w:p w:rsidR="001C3961" w:rsidRPr="0016448A" w:rsidRDefault="001C3961" w:rsidP="00853C0F">
            <w:pPr>
              <w:spacing w:line="240" w:lineRule="auto"/>
              <w:rPr>
                <w:rFonts w:cs="Arial"/>
                <w:bCs/>
                <w:iCs/>
                <w:color w:val="0D0D0D" w:themeColor="text1" w:themeTint="F2"/>
                <w:spacing w:val="-2"/>
                <w:sz w:val="16"/>
                <w:szCs w:val="16"/>
                <w:lang w:val="en-GB"/>
              </w:rPr>
            </w:pPr>
          </w:p>
          <w:p w:rsidR="001C3961" w:rsidRDefault="001C3961" w:rsidP="00853C0F">
            <w:pPr>
              <w:spacing w:line="240" w:lineRule="auto"/>
              <w:rPr>
                <w:rFonts w:cs="Arial"/>
                <w:bCs/>
                <w:iCs/>
                <w:color w:val="0D0D0D" w:themeColor="text1" w:themeTint="F2"/>
                <w:spacing w:val="-2"/>
                <w:sz w:val="16"/>
                <w:szCs w:val="16"/>
                <w:lang w:val="en-GB"/>
              </w:rPr>
            </w:pPr>
          </w:p>
          <w:p w:rsidR="00971A20" w:rsidRPr="0016448A" w:rsidRDefault="00971A20" w:rsidP="00853C0F">
            <w:pPr>
              <w:spacing w:line="240" w:lineRule="auto"/>
              <w:rPr>
                <w:rFonts w:cs="Arial"/>
                <w:bCs/>
                <w:iCs/>
                <w:color w:val="0D0D0D" w:themeColor="text1" w:themeTint="F2"/>
                <w:spacing w:val="-2"/>
                <w:sz w:val="16"/>
                <w:szCs w:val="16"/>
                <w:lang w:val="en-GB"/>
              </w:rPr>
            </w:pPr>
          </w:p>
          <w:p w:rsidR="001C3961" w:rsidRPr="0016448A" w:rsidRDefault="00FC0894" w:rsidP="00853C0F">
            <w:pPr>
              <w:spacing w:line="240" w:lineRule="auto"/>
              <w:rPr>
                <w:rFonts w:cs="Arial"/>
                <w:bCs/>
                <w:iCs/>
                <w:color w:val="000000" w:themeColor="text1"/>
                <w:sz w:val="16"/>
                <w:szCs w:val="16"/>
                <w:lang w:val="en-GB"/>
              </w:rPr>
            </w:pPr>
            <w:r>
              <w:rPr>
                <w:rFonts w:cs="Arial"/>
                <w:bCs/>
                <w:iCs/>
                <w:color w:val="0D0D0D" w:themeColor="text1" w:themeTint="F2"/>
                <w:spacing w:val="-2"/>
                <w:sz w:val="16"/>
                <w:szCs w:val="16"/>
                <w:lang w:val="en-GB"/>
              </w:rPr>
              <w:lastRenderedPageBreak/>
              <w:t xml:space="preserve">The more favourable financial situation of households was reflected in the reduction of volume of the material deprivation assistance benefits as well as the state social support. </w:t>
            </w:r>
          </w:p>
        </w:tc>
        <w:tc>
          <w:tcPr>
            <w:tcW w:w="144" w:type="pct"/>
          </w:tcPr>
          <w:p w:rsidR="001C3961" w:rsidRPr="0016448A" w:rsidRDefault="001C3961" w:rsidP="00853C0F">
            <w:pPr>
              <w:pStyle w:val="Textpoznpodarou"/>
              <w:jc w:val="both"/>
              <w:rPr>
                <w:rFonts w:cs="Arial"/>
                <w:color w:val="0D0D0D" w:themeColor="text1" w:themeTint="F2"/>
                <w:lang w:val="en-GB"/>
              </w:rPr>
            </w:pPr>
          </w:p>
        </w:tc>
        <w:tc>
          <w:tcPr>
            <w:tcW w:w="3840" w:type="pct"/>
          </w:tcPr>
          <w:p w:rsidR="001C3961" w:rsidRPr="0016448A" w:rsidRDefault="00FC0894" w:rsidP="00853C0F">
            <w:pPr>
              <w:pStyle w:val="Textpoznpodarou"/>
              <w:jc w:val="both"/>
              <w:rPr>
                <w:rFonts w:cs="Arial"/>
                <w:color w:val="0D0D0D" w:themeColor="text1" w:themeTint="F2"/>
                <w:spacing w:val="-4"/>
                <w:lang w:val="en-GB"/>
              </w:rPr>
            </w:pPr>
            <w:r>
              <w:rPr>
                <w:rFonts w:cs="Arial"/>
                <w:color w:val="0D0D0D" w:themeColor="text1" w:themeTint="F2"/>
                <w:spacing w:val="-4"/>
                <w:lang w:val="en-GB"/>
              </w:rPr>
              <w:t>Expenditure on other social benefits (apart from pensions) was by 3.0</w:t>
            </w:r>
            <w:r w:rsidR="00954C8E">
              <w:rPr>
                <w:rFonts w:cs="Arial"/>
                <w:color w:val="0D0D0D" w:themeColor="text1" w:themeTint="F2"/>
                <w:spacing w:val="-4"/>
                <w:lang w:val="en-GB"/>
              </w:rPr>
              <w:t>%</w:t>
            </w:r>
            <w:r>
              <w:rPr>
                <w:rFonts w:cs="Arial"/>
                <w:color w:val="0D0D0D" w:themeColor="text1" w:themeTint="F2"/>
                <w:spacing w:val="-4"/>
                <w:lang w:val="en-GB"/>
              </w:rPr>
              <w:t xml:space="preserve"> higher. Their year-on-year rate of growth was growing already second year in a row. Higher expenditure on sickness insurance benefits stood behind this result </w:t>
            </w:r>
            <w:r w:rsidR="001C3961" w:rsidRPr="0016448A">
              <w:rPr>
                <w:color w:val="000000" w:themeColor="text1"/>
                <w:spacing w:val="-4"/>
                <w:lang w:val="en-GB"/>
              </w:rPr>
              <w:t>(</w:t>
            </w:r>
            <w:r>
              <w:rPr>
                <w:color w:val="000000" w:themeColor="text1"/>
                <w:spacing w:val="-4"/>
                <w:lang w:val="en-GB"/>
              </w:rPr>
              <w:t xml:space="preserve">already for the fifth time in a row, by 4.5 </w:t>
            </w:r>
            <w:proofErr w:type="spellStart"/>
            <w:r>
              <w:rPr>
                <w:color w:val="000000" w:themeColor="text1"/>
                <w:spacing w:val="-4"/>
                <w:lang w:val="en-GB"/>
              </w:rPr>
              <w:t>bn</w:t>
            </w:r>
            <w:proofErr w:type="spellEnd"/>
            <w:r>
              <w:rPr>
                <w:color w:val="000000" w:themeColor="text1"/>
                <w:spacing w:val="-4"/>
                <w:lang w:val="en-GB"/>
              </w:rPr>
              <w:t xml:space="preserve"> more in total</w:t>
            </w:r>
            <w:r w:rsidR="001C3961" w:rsidRPr="0016448A">
              <w:rPr>
                <w:color w:val="000000" w:themeColor="text1"/>
                <w:spacing w:val="-4"/>
                <w:lang w:val="en-GB"/>
              </w:rPr>
              <w:t xml:space="preserve">) </w:t>
            </w:r>
            <w:r>
              <w:rPr>
                <w:color w:val="000000" w:themeColor="text1"/>
                <w:spacing w:val="-4"/>
                <w:lang w:val="en-GB"/>
              </w:rPr>
              <w:t xml:space="preserve">due to the growing sickness rate, but also higher drawing of the </w:t>
            </w:r>
            <w:r w:rsidR="002C2364">
              <w:rPr>
                <w:color w:val="000000" w:themeColor="text1"/>
                <w:spacing w:val="-4"/>
                <w:lang w:val="en-GB"/>
              </w:rPr>
              <w:t xml:space="preserve">maternity benefits. </w:t>
            </w:r>
            <w:r w:rsidR="003D42F9">
              <w:rPr>
                <w:color w:val="000000" w:themeColor="text1"/>
                <w:spacing w:val="-4"/>
                <w:lang w:val="en-GB"/>
              </w:rPr>
              <w:t xml:space="preserve">The assistance to care to persons in long-term sickness also grew by </w:t>
            </w:r>
            <w:r w:rsidR="001C3961" w:rsidRPr="0016448A">
              <w:rPr>
                <w:spacing w:val="-4"/>
                <w:lang w:val="en-GB"/>
              </w:rPr>
              <w:t>1</w:t>
            </w:r>
            <w:r w:rsidR="003D42F9">
              <w:rPr>
                <w:spacing w:val="-4"/>
                <w:lang w:val="en-GB"/>
              </w:rPr>
              <w:t>.</w:t>
            </w:r>
            <w:r w:rsidR="001C3961" w:rsidRPr="0016448A">
              <w:rPr>
                <w:spacing w:val="-4"/>
                <w:lang w:val="en-GB"/>
              </w:rPr>
              <w:t xml:space="preserve">5 </w:t>
            </w:r>
            <w:r w:rsidR="003D42F9">
              <w:rPr>
                <w:spacing w:val="-4"/>
                <w:lang w:val="en-GB"/>
              </w:rPr>
              <w:t xml:space="preserve">CZK </w:t>
            </w:r>
            <w:proofErr w:type="spellStart"/>
            <w:r w:rsidR="003D42F9">
              <w:rPr>
                <w:spacing w:val="-4"/>
                <w:lang w:val="en-GB"/>
              </w:rPr>
              <w:t>bn</w:t>
            </w:r>
            <w:proofErr w:type="spellEnd"/>
            <w:r w:rsidR="003D42F9">
              <w:rPr>
                <w:spacing w:val="-4"/>
                <w:lang w:val="en-GB"/>
              </w:rPr>
              <w:t xml:space="preserve"> (as a result of </w:t>
            </w:r>
            <w:r w:rsidR="001C3961" w:rsidRPr="0016448A">
              <w:rPr>
                <w:spacing w:val="-4"/>
                <w:lang w:val="en-GB"/>
              </w:rPr>
              <w:t>10</w:t>
            </w:r>
            <w:r w:rsidR="00954C8E">
              <w:rPr>
                <w:spacing w:val="-4"/>
                <w:lang w:val="en-GB"/>
              </w:rPr>
              <w:t>%</w:t>
            </w:r>
            <w:r w:rsidR="001C3961" w:rsidRPr="0016448A">
              <w:rPr>
                <w:spacing w:val="-4"/>
                <w:lang w:val="en-GB"/>
              </w:rPr>
              <w:t xml:space="preserve"> </w:t>
            </w:r>
            <w:r w:rsidR="003D42F9">
              <w:rPr>
                <w:spacing w:val="-4"/>
                <w:lang w:val="en-GB"/>
              </w:rPr>
              <w:t xml:space="preserve">across-the-board adjustment in August </w:t>
            </w:r>
            <w:r w:rsidR="001C3961" w:rsidRPr="0016448A">
              <w:rPr>
                <w:spacing w:val="-4"/>
                <w:lang w:val="en-GB"/>
              </w:rPr>
              <w:t xml:space="preserve">2016). </w:t>
            </w:r>
            <w:r w:rsidR="003D42F9">
              <w:rPr>
                <w:spacing w:val="-4"/>
                <w:lang w:val="en-GB"/>
              </w:rPr>
              <w:t xml:space="preserve">The growth of the foster care benefits also continued in </w:t>
            </w:r>
            <w:r w:rsidR="003D42F9" w:rsidRPr="00971A20">
              <w:rPr>
                <w:spacing w:val="-5"/>
                <w:lang w:val="en-GB"/>
              </w:rPr>
              <w:lastRenderedPageBreak/>
              <w:t xml:space="preserve">growth by a milder pace. The state paid out less on the unemployment benefits </w:t>
            </w:r>
            <w:r w:rsidR="001C3961" w:rsidRPr="00971A20">
              <w:rPr>
                <w:spacing w:val="-5"/>
                <w:lang w:val="en-GB"/>
              </w:rPr>
              <w:t>(-3</w:t>
            </w:r>
            <w:r w:rsidR="003D42F9" w:rsidRPr="00971A20">
              <w:rPr>
                <w:spacing w:val="-5"/>
                <w:lang w:val="en-GB"/>
              </w:rPr>
              <w:t>.</w:t>
            </w:r>
            <w:r w:rsidR="001C3961" w:rsidRPr="00971A20">
              <w:rPr>
                <w:spacing w:val="-5"/>
                <w:lang w:val="en-GB"/>
              </w:rPr>
              <w:t>4</w:t>
            </w:r>
            <w:r w:rsidR="00954C8E" w:rsidRPr="00971A20">
              <w:rPr>
                <w:spacing w:val="-5"/>
                <w:lang w:val="en-GB"/>
              </w:rPr>
              <w:t>%</w:t>
            </w:r>
            <w:r w:rsidR="001C3961" w:rsidRPr="00971A20">
              <w:rPr>
                <w:spacing w:val="-5"/>
                <w:lang w:val="en-GB"/>
              </w:rPr>
              <w:t>),</w:t>
            </w:r>
            <w:r w:rsidR="001C3961" w:rsidRPr="0016448A">
              <w:rPr>
                <w:spacing w:val="-4"/>
                <w:lang w:val="en-GB"/>
              </w:rPr>
              <w:t xml:space="preserve"> </w:t>
            </w:r>
            <w:r w:rsidR="003D42F9">
              <w:rPr>
                <w:spacing w:val="-4"/>
                <w:lang w:val="en-GB"/>
              </w:rPr>
              <w:t xml:space="preserve">which were paid out to one quarter of all registered job applicants. </w:t>
            </w:r>
            <w:r w:rsidR="00826EE3">
              <w:rPr>
                <w:spacing w:val="-4"/>
                <w:lang w:val="en-GB"/>
              </w:rPr>
              <w:t xml:space="preserve">Improved financial situation of households was reflected in the lower volume of paid out benefits of the state social support </w:t>
            </w:r>
            <w:r w:rsidR="001C3961" w:rsidRPr="0016448A">
              <w:rPr>
                <w:spacing w:val="-4"/>
                <w:lang w:val="en-GB"/>
              </w:rPr>
              <w:t>(-1</w:t>
            </w:r>
            <w:r w:rsidR="00826EE3">
              <w:rPr>
                <w:spacing w:val="-4"/>
                <w:lang w:val="en-GB"/>
              </w:rPr>
              <w:t>.</w:t>
            </w:r>
            <w:r w:rsidR="001C3961" w:rsidRPr="0016448A">
              <w:rPr>
                <w:spacing w:val="-4"/>
                <w:lang w:val="en-GB"/>
              </w:rPr>
              <w:t>5</w:t>
            </w:r>
            <w:r w:rsidR="00954C8E">
              <w:rPr>
                <w:spacing w:val="-4"/>
                <w:lang w:val="en-GB"/>
              </w:rPr>
              <w:t>%</w:t>
            </w:r>
            <w:r w:rsidR="001C3961" w:rsidRPr="0016448A">
              <w:rPr>
                <w:spacing w:val="-4"/>
                <w:lang w:val="en-GB"/>
              </w:rPr>
              <w:t>) a</w:t>
            </w:r>
            <w:r w:rsidR="00826EE3">
              <w:rPr>
                <w:spacing w:val="-4"/>
                <w:lang w:val="en-GB"/>
              </w:rPr>
              <w:t>nd especially in the deepening of the fall of the expenditure on material deprivation assistance benefits (to</w:t>
            </w:r>
            <w:r w:rsidR="001C3961" w:rsidRPr="0016448A">
              <w:rPr>
                <w:rFonts w:cs="Arial"/>
                <w:color w:val="0D0D0D" w:themeColor="text1" w:themeTint="F2"/>
                <w:spacing w:val="-4"/>
                <w:lang w:val="en-GB"/>
              </w:rPr>
              <w:t> </w:t>
            </w:r>
            <w:r w:rsidR="001C3961" w:rsidRPr="0016448A">
              <w:rPr>
                <w:spacing w:val="-4"/>
                <w:lang w:val="en-GB"/>
              </w:rPr>
              <w:t>-17</w:t>
            </w:r>
            <w:r w:rsidR="00954C8E">
              <w:rPr>
                <w:spacing w:val="-4"/>
                <w:lang w:val="en-GB"/>
              </w:rPr>
              <w:t>%</w:t>
            </w:r>
            <w:r w:rsidR="001C3961" w:rsidRPr="0016448A">
              <w:rPr>
                <w:spacing w:val="-4"/>
                <w:lang w:val="en-GB"/>
              </w:rPr>
              <w:t xml:space="preserve">, </w:t>
            </w:r>
            <w:r w:rsidR="00826EE3">
              <w:rPr>
                <w:spacing w:val="-4"/>
                <w:lang w:val="en-GB"/>
              </w:rPr>
              <w:t>the drop amounted to 30</w:t>
            </w:r>
            <w:r w:rsidR="00954C8E">
              <w:rPr>
                <w:spacing w:val="-4"/>
                <w:lang w:val="en-GB"/>
              </w:rPr>
              <w:t>%</w:t>
            </w:r>
            <w:r w:rsidR="00826EE3">
              <w:rPr>
                <w:spacing w:val="-4"/>
                <w:lang w:val="en-GB"/>
              </w:rPr>
              <w:t xml:space="preserve"> in the last three years</w:t>
            </w:r>
            <w:r w:rsidR="001C3961" w:rsidRPr="0016448A">
              <w:rPr>
                <w:spacing w:val="-4"/>
                <w:lang w:val="en-GB"/>
              </w:rPr>
              <w:t>).</w:t>
            </w:r>
          </w:p>
        </w:tc>
      </w:tr>
    </w:tbl>
    <w:p w:rsidR="001C3961" w:rsidRPr="00503EC3" w:rsidRDefault="001C3961" w:rsidP="00D9640A">
      <w:pPr>
        <w:pStyle w:val="Textpoznpodarou"/>
        <w:jc w:val="both"/>
        <w:rPr>
          <w:rFonts w:cs="Arial"/>
          <w:color w:val="000000"/>
          <w:spacing w:val="-2"/>
          <w:sz w:val="16"/>
          <w:szCs w:val="16"/>
        </w:rPr>
      </w:pPr>
    </w:p>
    <w:tbl>
      <w:tblPr>
        <w:tblW w:w="4963" w:type="pct"/>
        <w:tblInd w:w="108" w:type="dxa"/>
        <w:tblLayout w:type="fixed"/>
        <w:tblLook w:val="00A0"/>
      </w:tblPr>
      <w:tblGrid>
        <w:gridCol w:w="1997"/>
        <w:gridCol w:w="284"/>
        <w:gridCol w:w="1119"/>
        <w:gridCol w:w="6381"/>
      </w:tblGrid>
      <w:tr w:rsidR="001C3961" w:rsidRPr="00AA4A76"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A279CF" w:rsidP="00853C0F">
            <w:pPr>
              <w:pStyle w:val="Textpoznpodarou"/>
              <w:jc w:val="both"/>
              <w:rPr>
                <w:highlight w:val="yellow"/>
              </w:rPr>
            </w:pPr>
            <w:r>
              <w:rPr>
                <w:color w:val="000000"/>
              </w:rPr>
              <w:t xml:space="preserve">Chart </w:t>
            </w:r>
            <w:r w:rsidR="001C3961">
              <w:rPr>
                <w:color w:val="000000"/>
              </w:rPr>
              <w:t>23</w:t>
            </w:r>
          </w:p>
        </w:tc>
        <w:tc>
          <w:tcPr>
            <w:tcW w:w="3262" w:type="pct"/>
          </w:tcPr>
          <w:p w:rsidR="00556A44" w:rsidRDefault="001C3961" w:rsidP="00853C0F">
            <w:pPr>
              <w:pStyle w:val="Textpoznpodarou"/>
              <w:rPr>
                <w:rFonts w:cs="Arial"/>
                <w:b/>
                <w:bCs/>
                <w:spacing w:val="-2"/>
                <w:lang w:val="en-GB"/>
              </w:rPr>
            </w:pPr>
            <w:r w:rsidRPr="009979D1">
              <w:rPr>
                <w:rFonts w:cs="Arial"/>
                <w:b/>
                <w:bCs/>
                <w:spacing w:val="-2"/>
                <w:lang w:val="en-GB"/>
              </w:rPr>
              <w:t>P</w:t>
            </w:r>
            <w:r w:rsidR="009979D1" w:rsidRPr="009979D1">
              <w:rPr>
                <w:rFonts w:cs="Arial"/>
                <w:b/>
                <w:bCs/>
                <w:spacing w:val="-2"/>
                <w:lang w:val="en-GB"/>
              </w:rPr>
              <w:t xml:space="preserve">ension recipients, income and expenditure on pensions from the </w:t>
            </w:r>
            <w:r w:rsidR="00556A44">
              <w:rPr>
                <w:rFonts w:cs="Arial"/>
                <w:b/>
                <w:bCs/>
                <w:spacing w:val="-2"/>
                <w:lang w:val="en-GB"/>
              </w:rPr>
              <w:t>state budget</w:t>
            </w:r>
            <w:r w:rsidRPr="009979D1">
              <w:rPr>
                <w:rFonts w:cs="Arial"/>
                <w:b/>
                <w:bCs/>
                <w:spacing w:val="-2"/>
                <w:lang w:val="en-GB"/>
              </w:rPr>
              <w:t xml:space="preserve"> </w:t>
            </w:r>
            <w:r w:rsidRPr="009979D1">
              <w:rPr>
                <w:rFonts w:cs="Arial"/>
                <w:bCs/>
                <w:spacing w:val="-2"/>
                <w:lang w:val="en-GB"/>
              </w:rPr>
              <w:t>(</w:t>
            </w:r>
            <w:r w:rsidR="009979D1" w:rsidRPr="009979D1">
              <w:rPr>
                <w:rFonts w:cs="Arial"/>
                <w:bCs/>
                <w:spacing w:val="-2"/>
                <w:lang w:val="en-GB"/>
              </w:rPr>
              <w:t xml:space="preserve">year-on-year </w:t>
            </w:r>
            <w:r w:rsidR="00954C8E">
              <w:rPr>
                <w:rFonts w:cs="Arial"/>
                <w:bCs/>
                <w:spacing w:val="-2"/>
                <w:lang w:val="en-GB"/>
              </w:rPr>
              <w:t>in %</w:t>
            </w:r>
            <w:r w:rsidRPr="009979D1">
              <w:rPr>
                <w:bCs/>
                <w:spacing w:val="-2"/>
                <w:lang w:val="en-GB"/>
              </w:rPr>
              <w:t>)</w:t>
            </w:r>
            <w:r w:rsidRPr="009979D1">
              <w:rPr>
                <w:rFonts w:cs="Arial"/>
                <w:bCs/>
                <w:spacing w:val="-2"/>
                <w:lang w:val="en-GB"/>
              </w:rPr>
              <w:t xml:space="preserve"> </w:t>
            </w:r>
            <w:r w:rsidRPr="009979D1">
              <w:rPr>
                <w:rFonts w:cs="Arial"/>
                <w:b/>
                <w:bCs/>
                <w:spacing w:val="-2"/>
                <w:lang w:val="en-GB"/>
              </w:rPr>
              <w:t>a</w:t>
            </w:r>
            <w:r w:rsidR="009979D1" w:rsidRPr="009979D1">
              <w:rPr>
                <w:rFonts w:cs="Arial"/>
                <w:b/>
                <w:bCs/>
                <w:spacing w:val="-2"/>
                <w:lang w:val="en-GB"/>
              </w:rPr>
              <w:t>nd pension account balance</w:t>
            </w:r>
          </w:p>
          <w:p w:rsidR="001C3961" w:rsidRPr="009979D1" w:rsidRDefault="009979D1" w:rsidP="00853C0F">
            <w:pPr>
              <w:pStyle w:val="Textpoznpodarou"/>
              <w:rPr>
                <w:spacing w:val="-2"/>
                <w:lang w:val="en-GB" w:eastAsia="en-US"/>
              </w:rPr>
            </w:pPr>
            <w:r w:rsidRPr="009979D1">
              <w:rPr>
                <w:rFonts w:cs="Arial"/>
                <w:b/>
                <w:bCs/>
                <w:spacing w:val="-2"/>
                <w:lang w:val="en-GB"/>
              </w:rPr>
              <w:t xml:space="preserve"> </w:t>
            </w:r>
            <w:r w:rsidR="001C3961" w:rsidRPr="009979D1">
              <w:rPr>
                <w:rFonts w:cs="Arial"/>
                <w:bCs/>
                <w:spacing w:val="-2"/>
                <w:lang w:val="en-GB"/>
              </w:rPr>
              <w:t>(</w:t>
            </w:r>
            <w:r w:rsidRPr="009979D1">
              <w:rPr>
                <w:rFonts w:cs="Arial"/>
                <w:bCs/>
                <w:spacing w:val="-2"/>
                <w:lang w:val="en-GB"/>
              </w:rPr>
              <w:t xml:space="preserve">in CZK </w:t>
            </w:r>
            <w:proofErr w:type="spellStart"/>
            <w:r w:rsidRPr="009979D1">
              <w:rPr>
                <w:rFonts w:cs="Arial"/>
                <w:bCs/>
                <w:spacing w:val="-2"/>
                <w:lang w:val="en-GB"/>
              </w:rPr>
              <w:t>bn</w:t>
            </w:r>
            <w:proofErr w:type="spellEnd"/>
            <w:r w:rsidR="001C3961" w:rsidRPr="009979D1">
              <w:rPr>
                <w:rFonts w:cs="Arial"/>
                <w:bCs/>
                <w:spacing w:val="-2"/>
                <w:lang w:val="en-GB"/>
              </w:rPr>
              <w:t xml:space="preserve">) </w:t>
            </w:r>
            <w:r w:rsidRPr="009979D1">
              <w:rPr>
                <w:rFonts w:cs="Arial"/>
                <w:b/>
                <w:bCs/>
                <w:spacing w:val="-2"/>
                <w:lang w:val="en-GB"/>
              </w:rPr>
              <w:t>in 1st half-years</w:t>
            </w:r>
          </w:p>
        </w:tc>
      </w:tr>
      <w:tr w:rsidR="001C3961" w:rsidRPr="00AA4A76"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3" w:type="pct"/>
            <w:gridSpan w:val="2"/>
          </w:tcPr>
          <w:p w:rsidR="001C3961" w:rsidRDefault="00AC444B" w:rsidP="00853C0F">
            <w:pPr>
              <w:pStyle w:val="Textpoznpodarou"/>
              <w:ind w:left="-124"/>
              <w:jc w:val="both"/>
              <w:rPr>
                <w:sz w:val="16"/>
                <w:szCs w:val="16"/>
              </w:rPr>
            </w:pPr>
            <w:r w:rsidRPr="00AC444B">
              <w:rPr>
                <w:noProof/>
                <w:sz w:val="16"/>
                <w:szCs w:val="16"/>
              </w:rPr>
              <w:drawing>
                <wp:inline distT="0" distB="0" distL="0" distR="0">
                  <wp:extent cx="4752000" cy="3528000"/>
                  <wp:effectExtent l="0" t="0" r="0" b="0"/>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86640" w:rsidRDefault="00AC444B">
            <w:pPr>
              <w:autoSpaceDE w:val="0"/>
              <w:autoSpaceDN w:val="0"/>
              <w:adjustRightInd w:val="0"/>
              <w:spacing w:line="240" w:lineRule="auto"/>
              <w:rPr>
                <w:rFonts w:cs="Arial"/>
                <w:sz w:val="14"/>
                <w:szCs w:val="14"/>
              </w:rPr>
            </w:pPr>
            <w:r>
              <w:rPr>
                <w:rFonts w:cs="Arial"/>
                <w:sz w:val="14"/>
                <w:szCs w:val="14"/>
                <w:lang w:val="en-GB"/>
              </w:rPr>
              <w:t>*</w:t>
            </w:r>
            <w:r w:rsidR="001C3961" w:rsidRPr="005D5DAE">
              <w:rPr>
                <w:rFonts w:cs="Arial"/>
                <w:sz w:val="14"/>
                <w:szCs w:val="14"/>
                <w:lang w:val="en-GB"/>
              </w:rPr>
              <w:t xml:space="preserve"> </w:t>
            </w:r>
            <w:r w:rsidR="005D5DAE" w:rsidRPr="005D5DAE">
              <w:rPr>
                <w:rFonts w:cs="Arial"/>
                <w:sz w:val="14"/>
                <w:szCs w:val="14"/>
                <w:lang w:val="en-GB"/>
              </w:rPr>
              <w:t>Old</w:t>
            </w:r>
            <w:r w:rsidR="005D5DAE">
              <w:rPr>
                <w:rFonts w:cs="Arial"/>
                <w:sz w:val="14"/>
                <w:szCs w:val="14"/>
                <w:lang w:val="en-GB"/>
              </w:rPr>
              <w:t xml:space="preserve"> </w:t>
            </w:r>
            <w:r w:rsidR="005D5DAE" w:rsidRPr="005D5DAE">
              <w:rPr>
                <w:rFonts w:cs="Arial"/>
                <w:sz w:val="14"/>
                <w:szCs w:val="14"/>
                <w:lang w:val="en-GB"/>
              </w:rPr>
              <w:t xml:space="preserve">age pension income awarded before the pension age </w:t>
            </w:r>
            <w:r w:rsidR="005D5DAE">
              <w:rPr>
                <w:rFonts w:cs="Arial"/>
                <w:sz w:val="14"/>
                <w:szCs w:val="14"/>
                <w:lang w:val="en-GB"/>
              </w:rPr>
              <w:t xml:space="preserve">is reached </w:t>
            </w:r>
            <w:r w:rsidR="005D5DAE" w:rsidRPr="005D5DAE">
              <w:rPr>
                <w:rFonts w:cs="Arial"/>
                <w:sz w:val="14"/>
                <w:szCs w:val="14"/>
                <w:lang w:val="en-GB"/>
              </w:rPr>
              <w:t>and shortened for the earliness is for the whole time per</w:t>
            </w:r>
            <w:r w:rsidR="005D5DAE">
              <w:rPr>
                <w:rFonts w:cs="Arial"/>
                <w:sz w:val="14"/>
                <w:szCs w:val="14"/>
                <w:lang w:val="en-GB"/>
              </w:rPr>
              <w:t>i</w:t>
            </w:r>
            <w:r w:rsidR="005D5DAE" w:rsidRPr="005D5DAE">
              <w:rPr>
                <w:rFonts w:cs="Arial"/>
                <w:sz w:val="14"/>
                <w:szCs w:val="14"/>
                <w:lang w:val="en-GB"/>
              </w:rPr>
              <w:t xml:space="preserve">od of the drawing the benefit.                                             </w:t>
            </w:r>
            <w:r w:rsidR="00503EC3">
              <w:rPr>
                <w:rFonts w:cs="Arial"/>
                <w:sz w:val="14"/>
                <w:szCs w:val="14"/>
                <w:lang w:val="en-GB"/>
              </w:rPr>
              <w:t xml:space="preserve"> </w:t>
            </w:r>
            <w:r w:rsidR="005D5DAE" w:rsidRPr="005D5DAE">
              <w:rPr>
                <w:rFonts w:cs="Arial"/>
                <w:sz w:val="14"/>
                <w:szCs w:val="14"/>
                <w:lang w:val="en-GB"/>
              </w:rPr>
              <w:t xml:space="preserve">                                 </w:t>
            </w:r>
            <w:proofErr w:type="spellStart"/>
            <w:r w:rsidR="00791DB3">
              <w:rPr>
                <w:rFonts w:cs="Arial"/>
                <w:sz w:val="14"/>
                <w:szCs w:val="14"/>
              </w:rPr>
              <w:t>Source</w:t>
            </w:r>
            <w:proofErr w:type="spellEnd"/>
            <w:r w:rsidR="001C3961" w:rsidRPr="007E5880">
              <w:rPr>
                <w:sz w:val="14"/>
                <w:szCs w:val="14"/>
              </w:rPr>
              <w:t>: MF</w:t>
            </w:r>
            <w:r w:rsidR="00CF5576">
              <w:rPr>
                <w:sz w:val="14"/>
                <w:szCs w:val="14"/>
              </w:rPr>
              <w:t xml:space="preserve"> CR, CSSA</w:t>
            </w:r>
          </w:p>
        </w:tc>
      </w:tr>
    </w:tbl>
    <w:p w:rsidR="001C3961" w:rsidRPr="00503EC3" w:rsidRDefault="001C3961" w:rsidP="001C3961">
      <w:pPr>
        <w:pStyle w:val="Textpoznpodarou"/>
        <w:jc w:val="both"/>
        <w:rPr>
          <w:rFonts w:cs="Arial"/>
          <w:color w:val="000000"/>
          <w:spacing w:val="-2"/>
          <w:sz w:val="16"/>
          <w:szCs w:val="16"/>
        </w:rPr>
      </w:pPr>
    </w:p>
    <w:tbl>
      <w:tblPr>
        <w:tblW w:w="4995" w:type="pct"/>
        <w:tblInd w:w="108" w:type="dxa"/>
        <w:tblLayout w:type="fixed"/>
        <w:tblLook w:val="00A0"/>
      </w:tblPr>
      <w:tblGrid>
        <w:gridCol w:w="2000"/>
        <w:gridCol w:w="284"/>
        <w:gridCol w:w="7560"/>
      </w:tblGrid>
      <w:tr w:rsidR="001C3961" w:rsidRPr="00F06A1D" w:rsidTr="00853C0F">
        <w:trPr>
          <w:trHeight w:val="145"/>
        </w:trPr>
        <w:tc>
          <w:tcPr>
            <w:tcW w:w="1016" w:type="pct"/>
            <w:shd w:val="clear" w:color="auto" w:fill="auto"/>
          </w:tcPr>
          <w:p w:rsidR="001C3961" w:rsidRPr="00C54D19" w:rsidRDefault="004C0ECD" w:rsidP="00853C0F">
            <w:pPr>
              <w:spacing w:line="240" w:lineRule="auto"/>
              <w:rPr>
                <w:rFonts w:cs="Arial"/>
                <w:bCs/>
                <w:iCs/>
                <w:color w:val="0D0D0D" w:themeColor="text1" w:themeTint="F2"/>
                <w:sz w:val="16"/>
                <w:szCs w:val="16"/>
                <w:lang w:val="en-GB"/>
              </w:rPr>
            </w:pPr>
            <w:r>
              <w:rPr>
                <w:rFonts w:cs="Arial"/>
                <w:bCs/>
                <w:iCs/>
                <w:color w:val="0D0D0D" w:themeColor="text1" w:themeTint="F2"/>
                <w:sz w:val="16"/>
                <w:szCs w:val="16"/>
                <w:lang w:val="en-GB"/>
              </w:rPr>
              <w:t xml:space="preserve">The size of the state debt </w:t>
            </w:r>
            <w:r w:rsidR="002A109C">
              <w:rPr>
                <w:rFonts w:cs="Arial"/>
                <w:bCs/>
                <w:iCs/>
                <w:color w:val="0D0D0D" w:themeColor="text1" w:themeTint="F2"/>
                <w:sz w:val="16"/>
                <w:szCs w:val="16"/>
                <w:lang w:val="en-GB"/>
              </w:rPr>
              <w:t>stabilised following the one-off increase in Q1 in the subsequent months</w:t>
            </w:r>
            <w:r w:rsidR="001C3961" w:rsidRPr="00C54D19">
              <w:rPr>
                <w:rFonts w:cs="Arial"/>
                <w:bCs/>
                <w:iCs/>
                <w:color w:val="0D0D0D" w:themeColor="text1" w:themeTint="F2"/>
                <w:sz w:val="16"/>
                <w:szCs w:val="16"/>
                <w:lang w:val="en-GB"/>
              </w:rPr>
              <w:t xml:space="preserve">. </w:t>
            </w:r>
          </w:p>
          <w:p w:rsidR="001C3961" w:rsidRPr="00C54D19" w:rsidRDefault="001C3961" w:rsidP="00853C0F">
            <w:pPr>
              <w:spacing w:line="240" w:lineRule="auto"/>
              <w:rPr>
                <w:rFonts w:cs="Arial"/>
                <w:bCs/>
                <w:iCs/>
                <w:color w:val="0D0D0D" w:themeColor="text1" w:themeTint="F2"/>
                <w:sz w:val="16"/>
                <w:szCs w:val="16"/>
                <w:lang w:val="en-GB"/>
              </w:rPr>
            </w:pPr>
          </w:p>
          <w:p w:rsidR="001C3961" w:rsidRPr="00C54D19" w:rsidRDefault="001C3961" w:rsidP="00853C0F">
            <w:pPr>
              <w:spacing w:line="240" w:lineRule="auto"/>
              <w:rPr>
                <w:rFonts w:cs="Arial"/>
                <w:bCs/>
                <w:iCs/>
                <w:color w:val="0D0D0D" w:themeColor="text1" w:themeTint="F2"/>
                <w:sz w:val="16"/>
                <w:szCs w:val="16"/>
                <w:lang w:val="en-GB"/>
              </w:rPr>
            </w:pPr>
          </w:p>
          <w:p w:rsidR="001C3961" w:rsidRPr="00C54D19" w:rsidRDefault="001C3961" w:rsidP="00853C0F">
            <w:pPr>
              <w:spacing w:line="240" w:lineRule="auto"/>
              <w:rPr>
                <w:rFonts w:cs="Arial"/>
                <w:bCs/>
                <w:iCs/>
                <w:color w:val="0D0D0D" w:themeColor="text1" w:themeTint="F2"/>
                <w:sz w:val="16"/>
                <w:szCs w:val="16"/>
                <w:lang w:val="en-GB"/>
              </w:rPr>
            </w:pPr>
          </w:p>
          <w:p w:rsidR="001C3961" w:rsidRPr="00C54D19" w:rsidRDefault="00C54D19" w:rsidP="00853C0F">
            <w:pPr>
              <w:spacing w:line="240" w:lineRule="auto"/>
              <w:rPr>
                <w:rFonts w:cs="Arial"/>
                <w:bCs/>
                <w:iCs/>
                <w:color w:val="0D0D0D" w:themeColor="text1" w:themeTint="F2"/>
                <w:sz w:val="16"/>
                <w:szCs w:val="16"/>
                <w:lang w:val="en-GB"/>
              </w:rPr>
            </w:pPr>
            <w:r w:rsidRPr="00C54D19">
              <w:rPr>
                <w:rFonts w:cs="Arial"/>
                <w:bCs/>
                <w:iCs/>
                <w:color w:val="0D0D0D" w:themeColor="text1" w:themeTint="F2"/>
                <w:sz w:val="16"/>
                <w:szCs w:val="16"/>
                <w:lang w:val="en-GB"/>
              </w:rPr>
              <w:t xml:space="preserve">The proportion of foreign investors </w:t>
            </w:r>
            <w:r w:rsidR="002A109C">
              <w:rPr>
                <w:rFonts w:cs="Arial"/>
                <w:bCs/>
                <w:iCs/>
                <w:color w:val="0D0D0D" w:themeColor="text1" w:themeTint="F2"/>
                <w:sz w:val="16"/>
                <w:szCs w:val="16"/>
                <w:lang w:val="en-GB"/>
              </w:rPr>
              <w:t xml:space="preserve">on the total possession of the Czech state bonds still remained high. </w:t>
            </w:r>
            <w:r w:rsidR="001C3961" w:rsidRPr="00C54D19">
              <w:rPr>
                <w:rFonts w:cs="Arial"/>
                <w:bCs/>
                <w:iCs/>
                <w:color w:val="0D0D0D" w:themeColor="text1" w:themeTint="F2"/>
                <w:sz w:val="16"/>
                <w:szCs w:val="16"/>
                <w:lang w:val="en-GB"/>
              </w:rPr>
              <w:t xml:space="preserve"> </w:t>
            </w:r>
          </w:p>
        </w:tc>
        <w:tc>
          <w:tcPr>
            <w:tcW w:w="144" w:type="pct"/>
          </w:tcPr>
          <w:p w:rsidR="001C3961" w:rsidRPr="00C54D19" w:rsidRDefault="001C3961" w:rsidP="00853C0F">
            <w:pPr>
              <w:pStyle w:val="Textpoznpodarou"/>
              <w:jc w:val="both"/>
              <w:rPr>
                <w:rFonts w:cs="Arial"/>
                <w:color w:val="0D0D0D" w:themeColor="text1" w:themeTint="F2"/>
                <w:lang w:val="en-GB"/>
              </w:rPr>
            </w:pPr>
          </w:p>
        </w:tc>
        <w:tc>
          <w:tcPr>
            <w:tcW w:w="3840" w:type="pct"/>
          </w:tcPr>
          <w:p w:rsidR="0016737F" w:rsidRDefault="002A109C" w:rsidP="00853C0F">
            <w:pPr>
              <w:pStyle w:val="Textpoznpodarou"/>
              <w:jc w:val="both"/>
              <w:rPr>
                <w:rFonts w:cs="Arial"/>
                <w:color w:val="0D0D0D" w:themeColor="text1" w:themeTint="F2"/>
                <w:spacing w:val="-4"/>
                <w:lang w:val="en-GB"/>
              </w:rPr>
            </w:pPr>
            <w:r>
              <w:rPr>
                <w:spacing w:val="-4"/>
                <w:lang w:val="en-GB"/>
              </w:rPr>
              <w:t xml:space="preserve">The state debt reached the so far record size of 1 789 </w:t>
            </w:r>
            <w:r w:rsidR="00467B4F">
              <w:rPr>
                <w:spacing w:val="-4"/>
                <w:lang w:val="en-GB"/>
              </w:rPr>
              <w:t>CZK bn</w:t>
            </w:r>
            <w:r>
              <w:rPr>
                <w:spacing w:val="-4"/>
                <w:lang w:val="en-GB"/>
              </w:rPr>
              <w:t xml:space="preserve"> at the end of June. The more significant growt</w:t>
            </w:r>
            <w:r w:rsidR="000029FF">
              <w:rPr>
                <w:spacing w:val="-4"/>
                <w:lang w:val="en-GB"/>
              </w:rPr>
              <w:t>h</w:t>
            </w:r>
            <w:r>
              <w:rPr>
                <w:spacing w:val="-4"/>
                <w:lang w:val="en-GB"/>
              </w:rPr>
              <w:t xml:space="preserve"> of the indebtedness (by 10.9</w:t>
            </w:r>
            <w:r w:rsidR="00954C8E">
              <w:rPr>
                <w:spacing w:val="-4"/>
                <w:lang w:val="en-GB"/>
              </w:rPr>
              <w:t>%</w:t>
            </w:r>
            <w:r>
              <w:rPr>
                <w:spacing w:val="-4"/>
                <w:lang w:val="en-GB"/>
              </w:rPr>
              <w:t>) occurred during Q1</w:t>
            </w:r>
            <w:r w:rsidR="000029FF">
              <w:rPr>
                <w:spacing w:val="-4"/>
                <w:lang w:val="en-GB"/>
              </w:rPr>
              <w:t xml:space="preserve">, its level stabilised in the next </w:t>
            </w:r>
            <w:r w:rsidR="00791DB3">
              <w:rPr>
                <w:spacing w:val="-4"/>
                <w:lang w:val="en-GB"/>
              </w:rPr>
              <w:t xml:space="preserve">quarter. </w:t>
            </w:r>
            <w:r w:rsidR="00B56708">
              <w:rPr>
                <w:spacing w:val="-4"/>
                <w:lang w:val="en-GB"/>
              </w:rPr>
              <w:t xml:space="preserve">Sharp increase of the debt was associated to the large volume of issued medium and </w:t>
            </w:r>
            <w:r w:rsidR="00F76870">
              <w:rPr>
                <w:spacing w:val="-4"/>
                <w:lang w:val="en-GB"/>
              </w:rPr>
              <w:t>long-term</w:t>
            </w:r>
            <w:r w:rsidR="00B56708">
              <w:rPr>
                <w:spacing w:val="-4"/>
                <w:lang w:val="en-GB"/>
              </w:rPr>
              <w:t xml:space="preserve"> state bonds (LSB), aimed to cover the LSB repayments, that is expected in the remaining part of this year.</w:t>
            </w:r>
            <w:r w:rsidR="00E32A58">
              <w:rPr>
                <w:spacing w:val="-4"/>
                <w:lang w:val="en-GB"/>
              </w:rPr>
              <w:t xml:space="preserve"> More intensive issue of government </w:t>
            </w:r>
            <w:r w:rsidR="00F76870">
              <w:rPr>
                <w:spacing w:val="-4"/>
                <w:lang w:val="en-GB"/>
              </w:rPr>
              <w:t>treasury bills</w:t>
            </w:r>
            <w:r w:rsidR="001C3961" w:rsidRPr="00C54D19">
              <w:rPr>
                <w:rFonts w:cs="Arial"/>
                <w:spacing w:val="-4"/>
                <w:lang w:val="en-GB"/>
              </w:rPr>
              <w:t xml:space="preserve"> </w:t>
            </w:r>
            <w:r w:rsidR="00E32A58">
              <w:rPr>
                <w:rFonts w:cs="Arial"/>
                <w:spacing w:val="-4"/>
                <w:lang w:val="en-GB"/>
              </w:rPr>
              <w:t>realised for the reasons of utilisation of negative yields manifested throughout the whole half-year</w:t>
            </w:r>
            <w:r w:rsidR="001C3961" w:rsidRPr="00C54D19">
              <w:rPr>
                <w:rStyle w:val="Znakapoznpodarou"/>
                <w:color w:val="0D0D0D" w:themeColor="text1" w:themeTint="F2"/>
                <w:spacing w:val="-4"/>
                <w:lang w:val="en-GB"/>
              </w:rPr>
              <w:footnoteReference w:id="38"/>
            </w:r>
            <w:r w:rsidR="001C3961" w:rsidRPr="00C54D19">
              <w:rPr>
                <w:rFonts w:cs="Arial"/>
                <w:color w:val="0D0D0D" w:themeColor="text1" w:themeTint="F2"/>
                <w:spacing w:val="-4"/>
                <w:lang w:val="en-GB"/>
              </w:rPr>
              <w:t>. T</w:t>
            </w:r>
            <w:r w:rsidR="00D2210A">
              <w:rPr>
                <w:rFonts w:cs="Arial"/>
                <w:color w:val="0D0D0D" w:themeColor="text1" w:themeTint="F2"/>
                <w:spacing w:val="-4"/>
                <w:lang w:val="en-GB"/>
              </w:rPr>
              <w:t>hese operations led to the growth of the internal indebtedness. In contrast the crown value of the external debt slightly shrank since the beginning of the year (by 2.6</w:t>
            </w:r>
            <w:r w:rsidR="00954C8E">
              <w:rPr>
                <w:rFonts w:cs="Arial"/>
                <w:color w:val="0D0D0D" w:themeColor="text1" w:themeTint="F2"/>
                <w:spacing w:val="-4"/>
                <w:lang w:val="en-GB"/>
              </w:rPr>
              <w:t>%</w:t>
            </w:r>
            <w:r w:rsidR="00D2210A">
              <w:rPr>
                <w:rFonts w:cs="Arial"/>
                <w:color w:val="0D0D0D" w:themeColor="text1" w:themeTint="F2"/>
                <w:spacing w:val="-4"/>
                <w:lang w:val="en-GB"/>
              </w:rPr>
              <w:t>). The share of the external debt fell below 15</w:t>
            </w:r>
            <w:r w:rsidR="00954C8E">
              <w:rPr>
                <w:rFonts w:cs="Arial"/>
                <w:color w:val="0D0D0D" w:themeColor="text1" w:themeTint="F2"/>
                <w:spacing w:val="-4"/>
                <w:lang w:val="en-GB"/>
              </w:rPr>
              <w:t>%</w:t>
            </w:r>
            <w:r w:rsidR="00D2210A">
              <w:rPr>
                <w:rFonts w:cs="Arial"/>
                <w:color w:val="0D0D0D" w:themeColor="text1" w:themeTint="F2"/>
                <w:spacing w:val="-4"/>
                <w:lang w:val="en-GB"/>
              </w:rPr>
              <w:t xml:space="preserve"> for the first time since the beginning of year 2008. The inflow of the speculative</w:t>
            </w:r>
            <w:r w:rsidR="002622A2">
              <w:rPr>
                <w:rFonts w:cs="Arial"/>
                <w:color w:val="0D0D0D" w:themeColor="text1" w:themeTint="F2"/>
                <w:spacing w:val="-4"/>
                <w:lang w:val="en-GB"/>
              </w:rPr>
              <w:t xml:space="preserve"> capital into the CR in connection with the expected </w:t>
            </w:r>
            <w:r w:rsidR="008F650D">
              <w:rPr>
                <w:rFonts w:cs="Arial"/>
                <w:color w:val="0D0D0D" w:themeColor="text1" w:themeTint="F2"/>
                <w:spacing w:val="-4"/>
                <w:lang w:val="en-GB"/>
              </w:rPr>
              <w:t xml:space="preserve">exit from the regime of forex interventions </w:t>
            </w:r>
            <w:r w:rsidR="002622A2">
              <w:rPr>
                <w:rFonts w:cs="Arial"/>
                <w:color w:val="0D0D0D" w:themeColor="text1" w:themeTint="F2"/>
                <w:spacing w:val="-4"/>
                <w:lang w:val="en-GB"/>
              </w:rPr>
              <w:t>peaked</w:t>
            </w:r>
            <w:r w:rsidR="00D2210A">
              <w:rPr>
                <w:rFonts w:cs="Arial"/>
                <w:color w:val="0D0D0D" w:themeColor="text1" w:themeTint="F2"/>
                <w:spacing w:val="-4"/>
                <w:lang w:val="en-GB"/>
              </w:rPr>
              <w:t xml:space="preserve"> in the first third of the year</w:t>
            </w:r>
            <w:r w:rsidR="002622A2">
              <w:rPr>
                <w:rFonts w:cs="Arial"/>
                <w:color w:val="0D0D0D" w:themeColor="text1" w:themeTint="F2"/>
                <w:spacing w:val="-4"/>
                <w:lang w:val="en-GB"/>
              </w:rPr>
              <w:t xml:space="preserve">. It was also evidenced by the strong growth of the volume of the Czech bonds held by foreign investors. While they owned crown bonds worth 424 </w:t>
            </w:r>
            <w:r w:rsidR="00467B4F">
              <w:rPr>
                <w:rFonts w:cs="Arial"/>
                <w:color w:val="0D0D0D" w:themeColor="text1" w:themeTint="F2"/>
                <w:spacing w:val="-4"/>
                <w:lang w:val="en-GB"/>
              </w:rPr>
              <w:t>CZK bn</w:t>
            </w:r>
            <w:r w:rsidR="002622A2">
              <w:rPr>
                <w:rFonts w:cs="Arial"/>
                <w:color w:val="0D0D0D" w:themeColor="text1" w:themeTint="F2"/>
                <w:spacing w:val="-4"/>
                <w:lang w:val="en-GB"/>
              </w:rPr>
              <w:t xml:space="preserve"> at the end of year 2016, it was already 718 </w:t>
            </w:r>
            <w:r w:rsidR="00467B4F">
              <w:rPr>
                <w:rFonts w:cs="Arial"/>
                <w:color w:val="0D0D0D" w:themeColor="text1" w:themeTint="F2"/>
                <w:spacing w:val="-4"/>
                <w:lang w:val="en-GB"/>
              </w:rPr>
              <w:t>CZK bn</w:t>
            </w:r>
            <w:r w:rsidR="002622A2">
              <w:rPr>
                <w:rFonts w:cs="Arial"/>
                <w:color w:val="0D0D0D" w:themeColor="text1" w:themeTint="F2"/>
                <w:spacing w:val="-4"/>
                <w:lang w:val="en-GB"/>
              </w:rPr>
              <w:t xml:space="preserve"> at the end of this year´s April (47</w:t>
            </w:r>
            <w:r w:rsidR="00954C8E">
              <w:rPr>
                <w:rFonts w:cs="Arial"/>
                <w:color w:val="0D0D0D" w:themeColor="text1" w:themeTint="F2"/>
                <w:spacing w:val="-4"/>
                <w:lang w:val="en-GB"/>
              </w:rPr>
              <w:t>%</w:t>
            </w:r>
            <w:r w:rsidR="002622A2">
              <w:rPr>
                <w:rFonts w:cs="Arial"/>
                <w:color w:val="0D0D0D" w:themeColor="text1" w:themeTint="F2"/>
                <w:spacing w:val="-4"/>
                <w:lang w:val="en-GB"/>
              </w:rPr>
              <w:t xml:space="preserve"> of the value of all crown bonds). This volume in effect did not change in the course of Q2.</w:t>
            </w:r>
          </w:p>
          <w:p w:rsidR="001C3961" w:rsidRPr="0016737F" w:rsidRDefault="001C3961" w:rsidP="00853C0F">
            <w:pPr>
              <w:pStyle w:val="Textpoznpodarou"/>
              <w:jc w:val="both"/>
              <w:rPr>
                <w:rFonts w:cs="Arial"/>
                <w:color w:val="000000" w:themeColor="text1"/>
                <w:sz w:val="16"/>
                <w:szCs w:val="16"/>
                <w:lang w:val="en-GB"/>
              </w:rPr>
            </w:pPr>
          </w:p>
        </w:tc>
      </w:tr>
      <w:tr w:rsidR="001C3961" w:rsidRPr="0094422D" w:rsidTr="00853C0F">
        <w:trPr>
          <w:trHeight w:val="145"/>
        </w:trPr>
        <w:tc>
          <w:tcPr>
            <w:tcW w:w="1016" w:type="pct"/>
            <w:shd w:val="clear" w:color="auto" w:fill="auto"/>
          </w:tcPr>
          <w:p w:rsidR="001C3961" w:rsidRDefault="001C3961" w:rsidP="00853C0F">
            <w:pPr>
              <w:spacing w:line="240" w:lineRule="auto"/>
              <w:rPr>
                <w:rFonts w:cs="Arial"/>
                <w:bCs/>
                <w:iCs/>
                <w:color w:val="0D0D0D" w:themeColor="text1" w:themeTint="F2"/>
                <w:sz w:val="16"/>
                <w:szCs w:val="16"/>
                <w:lang w:val="en-GB"/>
              </w:rPr>
            </w:pPr>
            <w:r w:rsidRPr="009135C7">
              <w:rPr>
                <w:rFonts w:cs="Arial"/>
                <w:bCs/>
                <w:iCs/>
                <w:color w:val="0D0D0D" w:themeColor="text1" w:themeTint="F2"/>
                <w:sz w:val="16"/>
                <w:szCs w:val="16"/>
                <w:lang w:val="en-GB"/>
              </w:rPr>
              <w:t>Relativ</w:t>
            </w:r>
            <w:r w:rsidR="007D232E">
              <w:rPr>
                <w:rFonts w:cs="Arial"/>
                <w:bCs/>
                <w:iCs/>
                <w:color w:val="0D0D0D" w:themeColor="text1" w:themeTint="F2"/>
                <w:sz w:val="16"/>
                <w:szCs w:val="16"/>
                <w:lang w:val="en-GB"/>
              </w:rPr>
              <w:t xml:space="preserve">e indebtedness of government institutions in the CR did not attain even one half of the EU level despite the </w:t>
            </w:r>
            <w:r w:rsidR="007D232E">
              <w:rPr>
                <w:rFonts w:cs="Arial"/>
                <w:bCs/>
                <w:iCs/>
                <w:color w:val="0D0D0D" w:themeColor="text1" w:themeTint="F2"/>
                <w:sz w:val="16"/>
                <w:szCs w:val="16"/>
                <w:lang w:val="en-GB"/>
              </w:rPr>
              <w:lastRenderedPageBreak/>
              <w:t xml:space="preserve">increase in Q1. </w:t>
            </w:r>
          </w:p>
          <w:p w:rsidR="007D232E" w:rsidRDefault="007D232E" w:rsidP="00853C0F">
            <w:pPr>
              <w:spacing w:line="240" w:lineRule="auto"/>
              <w:rPr>
                <w:rFonts w:cs="Arial"/>
                <w:bCs/>
                <w:iCs/>
                <w:color w:val="0D0D0D" w:themeColor="text1" w:themeTint="F2"/>
                <w:sz w:val="16"/>
                <w:szCs w:val="16"/>
                <w:lang w:val="en-GB"/>
              </w:rPr>
            </w:pPr>
          </w:p>
          <w:p w:rsidR="007D232E" w:rsidRPr="009135C7" w:rsidRDefault="007D232E" w:rsidP="00853C0F">
            <w:pPr>
              <w:spacing w:line="240" w:lineRule="auto"/>
              <w:rPr>
                <w:rFonts w:cs="Arial"/>
                <w:bCs/>
                <w:iCs/>
                <w:color w:val="0D0D0D" w:themeColor="text1" w:themeTint="F2"/>
                <w:sz w:val="16"/>
                <w:szCs w:val="16"/>
                <w:lang w:val="en-GB"/>
              </w:rPr>
            </w:pPr>
          </w:p>
          <w:p w:rsidR="001C3961" w:rsidRPr="009135C7" w:rsidRDefault="001C3961" w:rsidP="00853C0F">
            <w:pPr>
              <w:spacing w:line="240" w:lineRule="auto"/>
              <w:rPr>
                <w:rFonts w:cs="Arial"/>
                <w:bCs/>
                <w:iCs/>
                <w:color w:val="0D0D0D" w:themeColor="text1" w:themeTint="F2"/>
                <w:sz w:val="16"/>
                <w:szCs w:val="16"/>
                <w:lang w:val="en-GB"/>
              </w:rPr>
            </w:pPr>
          </w:p>
          <w:p w:rsidR="001C3961" w:rsidRPr="009135C7" w:rsidRDefault="001C3961" w:rsidP="00853C0F">
            <w:pPr>
              <w:spacing w:line="240" w:lineRule="auto"/>
              <w:rPr>
                <w:rFonts w:cs="Arial"/>
                <w:bCs/>
                <w:iCs/>
                <w:color w:val="0D0D0D" w:themeColor="text1" w:themeTint="F2"/>
                <w:sz w:val="16"/>
                <w:szCs w:val="16"/>
                <w:lang w:val="en-GB"/>
              </w:rPr>
            </w:pPr>
          </w:p>
          <w:p w:rsidR="001C3961" w:rsidRPr="009135C7" w:rsidRDefault="009135C7" w:rsidP="00853C0F">
            <w:pPr>
              <w:spacing w:line="240" w:lineRule="auto"/>
              <w:rPr>
                <w:rFonts w:cs="Arial"/>
                <w:bCs/>
                <w:iCs/>
                <w:color w:val="0D0D0D" w:themeColor="text1" w:themeTint="F2"/>
                <w:sz w:val="16"/>
                <w:szCs w:val="16"/>
                <w:lang w:val="en-GB"/>
              </w:rPr>
            </w:pPr>
            <w:r w:rsidRPr="009135C7">
              <w:rPr>
                <w:rFonts w:cs="Arial"/>
                <w:bCs/>
                <w:iCs/>
                <w:color w:val="0D0D0D" w:themeColor="text1" w:themeTint="F2"/>
                <w:sz w:val="16"/>
                <w:szCs w:val="16"/>
                <w:lang w:val="en-GB"/>
              </w:rPr>
              <w:t xml:space="preserve">The position of the most indebted countries of the Union did not improve in the last year. </w:t>
            </w:r>
          </w:p>
        </w:tc>
        <w:tc>
          <w:tcPr>
            <w:tcW w:w="144" w:type="pct"/>
          </w:tcPr>
          <w:p w:rsidR="001C3961" w:rsidRPr="009135C7" w:rsidRDefault="001C3961" w:rsidP="00853C0F">
            <w:pPr>
              <w:pStyle w:val="Textpoznpodarou"/>
              <w:jc w:val="both"/>
              <w:rPr>
                <w:rFonts w:cs="Arial"/>
                <w:color w:val="0D0D0D" w:themeColor="text1" w:themeTint="F2"/>
                <w:lang w:val="en-GB"/>
              </w:rPr>
            </w:pPr>
          </w:p>
        </w:tc>
        <w:tc>
          <w:tcPr>
            <w:tcW w:w="3840" w:type="pct"/>
          </w:tcPr>
          <w:p w:rsidR="001C3961" w:rsidRPr="009135C7" w:rsidRDefault="000A4AC8" w:rsidP="00853C0F">
            <w:pPr>
              <w:pStyle w:val="Textpoznpodarou"/>
              <w:jc w:val="both"/>
              <w:rPr>
                <w:color w:val="000000" w:themeColor="text1"/>
                <w:spacing w:val="-4"/>
                <w:lang w:val="en-GB"/>
              </w:rPr>
            </w:pPr>
            <w:r>
              <w:rPr>
                <w:color w:val="000000" w:themeColor="text1"/>
                <w:spacing w:val="-4"/>
                <w:lang w:val="en-GB"/>
              </w:rPr>
              <w:t xml:space="preserve">The debt of the whole sector of the government institutions (reflecting also the budget </w:t>
            </w:r>
            <w:r w:rsidR="00F17A82">
              <w:rPr>
                <w:color w:val="000000" w:themeColor="text1"/>
                <w:spacing w:val="-4"/>
                <w:lang w:val="en-GB"/>
              </w:rPr>
              <w:t>of the regional municipalities or</w:t>
            </w:r>
            <w:r>
              <w:rPr>
                <w:color w:val="000000" w:themeColor="text1"/>
                <w:spacing w:val="-4"/>
                <w:lang w:val="en-GB"/>
              </w:rPr>
              <w:t xml:space="preserve"> health insurance companies) attained according to the up-to-date data of the CZSO the amount of </w:t>
            </w:r>
            <w:r w:rsidR="001C0F48">
              <w:rPr>
                <w:color w:val="000000" w:themeColor="text1"/>
                <w:spacing w:val="-4"/>
                <w:lang w:val="en-GB"/>
              </w:rPr>
              <w:t xml:space="preserve">1 925 </w:t>
            </w:r>
            <w:r w:rsidR="00467B4F">
              <w:rPr>
                <w:color w:val="000000" w:themeColor="text1"/>
                <w:spacing w:val="-4"/>
                <w:lang w:val="en-GB"/>
              </w:rPr>
              <w:t>CZK bn</w:t>
            </w:r>
            <w:r w:rsidR="001C0F48">
              <w:rPr>
                <w:color w:val="000000" w:themeColor="text1"/>
                <w:spacing w:val="-4"/>
                <w:lang w:val="en-GB"/>
              </w:rPr>
              <w:t xml:space="preserve"> at the end of Q1 </w:t>
            </w:r>
            <w:r w:rsidR="001C3961" w:rsidRPr="009135C7">
              <w:rPr>
                <w:color w:val="000000" w:themeColor="text1"/>
                <w:spacing w:val="-4"/>
                <w:lang w:val="en-GB"/>
              </w:rPr>
              <w:t>2017</w:t>
            </w:r>
            <w:r w:rsidR="001C3961" w:rsidRPr="009135C7">
              <w:rPr>
                <w:rStyle w:val="Znakapoznpodarou"/>
                <w:color w:val="000000" w:themeColor="text1"/>
                <w:spacing w:val="-4"/>
                <w:lang w:val="en-GB"/>
              </w:rPr>
              <w:footnoteReference w:id="39"/>
            </w:r>
            <w:r w:rsidR="001C0F48">
              <w:rPr>
                <w:color w:val="000000" w:themeColor="text1"/>
                <w:spacing w:val="-4"/>
                <w:lang w:val="en-GB"/>
              </w:rPr>
              <w:t xml:space="preserve"> and it was 39.9</w:t>
            </w:r>
            <w:r w:rsidR="00954C8E">
              <w:rPr>
                <w:color w:val="000000" w:themeColor="text1"/>
                <w:spacing w:val="-4"/>
                <w:lang w:val="en-GB"/>
              </w:rPr>
              <w:t>%</w:t>
            </w:r>
            <w:r w:rsidR="001C0F48">
              <w:rPr>
                <w:color w:val="000000" w:themeColor="text1"/>
                <w:spacing w:val="-4"/>
                <w:lang w:val="en-GB"/>
              </w:rPr>
              <w:t xml:space="preserve"> in relation to the GDP.</w:t>
            </w:r>
            <w:r w:rsidR="00812129">
              <w:rPr>
                <w:color w:val="000000" w:themeColor="text1"/>
                <w:spacing w:val="-4"/>
                <w:lang w:val="en-GB"/>
              </w:rPr>
              <w:t xml:space="preserve"> The absolute size of debt increased by 9.7</w:t>
            </w:r>
            <w:r w:rsidR="00954C8E">
              <w:rPr>
                <w:color w:val="000000" w:themeColor="text1"/>
                <w:spacing w:val="-4"/>
                <w:lang w:val="en-GB"/>
              </w:rPr>
              <w:t>%</w:t>
            </w:r>
            <w:r w:rsidR="00812129">
              <w:rPr>
                <w:color w:val="000000" w:themeColor="text1"/>
                <w:spacing w:val="-4"/>
                <w:lang w:val="en-GB"/>
              </w:rPr>
              <w:t xml:space="preserve"> </w:t>
            </w:r>
            <w:r w:rsidR="00812129">
              <w:rPr>
                <w:color w:val="000000" w:themeColor="text1"/>
                <w:spacing w:val="-4"/>
                <w:lang w:val="en-GB"/>
              </w:rPr>
              <w:lastRenderedPageBreak/>
              <w:t xml:space="preserve">during the first months of year 2017. </w:t>
            </w:r>
            <w:r w:rsidR="001C0F48">
              <w:rPr>
                <w:color w:val="000000" w:themeColor="text1"/>
                <w:spacing w:val="-4"/>
                <w:lang w:val="en-GB"/>
              </w:rPr>
              <w:t xml:space="preserve">It presented the largest quarter-on-quarter addition since year 2010, when the </w:t>
            </w:r>
            <w:r w:rsidR="00812129">
              <w:rPr>
                <w:color w:val="000000" w:themeColor="text1"/>
                <w:spacing w:val="-4"/>
                <w:lang w:val="en-GB"/>
              </w:rPr>
              <w:t xml:space="preserve">impact of the economic recession fully took effect. </w:t>
            </w:r>
            <w:r w:rsidR="004F11A2">
              <w:rPr>
                <w:color w:val="000000" w:themeColor="text1"/>
                <w:spacing w:val="-4"/>
                <w:lang w:val="en-GB"/>
              </w:rPr>
              <w:t>Nevertheless, this year´s debt enlargement was connected to the specific situation on the bond market reflect</w:t>
            </w:r>
            <w:r w:rsidR="00C475DF">
              <w:rPr>
                <w:color w:val="000000" w:themeColor="text1"/>
                <w:spacing w:val="-4"/>
                <w:lang w:val="en-GB"/>
              </w:rPr>
              <w:t>ing</w:t>
            </w:r>
            <w:r w:rsidR="004F11A2">
              <w:rPr>
                <w:color w:val="000000" w:themeColor="text1"/>
                <w:spacing w:val="-4"/>
                <w:lang w:val="en-GB"/>
              </w:rPr>
              <w:t xml:space="preserve"> the expectation of the nearing </w:t>
            </w:r>
            <w:r w:rsidR="00333DF8">
              <w:rPr>
                <w:rFonts w:cs="Arial"/>
                <w:bCs/>
                <w:iCs/>
                <w:color w:val="0D0D0D" w:themeColor="text1" w:themeTint="F2"/>
                <w:lang w:val="en-GB"/>
              </w:rPr>
              <w:t>end of the forex intervention regime</w:t>
            </w:r>
            <w:r w:rsidR="001C3961" w:rsidRPr="009135C7">
              <w:rPr>
                <w:rFonts w:cs="Arial"/>
                <w:bCs/>
                <w:iCs/>
                <w:color w:val="0D0D0D" w:themeColor="text1" w:themeTint="F2"/>
                <w:lang w:val="en-GB"/>
              </w:rPr>
              <w:t xml:space="preserve">. </w:t>
            </w:r>
            <w:r w:rsidR="0004146D">
              <w:rPr>
                <w:rFonts w:cs="Arial"/>
                <w:bCs/>
                <w:iCs/>
                <w:color w:val="0D0D0D" w:themeColor="text1" w:themeTint="F2"/>
                <w:lang w:val="en-GB"/>
              </w:rPr>
              <w:t xml:space="preserve">The central government institutions nearly exclusively participated on the growth of the debt, since the </w:t>
            </w:r>
            <w:r w:rsidR="00E84CAB">
              <w:rPr>
                <w:rFonts w:cs="Arial"/>
                <w:bCs/>
                <w:iCs/>
                <w:color w:val="0D0D0D" w:themeColor="text1" w:themeTint="F2"/>
                <w:lang w:val="en-GB"/>
              </w:rPr>
              <w:t>indebtedness</w:t>
            </w:r>
            <w:r w:rsidR="0004146D">
              <w:rPr>
                <w:rFonts w:cs="Arial"/>
                <w:bCs/>
                <w:iCs/>
                <w:color w:val="0D0D0D" w:themeColor="text1" w:themeTint="F2"/>
                <w:lang w:val="en-GB"/>
              </w:rPr>
              <w:t xml:space="preserve"> of the local government institutions lowered both year-on-year and quarter-on-quarter. The CR was the eight relatively the least</w:t>
            </w:r>
            <w:r w:rsidR="00E84CAB">
              <w:rPr>
                <w:rFonts w:cs="Arial"/>
                <w:bCs/>
                <w:iCs/>
                <w:color w:val="0D0D0D" w:themeColor="text1" w:themeTint="F2"/>
                <w:lang w:val="en-GB"/>
              </w:rPr>
              <w:t xml:space="preserve"> indebted country at the end of </w:t>
            </w:r>
            <w:r w:rsidR="0066759E">
              <w:rPr>
                <w:rFonts w:cs="Arial"/>
                <w:bCs/>
                <w:iCs/>
                <w:color w:val="0D0D0D" w:themeColor="text1" w:themeTint="F2"/>
                <w:lang w:val="en-GB"/>
              </w:rPr>
              <w:t>Q1 (o</w:t>
            </w:r>
            <w:r w:rsidR="009A0990">
              <w:rPr>
                <w:rFonts w:cs="Arial"/>
                <w:bCs/>
                <w:iCs/>
                <w:color w:val="0D0D0D" w:themeColor="text1" w:themeTint="F2"/>
                <w:lang w:val="en-GB"/>
              </w:rPr>
              <w:t>nly Estonia, Luxembourg and Bulgaria had a notably lower debt than the CR) and in spite of mild worsening of the position at the beginning of the year its indebtedness did not reach even half the level of th</w:t>
            </w:r>
            <w:r w:rsidR="00855458">
              <w:rPr>
                <w:rFonts w:cs="Arial"/>
                <w:bCs/>
                <w:iCs/>
                <w:color w:val="0D0D0D" w:themeColor="text1" w:themeTint="F2"/>
                <w:lang w:val="en-GB"/>
              </w:rPr>
              <w:t xml:space="preserve">e </w:t>
            </w:r>
            <w:r w:rsidR="009A0990">
              <w:rPr>
                <w:rFonts w:cs="Arial"/>
                <w:bCs/>
                <w:iCs/>
                <w:color w:val="0D0D0D" w:themeColor="text1" w:themeTint="F2"/>
                <w:lang w:val="en-GB"/>
              </w:rPr>
              <w:t>EU (84.1</w:t>
            </w:r>
            <w:r w:rsidR="00954C8E">
              <w:rPr>
                <w:rFonts w:cs="Arial"/>
                <w:bCs/>
                <w:iCs/>
                <w:color w:val="0D0D0D" w:themeColor="text1" w:themeTint="F2"/>
                <w:lang w:val="en-GB"/>
              </w:rPr>
              <w:t>%</w:t>
            </w:r>
            <w:r w:rsidR="009A0990">
              <w:rPr>
                <w:rFonts w:cs="Arial"/>
                <w:bCs/>
                <w:iCs/>
                <w:color w:val="0D0D0D" w:themeColor="text1" w:themeTint="F2"/>
                <w:lang w:val="en-GB"/>
              </w:rPr>
              <w:t>). The indebtedness of the EU shrank year-on-year only by 0.2 p. p., since the situation did not improve in the most</w:t>
            </w:r>
            <w:r w:rsidR="00855458">
              <w:rPr>
                <w:rFonts w:cs="Arial"/>
                <w:bCs/>
                <w:iCs/>
                <w:color w:val="0D0D0D" w:themeColor="text1" w:themeTint="F2"/>
                <w:lang w:val="en-GB"/>
              </w:rPr>
              <w:t xml:space="preserve"> hit countries</w:t>
            </w:r>
            <w:r w:rsidR="001C3961" w:rsidRPr="009135C7">
              <w:rPr>
                <w:color w:val="0D0D0D" w:themeColor="text1" w:themeTint="F2"/>
                <w:spacing w:val="-4"/>
                <w:lang w:val="en-GB"/>
              </w:rPr>
              <w:t>.</w:t>
            </w:r>
          </w:p>
        </w:tc>
      </w:tr>
    </w:tbl>
    <w:p w:rsidR="001C3961" w:rsidRDefault="001C3961" w:rsidP="001C3961">
      <w:pPr>
        <w:pStyle w:val="Textpoznpodarou"/>
        <w:jc w:val="both"/>
        <w:rPr>
          <w:rFonts w:cs="Arial"/>
          <w:color w:val="000000"/>
          <w:sz w:val="15"/>
          <w:szCs w:val="15"/>
        </w:rPr>
      </w:pPr>
    </w:p>
    <w:tbl>
      <w:tblPr>
        <w:tblW w:w="4963" w:type="pct"/>
        <w:tblInd w:w="108" w:type="dxa"/>
        <w:tblLayout w:type="fixed"/>
        <w:tblLook w:val="00A0"/>
      </w:tblPr>
      <w:tblGrid>
        <w:gridCol w:w="1997"/>
        <w:gridCol w:w="284"/>
        <w:gridCol w:w="1119"/>
        <w:gridCol w:w="6381"/>
      </w:tblGrid>
      <w:tr w:rsidR="001C3961" w:rsidRPr="007E5880"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EC439A" w:rsidP="00853C0F">
            <w:pPr>
              <w:pStyle w:val="Textpoznpodarou"/>
              <w:jc w:val="both"/>
              <w:rPr>
                <w:highlight w:val="yellow"/>
              </w:rPr>
            </w:pPr>
            <w:r>
              <w:rPr>
                <w:color w:val="000000"/>
              </w:rPr>
              <w:t xml:space="preserve">Chart </w:t>
            </w:r>
            <w:r w:rsidR="001C3961">
              <w:rPr>
                <w:color w:val="000000"/>
              </w:rPr>
              <w:t>24</w:t>
            </w:r>
          </w:p>
        </w:tc>
        <w:tc>
          <w:tcPr>
            <w:tcW w:w="3262" w:type="pct"/>
          </w:tcPr>
          <w:p w:rsidR="001C3961" w:rsidRPr="0064229B" w:rsidRDefault="001C3961" w:rsidP="00853C0F">
            <w:pPr>
              <w:pStyle w:val="Textpoznpodarou"/>
              <w:rPr>
                <w:spacing w:val="-2"/>
                <w:lang w:val="en-GB" w:eastAsia="en-US"/>
              </w:rPr>
            </w:pPr>
            <w:r w:rsidRPr="0064229B">
              <w:rPr>
                <w:rFonts w:cs="Arial"/>
                <w:b/>
                <w:bCs/>
                <w:lang w:val="en-GB"/>
              </w:rPr>
              <w:t>Stru</w:t>
            </w:r>
            <w:r w:rsidR="007610C3" w:rsidRPr="0064229B">
              <w:rPr>
                <w:rFonts w:cs="Arial"/>
                <w:b/>
                <w:bCs/>
                <w:lang w:val="en-GB"/>
              </w:rPr>
              <w:t>cture of the CR state debt</w:t>
            </w:r>
            <w:r w:rsidRPr="0064229B">
              <w:rPr>
                <w:rFonts w:cs="Arial"/>
                <w:b/>
                <w:bCs/>
                <w:lang w:val="en-GB"/>
              </w:rPr>
              <w:t xml:space="preserve"> </w:t>
            </w:r>
            <w:r w:rsidRPr="0064229B">
              <w:rPr>
                <w:rFonts w:cs="Arial"/>
                <w:bCs/>
                <w:lang w:val="en-GB"/>
              </w:rPr>
              <w:t>(</w:t>
            </w:r>
            <w:r w:rsidR="007610C3" w:rsidRPr="0064229B">
              <w:rPr>
                <w:rFonts w:cs="Arial"/>
                <w:bCs/>
                <w:lang w:val="en-GB"/>
              </w:rPr>
              <w:t>balance at the end of quarter, in CZK bn</w:t>
            </w:r>
            <w:r w:rsidRPr="0064229B">
              <w:rPr>
                <w:rFonts w:cs="Arial"/>
                <w:bCs/>
                <w:lang w:val="en-GB"/>
              </w:rPr>
              <w:t xml:space="preserve">) </w:t>
            </w:r>
            <w:r w:rsidRPr="0064229B">
              <w:rPr>
                <w:rFonts w:cs="Arial"/>
                <w:b/>
                <w:bCs/>
                <w:lang w:val="en-GB"/>
              </w:rPr>
              <w:t>a</w:t>
            </w:r>
            <w:r w:rsidR="007610C3" w:rsidRPr="0064229B">
              <w:rPr>
                <w:rFonts w:cs="Arial"/>
                <w:b/>
                <w:bCs/>
                <w:lang w:val="en-GB"/>
              </w:rPr>
              <w:t xml:space="preserve">nd </w:t>
            </w:r>
            <w:r w:rsidR="0064229B" w:rsidRPr="0064229B">
              <w:rPr>
                <w:rFonts w:cs="Arial"/>
                <w:b/>
                <w:bCs/>
                <w:lang w:val="en-GB"/>
              </w:rPr>
              <w:t>share of CZK bonds held by non-residents</w:t>
            </w:r>
            <w:r w:rsidRPr="0064229B">
              <w:rPr>
                <w:rFonts w:cs="Arial"/>
                <w:b/>
                <w:bCs/>
                <w:lang w:val="en-GB"/>
              </w:rPr>
              <w:t xml:space="preserve"> </w:t>
            </w:r>
            <w:r w:rsidRPr="0064229B">
              <w:rPr>
                <w:rFonts w:cs="Arial"/>
                <w:bCs/>
                <w:lang w:val="en-GB"/>
              </w:rPr>
              <w:t>(</w:t>
            </w:r>
            <w:r w:rsidR="00954C8E">
              <w:rPr>
                <w:rFonts w:cs="Arial"/>
                <w:bCs/>
                <w:lang w:val="en-GB"/>
              </w:rPr>
              <w:t>in %</w:t>
            </w:r>
            <w:r w:rsidRPr="0064229B">
              <w:rPr>
                <w:rFonts w:cs="Arial"/>
                <w:bCs/>
                <w:lang w:val="en-GB"/>
              </w:rPr>
              <w:t xml:space="preserve">, </w:t>
            </w:r>
            <w:r w:rsidR="00EC439A" w:rsidRPr="0064229B">
              <w:rPr>
                <w:rFonts w:cs="Arial"/>
                <w:bCs/>
                <w:lang w:val="en-GB"/>
              </w:rPr>
              <w:t>right axis</w:t>
            </w:r>
            <w:r w:rsidRPr="0064229B">
              <w:rPr>
                <w:rFonts w:cs="Arial"/>
                <w:bCs/>
                <w:lang w:val="en-GB"/>
              </w:rPr>
              <w:t>)</w:t>
            </w:r>
          </w:p>
        </w:tc>
      </w:tr>
      <w:tr w:rsidR="001C3961" w:rsidRPr="006D67AC"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3" w:type="pct"/>
            <w:gridSpan w:val="2"/>
          </w:tcPr>
          <w:p w:rsidR="001C3961" w:rsidRDefault="00486640" w:rsidP="00853C0F">
            <w:pPr>
              <w:pStyle w:val="Textpoznpodarou"/>
              <w:ind w:left="-124"/>
              <w:jc w:val="both"/>
              <w:rPr>
                <w:sz w:val="16"/>
                <w:szCs w:val="16"/>
              </w:rPr>
            </w:pPr>
            <w:r>
              <w:rPr>
                <w:noProof/>
                <w:sz w:val="16"/>
                <w:szCs w:val="16"/>
              </w:rPr>
              <w:drawing>
                <wp:inline distT="0" distB="0" distL="0" distR="0">
                  <wp:extent cx="4757384" cy="3528000"/>
                  <wp:effectExtent l="0" t="0" r="5116" b="0"/>
                  <wp:docPr id="5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C3961" w:rsidRDefault="00EC439A" w:rsidP="00853C0F">
            <w:pPr>
              <w:autoSpaceDE w:val="0"/>
              <w:autoSpaceDN w:val="0"/>
              <w:adjustRightInd w:val="0"/>
              <w:spacing w:line="240" w:lineRule="auto"/>
              <w:jc w:val="right"/>
              <w:rPr>
                <w:sz w:val="14"/>
                <w:szCs w:val="14"/>
              </w:rPr>
            </w:pPr>
            <w:r>
              <w:rPr>
                <w:sz w:val="14"/>
                <w:szCs w:val="14"/>
              </w:rPr>
              <w:t>Source</w:t>
            </w:r>
            <w:r w:rsidR="001C3961">
              <w:rPr>
                <w:sz w:val="14"/>
                <w:szCs w:val="14"/>
              </w:rPr>
              <w:t>: MF</w:t>
            </w:r>
            <w:r w:rsidR="00F76870">
              <w:rPr>
                <w:sz w:val="14"/>
                <w:szCs w:val="14"/>
              </w:rPr>
              <w:t xml:space="preserve"> CR</w:t>
            </w:r>
          </w:p>
          <w:p w:rsidR="00486640" w:rsidRDefault="00486640">
            <w:pPr>
              <w:autoSpaceDE w:val="0"/>
              <w:autoSpaceDN w:val="0"/>
              <w:adjustRightInd w:val="0"/>
              <w:spacing w:line="240" w:lineRule="auto"/>
              <w:rPr>
                <w:rFonts w:cs="Arial"/>
                <w:sz w:val="14"/>
                <w:szCs w:val="14"/>
              </w:rPr>
            </w:pPr>
          </w:p>
        </w:tc>
      </w:tr>
    </w:tbl>
    <w:p w:rsidR="008A03DE" w:rsidRPr="00CE7158" w:rsidRDefault="008A03DE" w:rsidP="008A03DE">
      <w:pPr>
        <w:pStyle w:val="Textpoznpodarou"/>
        <w:jc w:val="both"/>
        <w:rPr>
          <w:rFonts w:cs="Arial"/>
          <w:color w:val="000000"/>
          <w:sz w:val="10"/>
          <w:szCs w:val="10"/>
        </w:rPr>
      </w:pPr>
    </w:p>
    <w:sectPr w:rsidR="008A03DE" w:rsidRPr="00CE7158" w:rsidSect="006C21CE">
      <w:headerReference w:type="even" r:id="rId38"/>
      <w:headerReference w:type="default" r:id="rId39"/>
      <w:footerReference w:type="even" r:id="rId40"/>
      <w:footerReference w:type="default" r:id="rId41"/>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A9E" w:rsidRDefault="00E81A9E" w:rsidP="00E71A58">
      <w:r>
        <w:separator/>
      </w:r>
    </w:p>
  </w:endnote>
  <w:endnote w:type="continuationSeparator" w:id="0">
    <w:p w:rsidR="00E81A9E" w:rsidRDefault="00E81A9E"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486640"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240"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14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2"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486640" w:rsidRPr="00223E00" w:rsidRDefault="0048664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787267"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787267" w:rsidRPr="00223E00">
      <w:rPr>
        <w:rFonts w:ascii="Arial" w:hAnsi="Arial" w:cs="Arial"/>
        <w:sz w:val="16"/>
        <w:szCs w:val="16"/>
      </w:rPr>
      <w:fldChar w:fldCharType="separate"/>
    </w:r>
    <w:r w:rsidR="0022613C">
      <w:rPr>
        <w:rFonts w:ascii="Arial" w:hAnsi="Arial" w:cs="Arial"/>
        <w:noProof/>
        <w:sz w:val="16"/>
        <w:szCs w:val="16"/>
      </w:rPr>
      <w:t>4</w:t>
    </w:r>
    <w:r w:rsidR="00787267"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48664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787267" w:rsidRPr="005A21E0">
      <w:rPr>
        <w:rFonts w:ascii="Arial" w:hAnsi="Arial" w:cs="Arial"/>
        <w:sz w:val="16"/>
        <w:szCs w:val="16"/>
      </w:rPr>
      <w:fldChar w:fldCharType="begin"/>
    </w:r>
    <w:r w:rsidRPr="005A21E0">
      <w:rPr>
        <w:rFonts w:ascii="Arial" w:hAnsi="Arial" w:cs="Arial"/>
        <w:sz w:val="16"/>
        <w:szCs w:val="16"/>
      </w:rPr>
      <w:instrText>PAGE   \* MERGEFORMAT</w:instrText>
    </w:r>
    <w:r w:rsidR="00787267" w:rsidRPr="005A21E0">
      <w:rPr>
        <w:rFonts w:ascii="Arial" w:hAnsi="Arial" w:cs="Arial"/>
        <w:sz w:val="16"/>
        <w:szCs w:val="16"/>
      </w:rPr>
      <w:fldChar w:fldCharType="separate"/>
    </w:r>
    <w:r w:rsidR="000A015C">
      <w:rPr>
        <w:rFonts w:ascii="Arial" w:hAnsi="Arial" w:cs="Arial"/>
        <w:noProof/>
        <w:sz w:val="16"/>
        <w:szCs w:val="16"/>
      </w:rPr>
      <w:t>14</w:t>
    </w:r>
    <w:r w:rsidR="00787267" w:rsidRPr="005A21E0">
      <w:rPr>
        <w:rFonts w:ascii="Arial" w:hAnsi="Arial" w:cs="Arial"/>
        <w:sz w:val="16"/>
        <w:szCs w:val="16"/>
      </w:rPr>
      <w:fldChar w:fldCharType="end"/>
    </w:r>
    <w:r>
      <w:rPr>
        <w:rFonts w:ascii="Arial" w:hAnsi="Arial" w:cs="Arial"/>
        <w:sz w:val="16"/>
        <w:szCs w:val="16"/>
      </w:rPr>
      <w:tab/>
      <w:t>2017</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6C21CE" w:rsidP="00357449">
    <w:pPr>
      <w:pStyle w:val="Zpat"/>
      <w:tabs>
        <w:tab w:val="clear" w:pos="4536"/>
        <w:tab w:val="clear" w:pos="9072"/>
        <w:tab w:val="left" w:pos="1134"/>
        <w:tab w:val="left" w:pos="1920"/>
        <w:tab w:val="center" w:pos="4820"/>
        <w:tab w:val="right" w:pos="9639"/>
      </w:tabs>
    </w:pPr>
    <w:r w:rsidRPr="006C21CE">
      <w:drawing>
        <wp:anchor distT="0" distB="0" distL="114300" distR="114300" simplePos="0" relativeHeight="251660800"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9"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486640">
      <w:tab/>
    </w:r>
    <w:r w:rsidR="00486640">
      <w:tab/>
    </w:r>
    <w:r w:rsidR="00486640" w:rsidRPr="00DC5B3B">
      <w:t xml:space="preserve">                              </w:t>
    </w:r>
  </w:p>
  <w:p w:rsidR="00486640" w:rsidRPr="00223E00" w:rsidRDefault="0048664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787267"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787267" w:rsidRPr="00223E00">
      <w:rPr>
        <w:rFonts w:ascii="Arial" w:hAnsi="Arial" w:cs="Arial"/>
        <w:sz w:val="16"/>
        <w:szCs w:val="16"/>
      </w:rPr>
      <w:fldChar w:fldCharType="separate"/>
    </w:r>
    <w:r w:rsidR="000A015C">
      <w:rPr>
        <w:rFonts w:ascii="Arial" w:hAnsi="Arial" w:cs="Arial"/>
        <w:noProof/>
        <w:sz w:val="16"/>
        <w:szCs w:val="16"/>
      </w:rPr>
      <w:t>15</w:t>
    </w:r>
    <w:r w:rsidR="00787267"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A9E" w:rsidRDefault="00E81A9E" w:rsidP="00E71A58">
      <w:r>
        <w:separator/>
      </w:r>
    </w:p>
  </w:footnote>
  <w:footnote w:type="continuationSeparator" w:id="0">
    <w:p w:rsidR="00E81A9E" w:rsidRDefault="00E81A9E" w:rsidP="00E71A58">
      <w:r>
        <w:continuationSeparator/>
      </w:r>
    </w:p>
  </w:footnote>
  <w:footnote w:id="1">
    <w:p w:rsidR="00486640" w:rsidRPr="00FA3844" w:rsidRDefault="00486640" w:rsidP="00AE7921">
      <w:pPr>
        <w:pStyle w:val="Textpoznpodarou"/>
        <w:jc w:val="both"/>
        <w:rPr>
          <w:sz w:val="16"/>
          <w:szCs w:val="16"/>
          <w:lang w:val="en-GB"/>
        </w:rPr>
      </w:pPr>
      <w:r w:rsidRPr="0021507A">
        <w:rPr>
          <w:rStyle w:val="Znakapoznpodarou"/>
          <w:sz w:val="16"/>
          <w:szCs w:val="16"/>
        </w:rPr>
        <w:footnoteRef/>
      </w:r>
      <w:r w:rsidRPr="0021507A">
        <w:rPr>
          <w:sz w:val="16"/>
          <w:szCs w:val="16"/>
        </w:rPr>
        <w:t xml:space="preserve"> </w:t>
      </w:r>
      <w:r w:rsidRPr="00FA3844">
        <w:rPr>
          <w:sz w:val="16"/>
          <w:szCs w:val="16"/>
          <w:lang w:val="en-GB"/>
        </w:rPr>
        <w:t xml:space="preserve">Data regarding the GDP, gross value added and their components are expressed in constant prices and adjusted for seasonal and calendar effects.  </w:t>
      </w:r>
    </w:p>
  </w:footnote>
  <w:footnote w:id="2">
    <w:p w:rsidR="00486640" w:rsidRPr="00FA3844" w:rsidRDefault="00486640" w:rsidP="00AE7921">
      <w:pPr>
        <w:pStyle w:val="Textpoznpodarou"/>
        <w:jc w:val="both"/>
        <w:rPr>
          <w:sz w:val="16"/>
          <w:szCs w:val="16"/>
          <w:lang w:val="en-GB"/>
        </w:rPr>
      </w:pPr>
      <w:r w:rsidRPr="00FA3844">
        <w:rPr>
          <w:rStyle w:val="Znakapoznpodarou"/>
          <w:sz w:val="16"/>
          <w:szCs w:val="16"/>
          <w:lang w:val="en-GB"/>
        </w:rPr>
        <w:footnoteRef/>
      </w:r>
      <w:r w:rsidRPr="00FA3844">
        <w:rPr>
          <w:sz w:val="16"/>
          <w:szCs w:val="16"/>
          <w:lang w:val="en-GB"/>
        </w:rPr>
        <w:t xml:space="preserve"> Seasonally adjusted data in the national accounts conception.</w:t>
      </w:r>
    </w:p>
  </w:footnote>
  <w:footnote w:id="3">
    <w:p w:rsidR="00486640" w:rsidRPr="00255D11" w:rsidRDefault="00486640" w:rsidP="00255D11">
      <w:pPr>
        <w:pStyle w:val="Textpoznpodarou"/>
        <w:jc w:val="both"/>
        <w:rPr>
          <w:sz w:val="16"/>
          <w:szCs w:val="16"/>
          <w:lang w:val="en-GB"/>
        </w:rPr>
      </w:pPr>
      <w:r w:rsidRPr="00255D11">
        <w:rPr>
          <w:rStyle w:val="Znakapoznpodarou"/>
          <w:sz w:val="16"/>
          <w:szCs w:val="16"/>
          <w:lang w:val="en-GB"/>
        </w:rPr>
        <w:footnoteRef/>
      </w:r>
      <w:r w:rsidRPr="00255D11">
        <w:rPr>
          <w:sz w:val="16"/>
          <w:szCs w:val="16"/>
          <w:lang w:val="en-GB"/>
        </w:rPr>
        <w:t xml:space="preserve"> The development of the GDP, gross value added and their components is expressed with the help of</w:t>
      </w:r>
      <w:r>
        <w:rPr>
          <w:sz w:val="16"/>
          <w:szCs w:val="16"/>
          <w:lang w:val="en-GB"/>
        </w:rPr>
        <w:t xml:space="preserve"> </w:t>
      </w:r>
      <w:r w:rsidRPr="00255D11">
        <w:rPr>
          <w:sz w:val="16"/>
          <w:szCs w:val="16"/>
          <w:lang w:val="en-GB"/>
        </w:rPr>
        <w:t>the volume indices</w:t>
      </w:r>
      <w:r>
        <w:rPr>
          <w:sz w:val="16"/>
          <w:szCs w:val="16"/>
          <w:lang w:val="en-GB"/>
        </w:rPr>
        <w:t xml:space="preserve"> </w:t>
      </w:r>
      <w:r w:rsidRPr="00255D11">
        <w:rPr>
          <w:sz w:val="16"/>
          <w:szCs w:val="16"/>
          <w:lang w:val="en-GB"/>
        </w:rPr>
        <w:t>(i.e. adjusted for changes in prices) and</w:t>
      </w:r>
      <w:r>
        <w:rPr>
          <w:sz w:val="16"/>
          <w:szCs w:val="16"/>
          <w:lang w:val="en-GB"/>
        </w:rPr>
        <w:t xml:space="preserve"> </w:t>
      </w:r>
      <w:r w:rsidRPr="00255D11">
        <w:rPr>
          <w:sz w:val="16"/>
          <w:szCs w:val="16"/>
          <w:lang w:val="en-GB"/>
        </w:rPr>
        <w:t>ad</w:t>
      </w:r>
      <w:r>
        <w:rPr>
          <w:sz w:val="16"/>
          <w:szCs w:val="16"/>
          <w:lang w:val="en-GB"/>
        </w:rPr>
        <w:t>j</w:t>
      </w:r>
      <w:r w:rsidRPr="00255D11">
        <w:rPr>
          <w:sz w:val="16"/>
          <w:szCs w:val="16"/>
          <w:lang w:val="en-GB"/>
        </w:rPr>
        <w:t>usted for seasonal and calendar effects. Data were published on 1. 9. 2017 and the revised data will be published on 3. 10. 2017.</w:t>
      </w:r>
    </w:p>
  </w:footnote>
  <w:footnote w:id="4">
    <w:p w:rsidR="00486640" w:rsidRPr="002C6648" w:rsidRDefault="00486640" w:rsidP="00200E9C">
      <w:pPr>
        <w:pStyle w:val="Textpoznpodarou"/>
        <w:jc w:val="both"/>
        <w:rPr>
          <w:sz w:val="16"/>
          <w:szCs w:val="16"/>
          <w:lang w:val="en-GB"/>
        </w:rPr>
      </w:pPr>
      <w:r w:rsidRPr="00AF6B7C">
        <w:rPr>
          <w:rStyle w:val="Znakapoznpodarou"/>
          <w:sz w:val="16"/>
          <w:szCs w:val="16"/>
        </w:rPr>
        <w:footnoteRef/>
      </w:r>
      <w:r w:rsidRPr="00AF6B7C">
        <w:rPr>
          <w:sz w:val="16"/>
          <w:szCs w:val="16"/>
        </w:rPr>
        <w:t xml:space="preserve"> </w:t>
      </w:r>
      <w:proofErr w:type="gramStart"/>
      <w:r w:rsidRPr="002C6648">
        <w:rPr>
          <w:sz w:val="16"/>
          <w:szCs w:val="16"/>
          <w:lang w:val="en-GB"/>
        </w:rPr>
        <w:t>Data for Ireland and Luxembourg not available.</w:t>
      </w:r>
      <w:proofErr w:type="gramEnd"/>
      <w:r w:rsidRPr="002C6648">
        <w:rPr>
          <w:sz w:val="16"/>
          <w:szCs w:val="16"/>
          <w:lang w:val="en-GB"/>
        </w:rPr>
        <w:t xml:space="preserve"> </w:t>
      </w:r>
    </w:p>
  </w:footnote>
  <w:footnote w:id="5">
    <w:p w:rsidR="00486640" w:rsidRPr="002C6648" w:rsidRDefault="00486640" w:rsidP="00200E9C">
      <w:pPr>
        <w:pStyle w:val="Textpoznpodarou"/>
        <w:jc w:val="both"/>
        <w:rPr>
          <w:lang w:val="en-GB"/>
        </w:rPr>
      </w:pPr>
      <w:r w:rsidRPr="002C6648">
        <w:rPr>
          <w:rStyle w:val="Znakapoznpodarou"/>
          <w:sz w:val="16"/>
          <w:szCs w:val="16"/>
          <w:lang w:val="en-GB"/>
        </w:rPr>
        <w:footnoteRef/>
      </w:r>
      <w:r w:rsidRPr="002C6648">
        <w:rPr>
          <w:sz w:val="16"/>
          <w:szCs w:val="16"/>
          <w:lang w:val="en-GB"/>
        </w:rPr>
        <w:t xml:space="preserve"> Slovakian data are not adjusted for calendar effects. Slovakia had similarly to the Czech Republic four working days less compared to the previous years, which can quite significantly influence the size of the year-on-year rate of growth. </w:t>
      </w:r>
      <w:r w:rsidRPr="002C6648">
        <w:rPr>
          <w:lang w:val="en-GB"/>
        </w:rPr>
        <w:t xml:space="preserve">  </w:t>
      </w:r>
    </w:p>
  </w:footnote>
  <w:footnote w:id="6">
    <w:p w:rsidR="00486640" w:rsidRPr="005759C3" w:rsidRDefault="00486640" w:rsidP="005759C3">
      <w:pPr>
        <w:pStyle w:val="Textpoznpodarou"/>
        <w:jc w:val="both"/>
        <w:rPr>
          <w:sz w:val="16"/>
          <w:szCs w:val="16"/>
          <w:lang w:val="en-GB"/>
        </w:rPr>
      </w:pPr>
      <w:r w:rsidRPr="005759C3">
        <w:rPr>
          <w:rStyle w:val="Znakapoznpodarou"/>
          <w:sz w:val="16"/>
          <w:szCs w:val="16"/>
          <w:lang w:val="en-GB"/>
        </w:rPr>
        <w:footnoteRef/>
      </w:r>
      <w:r w:rsidRPr="005759C3">
        <w:rPr>
          <w:sz w:val="16"/>
          <w:szCs w:val="16"/>
          <w:lang w:val="en-GB"/>
        </w:rPr>
        <w:t xml:space="preserve"> Additions to the GDP change after exclusion of imports for final.</w:t>
      </w:r>
    </w:p>
  </w:footnote>
  <w:footnote w:id="7">
    <w:p w:rsidR="00486640" w:rsidRPr="005759C3" w:rsidRDefault="00486640" w:rsidP="0038753E">
      <w:pPr>
        <w:pStyle w:val="Textpoznpodarou"/>
        <w:rPr>
          <w:sz w:val="16"/>
          <w:szCs w:val="16"/>
          <w:lang w:val="en-GB"/>
        </w:rPr>
      </w:pPr>
      <w:r w:rsidRPr="005759C3">
        <w:rPr>
          <w:rStyle w:val="Znakapoznpodarou"/>
          <w:sz w:val="16"/>
          <w:szCs w:val="16"/>
          <w:lang w:val="en-GB"/>
        </w:rPr>
        <w:footnoteRef/>
      </w:r>
      <w:r w:rsidRPr="005759C3">
        <w:rPr>
          <w:sz w:val="16"/>
          <w:szCs w:val="16"/>
          <w:lang w:val="en-GB"/>
        </w:rPr>
        <w:t xml:space="preserve"> </w:t>
      </w:r>
      <w:proofErr w:type="gramStart"/>
      <w:r w:rsidRPr="00DD57B7">
        <w:rPr>
          <w:sz w:val="16"/>
          <w:szCs w:val="16"/>
          <w:lang w:val="en-GB"/>
        </w:rPr>
        <w:t>Converted into the real expression using the deflator of final consumption expenditure of households.</w:t>
      </w:r>
      <w:proofErr w:type="gramEnd"/>
      <w:r w:rsidRPr="00DD57B7">
        <w:rPr>
          <w:sz w:val="16"/>
          <w:szCs w:val="16"/>
          <w:lang w:val="en-GB"/>
        </w:rPr>
        <w:t xml:space="preserve"> </w:t>
      </w:r>
    </w:p>
  </w:footnote>
  <w:footnote w:id="8">
    <w:p w:rsidR="00486640" w:rsidRPr="005759C3" w:rsidRDefault="00486640" w:rsidP="005759C3">
      <w:pPr>
        <w:pStyle w:val="Textpoznpodarou"/>
        <w:jc w:val="both"/>
        <w:rPr>
          <w:lang w:val="en-GB"/>
        </w:rPr>
      </w:pPr>
      <w:r w:rsidRPr="005759C3">
        <w:rPr>
          <w:rStyle w:val="Znakapoznpodarou"/>
          <w:sz w:val="16"/>
          <w:szCs w:val="16"/>
          <w:lang w:val="en-GB"/>
        </w:rPr>
        <w:footnoteRef/>
      </w:r>
      <w:r w:rsidRPr="005759C3">
        <w:rPr>
          <w:sz w:val="16"/>
          <w:szCs w:val="16"/>
          <w:lang w:val="en-GB"/>
        </w:rPr>
        <w:t xml:space="preserve"> In the national accounts conception, seasonally adjusted.</w:t>
      </w:r>
    </w:p>
  </w:footnote>
  <w:footnote w:id="9">
    <w:p w:rsidR="00486640" w:rsidRPr="00855C69" w:rsidRDefault="00486640" w:rsidP="00DD0726">
      <w:pPr>
        <w:pStyle w:val="Textpoznpodarou"/>
        <w:rPr>
          <w:sz w:val="16"/>
          <w:szCs w:val="16"/>
          <w:lang w:val="en-GB"/>
        </w:rPr>
      </w:pPr>
      <w:r w:rsidRPr="0021552C">
        <w:rPr>
          <w:rStyle w:val="Znakapoznpodarou"/>
          <w:sz w:val="16"/>
          <w:szCs w:val="16"/>
        </w:rPr>
        <w:footnoteRef/>
      </w:r>
      <w:r w:rsidRPr="0021552C">
        <w:rPr>
          <w:sz w:val="16"/>
          <w:szCs w:val="16"/>
        </w:rPr>
        <w:t xml:space="preserve"> </w:t>
      </w:r>
      <w:r w:rsidRPr="00855C69">
        <w:rPr>
          <w:rFonts w:cs="Arial"/>
          <w:sz w:val="16"/>
          <w:szCs w:val="16"/>
          <w:lang w:val="en-GB"/>
        </w:rPr>
        <w:t xml:space="preserve">Data regarding </w:t>
      </w:r>
      <w:r>
        <w:rPr>
          <w:rFonts w:cs="Arial"/>
          <w:sz w:val="16"/>
          <w:szCs w:val="16"/>
          <w:lang w:val="en-GB"/>
        </w:rPr>
        <w:t xml:space="preserve">the type classification </w:t>
      </w:r>
      <w:r w:rsidRPr="00855C69">
        <w:rPr>
          <w:rFonts w:cs="Arial"/>
          <w:sz w:val="16"/>
          <w:szCs w:val="16"/>
          <w:lang w:val="en-GB"/>
        </w:rPr>
        <w:t xml:space="preserve">of gross fixed capital formation are not seasonally adjusted. </w:t>
      </w:r>
    </w:p>
  </w:footnote>
  <w:footnote w:id="10">
    <w:p w:rsidR="00486640" w:rsidRPr="00855C69" w:rsidRDefault="00486640" w:rsidP="00DD0726">
      <w:pPr>
        <w:pStyle w:val="Textpoznpodarou"/>
        <w:rPr>
          <w:sz w:val="16"/>
          <w:szCs w:val="16"/>
          <w:lang w:val="en-GB"/>
        </w:rPr>
      </w:pPr>
      <w:r w:rsidRPr="00855C69">
        <w:rPr>
          <w:rStyle w:val="Znakapoznpodarou"/>
          <w:sz w:val="16"/>
          <w:szCs w:val="16"/>
          <w:lang w:val="en-GB"/>
        </w:rPr>
        <w:footnoteRef/>
      </w:r>
      <w:r w:rsidRPr="00855C69">
        <w:rPr>
          <w:sz w:val="16"/>
          <w:szCs w:val="16"/>
          <w:lang w:val="en-GB"/>
        </w:rPr>
        <w:t xml:space="preserve"> </w:t>
      </w:r>
      <w:proofErr w:type="gramStart"/>
      <w:r w:rsidRPr="00855C69">
        <w:rPr>
          <w:sz w:val="16"/>
          <w:szCs w:val="16"/>
          <w:lang w:val="en-GB"/>
        </w:rPr>
        <w:t>Based on the methodology of the quarterly national accounts (export and import in FOB/FOB prices).</w:t>
      </w:r>
      <w:proofErr w:type="gramEnd"/>
    </w:p>
  </w:footnote>
  <w:footnote w:id="11">
    <w:p w:rsidR="00486640" w:rsidRPr="00494933" w:rsidRDefault="00486640" w:rsidP="00DD0726">
      <w:pPr>
        <w:pStyle w:val="Textpoznpodarou"/>
        <w:rPr>
          <w:sz w:val="16"/>
          <w:szCs w:val="16"/>
        </w:rPr>
      </w:pPr>
      <w:r w:rsidRPr="00855C69">
        <w:rPr>
          <w:rStyle w:val="Znakapoznpodarou"/>
          <w:sz w:val="16"/>
          <w:szCs w:val="16"/>
          <w:lang w:val="en-GB"/>
        </w:rPr>
        <w:footnoteRef/>
      </w:r>
      <w:r w:rsidRPr="00855C69">
        <w:rPr>
          <w:sz w:val="16"/>
          <w:szCs w:val="16"/>
          <w:lang w:val="en-GB"/>
        </w:rPr>
        <w:t xml:space="preserve"> Based on the deflator.</w:t>
      </w:r>
      <w:r>
        <w:rPr>
          <w:sz w:val="16"/>
          <w:szCs w:val="16"/>
        </w:rPr>
        <w:t xml:space="preserve"> </w:t>
      </w:r>
    </w:p>
  </w:footnote>
  <w:footnote w:id="12">
    <w:p w:rsidR="00486640" w:rsidRPr="00670182" w:rsidRDefault="00486640" w:rsidP="00654093">
      <w:pPr>
        <w:pStyle w:val="Textpoznpodarou"/>
        <w:jc w:val="both"/>
        <w:rPr>
          <w:color w:val="0D0D0D" w:themeColor="text1" w:themeTint="F2"/>
          <w:spacing w:val="-2"/>
          <w:sz w:val="16"/>
          <w:szCs w:val="16"/>
        </w:rPr>
      </w:pPr>
      <w:r w:rsidRPr="00670182">
        <w:rPr>
          <w:rStyle w:val="Znakapoznpodarou"/>
          <w:color w:val="0D0D0D" w:themeColor="text1" w:themeTint="F2"/>
          <w:spacing w:val="-2"/>
          <w:sz w:val="16"/>
          <w:szCs w:val="16"/>
        </w:rPr>
        <w:footnoteRef/>
      </w:r>
      <w:r w:rsidRPr="00670182">
        <w:rPr>
          <w:color w:val="0D0D0D" w:themeColor="text1" w:themeTint="F2"/>
          <w:spacing w:val="-2"/>
          <w:sz w:val="16"/>
          <w:szCs w:val="16"/>
        </w:rPr>
        <w:t xml:space="preserve"> </w:t>
      </w:r>
      <w:r w:rsidRPr="009C560D">
        <w:rPr>
          <w:color w:val="0D0D0D" w:themeColor="text1" w:themeTint="F2"/>
          <w:spacing w:val="-2"/>
          <w:sz w:val="16"/>
          <w:szCs w:val="16"/>
          <w:lang w:val="en-GB"/>
        </w:rPr>
        <w:t>Data regarding the GVA are expressed in constant prices and adjusted for seasonal and calendar effects.</w:t>
      </w:r>
      <w:r>
        <w:rPr>
          <w:color w:val="0D0D0D" w:themeColor="text1" w:themeTint="F2"/>
          <w:spacing w:val="-2"/>
          <w:sz w:val="16"/>
          <w:szCs w:val="16"/>
        </w:rPr>
        <w:t xml:space="preserve"> </w:t>
      </w:r>
    </w:p>
  </w:footnote>
  <w:footnote w:id="13">
    <w:p w:rsidR="00486640" w:rsidRPr="00E72FBF" w:rsidRDefault="00486640" w:rsidP="00654093">
      <w:pPr>
        <w:pStyle w:val="Textpoznpodarou"/>
        <w:jc w:val="both"/>
        <w:rPr>
          <w:color w:val="0D0D0D" w:themeColor="text1" w:themeTint="F2"/>
          <w:spacing w:val="-2"/>
          <w:sz w:val="16"/>
          <w:szCs w:val="16"/>
          <w:lang w:val="en-GB"/>
        </w:rPr>
      </w:pPr>
      <w:r w:rsidRPr="00670182">
        <w:rPr>
          <w:rStyle w:val="Znakapoznpodarou"/>
          <w:color w:val="0D0D0D" w:themeColor="text1" w:themeTint="F2"/>
          <w:spacing w:val="-2"/>
          <w:sz w:val="16"/>
          <w:szCs w:val="16"/>
        </w:rPr>
        <w:footnoteRef/>
      </w:r>
      <w:r w:rsidRPr="00670182">
        <w:rPr>
          <w:color w:val="0D0D0D" w:themeColor="text1" w:themeTint="F2"/>
          <w:spacing w:val="-2"/>
          <w:sz w:val="16"/>
          <w:szCs w:val="16"/>
        </w:rPr>
        <w:t xml:space="preserve"> </w:t>
      </w:r>
      <w:r w:rsidRPr="00E72FBF">
        <w:rPr>
          <w:color w:val="0D0D0D" w:themeColor="text1" w:themeTint="F2"/>
          <w:spacing w:val="-2"/>
          <w:sz w:val="16"/>
          <w:szCs w:val="16"/>
          <w:lang w:val="en-GB"/>
        </w:rPr>
        <w:t>Included branc</w:t>
      </w:r>
      <w:r>
        <w:rPr>
          <w:color w:val="0D0D0D" w:themeColor="text1" w:themeTint="F2"/>
          <w:spacing w:val="-2"/>
          <w:sz w:val="16"/>
          <w:szCs w:val="16"/>
          <w:lang w:val="en-GB"/>
        </w:rPr>
        <w:t>h</w:t>
      </w:r>
      <w:r w:rsidRPr="00E72FBF">
        <w:rPr>
          <w:color w:val="0D0D0D" w:themeColor="text1" w:themeTint="F2"/>
          <w:spacing w:val="-2"/>
          <w:sz w:val="16"/>
          <w:szCs w:val="16"/>
          <w:lang w:val="en-GB"/>
        </w:rPr>
        <w:t>es: Mining and quarrying, Manufacturing, Energetics. All year-on-year rates of growth of output (at the level of</w:t>
      </w:r>
      <w:r>
        <w:rPr>
          <w:color w:val="0D0D0D" w:themeColor="text1" w:themeTint="F2"/>
          <w:spacing w:val="-2"/>
          <w:sz w:val="16"/>
          <w:szCs w:val="16"/>
          <w:lang w:val="en-GB"/>
        </w:rPr>
        <w:t xml:space="preserve"> activity sections as well as divisions</w:t>
      </w:r>
      <w:r w:rsidRPr="00E72FBF">
        <w:rPr>
          <w:color w:val="0D0D0D" w:themeColor="text1" w:themeTint="F2"/>
          <w:spacing w:val="-2"/>
          <w:sz w:val="16"/>
          <w:szCs w:val="16"/>
          <w:lang w:val="en-GB"/>
        </w:rPr>
        <w:t xml:space="preserve">) are adjusted for calendar effects. </w:t>
      </w:r>
    </w:p>
  </w:footnote>
  <w:footnote w:id="14">
    <w:p w:rsidR="00486640" w:rsidRPr="00E72FBF" w:rsidRDefault="00486640" w:rsidP="00654093">
      <w:pPr>
        <w:pStyle w:val="Textpoznpodarou"/>
        <w:jc w:val="both"/>
        <w:rPr>
          <w:sz w:val="16"/>
          <w:szCs w:val="16"/>
          <w:lang w:val="en-GB"/>
        </w:rPr>
      </w:pPr>
      <w:r w:rsidRPr="00E72FBF">
        <w:rPr>
          <w:rStyle w:val="Znakapoznpodarou"/>
          <w:spacing w:val="-2"/>
          <w:sz w:val="16"/>
          <w:szCs w:val="16"/>
          <w:lang w:val="en-GB"/>
        </w:rPr>
        <w:footnoteRef/>
      </w:r>
      <w:r w:rsidRPr="00E72FBF">
        <w:rPr>
          <w:spacing w:val="-2"/>
          <w:sz w:val="16"/>
          <w:szCs w:val="16"/>
          <w:lang w:val="en-GB"/>
        </w:rPr>
        <w:t xml:space="preserve"> </w:t>
      </w:r>
      <w:r>
        <w:rPr>
          <w:spacing w:val="-2"/>
          <w:sz w:val="16"/>
          <w:szCs w:val="16"/>
          <w:lang w:val="en-GB"/>
        </w:rPr>
        <w:t>The calendar influences were mirrored significantly in the output of industry in both this year´s quarters. There were three working days more in year-on-year in Q1, on the contrary four days less in Q</w:t>
      </w:r>
      <w:r w:rsidRPr="00E72FBF">
        <w:rPr>
          <w:spacing w:val="-2"/>
          <w:sz w:val="16"/>
          <w:szCs w:val="16"/>
          <w:lang w:val="en-GB"/>
        </w:rPr>
        <w:t>2.</w:t>
      </w:r>
      <w:r>
        <w:rPr>
          <w:spacing w:val="-2"/>
          <w:sz w:val="16"/>
          <w:szCs w:val="16"/>
          <w:lang w:val="en-GB"/>
        </w:rPr>
        <w:t xml:space="preserve"> The growth of industry was 7.5% at the beginning of the year 2017 when not adjusted for these effects, only 3.2% in the subsequent quarter</w:t>
      </w:r>
      <w:r w:rsidRPr="00E72FBF">
        <w:rPr>
          <w:spacing w:val="-2"/>
          <w:sz w:val="16"/>
          <w:szCs w:val="16"/>
          <w:lang w:val="en-GB"/>
        </w:rPr>
        <w:t xml:space="preserve">. </w:t>
      </w:r>
      <w:r>
        <w:rPr>
          <w:spacing w:val="-2"/>
          <w:sz w:val="16"/>
          <w:szCs w:val="16"/>
          <w:lang w:val="en-GB"/>
        </w:rPr>
        <w:t>The difference between adjusted and non-adjusted output was the highest in the history of monitoring (since year 20</w:t>
      </w:r>
      <w:r w:rsidR="00004BF2">
        <w:rPr>
          <w:spacing w:val="-2"/>
          <w:sz w:val="16"/>
          <w:szCs w:val="16"/>
          <w:lang w:val="en-GB"/>
        </w:rPr>
        <w:t>0</w:t>
      </w:r>
      <w:r>
        <w:rPr>
          <w:spacing w:val="-2"/>
          <w:sz w:val="16"/>
          <w:szCs w:val="16"/>
          <w:lang w:val="en-GB"/>
        </w:rPr>
        <w:t xml:space="preserve">1) in Q2 </w:t>
      </w:r>
      <w:r w:rsidR="00004BF2">
        <w:rPr>
          <w:spacing w:val="-2"/>
          <w:sz w:val="16"/>
          <w:szCs w:val="16"/>
          <w:lang w:val="en-GB"/>
        </w:rPr>
        <w:t xml:space="preserve">2017 </w:t>
      </w:r>
      <w:r>
        <w:rPr>
          <w:spacing w:val="-2"/>
          <w:sz w:val="16"/>
          <w:szCs w:val="16"/>
          <w:lang w:val="en-GB"/>
        </w:rPr>
        <w:t xml:space="preserve">(3.6 p. p.). </w:t>
      </w:r>
    </w:p>
  </w:footnote>
  <w:footnote w:id="15">
    <w:p w:rsidR="00486640" w:rsidRPr="00E72FBF" w:rsidRDefault="00486640" w:rsidP="00654093">
      <w:pPr>
        <w:pStyle w:val="Textpoznpodarou"/>
        <w:jc w:val="both"/>
        <w:rPr>
          <w:color w:val="0D0D0D" w:themeColor="text1" w:themeTint="F2"/>
          <w:sz w:val="16"/>
          <w:szCs w:val="16"/>
          <w:lang w:val="en-GB"/>
        </w:rPr>
      </w:pPr>
      <w:r w:rsidRPr="00E72FBF">
        <w:rPr>
          <w:rStyle w:val="Znakapoznpodarou"/>
          <w:color w:val="0D0D0D" w:themeColor="text1" w:themeTint="F2"/>
          <w:sz w:val="16"/>
          <w:szCs w:val="16"/>
          <w:lang w:val="en-GB"/>
        </w:rPr>
        <w:footnoteRef/>
      </w:r>
      <w:r w:rsidRPr="00E72FBF">
        <w:rPr>
          <w:color w:val="0D0D0D" w:themeColor="text1" w:themeTint="F2"/>
          <w:sz w:val="16"/>
          <w:szCs w:val="16"/>
          <w:lang w:val="en-GB"/>
        </w:rPr>
        <w:t xml:space="preserve"> </w:t>
      </w:r>
      <w:r>
        <w:rPr>
          <w:color w:val="0D0D0D" w:themeColor="text1" w:themeTint="F2"/>
          <w:sz w:val="16"/>
          <w:szCs w:val="16"/>
          <w:lang w:val="en-GB"/>
        </w:rPr>
        <w:t xml:space="preserve">Based on the data of the </w:t>
      </w:r>
      <w:proofErr w:type="gramStart"/>
      <w:r>
        <w:rPr>
          <w:color w:val="0D0D0D" w:themeColor="text1" w:themeTint="F2"/>
          <w:sz w:val="16"/>
          <w:szCs w:val="16"/>
          <w:lang w:val="en-GB"/>
        </w:rPr>
        <w:t>Automotive</w:t>
      </w:r>
      <w:proofErr w:type="gramEnd"/>
      <w:r>
        <w:rPr>
          <w:color w:val="0D0D0D" w:themeColor="text1" w:themeTint="F2"/>
          <w:sz w:val="16"/>
          <w:szCs w:val="16"/>
          <w:lang w:val="en-GB"/>
        </w:rPr>
        <w:t xml:space="preserve"> industry association, there were 823 thousand private vehicles manufactured in the CR in the first seven months of year 2017, by 6.2% more year-on-year</w:t>
      </w:r>
      <w:r w:rsidRPr="00E72FBF">
        <w:rPr>
          <w:color w:val="0D0D0D" w:themeColor="text1" w:themeTint="F2"/>
          <w:sz w:val="16"/>
          <w:szCs w:val="16"/>
          <w:lang w:val="en-GB"/>
        </w:rPr>
        <w:t xml:space="preserve">. </w:t>
      </w:r>
      <w:r>
        <w:rPr>
          <w:color w:val="0D0D0D" w:themeColor="text1" w:themeTint="F2"/>
          <w:sz w:val="16"/>
          <w:szCs w:val="16"/>
          <w:lang w:val="en-GB"/>
        </w:rPr>
        <w:t>Majority of manufacturers of other types of motor vehicles also registered a growth.</w:t>
      </w:r>
    </w:p>
  </w:footnote>
  <w:footnote w:id="16">
    <w:p w:rsidR="00486640" w:rsidRPr="00EC671E" w:rsidRDefault="00486640" w:rsidP="00654093">
      <w:pPr>
        <w:pStyle w:val="Textpoznpodarou"/>
        <w:jc w:val="both"/>
        <w:rPr>
          <w:rFonts w:cs="Arial"/>
          <w:color w:val="0D0D0D" w:themeColor="text1" w:themeTint="F2"/>
          <w:sz w:val="16"/>
          <w:szCs w:val="16"/>
        </w:rPr>
      </w:pPr>
      <w:r w:rsidRPr="00EC671E">
        <w:rPr>
          <w:rStyle w:val="Znakapoznpodarou"/>
          <w:rFonts w:cs="Arial"/>
          <w:color w:val="0D0D0D" w:themeColor="text1" w:themeTint="F2"/>
          <w:sz w:val="16"/>
          <w:szCs w:val="16"/>
        </w:rPr>
        <w:footnoteRef/>
      </w:r>
      <w:r w:rsidRPr="00EC671E">
        <w:rPr>
          <w:rFonts w:cs="Arial"/>
          <w:color w:val="0D0D0D" w:themeColor="text1" w:themeTint="F2"/>
          <w:sz w:val="16"/>
          <w:szCs w:val="16"/>
        </w:rPr>
        <w:t xml:space="preserve"> </w:t>
      </w:r>
      <w:r w:rsidRPr="00D6562C">
        <w:rPr>
          <w:rFonts w:cs="Arial"/>
          <w:color w:val="0D0D0D" w:themeColor="text1" w:themeTint="F2"/>
          <w:sz w:val="16"/>
          <w:szCs w:val="16"/>
          <w:lang w:val="en-GB"/>
        </w:rPr>
        <w:t>Industrial orders are monitored only in the selected CZ-NACE divisions (13, 14, 17, 20 to 21, 24 to 30), which manufacture mostly to contracts, with longer term production cycle and larger stocks of orders</w:t>
      </w:r>
      <w:r>
        <w:rPr>
          <w:rFonts w:cs="Arial"/>
          <w:color w:val="0D0D0D" w:themeColor="text1" w:themeTint="F2"/>
          <w:sz w:val="16"/>
          <w:szCs w:val="16"/>
        </w:rPr>
        <w:t xml:space="preserve">. </w:t>
      </w:r>
    </w:p>
  </w:footnote>
  <w:footnote w:id="17">
    <w:p w:rsidR="00486640" w:rsidRPr="001F3988" w:rsidRDefault="00486640" w:rsidP="00A762F6">
      <w:pPr>
        <w:pStyle w:val="Textpoznpodarou"/>
        <w:jc w:val="both"/>
        <w:rPr>
          <w:spacing w:val="-4"/>
          <w:sz w:val="16"/>
          <w:szCs w:val="16"/>
          <w:lang w:val="en-GB"/>
        </w:rPr>
      </w:pPr>
      <w:r w:rsidRPr="00D85B50">
        <w:rPr>
          <w:rStyle w:val="Znakapoznpodarou"/>
          <w:color w:val="0D0D0D" w:themeColor="text1" w:themeTint="F2"/>
          <w:spacing w:val="-4"/>
          <w:sz w:val="16"/>
          <w:szCs w:val="16"/>
        </w:rPr>
        <w:footnoteRef/>
      </w:r>
      <w:r w:rsidRPr="00D85B50">
        <w:rPr>
          <w:color w:val="0D0D0D" w:themeColor="text1" w:themeTint="F2"/>
          <w:spacing w:val="-4"/>
          <w:sz w:val="16"/>
          <w:szCs w:val="16"/>
        </w:rPr>
        <w:t xml:space="preserve"> </w:t>
      </w:r>
      <w:r w:rsidRPr="001F3988">
        <w:rPr>
          <w:color w:val="0D0D0D" w:themeColor="text1" w:themeTint="F2"/>
          <w:spacing w:val="-4"/>
          <w:sz w:val="16"/>
          <w:szCs w:val="16"/>
          <w:lang w:val="en-GB"/>
        </w:rPr>
        <w:t>The year-on-year data related to the construction output are corrected for the calendar effects. Without this adjustment, the production would grow only by 5.4</w:t>
      </w:r>
      <w:r>
        <w:rPr>
          <w:color w:val="0D0D0D" w:themeColor="text1" w:themeTint="F2"/>
          <w:spacing w:val="-4"/>
          <w:sz w:val="16"/>
          <w:szCs w:val="16"/>
          <w:lang w:val="en-GB"/>
        </w:rPr>
        <w:t>%</w:t>
      </w:r>
      <w:r w:rsidRPr="001F3988">
        <w:rPr>
          <w:color w:val="0D0D0D" w:themeColor="text1" w:themeTint="F2"/>
          <w:spacing w:val="-4"/>
          <w:sz w:val="16"/>
          <w:szCs w:val="16"/>
          <w:lang w:val="en-GB"/>
        </w:rPr>
        <w:t xml:space="preserve"> in Q2 2017.</w:t>
      </w:r>
    </w:p>
  </w:footnote>
  <w:footnote w:id="18">
    <w:p w:rsidR="00486640" w:rsidRPr="00A762F6" w:rsidRDefault="00486640" w:rsidP="00A762F6">
      <w:pPr>
        <w:pStyle w:val="Textpoznpodarou"/>
        <w:jc w:val="both"/>
        <w:rPr>
          <w:sz w:val="16"/>
          <w:szCs w:val="16"/>
          <w:lang w:val="en-GB"/>
        </w:rPr>
      </w:pPr>
      <w:r w:rsidRPr="00A762F6">
        <w:rPr>
          <w:rStyle w:val="Znakapoznpodarou"/>
          <w:sz w:val="16"/>
          <w:szCs w:val="16"/>
          <w:lang w:val="en-GB"/>
        </w:rPr>
        <w:footnoteRef/>
      </w:r>
      <w:r w:rsidRPr="00A762F6">
        <w:rPr>
          <w:sz w:val="16"/>
          <w:szCs w:val="16"/>
          <w:lang w:val="en-GB"/>
        </w:rPr>
        <w:t xml:space="preserve"> Figure includes only construction businesses with 50 and more employees.</w:t>
      </w:r>
    </w:p>
  </w:footnote>
  <w:footnote w:id="19">
    <w:p w:rsidR="00486640" w:rsidRPr="003E73E7" w:rsidRDefault="00486640" w:rsidP="003E73E7">
      <w:pPr>
        <w:pStyle w:val="Textpoznpodarou"/>
        <w:jc w:val="both"/>
        <w:rPr>
          <w:color w:val="0D0D0D" w:themeColor="text1" w:themeTint="F2"/>
          <w:sz w:val="16"/>
          <w:szCs w:val="16"/>
          <w:lang w:val="en-GB"/>
        </w:rPr>
      </w:pPr>
      <w:r w:rsidRPr="004A26AF">
        <w:rPr>
          <w:rStyle w:val="Znakapoznpodarou"/>
          <w:color w:val="0D0D0D" w:themeColor="text1" w:themeTint="F2"/>
          <w:sz w:val="16"/>
          <w:szCs w:val="16"/>
        </w:rPr>
        <w:footnoteRef/>
      </w:r>
      <w:r w:rsidRPr="003E73E7">
        <w:rPr>
          <w:color w:val="0D0D0D" w:themeColor="text1" w:themeTint="F2"/>
          <w:sz w:val="16"/>
          <w:szCs w:val="16"/>
          <w:lang w:val="en-GB"/>
        </w:rPr>
        <w:t xml:space="preserve">Excluding trade, financial and insurance activities, science, research and public services. All data for services are adjusted for calendar effects in constant prices. </w:t>
      </w:r>
    </w:p>
  </w:footnote>
  <w:footnote w:id="20">
    <w:p w:rsidR="00486640" w:rsidRPr="00A94BF6" w:rsidRDefault="00486640" w:rsidP="00654093">
      <w:pPr>
        <w:pStyle w:val="Textpoznpodarou"/>
        <w:rPr>
          <w:sz w:val="16"/>
          <w:szCs w:val="16"/>
          <w:lang w:val="en-GB"/>
        </w:rPr>
      </w:pPr>
      <w:r w:rsidRPr="00544A98">
        <w:rPr>
          <w:rStyle w:val="Znakapoznpodarou"/>
          <w:sz w:val="16"/>
          <w:szCs w:val="16"/>
        </w:rPr>
        <w:footnoteRef/>
      </w:r>
      <w:r w:rsidRPr="00544A98">
        <w:rPr>
          <w:sz w:val="16"/>
          <w:szCs w:val="16"/>
        </w:rPr>
        <w:t xml:space="preserve"> </w:t>
      </w:r>
      <w:r w:rsidRPr="00A94BF6">
        <w:rPr>
          <w:sz w:val="16"/>
          <w:szCs w:val="16"/>
          <w:lang w:val="en-GB"/>
        </w:rPr>
        <w:t xml:space="preserve">Data do not include the motorist segment. Retail data are adjusted for calendar effects in constant prices. </w:t>
      </w:r>
    </w:p>
  </w:footnote>
  <w:footnote w:id="21">
    <w:p w:rsidR="00486640" w:rsidRPr="003279A7" w:rsidRDefault="00486640" w:rsidP="007F3FFE">
      <w:pPr>
        <w:pStyle w:val="Textpoznpodarou"/>
        <w:jc w:val="both"/>
        <w:rPr>
          <w:sz w:val="16"/>
          <w:szCs w:val="16"/>
        </w:rPr>
      </w:pPr>
      <w:r w:rsidRPr="003279A7">
        <w:rPr>
          <w:rStyle w:val="Znakapoznpodarou"/>
          <w:sz w:val="16"/>
          <w:szCs w:val="16"/>
        </w:rPr>
        <w:footnoteRef/>
      </w:r>
      <w:r w:rsidRPr="003279A7">
        <w:rPr>
          <w:sz w:val="16"/>
          <w:szCs w:val="16"/>
        </w:rPr>
        <w:t xml:space="preserve"> </w:t>
      </w:r>
      <w:proofErr w:type="gramStart"/>
      <w:r w:rsidRPr="007F3FFE">
        <w:rPr>
          <w:sz w:val="16"/>
          <w:szCs w:val="16"/>
          <w:lang w:val="en-GB"/>
        </w:rPr>
        <w:t>Statistical data of the foreign trade in the national conception in the nominal terms including only the trade with goods.</w:t>
      </w:r>
      <w:proofErr w:type="gramEnd"/>
      <w:r w:rsidRPr="007F3FFE">
        <w:rPr>
          <w:sz w:val="16"/>
          <w:szCs w:val="16"/>
          <w:lang w:val="en-GB"/>
        </w:rPr>
        <w:t xml:space="preserve"> The value of exports is captured in the FOB prices, i.e.</w:t>
      </w:r>
      <w:r w:rsidRPr="00931324">
        <w:rPr>
          <w:sz w:val="16"/>
          <w:szCs w:val="16"/>
          <w:lang w:val="en-GB"/>
        </w:rPr>
        <w:t xml:space="preserve"> including the costs connected with the transport to the CR boundaries. Import </w:t>
      </w:r>
      <w:r>
        <w:rPr>
          <w:sz w:val="16"/>
          <w:szCs w:val="16"/>
          <w:lang w:val="en-GB"/>
        </w:rPr>
        <w:t xml:space="preserve">depicted lower in this chapter </w:t>
      </w:r>
      <w:r w:rsidRPr="00931324">
        <w:rPr>
          <w:sz w:val="16"/>
          <w:szCs w:val="16"/>
          <w:lang w:val="en-GB"/>
        </w:rPr>
        <w:t>is in CIF prices, i.e. including costs associated with the transportation abroad, up all the way to the CR boundaries.</w:t>
      </w:r>
      <w:r>
        <w:rPr>
          <w:sz w:val="16"/>
          <w:szCs w:val="16"/>
          <w:lang w:val="en-GB"/>
        </w:rPr>
        <w:t xml:space="preserve"> </w:t>
      </w:r>
      <w:proofErr w:type="gramStart"/>
      <w:r>
        <w:rPr>
          <w:sz w:val="16"/>
          <w:szCs w:val="16"/>
          <w:lang w:val="en-GB"/>
        </w:rPr>
        <w:t xml:space="preserve">Data </w:t>
      </w:r>
      <w:r w:rsidRPr="007F3FFE">
        <w:rPr>
          <w:sz w:val="16"/>
          <w:szCs w:val="16"/>
          <w:lang w:val="en-GB"/>
        </w:rPr>
        <w:t>valid as of 6.</w:t>
      </w:r>
      <w:proofErr w:type="gramEnd"/>
      <w:r w:rsidRPr="007F3FFE">
        <w:rPr>
          <w:sz w:val="16"/>
          <w:szCs w:val="16"/>
          <w:lang w:val="en-GB"/>
        </w:rPr>
        <w:t xml:space="preserve"> 9. 2017.</w:t>
      </w:r>
      <w:r w:rsidRPr="003279A7">
        <w:rPr>
          <w:sz w:val="16"/>
          <w:szCs w:val="16"/>
        </w:rPr>
        <w:t xml:space="preserve">  </w:t>
      </w:r>
    </w:p>
  </w:footnote>
  <w:footnote w:id="22">
    <w:p w:rsidR="00486640" w:rsidRPr="004E4A7B" w:rsidRDefault="00486640" w:rsidP="009A696E">
      <w:pPr>
        <w:pStyle w:val="Textpoznpodarou"/>
        <w:jc w:val="both"/>
        <w:rPr>
          <w:sz w:val="16"/>
          <w:szCs w:val="16"/>
          <w:lang w:val="en-GB"/>
        </w:rPr>
      </w:pPr>
      <w:r>
        <w:rPr>
          <w:rStyle w:val="Znakapoznpodarou"/>
          <w:sz w:val="16"/>
          <w:szCs w:val="16"/>
        </w:rPr>
        <w:footnoteRef/>
      </w:r>
      <w:r>
        <w:rPr>
          <w:sz w:val="16"/>
          <w:szCs w:val="16"/>
        </w:rPr>
        <w:t xml:space="preserve"> </w:t>
      </w:r>
      <w:r w:rsidRPr="004E4A7B">
        <w:rPr>
          <w:sz w:val="16"/>
          <w:szCs w:val="16"/>
          <w:lang w:val="en-GB"/>
        </w:rPr>
        <w:t xml:space="preserve">Unless stated otherwise, data regarding employment are in the conception of the national accounts adjusted for seasonal effects in this chapter. </w:t>
      </w:r>
    </w:p>
  </w:footnote>
  <w:footnote w:id="23">
    <w:p w:rsidR="00486640" w:rsidRPr="00D944E7" w:rsidRDefault="00486640" w:rsidP="0036710C">
      <w:pPr>
        <w:pStyle w:val="Textpoznpodarou"/>
        <w:jc w:val="both"/>
        <w:rPr>
          <w:spacing w:val="-4"/>
          <w:sz w:val="16"/>
          <w:szCs w:val="16"/>
          <w:lang w:val="en-GB"/>
        </w:rPr>
      </w:pPr>
      <w:r w:rsidRPr="00352482">
        <w:rPr>
          <w:rStyle w:val="Znakapoznpodarou"/>
          <w:spacing w:val="-4"/>
          <w:sz w:val="16"/>
          <w:szCs w:val="16"/>
        </w:rPr>
        <w:footnoteRef/>
      </w:r>
      <w:r w:rsidRPr="00352482">
        <w:rPr>
          <w:spacing w:val="-4"/>
          <w:sz w:val="16"/>
          <w:szCs w:val="16"/>
        </w:rPr>
        <w:t xml:space="preserve"> </w:t>
      </w:r>
      <w:r w:rsidRPr="00D944E7">
        <w:rPr>
          <w:spacing w:val="-4"/>
          <w:sz w:val="16"/>
          <w:szCs w:val="16"/>
          <w:lang w:val="en-GB"/>
        </w:rPr>
        <w:t>Includes branches: Public administration</w:t>
      </w:r>
      <w:r>
        <w:rPr>
          <w:spacing w:val="-4"/>
          <w:sz w:val="16"/>
          <w:szCs w:val="16"/>
          <w:lang w:val="en-GB"/>
        </w:rPr>
        <w:t xml:space="preserve"> and defence</w:t>
      </w:r>
      <w:r w:rsidRPr="00D944E7">
        <w:rPr>
          <w:spacing w:val="-4"/>
          <w:sz w:val="16"/>
          <w:szCs w:val="16"/>
          <w:lang w:val="en-GB"/>
        </w:rPr>
        <w:t>, education, health and social work</w:t>
      </w:r>
      <w:r>
        <w:rPr>
          <w:spacing w:val="-4"/>
          <w:sz w:val="16"/>
          <w:szCs w:val="16"/>
          <w:lang w:val="en-GB"/>
        </w:rPr>
        <w:t>.</w:t>
      </w:r>
    </w:p>
  </w:footnote>
  <w:footnote w:id="24">
    <w:p w:rsidR="00486640" w:rsidRPr="004D2BFB" w:rsidRDefault="00486640" w:rsidP="0036710C">
      <w:pPr>
        <w:pStyle w:val="Textpoznpodarou"/>
        <w:jc w:val="both"/>
        <w:rPr>
          <w:sz w:val="16"/>
          <w:szCs w:val="16"/>
          <w:lang w:val="en-GB"/>
        </w:rPr>
      </w:pPr>
      <w:r w:rsidRPr="00352482">
        <w:rPr>
          <w:rStyle w:val="Znakapoznpodarou"/>
          <w:spacing w:val="-4"/>
          <w:sz w:val="16"/>
          <w:szCs w:val="16"/>
        </w:rPr>
        <w:footnoteRef/>
      </w:r>
      <w:r w:rsidRPr="00352482">
        <w:rPr>
          <w:spacing w:val="-4"/>
          <w:sz w:val="16"/>
          <w:szCs w:val="16"/>
        </w:rPr>
        <w:t xml:space="preserve"> </w:t>
      </w:r>
      <w:r w:rsidRPr="004D2BFB">
        <w:rPr>
          <w:spacing w:val="-4"/>
          <w:sz w:val="16"/>
          <w:szCs w:val="16"/>
          <w:lang w:val="en-GB"/>
        </w:rPr>
        <w:t>The unemployment rate in this group came to 14.4</w:t>
      </w:r>
      <w:r>
        <w:rPr>
          <w:spacing w:val="-4"/>
          <w:sz w:val="16"/>
          <w:szCs w:val="16"/>
          <w:lang w:val="en-GB"/>
        </w:rPr>
        <w:t>%</w:t>
      </w:r>
      <w:r w:rsidRPr="004D2BFB">
        <w:rPr>
          <w:spacing w:val="-4"/>
          <w:sz w:val="16"/>
          <w:szCs w:val="16"/>
          <w:lang w:val="en-GB"/>
        </w:rPr>
        <w:t xml:space="preserve"> in Q2 2017, 21.4</w:t>
      </w:r>
      <w:r>
        <w:rPr>
          <w:spacing w:val="-4"/>
          <w:sz w:val="16"/>
          <w:szCs w:val="16"/>
          <w:lang w:val="en-GB"/>
        </w:rPr>
        <w:t>%</w:t>
      </w:r>
      <w:r w:rsidRPr="004D2BFB">
        <w:rPr>
          <w:spacing w:val="-4"/>
          <w:sz w:val="16"/>
          <w:szCs w:val="16"/>
          <w:lang w:val="en-GB"/>
        </w:rPr>
        <w:t xml:space="preserve"> a year ago. The participation of persons with the </w:t>
      </w:r>
      <w:r>
        <w:rPr>
          <w:spacing w:val="-4"/>
          <w:sz w:val="16"/>
          <w:szCs w:val="16"/>
          <w:lang w:val="en-GB"/>
        </w:rPr>
        <w:t>primary</w:t>
      </w:r>
      <w:r w:rsidRPr="004D2BFB">
        <w:rPr>
          <w:spacing w:val="-4"/>
          <w:sz w:val="16"/>
          <w:szCs w:val="16"/>
          <w:lang w:val="en-GB"/>
        </w:rPr>
        <w:t xml:space="preserve"> education among economically active aged 15 – 64 years ended below 5</w:t>
      </w:r>
      <w:r>
        <w:rPr>
          <w:spacing w:val="-4"/>
          <w:sz w:val="16"/>
          <w:szCs w:val="16"/>
          <w:lang w:val="en-GB"/>
        </w:rPr>
        <w:t>%</w:t>
      </w:r>
      <w:r w:rsidRPr="004D2BFB">
        <w:rPr>
          <w:spacing w:val="-4"/>
          <w:sz w:val="16"/>
          <w:szCs w:val="16"/>
          <w:lang w:val="en-GB"/>
        </w:rPr>
        <w:t xml:space="preserve"> in the CR. It represented the second lowest proportion among the all EU countries.  </w:t>
      </w:r>
    </w:p>
  </w:footnote>
  <w:footnote w:id="25">
    <w:p w:rsidR="00486640" w:rsidRPr="000446A3" w:rsidRDefault="00486640" w:rsidP="000446A3">
      <w:pPr>
        <w:pStyle w:val="Textpoznpodarou"/>
        <w:jc w:val="both"/>
        <w:rPr>
          <w:sz w:val="16"/>
          <w:szCs w:val="16"/>
          <w:lang w:val="en-GB"/>
        </w:rPr>
      </w:pPr>
      <w:r w:rsidRPr="00431E19">
        <w:rPr>
          <w:rStyle w:val="Znakapoznpodarou"/>
          <w:sz w:val="16"/>
          <w:szCs w:val="16"/>
        </w:rPr>
        <w:footnoteRef/>
      </w:r>
      <w:r w:rsidRPr="00431E19">
        <w:rPr>
          <w:sz w:val="16"/>
          <w:szCs w:val="16"/>
        </w:rPr>
        <w:t xml:space="preserve"> </w:t>
      </w:r>
      <w:r w:rsidRPr="000446A3">
        <w:rPr>
          <w:sz w:val="16"/>
          <w:szCs w:val="16"/>
          <w:lang w:val="en-GB"/>
        </w:rPr>
        <w:t xml:space="preserve">However, it was mostly persons, which could not enter the employment immediately for various reasons. Only 35 thousand persons </w:t>
      </w:r>
      <w:r>
        <w:rPr>
          <w:sz w:val="16"/>
          <w:szCs w:val="16"/>
          <w:lang w:val="en-GB"/>
        </w:rPr>
        <w:t>could</w:t>
      </w:r>
      <w:r w:rsidRPr="000446A3">
        <w:rPr>
          <w:sz w:val="16"/>
          <w:szCs w:val="16"/>
          <w:lang w:val="en-GB"/>
        </w:rPr>
        <w:t xml:space="preserve"> start a job within two weeks. Similarly, low numbers were last recorded in the period of the business cycle peak of the last decade. </w:t>
      </w:r>
    </w:p>
  </w:footnote>
  <w:footnote w:id="26">
    <w:p w:rsidR="00486640" w:rsidRPr="000446A3" w:rsidRDefault="00486640" w:rsidP="000446A3">
      <w:pPr>
        <w:pStyle w:val="Textpoznpodarou"/>
        <w:jc w:val="both"/>
        <w:rPr>
          <w:sz w:val="16"/>
          <w:szCs w:val="16"/>
          <w:lang w:val="en-GB"/>
        </w:rPr>
      </w:pPr>
      <w:r w:rsidRPr="000446A3">
        <w:rPr>
          <w:rStyle w:val="Znakapoznpodarou"/>
          <w:sz w:val="16"/>
          <w:szCs w:val="16"/>
          <w:lang w:val="en-GB"/>
        </w:rPr>
        <w:footnoteRef/>
      </w:r>
      <w:r w:rsidRPr="000446A3">
        <w:rPr>
          <w:sz w:val="16"/>
          <w:szCs w:val="16"/>
          <w:lang w:val="en-GB"/>
        </w:rPr>
        <w:t>The effect of the wage acceleration was even magnified by the fact, that there w</w:t>
      </w:r>
      <w:r>
        <w:rPr>
          <w:sz w:val="16"/>
          <w:szCs w:val="16"/>
          <w:lang w:val="en-GB"/>
        </w:rPr>
        <w:t>ere</w:t>
      </w:r>
      <w:r w:rsidRPr="000446A3">
        <w:rPr>
          <w:sz w:val="16"/>
          <w:szCs w:val="16"/>
          <w:lang w:val="en-GB"/>
        </w:rPr>
        <w:t xml:space="preserve"> four working days less in Q2 2017 year-on-year. This was reflected in the lower number of hours worked (for employees, it presented a reduction of 2.8</w:t>
      </w:r>
      <w:r>
        <w:rPr>
          <w:sz w:val="16"/>
          <w:szCs w:val="16"/>
          <w:lang w:val="en-GB"/>
        </w:rPr>
        <w:t>%</w:t>
      </w:r>
      <w:r w:rsidRPr="000446A3">
        <w:rPr>
          <w:sz w:val="16"/>
          <w:szCs w:val="16"/>
          <w:lang w:val="en-GB"/>
        </w:rPr>
        <w:t xml:space="preserve"> based on the national accounts data). </w:t>
      </w:r>
    </w:p>
  </w:footnote>
  <w:footnote w:id="27">
    <w:p w:rsidR="00486640" w:rsidRPr="000446A3" w:rsidRDefault="00486640" w:rsidP="000446A3">
      <w:pPr>
        <w:pStyle w:val="Textpoznpodarou"/>
        <w:jc w:val="both"/>
        <w:rPr>
          <w:sz w:val="15"/>
          <w:szCs w:val="15"/>
          <w:lang w:val="en-GB"/>
        </w:rPr>
      </w:pPr>
      <w:r w:rsidRPr="000446A3">
        <w:rPr>
          <w:rStyle w:val="Znakapoznpodarou"/>
          <w:sz w:val="16"/>
          <w:szCs w:val="16"/>
          <w:lang w:val="en-GB"/>
        </w:rPr>
        <w:footnoteRef/>
      </w:r>
      <w:r w:rsidRPr="000446A3">
        <w:rPr>
          <w:sz w:val="16"/>
          <w:szCs w:val="16"/>
          <w:lang w:val="en-GB"/>
        </w:rPr>
        <w:t xml:space="preserve"> It presented the only case within the all nineteen branch sections of the economy, when this year´s year-on-year growth of the average wages (+3.7</w:t>
      </w:r>
      <w:r>
        <w:rPr>
          <w:sz w:val="16"/>
          <w:szCs w:val="16"/>
          <w:lang w:val="en-GB"/>
        </w:rPr>
        <w:t>%</w:t>
      </w:r>
      <w:r w:rsidRPr="000446A3">
        <w:rPr>
          <w:sz w:val="16"/>
          <w:szCs w:val="16"/>
          <w:lang w:val="en-GB"/>
        </w:rPr>
        <w:t>) lagged behind the similar pace from H1 2016 (+4.0</w:t>
      </w:r>
      <w:r>
        <w:rPr>
          <w:sz w:val="16"/>
          <w:szCs w:val="16"/>
          <w:lang w:val="en-GB"/>
        </w:rPr>
        <w:t>%</w:t>
      </w:r>
      <w:r w:rsidRPr="000446A3">
        <w:rPr>
          <w:sz w:val="16"/>
          <w:szCs w:val="16"/>
          <w:lang w:val="en-GB"/>
        </w:rPr>
        <w:t>).</w:t>
      </w:r>
      <w:r w:rsidRPr="000446A3">
        <w:rPr>
          <w:sz w:val="15"/>
          <w:szCs w:val="15"/>
          <w:lang w:val="en-GB"/>
        </w:rPr>
        <w:t xml:space="preserve"> </w:t>
      </w:r>
    </w:p>
  </w:footnote>
  <w:footnote w:id="28">
    <w:p w:rsidR="00486640" w:rsidRDefault="00486640" w:rsidP="00E662D1">
      <w:pPr>
        <w:pStyle w:val="Textpoznpodarou"/>
        <w:jc w:val="both"/>
        <w:rPr>
          <w:sz w:val="16"/>
          <w:szCs w:val="16"/>
          <w:lang w:val="en-GB"/>
        </w:rPr>
      </w:pPr>
      <w:r>
        <w:rPr>
          <w:rStyle w:val="Znakapoznpodarou"/>
          <w:sz w:val="16"/>
          <w:szCs w:val="16"/>
          <w:lang w:val="en-GB"/>
        </w:rPr>
        <w:footnoteRef/>
      </w:r>
      <w:r>
        <w:rPr>
          <w:sz w:val="16"/>
          <w:szCs w:val="16"/>
          <w:lang w:val="en-GB"/>
        </w:rPr>
        <w:t xml:space="preserve"> </w:t>
      </w:r>
      <w:bookmarkStart w:id="18" w:name="_Hlk495612159"/>
      <w:r>
        <w:rPr>
          <w:sz w:val="16"/>
          <w:szCs w:val="16"/>
          <w:lang w:val="en-GB"/>
        </w:rPr>
        <w:t xml:space="preserve">The CNB data. Unless stated otherwise, all data in this chapter have been taken over from the ARAD database of the Czech National Bank. </w:t>
      </w:r>
      <w:bookmarkEnd w:id="18"/>
    </w:p>
  </w:footnote>
  <w:footnote w:id="29">
    <w:p w:rsidR="00486640" w:rsidRPr="00AB5D66" w:rsidRDefault="00486640" w:rsidP="001C3961">
      <w:pPr>
        <w:pStyle w:val="Textpoznpodarou"/>
        <w:jc w:val="both"/>
        <w:rPr>
          <w:color w:val="0D0D0D" w:themeColor="text1" w:themeTint="F2"/>
          <w:spacing w:val="-2"/>
          <w:sz w:val="16"/>
          <w:szCs w:val="16"/>
          <w:lang w:val="en-GB"/>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w:t>
      </w:r>
      <w:r w:rsidRPr="00AB5D66">
        <w:rPr>
          <w:color w:val="0D0D0D" w:themeColor="text1" w:themeTint="F2"/>
          <w:spacing w:val="-2"/>
          <w:sz w:val="16"/>
          <w:szCs w:val="16"/>
          <w:lang w:val="en-GB"/>
        </w:rPr>
        <w:t xml:space="preserve">According to the calculations of the MF, the SB adjusted on both </w:t>
      </w:r>
      <w:r>
        <w:rPr>
          <w:color w:val="0D0D0D" w:themeColor="text1" w:themeTint="F2"/>
          <w:spacing w:val="-2"/>
          <w:sz w:val="16"/>
          <w:szCs w:val="16"/>
          <w:lang w:val="en-GB"/>
        </w:rPr>
        <w:t>income and expenditure</w:t>
      </w:r>
      <w:r w:rsidRPr="00AB5D66">
        <w:rPr>
          <w:color w:val="0D0D0D" w:themeColor="text1" w:themeTint="F2"/>
          <w:spacing w:val="-2"/>
          <w:sz w:val="16"/>
          <w:szCs w:val="16"/>
          <w:lang w:val="en-GB"/>
        </w:rPr>
        <w:t xml:space="preserve"> side for the resources from the EU budget (and financial mechanisms) ended in deficit of 13.2 </w:t>
      </w:r>
      <w:r>
        <w:rPr>
          <w:color w:val="0D0D0D" w:themeColor="text1" w:themeTint="F2"/>
          <w:spacing w:val="-2"/>
          <w:sz w:val="16"/>
          <w:szCs w:val="16"/>
          <w:lang w:val="en-GB"/>
        </w:rPr>
        <w:t>CZK bn</w:t>
      </w:r>
      <w:r w:rsidRPr="00AB5D66">
        <w:rPr>
          <w:color w:val="0D0D0D" w:themeColor="text1" w:themeTint="F2"/>
          <w:spacing w:val="-2"/>
          <w:sz w:val="16"/>
          <w:szCs w:val="16"/>
          <w:lang w:val="en-GB"/>
        </w:rPr>
        <w:t xml:space="preserve"> this year (such adjusted result would represent a deficit of 30.8 bn in H1 2016).</w:t>
      </w:r>
    </w:p>
  </w:footnote>
  <w:footnote w:id="30">
    <w:p w:rsidR="00486640" w:rsidRPr="00484EA9" w:rsidRDefault="00486640" w:rsidP="00FF6014">
      <w:pPr>
        <w:pStyle w:val="Textpoznpodarou"/>
        <w:jc w:val="both"/>
        <w:rPr>
          <w:color w:val="0D0D0D" w:themeColor="text1" w:themeTint="F2"/>
          <w:spacing w:val="-2"/>
          <w:sz w:val="16"/>
          <w:szCs w:val="16"/>
          <w:lang w:val="en-GB"/>
        </w:rPr>
      </w:pPr>
      <w:r>
        <w:rPr>
          <w:rStyle w:val="Znakapoznpodarou"/>
          <w:color w:val="0D0D0D" w:themeColor="text1" w:themeTint="F2"/>
          <w:spacing w:val="-2"/>
          <w:sz w:val="16"/>
          <w:szCs w:val="16"/>
        </w:rPr>
        <w:footnoteRef/>
      </w:r>
      <w:r>
        <w:rPr>
          <w:color w:val="0D0D0D" w:themeColor="text1" w:themeTint="F2"/>
          <w:spacing w:val="-2"/>
          <w:sz w:val="16"/>
          <w:szCs w:val="16"/>
        </w:rPr>
        <w:t xml:space="preserve"> </w:t>
      </w:r>
      <w:r w:rsidRPr="00484EA9">
        <w:rPr>
          <w:color w:val="0D0D0D" w:themeColor="text1" w:themeTint="F2"/>
          <w:spacing w:val="-2"/>
          <w:sz w:val="16"/>
          <w:szCs w:val="16"/>
          <w:lang w:val="en-GB"/>
        </w:rPr>
        <w:t>The proportion of the SB on the state-wide VAT revenue fell from 70.25</w:t>
      </w:r>
      <w:r>
        <w:rPr>
          <w:color w:val="0D0D0D" w:themeColor="text1" w:themeTint="F2"/>
          <w:spacing w:val="-2"/>
          <w:sz w:val="16"/>
          <w:szCs w:val="16"/>
          <w:lang w:val="en-GB"/>
        </w:rPr>
        <w:t>%</w:t>
      </w:r>
      <w:r w:rsidRPr="00484EA9">
        <w:rPr>
          <w:color w:val="0D0D0D" w:themeColor="text1" w:themeTint="F2"/>
          <w:spacing w:val="-2"/>
          <w:sz w:val="16"/>
          <w:szCs w:val="16"/>
          <w:lang w:val="en-GB"/>
        </w:rPr>
        <w:t xml:space="preserve"> to 69.68</w:t>
      </w:r>
      <w:r>
        <w:rPr>
          <w:color w:val="0D0D0D" w:themeColor="text1" w:themeTint="F2"/>
          <w:spacing w:val="-2"/>
          <w:sz w:val="16"/>
          <w:szCs w:val="16"/>
          <w:lang w:val="en-GB"/>
        </w:rPr>
        <w:t>%</w:t>
      </w:r>
      <w:r w:rsidRPr="00484EA9">
        <w:rPr>
          <w:color w:val="0D0D0D" w:themeColor="text1" w:themeTint="F2"/>
          <w:spacing w:val="-2"/>
          <w:sz w:val="16"/>
          <w:szCs w:val="16"/>
          <w:lang w:val="en-GB"/>
        </w:rPr>
        <w:t xml:space="preserve"> due to the change of the </w:t>
      </w:r>
      <w:r>
        <w:rPr>
          <w:color w:val="0D0D0D" w:themeColor="text1" w:themeTint="F2"/>
          <w:spacing w:val="-2"/>
          <w:sz w:val="16"/>
          <w:szCs w:val="16"/>
          <w:lang w:val="en-GB"/>
        </w:rPr>
        <w:t xml:space="preserve">budget </w:t>
      </w:r>
      <w:r w:rsidRPr="000D622A">
        <w:rPr>
          <w:color w:val="0D0D0D" w:themeColor="text1" w:themeTint="F2"/>
          <w:spacing w:val="-2"/>
          <w:sz w:val="16"/>
          <w:szCs w:val="16"/>
          <w:lang w:val="en-GB"/>
        </w:rPr>
        <w:t>appropriations</w:t>
      </w:r>
      <w:r>
        <w:rPr>
          <w:color w:val="0D0D0D" w:themeColor="text1" w:themeTint="F2"/>
          <w:spacing w:val="-2"/>
          <w:sz w:val="16"/>
          <w:szCs w:val="16"/>
          <w:lang w:val="en-GB"/>
        </w:rPr>
        <w:t xml:space="preserve"> of taxes</w:t>
      </w:r>
      <w:r w:rsidRPr="00484EA9">
        <w:rPr>
          <w:color w:val="0D0D0D" w:themeColor="text1" w:themeTint="F2"/>
          <w:spacing w:val="-2"/>
          <w:sz w:val="16"/>
          <w:szCs w:val="16"/>
          <w:lang w:val="en-GB"/>
        </w:rPr>
        <w:t xml:space="preserve"> startin</w:t>
      </w:r>
      <w:r>
        <w:rPr>
          <w:color w:val="0D0D0D" w:themeColor="text1" w:themeTint="F2"/>
          <w:spacing w:val="-2"/>
          <w:sz w:val="16"/>
          <w:szCs w:val="16"/>
          <w:lang w:val="en-GB"/>
        </w:rPr>
        <w:t>g</w:t>
      </w:r>
      <w:r w:rsidRPr="00484EA9">
        <w:rPr>
          <w:color w:val="0D0D0D" w:themeColor="text1" w:themeTint="F2"/>
          <w:spacing w:val="-2"/>
          <w:sz w:val="16"/>
          <w:szCs w:val="16"/>
          <w:lang w:val="en-GB"/>
        </w:rPr>
        <w:t xml:space="preserve"> 1. 1. 2017. R</w:t>
      </w:r>
      <w:r>
        <w:rPr>
          <w:color w:val="0D0D0D" w:themeColor="text1" w:themeTint="F2"/>
          <w:spacing w:val="-2"/>
          <w:sz w:val="16"/>
          <w:szCs w:val="16"/>
          <w:lang w:val="en-GB"/>
        </w:rPr>
        <w:t>eciprocally, the percentage share of the tax revenue – from the tax returns on income taxes of natural persons was amended</w:t>
      </w:r>
      <w:r w:rsidRPr="00484EA9">
        <w:rPr>
          <w:color w:val="0D0D0D" w:themeColor="text1" w:themeTint="F2"/>
          <w:spacing w:val="-2"/>
          <w:sz w:val="16"/>
          <w:szCs w:val="16"/>
          <w:lang w:val="en-GB"/>
        </w:rPr>
        <w:t xml:space="preserve">, </w:t>
      </w:r>
      <w:r>
        <w:rPr>
          <w:color w:val="0D0D0D" w:themeColor="text1" w:themeTint="F2"/>
          <w:spacing w:val="-2"/>
          <w:sz w:val="16"/>
          <w:szCs w:val="16"/>
          <w:lang w:val="en-GB"/>
        </w:rPr>
        <w:t>specifically for the benefit of the SB</w:t>
      </w:r>
      <w:r w:rsidRPr="00484EA9">
        <w:rPr>
          <w:color w:val="0D0D0D" w:themeColor="text1" w:themeTint="F2"/>
          <w:spacing w:val="-2"/>
          <w:sz w:val="16"/>
          <w:szCs w:val="16"/>
          <w:lang w:val="en-GB"/>
        </w:rPr>
        <w:t>.</w:t>
      </w:r>
    </w:p>
  </w:footnote>
  <w:footnote w:id="31">
    <w:p w:rsidR="00486640" w:rsidRPr="00484EA9" w:rsidRDefault="00486640" w:rsidP="00FF6014">
      <w:pPr>
        <w:pStyle w:val="Textpoznpodarou"/>
        <w:jc w:val="both"/>
        <w:rPr>
          <w:sz w:val="16"/>
          <w:szCs w:val="16"/>
          <w:lang w:val="en-GB"/>
        </w:rPr>
      </w:pPr>
      <w:r w:rsidRPr="00484EA9">
        <w:rPr>
          <w:rStyle w:val="Znakapoznpodarou"/>
          <w:sz w:val="16"/>
          <w:szCs w:val="16"/>
          <w:lang w:val="en-GB"/>
        </w:rPr>
        <w:footnoteRef/>
      </w:r>
      <w:r w:rsidRPr="00484EA9">
        <w:rPr>
          <w:sz w:val="16"/>
          <w:szCs w:val="16"/>
          <w:lang w:val="en-GB"/>
        </w:rPr>
        <w:t xml:space="preserve"> </w:t>
      </w:r>
      <w:r>
        <w:rPr>
          <w:sz w:val="16"/>
          <w:szCs w:val="16"/>
          <w:lang w:val="en-GB"/>
        </w:rPr>
        <w:t>Data are not adjusted for the seasonal and calendar effects. There were 4 working days less both year-on-year and quarter-on-quarter in Q2 itself. The year-on-year rate of growth of the total nominal final consumption expenditure stagnated during the first half of year 2017</w:t>
      </w:r>
      <w:r w:rsidR="00E84119">
        <w:rPr>
          <w:sz w:val="16"/>
          <w:szCs w:val="16"/>
          <w:lang w:val="en-GB"/>
        </w:rPr>
        <w:t xml:space="preserve"> (6.0% in Q1</w:t>
      </w:r>
      <w:r w:rsidR="00E84119" w:rsidRPr="00484EA9">
        <w:rPr>
          <w:sz w:val="16"/>
          <w:szCs w:val="16"/>
          <w:lang w:val="en-GB"/>
        </w:rPr>
        <w:t xml:space="preserve">, </w:t>
      </w:r>
      <w:r w:rsidR="00E84119">
        <w:rPr>
          <w:sz w:val="16"/>
          <w:szCs w:val="16"/>
          <w:lang w:val="en-GB"/>
        </w:rPr>
        <w:t>5.9% in Q2)</w:t>
      </w:r>
      <w:r>
        <w:rPr>
          <w:sz w:val="16"/>
          <w:szCs w:val="16"/>
          <w:lang w:val="en-GB"/>
        </w:rPr>
        <w:t>, after the adjustment it on the contrary increased (it was 5.4% in Q1</w:t>
      </w:r>
      <w:r w:rsidRPr="00484EA9">
        <w:rPr>
          <w:sz w:val="16"/>
          <w:szCs w:val="16"/>
          <w:lang w:val="en-GB"/>
        </w:rPr>
        <w:t xml:space="preserve">, </w:t>
      </w:r>
      <w:r>
        <w:rPr>
          <w:sz w:val="16"/>
          <w:szCs w:val="16"/>
          <w:lang w:val="en-GB"/>
        </w:rPr>
        <w:t>6.4% in Q2</w:t>
      </w:r>
      <w:r w:rsidRPr="00484EA9">
        <w:rPr>
          <w:sz w:val="16"/>
          <w:szCs w:val="16"/>
          <w:lang w:val="en-GB"/>
        </w:rPr>
        <w:t>).</w:t>
      </w:r>
    </w:p>
  </w:footnote>
  <w:footnote w:id="32">
    <w:p w:rsidR="00486640" w:rsidRPr="00484EA9" w:rsidRDefault="00486640" w:rsidP="00FF6014">
      <w:pPr>
        <w:pStyle w:val="Textpoznpodarou"/>
        <w:jc w:val="both"/>
        <w:rPr>
          <w:color w:val="0D0D0D" w:themeColor="text1" w:themeTint="F2"/>
          <w:sz w:val="16"/>
          <w:szCs w:val="16"/>
          <w:lang w:val="en-GB"/>
        </w:rPr>
      </w:pPr>
      <w:r w:rsidRPr="00484EA9">
        <w:rPr>
          <w:rStyle w:val="Znakapoznpodarou"/>
          <w:color w:val="0D0D0D" w:themeColor="text1" w:themeTint="F2"/>
          <w:sz w:val="16"/>
          <w:szCs w:val="16"/>
          <w:lang w:val="en-GB"/>
        </w:rPr>
        <w:footnoteRef/>
      </w:r>
      <w:r w:rsidRPr="00484EA9">
        <w:rPr>
          <w:color w:val="0D0D0D" w:themeColor="text1" w:themeTint="F2"/>
          <w:sz w:val="16"/>
          <w:szCs w:val="16"/>
          <w:lang w:val="en-GB"/>
        </w:rPr>
        <w:t xml:space="preserve"> </w:t>
      </w:r>
      <w:r>
        <w:rPr>
          <w:color w:val="0D0D0D" w:themeColor="text1" w:themeTint="F2"/>
          <w:sz w:val="16"/>
          <w:szCs w:val="16"/>
          <w:lang w:val="en-GB"/>
        </w:rPr>
        <w:t xml:space="preserve">The taxes for cigarettes with old covers, </w:t>
      </w:r>
      <w:r>
        <w:rPr>
          <w:rFonts w:cs="Arial"/>
          <w:color w:val="0D0D0D" w:themeColor="text1" w:themeTint="F2"/>
          <w:sz w:val="16"/>
          <w:szCs w:val="16"/>
          <w:lang w:val="en-GB"/>
        </w:rPr>
        <w:t xml:space="preserve">which had to be withdrawn from the circulation, were returned. The withdrawal of cigarettes was connected to the introduction of new products burdened by a higher tax rate and containing more thorough health warning. </w:t>
      </w:r>
    </w:p>
  </w:footnote>
  <w:footnote w:id="33">
    <w:p w:rsidR="00486640" w:rsidRPr="00484EA9" w:rsidRDefault="00486640" w:rsidP="00FF6014">
      <w:pPr>
        <w:pStyle w:val="Textpoznpodarou"/>
        <w:jc w:val="both"/>
        <w:rPr>
          <w:spacing w:val="-2"/>
          <w:sz w:val="16"/>
          <w:szCs w:val="16"/>
          <w:lang w:val="en-GB"/>
        </w:rPr>
      </w:pPr>
      <w:r w:rsidRPr="00484EA9">
        <w:rPr>
          <w:rStyle w:val="Znakapoznpodarou"/>
          <w:spacing w:val="-2"/>
          <w:sz w:val="16"/>
          <w:szCs w:val="16"/>
          <w:lang w:val="en-GB"/>
        </w:rPr>
        <w:footnoteRef/>
      </w:r>
      <w:r w:rsidRPr="00484EA9">
        <w:rPr>
          <w:spacing w:val="-2"/>
          <w:sz w:val="16"/>
          <w:szCs w:val="16"/>
          <w:lang w:val="en-GB"/>
        </w:rPr>
        <w:t xml:space="preserve"> </w:t>
      </w:r>
      <w:r>
        <w:rPr>
          <w:spacing w:val="-2"/>
          <w:sz w:val="16"/>
          <w:szCs w:val="16"/>
          <w:lang w:val="en-GB"/>
        </w:rPr>
        <w:t xml:space="preserve">The effect of the increased rates for the first eight months of year 2017 was already stronger </w:t>
      </w:r>
      <w:r w:rsidRPr="00484EA9">
        <w:rPr>
          <w:spacing w:val="-2"/>
          <w:sz w:val="16"/>
          <w:szCs w:val="16"/>
          <w:lang w:val="en-GB"/>
        </w:rPr>
        <w:t>a</w:t>
      </w:r>
      <w:r>
        <w:rPr>
          <w:spacing w:val="-2"/>
          <w:sz w:val="16"/>
          <w:szCs w:val="16"/>
          <w:lang w:val="en-GB"/>
        </w:rPr>
        <w:t xml:space="preserve">nd the collection of taxes on tobacco products was already by 0.8% higher year-on-year. </w:t>
      </w:r>
    </w:p>
  </w:footnote>
  <w:footnote w:id="34">
    <w:p w:rsidR="00486640" w:rsidRPr="00906DC3" w:rsidRDefault="00486640" w:rsidP="008F4108">
      <w:pPr>
        <w:pStyle w:val="Textpoznpodarou"/>
        <w:jc w:val="both"/>
        <w:rPr>
          <w:sz w:val="16"/>
          <w:szCs w:val="16"/>
          <w:lang w:val="en-GB"/>
        </w:rPr>
      </w:pPr>
      <w:r w:rsidRPr="001D0079">
        <w:rPr>
          <w:rStyle w:val="Znakapoznpodarou"/>
          <w:sz w:val="16"/>
          <w:szCs w:val="16"/>
        </w:rPr>
        <w:footnoteRef/>
      </w:r>
      <w:r>
        <w:rPr>
          <w:sz w:val="16"/>
          <w:szCs w:val="16"/>
        </w:rPr>
        <w:t xml:space="preserve"> </w:t>
      </w:r>
      <w:r w:rsidRPr="00906DC3">
        <w:rPr>
          <w:sz w:val="16"/>
          <w:szCs w:val="16"/>
          <w:lang w:val="en-GB"/>
        </w:rPr>
        <w:t>This fact is even more supported by the data from the fi</w:t>
      </w:r>
      <w:r>
        <w:rPr>
          <w:sz w:val="16"/>
          <w:szCs w:val="16"/>
          <w:lang w:val="en-GB"/>
        </w:rPr>
        <w:t>r</w:t>
      </w:r>
      <w:r w:rsidRPr="00906DC3">
        <w:rPr>
          <w:sz w:val="16"/>
          <w:szCs w:val="16"/>
          <w:lang w:val="en-GB"/>
        </w:rPr>
        <w:t xml:space="preserve">st eight months of the year (which already </w:t>
      </w:r>
      <w:r>
        <w:rPr>
          <w:sz w:val="16"/>
          <w:szCs w:val="16"/>
          <w:lang w:val="en-GB"/>
        </w:rPr>
        <w:t xml:space="preserve">take </w:t>
      </w:r>
      <w:r w:rsidRPr="00906DC3">
        <w:rPr>
          <w:sz w:val="16"/>
          <w:szCs w:val="16"/>
          <w:lang w:val="en-GB"/>
        </w:rPr>
        <w:t>fully</w:t>
      </w:r>
      <w:r>
        <w:rPr>
          <w:sz w:val="16"/>
          <w:szCs w:val="16"/>
          <w:lang w:val="en-GB"/>
        </w:rPr>
        <w:t xml:space="preserve"> </w:t>
      </w:r>
      <w:r w:rsidRPr="00906DC3">
        <w:rPr>
          <w:sz w:val="16"/>
          <w:szCs w:val="16"/>
          <w:lang w:val="en-GB"/>
        </w:rPr>
        <w:t>into consideration the payments of all large taxpayers for year 2016), when the year-on-year increase of the corporate tax collection lowered below 2</w:t>
      </w:r>
      <w:r>
        <w:rPr>
          <w:sz w:val="16"/>
          <w:szCs w:val="16"/>
          <w:lang w:val="en-GB"/>
        </w:rPr>
        <w:t>%</w:t>
      </w:r>
      <w:r w:rsidRPr="00906DC3">
        <w:rPr>
          <w:sz w:val="16"/>
          <w:szCs w:val="16"/>
          <w:lang w:val="en-GB"/>
        </w:rPr>
        <w:t>.</w:t>
      </w:r>
    </w:p>
  </w:footnote>
  <w:footnote w:id="35">
    <w:p w:rsidR="00486640" w:rsidRPr="0074690B" w:rsidRDefault="00486640" w:rsidP="008F4108">
      <w:pPr>
        <w:pStyle w:val="Textpoznpodarou"/>
        <w:jc w:val="both"/>
        <w:rPr>
          <w:sz w:val="16"/>
          <w:szCs w:val="16"/>
        </w:rPr>
      </w:pPr>
      <w:r w:rsidRPr="00906DC3">
        <w:rPr>
          <w:rStyle w:val="Znakapoznpodarou"/>
          <w:sz w:val="16"/>
          <w:szCs w:val="16"/>
          <w:lang w:val="en-GB"/>
        </w:rPr>
        <w:footnoteRef/>
      </w:r>
      <w:r w:rsidRPr="00906DC3">
        <w:rPr>
          <w:sz w:val="16"/>
          <w:szCs w:val="16"/>
          <w:lang w:val="en-GB"/>
        </w:rPr>
        <w:t xml:space="preserve"> </w:t>
      </w:r>
      <w:r>
        <w:rPr>
          <w:sz w:val="16"/>
          <w:szCs w:val="16"/>
          <w:lang w:val="en-GB"/>
        </w:rPr>
        <w:t>According to the more detailed data published by the M</w:t>
      </w:r>
      <w:r w:rsidR="00E84AAD">
        <w:rPr>
          <w:sz w:val="16"/>
          <w:szCs w:val="16"/>
          <w:lang w:val="en-GB"/>
        </w:rPr>
        <w:t>F</w:t>
      </w:r>
      <w:r>
        <w:rPr>
          <w:sz w:val="16"/>
          <w:szCs w:val="16"/>
          <w:lang w:val="en-GB"/>
        </w:rPr>
        <w:t xml:space="preserve"> CR at the beginning of August </w:t>
      </w:r>
      <w:r w:rsidRPr="00906DC3">
        <w:rPr>
          <w:sz w:val="16"/>
          <w:szCs w:val="16"/>
          <w:lang w:val="en-GB"/>
        </w:rPr>
        <w:t>2017</w:t>
      </w:r>
      <w:r w:rsidRPr="0074690B">
        <w:rPr>
          <w:sz w:val="16"/>
          <w:szCs w:val="16"/>
        </w:rPr>
        <w:t>.</w:t>
      </w:r>
    </w:p>
  </w:footnote>
  <w:footnote w:id="36">
    <w:p w:rsidR="00486640" w:rsidRPr="008C3460" w:rsidRDefault="00486640" w:rsidP="008C3460">
      <w:pPr>
        <w:pStyle w:val="Textpoznpodarou"/>
        <w:jc w:val="both"/>
        <w:rPr>
          <w:sz w:val="16"/>
          <w:szCs w:val="16"/>
          <w:lang w:val="en-GB"/>
        </w:rPr>
      </w:pPr>
      <w:r w:rsidRPr="009760E6">
        <w:rPr>
          <w:rStyle w:val="Znakapoznpodarou"/>
          <w:sz w:val="16"/>
          <w:szCs w:val="16"/>
        </w:rPr>
        <w:footnoteRef/>
      </w:r>
      <w:r w:rsidRPr="009760E6">
        <w:rPr>
          <w:sz w:val="16"/>
          <w:szCs w:val="16"/>
        </w:rPr>
        <w:t xml:space="preserve"> </w:t>
      </w:r>
      <w:r w:rsidRPr="008C3460">
        <w:rPr>
          <w:sz w:val="16"/>
          <w:szCs w:val="16"/>
          <w:lang w:val="en-GB"/>
        </w:rPr>
        <w:t>Total capital expenditure of the SB attained 34.4 CZK bn since January till August 2017, it comprised nearly one third of the yearly value anticipated by the budget.  Expenditure to cover the common programmes of the CR and the EU from the programme period 2014-2020 mildly increased to 16.6 CZK bn.</w:t>
      </w:r>
    </w:p>
  </w:footnote>
  <w:footnote w:id="37">
    <w:p w:rsidR="00486640" w:rsidRPr="00601F2E" w:rsidRDefault="00486640" w:rsidP="0019642B">
      <w:pPr>
        <w:pStyle w:val="Textpoznpodarou"/>
        <w:jc w:val="both"/>
        <w:rPr>
          <w:sz w:val="16"/>
          <w:szCs w:val="16"/>
          <w:lang w:val="en-GB"/>
        </w:rPr>
      </w:pPr>
      <w:r w:rsidRPr="00E82336">
        <w:rPr>
          <w:rStyle w:val="Znakapoznpodarou"/>
          <w:sz w:val="16"/>
          <w:szCs w:val="16"/>
        </w:rPr>
        <w:footnoteRef/>
      </w:r>
      <w:r w:rsidRPr="00E82336">
        <w:rPr>
          <w:sz w:val="16"/>
          <w:szCs w:val="16"/>
        </w:rPr>
        <w:t xml:space="preserve"> </w:t>
      </w:r>
      <w:r w:rsidRPr="00601F2E">
        <w:rPr>
          <w:sz w:val="16"/>
          <w:szCs w:val="16"/>
          <w:lang w:val="en-GB"/>
        </w:rPr>
        <w:t xml:space="preserve">It is expressed as the difference between revenues and </w:t>
      </w:r>
      <w:r>
        <w:rPr>
          <w:sz w:val="16"/>
          <w:szCs w:val="16"/>
          <w:lang w:val="en-GB"/>
        </w:rPr>
        <w:t>expenditure</w:t>
      </w:r>
      <w:r w:rsidRPr="00601F2E">
        <w:rPr>
          <w:sz w:val="16"/>
          <w:szCs w:val="16"/>
          <w:lang w:val="en-GB"/>
        </w:rPr>
        <w:t xml:space="preserve"> on the pensions from the SB (based on preliminary data). </w:t>
      </w:r>
    </w:p>
  </w:footnote>
  <w:footnote w:id="38">
    <w:p w:rsidR="00486640" w:rsidRPr="00601F2E" w:rsidRDefault="00486640" w:rsidP="0019642B">
      <w:pPr>
        <w:pStyle w:val="Textpoznpodarou"/>
        <w:jc w:val="both"/>
        <w:rPr>
          <w:sz w:val="16"/>
          <w:szCs w:val="16"/>
          <w:lang w:val="en-GB"/>
        </w:rPr>
      </w:pPr>
      <w:r w:rsidRPr="00601F2E">
        <w:rPr>
          <w:rStyle w:val="Znakapoznpodarou"/>
          <w:sz w:val="16"/>
          <w:szCs w:val="16"/>
          <w:lang w:val="en-GB"/>
        </w:rPr>
        <w:footnoteRef/>
      </w:r>
      <w:r w:rsidRPr="00601F2E">
        <w:rPr>
          <w:sz w:val="16"/>
          <w:szCs w:val="16"/>
          <w:lang w:val="en-GB"/>
        </w:rPr>
        <w:t xml:space="preserve"> </w:t>
      </w:r>
      <w:r>
        <w:rPr>
          <w:sz w:val="16"/>
          <w:szCs w:val="16"/>
          <w:lang w:val="en-GB"/>
        </w:rPr>
        <w:t>The proportion of the short-term debt increased due to these operations. The share of the value of bonds with maturity within 18 months on all bonds arrived at more than 30% at the end of June 2017, by 5 p. p. less a year ago.</w:t>
      </w:r>
    </w:p>
  </w:footnote>
  <w:footnote w:id="39">
    <w:p w:rsidR="00486640" w:rsidRPr="00C30EB6" w:rsidRDefault="00486640" w:rsidP="0066759E">
      <w:pPr>
        <w:pStyle w:val="Textpoznpodarou"/>
        <w:jc w:val="both"/>
        <w:rPr>
          <w:color w:val="0D0D0D" w:themeColor="text1" w:themeTint="F2"/>
          <w:spacing w:val="-2"/>
          <w:sz w:val="16"/>
          <w:szCs w:val="16"/>
          <w:lang w:val="en-GB"/>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w:t>
      </w:r>
      <w:r w:rsidRPr="00C30EB6">
        <w:rPr>
          <w:color w:val="0D0D0D" w:themeColor="text1" w:themeTint="F2"/>
          <w:spacing w:val="-2"/>
          <w:sz w:val="16"/>
          <w:szCs w:val="16"/>
          <w:lang w:val="en-GB"/>
        </w:rPr>
        <w:t>The CZSO publis</w:t>
      </w:r>
      <w:r>
        <w:rPr>
          <w:color w:val="0D0D0D" w:themeColor="text1" w:themeTint="F2"/>
          <w:spacing w:val="-2"/>
          <w:sz w:val="16"/>
          <w:szCs w:val="16"/>
          <w:lang w:val="en-GB"/>
        </w:rPr>
        <w:t>h</w:t>
      </w:r>
      <w:r w:rsidRPr="00C30EB6">
        <w:rPr>
          <w:color w:val="0D0D0D" w:themeColor="text1" w:themeTint="F2"/>
          <w:spacing w:val="-2"/>
          <w:sz w:val="16"/>
          <w:szCs w:val="16"/>
          <w:lang w:val="en-GB"/>
        </w:rPr>
        <w:t xml:space="preserve"> the preliminary data regarding to debt and deficit of the government institutions sector for Q2 2017 on 4th October 201</w:t>
      </w:r>
      <w:r>
        <w:rPr>
          <w:color w:val="0D0D0D" w:themeColor="text1" w:themeTint="F2"/>
          <w:spacing w:val="-2"/>
          <w:sz w:val="16"/>
          <w:szCs w:val="16"/>
          <w:lang w:val="en-GB"/>
        </w:rPr>
        <w:t>7</w:t>
      </w:r>
      <w:r w:rsidRPr="00C30EB6">
        <w:rPr>
          <w:color w:val="0D0D0D" w:themeColor="text1" w:themeTint="F2"/>
          <w:spacing w:val="-2"/>
          <w:sz w:val="16"/>
          <w:szCs w:val="16"/>
          <w:lang w:val="en-GB"/>
        </w:rPr>
        <w:t xml:space="preserve">, Eurostat then on 24th October 2017.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486640">
    <w:pPr>
      <w:pStyle w:val="Zhlav"/>
    </w:pPr>
  </w:p>
  <w:p w:rsidR="00486640" w:rsidRDefault="0048664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173642" w:rsidRDefault="00486640"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DC5B3B" w:rsidRDefault="00486640"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pololetí 2017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6C21CE" w:rsidRDefault="006C21CE" w:rsidP="00D766EF">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311204" w:rsidRDefault="00486640" w:rsidP="0030768C">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6"/>
  </w:num>
  <w:num w:numId="2">
    <w:abstractNumId w:val="22"/>
  </w:num>
  <w:num w:numId="3">
    <w:abstractNumId w:val="12"/>
  </w:num>
  <w:num w:numId="4">
    <w:abstractNumId w:val="20"/>
  </w:num>
  <w:num w:numId="5">
    <w:abstractNumId w:val="14"/>
  </w:num>
  <w:num w:numId="6">
    <w:abstractNumId w:val="17"/>
  </w:num>
  <w:num w:numId="7">
    <w:abstractNumId w:val="5"/>
  </w:num>
  <w:num w:numId="8">
    <w:abstractNumId w:val="10"/>
  </w:num>
  <w:num w:numId="9">
    <w:abstractNumId w:val="19"/>
  </w:num>
  <w:num w:numId="10">
    <w:abstractNumId w:val="4"/>
  </w:num>
  <w:num w:numId="11">
    <w:abstractNumId w:val="8"/>
  </w:num>
  <w:num w:numId="12">
    <w:abstractNumId w:val="2"/>
  </w:num>
  <w:num w:numId="13">
    <w:abstractNumId w:val="7"/>
  </w:num>
  <w:num w:numId="14">
    <w:abstractNumId w:val="0"/>
  </w:num>
  <w:num w:numId="15">
    <w:abstractNumId w:val="18"/>
  </w:num>
  <w:num w:numId="16">
    <w:abstractNumId w:val="15"/>
  </w:num>
  <w:num w:numId="17">
    <w:abstractNumId w:val="6"/>
  </w:num>
  <w:num w:numId="18">
    <w:abstractNumId w:val="21"/>
  </w:num>
  <w:num w:numId="19">
    <w:abstractNumId w:val="9"/>
  </w:num>
  <w:num w:numId="20">
    <w:abstractNumId w:val="1"/>
  </w:num>
  <w:num w:numId="21">
    <w:abstractNumId w:val="11"/>
  </w:num>
  <w:num w:numId="22">
    <w:abstractNumId w:val="13"/>
  </w:num>
  <w:num w:numId="2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9B70BD"/>
    <w:rsid w:val="00000FA7"/>
    <w:rsid w:val="00001EFF"/>
    <w:rsid w:val="000029FF"/>
    <w:rsid w:val="00003687"/>
    <w:rsid w:val="00003721"/>
    <w:rsid w:val="00003C43"/>
    <w:rsid w:val="00003DAF"/>
    <w:rsid w:val="00004BF2"/>
    <w:rsid w:val="00004C5D"/>
    <w:rsid w:val="00004EB0"/>
    <w:rsid w:val="000056A1"/>
    <w:rsid w:val="00007498"/>
    <w:rsid w:val="0000767A"/>
    <w:rsid w:val="00007D8A"/>
    <w:rsid w:val="000101F5"/>
    <w:rsid w:val="000104B9"/>
    <w:rsid w:val="00010702"/>
    <w:rsid w:val="00010770"/>
    <w:rsid w:val="00010982"/>
    <w:rsid w:val="00010C2C"/>
    <w:rsid w:val="00011191"/>
    <w:rsid w:val="000112ED"/>
    <w:rsid w:val="0001159B"/>
    <w:rsid w:val="000117CA"/>
    <w:rsid w:val="00012986"/>
    <w:rsid w:val="0001361A"/>
    <w:rsid w:val="00014028"/>
    <w:rsid w:val="00015195"/>
    <w:rsid w:val="0001519F"/>
    <w:rsid w:val="0001572B"/>
    <w:rsid w:val="0001573E"/>
    <w:rsid w:val="000157DA"/>
    <w:rsid w:val="0001589D"/>
    <w:rsid w:val="00016033"/>
    <w:rsid w:val="000162DB"/>
    <w:rsid w:val="00017F05"/>
    <w:rsid w:val="000202C6"/>
    <w:rsid w:val="00020315"/>
    <w:rsid w:val="000208B1"/>
    <w:rsid w:val="00020946"/>
    <w:rsid w:val="00020AD0"/>
    <w:rsid w:val="00022081"/>
    <w:rsid w:val="0002292C"/>
    <w:rsid w:val="00022B41"/>
    <w:rsid w:val="00023255"/>
    <w:rsid w:val="00023FB5"/>
    <w:rsid w:val="0002434F"/>
    <w:rsid w:val="00024887"/>
    <w:rsid w:val="00024CBA"/>
    <w:rsid w:val="00025501"/>
    <w:rsid w:val="00026998"/>
    <w:rsid w:val="00026B06"/>
    <w:rsid w:val="00026B47"/>
    <w:rsid w:val="00027D04"/>
    <w:rsid w:val="000304C4"/>
    <w:rsid w:val="0003066A"/>
    <w:rsid w:val="00030F14"/>
    <w:rsid w:val="000311C5"/>
    <w:rsid w:val="00031DAB"/>
    <w:rsid w:val="00032838"/>
    <w:rsid w:val="00032C12"/>
    <w:rsid w:val="00032E0C"/>
    <w:rsid w:val="000352E7"/>
    <w:rsid w:val="00035CCF"/>
    <w:rsid w:val="00035ED8"/>
    <w:rsid w:val="00035FC6"/>
    <w:rsid w:val="0003705E"/>
    <w:rsid w:val="00037667"/>
    <w:rsid w:val="0003780E"/>
    <w:rsid w:val="0004075D"/>
    <w:rsid w:val="000411E1"/>
    <w:rsid w:val="0004146D"/>
    <w:rsid w:val="00041E9C"/>
    <w:rsid w:val="00042EC6"/>
    <w:rsid w:val="00043C68"/>
    <w:rsid w:val="00043E05"/>
    <w:rsid w:val="000446A3"/>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3C6C"/>
    <w:rsid w:val="00064256"/>
    <w:rsid w:val="0006667B"/>
    <w:rsid w:val="000678DE"/>
    <w:rsid w:val="000706A4"/>
    <w:rsid w:val="00070A0C"/>
    <w:rsid w:val="00071F80"/>
    <w:rsid w:val="00072118"/>
    <w:rsid w:val="00073173"/>
    <w:rsid w:val="0007324C"/>
    <w:rsid w:val="0007413C"/>
    <w:rsid w:val="00074485"/>
    <w:rsid w:val="000747C6"/>
    <w:rsid w:val="00075C2C"/>
    <w:rsid w:val="000779AC"/>
    <w:rsid w:val="00080A41"/>
    <w:rsid w:val="00080AA8"/>
    <w:rsid w:val="00081851"/>
    <w:rsid w:val="00081CBD"/>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6091"/>
    <w:rsid w:val="000973B6"/>
    <w:rsid w:val="0009742B"/>
    <w:rsid w:val="00097BFC"/>
    <w:rsid w:val="00097D02"/>
    <w:rsid w:val="000A015C"/>
    <w:rsid w:val="000A1183"/>
    <w:rsid w:val="000A2121"/>
    <w:rsid w:val="000A2484"/>
    <w:rsid w:val="000A2929"/>
    <w:rsid w:val="000A36CE"/>
    <w:rsid w:val="000A4AC8"/>
    <w:rsid w:val="000A59BF"/>
    <w:rsid w:val="000A62FA"/>
    <w:rsid w:val="000A64DE"/>
    <w:rsid w:val="000A66C2"/>
    <w:rsid w:val="000A68A7"/>
    <w:rsid w:val="000B1CFE"/>
    <w:rsid w:val="000B210A"/>
    <w:rsid w:val="000B249B"/>
    <w:rsid w:val="000B2ADE"/>
    <w:rsid w:val="000B3B01"/>
    <w:rsid w:val="000B3DB9"/>
    <w:rsid w:val="000B3F02"/>
    <w:rsid w:val="000B48A2"/>
    <w:rsid w:val="000B48E7"/>
    <w:rsid w:val="000B4F41"/>
    <w:rsid w:val="000B6158"/>
    <w:rsid w:val="000B6268"/>
    <w:rsid w:val="000B7663"/>
    <w:rsid w:val="000B7906"/>
    <w:rsid w:val="000C1106"/>
    <w:rsid w:val="000C11D3"/>
    <w:rsid w:val="000C12F5"/>
    <w:rsid w:val="000C2529"/>
    <w:rsid w:val="000C3408"/>
    <w:rsid w:val="000C54AF"/>
    <w:rsid w:val="000C57C5"/>
    <w:rsid w:val="000C5C0F"/>
    <w:rsid w:val="000C5D56"/>
    <w:rsid w:val="000C60D8"/>
    <w:rsid w:val="000C6498"/>
    <w:rsid w:val="000C6FCF"/>
    <w:rsid w:val="000C7398"/>
    <w:rsid w:val="000C7E1A"/>
    <w:rsid w:val="000D0B22"/>
    <w:rsid w:val="000D0D51"/>
    <w:rsid w:val="000D14B3"/>
    <w:rsid w:val="000D1668"/>
    <w:rsid w:val="000D1BFB"/>
    <w:rsid w:val="000D1F52"/>
    <w:rsid w:val="000D208B"/>
    <w:rsid w:val="000D263E"/>
    <w:rsid w:val="000D2B8D"/>
    <w:rsid w:val="000D2E41"/>
    <w:rsid w:val="000D342A"/>
    <w:rsid w:val="000D43CB"/>
    <w:rsid w:val="000D5E7A"/>
    <w:rsid w:val="000D5FAA"/>
    <w:rsid w:val="000D622A"/>
    <w:rsid w:val="000D65A4"/>
    <w:rsid w:val="000D6AEF"/>
    <w:rsid w:val="000D7414"/>
    <w:rsid w:val="000E025B"/>
    <w:rsid w:val="000E0ECB"/>
    <w:rsid w:val="000E153A"/>
    <w:rsid w:val="000E19A8"/>
    <w:rsid w:val="000E1CD8"/>
    <w:rsid w:val="000E1EEA"/>
    <w:rsid w:val="000E4241"/>
    <w:rsid w:val="000E4A42"/>
    <w:rsid w:val="000E5225"/>
    <w:rsid w:val="000E53BD"/>
    <w:rsid w:val="000E6184"/>
    <w:rsid w:val="000E6476"/>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3AA"/>
    <w:rsid w:val="001028CF"/>
    <w:rsid w:val="00102CB8"/>
    <w:rsid w:val="00102F02"/>
    <w:rsid w:val="0010385D"/>
    <w:rsid w:val="00103E41"/>
    <w:rsid w:val="001041B6"/>
    <w:rsid w:val="001062F1"/>
    <w:rsid w:val="00106ECE"/>
    <w:rsid w:val="001070EA"/>
    <w:rsid w:val="001077AE"/>
    <w:rsid w:val="0011002A"/>
    <w:rsid w:val="001107CE"/>
    <w:rsid w:val="001109F0"/>
    <w:rsid w:val="0011110A"/>
    <w:rsid w:val="001118AF"/>
    <w:rsid w:val="00111CA5"/>
    <w:rsid w:val="0011256E"/>
    <w:rsid w:val="001129B6"/>
    <w:rsid w:val="0011352E"/>
    <w:rsid w:val="0011365A"/>
    <w:rsid w:val="00113CAF"/>
    <w:rsid w:val="0011458D"/>
    <w:rsid w:val="00114FC0"/>
    <w:rsid w:val="00115496"/>
    <w:rsid w:val="00116DB9"/>
    <w:rsid w:val="00116F28"/>
    <w:rsid w:val="00117CE8"/>
    <w:rsid w:val="00121387"/>
    <w:rsid w:val="00121A1C"/>
    <w:rsid w:val="00121C39"/>
    <w:rsid w:val="00123255"/>
    <w:rsid w:val="00124D2D"/>
    <w:rsid w:val="00124DA1"/>
    <w:rsid w:val="00125326"/>
    <w:rsid w:val="00125CB5"/>
    <w:rsid w:val="00125F07"/>
    <w:rsid w:val="00127535"/>
    <w:rsid w:val="001307BE"/>
    <w:rsid w:val="00130C8F"/>
    <w:rsid w:val="00130E89"/>
    <w:rsid w:val="001314F2"/>
    <w:rsid w:val="001317DA"/>
    <w:rsid w:val="001323BA"/>
    <w:rsid w:val="0013249D"/>
    <w:rsid w:val="0013254D"/>
    <w:rsid w:val="00133AAC"/>
    <w:rsid w:val="00133C5B"/>
    <w:rsid w:val="00133FBD"/>
    <w:rsid w:val="00134DFD"/>
    <w:rsid w:val="00134F9F"/>
    <w:rsid w:val="001354EE"/>
    <w:rsid w:val="00135C47"/>
    <w:rsid w:val="00136561"/>
    <w:rsid w:val="00136AE8"/>
    <w:rsid w:val="001400E1"/>
    <w:rsid w:val="001405FA"/>
    <w:rsid w:val="001406BC"/>
    <w:rsid w:val="001413B3"/>
    <w:rsid w:val="00141E8A"/>
    <w:rsid w:val="001425C3"/>
    <w:rsid w:val="00142F16"/>
    <w:rsid w:val="001434CE"/>
    <w:rsid w:val="00143594"/>
    <w:rsid w:val="00143E03"/>
    <w:rsid w:val="00143E93"/>
    <w:rsid w:val="00143FA3"/>
    <w:rsid w:val="0014428D"/>
    <w:rsid w:val="0014731B"/>
    <w:rsid w:val="00147E55"/>
    <w:rsid w:val="001500FC"/>
    <w:rsid w:val="00151AC0"/>
    <w:rsid w:val="00151B18"/>
    <w:rsid w:val="00151B1E"/>
    <w:rsid w:val="00151B27"/>
    <w:rsid w:val="00152046"/>
    <w:rsid w:val="00152488"/>
    <w:rsid w:val="00152E53"/>
    <w:rsid w:val="00154147"/>
    <w:rsid w:val="001550F3"/>
    <w:rsid w:val="00155746"/>
    <w:rsid w:val="00156318"/>
    <w:rsid w:val="0015639A"/>
    <w:rsid w:val="00157307"/>
    <w:rsid w:val="00157FDA"/>
    <w:rsid w:val="0016081D"/>
    <w:rsid w:val="00160CF3"/>
    <w:rsid w:val="00160E61"/>
    <w:rsid w:val="00161300"/>
    <w:rsid w:val="001620FA"/>
    <w:rsid w:val="00162714"/>
    <w:rsid w:val="00162853"/>
    <w:rsid w:val="0016342C"/>
    <w:rsid w:val="00163793"/>
    <w:rsid w:val="0016448A"/>
    <w:rsid w:val="00166306"/>
    <w:rsid w:val="0016737F"/>
    <w:rsid w:val="00167FB2"/>
    <w:rsid w:val="00170591"/>
    <w:rsid w:val="001707DE"/>
    <w:rsid w:val="00170B04"/>
    <w:rsid w:val="00170F47"/>
    <w:rsid w:val="001711F2"/>
    <w:rsid w:val="001714F2"/>
    <w:rsid w:val="001718C2"/>
    <w:rsid w:val="00173642"/>
    <w:rsid w:val="00173AAA"/>
    <w:rsid w:val="00173AF4"/>
    <w:rsid w:val="00173CB0"/>
    <w:rsid w:val="00173D81"/>
    <w:rsid w:val="00174CE8"/>
    <w:rsid w:val="00174E7D"/>
    <w:rsid w:val="001752CB"/>
    <w:rsid w:val="00175351"/>
    <w:rsid w:val="00175F60"/>
    <w:rsid w:val="00176050"/>
    <w:rsid w:val="001764D8"/>
    <w:rsid w:val="00176A8F"/>
    <w:rsid w:val="00177267"/>
    <w:rsid w:val="00180A6D"/>
    <w:rsid w:val="00180D58"/>
    <w:rsid w:val="00181938"/>
    <w:rsid w:val="00182981"/>
    <w:rsid w:val="00184CF9"/>
    <w:rsid w:val="00185010"/>
    <w:rsid w:val="001852EC"/>
    <w:rsid w:val="00186447"/>
    <w:rsid w:val="001874CF"/>
    <w:rsid w:val="00190214"/>
    <w:rsid w:val="00190D9B"/>
    <w:rsid w:val="00191136"/>
    <w:rsid w:val="0019160F"/>
    <w:rsid w:val="00191BAE"/>
    <w:rsid w:val="00193432"/>
    <w:rsid w:val="0019346C"/>
    <w:rsid w:val="00194AE3"/>
    <w:rsid w:val="00195335"/>
    <w:rsid w:val="00195444"/>
    <w:rsid w:val="0019579E"/>
    <w:rsid w:val="0019642B"/>
    <w:rsid w:val="00196656"/>
    <w:rsid w:val="00197806"/>
    <w:rsid w:val="001A199D"/>
    <w:rsid w:val="001A2077"/>
    <w:rsid w:val="001A2855"/>
    <w:rsid w:val="001A2BDB"/>
    <w:rsid w:val="001A30F4"/>
    <w:rsid w:val="001A47AB"/>
    <w:rsid w:val="001A4C0D"/>
    <w:rsid w:val="001A552F"/>
    <w:rsid w:val="001A56F3"/>
    <w:rsid w:val="001A5F8C"/>
    <w:rsid w:val="001A6D52"/>
    <w:rsid w:val="001A737B"/>
    <w:rsid w:val="001A750C"/>
    <w:rsid w:val="001A7D31"/>
    <w:rsid w:val="001B1D89"/>
    <w:rsid w:val="001B2143"/>
    <w:rsid w:val="001B22AA"/>
    <w:rsid w:val="001B2F7E"/>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684"/>
    <w:rsid w:val="001C0E0E"/>
    <w:rsid w:val="001C0E66"/>
    <w:rsid w:val="001C0EB9"/>
    <w:rsid w:val="001C0F48"/>
    <w:rsid w:val="001C1219"/>
    <w:rsid w:val="001C357A"/>
    <w:rsid w:val="001C3961"/>
    <w:rsid w:val="001C3A37"/>
    <w:rsid w:val="001C4384"/>
    <w:rsid w:val="001C4D0E"/>
    <w:rsid w:val="001C4F5B"/>
    <w:rsid w:val="001C55F5"/>
    <w:rsid w:val="001C65FF"/>
    <w:rsid w:val="001C6747"/>
    <w:rsid w:val="001D1876"/>
    <w:rsid w:val="001D3787"/>
    <w:rsid w:val="001D3ADA"/>
    <w:rsid w:val="001D3E55"/>
    <w:rsid w:val="001D47E5"/>
    <w:rsid w:val="001D55F5"/>
    <w:rsid w:val="001D584C"/>
    <w:rsid w:val="001D5E1B"/>
    <w:rsid w:val="001D66C1"/>
    <w:rsid w:val="001D6EF6"/>
    <w:rsid w:val="001D7C6F"/>
    <w:rsid w:val="001E0024"/>
    <w:rsid w:val="001E0C65"/>
    <w:rsid w:val="001E163B"/>
    <w:rsid w:val="001E23E3"/>
    <w:rsid w:val="001E29AF"/>
    <w:rsid w:val="001E32A0"/>
    <w:rsid w:val="001E387A"/>
    <w:rsid w:val="001E3DA4"/>
    <w:rsid w:val="001E4854"/>
    <w:rsid w:val="001E5469"/>
    <w:rsid w:val="001E5830"/>
    <w:rsid w:val="001E6004"/>
    <w:rsid w:val="001E67E1"/>
    <w:rsid w:val="001E684C"/>
    <w:rsid w:val="001E701C"/>
    <w:rsid w:val="001E7552"/>
    <w:rsid w:val="001E7C03"/>
    <w:rsid w:val="001F02AF"/>
    <w:rsid w:val="001F0649"/>
    <w:rsid w:val="001F0CFF"/>
    <w:rsid w:val="001F20B9"/>
    <w:rsid w:val="001F28F4"/>
    <w:rsid w:val="001F2902"/>
    <w:rsid w:val="001F2CC6"/>
    <w:rsid w:val="001F3055"/>
    <w:rsid w:val="001F31BC"/>
    <w:rsid w:val="001F378E"/>
    <w:rsid w:val="001F3988"/>
    <w:rsid w:val="001F3C79"/>
    <w:rsid w:val="001F3E68"/>
    <w:rsid w:val="001F4597"/>
    <w:rsid w:val="001F4DAE"/>
    <w:rsid w:val="001F56A9"/>
    <w:rsid w:val="001F5C6A"/>
    <w:rsid w:val="001F63A7"/>
    <w:rsid w:val="001F670A"/>
    <w:rsid w:val="002007DE"/>
    <w:rsid w:val="00200D15"/>
    <w:rsid w:val="00200E9C"/>
    <w:rsid w:val="0020200D"/>
    <w:rsid w:val="0020223B"/>
    <w:rsid w:val="0020294A"/>
    <w:rsid w:val="00203074"/>
    <w:rsid w:val="00203B09"/>
    <w:rsid w:val="00203B46"/>
    <w:rsid w:val="00203FCB"/>
    <w:rsid w:val="002048E1"/>
    <w:rsid w:val="002051C3"/>
    <w:rsid w:val="002070AB"/>
    <w:rsid w:val="002071D8"/>
    <w:rsid w:val="00207DB6"/>
    <w:rsid w:val="00210216"/>
    <w:rsid w:val="00210278"/>
    <w:rsid w:val="0021058E"/>
    <w:rsid w:val="00210CC2"/>
    <w:rsid w:val="00210F5B"/>
    <w:rsid w:val="00210FFA"/>
    <w:rsid w:val="00211262"/>
    <w:rsid w:val="0021139C"/>
    <w:rsid w:val="002115F5"/>
    <w:rsid w:val="00211AC9"/>
    <w:rsid w:val="00212530"/>
    <w:rsid w:val="0021329E"/>
    <w:rsid w:val="0021355B"/>
    <w:rsid w:val="00214DB7"/>
    <w:rsid w:val="00215061"/>
    <w:rsid w:val="0021507A"/>
    <w:rsid w:val="0021552C"/>
    <w:rsid w:val="00215A2C"/>
    <w:rsid w:val="00217980"/>
    <w:rsid w:val="002179F9"/>
    <w:rsid w:val="002205F2"/>
    <w:rsid w:val="0022080E"/>
    <w:rsid w:val="00220895"/>
    <w:rsid w:val="00220B20"/>
    <w:rsid w:val="0022139E"/>
    <w:rsid w:val="0022272B"/>
    <w:rsid w:val="00222A99"/>
    <w:rsid w:val="00222C66"/>
    <w:rsid w:val="00223678"/>
    <w:rsid w:val="002236F7"/>
    <w:rsid w:val="002238E2"/>
    <w:rsid w:val="00223E00"/>
    <w:rsid w:val="002252E0"/>
    <w:rsid w:val="002255F6"/>
    <w:rsid w:val="00225F36"/>
    <w:rsid w:val="0022613C"/>
    <w:rsid w:val="00226466"/>
    <w:rsid w:val="002266D0"/>
    <w:rsid w:val="00226887"/>
    <w:rsid w:val="00226B92"/>
    <w:rsid w:val="00227991"/>
    <w:rsid w:val="00227CF4"/>
    <w:rsid w:val="00230DAD"/>
    <w:rsid w:val="00231499"/>
    <w:rsid w:val="002321D8"/>
    <w:rsid w:val="0023229C"/>
    <w:rsid w:val="0023301B"/>
    <w:rsid w:val="002334DF"/>
    <w:rsid w:val="0023355C"/>
    <w:rsid w:val="00234280"/>
    <w:rsid w:val="002347E7"/>
    <w:rsid w:val="00234DD5"/>
    <w:rsid w:val="00235000"/>
    <w:rsid w:val="002350E3"/>
    <w:rsid w:val="00235330"/>
    <w:rsid w:val="00236443"/>
    <w:rsid w:val="002370B4"/>
    <w:rsid w:val="00237C6E"/>
    <w:rsid w:val="00240773"/>
    <w:rsid w:val="00240815"/>
    <w:rsid w:val="00240A5B"/>
    <w:rsid w:val="00240A79"/>
    <w:rsid w:val="00240C76"/>
    <w:rsid w:val="002411EF"/>
    <w:rsid w:val="00241446"/>
    <w:rsid w:val="00242730"/>
    <w:rsid w:val="002429CF"/>
    <w:rsid w:val="00242B02"/>
    <w:rsid w:val="002436BA"/>
    <w:rsid w:val="00244069"/>
    <w:rsid w:val="002443A7"/>
    <w:rsid w:val="002444ED"/>
    <w:rsid w:val="00244A15"/>
    <w:rsid w:val="00244D40"/>
    <w:rsid w:val="00246AE9"/>
    <w:rsid w:val="0024799E"/>
    <w:rsid w:val="00250C59"/>
    <w:rsid w:val="00250E0D"/>
    <w:rsid w:val="002518F6"/>
    <w:rsid w:val="00251AE8"/>
    <w:rsid w:val="00251B1E"/>
    <w:rsid w:val="00251D59"/>
    <w:rsid w:val="00252602"/>
    <w:rsid w:val="00252609"/>
    <w:rsid w:val="00252FDC"/>
    <w:rsid w:val="002532E2"/>
    <w:rsid w:val="00253E11"/>
    <w:rsid w:val="00254B3B"/>
    <w:rsid w:val="002550D8"/>
    <w:rsid w:val="00255D11"/>
    <w:rsid w:val="00257613"/>
    <w:rsid w:val="00260FBE"/>
    <w:rsid w:val="00261A0F"/>
    <w:rsid w:val="00261E5B"/>
    <w:rsid w:val="002622A2"/>
    <w:rsid w:val="00262F34"/>
    <w:rsid w:val="002633E5"/>
    <w:rsid w:val="00263470"/>
    <w:rsid w:val="00263733"/>
    <w:rsid w:val="00264676"/>
    <w:rsid w:val="00265536"/>
    <w:rsid w:val="00265E54"/>
    <w:rsid w:val="00266F3E"/>
    <w:rsid w:val="00270785"/>
    <w:rsid w:val="0027172E"/>
    <w:rsid w:val="00272464"/>
    <w:rsid w:val="00272B0B"/>
    <w:rsid w:val="00272CC5"/>
    <w:rsid w:val="00273C60"/>
    <w:rsid w:val="00273DCD"/>
    <w:rsid w:val="00274291"/>
    <w:rsid w:val="00276C09"/>
    <w:rsid w:val="00276CFE"/>
    <w:rsid w:val="00277071"/>
    <w:rsid w:val="0027786C"/>
    <w:rsid w:val="00277BF7"/>
    <w:rsid w:val="0028013E"/>
    <w:rsid w:val="00281416"/>
    <w:rsid w:val="00281E7F"/>
    <w:rsid w:val="00282084"/>
    <w:rsid w:val="00283C61"/>
    <w:rsid w:val="002846A5"/>
    <w:rsid w:val="00284C6F"/>
    <w:rsid w:val="00285CD3"/>
    <w:rsid w:val="0028633E"/>
    <w:rsid w:val="0028686A"/>
    <w:rsid w:val="00286E66"/>
    <w:rsid w:val="002870B7"/>
    <w:rsid w:val="00291417"/>
    <w:rsid w:val="002919B5"/>
    <w:rsid w:val="00293441"/>
    <w:rsid w:val="0029358C"/>
    <w:rsid w:val="00294238"/>
    <w:rsid w:val="0029493E"/>
    <w:rsid w:val="00295CF0"/>
    <w:rsid w:val="002962E0"/>
    <w:rsid w:val="00296C2E"/>
    <w:rsid w:val="002A0E4F"/>
    <w:rsid w:val="002A109C"/>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45"/>
    <w:rsid w:val="002A7CDA"/>
    <w:rsid w:val="002A7F47"/>
    <w:rsid w:val="002B1253"/>
    <w:rsid w:val="002B1544"/>
    <w:rsid w:val="002B1DC1"/>
    <w:rsid w:val="002B36C8"/>
    <w:rsid w:val="002B385B"/>
    <w:rsid w:val="002B6557"/>
    <w:rsid w:val="002B6888"/>
    <w:rsid w:val="002B6B7A"/>
    <w:rsid w:val="002B71B4"/>
    <w:rsid w:val="002B7240"/>
    <w:rsid w:val="002B7937"/>
    <w:rsid w:val="002C0219"/>
    <w:rsid w:val="002C0FF4"/>
    <w:rsid w:val="002C125A"/>
    <w:rsid w:val="002C2364"/>
    <w:rsid w:val="002C2668"/>
    <w:rsid w:val="002C43BD"/>
    <w:rsid w:val="002C493D"/>
    <w:rsid w:val="002C5261"/>
    <w:rsid w:val="002C6091"/>
    <w:rsid w:val="002C63C1"/>
    <w:rsid w:val="002C6648"/>
    <w:rsid w:val="002D0562"/>
    <w:rsid w:val="002D0DB0"/>
    <w:rsid w:val="002D1B5A"/>
    <w:rsid w:val="002D2500"/>
    <w:rsid w:val="002D2B94"/>
    <w:rsid w:val="002D338A"/>
    <w:rsid w:val="002D34BF"/>
    <w:rsid w:val="002D3F00"/>
    <w:rsid w:val="002D4062"/>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3766"/>
    <w:rsid w:val="002E4217"/>
    <w:rsid w:val="002E435E"/>
    <w:rsid w:val="002E61AD"/>
    <w:rsid w:val="002E73F2"/>
    <w:rsid w:val="002F07AC"/>
    <w:rsid w:val="002F33FB"/>
    <w:rsid w:val="002F57C6"/>
    <w:rsid w:val="002F65E8"/>
    <w:rsid w:val="002F663A"/>
    <w:rsid w:val="002F68A4"/>
    <w:rsid w:val="002F7594"/>
    <w:rsid w:val="002F7902"/>
    <w:rsid w:val="003003E7"/>
    <w:rsid w:val="00300552"/>
    <w:rsid w:val="003008A3"/>
    <w:rsid w:val="00300D6F"/>
    <w:rsid w:val="00301357"/>
    <w:rsid w:val="0030192C"/>
    <w:rsid w:val="00301D04"/>
    <w:rsid w:val="003034C7"/>
    <w:rsid w:val="003035D4"/>
    <w:rsid w:val="00303A3C"/>
    <w:rsid w:val="00303DCB"/>
    <w:rsid w:val="00304771"/>
    <w:rsid w:val="00304E6C"/>
    <w:rsid w:val="00305736"/>
    <w:rsid w:val="00305C33"/>
    <w:rsid w:val="00306934"/>
    <w:rsid w:val="00306C5B"/>
    <w:rsid w:val="00306E3B"/>
    <w:rsid w:val="0030768C"/>
    <w:rsid w:val="00307725"/>
    <w:rsid w:val="00310ADB"/>
    <w:rsid w:val="00310C41"/>
    <w:rsid w:val="00311204"/>
    <w:rsid w:val="003114A6"/>
    <w:rsid w:val="003119B6"/>
    <w:rsid w:val="003122D9"/>
    <w:rsid w:val="00312BF1"/>
    <w:rsid w:val="00312C3D"/>
    <w:rsid w:val="00314331"/>
    <w:rsid w:val="00315E64"/>
    <w:rsid w:val="00316708"/>
    <w:rsid w:val="00317E31"/>
    <w:rsid w:val="00320214"/>
    <w:rsid w:val="003209D6"/>
    <w:rsid w:val="0032109A"/>
    <w:rsid w:val="00321187"/>
    <w:rsid w:val="0032214F"/>
    <w:rsid w:val="00322164"/>
    <w:rsid w:val="0032318D"/>
    <w:rsid w:val="00323CF7"/>
    <w:rsid w:val="00323E61"/>
    <w:rsid w:val="0032513D"/>
    <w:rsid w:val="00326251"/>
    <w:rsid w:val="0032739C"/>
    <w:rsid w:val="003275E3"/>
    <w:rsid w:val="003276D1"/>
    <w:rsid w:val="00327DEE"/>
    <w:rsid w:val="003302DA"/>
    <w:rsid w:val="00330EB0"/>
    <w:rsid w:val="00331574"/>
    <w:rsid w:val="0033229B"/>
    <w:rsid w:val="003329F3"/>
    <w:rsid w:val="0033352E"/>
    <w:rsid w:val="00333690"/>
    <w:rsid w:val="00333D20"/>
    <w:rsid w:val="00333DF8"/>
    <w:rsid w:val="00333E05"/>
    <w:rsid w:val="00333F32"/>
    <w:rsid w:val="00333F53"/>
    <w:rsid w:val="003340EF"/>
    <w:rsid w:val="00334A49"/>
    <w:rsid w:val="00334FE5"/>
    <w:rsid w:val="0033536F"/>
    <w:rsid w:val="00335BB0"/>
    <w:rsid w:val="0033627B"/>
    <w:rsid w:val="00337726"/>
    <w:rsid w:val="003406BD"/>
    <w:rsid w:val="00343474"/>
    <w:rsid w:val="00343F84"/>
    <w:rsid w:val="00344135"/>
    <w:rsid w:val="003450E2"/>
    <w:rsid w:val="00351B63"/>
    <w:rsid w:val="00351ED7"/>
    <w:rsid w:val="00352482"/>
    <w:rsid w:val="00352E57"/>
    <w:rsid w:val="003541B0"/>
    <w:rsid w:val="0035457E"/>
    <w:rsid w:val="00355885"/>
    <w:rsid w:val="00355B2C"/>
    <w:rsid w:val="00355CAA"/>
    <w:rsid w:val="0035605E"/>
    <w:rsid w:val="00356244"/>
    <w:rsid w:val="00357449"/>
    <w:rsid w:val="00357C28"/>
    <w:rsid w:val="0036045E"/>
    <w:rsid w:val="00360FA0"/>
    <w:rsid w:val="00361F76"/>
    <w:rsid w:val="0036238B"/>
    <w:rsid w:val="00362408"/>
    <w:rsid w:val="003630B0"/>
    <w:rsid w:val="00364087"/>
    <w:rsid w:val="003649FC"/>
    <w:rsid w:val="003651A4"/>
    <w:rsid w:val="00365680"/>
    <w:rsid w:val="003657F3"/>
    <w:rsid w:val="00366D4D"/>
    <w:rsid w:val="00366F77"/>
    <w:rsid w:val="00367038"/>
    <w:rsid w:val="003670FE"/>
    <w:rsid w:val="0036710C"/>
    <w:rsid w:val="00370963"/>
    <w:rsid w:val="0037144E"/>
    <w:rsid w:val="00372272"/>
    <w:rsid w:val="0037290D"/>
    <w:rsid w:val="003736B5"/>
    <w:rsid w:val="00373C13"/>
    <w:rsid w:val="00374F1E"/>
    <w:rsid w:val="003750CF"/>
    <w:rsid w:val="003769F0"/>
    <w:rsid w:val="00376DEC"/>
    <w:rsid w:val="00377200"/>
    <w:rsid w:val="00377666"/>
    <w:rsid w:val="003777A0"/>
    <w:rsid w:val="0038034A"/>
    <w:rsid w:val="00380E04"/>
    <w:rsid w:val="00380E6C"/>
    <w:rsid w:val="00383227"/>
    <w:rsid w:val="003839C9"/>
    <w:rsid w:val="0038422D"/>
    <w:rsid w:val="00384D8F"/>
    <w:rsid w:val="003857A2"/>
    <w:rsid w:val="00385D98"/>
    <w:rsid w:val="00385EC5"/>
    <w:rsid w:val="0038658E"/>
    <w:rsid w:val="0038753E"/>
    <w:rsid w:val="003875C2"/>
    <w:rsid w:val="0039066E"/>
    <w:rsid w:val="00391C95"/>
    <w:rsid w:val="00392110"/>
    <w:rsid w:val="00393D74"/>
    <w:rsid w:val="003948D7"/>
    <w:rsid w:val="00394D49"/>
    <w:rsid w:val="003964C8"/>
    <w:rsid w:val="00396DAC"/>
    <w:rsid w:val="003971D0"/>
    <w:rsid w:val="003A0214"/>
    <w:rsid w:val="003A027D"/>
    <w:rsid w:val="003A0B39"/>
    <w:rsid w:val="003A1D74"/>
    <w:rsid w:val="003A2B4D"/>
    <w:rsid w:val="003A2D2B"/>
    <w:rsid w:val="003A2DD4"/>
    <w:rsid w:val="003A33DF"/>
    <w:rsid w:val="003A3982"/>
    <w:rsid w:val="003A3B1C"/>
    <w:rsid w:val="003A4088"/>
    <w:rsid w:val="003A478C"/>
    <w:rsid w:val="003A4F82"/>
    <w:rsid w:val="003A5525"/>
    <w:rsid w:val="003A6B38"/>
    <w:rsid w:val="003A72DF"/>
    <w:rsid w:val="003A7E9C"/>
    <w:rsid w:val="003B2142"/>
    <w:rsid w:val="003B23DC"/>
    <w:rsid w:val="003B2580"/>
    <w:rsid w:val="003B293F"/>
    <w:rsid w:val="003B2E63"/>
    <w:rsid w:val="003B2F75"/>
    <w:rsid w:val="003B3189"/>
    <w:rsid w:val="003B39B9"/>
    <w:rsid w:val="003B3A9D"/>
    <w:rsid w:val="003B3DDD"/>
    <w:rsid w:val="003B5031"/>
    <w:rsid w:val="003B5A32"/>
    <w:rsid w:val="003B6105"/>
    <w:rsid w:val="003C03CC"/>
    <w:rsid w:val="003C04C4"/>
    <w:rsid w:val="003C08E2"/>
    <w:rsid w:val="003C0B96"/>
    <w:rsid w:val="003C26F4"/>
    <w:rsid w:val="003C33F6"/>
    <w:rsid w:val="003C3686"/>
    <w:rsid w:val="003C38EB"/>
    <w:rsid w:val="003C3E2C"/>
    <w:rsid w:val="003C4852"/>
    <w:rsid w:val="003C5BC7"/>
    <w:rsid w:val="003C601E"/>
    <w:rsid w:val="003C66C4"/>
    <w:rsid w:val="003C6DB9"/>
    <w:rsid w:val="003C78D7"/>
    <w:rsid w:val="003D1A24"/>
    <w:rsid w:val="003D2393"/>
    <w:rsid w:val="003D2C4E"/>
    <w:rsid w:val="003D3600"/>
    <w:rsid w:val="003D3825"/>
    <w:rsid w:val="003D3EC4"/>
    <w:rsid w:val="003D42F9"/>
    <w:rsid w:val="003D44E2"/>
    <w:rsid w:val="003D4760"/>
    <w:rsid w:val="003D49DC"/>
    <w:rsid w:val="003D4DD9"/>
    <w:rsid w:val="003D4FB5"/>
    <w:rsid w:val="003D5135"/>
    <w:rsid w:val="003D59BE"/>
    <w:rsid w:val="003D5D7A"/>
    <w:rsid w:val="003D5E4B"/>
    <w:rsid w:val="003D653F"/>
    <w:rsid w:val="003D6B55"/>
    <w:rsid w:val="003D7323"/>
    <w:rsid w:val="003E0663"/>
    <w:rsid w:val="003E133F"/>
    <w:rsid w:val="003E49F6"/>
    <w:rsid w:val="003E699C"/>
    <w:rsid w:val="003E69F3"/>
    <w:rsid w:val="003E73E7"/>
    <w:rsid w:val="003E782E"/>
    <w:rsid w:val="003E7A0B"/>
    <w:rsid w:val="003E7B2B"/>
    <w:rsid w:val="003F0293"/>
    <w:rsid w:val="003F116D"/>
    <w:rsid w:val="003F181F"/>
    <w:rsid w:val="003F1A48"/>
    <w:rsid w:val="003F1E23"/>
    <w:rsid w:val="003F22F6"/>
    <w:rsid w:val="003F244B"/>
    <w:rsid w:val="003F2B0A"/>
    <w:rsid w:val="003F313C"/>
    <w:rsid w:val="003F32AB"/>
    <w:rsid w:val="003F341B"/>
    <w:rsid w:val="003F37FC"/>
    <w:rsid w:val="003F3A26"/>
    <w:rsid w:val="003F49A6"/>
    <w:rsid w:val="003F5047"/>
    <w:rsid w:val="003F5098"/>
    <w:rsid w:val="003F5568"/>
    <w:rsid w:val="003F5A95"/>
    <w:rsid w:val="003F6D19"/>
    <w:rsid w:val="003F77EC"/>
    <w:rsid w:val="003F795D"/>
    <w:rsid w:val="004000D5"/>
    <w:rsid w:val="00400244"/>
    <w:rsid w:val="004005C1"/>
    <w:rsid w:val="004009B7"/>
    <w:rsid w:val="00400BBD"/>
    <w:rsid w:val="004014D5"/>
    <w:rsid w:val="00401716"/>
    <w:rsid w:val="004018F7"/>
    <w:rsid w:val="00401A09"/>
    <w:rsid w:val="0040273A"/>
    <w:rsid w:val="00402C25"/>
    <w:rsid w:val="004036FB"/>
    <w:rsid w:val="004050D7"/>
    <w:rsid w:val="00405801"/>
    <w:rsid w:val="00405D51"/>
    <w:rsid w:val="004078BD"/>
    <w:rsid w:val="00410132"/>
    <w:rsid w:val="004104E4"/>
    <w:rsid w:val="00410A97"/>
    <w:rsid w:val="00410BCD"/>
    <w:rsid w:val="00410DE5"/>
    <w:rsid w:val="0041175D"/>
    <w:rsid w:val="004117CE"/>
    <w:rsid w:val="004123BE"/>
    <w:rsid w:val="00414CE5"/>
    <w:rsid w:val="00416673"/>
    <w:rsid w:val="0041685D"/>
    <w:rsid w:val="0042160D"/>
    <w:rsid w:val="00422502"/>
    <w:rsid w:val="0042376B"/>
    <w:rsid w:val="00423A3C"/>
    <w:rsid w:val="00423C04"/>
    <w:rsid w:val="00424D9B"/>
    <w:rsid w:val="0042681B"/>
    <w:rsid w:val="004269F9"/>
    <w:rsid w:val="00426C1F"/>
    <w:rsid w:val="00426D46"/>
    <w:rsid w:val="00427193"/>
    <w:rsid w:val="0043068A"/>
    <w:rsid w:val="004306E0"/>
    <w:rsid w:val="00431D54"/>
    <w:rsid w:val="00431F98"/>
    <w:rsid w:val="004329BE"/>
    <w:rsid w:val="00432C38"/>
    <w:rsid w:val="004342EC"/>
    <w:rsid w:val="00437376"/>
    <w:rsid w:val="00437C76"/>
    <w:rsid w:val="00437F4A"/>
    <w:rsid w:val="0044105C"/>
    <w:rsid w:val="00441494"/>
    <w:rsid w:val="00442197"/>
    <w:rsid w:val="0044315B"/>
    <w:rsid w:val="004437FC"/>
    <w:rsid w:val="00443E95"/>
    <w:rsid w:val="004441A0"/>
    <w:rsid w:val="00444268"/>
    <w:rsid w:val="00444326"/>
    <w:rsid w:val="004443BF"/>
    <w:rsid w:val="00444C19"/>
    <w:rsid w:val="00445218"/>
    <w:rsid w:val="00445CDD"/>
    <w:rsid w:val="00446367"/>
    <w:rsid w:val="00446892"/>
    <w:rsid w:val="00447267"/>
    <w:rsid w:val="00447E36"/>
    <w:rsid w:val="00450700"/>
    <w:rsid w:val="00450C30"/>
    <w:rsid w:val="004529C7"/>
    <w:rsid w:val="004540FF"/>
    <w:rsid w:val="004541F1"/>
    <w:rsid w:val="00455843"/>
    <w:rsid w:val="00455ECA"/>
    <w:rsid w:val="00455FE6"/>
    <w:rsid w:val="00457296"/>
    <w:rsid w:val="00457320"/>
    <w:rsid w:val="00460164"/>
    <w:rsid w:val="0046039A"/>
    <w:rsid w:val="00460A6B"/>
    <w:rsid w:val="00461977"/>
    <w:rsid w:val="00461A3F"/>
    <w:rsid w:val="004620C7"/>
    <w:rsid w:val="004629FD"/>
    <w:rsid w:val="00462AD2"/>
    <w:rsid w:val="004634F3"/>
    <w:rsid w:val="00463B4B"/>
    <w:rsid w:val="00463F4D"/>
    <w:rsid w:val="00464658"/>
    <w:rsid w:val="0046471F"/>
    <w:rsid w:val="00464BE8"/>
    <w:rsid w:val="00465019"/>
    <w:rsid w:val="00465FA4"/>
    <w:rsid w:val="0046613F"/>
    <w:rsid w:val="0046655D"/>
    <w:rsid w:val="00466808"/>
    <w:rsid w:val="00466AAE"/>
    <w:rsid w:val="0046765E"/>
    <w:rsid w:val="004676E2"/>
    <w:rsid w:val="00467B4F"/>
    <w:rsid w:val="00471EDD"/>
    <w:rsid w:val="00472F04"/>
    <w:rsid w:val="00473A27"/>
    <w:rsid w:val="00473E0B"/>
    <w:rsid w:val="00473E94"/>
    <w:rsid w:val="0047400C"/>
    <w:rsid w:val="00474471"/>
    <w:rsid w:val="004745D9"/>
    <w:rsid w:val="00474B94"/>
    <w:rsid w:val="00475FE2"/>
    <w:rsid w:val="004761D2"/>
    <w:rsid w:val="004762D8"/>
    <w:rsid w:val="004765B3"/>
    <w:rsid w:val="00476D29"/>
    <w:rsid w:val="00477241"/>
    <w:rsid w:val="0047728F"/>
    <w:rsid w:val="004774F5"/>
    <w:rsid w:val="00477EAF"/>
    <w:rsid w:val="00477EE0"/>
    <w:rsid w:val="004806A8"/>
    <w:rsid w:val="00480AB8"/>
    <w:rsid w:val="0048139F"/>
    <w:rsid w:val="00481C00"/>
    <w:rsid w:val="00482185"/>
    <w:rsid w:val="00482227"/>
    <w:rsid w:val="00483053"/>
    <w:rsid w:val="00484874"/>
    <w:rsid w:val="00484EA9"/>
    <w:rsid w:val="00485230"/>
    <w:rsid w:val="00486640"/>
    <w:rsid w:val="00486700"/>
    <w:rsid w:val="00487127"/>
    <w:rsid w:val="004879E9"/>
    <w:rsid w:val="00487F81"/>
    <w:rsid w:val="00490082"/>
    <w:rsid w:val="00490247"/>
    <w:rsid w:val="0049104F"/>
    <w:rsid w:val="00491091"/>
    <w:rsid w:val="00491218"/>
    <w:rsid w:val="00491CFD"/>
    <w:rsid w:val="00492991"/>
    <w:rsid w:val="00493362"/>
    <w:rsid w:val="00494343"/>
    <w:rsid w:val="00494AAB"/>
    <w:rsid w:val="0049540A"/>
    <w:rsid w:val="004954E3"/>
    <w:rsid w:val="00496C2F"/>
    <w:rsid w:val="0049740D"/>
    <w:rsid w:val="0049757F"/>
    <w:rsid w:val="004978D3"/>
    <w:rsid w:val="004A06A6"/>
    <w:rsid w:val="004A11F8"/>
    <w:rsid w:val="004A22BD"/>
    <w:rsid w:val="004A22FA"/>
    <w:rsid w:val="004A269A"/>
    <w:rsid w:val="004A26AF"/>
    <w:rsid w:val="004A26DB"/>
    <w:rsid w:val="004A30FB"/>
    <w:rsid w:val="004A35DD"/>
    <w:rsid w:val="004A37D3"/>
    <w:rsid w:val="004A3AD6"/>
    <w:rsid w:val="004A3BCE"/>
    <w:rsid w:val="004A434A"/>
    <w:rsid w:val="004A5865"/>
    <w:rsid w:val="004A59E4"/>
    <w:rsid w:val="004A6D7A"/>
    <w:rsid w:val="004A7670"/>
    <w:rsid w:val="004A7695"/>
    <w:rsid w:val="004A77DF"/>
    <w:rsid w:val="004B0295"/>
    <w:rsid w:val="004B0803"/>
    <w:rsid w:val="004B10A8"/>
    <w:rsid w:val="004B1F58"/>
    <w:rsid w:val="004B1F9D"/>
    <w:rsid w:val="004B22DA"/>
    <w:rsid w:val="004B3CB7"/>
    <w:rsid w:val="004B3D55"/>
    <w:rsid w:val="004B3DA2"/>
    <w:rsid w:val="004B55B7"/>
    <w:rsid w:val="004B5836"/>
    <w:rsid w:val="004B5F05"/>
    <w:rsid w:val="004B6195"/>
    <w:rsid w:val="004C00A6"/>
    <w:rsid w:val="004C0243"/>
    <w:rsid w:val="004C0BBB"/>
    <w:rsid w:val="004C0ECD"/>
    <w:rsid w:val="004C1AD6"/>
    <w:rsid w:val="004C1B86"/>
    <w:rsid w:val="004C1DEE"/>
    <w:rsid w:val="004C3382"/>
    <w:rsid w:val="004C3867"/>
    <w:rsid w:val="004C4AB7"/>
    <w:rsid w:val="004C4B88"/>
    <w:rsid w:val="004C4CD0"/>
    <w:rsid w:val="004C57B5"/>
    <w:rsid w:val="004C5C25"/>
    <w:rsid w:val="004C65FD"/>
    <w:rsid w:val="004C6717"/>
    <w:rsid w:val="004C6CFF"/>
    <w:rsid w:val="004C70A3"/>
    <w:rsid w:val="004C70DC"/>
    <w:rsid w:val="004C7268"/>
    <w:rsid w:val="004C7C50"/>
    <w:rsid w:val="004D0211"/>
    <w:rsid w:val="004D16B2"/>
    <w:rsid w:val="004D1C9C"/>
    <w:rsid w:val="004D2174"/>
    <w:rsid w:val="004D2A0E"/>
    <w:rsid w:val="004D2BE3"/>
    <w:rsid w:val="004D2BFB"/>
    <w:rsid w:val="004D458D"/>
    <w:rsid w:val="004D4F13"/>
    <w:rsid w:val="004D504B"/>
    <w:rsid w:val="004D536E"/>
    <w:rsid w:val="004D58CE"/>
    <w:rsid w:val="004D70B1"/>
    <w:rsid w:val="004D76CC"/>
    <w:rsid w:val="004E09D4"/>
    <w:rsid w:val="004E1415"/>
    <w:rsid w:val="004E1839"/>
    <w:rsid w:val="004E4A75"/>
    <w:rsid w:val="004E4A7B"/>
    <w:rsid w:val="004E541A"/>
    <w:rsid w:val="004E5A5C"/>
    <w:rsid w:val="004E633A"/>
    <w:rsid w:val="004E7007"/>
    <w:rsid w:val="004E76D6"/>
    <w:rsid w:val="004E7E53"/>
    <w:rsid w:val="004E7F57"/>
    <w:rsid w:val="004F06F5"/>
    <w:rsid w:val="004F11A2"/>
    <w:rsid w:val="004F14F3"/>
    <w:rsid w:val="004F191F"/>
    <w:rsid w:val="004F267A"/>
    <w:rsid w:val="004F2A4D"/>
    <w:rsid w:val="004F2A73"/>
    <w:rsid w:val="004F2BD2"/>
    <w:rsid w:val="004F33A0"/>
    <w:rsid w:val="004F353A"/>
    <w:rsid w:val="004F4004"/>
    <w:rsid w:val="004F4353"/>
    <w:rsid w:val="004F447D"/>
    <w:rsid w:val="004F4C28"/>
    <w:rsid w:val="004F4CEE"/>
    <w:rsid w:val="004F4E82"/>
    <w:rsid w:val="004F5470"/>
    <w:rsid w:val="004F5CC5"/>
    <w:rsid w:val="004F6350"/>
    <w:rsid w:val="004F7170"/>
    <w:rsid w:val="004F74B6"/>
    <w:rsid w:val="004F7990"/>
    <w:rsid w:val="00500DCA"/>
    <w:rsid w:val="005028E1"/>
    <w:rsid w:val="00503EC3"/>
    <w:rsid w:val="00505989"/>
    <w:rsid w:val="00506309"/>
    <w:rsid w:val="0050692E"/>
    <w:rsid w:val="00507040"/>
    <w:rsid w:val="005079F8"/>
    <w:rsid w:val="00510189"/>
    <w:rsid w:val="005108C0"/>
    <w:rsid w:val="00511873"/>
    <w:rsid w:val="00512603"/>
    <w:rsid w:val="00512CAA"/>
    <w:rsid w:val="00512CC5"/>
    <w:rsid w:val="0051367B"/>
    <w:rsid w:val="00513A89"/>
    <w:rsid w:val="00513B7E"/>
    <w:rsid w:val="005140DE"/>
    <w:rsid w:val="00514474"/>
    <w:rsid w:val="005147E9"/>
    <w:rsid w:val="0051507D"/>
    <w:rsid w:val="0051593C"/>
    <w:rsid w:val="00517567"/>
    <w:rsid w:val="0051778E"/>
    <w:rsid w:val="005215EF"/>
    <w:rsid w:val="00521973"/>
    <w:rsid w:val="00523550"/>
    <w:rsid w:val="0052439A"/>
    <w:rsid w:val="00524637"/>
    <w:rsid w:val="00524FDD"/>
    <w:rsid w:val="00525137"/>
    <w:rsid w:val="005251DD"/>
    <w:rsid w:val="00526DB6"/>
    <w:rsid w:val="0053017A"/>
    <w:rsid w:val="00530492"/>
    <w:rsid w:val="005308E4"/>
    <w:rsid w:val="005325A8"/>
    <w:rsid w:val="00532854"/>
    <w:rsid w:val="00532AD5"/>
    <w:rsid w:val="00534CDA"/>
    <w:rsid w:val="005350F2"/>
    <w:rsid w:val="00535152"/>
    <w:rsid w:val="00535359"/>
    <w:rsid w:val="005357A2"/>
    <w:rsid w:val="005359E3"/>
    <w:rsid w:val="00535D87"/>
    <w:rsid w:val="00535EF0"/>
    <w:rsid w:val="00535F78"/>
    <w:rsid w:val="005363DF"/>
    <w:rsid w:val="0053734B"/>
    <w:rsid w:val="005375B1"/>
    <w:rsid w:val="00537AFD"/>
    <w:rsid w:val="00537CB4"/>
    <w:rsid w:val="00537FA2"/>
    <w:rsid w:val="00540CB3"/>
    <w:rsid w:val="00540D25"/>
    <w:rsid w:val="00541822"/>
    <w:rsid w:val="00541BDA"/>
    <w:rsid w:val="00542D19"/>
    <w:rsid w:val="0054516B"/>
    <w:rsid w:val="0054559E"/>
    <w:rsid w:val="005459BD"/>
    <w:rsid w:val="00546833"/>
    <w:rsid w:val="0054787A"/>
    <w:rsid w:val="005513D5"/>
    <w:rsid w:val="005523B9"/>
    <w:rsid w:val="00553C88"/>
    <w:rsid w:val="005545E0"/>
    <w:rsid w:val="00554865"/>
    <w:rsid w:val="00554E57"/>
    <w:rsid w:val="00555B84"/>
    <w:rsid w:val="005562DC"/>
    <w:rsid w:val="00556A44"/>
    <w:rsid w:val="00557E6A"/>
    <w:rsid w:val="0056260F"/>
    <w:rsid w:val="00562749"/>
    <w:rsid w:val="00562DE9"/>
    <w:rsid w:val="005638A5"/>
    <w:rsid w:val="00564137"/>
    <w:rsid w:val="005659C0"/>
    <w:rsid w:val="00566381"/>
    <w:rsid w:val="00566A03"/>
    <w:rsid w:val="00566DD6"/>
    <w:rsid w:val="00571932"/>
    <w:rsid w:val="00572045"/>
    <w:rsid w:val="00573C97"/>
    <w:rsid w:val="00574240"/>
    <w:rsid w:val="005742F9"/>
    <w:rsid w:val="0057454C"/>
    <w:rsid w:val="005746C8"/>
    <w:rsid w:val="005752EB"/>
    <w:rsid w:val="005755FE"/>
    <w:rsid w:val="005759C3"/>
    <w:rsid w:val="00575CDC"/>
    <w:rsid w:val="005765D5"/>
    <w:rsid w:val="00576A3E"/>
    <w:rsid w:val="0057703D"/>
    <w:rsid w:val="005809ED"/>
    <w:rsid w:val="00581892"/>
    <w:rsid w:val="005832AD"/>
    <w:rsid w:val="0058366F"/>
    <w:rsid w:val="00583D5B"/>
    <w:rsid w:val="00583FFD"/>
    <w:rsid w:val="00585AD5"/>
    <w:rsid w:val="00587CCD"/>
    <w:rsid w:val="00587FDB"/>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3B35"/>
    <w:rsid w:val="005A3F2D"/>
    <w:rsid w:val="005A54EE"/>
    <w:rsid w:val="005A563B"/>
    <w:rsid w:val="005A5F82"/>
    <w:rsid w:val="005A5FAD"/>
    <w:rsid w:val="005A6131"/>
    <w:rsid w:val="005A61D1"/>
    <w:rsid w:val="005A6E85"/>
    <w:rsid w:val="005A7500"/>
    <w:rsid w:val="005A77E4"/>
    <w:rsid w:val="005A77F6"/>
    <w:rsid w:val="005B0262"/>
    <w:rsid w:val="005B0B8F"/>
    <w:rsid w:val="005B0E5D"/>
    <w:rsid w:val="005B1BDB"/>
    <w:rsid w:val="005B216E"/>
    <w:rsid w:val="005B22A7"/>
    <w:rsid w:val="005B2BAA"/>
    <w:rsid w:val="005B2D53"/>
    <w:rsid w:val="005B3247"/>
    <w:rsid w:val="005B3409"/>
    <w:rsid w:val="005B498A"/>
    <w:rsid w:val="005B4B28"/>
    <w:rsid w:val="005B52D0"/>
    <w:rsid w:val="005B59B6"/>
    <w:rsid w:val="005B7B12"/>
    <w:rsid w:val="005C16CB"/>
    <w:rsid w:val="005C21D6"/>
    <w:rsid w:val="005C2E13"/>
    <w:rsid w:val="005C3F9F"/>
    <w:rsid w:val="005C406F"/>
    <w:rsid w:val="005C40BA"/>
    <w:rsid w:val="005C4A23"/>
    <w:rsid w:val="005C562C"/>
    <w:rsid w:val="005C5812"/>
    <w:rsid w:val="005C5F12"/>
    <w:rsid w:val="005C6400"/>
    <w:rsid w:val="005C7F1E"/>
    <w:rsid w:val="005D073B"/>
    <w:rsid w:val="005D25B4"/>
    <w:rsid w:val="005D374F"/>
    <w:rsid w:val="005D4B67"/>
    <w:rsid w:val="005D5802"/>
    <w:rsid w:val="005D5DAE"/>
    <w:rsid w:val="005D69C7"/>
    <w:rsid w:val="005D6CFC"/>
    <w:rsid w:val="005D73E2"/>
    <w:rsid w:val="005D757A"/>
    <w:rsid w:val="005D7C4B"/>
    <w:rsid w:val="005E1871"/>
    <w:rsid w:val="005E1E4B"/>
    <w:rsid w:val="005E362D"/>
    <w:rsid w:val="005E3A0C"/>
    <w:rsid w:val="005E3FAC"/>
    <w:rsid w:val="005E4483"/>
    <w:rsid w:val="005E4728"/>
    <w:rsid w:val="005E492C"/>
    <w:rsid w:val="005E49A3"/>
    <w:rsid w:val="005E4BAA"/>
    <w:rsid w:val="005E52EF"/>
    <w:rsid w:val="005E5B56"/>
    <w:rsid w:val="005E5F0B"/>
    <w:rsid w:val="005E6088"/>
    <w:rsid w:val="005E61DF"/>
    <w:rsid w:val="005E697F"/>
    <w:rsid w:val="005E6AB8"/>
    <w:rsid w:val="005E6B65"/>
    <w:rsid w:val="005E6B78"/>
    <w:rsid w:val="005E75B8"/>
    <w:rsid w:val="005F0867"/>
    <w:rsid w:val="005F0976"/>
    <w:rsid w:val="005F23BB"/>
    <w:rsid w:val="005F26CE"/>
    <w:rsid w:val="005F294D"/>
    <w:rsid w:val="005F38D3"/>
    <w:rsid w:val="005F3F04"/>
    <w:rsid w:val="005F4057"/>
    <w:rsid w:val="005F4088"/>
    <w:rsid w:val="005F42F4"/>
    <w:rsid w:val="005F4982"/>
    <w:rsid w:val="005F4C83"/>
    <w:rsid w:val="005F5628"/>
    <w:rsid w:val="005F5916"/>
    <w:rsid w:val="005F601D"/>
    <w:rsid w:val="005F6119"/>
    <w:rsid w:val="005F7940"/>
    <w:rsid w:val="00600712"/>
    <w:rsid w:val="0060107A"/>
    <w:rsid w:val="00601AFF"/>
    <w:rsid w:val="00601F2E"/>
    <w:rsid w:val="00602D1D"/>
    <w:rsid w:val="0060318F"/>
    <w:rsid w:val="00604307"/>
    <w:rsid w:val="0060487F"/>
    <w:rsid w:val="00604D90"/>
    <w:rsid w:val="00605814"/>
    <w:rsid w:val="00605C22"/>
    <w:rsid w:val="00606B93"/>
    <w:rsid w:val="00607727"/>
    <w:rsid w:val="00607934"/>
    <w:rsid w:val="00610BD5"/>
    <w:rsid w:val="00610F00"/>
    <w:rsid w:val="00611363"/>
    <w:rsid w:val="00611531"/>
    <w:rsid w:val="006118AA"/>
    <w:rsid w:val="00611A08"/>
    <w:rsid w:val="00611C28"/>
    <w:rsid w:val="00611E4E"/>
    <w:rsid w:val="00612E84"/>
    <w:rsid w:val="006139C7"/>
    <w:rsid w:val="00614A9F"/>
    <w:rsid w:val="006150EA"/>
    <w:rsid w:val="006153E3"/>
    <w:rsid w:val="00615696"/>
    <w:rsid w:val="006162F6"/>
    <w:rsid w:val="006167AB"/>
    <w:rsid w:val="0061718A"/>
    <w:rsid w:val="00617D2D"/>
    <w:rsid w:val="00617D83"/>
    <w:rsid w:val="00620430"/>
    <w:rsid w:val="00620AC5"/>
    <w:rsid w:val="00620E7D"/>
    <w:rsid w:val="0062130B"/>
    <w:rsid w:val="00621575"/>
    <w:rsid w:val="006215FC"/>
    <w:rsid w:val="00622931"/>
    <w:rsid w:val="00624093"/>
    <w:rsid w:val="0062588B"/>
    <w:rsid w:val="006260B8"/>
    <w:rsid w:val="00630F66"/>
    <w:rsid w:val="00631FC2"/>
    <w:rsid w:val="00632171"/>
    <w:rsid w:val="006321EB"/>
    <w:rsid w:val="00632886"/>
    <w:rsid w:val="0063332A"/>
    <w:rsid w:val="006347F9"/>
    <w:rsid w:val="0063494E"/>
    <w:rsid w:val="00634C90"/>
    <w:rsid w:val="00635818"/>
    <w:rsid w:val="00635E79"/>
    <w:rsid w:val="00636E5E"/>
    <w:rsid w:val="006374C3"/>
    <w:rsid w:val="006379E0"/>
    <w:rsid w:val="00637D0E"/>
    <w:rsid w:val="006404A7"/>
    <w:rsid w:val="006407F3"/>
    <w:rsid w:val="006408EC"/>
    <w:rsid w:val="0064129B"/>
    <w:rsid w:val="00641DF7"/>
    <w:rsid w:val="0064229B"/>
    <w:rsid w:val="00643497"/>
    <w:rsid w:val="006436E8"/>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2EB"/>
    <w:rsid w:val="006637B1"/>
    <w:rsid w:val="00663CFD"/>
    <w:rsid w:val="006647AD"/>
    <w:rsid w:val="00664B64"/>
    <w:rsid w:val="00665691"/>
    <w:rsid w:val="00665D67"/>
    <w:rsid w:val="00665D77"/>
    <w:rsid w:val="006660CD"/>
    <w:rsid w:val="00666883"/>
    <w:rsid w:val="00666B1D"/>
    <w:rsid w:val="00666EC8"/>
    <w:rsid w:val="00666F4B"/>
    <w:rsid w:val="0066759E"/>
    <w:rsid w:val="006676D0"/>
    <w:rsid w:val="0066796E"/>
    <w:rsid w:val="00670FAC"/>
    <w:rsid w:val="006710C9"/>
    <w:rsid w:val="006716A5"/>
    <w:rsid w:val="006717CC"/>
    <w:rsid w:val="006743E8"/>
    <w:rsid w:val="00675E37"/>
    <w:rsid w:val="00675F0F"/>
    <w:rsid w:val="006764ED"/>
    <w:rsid w:val="00676AFC"/>
    <w:rsid w:val="00676F11"/>
    <w:rsid w:val="00677CA8"/>
    <w:rsid w:val="00680079"/>
    <w:rsid w:val="00680ECC"/>
    <w:rsid w:val="00680F68"/>
    <w:rsid w:val="0068260E"/>
    <w:rsid w:val="0068331B"/>
    <w:rsid w:val="0068373D"/>
    <w:rsid w:val="00683BFE"/>
    <w:rsid w:val="0068437D"/>
    <w:rsid w:val="006846B0"/>
    <w:rsid w:val="00684C41"/>
    <w:rsid w:val="006857DF"/>
    <w:rsid w:val="00685C9E"/>
    <w:rsid w:val="00685E66"/>
    <w:rsid w:val="00686B72"/>
    <w:rsid w:val="00686BF1"/>
    <w:rsid w:val="0068748C"/>
    <w:rsid w:val="00687AE5"/>
    <w:rsid w:val="00690A09"/>
    <w:rsid w:val="00690A25"/>
    <w:rsid w:val="006919B7"/>
    <w:rsid w:val="006936AD"/>
    <w:rsid w:val="00693EA1"/>
    <w:rsid w:val="00693FEA"/>
    <w:rsid w:val="00694930"/>
    <w:rsid w:val="00694FFD"/>
    <w:rsid w:val="00695170"/>
    <w:rsid w:val="006954D8"/>
    <w:rsid w:val="00695BEF"/>
    <w:rsid w:val="006960D6"/>
    <w:rsid w:val="006963FB"/>
    <w:rsid w:val="00696AA5"/>
    <w:rsid w:val="006977F6"/>
    <w:rsid w:val="0069789D"/>
    <w:rsid w:val="00697A13"/>
    <w:rsid w:val="006A109C"/>
    <w:rsid w:val="006A150D"/>
    <w:rsid w:val="006A18AE"/>
    <w:rsid w:val="006A23E1"/>
    <w:rsid w:val="006A2EE8"/>
    <w:rsid w:val="006A3CF3"/>
    <w:rsid w:val="006A568F"/>
    <w:rsid w:val="006A65EF"/>
    <w:rsid w:val="006A672B"/>
    <w:rsid w:val="006A70FC"/>
    <w:rsid w:val="006A7596"/>
    <w:rsid w:val="006B1684"/>
    <w:rsid w:val="006B1781"/>
    <w:rsid w:val="006B23A9"/>
    <w:rsid w:val="006B23D8"/>
    <w:rsid w:val="006B281D"/>
    <w:rsid w:val="006B2D5B"/>
    <w:rsid w:val="006B3F8A"/>
    <w:rsid w:val="006B59D7"/>
    <w:rsid w:val="006B5CA3"/>
    <w:rsid w:val="006B6B3B"/>
    <w:rsid w:val="006B7248"/>
    <w:rsid w:val="006B7714"/>
    <w:rsid w:val="006B78D8"/>
    <w:rsid w:val="006B7CCE"/>
    <w:rsid w:val="006C0032"/>
    <w:rsid w:val="006C090F"/>
    <w:rsid w:val="006C0935"/>
    <w:rsid w:val="006C0BCE"/>
    <w:rsid w:val="006C113F"/>
    <w:rsid w:val="006C21CE"/>
    <w:rsid w:val="006C26C2"/>
    <w:rsid w:val="006C2AED"/>
    <w:rsid w:val="006C36F4"/>
    <w:rsid w:val="006C38DD"/>
    <w:rsid w:val="006C457F"/>
    <w:rsid w:val="006C53C7"/>
    <w:rsid w:val="006C5577"/>
    <w:rsid w:val="006C559A"/>
    <w:rsid w:val="006C58FA"/>
    <w:rsid w:val="006C6197"/>
    <w:rsid w:val="006D004F"/>
    <w:rsid w:val="006D042D"/>
    <w:rsid w:val="006D06EF"/>
    <w:rsid w:val="006D142E"/>
    <w:rsid w:val="006D381F"/>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44A3"/>
    <w:rsid w:val="006E4A1B"/>
    <w:rsid w:val="006E59FC"/>
    <w:rsid w:val="006E5CFD"/>
    <w:rsid w:val="006E7E2C"/>
    <w:rsid w:val="006E7E7D"/>
    <w:rsid w:val="006F1326"/>
    <w:rsid w:val="006F2280"/>
    <w:rsid w:val="006F2BAE"/>
    <w:rsid w:val="006F2BEE"/>
    <w:rsid w:val="006F2D35"/>
    <w:rsid w:val="006F3708"/>
    <w:rsid w:val="006F376C"/>
    <w:rsid w:val="006F3A90"/>
    <w:rsid w:val="006F3E6B"/>
    <w:rsid w:val="006F4619"/>
    <w:rsid w:val="006F4A59"/>
    <w:rsid w:val="006F6968"/>
    <w:rsid w:val="00700232"/>
    <w:rsid w:val="00701382"/>
    <w:rsid w:val="007014C7"/>
    <w:rsid w:val="0070189B"/>
    <w:rsid w:val="00702100"/>
    <w:rsid w:val="007024BF"/>
    <w:rsid w:val="00702D6F"/>
    <w:rsid w:val="007031C6"/>
    <w:rsid w:val="00703B6C"/>
    <w:rsid w:val="00703C6B"/>
    <w:rsid w:val="007047D5"/>
    <w:rsid w:val="00705D98"/>
    <w:rsid w:val="00707891"/>
    <w:rsid w:val="00707D43"/>
    <w:rsid w:val="00710F7C"/>
    <w:rsid w:val="0071156F"/>
    <w:rsid w:val="00711EF1"/>
    <w:rsid w:val="0071201A"/>
    <w:rsid w:val="0071229A"/>
    <w:rsid w:val="007122C8"/>
    <w:rsid w:val="00712572"/>
    <w:rsid w:val="00713495"/>
    <w:rsid w:val="00713EEB"/>
    <w:rsid w:val="007142C1"/>
    <w:rsid w:val="00715487"/>
    <w:rsid w:val="007159D2"/>
    <w:rsid w:val="00716DCC"/>
    <w:rsid w:val="00717173"/>
    <w:rsid w:val="00717726"/>
    <w:rsid w:val="0072050E"/>
    <w:rsid w:val="00720958"/>
    <w:rsid w:val="00720FA2"/>
    <w:rsid w:val="007211F5"/>
    <w:rsid w:val="007240C5"/>
    <w:rsid w:val="00724666"/>
    <w:rsid w:val="00724E80"/>
    <w:rsid w:val="00725492"/>
    <w:rsid w:val="007256B7"/>
    <w:rsid w:val="00726043"/>
    <w:rsid w:val="0072704A"/>
    <w:rsid w:val="007275D2"/>
    <w:rsid w:val="007279B9"/>
    <w:rsid w:val="007303CA"/>
    <w:rsid w:val="00730AE8"/>
    <w:rsid w:val="007315DA"/>
    <w:rsid w:val="00731963"/>
    <w:rsid w:val="0073249D"/>
    <w:rsid w:val="00732706"/>
    <w:rsid w:val="0073325D"/>
    <w:rsid w:val="00734321"/>
    <w:rsid w:val="00734597"/>
    <w:rsid w:val="00734EE6"/>
    <w:rsid w:val="00735044"/>
    <w:rsid w:val="0073532E"/>
    <w:rsid w:val="00735B01"/>
    <w:rsid w:val="00735B5A"/>
    <w:rsid w:val="007367BE"/>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DD4"/>
    <w:rsid w:val="00745F3C"/>
    <w:rsid w:val="00746DD9"/>
    <w:rsid w:val="00746F90"/>
    <w:rsid w:val="00747A35"/>
    <w:rsid w:val="007502A6"/>
    <w:rsid w:val="0075057A"/>
    <w:rsid w:val="00751771"/>
    <w:rsid w:val="00751C1C"/>
    <w:rsid w:val="00752180"/>
    <w:rsid w:val="007521A1"/>
    <w:rsid w:val="0075258D"/>
    <w:rsid w:val="00752BC3"/>
    <w:rsid w:val="0075315D"/>
    <w:rsid w:val="007538F9"/>
    <w:rsid w:val="00753D29"/>
    <w:rsid w:val="00754253"/>
    <w:rsid w:val="007552BB"/>
    <w:rsid w:val="007558D3"/>
    <w:rsid w:val="007559D7"/>
    <w:rsid w:val="00755D3A"/>
    <w:rsid w:val="00760141"/>
    <w:rsid w:val="007609C6"/>
    <w:rsid w:val="007610A0"/>
    <w:rsid w:val="007610C3"/>
    <w:rsid w:val="00761605"/>
    <w:rsid w:val="00762036"/>
    <w:rsid w:val="007620F2"/>
    <w:rsid w:val="0076231A"/>
    <w:rsid w:val="00762EBA"/>
    <w:rsid w:val="00763498"/>
    <w:rsid w:val="0076359D"/>
    <w:rsid w:val="00763A13"/>
    <w:rsid w:val="00763D86"/>
    <w:rsid w:val="007661BD"/>
    <w:rsid w:val="0077058D"/>
    <w:rsid w:val="00770931"/>
    <w:rsid w:val="00770FBA"/>
    <w:rsid w:val="00772536"/>
    <w:rsid w:val="00773079"/>
    <w:rsid w:val="00773613"/>
    <w:rsid w:val="0077430F"/>
    <w:rsid w:val="00774782"/>
    <w:rsid w:val="00775512"/>
    <w:rsid w:val="00776476"/>
    <w:rsid w:val="00776527"/>
    <w:rsid w:val="00777DB1"/>
    <w:rsid w:val="007805E1"/>
    <w:rsid w:val="00780DDF"/>
    <w:rsid w:val="00781061"/>
    <w:rsid w:val="0078113E"/>
    <w:rsid w:val="00781834"/>
    <w:rsid w:val="007821DB"/>
    <w:rsid w:val="00782818"/>
    <w:rsid w:val="007838F1"/>
    <w:rsid w:val="007841BB"/>
    <w:rsid w:val="00784C4A"/>
    <w:rsid w:val="00787267"/>
    <w:rsid w:val="00787432"/>
    <w:rsid w:val="00787507"/>
    <w:rsid w:val="0078778C"/>
    <w:rsid w:val="007879F2"/>
    <w:rsid w:val="00790393"/>
    <w:rsid w:val="00791804"/>
    <w:rsid w:val="0079197F"/>
    <w:rsid w:val="00791CF8"/>
    <w:rsid w:val="00791DB3"/>
    <w:rsid w:val="00791EF9"/>
    <w:rsid w:val="00792262"/>
    <w:rsid w:val="00793387"/>
    <w:rsid w:val="00793BAE"/>
    <w:rsid w:val="007941C3"/>
    <w:rsid w:val="00794870"/>
    <w:rsid w:val="00794E0A"/>
    <w:rsid w:val="00794E50"/>
    <w:rsid w:val="00795B04"/>
    <w:rsid w:val="00796642"/>
    <w:rsid w:val="00796889"/>
    <w:rsid w:val="007A098D"/>
    <w:rsid w:val="007A11D9"/>
    <w:rsid w:val="007A327B"/>
    <w:rsid w:val="007A4048"/>
    <w:rsid w:val="007A45B1"/>
    <w:rsid w:val="007A4606"/>
    <w:rsid w:val="007A4BC3"/>
    <w:rsid w:val="007A4D58"/>
    <w:rsid w:val="007A5039"/>
    <w:rsid w:val="007B0353"/>
    <w:rsid w:val="007B04E8"/>
    <w:rsid w:val="007B0D67"/>
    <w:rsid w:val="007B0F90"/>
    <w:rsid w:val="007B1966"/>
    <w:rsid w:val="007B2257"/>
    <w:rsid w:val="007B2779"/>
    <w:rsid w:val="007B2AF7"/>
    <w:rsid w:val="007B3048"/>
    <w:rsid w:val="007B3DCC"/>
    <w:rsid w:val="007B4518"/>
    <w:rsid w:val="007B5031"/>
    <w:rsid w:val="007B573F"/>
    <w:rsid w:val="007B6176"/>
    <w:rsid w:val="007B72AC"/>
    <w:rsid w:val="007B78F8"/>
    <w:rsid w:val="007C004C"/>
    <w:rsid w:val="007C0065"/>
    <w:rsid w:val="007C010B"/>
    <w:rsid w:val="007C1D28"/>
    <w:rsid w:val="007C32B6"/>
    <w:rsid w:val="007C3AE3"/>
    <w:rsid w:val="007C605B"/>
    <w:rsid w:val="007C6EBA"/>
    <w:rsid w:val="007C7BAC"/>
    <w:rsid w:val="007C7CC5"/>
    <w:rsid w:val="007C7E1C"/>
    <w:rsid w:val="007D1996"/>
    <w:rsid w:val="007D232E"/>
    <w:rsid w:val="007D2A5A"/>
    <w:rsid w:val="007D2A86"/>
    <w:rsid w:val="007D2AD8"/>
    <w:rsid w:val="007D2C47"/>
    <w:rsid w:val="007D2C61"/>
    <w:rsid w:val="007D2DA3"/>
    <w:rsid w:val="007D2F81"/>
    <w:rsid w:val="007D3167"/>
    <w:rsid w:val="007D3524"/>
    <w:rsid w:val="007D368A"/>
    <w:rsid w:val="007D3CF7"/>
    <w:rsid w:val="007D4128"/>
    <w:rsid w:val="007D4215"/>
    <w:rsid w:val="007D4281"/>
    <w:rsid w:val="007D42F5"/>
    <w:rsid w:val="007D44C3"/>
    <w:rsid w:val="007D5055"/>
    <w:rsid w:val="007D5947"/>
    <w:rsid w:val="007D65C1"/>
    <w:rsid w:val="007D7131"/>
    <w:rsid w:val="007E030F"/>
    <w:rsid w:val="007E0D49"/>
    <w:rsid w:val="007E0E59"/>
    <w:rsid w:val="007E0F4B"/>
    <w:rsid w:val="007E12C1"/>
    <w:rsid w:val="007E1EF7"/>
    <w:rsid w:val="007E28DB"/>
    <w:rsid w:val="007E3715"/>
    <w:rsid w:val="007E5880"/>
    <w:rsid w:val="007E5A02"/>
    <w:rsid w:val="007E5F3D"/>
    <w:rsid w:val="007E6588"/>
    <w:rsid w:val="007E6C28"/>
    <w:rsid w:val="007E7063"/>
    <w:rsid w:val="007E7E61"/>
    <w:rsid w:val="007F0316"/>
    <w:rsid w:val="007F0845"/>
    <w:rsid w:val="007F0DF6"/>
    <w:rsid w:val="007F1092"/>
    <w:rsid w:val="007F16F9"/>
    <w:rsid w:val="007F2801"/>
    <w:rsid w:val="007F2F76"/>
    <w:rsid w:val="007F3E3E"/>
    <w:rsid w:val="007F3FFE"/>
    <w:rsid w:val="007F42E0"/>
    <w:rsid w:val="007F500D"/>
    <w:rsid w:val="007F5F14"/>
    <w:rsid w:val="007F7B54"/>
    <w:rsid w:val="007F7C60"/>
    <w:rsid w:val="00800073"/>
    <w:rsid w:val="008005D7"/>
    <w:rsid w:val="00800C6A"/>
    <w:rsid w:val="00801FDD"/>
    <w:rsid w:val="008020C2"/>
    <w:rsid w:val="0080255C"/>
    <w:rsid w:val="00804137"/>
    <w:rsid w:val="00805287"/>
    <w:rsid w:val="008054FB"/>
    <w:rsid w:val="00806088"/>
    <w:rsid w:val="00806D07"/>
    <w:rsid w:val="00806D73"/>
    <w:rsid w:val="008075CD"/>
    <w:rsid w:val="0081019B"/>
    <w:rsid w:val="00811107"/>
    <w:rsid w:val="0081187C"/>
    <w:rsid w:val="00811E24"/>
    <w:rsid w:val="008120C5"/>
    <w:rsid w:val="00812129"/>
    <w:rsid w:val="00812386"/>
    <w:rsid w:val="00812E2B"/>
    <w:rsid w:val="00813A70"/>
    <w:rsid w:val="00813CB4"/>
    <w:rsid w:val="00813DB0"/>
    <w:rsid w:val="00813FE6"/>
    <w:rsid w:val="00815B82"/>
    <w:rsid w:val="00815C6E"/>
    <w:rsid w:val="00815DD0"/>
    <w:rsid w:val="00815F10"/>
    <w:rsid w:val="0081645F"/>
    <w:rsid w:val="00816475"/>
    <w:rsid w:val="008167A9"/>
    <w:rsid w:val="00816A28"/>
    <w:rsid w:val="008174A3"/>
    <w:rsid w:val="00817755"/>
    <w:rsid w:val="008178C2"/>
    <w:rsid w:val="008178CF"/>
    <w:rsid w:val="00817C98"/>
    <w:rsid w:val="00820C9F"/>
    <w:rsid w:val="008215A1"/>
    <w:rsid w:val="00821AAE"/>
    <w:rsid w:val="00821FF6"/>
    <w:rsid w:val="00823AAF"/>
    <w:rsid w:val="00824081"/>
    <w:rsid w:val="0082409A"/>
    <w:rsid w:val="008252D7"/>
    <w:rsid w:val="00825C0F"/>
    <w:rsid w:val="00826376"/>
    <w:rsid w:val="00826ED1"/>
    <w:rsid w:val="00826EE3"/>
    <w:rsid w:val="00827181"/>
    <w:rsid w:val="0082733C"/>
    <w:rsid w:val="008276AB"/>
    <w:rsid w:val="00827746"/>
    <w:rsid w:val="008277A3"/>
    <w:rsid w:val="0083102D"/>
    <w:rsid w:val="0083143E"/>
    <w:rsid w:val="0083159D"/>
    <w:rsid w:val="008318FF"/>
    <w:rsid w:val="00832187"/>
    <w:rsid w:val="00832493"/>
    <w:rsid w:val="008329BD"/>
    <w:rsid w:val="00832E47"/>
    <w:rsid w:val="008334C3"/>
    <w:rsid w:val="008336D8"/>
    <w:rsid w:val="008339C4"/>
    <w:rsid w:val="00833B90"/>
    <w:rsid w:val="00834F0A"/>
    <w:rsid w:val="00834FAA"/>
    <w:rsid w:val="00835181"/>
    <w:rsid w:val="0083570E"/>
    <w:rsid w:val="00835991"/>
    <w:rsid w:val="00835B51"/>
    <w:rsid w:val="00836086"/>
    <w:rsid w:val="00836BAD"/>
    <w:rsid w:val="00840699"/>
    <w:rsid w:val="00841D9F"/>
    <w:rsid w:val="00842078"/>
    <w:rsid w:val="00842604"/>
    <w:rsid w:val="00843CEC"/>
    <w:rsid w:val="00843ECF"/>
    <w:rsid w:val="00845AB1"/>
    <w:rsid w:val="00846673"/>
    <w:rsid w:val="008508A9"/>
    <w:rsid w:val="0085188D"/>
    <w:rsid w:val="008518D8"/>
    <w:rsid w:val="008525F9"/>
    <w:rsid w:val="0085281A"/>
    <w:rsid w:val="00853C0F"/>
    <w:rsid w:val="00853F33"/>
    <w:rsid w:val="00854116"/>
    <w:rsid w:val="008548EA"/>
    <w:rsid w:val="008550EA"/>
    <w:rsid w:val="00855458"/>
    <w:rsid w:val="008559FE"/>
    <w:rsid w:val="00855C69"/>
    <w:rsid w:val="0085686D"/>
    <w:rsid w:val="00857339"/>
    <w:rsid w:val="00860706"/>
    <w:rsid w:val="00861ABA"/>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23F"/>
    <w:rsid w:val="00870F2B"/>
    <w:rsid w:val="00872922"/>
    <w:rsid w:val="00873B2E"/>
    <w:rsid w:val="00874097"/>
    <w:rsid w:val="008746E6"/>
    <w:rsid w:val="0087515D"/>
    <w:rsid w:val="00875740"/>
    <w:rsid w:val="0087594C"/>
    <w:rsid w:val="00876086"/>
    <w:rsid w:val="008765FA"/>
    <w:rsid w:val="008768D6"/>
    <w:rsid w:val="0087703B"/>
    <w:rsid w:val="008775D1"/>
    <w:rsid w:val="008777BB"/>
    <w:rsid w:val="00877D68"/>
    <w:rsid w:val="00877E5D"/>
    <w:rsid w:val="00880150"/>
    <w:rsid w:val="00880ABA"/>
    <w:rsid w:val="00880F23"/>
    <w:rsid w:val="00883797"/>
    <w:rsid w:val="00883A67"/>
    <w:rsid w:val="00883D45"/>
    <w:rsid w:val="00884D69"/>
    <w:rsid w:val="0088503D"/>
    <w:rsid w:val="00885EC6"/>
    <w:rsid w:val="008869D2"/>
    <w:rsid w:val="00886A8F"/>
    <w:rsid w:val="0088733A"/>
    <w:rsid w:val="008875A1"/>
    <w:rsid w:val="008901CC"/>
    <w:rsid w:val="0089169B"/>
    <w:rsid w:val="00891BE0"/>
    <w:rsid w:val="00893302"/>
    <w:rsid w:val="00893648"/>
    <w:rsid w:val="00893800"/>
    <w:rsid w:val="00893D83"/>
    <w:rsid w:val="00893F0C"/>
    <w:rsid w:val="00893F33"/>
    <w:rsid w:val="00893F3C"/>
    <w:rsid w:val="008945A1"/>
    <w:rsid w:val="00894A63"/>
    <w:rsid w:val="00894F71"/>
    <w:rsid w:val="00895A54"/>
    <w:rsid w:val="00896776"/>
    <w:rsid w:val="00896916"/>
    <w:rsid w:val="00896BDE"/>
    <w:rsid w:val="00896FC5"/>
    <w:rsid w:val="0089763E"/>
    <w:rsid w:val="008A03DE"/>
    <w:rsid w:val="008A0861"/>
    <w:rsid w:val="008A0BB2"/>
    <w:rsid w:val="008A1AB3"/>
    <w:rsid w:val="008A1D5C"/>
    <w:rsid w:val="008A243E"/>
    <w:rsid w:val="008A3292"/>
    <w:rsid w:val="008A3A85"/>
    <w:rsid w:val="008A43E9"/>
    <w:rsid w:val="008A4CB1"/>
    <w:rsid w:val="008A615E"/>
    <w:rsid w:val="008A632B"/>
    <w:rsid w:val="008A6BFE"/>
    <w:rsid w:val="008A6F21"/>
    <w:rsid w:val="008A73DA"/>
    <w:rsid w:val="008B00C2"/>
    <w:rsid w:val="008B04A0"/>
    <w:rsid w:val="008B05E8"/>
    <w:rsid w:val="008B069F"/>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5F3"/>
    <w:rsid w:val="008C0E88"/>
    <w:rsid w:val="008C1399"/>
    <w:rsid w:val="008C18A5"/>
    <w:rsid w:val="008C1AA8"/>
    <w:rsid w:val="008C22A8"/>
    <w:rsid w:val="008C25FD"/>
    <w:rsid w:val="008C3460"/>
    <w:rsid w:val="008C4BB5"/>
    <w:rsid w:val="008C5B43"/>
    <w:rsid w:val="008C63FD"/>
    <w:rsid w:val="008C6CB8"/>
    <w:rsid w:val="008C6D92"/>
    <w:rsid w:val="008C777A"/>
    <w:rsid w:val="008C7815"/>
    <w:rsid w:val="008C79DA"/>
    <w:rsid w:val="008C7A07"/>
    <w:rsid w:val="008C7E90"/>
    <w:rsid w:val="008C7EB3"/>
    <w:rsid w:val="008D009F"/>
    <w:rsid w:val="008D0171"/>
    <w:rsid w:val="008D04F8"/>
    <w:rsid w:val="008D0632"/>
    <w:rsid w:val="008D0E3B"/>
    <w:rsid w:val="008D13EA"/>
    <w:rsid w:val="008D2671"/>
    <w:rsid w:val="008D2A16"/>
    <w:rsid w:val="008D2C16"/>
    <w:rsid w:val="008D2ECF"/>
    <w:rsid w:val="008D347D"/>
    <w:rsid w:val="008D3594"/>
    <w:rsid w:val="008D3F3D"/>
    <w:rsid w:val="008D4376"/>
    <w:rsid w:val="008D4FB0"/>
    <w:rsid w:val="008E0367"/>
    <w:rsid w:val="008E2525"/>
    <w:rsid w:val="008E2B96"/>
    <w:rsid w:val="008E2DCD"/>
    <w:rsid w:val="008E308D"/>
    <w:rsid w:val="008E31FF"/>
    <w:rsid w:val="008E46A3"/>
    <w:rsid w:val="008E4CD7"/>
    <w:rsid w:val="008E5DE6"/>
    <w:rsid w:val="008E6113"/>
    <w:rsid w:val="008E6AB3"/>
    <w:rsid w:val="008E6AD3"/>
    <w:rsid w:val="008E6EBD"/>
    <w:rsid w:val="008E71A6"/>
    <w:rsid w:val="008E77B6"/>
    <w:rsid w:val="008E7C55"/>
    <w:rsid w:val="008F032E"/>
    <w:rsid w:val="008F0F14"/>
    <w:rsid w:val="008F1394"/>
    <w:rsid w:val="008F1638"/>
    <w:rsid w:val="008F2097"/>
    <w:rsid w:val="008F2F44"/>
    <w:rsid w:val="008F4108"/>
    <w:rsid w:val="008F4FCE"/>
    <w:rsid w:val="008F5301"/>
    <w:rsid w:val="008F650D"/>
    <w:rsid w:val="008F6967"/>
    <w:rsid w:val="008F6A0C"/>
    <w:rsid w:val="008F6F38"/>
    <w:rsid w:val="008F7721"/>
    <w:rsid w:val="008F7D28"/>
    <w:rsid w:val="009003A8"/>
    <w:rsid w:val="009010A7"/>
    <w:rsid w:val="009010E3"/>
    <w:rsid w:val="00901703"/>
    <w:rsid w:val="00901AF3"/>
    <w:rsid w:val="00901D64"/>
    <w:rsid w:val="00901DFB"/>
    <w:rsid w:val="009025B0"/>
    <w:rsid w:val="00902CBE"/>
    <w:rsid w:val="00902D74"/>
    <w:rsid w:val="00902EFF"/>
    <w:rsid w:val="00902FAC"/>
    <w:rsid w:val="00903E06"/>
    <w:rsid w:val="009045D1"/>
    <w:rsid w:val="00904B9D"/>
    <w:rsid w:val="00905A11"/>
    <w:rsid w:val="00905FE8"/>
    <w:rsid w:val="009066E1"/>
    <w:rsid w:val="00906DC3"/>
    <w:rsid w:val="00906F67"/>
    <w:rsid w:val="00907A41"/>
    <w:rsid w:val="00907F4B"/>
    <w:rsid w:val="009102BD"/>
    <w:rsid w:val="00910AB7"/>
    <w:rsid w:val="00910F93"/>
    <w:rsid w:val="00910FBC"/>
    <w:rsid w:val="00911C6A"/>
    <w:rsid w:val="00911EB2"/>
    <w:rsid w:val="0091255A"/>
    <w:rsid w:val="009135C7"/>
    <w:rsid w:val="00914426"/>
    <w:rsid w:val="0091675F"/>
    <w:rsid w:val="00916C6C"/>
    <w:rsid w:val="00917709"/>
    <w:rsid w:val="00917918"/>
    <w:rsid w:val="00920874"/>
    <w:rsid w:val="00921F14"/>
    <w:rsid w:val="009227C6"/>
    <w:rsid w:val="00923750"/>
    <w:rsid w:val="009243A5"/>
    <w:rsid w:val="00924DC8"/>
    <w:rsid w:val="0092500F"/>
    <w:rsid w:val="009250D2"/>
    <w:rsid w:val="0092519D"/>
    <w:rsid w:val="0092540B"/>
    <w:rsid w:val="0092557A"/>
    <w:rsid w:val="009256C5"/>
    <w:rsid w:val="00925A21"/>
    <w:rsid w:val="00926283"/>
    <w:rsid w:val="009277E9"/>
    <w:rsid w:val="00927E25"/>
    <w:rsid w:val="009306BE"/>
    <w:rsid w:val="0093161F"/>
    <w:rsid w:val="00933F72"/>
    <w:rsid w:val="00934836"/>
    <w:rsid w:val="00934963"/>
    <w:rsid w:val="00936ECA"/>
    <w:rsid w:val="00937B11"/>
    <w:rsid w:val="00940F1F"/>
    <w:rsid w:val="00941250"/>
    <w:rsid w:val="00941339"/>
    <w:rsid w:val="00941631"/>
    <w:rsid w:val="0094396E"/>
    <w:rsid w:val="0094427A"/>
    <w:rsid w:val="00944380"/>
    <w:rsid w:val="009445FD"/>
    <w:rsid w:val="009459C5"/>
    <w:rsid w:val="00945E5E"/>
    <w:rsid w:val="0094626C"/>
    <w:rsid w:val="0095013A"/>
    <w:rsid w:val="00953AEF"/>
    <w:rsid w:val="00954C8E"/>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5B40"/>
    <w:rsid w:val="009663EB"/>
    <w:rsid w:val="0096650F"/>
    <w:rsid w:val="00967801"/>
    <w:rsid w:val="00967AD2"/>
    <w:rsid w:val="009700DB"/>
    <w:rsid w:val="00971A20"/>
    <w:rsid w:val="00971DC6"/>
    <w:rsid w:val="00972263"/>
    <w:rsid w:val="00972502"/>
    <w:rsid w:val="00972D8D"/>
    <w:rsid w:val="009737E6"/>
    <w:rsid w:val="00973AAE"/>
    <w:rsid w:val="009742F7"/>
    <w:rsid w:val="0097476C"/>
    <w:rsid w:val="00974923"/>
    <w:rsid w:val="00974D48"/>
    <w:rsid w:val="00974D5F"/>
    <w:rsid w:val="00975017"/>
    <w:rsid w:val="009751C0"/>
    <w:rsid w:val="00975217"/>
    <w:rsid w:val="009759DF"/>
    <w:rsid w:val="009766E3"/>
    <w:rsid w:val="00977A4D"/>
    <w:rsid w:val="00980373"/>
    <w:rsid w:val="00980621"/>
    <w:rsid w:val="0098095B"/>
    <w:rsid w:val="00982072"/>
    <w:rsid w:val="00983380"/>
    <w:rsid w:val="009833FA"/>
    <w:rsid w:val="0098354B"/>
    <w:rsid w:val="00983DBB"/>
    <w:rsid w:val="00983ECF"/>
    <w:rsid w:val="00985157"/>
    <w:rsid w:val="00985B15"/>
    <w:rsid w:val="0098612D"/>
    <w:rsid w:val="00986745"/>
    <w:rsid w:val="009867BC"/>
    <w:rsid w:val="00987109"/>
    <w:rsid w:val="00987309"/>
    <w:rsid w:val="00987351"/>
    <w:rsid w:val="00990123"/>
    <w:rsid w:val="0099012D"/>
    <w:rsid w:val="00990363"/>
    <w:rsid w:val="00991266"/>
    <w:rsid w:val="009928AE"/>
    <w:rsid w:val="00993BE6"/>
    <w:rsid w:val="00993D9C"/>
    <w:rsid w:val="00993F56"/>
    <w:rsid w:val="009954FF"/>
    <w:rsid w:val="0099571E"/>
    <w:rsid w:val="00995CE4"/>
    <w:rsid w:val="00995E2F"/>
    <w:rsid w:val="009961BC"/>
    <w:rsid w:val="00996355"/>
    <w:rsid w:val="009976A2"/>
    <w:rsid w:val="0099788F"/>
    <w:rsid w:val="009979D1"/>
    <w:rsid w:val="00997ADD"/>
    <w:rsid w:val="009A05A2"/>
    <w:rsid w:val="009A0990"/>
    <w:rsid w:val="009A1374"/>
    <w:rsid w:val="009A13FA"/>
    <w:rsid w:val="009A2014"/>
    <w:rsid w:val="009A2030"/>
    <w:rsid w:val="009A38F8"/>
    <w:rsid w:val="009A3A87"/>
    <w:rsid w:val="009A443B"/>
    <w:rsid w:val="009A4E12"/>
    <w:rsid w:val="009A5C68"/>
    <w:rsid w:val="009A5DE2"/>
    <w:rsid w:val="009A696E"/>
    <w:rsid w:val="009A6EF7"/>
    <w:rsid w:val="009B04D0"/>
    <w:rsid w:val="009B052C"/>
    <w:rsid w:val="009B0975"/>
    <w:rsid w:val="009B0EF2"/>
    <w:rsid w:val="009B1D9A"/>
    <w:rsid w:val="009B23A3"/>
    <w:rsid w:val="009B2C0E"/>
    <w:rsid w:val="009B4764"/>
    <w:rsid w:val="009B4925"/>
    <w:rsid w:val="009B4B4B"/>
    <w:rsid w:val="009B4CE3"/>
    <w:rsid w:val="009B6FD3"/>
    <w:rsid w:val="009B70BD"/>
    <w:rsid w:val="009B7134"/>
    <w:rsid w:val="009B729E"/>
    <w:rsid w:val="009C07A5"/>
    <w:rsid w:val="009C24A3"/>
    <w:rsid w:val="009C3705"/>
    <w:rsid w:val="009C3BE3"/>
    <w:rsid w:val="009C3D95"/>
    <w:rsid w:val="009C560D"/>
    <w:rsid w:val="009C5821"/>
    <w:rsid w:val="009C6215"/>
    <w:rsid w:val="009C6B47"/>
    <w:rsid w:val="009C7388"/>
    <w:rsid w:val="009C74C2"/>
    <w:rsid w:val="009D009C"/>
    <w:rsid w:val="009D0CFF"/>
    <w:rsid w:val="009D1023"/>
    <w:rsid w:val="009D1551"/>
    <w:rsid w:val="009D2859"/>
    <w:rsid w:val="009D36EC"/>
    <w:rsid w:val="009D3CD0"/>
    <w:rsid w:val="009D4173"/>
    <w:rsid w:val="009D48DC"/>
    <w:rsid w:val="009D51CA"/>
    <w:rsid w:val="009D57B9"/>
    <w:rsid w:val="009D6095"/>
    <w:rsid w:val="009D6306"/>
    <w:rsid w:val="009D77CF"/>
    <w:rsid w:val="009E048A"/>
    <w:rsid w:val="009E1124"/>
    <w:rsid w:val="009E1FBA"/>
    <w:rsid w:val="009E2C54"/>
    <w:rsid w:val="009E3710"/>
    <w:rsid w:val="009E6F65"/>
    <w:rsid w:val="009E7340"/>
    <w:rsid w:val="009E7B1F"/>
    <w:rsid w:val="009F346F"/>
    <w:rsid w:val="009F371A"/>
    <w:rsid w:val="009F3F25"/>
    <w:rsid w:val="009F3FC3"/>
    <w:rsid w:val="009F41C4"/>
    <w:rsid w:val="009F512F"/>
    <w:rsid w:val="009F5846"/>
    <w:rsid w:val="009F62C9"/>
    <w:rsid w:val="009F63D2"/>
    <w:rsid w:val="009F777A"/>
    <w:rsid w:val="009F7B52"/>
    <w:rsid w:val="009F7D77"/>
    <w:rsid w:val="00A004D2"/>
    <w:rsid w:val="00A015EA"/>
    <w:rsid w:val="00A0172C"/>
    <w:rsid w:val="00A05B91"/>
    <w:rsid w:val="00A10609"/>
    <w:rsid w:val="00A10D66"/>
    <w:rsid w:val="00A12BA8"/>
    <w:rsid w:val="00A133F2"/>
    <w:rsid w:val="00A13993"/>
    <w:rsid w:val="00A1420C"/>
    <w:rsid w:val="00A1456C"/>
    <w:rsid w:val="00A14821"/>
    <w:rsid w:val="00A14C9D"/>
    <w:rsid w:val="00A17754"/>
    <w:rsid w:val="00A2055B"/>
    <w:rsid w:val="00A20E22"/>
    <w:rsid w:val="00A219FE"/>
    <w:rsid w:val="00A2253C"/>
    <w:rsid w:val="00A23545"/>
    <w:rsid w:val="00A23A55"/>
    <w:rsid w:val="00A23E43"/>
    <w:rsid w:val="00A23EF0"/>
    <w:rsid w:val="00A24C11"/>
    <w:rsid w:val="00A24F8C"/>
    <w:rsid w:val="00A262BF"/>
    <w:rsid w:val="00A271AD"/>
    <w:rsid w:val="00A276D5"/>
    <w:rsid w:val="00A279CF"/>
    <w:rsid w:val="00A30336"/>
    <w:rsid w:val="00A30BB5"/>
    <w:rsid w:val="00A3128F"/>
    <w:rsid w:val="00A326D0"/>
    <w:rsid w:val="00A35287"/>
    <w:rsid w:val="00A355F2"/>
    <w:rsid w:val="00A36CF6"/>
    <w:rsid w:val="00A378F8"/>
    <w:rsid w:val="00A40965"/>
    <w:rsid w:val="00A40B19"/>
    <w:rsid w:val="00A40F56"/>
    <w:rsid w:val="00A41D07"/>
    <w:rsid w:val="00A424F8"/>
    <w:rsid w:val="00A42883"/>
    <w:rsid w:val="00A437B7"/>
    <w:rsid w:val="00A439DB"/>
    <w:rsid w:val="00A43EA2"/>
    <w:rsid w:val="00A46C70"/>
    <w:rsid w:val="00A46D48"/>
    <w:rsid w:val="00A46DE0"/>
    <w:rsid w:val="00A4778A"/>
    <w:rsid w:val="00A479BA"/>
    <w:rsid w:val="00A47C94"/>
    <w:rsid w:val="00A504C0"/>
    <w:rsid w:val="00A5067F"/>
    <w:rsid w:val="00A517C1"/>
    <w:rsid w:val="00A518E0"/>
    <w:rsid w:val="00A5408A"/>
    <w:rsid w:val="00A55301"/>
    <w:rsid w:val="00A56343"/>
    <w:rsid w:val="00A572FB"/>
    <w:rsid w:val="00A57B3C"/>
    <w:rsid w:val="00A57F1B"/>
    <w:rsid w:val="00A600D2"/>
    <w:rsid w:val="00A6128E"/>
    <w:rsid w:val="00A62B9A"/>
    <w:rsid w:val="00A62CE1"/>
    <w:rsid w:val="00A631FA"/>
    <w:rsid w:val="00A64203"/>
    <w:rsid w:val="00A64348"/>
    <w:rsid w:val="00A644E1"/>
    <w:rsid w:val="00A66264"/>
    <w:rsid w:val="00A6666A"/>
    <w:rsid w:val="00A6766C"/>
    <w:rsid w:val="00A67959"/>
    <w:rsid w:val="00A70E97"/>
    <w:rsid w:val="00A711B0"/>
    <w:rsid w:val="00A71279"/>
    <w:rsid w:val="00A721FB"/>
    <w:rsid w:val="00A727BA"/>
    <w:rsid w:val="00A72D4B"/>
    <w:rsid w:val="00A732AE"/>
    <w:rsid w:val="00A74192"/>
    <w:rsid w:val="00A75837"/>
    <w:rsid w:val="00A75E40"/>
    <w:rsid w:val="00A762F6"/>
    <w:rsid w:val="00A76B12"/>
    <w:rsid w:val="00A76EF2"/>
    <w:rsid w:val="00A7727E"/>
    <w:rsid w:val="00A77C13"/>
    <w:rsid w:val="00A77EB2"/>
    <w:rsid w:val="00A80201"/>
    <w:rsid w:val="00A80917"/>
    <w:rsid w:val="00A81094"/>
    <w:rsid w:val="00A81FB6"/>
    <w:rsid w:val="00A82B66"/>
    <w:rsid w:val="00A82C52"/>
    <w:rsid w:val="00A83B58"/>
    <w:rsid w:val="00A84D7D"/>
    <w:rsid w:val="00A84FAF"/>
    <w:rsid w:val="00A851B6"/>
    <w:rsid w:val="00A85729"/>
    <w:rsid w:val="00A8574B"/>
    <w:rsid w:val="00A857C0"/>
    <w:rsid w:val="00A85F18"/>
    <w:rsid w:val="00A85F5E"/>
    <w:rsid w:val="00A8775C"/>
    <w:rsid w:val="00A90343"/>
    <w:rsid w:val="00A91336"/>
    <w:rsid w:val="00A91D49"/>
    <w:rsid w:val="00A9221C"/>
    <w:rsid w:val="00A92277"/>
    <w:rsid w:val="00A92916"/>
    <w:rsid w:val="00A929D1"/>
    <w:rsid w:val="00A94152"/>
    <w:rsid w:val="00A94628"/>
    <w:rsid w:val="00A94954"/>
    <w:rsid w:val="00A9497A"/>
    <w:rsid w:val="00A949A6"/>
    <w:rsid w:val="00A94BF6"/>
    <w:rsid w:val="00A96241"/>
    <w:rsid w:val="00A96463"/>
    <w:rsid w:val="00A97E3F"/>
    <w:rsid w:val="00AA09D3"/>
    <w:rsid w:val="00AA1356"/>
    <w:rsid w:val="00AA220F"/>
    <w:rsid w:val="00AA23FB"/>
    <w:rsid w:val="00AA34FE"/>
    <w:rsid w:val="00AA3BB6"/>
    <w:rsid w:val="00AA42AB"/>
    <w:rsid w:val="00AA4A76"/>
    <w:rsid w:val="00AA559A"/>
    <w:rsid w:val="00AA57A4"/>
    <w:rsid w:val="00AA5F10"/>
    <w:rsid w:val="00AB0BB9"/>
    <w:rsid w:val="00AB104D"/>
    <w:rsid w:val="00AB1441"/>
    <w:rsid w:val="00AB1653"/>
    <w:rsid w:val="00AB2064"/>
    <w:rsid w:val="00AB2AF1"/>
    <w:rsid w:val="00AB440B"/>
    <w:rsid w:val="00AB47E3"/>
    <w:rsid w:val="00AB5D66"/>
    <w:rsid w:val="00AB74C5"/>
    <w:rsid w:val="00AB7BEE"/>
    <w:rsid w:val="00AB7DF2"/>
    <w:rsid w:val="00AC1E3F"/>
    <w:rsid w:val="00AC219A"/>
    <w:rsid w:val="00AC3D02"/>
    <w:rsid w:val="00AC444B"/>
    <w:rsid w:val="00AC4F18"/>
    <w:rsid w:val="00AC69CA"/>
    <w:rsid w:val="00AD0B46"/>
    <w:rsid w:val="00AD1094"/>
    <w:rsid w:val="00AD1299"/>
    <w:rsid w:val="00AD2565"/>
    <w:rsid w:val="00AD2862"/>
    <w:rsid w:val="00AD306C"/>
    <w:rsid w:val="00AD3424"/>
    <w:rsid w:val="00AD3E3F"/>
    <w:rsid w:val="00AD47F5"/>
    <w:rsid w:val="00AD4FEF"/>
    <w:rsid w:val="00AD50D1"/>
    <w:rsid w:val="00AD59BB"/>
    <w:rsid w:val="00AD5D68"/>
    <w:rsid w:val="00AD6C73"/>
    <w:rsid w:val="00AD75F9"/>
    <w:rsid w:val="00AD7D49"/>
    <w:rsid w:val="00AE06D0"/>
    <w:rsid w:val="00AE1B8A"/>
    <w:rsid w:val="00AE39DC"/>
    <w:rsid w:val="00AE3CDA"/>
    <w:rsid w:val="00AE481D"/>
    <w:rsid w:val="00AE608F"/>
    <w:rsid w:val="00AE6195"/>
    <w:rsid w:val="00AE63AB"/>
    <w:rsid w:val="00AE6557"/>
    <w:rsid w:val="00AE6734"/>
    <w:rsid w:val="00AE7921"/>
    <w:rsid w:val="00AE7968"/>
    <w:rsid w:val="00AE7B2B"/>
    <w:rsid w:val="00AE7DFF"/>
    <w:rsid w:val="00AF0522"/>
    <w:rsid w:val="00AF128B"/>
    <w:rsid w:val="00AF1AEA"/>
    <w:rsid w:val="00AF1BA9"/>
    <w:rsid w:val="00AF24FD"/>
    <w:rsid w:val="00AF2536"/>
    <w:rsid w:val="00AF2852"/>
    <w:rsid w:val="00AF3225"/>
    <w:rsid w:val="00AF3900"/>
    <w:rsid w:val="00AF4983"/>
    <w:rsid w:val="00AF4CA7"/>
    <w:rsid w:val="00AF518B"/>
    <w:rsid w:val="00AF5275"/>
    <w:rsid w:val="00AF579A"/>
    <w:rsid w:val="00AF5D62"/>
    <w:rsid w:val="00AF6367"/>
    <w:rsid w:val="00AF6A79"/>
    <w:rsid w:val="00AF6B7C"/>
    <w:rsid w:val="00AF724E"/>
    <w:rsid w:val="00AF73A9"/>
    <w:rsid w:val="00AF7C5D"/>
    <w:rsid w:val="00B008A0"/>
    <w:rsid w:val="00B01436"/>
    <w:rsid w:val="00B014DD"/>
    <w:rsid w:val="00B01AEF"/>
    <w:rsid w:val="00B01C2C"/>
    <w:rsid w:val="00B0231C"/>
    <w:rsid w:val="00B06E35"/>
    <w:rsid w:val="00B07372"/>
    <w:rsid w:val="00B07C2A"/>
    <w:rsid w:val="00B10100"/>
    <w:rsid w:val="00B12809"/>
    <w:rsid w:val="00B128E5"/>
    <w:rsid w:val="00B13681"/>
    <w:rsid w:val="00B13BCE"/>
    <w:rsid w:val="00B15DCD"/>
    <w:rsid w:val="00B15ED5"/>
    <w:rsid w:val="00B16201"/>
    <w:rsid w:val="00B164F6"/>
    <w:rsid w:val="00B17E71"/>
    <w:rsid w:val="00B17FDE"/>
    <w:rsid w:val="00B20597"/>
    <w:rsid w:val="00B208FC"/>
    <w:rsid w:val="00B20C65"/>
    <w:rsid w:val="00B22E17"/>
    <w:rsid w:val="00B25567"/>
    <w:rsid w:val="00B25E31"/>
    <w:rsid w:val="00B262CD"/>
    <w:rsid w:val="00B266C5"/>
    <w:rsid w:val="00B26984"/>
    <w:rsid w:val="00B2702C"/>
    <w:rsid w:val="00B27293"/>
    <w:rsid w:val="00B300E8"/>
    <w:rsid w:val="00B301BB"/>
    <w:rsid w:val="00B310A1"/>
    <w:rsid w:val="00B316B8"/>
    <w:rsid w:val="00B321E3"/>
    <w:rsid w:val="00B3229E"/>
    <w:rsid w:val="00B32DDB"/>
    <w:rsid w:val="00B335ED"/>
    <w:rsid w:val="00B3447A"/>
    <w:rsid w:val="00B3448C"/>
    <w:rsid w:val="00B34931"/>
    <w:rsid w:val="00B35174"/>
    <w:rsid w:val="00B35BEA"/>
    <w:rsid w:val="00B362B5"/>
    <w:rsid w:val="00B365CB"/>
    <w:rsid w:val="00B37915"/>
    <w:rsid w:val="00B3793D"/>
    <w:rsid w:val="00B40FC9"/>
    <w:rsid w:val="00B41BE6"/>
    <w:rsid w:val="00B42831"/>
    <w:rsid w:val="00B428A4"/>
    <w:rsid w:val="00B457E7"/>
    <w:rsid w:val="00B45D1B"/>
    <w:rsid w:val="00B45DE5"/>
    <w:rsid w:val="00B46D25"/>
    <w:rsid w:val="00B47430"/>
    <w:rsid w:val="00B47AC6"/>
    <w:rsid w:val="00B52D2D"/>
    <w:rsid w:val="00B534EF"/>
    <w:rsid w:val="00B548DA"/>
    <w:rsid w:val="00B55BA8"/>
    <w:rsid w:val="00B55F15"/>
    <w:rsid w:val="00B561A6"/>
    <w:rsid w:val="00B56708"/>
    <w:rsid w:val="00B56A48"/>
    <w:rsid w:val="00B57CC4"/>
    <w:rsid w:val="00B60062"/>
    <w:rsid w:val="00B62960"/>
    <w:rsid w:val="00B63A11"/>
    <w:rsid w:val="00B63CB3"/>
    <w:rsid w:val="00B63FD0"/>
    <w:rsid w:val="00B6493D"/>
    <w:rsid w:val="00B6553E"/>
    <w:rsid w:val="00B65C84"/>
    <w:rsid w:val="00B6608F"/>
    <w:rsid w:val="00B70D4C"/>
    <w:rsid w:val="00B73180"/>
    <w:rsid w:val="00B73AA5"/>
    <w:rsid w:val="00B741FD"/>
    <w:rsid w:val="00B74317"/>
    <w:rsid w:val="00B75700"/>
    <w:rsid w:val="00B760C1"/>
    <w:rsid w:val="00B76D1E"/>
    <w:rsid w:val="00B77BC8"/>
    <w:rsid w:val="00B77FB7"/>
    <w:rsid w:val="00B800EB"/>
    <w:rsid w:val="00B817E0"/>
    <w:rsid w:val="00B822D2"/>
    <w:rsid w:val="00B823F1"/>
    <w:rsid w:val="00B8317C"/>
    <w:rsid w:val="00B831B4"/>
    <w:rsid w:val="00B83D46"/>
    <w:rsid w:val="00B848B8"/>
    <w:rsid w:val="00B84A41"/>
    <w:rsid w:val="00B84D57"/>
    <w:rsid w:val="00B8504B"/>
    <w:rsid w:val="00B853C2"/>
    <w:rsid w:val="00B85689"/>
    <w:rsid w:val="00B85FDC"/>
    <w:rsid w:val="00B86748"/>
    <w:rsid w:val="00B907EA"/>
    <w:rsid w:val="00B91EC9"/>
    <w:rsid w:val="00B924CA"/>
    <w:rsid w:val="00B92A4B"/>
    <w:rsid w:val="00B93341"/>
    <w:rsid w:val="00B93384"/>
    <w:rsid w:val="00B93616"/>
    <w:rsid w:val="00B94417"/>
    <w:rsid w:val="00B95566"/>
    <w:rsid w:val="00B95940"/>
    <w:rsid w:val="00B95EF8"/>
    <w:rsid w:val="00B95F50"/>
    <w:rsid w:val="00B96BD9"/>
    <w:rsid w:val="00B979A0"/>
    <w:rsid w:val="00B979AF"/>
    <w:rsid w:val="00BA094F"/>
    <w:rsid w:val="00BA0DED"/>
    <w:rsid w:val="00BA0F99"/>
    <w:rsid w:val="00BA6D2C"/>
    <w:rsid w:val="00BA7002"/>
    <w:rsid w:val="00BB0274"/>
    <w:rsid w:val="00BB0B13"/>
    <w:rsid w:val="00BB1CFD"/>
    <w:rsid w:val="00BB2C53"/>
    <w:rsid w:val="00BB32DA"/>
    <w:rsid w:val="00BB3A54"/>
    <w:rsid w:val="00BB462A"/>
    <w:rsid w:val="00BB4D26"/>
    <w:rsid w:val="00BB4E21"/>
    <w:rsid w:val="00BB7746"/>
    <w:rsid w:val="00BC22EB"/>
    <w:rsid w:val="00BC31F8"/>
    <w:rsid w:val="00BC4795"/>
    <w:rsid w:val="00BC65CE"/>
    <w:rsid w:val="00BC682B"/>
    <w:rsid w:val="00BC68BA"/>
    <w:rsid w:val="00BC6B04"/>
    <w:rsid w:val="00BC6D27"/>
    <w:rsid w:val="00BD059A"/>
    <w:rsid w:val="00BD0CBB"/>
    <w:rsid w:val="00BD186B"/>
    <w:rsid w:val="00BD1EAC"/>
    <w:rsid w:val="00BD254C"/>
    <w:rsid w:val="00BD3428"/>
    <w:rsid w:val="00BD366B"/>
    <w:rsid w:val="00BD5298"/>
    <w:rsid w:val="00BD534C"/>
    <w:rsid w:val="00BD557B"/>
    <w:rsid w:val="00BD55A9"/>
    <w:rsid w:val="00BD56BC"/>
    <w:rsid w:val="00BD5D91"/>
    <w:rsid w:val="00BD6445"/>
    <w:rsid w:val="00BD6615"/>
    <w:rsid w:val="00BD6D50"/>
    <w:rsid w:val="00BD7E55"/>
    <w:rsid w:val="00BE0AB0"/>
    <w:rsid w:val="00BE0D79"/>
    <w:rsid w:val="00BE0DB0"/>
    <w:rsid w:val="00BE15B9"/>
    <w:rsid w:val="00BE2C15"/>
    <w:rsid w:val="00BE3381"/>
    <w:rsid w:val="00BE3F09"/>
    <w:rsid w:val="00BE52E8"/>
    <w:rsid w:val="00BE632F"/>
    <w:rsid w:val="00BE670A"/>
    <w:rsid w:val="00BE6906"/>
    <w:rsid w:val="00BE78D6"/>
    <w:rsid w:val="00BF18F4"/>
    <w:rsid w:val="00BF1A69"/>
    <w:rsid w:val="00BF3BC8"/>
    <w:rsid w:val="00BF3DF1"/>
    <w:rsid w:val="00BF4C31"/>
    <w:rsid w:val="00BF4E57"/>
    <w:rsid w:val="00BF53B8"/>
    <w:rsid w:val="00BF60CA"/>
    <w:rsid w:val="00BF786A"/>
    <w:rsid w:val="00BF7CB8"/>
    <w:rsid w:val="00BF7F08"/>
    <w:rsid w:val="00C00831"/>
    <w:rsid w:val="00C00F20"/>
    <w:rsid w:val="00C01354"/>
    <w:rsid w:val="00C01700"/>
    <w:rsid w:val="00C01A3C"/>
    <w:rsid w:val="00C01B84"/>
    <w:rsid w:val="00C022BC"/>
    <w:rsid w:val="00C034E6"/>
    <w:rsid w:val="00C05715"/>
    <w:rsid w:val="00C05926"/>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654F"/>
    <w:rsid w:val="00C16D5D"/>
    <w:rsid w:val="00C16E16"/>
    <w:rsid w:val="00C1711F"/>
    <w:rsid w:val="00C17E38"/>
    <w:rsid w:val="00C2038A"/>
    <w:rsid w:val="00C205BF"/>
    <w:rsid w:val="00C20744"/>
    <w:rsid w:val="00C20B1C"/>
    <w:rsid w:val="00C20C4D"/>
    <w:rsid w:val="00C21D46"/>
    <w:rsid w:val="00C21F94"/>
    <w:rsid w:val="00C222A1"/>
    <w:rsid w:val="00C22C59"/>
    <w:rsid w:val="00C23371"/>
    <w:rsid w:val="00C235D4"/>
    <w:rsid w:val="00C23CBD"/>
    <w:rsid w:val="00C23D22"/>
    <w:rsid w:val="00C2463B"/>
    <w:rsid w:val="00C24E77"/>
    <w:rsid w:val="00C26214"/>
    <w:rsid w:val="00C2732D"/>
    <w:rsid w:val="00C273C6"/>
    <w:rsid w:val="00C27913"/>
    <w:rsid w:val="00C3004E"/>
    <w:rsid w:val="00C300C6"/>
    <w:rsid w:val="00C30828"/>
    <w:rsid w:val="00C30924"/>
    <w:rsid w:val="00C30EB6"/>
    <w:rsid w:val="00C310E2"/>
    <w:rsid w:val="00C31DD8"/>
    <w:rsid w:val="00C3271C"/>
    <w:rsid w:val="00C32A35"/>
    <w:rsid w:val="00C34FDE"/>
    <w:rsid w:val="00C35C16"/>
    <w:rsid w:val="00C362A5"/>
    <w:rsid w:val="00C36EC3"/>
    <w:rsid w:val="00C40E09"/>
    <w:rsid w:val="00C40F81"/>
    <w:rsid w:val="00C41463"/>
    <w:rsid w:val="00C418F0"/>
    <w:rsid w:val="00C41A06"/>
    <w:rsid w:val="00C41A72"/>
    <w:rsid w:val="00C42D45"/>
    <w:rsid w:val="00C4335D"/>
    <w:rsid w:val="00C43CB1"/>
    <w:rsid w:val="00C4422D"/>
    <w:rsid w:val="00C44B63"/>
    <w:rsid w:val="00C466D1"/>
    <w:rsid w:val="00C468A2"/>
    <w:rsid w:val="00C475DF"/>
    <w:rsid w:val="00C476C5"/>
    <w:rsid w:val="00C503B0"/>
    <w:rsid w:val="00C51199"/>
    <w:rsid w:val="00C511C2"/>
    <w:rsid w:val="00C527C6"/>
    <w:rsid w:val="00C531C7"/>
    <w:rsid w:val="00C538FC"/>
    <w:rsid w:val="00C53CDB"/>
    <w:rsid w:val="00C53D82"/>
    <w:rsid w:val="00C54748"/>
    <w:rsid w:val="00C54D19"/>
    <w:rsid w:val="00C559F1"/>
    <w:rsid w:val="00C574CF"/>
    <w:rsid w:val="00C575FB"/>
    <w:rsid w:val="00C60696"/>
    <w:rsid w:val="00C60943"/>
    <w:rsid w:val="00C60EEF"/>
    <w:rsid w:val="00C610C5"/>
    <w:rsid w:val="00C6121D"/>
    <w:rsid w:val="00C615F1"/>
    <w:rsid w:val="00C61627"/>
    <w:rsid w:val="00C63B1A"/>
    <w:rsid w:val="00C63CB3"/>
    <w:rsid w:val="00C63E8F"/>
    <w:rsid w:val="00C64620"/>
    <w:rsid w:val="00C64E60"/>
    <w:rsid w:val="00C657A4"/>
    <w:rsid w:val="00C66589"/>
    <w:rsid w:val="00C6736C"/>
    <w:rsid w:val="00C7121E"/>
    <w:rsid w:val="00C7179C"/>
    <w:rsid w:val="00C71A1D"/>
    <w:rsid w:val="00C71EC4"/>
    <w:rsid w:val="00C735EA"/>
    <w:rsid w:val="00C7410A"/>
    <w:rsid w:val="00C74791"/>
    <w:rsid w:val="00C7591E"/>
    <w:rsid w:val="00C75C7E"/>
    <w:rsid w:val="00C75C9B"/>
    <w:rsid w:val="00C76D8E"/>
    <w:rsid w:val="00C77833"/>
    <w:rsid w:val="00C80953"/>
    <w:rsid w:val="00C80C9B"/>
    <w:rsid w:val="00C8180B"/>
    <w:rsid w:val="00C8335E"/>
    <w:rsid w:val="00C83CF4"/>
    <w:rsid w:val="00C83F9C"/>
    <w:rsid w:val="00C84154"/>
    <w:rsid w:val="00C84CE3"/>
    <w:rsid w:val="00C85614"/>
    <w:rsid w:val="00C86127"/>
    <w:rsid w:val="00C8711E"/>
    <w:rsid w:val="00C9003C"/>
    <w:rsid w:val="00C90284"/>
    <w:rsid w:val="00C90CF4"/>
    <w:rsid w:val="00C91C19"/>
    <w:rsid w:val="00C929A0"/>
    <w:rsid w:val="00C92E80"/>
    <w:rsid w:val="00C92FCB"/>
    <w:rsid w:val="00C930FB"/>
    <w:rsid w:val="00C93389"/>
    <w:rsid w:val="00C937DB"/>
    <w:rsid w:val="00C94519"/>
    <w:rsid w:val="00C94E11"/>
    <w:rsid w:val="00C94E83"/>
    <w:rsid w:val="00C9567E"/>
    <w:rsid w:val="00C960EC"/>
    <w:rsid w:val="00C965DE"/>
    <w:rsid w:val="00C97038"/>
    <w:rsid w:val="00C97D46"/>
    <w:rsid w:val="00CA02B2"/>
    <w:rsid w:val="00CA0883"/>
    <w:rsid w:val="00CA1085"/>
    <w:rsid w:val="00CA140F"/>
    <w:rsid w:val="00CA25C2"/>
    <w:rsid w:val="00CA37BB"/>
    <w:rsid w:val="00CA37CA"/>
    <w:rsid w:val="00CA39E1"/>
    <w:rsid w:val="00CA5016"/>
    <w:rsid w:val="00CA542C"/>
    <w:rsid w:val="00CA5724"/>
    <w:rsid w:val="00CA64FD"/>
    <w:rsid w:val="00CA6508"/>
    <w:rsid w:val="00CA6BA1"/>
    <w:rsid w:val="00CA6CD5"/>
    <w:rsid w:val="00CA6D0B"/>
    <w:rsid w:val="00CB1910"/>
    <w:rsid w:val="00CB2150"/>
    <w:rsid w:val="00CB28EE"/>
    <w:rsid w:val="00CB2B15"/>
    <w:rsid w:val="00CB2EEA"/>
    <w:rsid w:val="00CB39FE"/>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3FAB"/>
    <w:rsid w:val="00CC47D7"/>
    <w:rsid w:val="00CC4F3D"/>
    <w:rsid w:val="00CC51B3"/>
    <w:rsid w:val="00CC62AD"/>
    <w:rsid w:val="00CC6CA2"/>
    <w:rsid w:val="00CC7086"/>
    <w:rsid w:val="00CC7B80"/>
    <w:rsid w:val="00CD0080"/>
    <w:rsid w:val="00CD0779"/>
    <w:rsid w:val="00CD2B3C"/>
    <w:rsid w:val="00CD2F7F"/>
    <w:rsid w:val="00CD30F6"/>
    <w:rsid w:val="00CD4B29"/>
    <w:rsid w:val="00CD5493"/>
    <w:rsid w:val="00CD67CA"/>
    <w:rsid w:val="00CD6954"/>
    <w:rsid w:val="00CD6DA3"/>
    <w:rsid w:val="00CD6EF1"/>
    <w:rsid w:val="00CD78B7"/>
    <w:rsid w:val="00CD7E35"/>
    <w:rsid w:val="00CD7E3B"/>
    <w:rsid w:val="00CE118D"/>
    <w:rsid w:val="00CE1385"/>
    <w:rsid w:val="00CE1CFC"/>
    <w:rsid w:val="00CE21C7"/>
    <w:rsid w:val="00CE2682"/>
    <w:rsid w:val="00CE2756"/>
    <w:rsid w:val="00CE3D1C"/>
    <w:rsid w:val="00CE442A"/>
    <w:rsid w:val="00CE4DEB"/>
    <w:rsid w:val="00CE57D8"/>
    <w:rsid w:val="00CE5F03"/>
    <w:rsid w:val="00CE617A"/>
    <w:rsid w:val="00CE6E3C"/>
    <w:rsid w:val="00CE7158"/>
    <w:rsid w:val="00CE7815"/>
    <w:rsid w:val="00CE797F"/>
    <w:rsid w:val="00CF0E7B"/>
    <w:rsid w:val="00CF0FEF"/>
    <w:rsid w:val="00CF1016"/>
    <w:rsid w:val="00CF107E"/>
    <w:rsid w:val="00CF15BF"/>
    <w:rsid w:val="00CF17DE"/>
    <w:rsid w:val="00CF2090"/>
    <w:rsid w:val="00CF25D2"/>
    <w:rsid w:val="00CF28C2"/>
    <w:rsid w:val="00CF3D3A"/>
    <w:rsid w:val="00CF42BD"/>
    <w:rsid w:val="00CF51EC"/>
    <w:rsid w:val="00CF5576"/>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D71"/>
    <w:rsid w:val="00D07EFF"/>
    <w:rsid w:val="00D1067C"/>
    <w:rsid w:val="00D11CBB"/>
    <w:rsid w:val="00D1221D"/>
    <w:rsid w:val="00D136D4"/>
    <w:rsid w:val="00D13830"/>
    <w:rsid w:val="00D13ECF"/>
    <w:rsid w:val="00D142E5"/>
    <w:rsid w:val="00D148CD"/>
    <w:rsid w:val="00D14A40"/>
    <w:rsid w:val="00D1611E"/>
    <w:rsid w:val="00D163CC"/>
    <w:rsid w:val="00D16E69"/>
    <w:rsid w:val="00D17F4A"/>
    <w:rsid w:val="00D205A9"/>
    <w:rsid w:val="00D217EE"/>
    <w:rsid w:val="00D2210A"/>
    <w:rsid w:val="00D237C7"/>
    <w:rsid w:val="00D24299"/>
    <w:rsid w:val="00D245BA"/>
    <w:rsid w:val="00D25C8A"/>
    <w:rsid w:val="00D26923"/>
    <w:rsid w:val="00D27856"/>
    <w:rsid w:val="00D27D34"/>
    <w:rsid w:val="00D3006B"/>
    <w:rsid w:val="00D301CA"/>
    <w:rsid w:val="00D30740"/>
    <w:rsid w:val="00D31075"/>
    <w:rsid w:val="00D31445"/>
    <w:rsid w:val="00D31932"/>
    <w:rsid w:val="00D31EA5"/>
    <w:rsid w:val="00D32AE0"/>
    <w:rsid w:val="00D360DA"/>
    <w:rsid w:val="00D374B3"/>
    <w:rsid w:val="00D37689"/>
    <w:rsid w:val="00D378CC"/>
    <w:rsid w:val="00D37AB3"/>
    <w:rsid w:val="00D4042C"/>
    <w:rsid w:val="00D40698"/>
    <w:rsid w:val="00D40B9E"/>
    <w:rsid w:val="00D41281"/>
    <w:rsid w:val="00D42312"/>
    <w:rsid w:val="00D433F5"/>
    <w:rsid w:val="00D43998"/>
    <w:rsid w:val="00D439C2"/>
    <w:rsid w:val="00D43A2B"/>
    <w:rsid w:val="00D44477"/>
    <w:rsid w:val="00D451E0"/>
    <w:rsid w:val="00D45A1D"/>
    <w:rsid w:val="00D4615E"/>
    <w:rsid w:val="00D4651F"/>
    <w:rsid w:val="00D478E2"/>
    <w:rsid w:val="00D50980"/>
    <w:rsid w:val="00D51CD6"/>
    <w:rsid w:val="00D5264C"/>
    <w:rsid w:val="00D543F9"/>
    <w:rsid w:val="00D547BA"/>
    <w:rsid w:val="00D55626"/>
    <w:rsid w:val="00D556BC"/>
    <w:rsid w:val="00D5626D"/>
    <w:rsid w:val="00D56631"/>
    <w:rsid w:val="00D577A4"/>
    <w:rsid w:val="00D57808"/>
    <w:rsid w:val="00D57E4B"/>
    <w:rsid w:val="00D60277"/>
    <w:rsid w:val="00D60336"/>
    <w:rsid w:val="00D61B06"/>
    <w:rsid w:val="00D61F88"/>
    <w:rsid w:val="00D62688"/>
    <w:rsid w:val="00D627C7"/>
    <w:rsid w:val="00D62901"/>
    <w:rsid w:val="00D6345E"/>
    <w:rsid w:val="00D637A2"/>
    <w:rsid w:val="00D64644"/>
    <w:rsid w:val="00D6470C"/>
    <w:rsid w:val="00D64853"/>
    <w:rsid w:val="00D64CB5"/>
    <w:rsid w:val="00D6562C"/>
    <w:rsid w:val="00D65800"/>
    <w:rsid w:val="00D66368"/>
    <w:rsid w:val="00D66D48"/>
    <w:rsid w:val="00D67B47"/>
    <w:rsid w:val="00D7162F"/>
    <w:rsid w:val="00D72897"/>
    <w:rsid w:val="00D73256"/>
    <w:rsid w:val="00D73A30"/>
    <w:rsid w:val="00D73E6F"/>
    <w:rsid w:val="00D74ABF"/>
    <w:rsid w:val="00D74C65"/>
    <w:rsid w:val="00D74E97"/>
    <w:rsid w:val="00D74F21"/>
    <w:rsid w:val="00D758D0"/>
    <w:rsid w:val="00D75DC2"/>
    <w:rsid w:val="00D75DC3"/>
    <w:rsid w:val="00D75F45"/>
    <w:rsid w:val="00D766EF"/>
    <w:rsid w:val="00D76C03"/>
    <w:rsid w:val="00D7722D"/>
    <w:rsid w:val="00D77F8D"/>
    <w:rsid w:val="00D80E07"/>
    <w:rsid w:val="00D80F8E"/>
    <w:rsid w:val="00D8119B"/>
    <w:rsid w:val="00D81B44"/>
    <w:rsid w:val="00D82462"/>
    <w:rsid w:val="00D831C6"/>
    <w:rsid w:val="00D83294"/>
    <w:rsid w:val="00D83EF3"/>
    <w:rsid w:val="00D84BD1"/>
    <w:rsid w:val="00D85773"/>
    <w:rsid w:val="00D85886"/>
    <w:rsid w:val="00D868CE"/>
    <w:rsid w:val="00D86DAE"/>
    <w:rsid w:val="00D90116"/>
    <w:rsid w:val="00D90C1E"/>
    <w:rsid w:val="00D91BDF"/>
    <w:rsid w:val="00D91F2C"/>
    <w:rsid w:val="00D9266B"/>
    <w:rsid w:val="00D93794"/>
    <w:rsid w:val="00D93F09"/>
    <w:rsid w:val="00D944E7"/>
    <w:rsid w:val="00D94859"/>
    <w:rsid w:val="00D954C2"/>
    <w:rsid w:val="00D9640A"/>
    <w:rsid w:val="00D97BB8"/>
    <w:rsid w:val="00DA0299"/>
    <w:rsid w:val="00DA06FE"/>
    <w:rsid w:val="00DA07D3"/>
    <w:rsid w:val="00DA1318"/>
    <w:rsid w:val="00DA1382"/>
    <w:rsid w:val="00DA28B7"/>
    <w:rsid w:val="00DA2FE8"/>
    <w:rsid w:val="00DA42CF"/>
    <w:rsid w:val="00DA4AF6"/>
    <w:rsid w:val="00DA5374"/>
    <w:rsid w:val="00DA7AB2"/>
    <w:rsid w:val="00DA7B54"/>
    <w:rsid w:val="00DB016E"/>
    <w:rsid w:val="00DB06E9"/>
    <w:rsid w:val="00DB0BF3"/>
    <w:rsid w:val="00DB19BD"/>
    <w:rsid w:val="00DB1D55"/>
    <w:rsid w:val="00DB378E"/>
    <w:rsid w:val="00DB3C0D"/>
    <w:rsid w:val="00DB3E9D"/>
    <w:rsid w:val="00DB47B9"/>
    <w:rsid w:val="00DB4FB8"/>
    <w:rsid w:val="00DB53CE"/>
    <w:rsid w:val="00DB549D"/>
    <w:rsid w:val="00DB5792"/>
    <w:rsid w:val="00DB5798"/>
    <w:rsid w:val="00DB6A88"/>
    <w:rsid w:val="00DB7BA4"/>
    <w:rsid w:val="00DB7D77"/>
    <w:rsid w:val="00DC08D7"/>
    <w:rsid w:val="00DC0CBA"/>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C7F3C"/>
    <w:rsid w:val="00DD0726"/>
    <w:rsid w:val="00DD0821"/>
    <w:rsid w:val="00DD0ABE"/>
    <w:rsid w:val="00DD0E32"/>
    <w:rsid w:val="00DD1878"/>
    <w:rsid w:val="00DD1DC1"/>
    <w:rsid w:val="00DD2872"/>
    <w:rsid w:val="00DD2A62"/>
    <w:rsid w:val="00DD2BD0"/>
    <w:rsid w:val="00DD2BFE"/>
    <w:rsid w:val="00DD373E"/>
    <w:rsid w:val="00DD3867"/>
    <w:rsid w:val="00DD3F47"/>
    <w:rsid w:val="00DD428A"/>
    <w:rsid w:val="00DD57AD"/>
    <w:rsid w:val="00DD7435"/>
    <w:rsid w:val="00DD7C6D"/>
    <w:rsid w:val="00DE009B"/>
    <w:rsid w:val="00DE08F8"/>
    <w:rsid w:val="00DE0C31"/>
    <w:rsid w:val="00DE0E40"/>
    <w:rsid w:val="00DE1460"/>
    <w:rsid w:val="00DE2AED"/>
    <w:rsid w:val="00DE2B74"/>
    <w:rsid w:val="00DE2ED9"/>
    <w:rsid w:val="00DE319A"/>
    <w:rsid w:val="00DF0615"/>
    <w:rsid w:val="00DF0DC3"/>
    <w:rsid w:val="00DF11BC"/>
    <w:rsid w:val="00DF21FD"/>
    <w:rsid w:val="00DF22BA"/>
    <w:rsid w:val="00DF286B"/>
    <w:rsid w:val="00DF2873"/>
    <w:rsid w:val="00DF293C"/>
    <w:rsid w:val="00DF34B2"/>
    <w:rsid w:val="00DF4C74"/>
    <w:rsid w:val="00DF5578"/>
    <w:rsid w:val="00DF629B"/>
    <w:rsid w:val="00DF69DD"/>
    <w:rsid w:val="00DF6CF8"/>
    <w:rsid w:val="00DF78DD"/>
    <w:rsid w:val="00DF7FEC"/>
    <w:rsid w:val="00E01319"/>
    <w:rsid w:val="00E01B16"/>
    <w:rsid w:val="00E01C0E"/>
    <w:rsid w:val="00E02086"/>
    <w:rsid w:val="00E023BE"/>
    <w:rsid w:val="00E02740"/>
    <w:rsid w:val="00E03B27"/>
    <w:rsid w:val="00E03B58"/>
    <w:rsid w:val="00E04694"/>
    <w:rsid w:val="00E049F6"/>
    <w:rsid w:val="00E04CA9"/>
    <w:rsid w:val="00E04E8F"/>
    <w:rsid w:val="00E05B2B"/>
    <w:rsid w:val="00E05EAD"/>
    <w:rsid w:val="00E06A2A"/>
    <w:rsid w:val="00E07F05"/>
    <w:rsid w:val="00E106A2"/>
    <w:rsid w:val="00E10B1C"/>
    <w:rsid w:val="00E11ED5"/>
    <w:rsid w:val="00E127E1"/>
    <w:rsid w:val="00E12BCE"/>
    <w:rsid w:val="00E13155"/>
    <w:rsid w:val="00E144D2"/>
    <w:rsid w:val="00E144D6"/>
    <w:rsid w:val="00E15346"/>
    <w:rsid w:val="00E15B7D"/>
    <w:rsid w:val="00E163F9"/>
    <w:rsid w:val="00E17C5F"/>
    <w:rsid w:val="00E2097E"/>
    <w:rsid w:val="00E215EA"/>
    <w:rsid w:val="00E21CAB"/>
    <w:rsid w:val="00E220FC"/>
    <w:rsid w:val="00E221FC"/>
    <w:rsid w:val="00E22561"/>
    <w:rsid w:val="00E22E78"/>
    <w:rsid w:val="00E24619"/>
    <w:rsid w:val="00E25223"/>
    <w:rsid w:val="00E25999"/>
    <w:rsid w:val="00E263A8"/>
    <w:rsid w:val="00E308C8"/>
    <w:rsid w:val="00E30BEA"/>
    <w:rsid w:val="00E30C7B"/>
    <w:rsid w:val="00E31764"/>
    <w:rsid w:val="00E3288A"/>
    <w:rsid w:val="00E32A58"/>
    <w:rsid w:val="00E32BC2"/>
    <w:rsid w:val="00E33313"/>
    <w:rsid w:val="00E34985"/>
    <w:rsid w:val="00E34E4A"/>
    <w:rsid w:val="00E365B3"/>
    <w:rsid w:val="00E366BB"/>
    <w:rsid w:val="00E372FD"/>
    <w:rsid w:val="00E379F9"/>
    <w:rsid w:val="00E37C45"/>
    <w:rsid w:val="00E40AAA"/>
    <w:rsid w:val="00E41A59"/>
    <w:rsid w:val="00E42070"/>
    <w:rsid w:val="00E42444"/>
    <w:rsid w:val="00E438CF"/>
    <w:rsid w:val="00E43B06"/>
    <w:rsid w:val="00E43C41"/>
    <w:rsid w:val="00E4500E"/>
    <w:rsid w:val="00E450CE"/>
    <w:rsid w:val="00E45703"/>
    <w:rsid w:val="00E45A00"/>
    <w:rsid w:val="00E45CE7"/>
    <w:rsid w:val="00E4631F"/>
    <w:rsid w:val="00E46A4A"/>
    <w:rsid w:val="00E4793B"/>
    <w:rsid w:val="00E47CB8"/>
    <w:rsid w:val="00E522BB"/>
    <w:rsid w:val="00E52A3D"/>
    <w:rsid w:val="00E533B7"/>
    <w:rsid w:val="00E539E4"/>
    <w:rsid w:val="00E53C14"/>
    <w:rsid w:val="00E549AC"/>
    <w:rsid w:val="00E569C7"/>
    <w:rsid w:val="00E571F2"/>
    <w:rsid w:val="00E57429"/>
    <w:rsid w:val="00E60FCE"/>
    <w:rsid w:val="00E61EA8"/>
    <w:rsid w:val="00E62A33"/>
    <w:rsid w:val="00E63221"/>
    <w:rsid w:val="00E63EC6"/>
    <w:rsid w:val="00E64AE4"/>
    <w:rsid w:val="00E64CFF"/>
    <w:rsid w:val="00E64EA1"/>
    <w:rsid w:val="00E6582D"/>
    <w:rsid w:val="00E662D1"/>
    <w:rsid w:val="00E663A1"/>
    <w:rsid w:val="00E669C7"/>
    <w:rsid w:val="00E6737F"/>
    <w:rsid w:val="00E67611"/>
    <w:rsid w:val="00E70400"/>
    <w:rsid w:val="00E70510"/>
    <w:rsid w:val="00E710C7"/>
    <w:rsid w:val="00E71262"/>
    <w:rsid w:val="00E71A58"/>
    <w:rsid w:val="00E72FBF"/>
    <w:rsid w:val="00E737F6"/>
    <w:rsid w:val="00E7568F"/>
    <w:rsid w:val="00E764AE"/>
    <w:rsid w:val="00E7724B"/>
    <w:rsid w:val="00E80E31"/>
    <w:rsid w:val="00E81130"/>
    <w:rsid w:val="00E813C1"/>
    <w:rsid w:val="00E81A9E"/>
    <w:rsid w:val="00E81E1E"/>
    <w:rsid w:val="00E83DAB"/>
    <w:rsid w:val="00E840CA"/>
    <w:rsid w:val="00E84119"/>
    <w:rsid w:val="00E84A6B"/>
    <w:rsid w:val="00E84AAD"/>
    <w:rsid w:val="00E84CAB"/>
    <w:rsid w:val="00E84F21"/>
    <w:rsid w:val="00E8618A"/>
    <w:rsid w:val="00E868D4"/>
    <w:rsid w:val="00E90A4B"/>
    <w:rsid w:val="00E90D67"/>
    <w:rsid w:val="00E90F73"/>
    <w:rsid w:val="00E910A7"/>
    <w:rsid w:val="00E910C5"/>
    <w:rsid w:val="00E91607"/>
    <w:rsid w:val="00E921C7"/>
    <w:rsid w:val="00E92995"/>
    <w:rsid w:val="00E930C0"/>
    <w:rsid w:val="00E9446C"/>
    <w:rsid w:val="00E94612"/>
    <w:rsid w:val="00E95797"/>
    <w:rsid w:val="00E9682F"/>
    <w:rsid w:val="00E96A8D"/>
    <w:rsid w:val="00E972BA"/>
    <w:rsid w:val="00E97FA2"/>
    <w:rsid w:val="00EA06CB"/>
    <w:rsid w:val="00EA0AF3"/>
    <w:rsid w:val="00EA0C68"/>
    <w:rsid w:val="00EA19E2"/>
    <w:rsid w:val="00EA1CFB"/>
    <w:rsid w:val="00EA2169"/>
    <w:rsid w:val="00EA2BC9"/>
    <w:rsid w:val="00EA3CD4"/>
    <w:rsid w:val="00EA3EBE"/>
    <w:rsid w:val="00EA3FAC"/>
    <w:rsid w:val="00EA4153"/>
    <w:rsid w:val="00EA421A"/>
    <w:rsid w:val="00EA5CD6"/>
    <w:rsid w:val="00EA76FD"/>
    <w:rsid w:val="00EA77CA"/>
    <w:rsid w:val="00EA78FE"/>
    <w:rsid w:val="00EB03D4"/>
    <w:rsid w:val="00EB0555"/>
    <w:rsid w:val="00EB0F82"/>
    <w:rsid w:val="00EB20A0"/>
    <w:rsid w:val="00EB2CE9"/>
    <w:rsid w:val="00EB30B6"/>
    <w:rsid w:val="00EB4FA4"/>
    <w:rsid w:val="00EB5146"/>
    <w:rsid w:val="00EB522B"/>
    <w:rsid w:val="00EB55E9"/>
    <w:rsid w:val="00EB5641"/>
    <w:rsid w:val="00EB5CA9"/>
    <w:rsid w:val="00EB5ED4"/>
    <w:rsid w:val="00EB6537"/>
    <w:rsid w:val="00EB70E1"/>
    <w:rsid w:val="00EB78D5"/>
    <w:rsid w:val="00EB7EB5"/>
    <w:rsid w:val="00EC0860"/>
    <w:rsid w:val="00EC0EC1"/>
    <w:rsid w:val="00EC3608"/>
    <w:rsid w:val="00EC398B"/>
    <w:rsid w:val="00EC424C"/>
    <w:rsid w:val="00EC439A"/>
    <w:rsid w:val="00EC454B"/>
    <w:rsid w:val="00EC4941"/>
    <w:rsid w:val="00EC53DE"/>
    <w:rsid w:val="00EC6153"/>
    <w:rsid w:val="00EC7360"/>
    <w:rsid w:val="00EC7918"/>
    <w:rsid w:val="00EC7F92"/>
    <w:rsid w:val="00ED00A8"/>
    <w:rsid w:val="00ED04FA"/>
    <w:rsid w:val="00ED0A79"/>
    <w:rsid w:val="00ED2670"/>
    <w:rsid w:val="00ED2989"/>
    <w:rsid w:val="00ED2B0B"/>
    <w:rsid w:val="00ED2CA5"/>
    <w:rsid w:val="00ED336F"/>
    <w:rsid w:val="00ED3A94"/>
    <w:rsid w:val="00ED40F0"/>
    <w:rsid w:val="00ED4AC0"/>
    <w:rsid w:val="00ED4C05"/>
    <w:rsid w:val="00ED54D6"/>
    <w:rsid w:val="00ED5726"/>
    <w:rsid w:val="00ED7C3C"/>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916"/>
    <w:rsid w:val="00EF0E75"/>
    <w:rsid w:val="00EF1D92"/>
    <w:rsid w:val="00EF1F5A"/>
    <w:rsid w:val="00EF28C5"/>
    <w:rsid w:val="00EF3486"/>
    <w:rsid w:val="00EF3CF0"/>
    <w:rsid w:val="00EF416C"/>
    <w:rsid w:val="00EF4685"/>
    <w:rsid w:val="00EF5397"/>
    <w:rsid w:val="00EF67A9"/>
    <w:rsid w:val="00EF6BE3"/>
    <w:rsid w:val="00EF74D3"/>
    <w:rsid w:val="00F00D0E"/>
    <w:rsid w:val="00F00D3C"/>
    <w:rsid w:val="00F020EA"/>
    <w:rsid w:val="00F02A72"/>
    <w:rsid w:val="00F04811"/>
    <w:rsid w:val="00F0488C"/>
    <w:rsid w:val="00F0496E"/>
    <w:rsid w:val="00F04D10"/>
    <w:rsid w:val="00F053EA"/>
    <w:rsid w:val="00F0625B"/>
    <w:rsid w:val="00F068A8"/>
    <w:rsid w:val="00F06944"/>
    <w:rsid w:val="00F06C6F"/>
    <w:rsid w:val="00F0732D"/>
    <w:rsid w:val="00F101FF"/>
    <w:rsid w:val="00F104DF"/>
    <w:rsid w:val="00F10A33"/>
    <w:rsid w:val="00F10B64"/>
    <w:rsid w:val="00F1186C"/>
    <w:rsid w:val="00F11AD5"/>
    <w:rsid w:val="00F126D0"/>
    <w:rsid w:val="00F12A83"/>
    <w:rsid w:val="00F13E89"/>
    <w:rsid w:val="00F14ACD"/>
    <w:rsid w:val="00F15309"/>
    <w:rsid w:val="00F15BEF"/>
    <w:rsid w:val="00F160EC"/>
    <w:rsid w:val="00F172BE"/>
    <w:rsid w:val="00F1776C"/>
    <w:rsid w:val="00F17A82"/>
    <w:rsid w:val="00F2037E"/>
    <w:rsid w:val="00F20D17"/>
    <w:rsid w:val="00F2103E"/>
    <w:rsid w:val="00F214FC"/>
    <w:rsid w:val="00F21C31"/>
    <w:rsid w:val="00F21F9E"/>
    <w:rsid w:val="00F23825"/>
    <w:rsid w:val="00F2389A"/>
    <w:rsid w:val="00F23F6C"/>
    <w:rsid w:val="00F23FFF"/>
    <w:rsid w:val="00F2441D"/>
    <w:rsid w:val="00F2490D"/>
    <w:rsid w:val="00F24FAA"/>
    <w:rsid w:val="00F25226"/>
    <w:rsid w:val="00F253C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2FF2"/>
    <w:rsid w:val="00F43432"/>
    <w:rsid w:val="00F43921"/>
    <w:rsid w:val="00F44E1B"/>
    <w:rsid w:val="00F4524F"/>
    <w:rsid w:val="00F45530"/>
    <w:rsid w:val="00F4591F"/>
    <w:rsid w:val="00F47321"/>
    <w:rsid w:val="00F4736B"/>
    <w:rsid w:val="00F47804"/>
    <w:rsid w:val="00F47997"/>
    <w:rsid w:val="00F47D05"/>
    <w:rsid w:val="00F50030"/>
    <w:rsid w:val="00F502F5"/>
    <w:rsid w:val="00F5053A"/>
    <w:rsid w:val="00F50B9D"/>
    <w:rsid w:val="00F51FC9"/>
    <w:rsid w:val="00F529EE"/>
    <w:rsid w:val="00F52AE1"/>
    <w:rsid w:val="00F53243"/>
    <w:rsid w:val="00F541ED"/>
    <w:rsid w:val="00F54B31"/>
    <w:rsid w:val="00F54FD3"/>
    <w:rsid w:val="00F554F9"/>
    <w:rsid w:val="00F55605"/>
    <w:rsid w:val="00F56375"/>
    <w:rsid w:val="00F57CD7"/>
    <w:rsid w:val="00F6080A"/>
    <w:rsid w:val="00F6187C"/>
    <w:rsid w:val="00F61BFE"/>
    <w:rsid w:val="00F62F02"/>
    <w:rsid w:val="00F6339F"/>
    <w:rsid w:val="00F63DDE"/>
    <w:rsid w:val="00F63FB7"/>
    <w:rsid w:val="00F64726"/>
    <w:rsid w:val="00F64F44"/>
    <w:rsid w:val="00F6561A"/>
    <w:rsid w:val="00F65A44"/>
    <w:rsid w:val="00F66243"/>
    <w:rsid w:val="00F67BDA"/>
    <w:rsid w:val="00F67CF0"/>
    <w:rsid w:val="00F70309"/>
    <w:rsid w:val="00F7078A"/>
    <w:rsid w:val="00F70E45"/>
    <w:rsid w:val="00F727D5"/>
    <w:rsid w:val="00F72F44"/>
    <w:rsid w:val="00F73A0C"/>
    <w:rsid w:val="00F73AED"/>
    <w:rsid w:val="00F7593B"/>
    <w:rsid w:val="00F759DC"/>
    <w:rsid w:val="00F76217"/>
    <w:rsid w:val="00F76563"/>
    <w:rsid w:val="00F76870"/>
    <w:rsid w:val="00F7717C"/>
    <w:rsid w:val="00F771A5"/>
    <w:rsid w:val="00F80D1E"/>
    <w:rsid w:val="00F815A8"/>
    <w:rsid w:val="00F817A4"/>
    <w:rsid w:val="00F81C3A"/>
    <w:rsid w:val="00F83573"/>
    <w:rsid w:val="00F835E1"/>
    <w:rsid w:val="00F835FC"/>
    <w:rsid w:val="00F8373A"/>
    <w:rsid w:val="00F83E21"/>
    <w:rsid w:val="00F83FA4"/>
    <w:rsid w:val="00F8410C"/>
    <w:rsid w:val="00F84E18"/>
    <w:rsid w:val="00F852E5"/>
    <w:rsid w:val="00F853A5"/>
    <w:rsid w:val="00F863B7"/>
    <w:rsid w:val="00F8752F"/>
    <w:rsid w:val="00F90350"/>
    <w:rsid w:val="00F91E9E"/>
    <w:rsid w:val="00F91EAF"/>
    <w:rsid w:val="00F925B7"/>
    <w:rsid w:val="00F92FE6"/>
    <w:rsid w:val="00F9310A"/>
    <w:rsid w:val="00F94231"/>
    <w:rsid w:val="00F94681"/>
    <w:rsid w:val="00F95117"/>
    <w:rsid w:val="00F96648"/>
    <w:rsid w:val="00F97ED2"/>
    <w:rsid w:val="00FA05D7"/>
    <w:rsid w:val="00FA16BD"/>
    <w:rsid w:val="00FA1992"/>
    <w:rsid w:val="00FA1C6C"/>
    <w:rsid w:val="00FA2447"/>
    <w:rsid w:val="00FA2A4A"/>
    <w:rsid w:val="00FA2BDE"/>
    <w:rsid w:val="00FA2C2A"/>
    <w:rsid w:val="00FA309A"/>
    <w:rsid w:val="00FA3844"/>
    <w:rsid w:val="00FA3A11"/>
    <w:rsid w:val="00FA3AB1"/>
    <w:rsid w:val="00FA4730"/>
    <w:rsid w:val="00FA4BFF"/>
    <w:rsid w:val="00FA5A3E"/>
    <w:rsid w:val="00FA6B3F"/>
    <w:rsid w:val="00FA7644"/>
    <w:rsid w:val="00FB0A9A"/>
    <w:rsid w:val="00FB16AD"/>
    <w:rsid w:val="00FB1F21"/>
    <w:rsid w:val="00FB2A9D"/>
    <w:rsid w:val="00FB332E"/>
    <w:rsid w:val="00FB36E3"/>
    <w:rsid w:val="00FB3763"/>
    <w:rsid w:val="00FB4708"/>
    <w:rsid w:val="00FB483B"/>
    <w:rsid w:val="00FB56F1"/>
    <w:rsid w:val="00FB5FD4"/>
    <w:rsid w:val="00FB6398"/>
    <w:rsid w:val="00FB67F3"/>
    <w:rsid w:val="00FB6AF4"/>
    <w:rsid w:val="00FC0894"/>
    <w:rsid w:val="00FC0D8A"/>
    <w:rsid w:val="00FC0E5F"/>
    <w:rsid w:val="00FC135D"/>
    <w:rsid w:val="00FC18ED"/>
    <w:rsid w:val="00FC26FB"/>
    <w:rsid w:val="00FC2CF4"/>
    <w:rsid w:val="00FC3C84"/>
    <w:rsid w:val="00FC4660"/>
    <w:rsid w:val="00FC540C"/>
    <w:rsid w:val="00FC56DE"/>
    <w:rsid w:val="00FC5E01"/>
    <w:rsid w:val="00FC605E"/>
    <w:rsid w:val="00FC6140"/>
    <w:rsid w:val="00FC6DB5"/>
    <w:rsid w:val="00FD10BC"/>
    <w:rsid w:val="00FD1261"/>
    <w:rsid w:val="00FD1627"/>
    <w:rsid w:val="00FD1B51"/>
    <w:rsid w:val="00FD1BBD"/>
    <w:rsid w:val="00FD300F"/>
    <w:rsid w:val="00FD38B2"/>
    <w:rsid w:val="00FD43A0"/>
    <w:rsid w:val="00FD473D"/>
    <w:rsid w:val="00FD55BA"/>
    <w:rsid w:val="00FD61C8"/>
    <w:rsid w:val="00FD63CE"/>
    <w:rsid w:val="00FD7D49"/>
    <w:rsid w:val="00FE058B"/>
    <w:rsid w:val="00FE1251"/>
    <w:rsid w:val="00FE16E6"/>
    <w:rsid w:val="00FE2889"/>
    <w:rsid w:val="00FE2F78"/>
    <w:rsid w:val="00FE3510"/>
    <w:rsid w:val="00FE371D"/>
    <w:rsid w:val="00FE375F"/>
    <w:rsid w:val="00FE3D8B"/>
    <w:rsid w:val="00FE4FCB"/>
    <w:rsid w:val="00FE53F0"/>
    <w:rsid w:val="00FE688F"/>
    <w:rsid w:val="00FE6E67"/>
    <w:rsid w:val="00FE705E"/>
    <w:rsid w:val="00FF02EB"/>
    <w:rsid w:val="00FF288B"/>
    <w:rsid w:val="00FF28E0"/>
    <w:rsid w:val="00FF2FB4"/>
    <w:rsid w:val="00FF30B3"/>
    <w:rsid w:val="00FF3DF3"/>
    <w:rsid w:val="00FF4027"/>
    <w:rsid w:val="00FF45A2"/>
    <w:rsid w:val="00FF55B1"/>
    <w:rsid w:val="00FF5899"/>
    <w:rsid w:val="00FF6014"/>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webSettings.xml><?xml version="1.0" encoding="utf-8"?>
<w:webSettings xmlns:r="http://schemas.openxmlformats.org/officeDocument/2006/relationships" xmlns:w="http://schemas.openxmlformats.org/wordprocessingml/2006/main">
  <w:divs>
    <w:div w:id="181818228">
      <w:bodyDiv w:val="1"/>
      <w:marLeft w:val="0"/>
      <w:marRight w:val="0"/>
      <w:marTop w:val="0"/>
      <w:marBottom w:val="0"/>
      <w:divBdr>
        <w:top w:val="none" w:sz="0" w:space="0" w:color="auto"/>
        <w:left w:val="none" w:sz="0" w:space="0" w:color="auto"/>
        <w:bottom w:val="none" w:sz="0" w:space="0" w:color="auto"/>
        <w:right w:val="none" w:sz="0" w:space="0" w:color="auto"/>
      </w:divBdr>
    </w:div>
    <w:div w:id="196507420">
      <w:bodyDiv w:val="1"/>
      <w:marLeft w:val="0"/>
      <w:marRight w:val="0"/>
      <w:marTop w:val="0"/>
      <w:marBottom w:val="0"/>
      <w:divBdr>
        <w:top w:val="none" w:sz="0" w:space="0" w:color="auto"/>
        <w:left w:val="none" w:sz="0" w:space="0" w:color="auto"/>
        <w:bottom w:val="none" w:sz="0" w:space="0" w:color="auto"/>
        <w:right w:val="none" w:sz="0" w:space="0" w:color="auto"/>
      </w:divBdr>
    </w:div>
    <w:div w:id="380591470">
      <w:bodyDiv w:val="1"/>
      <w:marLeft w:val="0"/>
      <w:marRight w:val="0"/>
      <w:marTop w:val="0"/>
      <w:marBottom w:val="0"/>
      <w:divBdr>
        <w:top w:val="none" w:sz="0" w:space="0" w:color="auto"/>
        <w:left w:val="none" w:sz="0" w:space="0" w:color="auto"/>
        <w:bottom w:val="none" w:sz="0" w:space="0" w:color="auto"/>
        <w:right w:val="none" w:sz="0" w:space="0" w:color="auto"/>
      </w:divBdr>
    </w:div>
    <w:div w:id="718675857">
      <w:bodyDiv w:val="1"/>
      <w:marLeft w:val="0"/>
      <w:marRight w:val="0"/>
      <w:marTop w:val="0"/>
      <w:marBottom w:val="0"/>
      <w:divBdr>
        <w:top w:val="none" w:sz="0" w:space="0" w:color="auto"/>
        <w:left w:val="none" w:sz="0" w:space="0" w:color="auto"/>
        <w:bottom w:val="none" w:sz="0" w:space="0" w:color="auto"/>
        <w:right w:val="none" w:sz="0" w:space="0" w:color="auto"/>
      </w:divBdr>
    </w:div>
    <w:div w:id="836965494">
      <w:bodyDiv w:val="1"/>
      <w:marLeft w:val="0"/>
      <w:marRight w:val="0"/>
      <w:marTop w:val="0"/>
      <w:marBottom w:val="0"/>
      <w:divBdr>
        <w:top w:val="none" w:sz="0" w:space="0" w:color="auto"/>
        <w:left w:val="none" w:sz="0" w:space="0" w:color="auto"/>
        <w:bottom w:val="none" w:sz="0" w:space="0" w:color="auto"/>
        <w:right w:val="none" w:sz="0" w:space="0" w:color="auto"/>
      </w:divBdr>
    </w:div>
    <w:div w:id="842355999">
      <w:bodyDiv w:val="1"/>
      <w:marLeft w:val="0"/>
      <w:marRight w:val="0"/>
      <w:marTop w:val="0"/>
      <w:marBottom w:val="0"/>
      <w:divBdr>
        <w:top w:val="none" w:sz="0" w:space="0" w:color="auto"/>
        <w:left w:val="none" w:sz="0" w:space="0" w:color="auto"/>
        <w:bottom w:val="none" w:sz="0" w:space="0" w:color="auto"/>
        <w:right w:val="none" w:sz="0" w:space="0" w:color="auto"/>
      </w:divBdr>
    </w:div>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19697639">
      <w:bodyDiv w:val="1"/>
      <w:marLeft w:val="0"/>
      <w:marRight w:val="0"/>
      <w:marTop w:val="0"/>
      <w:marBottom w:val="0"/>
      <w:divBdr>
        <w:top w:val="none" w:sz="0" w:space="0" w:color="auto"/>
        <w:left w:val="none" w:sz="0" w:space="0" w:color="auto"/>
        <w:bottom w:val="none" w:sz="0" w:space="0" w:color="auto"/>
        <w:right w:val="none" w:sz="0" w:space="0" w:color="auto"/>
      </w:divBdr>
    </w:div>
    <w:div w:id="1188449491">
      <w:bodyDiv w:val="1"/>
      <w:marLeft w:val="0"/>
      <w:marRight w:val="0"/>
      <w:marTop w:val="0"/>
      <w:marBottom w:val="0"/>
      <w:divBdr>
        <w:top w:val="none" w:sz="0" w:space="0" w:color="auto"/>
        <w:left w:val="none" w:sz="0" w:space="0" w:color="auto"/>
        <w:bottom w:val="none" w:sz="0" w:space="0" w:color="auto"/>
        <w:right w:val="none" w:sz="0" w:space="0" w:color="auto"/>
      </w:divBdr>
    </w:div>
    <w:div w:id="1531840409">
      <w:bodyDiv w:val="1"/>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 w:id="1896620124">
      <w:bodyDiv w:val="1"/>
      <w:marLeft w:val="0"/>
      <w:marRight w:val="0"/>
      <w:marTop w:val="0"/>
      <w:marBottom w:val="0"/>
      <w:divBdr>
        <w:top w:val="none" w:sz="0" w:space="0" w:color="auto"/>
        <w:left w:val="none" w:sz="0" w:space="0" w:color="auto"/>
        <w:bottom w:val="none" w:sz="0" w:space="0" w:color="auto"/>
        <w:right w:val="none" w:sz="0" w:space="0" w:color="auto"/>
      </w:divBdr>
    </w:div>
    <w:div w:id="1938098484">
      <w:bodyDiv w:val="1"/>
      <w:marLeft w:val="0"/>
      <w:marRight w:val="0"/>
      <w:marTop w:val="0"/>
      <w:marBottom w:val="0"/>
      <w:divBdr>
        <w:top w:val="none" w:sz="0" w:space="0" w:color="auto"/>
        <w:left w:val="none" w:sz="0" w:space="0" w:color="auto"/>
        <w:bottom w:val="none" w:sz="0" w:space="0" w:color="auto"/>
        <w:right w:val="none" w:sz="0" w:space="0" w:color="auto"/>
      </w:divBdr>
    </w:div>
    <w:div w:id="2081900207">
      <w:bodyDiv w:val="1"/>
      <w:marLeft w:val="0"/>
      <w:marRight w:val="0"/>
      <w:marTop w:val="0"/>
      <w:marBottom w:val="0"/>
      <w:divBdr>
        <w:top w:val="none" w:sz="0" w:space="0" w:color="auto"/>
        <w:left w:val="none" w:sz="0" w:space="0" w:color="auto"/>
        <w:bottom w:val="none" w:sz="0" w:space="0" w:color="auto"/>
        <w:right w:val="none" w:sz="0" w:space="0" w:color="auto"/>
      </w:divBdr>
    </w:div>
    <w:div w:id="20906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fontTable" Target="fontTable.xml"/><Relationship Id="rId55"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tyles" Target="styles.xml"/><Relationship Id="rId9" Type="http://schemas.openxmlformats.org/officeDocument/2006/relationships/hyperlink" Target="mailto:jiri.kamenicky@czso.cz"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trh%20pr&#225;ce-2q-2017.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JKAM%20CSU\PUBLIKACE\PUBLIKACE\2017\QMakro\1.pololet&#237;-aktual\GB%20verze\Engl-Grafy-trh%20pr&#225;ce-2q-20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trh%20pr&#225;ce-2q-20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st&#225;tn&#237;%20rozpo&#269;et-1.pol-201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st&#225;tn&#237;%20rozpo&#269;et-1.pol-2016.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st&#225;tn&#237;%20rozpo&#269;et-1.pol-2016.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st&#225;tn&#237;%20rozpo&#269;et-1.pol-2016.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Grafy-st&#225;tn&#237;%20rozpo&#269;et-1.pol-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Odv&#283;tv&#237;%20grafy-2q-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Odv&#283;tv&#237;%20grafy-2q-2017.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7\QMakro\1.pololet&#237;-aktual\GB%20verze\Engl-Odv&#283;tv&#237;%20grafy-2q-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JKAM%20CSU\PUBLIKACE\PUBLIKACE\2017\QMakro\1.pololet&#237;-aktual\GB%20verze\Engl-Odv&#283;tv&#237;%20grafy-2q-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2240163796014439E-2"/>
          <c:y val="2.3046636085626952E-2"/>
          <c:w val="0.93617042384329663"/>
          <c:h val="0.74192840256670833"/>
        </c:manualLayout>
      </c:layout>
      <c:barChart>
        <c:barDir val="col"/>
        <c:grouping val="clustered"/>
        <c:ser>
          <c:idx val="0"/>
          <c:order val="0"/>
          <c:tx>
            <c:strRef>
              <c:f>'souhrnná výkonnost 1'!$C$4</c:f>
              <c:strCache>
                <c:ptCount val="1"/>
                <c:pt idx="0">
                  <c:v>CR year-on-year change</c:v>
                </c:pt>
              </c:strCache>
            </c:strRef>
          </c:tx>
          <c:spPr>
            <a:solidFill>
              <a:schemeClr val="bg1">
                <a:lumMod val="65000"/>
              </a:schemeClr>
            </a:solidFill>
            <a:ln>
              <a:noFill/>
            </a:ln>
          </c:spPr>
          <c:cat>
            <c:multiLvlStrRef>
              <c:f>'souhrnná výkonnost 1'!$A$9:$B$26</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'souhrnná výkonnost 1'!$C$9:$C$26</c:f>
              <c:numCache>
                <c:formatCode>0.0</c:formatCode>
                <c:ptCount val="18"/>
                <c:pt idx="0">
                  <c:v>-1.7511683134985248</c:v>
                </c:pt>
                <c:pt idx="1">
                  <c:v>-1.1225511599608391</c:v>
                </c:pt>
                <c:pt idx="2">
                  <c:v>-0.35187335671894032</c:v>
                </c:pt>
                <c:pt idx="3">
                  <c:v>1.3064560933108851</c:v>
                </c:pt>
                <c:pt idx="4">
                  <c:v>1.6429317745401164</c:v>
                </c:pt>
                <c:pt idx="5">
                  <c:v>2.379951450221256</c:v>
                </c:pt>
                <c:pt idx="6">
                  <c:v>3.4229941989101462</c:v>
                </c:pt>
                <c:pt idx="7">
                  <c:v>3.3996850847558182</c:v>
                </c:pt>
                <c:pt idx="8">
                  <c:v>5.1924491451289043</c:v>
                </c:pt>
                <c:pt idx="9">
                  <c:v>5.7975987955825889</c:v>
                </c:pt>
                <c:pt idx="10">
                  <c:v>5.68800525213139</c:v>
                </c:pt>
                <c:pt idx="11">
                  <c:v>4.8807255143514396</c:v>
                </c:pt>
                <c:pt idx="12">
                  <c:v>3.5408169174491197</c:v>
                </c:pt>
                <c:pt idx="13">
                  <c:v>2.8477395147454203</c:v>
                </c:pt>
                <c:pt idx="14">
                  <c:v>1.843939906776342</c:v>
                </c:pt>
                <c:pt idx="15">
                  <c:v>1.7654418234806428</c:v>
                </c:pt>
                <c:pt idx="16" formatCode="General">
                  <c:v>2.9918698816459965</c:v>
                </c:pt>
                <c:pt idx="17" formatCode="General">
                  <c:v>4.679972870303132</c:v>
                </c:pt>
              </c:numCache>
            </c:numRef>
          </c:val>
        </c:ser>
        <c:ser>
          <c:idx val="1"/>
          <c:order val="1"/>
          <c:tx>
            <c:strRef>
              <c:f>'souhrnná výkonnost 1'!$D$4</c:f>
              <c:strCache>
                <c:ptCount val="1"/>
                <c:pt idx="0">
                  <c:v>EU28 year-on-year change</c:v>
                </c:pt>
              </c:strCache>
            </c:strRef>
          </c:tx>
          <c:spPr>
            <a:solidFill>
              <a:schemeClr val="bg1">
                <a:lumMod val="50000"/>
              </a:schemeClr>
            </a:solidFill>
            <a:ln>
              <a:noFill/>
            </a:ln>
          </c:spPr>
          <c:cat>
            <c:multiLvlStrRef>
              <c:f>'souhrnná výkonnost 1'!$A$9:$B$25</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'souhrnná výkonnost 1'!$D$9:$D$26</c:f>
              <c:numCache>
                <c:formatCode>0.0</c:formatCode>
                <c:ptCount val="18"/>
                <c:pt idx="0">
                  <c:v>-0.5911330049261011</c:v>
                </c:pt>
                <c:pt idx="1">
                  <c:v>9.8716683119455667E-2</c:v>
                </c:pt>
                <c:pt idx="2">
                  <c:v>0.49358341559723684</c:v>
                </c:pt>
                <c:pt idx="3">
                  <c:v>1.1892963330029618</c:v>
                </c:pt>
                <c:pt idx="4">
                  <c:v>1.6848364717542021</c:v>
                </c:pt>
                <c:pt idx="5">
                  <c:v>1.4792899408284024</c:v>
                </c:pt>
                <c:pt idx="6">
                  <c:v>1.5717092337917571</c:v>
                </c:pt>
                <c:pt idx="7">
                  <c:v>1.8609206660137181</c:v>
                </c:pt>
                <c:pt idx="8" formatCode="#,##0.0">
                  <c:v>2.1</c:v>
                </c:pt>
                <c:pt idx="9" formatCode="#,##0.0">
                  <c:v>2.2000000000000002</c:v>
                </c:pt>
                <c:pt idx="10" formatCode="#,##0.0">
                  <c:v>2.1</c:v>
                </c:pt>
                <c:pt idx="11" formatCode="#,##0.0">
                  <c:v>2.1</c:v>
                </c:pt>
                <c:pt idx="12" formatCode="#,##0.0">
                  <c:v>1.8</c:v>
                </c:pt>
                <c:pt idx="13" formatCode="#,##0.0">
                  <c:v>1.9000000000000001</c:v>
                </c:pt>
                <c:pt idx="14" formatCode="#,##0.0">
                  <c:v>1.9000000000000001</c:v>
                </c:pt>
                <c:pt idx="15" formatCode="#,##0.0">
                  <c:v>2</c:v>
                </c:pt>
                <c:pt idx="16" formatCode="#,##0.0">
                  <c:v>2.1</c:v>
                </c:pt>
                <c:pt idx="17" formatCode="#,##0.0">
                  <c:v>2.4</c:v>
                </c:pt>
              </c:numCache>
            </c:numRef>
          </c:val>
        </c:ser>
        <c:gapWidth val="100"/>
        <c:axId val="151484288"/>
        <c:axId val="151485824"/>
      </c:barChart>
      <c:lineChart>
        <c:grouping val="standard"/>
        <c:ser>
          <c:idx val="2"/>
          <c:order val="2"/>
          <c:tx>
            <c:strRef>
              <c:f>'souhrnná výkonnost 1'!$E$4</c:f>
              <c:strCache>
                <c:ptCount val="1"/>
                <c:pt idx="0">
                  <c:v>ČR quarter-on-quarter change</c:v>
                </c:pt>
              </c:strCache>
            </c:strRef>
          </c:tx>
          <c:spPr>
            <a:ln w="19050">
              <a:solidFill>
                <a:srgbClr val="0071BC"/>
              </a:solidFill>
            </a:ln>
          </c:spPr>
          <c:marker>
            <c:symbol val="none"/>
          </c:marker>
          <c:val>
            <c:numRef>
              <c:f>'souhrnná výkonnost 1'!$E$9:$E$26</c:f>
              <c:numCache>
                <c:formatCode>0.0</c:formatCode>
                <c:ptCount val="18"/>
                <c:pt idx="0">
                  <c:v>-0.45693637688056332</c:v>
                </c:pt>
                <c:pt idx="1">
                  <c:v>0.19806063963225995</c:v>
                </c:pt>
                <c:pt idx="2">
                  <c:v>0.25106366477383801</c:v>
                </c:pt>
                <c:pt idx="3">
                  <c:v>1.3159486871259622</c:v>
                </c:pt>
                <c:pt idx="4">
                  <c:v>-0.1263175650510249</c:v>
                </c:pt>
                <c:pt idx="5">
                  <c:v>0.92460345837255964</c:v>
                </c:pt>
                <c:pt idx="6">
                  <c:v>1.272417391970436</c:v>
                </c:pt>
                <c:pt idx="7">
                  <c:v>1.2931144515490858</c:v>
                </c:pt>
                <c:pt idx="8">
                  <c:v>1.6053119684405321</c:v>
                </c:pt>
                <c:pt idx="9">
                  <c:v>1.5052011058400858</c:v>
                </c:pt>
                <c:pt idx="10">
                  <c:v>1.1675113903011718</c:v>
                </c:pt>
                <c:pt idx="11">
                  <c:v>0.5194043348874664</c:v>
                </c:pt>
                <c:pt idx="12">
                  <c:v>0.30724856994861377</c:v>
                </c:pt>
                <c:pt idx="13">
                  <c:v>0.82574962730442203</c:v>
                </c:pt>
                <c:pt idx="14">
                  <c:v>0.18011090146271191</c:v>
                </c:pt>
                <c:pt idx="15">
                  <c:v>0.44192716166011792</c:v>
                </c:pt>
                <c:pt idx="16" formatCode="General">
                  <c:v>1.5161031858106071</c:v>
                </c:pt>
                <c:pt idx="17" formatCode="General">
                  <c:v>2.4783485118090169</c:v>
                </c:pt>
              </c:numCache>
            </c:numRef>
          </c:val>
        </c:ser>
        <c:ser>
          <c:idx val="3"/>
          <c:order val="3"/>
          <c:tx>
            <c:strRef>
              <c:f>'souhrnná výkonnost 1'!$F$4</c:f>
              <c:strCache>
                <c:ptCount val="1"/>
                <c:pt idx="0">
                  <c:v>EU28 quarter-on-quarter change</c:v>
                </c:pt>
              </c:strCache>
            </c:strRef>
          </c:tx>
          <c:spPr>
            <a:ln w="19050">
              <a:solidFill>
                <a:srgbClr val="BD1B21"/>
              </a:solidFill>
            </a:ln>
          </c:spPr>
          <c:marker>
            <c:symbol val="none"/>
          </c:marker>
          <c:val>
            <c:numRef>
              <c:f>'souhrnná výkonnost 1'!$F$9:$F$26</c:f>
              <c:numCache>
                <c:formatCode>0.0</c:formatCode>
                <c:ptCount val="18"/>
                <c:pt idx="0">
                  <c:v>0</c:v>
                </c:pt>
                <c:pt idx="1">
                  <c:v>0.49554013875123876</c:v>
                </c:pt>
                <c:pt idx="2">
                  <c:v>0.39447731755423365</c:v>
                </c:pt>
                <c:pt idx="3">
                  <c:v>0.29469548133595136</c:v>
                </c:pt>
                <c:pt idx="4">
                  <c:v>0.48971596474045204</c:v>
                </c:pt>
                <c:pt idx="5">
                  <c:v>0.29239766081872481</c:v>
                </c:pt>
                <c:pt idx="6">
                  <c:v>0.48590864917395676</c:v>
                </c:pt>
                <c:pt idx="7">
                  <c:v>0.58027079303674456</c:v>
                </c:pt>
                <c:pt idx="8" formatCode="#,##0.0">
                  <c:v>0.70000000000000062</c:v>
                </c:pt>
                <c:pt idx="9" formatCode="#,##0.0">
                  <c:v>0.4</c:v>
                </c:pt>
                <c:pt idx="10" formatCode="#,##0.0">
                  <c:v>0.5</c:v>
                </c:pt>
                <c:pt idx="11" formatCode="#,##0.0">
                  <c:v>0.5</c:v>
                </c:pt>
                <c:pt idx="12" formatCode="#,##0.0">
                  <c:v>0.4</c:v>
                </c:pt>
                <c:pt idx="13" formatCode="#,##0.0">
                  <c:v>0.4</c:v>
                </c:pt>
                <c:pt idx="14" formatCode="#,##0.0">
                  <c:v>0.5</c:v>
                </c:pt>
                <c:pt idx="15" formatCode="#,##0.0">
                  <c:v>0.70000000000000062</c:v>
                </c:pt>
                <c:pt idx="16" formatCode="#,##0.0">
                  <c:v>0.5</c:v>
                </c:pt>
                <c:pt idx="17" formatCode="#,##0.0">
                  <c:v>0.70000000000000062</c:v>
                </c:pt>
              </c:numCache>
            </c:numRef>
          </c:val>
        </c:ser>
        <c:marker val="1"/>
        <c:axId val="151484288"/>
        <c:axId val="151485824"/>
      </c:lineChart>
      <c:catAx>
        <c:axId val="151484288"/>
        <c:scaling>
          <c:orientation val="minMax"/>
        </c:scaling>
        <c:axPos val="b"/>
        <c:tickLblPos val="low"/>
        <c:spPr>
          <a:ln>
            <a:solidFill>
              <a:schemeClr val="tx1"/>
            </a:solidFill>
          </a:ln>
        </c:spPr>
        <c:txPr>
          <a:bodyPr rot="0" vert="horz"/>
          <a:lstStyle/>
          <a:p>
            <a:pPr>
              <a:defRPr/>
            </a:pPr>
            <a:endParaRPr lang="cs-CZ"/>
          </a:p>
        </c:txPr>
        <c:crossAx val="151485824"/>
        <c:crosses val="autoZero"/>
        <c:auto val="1"/>
        <c:lblAlgn val="ctr"/>
        <c:lblOffset val="100"/>
      </c:catAx>
      <c:valAx>
        <c:axId val="151485824"/>
        <c:scaling>
          <c:orientation val="minMax"/>
          <c:max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51484288"/>
        <c:crosses val="autoZero"/>
        <c:crossBetween val="between"/>
      </c:valAx>
      <c:spPr>
        <a:ln>
          <a:solidFill>
            <a:schemeClr val="tx1"/>
          </a:solidFill>
        </a:ln>
      </c:spPr>
    </c:plotArea>
    <c:legend>
      <c:legendPos val="b"/>
      <c:layout>
        <c:manualLayout>
          <c:xMode val="edge"/>
          <c:yMode val="edge"/>
          <c:x val="5.8432007707897332E-2"/>
          <c:y val="0.89437255125717996"/>
          <c:w val="0.91838433170537226"/>
          <c:h val="9.0301755758791014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656266097578916E-2"/>
          <c:y val="2.3304908251716772E-2"/>
          <c:w val="0.92389825103638379"/>
          <c:h val="0.63868287740628482"/>
        </c:manualLayout>
      </c:layout>
      <c:barChart>
        <c:barDir val="col"/>
        <c:grouping val="clustered"/>
        <c:ser>
          <c:idx val="1"/>
          <c:order val="0"/>
          <c:tx>
            <c:strRef>
              <c:f>'Vnější vztahy 2'!$A$7</c:f>
              <c:strCache>
                <c:ptCount val="1"/>
                <c:pt idx="0">
                  <c:v>2016 Q1-Q2</c:v>
                </c:pt>
              </c:strCache>
            </c:strRef>
          </c:tx>
          <c:spPr>
            <a:solidFill>
              <a:schemeClr val="bg1">
                <a:lumMod val="65000"/>
              </a:schemeClr>
            </a:solidFill>
          </c:spPr>
          <c:val>
            <c:numRef>
              <c:f>'Vnější vztahy 2'!$B$7:$N$7</c:f>
              <c:numCache>
                <c:formatCode>General</c:formatCode>
                <c:ptCount val="13"/>
                <c:pt idx="0">
                  <c:v>-35.726000000000013</c:v>
                </c:pt>
                <c:pt idx="1">
                  <c:v>-17.251000000000001</c:v>
                </c:pt>
                <c:pt idx="2">
                  <c:v>-11.456000000000024</c:v>
                </c:pt>
                <c:pt idx="3">
                  <c:v>-13.351000000000004</c:v>
                </c:pt>
                <c:pt idx="4">
                  <c:v>-64.046000000000006</c:v>
                </c:pt>
                <c:pt idx="5">
                  <c:v>-22.257000000000001</c:v>
                </c:pt>
                <c:pt idx="6">
                  <c:v>12.089</c:v>
                </c:pt>
                <c:pt idx="7">
                  <c:v>-48.585000000000001</c:v>
                </c:pt>
                <c:pt idx="8">
                  <c:v>32.408000000000001</c:v>
                </c:pt>
                <c:pt idx="9">
                  <c:v>-20.904</c:v>
                </c:pt>
                <c:pt idx="10">
                  <c:v>21.832000000000001</c:v>
                </c:pt>
                <c:pt idx="11">
                  <c:v>32.300000000000004</c:v>
                </c:pt>
                <c:pt idx="12">
                  <c:v>230.48200000000054</c:v>
                </c:pt>
              </c:numCache>
            </c:numRef>
          </c:val>
        </c:ser>
        <c:ser>
          <c:idx val="0"/>
          <c:order val="1"/>
          <c:tx>
            <c:strRef>
              <c:f>'Vnější vztahy 2'!$A$6</c:f>
              <c:strCache>
                <c:ptCount val="1"/>
                <c:pt idx="0">
                  <c:v>2017 Q1-Q2</c:v>
                </c:pt>
              </c:strCache>
            </c:strRef>
          </c:tx>
          <c:spPr>
            <a:solidFill>
              <a:schemeClr val="tx1">
                <a:lumMod val="50000"/>
                <a:lumOff val="50000"/>
              </a:schemeClr>
            </a:solidFill>
            <a:ln>
              <a:noFill/>
            </a:ln>
          </c:spPr>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2'!$B$6:$N$6</c:f>
              <c:numCache>
                <c:formatCode>General</c:formatCode>
                <c:ptCount val="13"/>
                <c:pt idx="0">
                  <c:v>-62.225000000000158</c:v>
                </c:pt>
                <c:pt idx="1">
                  <c:v>-18.152999999999999</c:v>
                </c:pt>
                <c:pt idx="2">
                  <c:v>-13.701000000000001</c:v>
                </c:pt>
                <c:pt idx="3">
                  <c:v>-4.7069999999999999</c:v>
                </c:pt>
                <c:pt idx="4">
                  <c:v>-57.502000000000002</c:v>
                </c:pt>
                <c:pt idx="5">
                  <c:v>-24.281999999999989</c:v>
                </c:pt>
                <c:pt idx="6">
                  <c:v>12.185</c:v>
                </c:pt>
                <c:pt idx="7">
                  <c:v>-62.403000000000006</c:v>
                </c:pt>
                <c:pt idx="8">
                  <c:v>30.224</c:v>
                </c:pt>
                <c:pt idx="9">
                  <c:v>-18.510000000000005</c:v>
                </c:pt>
                <c:pt idx="10">
                  <c:v>20.870999999999999</c:v>
                </c:pt>
                <c:pt idx="11">
                  <c:v>42.933</c:v>
                </c:pt>
                <c:pt idx="12">
                  <c:v>243.61099999999999</c:v>
                </c:pt>
              </c:numCache>
            </c:numRef>
          </c:val>
        </c:ser>
        <c:gapWidth val="97"/>
        <c:axId val="173961216"/>
        <c:axId val="173962752"/>
      </c:barChart>
      <c:catAx>
        <c:axId val="173961216"/>
        <c:scaling>
          <c:orientation val="minMax"/>
        </c:scaling>
        <c:axPos val="b"/>
        <c:tickLblPos val="low"/>
        <c:spPr>
          <a:ln>
            <a:solidFill>
              <a:schemeClr val="tx1"/>
            </a:solidFill>
          </a:ln>
        </c:spPr>
        <c:txPr>
          <a:bodyPr rot="-5400000" vert="horz"/>
          <a:lstStyle/>
          <a:p>
            <a:pPr>
              <a:defRPr/>
            </a:pPr>
            <a:endParaRPr lang="cs-CZ"/>
          </a:p>
        </c:txPr>
        <c:crossAx val="173962752"/>
        <c:crosses val="autoZero"/>
        <c:auto val="1"/>
        <c:lblAlgn val="ctr"/>
        <c:lblOffset val="100"/>
      </c:catAx>
      <c:valAx>
        <c:axId val="173962752"/>
        <c:scaling>
          <c:orientation val="minMax"/>
          <c:max val="250"/>
          <c:min val="-80"/>
        </c:scaling>
        <c:axPos val="l"/>
        <c:majorGridlines>
          <c:spPr>
            <a:ln w="6350">
              <a:solidFill>
                <a:schemeClr val="bg1">
                  <a:lumMod val="75000"/>
                </a:schemeClr>
              </a:solidFill>
            </a:ln>
          </c:spPr>
        </c:majorGridlines>
        <c:numFmt formatCode="General" sourceLinked="1"/>
        <c:tickLblPos val="nextTo"/>
        <c:crossAx val="173961216"/>
        <c:crosses val="autoZero"/>
        <c:crossBetween val="between"/>
        <c:majorUnit val="40"/>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568840579710145E-2"/>
          <c:y val="2.1811315924219855E-2"/>
          <c:w val="0.92237743255066085"/>
          <c:h val="0.73318107621299455"/>
        </c:manualLayout>
      </c:layout>
      <c:barChart>
        <c:barDir val="col"/>
        <c:grouping val="clustered"/>
        <c:ser>
          <c:idx val="0"/>
          <c:order val="0"/>
          <c:tx>
            <c:strRef>
              <c:f>'Ceny 2'!$C$5</c:f>
              <c:strCache>
                <c:ptCount val="1"/>
                <c:pt idx="0">
                  <c:v>Total</c:v>
                </c:pt>
              </c:strCache>
            </c:strRef>
          </c:tx>
          <c:spPr>
            <a:solidFill>
              <a:schemeClr val="bg1">
                <a:lumMod val="65000"/>
              </a:schemeClr>
            </a:solidFill>
            <a:ln w="19050">
              <a:noFill/>
            </a:ln>
          </c:spPr>
          <c:cat>
            <c:multiLvlStrRef>
              <c:f>'Ceny 2'!$A$10:$B$27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2'!$C$10:$C$27</c:f>
              <c:numCache>
                <c:formatCode>0.0</c:formatCode>
                <c:ptCount val="18"/>
                <c:pt idx="0">
                  <c:v>1.7999999999999921</c:v>
                </c:pt>
                <c:pt idx="1">
                  <c:v>1.5</c:v>
                </c:pt>
                <c:pt idx="2">
                  <c:v>1.2000000000000028</c:v>
                </c:pt>
                <c:pt idx="3">
                  <c:v>1.0999999999999901</c:v>
                </c:pt>
                <c:pt idx="4">
                  <c:v>0.20000000000000284</c:v>
                </c:pt>
                <c:pt idx="5">
                  <c:v>0.20000000000000284</c:v>
                </c:pt>
                <c:pt idx="6">
                  <c:v>0.59999999999999432</c:v>
                </c:pt>
                <c:pt idx="7">
                  <c:v>0.5</c:v>
                </c:pt>
                <c:pt idx="8">
                  <c:v>9.9999999999994704E-2</c:v>
                </c:pt>
                <c:pt idx="9">
                  <c:v>0.70000000000000284</c:v>
                </c:pt>
                <c:pt idx="10">
                  <c:v>0.40000000000000568</c:v>
                </c:pt>
                <c:pt idx="11">
                  <c:v>9.9999999999994704E-2</c:v>
                </c:pt>
                <c:pt idx="12">
                  <c:v>0.5</c:v>
                </c:pt>
                <c:pt idx="13">
                  <c:v>0.20000000000000284</c:v>
                </c:pt>
                <c:pt idx="14">
                  <c:v>0.5</c:v>
                </c:pt>
                <c:pt idx="15">
                  <c:v>1.4000000000000057</c:v>
                </c:pt>
                <c:pt idx="16" formatCode="General">
                  <c:v>2.4000000000000057</c:v>
                </c:pt>
                <c:pt idx="17" formatCode="General">
                  <c:v>2.2000000000000042</c:v>
                </c:pt>
              </c:numCache>
            </c:numRef>
          </c:val>
        </c:ser>
        <c:gapWidth val="95"/>
        <c:axId val="175546752"/>
        <c:axId val="175548288"/>
      </c:barChart>
      <c:lineChart>
        <c:grouping val="standard"/>
        <c:ser>
          <c:idx val="1"/>
          <c:order val="1"/>
          <c:tx>
            <c:strRef>
              <c:f>'Ceny 2'!$D$5</c:f>
              <c:strCache>
                <c:ptCount val="1"/>
                <c:pt idx="0">
                  <c:v>Food</c:v>
                </c:pt>
              </c:strCache>
            </c:strRef>
          </c:tx>
          <c:spPr>
            <a:ln w="19050">
              <a:solidFill>
                <a:srgbClr val="0071BC"/>
              </a:solidFill>
            </a:ln>
          </c:spPr>
          <c:marker>
            <c:symbol val="none"/>
          </c:marker>
          <c:cat>
            <c:multiLvlStrRef>
              <c:f>'Ceny 2'!$A$10:$B$27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2'!$D$10:$D$27</c:f>
              <c:numCache>
                <c:formatCode>0.0</c:formatCode>
                <c:ptCount val="18"/>
                <c:pt idx="0">
                  <c:v>4.9000000000000083</c:v>
                </c:pt>
                <c:pt idx="1">
                  <c:v>5.4000000000000083</c:v>
                </c:pt>
                <c:pt idx="2">
                  <c:v>5.2999999999999972</c:v>
                </c:pt>
                <c:pt idx="3">
                  <c:v>4.0999999999999943</c:v>
                </c:pt>
                <c:pt idx="4">
                  <c:v>3.9000000000000057</c:v>
                </c:pt>
                <c:pt idx="5">
                  <c:v>1.5</c:v>
                </c:pt>
                <c:pt idx="6">
                  <c:v>1.4000000000000057</c:v>
                </c:pt>
                <c:pt idx="7">
                  <c:v>1.2000000000000028</c:v>
                </c:pt>
                <c:pt idx="8">
                  <c:v>-1.5999999999999901</c:v>
                </c:pt>
                <c:pt idx="9">
                  <c:v>-9.9999999999994704E-2</c:v>
                </c:pt>
                <c:pt idx="10">
                  <c:v>-0.90000000000000568</c:v>
                </c:pt>
                <c:pt idx="11">
                  <c:v>-1.5999999999999901</c:v>
                </c:pt>
                <c:pt idx="12">
                  <c:v>-1.7000000000000028</c:v>
                </c:pt>
                <c:pt idx="13">
                  <c:v>-2.4000000000000057</c:v>
                </c:pt>
                <c:pt idx="14">
                  <c:v>-0.7999999999999976</c:v>
                </c:pt>
                <c:pt idx="15">
                  <c:v>1.2000000000000028</c:v>
                </c:pt>
                <c:pt idx="16" formatCode="General">
                  <c:v>4.2000000000000028</c:v>
                </c:pt>
                <c:pt idx="17" formatCode="General">
                  <c:v>4.5</c:v>
                </c:pt>
              </c:numCache>
            </c:numRef>
          </c:val>
        </c:ser>
        <c:ser>
          <c:idx val="2"/>
          <c:order val="2"/>
          <c:tx>
            <c:strRef>
              <c:f>'Ceny 2'!$E$5</c:f>
              <c:strCache>
                <c:ptCount val="1"/>
                <c:pt idx="0">
                  <c:v>Alcoholic beverages and tobacco</c:v>
                </c:pt>
              </c:strCache>
            </c:strRef>
          </c:tx>
          <c:spPr>
            <a:ln w="19050">
              <a:solidFill>
                <a:srgbClr val="BD1B21"/>
              </a:solidFill>
            </a:ln>
          </c:spPr>
          <c:marker>
            <c:symbol val="none"/>
          </c:marker>
          <c:cat>
            <c:multiLvlStrRef>
              <c:f>'Ceny 2'!$A$10:$B$26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2'!$E$10:$E$27</c:f>
              <c:numCache>
                <c:formatCode>0.0</c:formatCode>
                <c:ptCount val="18"/>
                <c:pt idx="0">
                  <c:v>3.5999999999999943</c:v>
                </c:pt>
                <c:pt idx="1">
                  <c:v>4.2000000000000028</c:v>
                </c:pt>
                <c:pt idx="2">
                  <c:v>3.4000000000000057</c:v>
                </c:pt>
                <c:pt idx="3">
                  <c:v>3.2000000000000042</c:v>
                </c:pt>
                <c:pt idx="4">
                  <c:v>4.0999999999999943</c:v>
                </c:pt>
                <c:pt idx="5">
                  <c:v>2.9000000000000057</c:v>
                </c:pt>
                <c:pt idx="6">
                  <c:v>2.7000000000000042</c:v>
                </c:pt>
                <c:pt idx="7">
                  <c:v>1.4000000000000057</c:v>
                </c:pt>
                <c:pt idx="8">
                  <c:v>3.4000000000000057</c:v>
                </c:pt>
                <c:pt idx="9">
                  <c:v>5.4000000000000083</c:v>
                </c:pt>
                <c:pt idx="10">
                  <c:v>5.2000000000000028</c:v>
                </c:pt>
                <c:pt idx="11">
                  <c:v>4.7000000000000028</c:v>
                </c:pt>
                <c:pt idx="12">
                  <c:v>3.5</c:v>
                </c:pt>
                <c:pt idx="13">
                  <c:v>4.4000000000000083</c:v>
                </c:pt>
                <c:pt idx="14">
                  <c:v>4.5</c:v>
                </c:pt>
                <c:pt idx="15">
                  <c:v>5.2000000000000028</c:v>
                </c:pt>
                <c:pt idx="16" formatCode="General">
                  <c:v>3.4000000000000057</c:v>
                </c:pt>
                <c:pt idx="17" formatCode="General">
                  <c:v>0.7999999999999976</c:v>
                </c:pt>
              </c:numCache>
            </c:numRef>
          </c:val>
        </c:ser>
        <c:ser>
          <c:idx val="3"/>
          <c:order val="3"/>
          <c:tx>
            <c:strRef>
              <c:f>'Ceny 2'!$F$5</c:f>
              <c:strCache>
                <c:ptCount val="1"/>
                <c:pt idx="0">
                  <c:v>Housing and energy</c:v>
                </c:pt>
              </c:strCache>
            </c:strRef>
          </c:tx>
          <c:spPr>
            <a:ln w="19050">
              <a:solidFill>
                <a:srgbClr val="7DBB2D"/>
              </a:solidFill>
            </a:ln>
          </c:spPr>
          <c:marker>
            <c:symbol val="none"/>
          </c:marker>
          <c:cat>
            <c:multiLvlStrRef>
              <c:f>'Ceny 2'!$A$10:$B$26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2'!$F$10:$F$27</c:f>
              <c:numCache>
                <c:formatCode>0.0</c:formatCode>
                <c:ptCount val="18"/>
                <c:pt idx="0">
                  <c:v>2.5999999999999943</c:v>
                </c:pt>
                <c:pt idx="1">
                  <c:v>2</c:v>
                </c:pt>
                <c:pt idx="2">
                  <c:v>1.2000000000000028</c:v>
                </c:pt>
                <c:pt idx="3">
                  <c:v>1.2000000000000028</c:v>
                </c:pt>
                <c:pt idx="4">
                  <c:v>-2.4000000000000057</c:v>
                </c:pt>
                <c:pt idx="5">
                  <c:v>-1.7000000000000028</c:v>
                </c:pt>
                <c:pt idx="6">
                  <c:v>-0.70000000000000284</c:v>
                </c:pt>
                <c:pt idx="7">
                  <c:v>-0.59999999999999432</c:v>
                </c:pt>
                <c:pt idx="8">
                  <c:v>1.0999999999999901</c:v>
                </c:pt>
                <c:pt idx="9">
                  <c:v>1.2000000000000028</c:v>
                </c:pt>
                <c:pt idx="10">
                  <c:v>0.7999999999999976</c:v>
                </c:pt>
                <c:pt idx="11">
                  <c:v>0.90000000000000568</c:v>
                </c:pt>
                <c:pt idx="12">
                  <c:v>0.90000000000000568</c:v>
                </c:pt>
                <c:pt idx="13">
                  <c:v>0.5</c:v>
                </c:pt>
                <c:pt idx="14">
                  <c:v>0.40000000000000568</c:v>
                </c:pt>
                <c:pt idx="15">
                  <c:v>0.59999999999999432</c:v>
                </c:pt>
                <c:pt idx="16" formatCode="General">
                  <c:v>0.7999999999999976</c:v>
                </c:pt>
                <c:pt idx="17" formatCode="General">
                  <c:v>1.5</c:v>
                </c:pt>
              </c:numCache>
            </c:numRef>
          </c:val>
        </c:ser>
        <c:ser>
          <c:idx val="4"/>
          <c:order val="4"/>
          <c:tx>
            <c:strRef>
              <c:f>'Ceny 2'!$G$5</c:f>
              <c:strCache>
                <c:ptCount val="1"/>
                <c:pt idx="0">
                  <c:v>Transportation</c:v>
                </c:pt>
              </c:strCache>
            </c:strRef>
          </c:tx>
          <c:spPr>
            <a:ln w="19050">
              <a:solidFill>
                <a:srgbClr val="FFC000"/>
              </a:solidFill>
            </a:ln>
          </c:spPr>
          <c:marker>
            <c:symbol val="none"/>
          </c:marker>
          <c:val>
            <c:numRef>
              <c:f>'Ceny 2'!$G$10:$G$27</c:f>
              <c:numCache>
                <c:formatCode>General</c:formatCode>
                <c:ptCount val="18"/>
                <c:pt idx="0">
                  <c:v>-0.7999999999999976</c:v>
                </c:pt>
                <c:pt idx="1">
                  <c:v>-1.2000000000000028</c:v>
                </c:pt>
                <c:pt idx="2">
                  <c:v>-0.40000000000000568</c:v>
                </c:pt>
                <c:pt idx="3">
                  <c:v>-0.20000000000000284</c:v>
                </c:pt>
                <c:pt idx="4">
                  <c:v>9.9999999999994704E-2</c:v>
                </c:pt>
                <c:pt idx="5">
                  <c:v>0.29999999999999866</c:v>
                </c:pt>
                <c:pt idx="6">
                  <c:v>0.5</c:v>
                </c:pt>
                <c:pt idx="7">
                  <c:v>0</c:v>
                </c:pt>
                <c:pt idx="8">
                  <c:v>-4.9000000000000083</c:v>
                </c:pt>
                <c:pt idx="9">
                  <c:v>-3.2999999999999972</c:v>
                </c:pt>
                <c:pt idx="10">
                  <c:v>-3.7999999999999972</c:v>
                </c:pt>
                <c:pt idx="11">
                  <c:v>-4.7000000000000028</c:v>
                </c:pt>
                <c:pt idx="12">
                  <c:v>-2.7000000000000042</c:v>
                </c:pt>
                <c:pt idx="13">
                  <c:v>-2.9000000000000057</c:v>
                </c:pt>
                <c:pt idx="14">
                  <c:v>-2.2999999999999972</c:v>
                </c:pt>
                <c:pt idx="15">
                  <c:v>1.0999999999999901</c:v>
                </c:pt>
                <c:pt idx="16">
                  <c:v>6</c:v>
                </c:pt>
                <c:pt idx="17">
                  <c:v>3.9000000000000057</c:v>
                </c:pt>
              </c:numCache>
            </c:numRef>
          </c:val>
        </c:ser>
        <c:marker val="1"/>
        <c:axId val="175546752"/>
        <c:axId val="175548288"/>
      </c:lineChart>
      <c:catAx>
        <c:axId val="175546752"/>
        <c:scaling>
          <c:orientation val="minMax"/>
        </c:scaling>
        <c:axPos val="b"/>
        <c:tickLblPos val="low"/>
        <c:spPr>
          <a:ln>
            <a:solidFill>
              <a:schemeClr val="tx1"/>
            </a:solidFill>
          </a:ln>
        </c:spPr>
        <c:txPr>
          <a:bodyPr rot="0" vert="horz"/>
          <a:lstStyle/>
          <a:p>
            <a:pPr>
              <a:defRPr/>
            </a:pPr>
            <a:endParaRPr lang="cs-CZ"/>
          </a:p>
        </c:txPr>
        <c:crossAx val="175548288"/>
        <c:crosses val="autoZero"/>
        <c:auto val="1"/>
        <c:lblAlgn val="ctr"/>
        <c:lblOffset val="100"/>
      </c:catAx>
      <c:valAx>
        <c:axId val="175548288"/>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75546752"/>
        <c:crosses val="autoZero"/>
        <c:crossBetween val="between"/>
        <c:majorUnit val="1"/>
      </c:valAx>
      <c:spPr>
        <a:ln>
          <a:solidFill>
            <a:schemeClr val="tx1"/>
          </a:solidFill>
        </a:ln>
      </c:spPr>
    </c:plotArea>
    <c:legend>
      <c:legendPos val="b"/>
      <c:layout>
        <c:manualLayout>
          <c:xMode val="edge"/>
          <c:yMode val="edge"/>
          <c:x val="5.6562767491901512E-2"/>
          <c:y val="0.87255825734549708"/>
          <c:w val="0.92162152703885514"/>
          <c:h val="0.1055099628503884"/>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9258203189717562E-2"/>
          <c:y val="2.9569886214146503E-2"/>
          <c:w val="0.92637856314472322"/>
          <c:h val="0.73556653157716956"/>
        </c:manualLayout>
      </c:layout>
      <c:barChart>
        <c:barDir val="col"/>
        <c:grouping val="clustered"/>
        <c:ser>
          <c:idx val="0"/>
          <c:order val="0"/>
          <c:tx>
            <c:strRef>
              <c:f>'Ceny 1'!$C$5</c:f>
              <c:strCache>
                <c:ptCount val="1"/>
                <c:pt idx="0">
                  <c:v>Realised prices of older flats, the CR</c:v>
                </c:pt>
              </c:strCache>
            </c:strRef>
          </c:tx>
          <c:spPr>
            <a:solidFill>
              <a:schemeClr val="bg1">
                <a:lumMod val="65000"/>
              </a:schemeClr>
            </a:solidFill>
            <a:ln w="19050">
              <a:noFill/>
            </a:ln>
          </c:spPr>
          <c:cat>
            <c:multiLvlStrRef>
              <c:f>'Ceny 1'!$A$10:$B$27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1'!$C$10:$C$27</c:f>
              <c:numCache>
                <c:formatCode>General</c:formatCode>
                <c:ptCount val="18"/>
                <c:pt idx="0">
                  <c:v>-5.0999999999999943</c:v>
                </c:pt>
                <c:pt idx="1">
                  <c:v>-3.5999999999999943</c:v>
                </c:pt>
                <c:pt idx="2">
                  <c:v>-2.5</c:v>
                </c:pt>
                <c:pt idx="3">
                  <c:v>-1.7000000000000028</c:v>
                </c:pt>
                <c:pt idx="4">
                  <c:v>1.2000000000000028</c:v>
                </c:pt>
                <c:pt idx="5">
                  <c:v>2.5</c:v>
                </c:pt>
                <c:pt idx="6">
                  <c:v>4.5</c:v>
                </c:pt>
                <c:pt idx="7">
                  <c:v>5.7000000000000028</c:v>
                </c:pt>
                <c:pt idx="8">
                  <c:v>4.2999999999999972</c:v>
                </c:pt>
                <c:pt idx="9">
                  <c:v>4.9000000000000083</c:v>
                </c:pt>
                <c:pt idx="10">
                  <c:v>6</c:v>
                </c:pt>
                <c:pt idx="11">
                  <c:v>6.7999999999999972</c:v>
                </c:pt>
                <c:pt idx="12">
                  <c:v>8.9000000000000057</c:v>
                </c:pt>
                <c:pt idx="13">
                  <c:v>10.3</c:v>
                </c:pt>
                <c:pt idx="14">
                  <c:v>12.3</c:v>
                </c:pt>
                <c:pt idx="15">
                  <c:v>14.600000000000001</c:v>
                </c:pt>
                <c:pt idx="16">
                  <c:v>17.200000000000003</c:v>
                </c:pt>
                <c:pt idx="17">
                  <c:v>18.700000000000003</c:v>
                </c:pt>
              </c:numCache>
            </c:numRef>
          </c:val>
        </c:ser>
        <c:ser>
          <c:idx val="1"/>
          <c:order val="1"/>
          <c:tx>
            <c:strRef>
              <c:f>'Ceny 1'!$D$5</c:f>
              <c:strCache>
                <c:ptCount val="1"/>
                <c:pt idx="0">
                  <c:v>Realised prices of older flats, Prague</c:v>
                </c:pt>
              </c:strCache>
            </c:strRef>
          </c:tx>
          <c:spPr>
            <a:solidFill>
              <a:prstClr val="black">
                <a:lumMod val="50000"/>
                <a:lumOff val="50000"/>
              </a:prstClr>
            </a:solidFill>
            <a:ln w="19050">
              <a:noFill/>
            </a:ln>
          </c:spPr>
          <c:cat>
            <c:multiLvlStrRef>
              <c:f>'Ceny 1'!$A$10:$B$27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1'!$D$10:$D$27</c:f>
              <c:numCache>
                <c:formatCode>General</c:formatCode>
                <c:ptCount val="18"/>
                <c:pt idx="0">
                  <c:v>0</c:v>
                </c:pt>
                <c:pt idx="1">
                  <c:v>0.70000000000000284</c:v>
                </c:pt>
                <c:pt idx="2">
                  <c:v>2.0999999999999943</c:v>
                </c:pt>
                <c:pt idx="3">
                  <c:v>0.5</c:v>
                </c:pt>
                <c:pt idx="4">
                  <c:v>2</c:v>
                </c:pt>
                <c:pt idx="5">
                  <c:v>2.0999999999999943</c:v>
                </c:pt>
                <c:pt idx="6">
                  <c:v>3.2000000000000042</c:v>
                </c:pt>
                <c:pt idx="7">
                  <c:v>5.2000000000000028</c:v>
                </c:pt>
                <c:pt idx="8">
                  <c:v>5</c:v>
                </c:pt>
                <c:pt idx="9">
                  <c:v>5.9000000000000083</c:v>
                </c:pt>
                <c:pt idx="10">
                  <c:v>5.5999999999999943</c:v>
                </c:pt>
                <c:pt idx="11">
                  <c:v>4.5999999999999943</c:v>
                </c:pt>
                <c:pt idx="12">
                  <c:v>5.7999999999999972</c:v>
                </c:pt>
                <c:pt idx="13">
                  <c:v>7.5</c:v>
                </c:pt>
                <c:pt idx="14">
                  <c:v>9.4000000000000057</c:v>
                </c:pt>
                <c:pt idx="15">
                  <c:v>13.900000000000006</c:v>
                </c:pt>
                <c:pt idx="16">
                  <c:v>16.200000000000003</c:v>
                </c:pt>
                <c:pt idx="17">
                  <c:v>18</c:v>
                </c:pt>
              </c:numCache>
            </c:numRef>
          </c:val>
        </c:ser>
        <c:gapWidth val="95"/>
        <c:axId val="176365568"/>
        <c:axId val="176367104"/>
      </c:barChart>
      <c:lineChart>
        <c:grouping val="standard"/>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1'!$E$10:$E$27</c:f>
              <c:numCache>
                <c:formatCode>0.0</c:formatCode>
                <c:ptCount val="18"/>
                <c:pt idx="0">
                  <c:v>1.5806111696522691</c:v>
                </c:pt>
                <c:pt idx="1">
                  <c:v>-0.20661157024793683</c:v>
                </c:pt>
                <c:pt idx="2">
                  <c:v>1.4583333333333393</c:v>
                </c:pt>
                <c:pt idx="3">
                  <c:v>1.9668737060041468</c:v>
                </c:pt>
                <c:pt idx="4">
                  <c:v>3.0082987551867197</c:v>
                </c:pt>
                <c:pt idx="5">
                  <c:v>4.1407867494823956</c:v>
                </c:pt>
                <c:pt idx="6">
                  <c:v>4.6201232032854032</c:v>
                </c:pt>
                <c:pt idx="7">
                  <c:v>2.7411167512690486</c:v>
                </c:pt>
                <c:pt idx="8">
                  <c:v>3.6253776435045406</c:v>
                </c:pt>
                <c:pt idx="9">
                  <c:v>4.9701789264413518</c:v>
                </c:pt>
                <c:pt idx="10">
                  <c:v>6.0843964671246233</c:v>
                </c:pt>
                <c:pt idx="11">
                  <c:v>9.5849802371541557</c:v>
                </c:pt>
                <c:pt idx="12">
                  <c:v>10.204081632653049</c:v>
                </c:pt>
                <c:pt idx="13">
                  <c:v>10.321969696969704</c:v>
                </c:pt>
                <c:pt idx="14">
                  <c:v>9.8982423681776162</c:v>
                </c:pt>
                <c:pt idx="15">
                  <c:v>9.9188458070333638</c:v>
                </c:pt>
                <c:pt idx="16">
                  <c:v>9.5238095238095202</c:v>
                </c:pt>
                <c:pt idx="17" formatCode="General">
                  <c:v>9.5278969957081507</c:v>
                </c:pt>
              </c:numCache>
            </c:numRef>
          </c:val>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1'!$F$10:$F$27</c:f>
              <c:numCache>
                <c:formatCode>0.0</c:formatCode>
                <c:ptCount val="18"/>
                <c:pt idx="0">
                  <c:v>6.1522419186652666</c:v>
                </c:pt>
                <c:pt idx="1">
                  <c:v>1.8924302788844536</c:v>
                </c:pt>
                <c:pt idx="2">
                  <c:v>2.6812313803376462</c:v>
                </c:pt>
                <c:pt idx="3">
                  <c:v>3.4482758620689653</c:v>
                </c:pt>
                <c:pt idx="4">
                  <c:v>3.8310412573673998</c:v>
                </c:pt>
                <c:pt idx="5">
                  <c:v>5.2785923753665784</c:v>
                </c:pt>
                <c:pt idx="6">
                  <c:v>6.6731141199226212</c:v>
                </c:pt>
                <c:pt idx="7">
                  <c:v>5.1428571428571486</c:v>
                </c:pt>
                <c:pt idx="8">
                  <c:v>5.7710501419110809</c:v>
                </c:pt>
                <c:pt idx="9">
                  <c:v>6.4995357474466076</c:v>
                </c:pt>
                <c:pt idx="10">
                  <c:v>6.7089755213055255</c:v>
                </c:pt>
                <c:pt idx="11">
                  <c:v>8.7862318840579601</c:v>
                </c:pt>
                <c:pt idx="12">
                  <c:v>10.196779964221831</c:v>
                </c:pt>
                <c:pt idx="13">
                  <c:v>10.549258936355701</c:v>
                </c:pt>
                <c:pt idx="14">
                  <c:v>9.7706032285471505</c:v>
                </c:pt>
                <c:pt idx="15">
                  <c:v>11.323896752706103</c:v>
                </c:pt>
                <c:pt idx="16">
                  <c:v>13.636363636363633</c:v>
                </c:pt>
                <c:pt idx="17" formatCode="General">
                  <c:v>14.589905362776037</c:v>
                </c:pt>
              </c:numCache>
            </c:numRef>
          </c:val>
        </c:ser>
        <c:marker val="1"/>
        <c:axId val="176365568"/>
        <c:axId val="176367104"/>
      </c:lineChart>
      <c:catAx>
        <c:axId val="176365568"/>
        <c:scaling>
          <c:orientation val="minMax"/>
        </c:scaling>
        <c:axPos val="b"/>
        <c:tickLblPos val="low"/>
        <c:spPr>
          <a:ln>
            <a:solidFill>
              <a:schemeClr val="tx1"/>
            </a:solidFill>
          </a:ln>
        </c:spPr>
        <c:txPr>
          <a:bodyPr rot="0" vert="horz"/>
          <a:lstStyle/>
          <a:p>
            <a:pPr>
              <a:defRPr/>
            </a:pPr>
            <a:endParaRPr lang="cs-CZ"/>
          </a:p>
        </c:txPr>
        <c:crossAx val="176367104"/>
        <c:crosses val="autoZero"/>
        <c:auto val="1"/>
        <c:lblAlgn val="ctr"/>
        <c:lblOffset val="100"/>
      </c:catAx>
      <c:valAx>
        <c:axId val="176367104"/>
        <c:scaling>
          <c:orientation val="minMax"/>
          <c:min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76365568"/>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558"/>
          <c:h val="9.838061465721031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1707738197712412E-2"/>
          <c:y val="2.181131592421998E-2"/>
          <c:w val="0.89142432050272657"/>
          <c:h val="0.70590960261173386"/>
        </c:manualLayout>
      </c:layout>
      <c:barChart>
        <c:barDir val="col"/>
        <c:grouping val="clustered"/>
        <c:ser>
          <c:idx val="0"/>
          <c:order val="0"/>
          <c:tx>
            <c:strRef>
              <c:f>'Ceny 4'!$C$5</c:f>
              <c:strCache>
                <c:ptCount val="1"/>
                <c:pt idx="0">
                  <c:v>Total</c:v>
                </c:pt>
              </c:strCache>
            </c:strRef>
          </c:tx>
          <c:spPr>
            <a:solidFill>
              <a:schemeClr val="bg1">
                <a:lumMod val="65000"/>
              </a:schemeClr>
            </a:solidFill>
            <a:ln w="19050">
              <a:noFill/>
            </a:ln>
          </c:spP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4'!$C$6:$C$59</c:f>
              <c:numCache>
                <c:formatCode>0.0</c:formatCode>
                <c:ptCount val="54"/>
                <c:pt idx="0">
                  <c:v>1.4000000000000057</c:v>
                </c:pt>
                <c:pt idx="1">
                  <c:v>1.2999999999999921</c:v>
                </c:pt>
                <c:pt idx="2">
                  <c:v>1</c:v>
                </c:pt>
                <c:pt idx="3">
                  <c:v>0.5</c:v>
                </c:pt>
                <c:pt idx="4">
                  <c:v>0.29999999999999866</c:v>
                </c:pt>
                <c:pt idx="5">
                  <c:v>0.70000000000000284</c:v>
                </c:pt>
                <c:pt idx="6">
                  <c:v>1.0999999999999901</c:v>
                </c:pt>
                <c:pt idx="7">
                  <c:v>0.5</c:v>
                </c:pt>
                <c:pt idx="8">
                  <c:v>0.59999999999999432</c:v>
                </c:pt>
                <c:pt idx="9">
                  <c:v>0</c:v>
                </c:pt>
                <c:pt idx="10">
                  <c:v>0.70000000000000284</c:v>
                </c:pt>
                <c:pt idx="11">
                  <c:v>1.7000000000000028</c:v>
                </c:pt>
                <c:pt idx="12">
                  <c:v>-0.70000000000000284</c:v>
                </c:pt>
                <c:pt idx="13">
                  <c:v>-0.70000000000000284</c:v>
                </c:pt>
                <c:pt idx="14">
                  <c:v>-0.7999999999999976</c:v>
                </c:pt>
                <c:pt idx="15">
                  <c:v>-0.29999999999999866</c:v>
                </c:pt>
                <c:pt idx="16">
                  <c:v>-9.9999999999994704E-2</c:v>
                </c:pt>
                <c:pt idx="17">
                  <c:v>-0.20000000000000284</c:v>
                </c:pt>
                <c:pt idx="18">
                  <c:v>-9.9999999999994704E-2</c:v>
                </c:pt>
                <c:pt idx="19">
                  <c:v>0</c:v>
                </c:pt>
                <c:pt idx="20">
                  <c:v>-0.29999999999999866</c:v>
                </c:pt>
                <c:pt idx="21">
                  <c:v>-0.29999999999999866</c:v>
                </c:pt>
                <c:pt idx="22">
                  <c:v>-1.7000000000000028</c:v>
                </c:pt>
                <c:pt idx="23">
                  <c:v>-3.7000000000000042</c:v>
                </c:pt>
                <c:pt idx="24">
                  <c:v>-3.5</c:v>
                </c:pt>
                <c:pt idx="25">
                  <c:v>-3.5999999999999943</c:v>
                </c:pt>
                <c:pt idx="26">
                  <c:v>-2.9000000000000057</c:v>
                </c:pt>
                <c:pt idx="27">
                  <c:v>-2.5999999999999943</c:v>
                </c:pt>
                <c:pt idx="28">
                  <c:v>-2.0999999999999943</c:v>
                </c:pt>
                <c:pt idx="29">
                  <c:v>-2.2999999999999972</c:v>
                </c:pt>
                <c:pt idx="30">
                  <c:v>-3</c:v>
                </c:pt>
                <c:pt idx="31">
                  <c:v>-3.7000000000000042</c:v>
                </c:pt>
                <c:pt idx="32">
                  <c:v>-4.2000000000000028</c:v>
                </c:pt>
                <c:pt idx="33">
                  <c:v>-3.9000000000000057</c:v>
                </c:pt>
                <c:pt idx="34">
                  <c:v>-3.7000000000000042</c:v>
                </c:pt>
                <c:pt idx="35">
                  <c:v>-2.9000000000000057</c:v>
                </c:pt>
                <c:pt idx="36">
                  <c:v>-3.4000000000000057</c:v>
                </c:pt>
                <c:pt idx="37">
                  <c:v>-4</c:v>
                </c:pt>
                <c:pt idx="38">
                  <c:v>-4.5</c:v>
                </c:pt>
                <c:pt idx="39">
                  <c:v>-4.7000000000000028</c:v>
                </c:pt>
                <c:pt idx="40">
                  <c:v>-4.7999999999999972</c:v>
                </c:pt>
                <c:pt idx="41">
                  <c:v>-4.4000000000000083</c:v>
                </c:pt>
                <c:pt idx="42">
                  <c:v>-4</c:v>
                </c:pt>
                <c:pt idx="43">
                  <c:v>-3.4000000000000057</c:v>
                </c:pt>
                <c:pt idx="44">
                  <c:v>-2.4000000000000057</c:v>
                </c:pt>
                <c:pt idx="45">
                  <c:v>-1.7000000000000028</c:v>
                </c:pt>
                <c:pt idx="46">
                  <c:v>-1.2999999999999921</c:v>
                </c:pt>
                <c:pt idx="47">
                  <c:v>-0.40000000000000568</c:v>
                </c:pt>
                <c:pt idx="48" formatCode="General">
                  <c:v>2.0999999999999943</c:v>
                </c:pt>
                <c:pt idx="49" formatCode="General">
                  <c:v>3.0999999999999943</c:v>
                </c:pt>
                <c:pt idx="50">
                  <c:v>3</c:v>
                </c:pt>
                <c:pt idx="51">
                  <c:v>3.2000000000000042</c:v>
                </c:pt>
                <c:pt idx="52" formatCode="General">
                  <c:v>2.2999999999999972</c:v>
                </c:pt>
                <c:pt idx="53" formatCode="General">
                  <c:v>1.2999999999999921</c:v>
                </c:pt>
              </c:numCache>
            </c:numRef>
          </c:val>
        </c:ser>
        <c:gapWidth val="96"/>
        <c:axId val="176419200"/>
        <c:axId val="176420736"/>
      </c:barChart>
      <c:lineChart>
        <c:grouping val="standard"/>
        <c:ser>
          <c:idx val="1"/>
          <c:order val="1"/>
          <c:tx>
            <c:strRef>
              <c:f>'Ceny 4'!$D$5</c:f>
              <c:strCache>
                <c:ptCount val="1"/>
                <c:pt idx="0">
                  <c:v>Mining and quarrying,</c:v>
                </c:pt>
              </c:strCache>
            </c:strRef>
          </c:tx>
          <c:spPr>
            <a:ln w="19050">
              <a:solidFill>
                <a:srgbClr val="7DBB2D"/>
              </a:solidFill>
            </a:ln>
          </c:spPr>
          <c:marker>
            <c:symbol val="none"/>
          </c:marke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4'!$D$6:$D$59</c:f>
              <c:numCache>
                <c:formatCode>0.0</c:formatCode>
                <c:ptCount val="54"/>
                <c:pt idx="0">
                  <c:v>-2.7000000000000042</c:v>
                </c:pt>
                <c:pt idx="1">
                  <c:v>-3.0999999999999943</c:v>
                </c:pt>
                <c:pt idx="2">
                  <c:v>-2.4000000000000057</c:v>
                </c:pt>
                <c:pt idx="3">
                  <c:v>0.5</c:v>
                </c:pt>
                <c:pt idx="4">
                  <c:v>0.5</c:v>
                </c:pt>
                <c:pt idx="5">
                  <c:v>0.20000000000000284</c:v>
                </c:pt>
                <c:pt idx="6">
                  <c:v>-1.2999999999999921</c:v>
                </c:pt>
                <c:pt idx="7">
                  <c:v>-1.2000000000000028</c:v>
                </c:pt>
                <c:pt idx="8">
                  <c:v>-3.5999999999999943</c:v>
                </c:pt>
                <c:pt idx="9">
                  <c:v>-3</c:v>
                </c:pt>
                <c:pt idx="10">
                  <c:v>0.20000000000000284</c:v>
                </c:pt>
                <c:pt idx="11">
                  <c:v>0.29999999999999866</c:v>
                </c:pt>
                <c:pt idx="12">
                  <c:v>-3</c:v>
                </c:pt>
                <c:pt idx="13">
                  <c:v>-3.0999999999999943</c:v>
                </c:pt>
                <c:pt idx="14">
                  <c:v>-4</c:v>
                </c:pt>
                <c:pt idx="15">
                  <c:v>-4.0999999999999943</c:v>
                </c:pt>
                <c:pt idx="16">
                  <c:v>-4.5999999999999943</c:v>
                </c:pt>
                <c:pt idx="17">
                  <c:v>-4.7999999999999972</c:v>
                </c:pt>
                <c:pt idx="18">
                  <c:v>-3</c:v>
                </c:pt>
                <c:pt idx="19">
                  <c:v>-3.5999999999999943</c:v>
                </c:pt>
                <c:pt idx="20">
                  <c:v>-1.9000000000000061</c:v>
                </c:pt>
                <c:pt idx="21">
                  <c:v>-2.0999999999999943</c:v>
                </c:pt>
                <c:pt idx="22">
                  <c:v>-2.2999999999999972</c:v>
                </c:pt>
                <c:pt idx="23">
                  <c:v>-2.7999999999999972</c:v>
                </c:pt>
                <c:pt idx="24">
                  <c:v>-0.90000000000000568</c:v>
                </c:pt>
                <c:pt idx="25">
                  <c:v>-1.5</c:v>
                </c:pt>
                <c:pt idx="26">
                  <c:v>-0.90000000000000568</c:v>
                </c:pt>
                <c:pt idx="27">
                  <c:v>-0.90000000000000568</c:v>
                </c:pt>
                <c:pt idx="28">
                  <c:v>0.29999999999999866</c:v>
                </c:pt>
                <c:pt idx="29">
                  <c:v>0.59999999999999432</c:v>
                </c:pt>
                <c:pt idx="30">
                  <c:v>0.40000000000000568</c:v>
                </c:pt>
                <c:pt idx="31">
                  <c:v>-0.29999999999999866</c:v>
                </c:pt>
                <c:pt idx="32">
                  <c:v>-1.7000000000000028</c:v>
                </c:pt>
                <c:pt idx="33">
                  <c:v>-1.4000000000000057</c:v>
                </c:pt>
                <c:pt idx="34">
                  <c:v>-0.59999999999999432</c:v>
                </c:pt>
                <c:pt idx="35">
                  <c:v>-0.5</c:v>
                </c:pt>
                <c:pt idx="36">
                  <c:v>-6.5999999999999943</c:v>
                </c:pt>
                <c:pt idx="37">
                  <c:v>-6.0999999999999943</c:v>
                </c:pt>
                <c:pt idx="38">
                  <c:v>-6.5</c:v>
                </c:pt>
                <c:pt idx="39">
                  <c:v>-7</c:v>
                </c:pt>
                <c:pt idx="40">
                  <c:v>-7.0999999999999943</c:v>
                </c:pt>
                <c:pt idx="41">
                  <c:v>-7.2999999999999972</c:v>
                </c:pt>
                <c:pt idx="42">
                  <c:v>-6.5999999999999943</c:v>
                </c:pt>
                <c:pt idx="43">
                  <c:v>-6</c:v>
                </c:pt>
                <c:pt idx="44">
                  <c:v>-4.9000000000000083</c:v>
                </c:pt>
                <c:pt idx="45">
                  <c:v>-5.2000000000000028</c:v>
                </c:pt>
                <c:pt idx="46">
                  <c:v>-5.2999999999999972</c:v>
                </c:pt>
                <c:pt idx="47">
                  <c:v>-5.0999999999999943</c:v>
                </c:pt>
                <c:pt idx="48" formatCode="General">
                  <c:v>2.2999999999999972</c:v>
                </c:pt>
                <c:pt idx="49" formatCode="General">
                  <c:v>5.7999999999999972</c:v>
                </c:pt>
                <c:pt idx="50">
                  <c:v>6.2000000000000028</c:v>
                </c:pt>
                <c:pt idx="51">
                  <c:v>6.4000000000000083</c:v>
                </c:pt>
                <c:pt idx="52" formatCode="General">
                  <c:v>4.2999999999999972</c:v>
                </c:pt>
                <c:pt idx="53" formatCode="General">
                  <c:v>4.0999999999999943</c:v>
                </c:pt>
              </c:numCache>
            </c:numRef>
          </c:val>
        </c:ser>
        <c:ser>
          <c:idx val="2"/>
          <c:order val="2"/>
          <c:tx>
            <c:strRef>
              <c:f>'Ceny 4'!$E$5</c:f>
              <c:strCache>
                <c:ptCount val="1"/>
                <c:pt idx="0">
                  <c:v>Manufacturing</c:v>
                </c:pt>
              </c:strCache>
            </c:strRef>
          </c:tx>
          <c:spPr>
            <a:ln w="19050">
              <a:solidFill>
                <a:srgbClr val="BD1B21"/>
              </a:solidFill>
            </a:ln>
          </c:spPr>
          <c:marker>
            <c:symbol val="none"/>
          </c:marke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4'!$E$6:$E$59</c:f>
              <c:numCache>
                <c:formatCode>0.0</c:formatCode>
                <c:ptCount val="54"/>
                <c:pt idx="0">
                  <c:v>1</c:v>
                </c:pt>
                <c:pt idx="1">
                  <c:v>0.90000000000000568</c:v>
                </c:pt>
                <c:pt idx="2">
                  <c:v>0.5</c:v>
                </c:pt>
                <c:pt idx="3">
                  <c:v>-0.29999999999999866</c:v>
                </c:pt>
                <c:pt idx="4">
                  <c:v>-0.40000000000000568</c:v>
                </c:pt>
                <c:pt idx="5">
                  <c:v>0</c:v>
                </c:pt>
                <c:pt idx="6">
                  <c:v>0.59999999999999432</c:v>
                </c:pt>
                <c:pt idx="7">
                  <c:v>-0.29999999999999866</c:v>
                </c:pt>
                <c:pt idx="8">
                  <c:v>0</c:v>
                </c:pt>
                <c:pt idx="9">
                  <c:v>-0.7999999999999976</c:v>
                </c:pt>
                <c:pt idx="10">
                  <c:v>-0.20000000000000284</c:v>
                </c:pt>
                <c:pt idx="11">
                  <c:v>1.2999999999999921</c:v>
                </c:pt>
                <c:pt idx="12">
                  <c:v>1.0999999999999901</c:v>
                </c:pt>
                <c:pt idx="13">
                  <c:v>1.2000000000000028</c:v>
                </c:pt>
                <c:pt idx="14">
                  <c:v>1</c:v>
                </c:pt>
                <c:pt idx="15">
                  <c:v>1.5999999999999901</c:v>
                </c:pt>
                <c:pt idx="16">
                  <c:v>1.9000000000000061</c:v>
                </c:pt>
                <c:pt idx="17">
                  <c:v>1.9000000000000061</c:v>
                </c:pt>
                <c:pt idx="18">
                  <c:v>1.7999999999999921</c:v>
                </c:pt>
                <c:pt idx="19">
                  <c:v>2.0999999999999943</c:v>
                </c:pt>
                <c:pt idx="20">
                  <c:v>1.5</c:v>
                </c:pt>
                <c:pt idx="21">
                  <c:v>1.5</c:v>
                </c:pt>
                <c:pt idx="22">
                  <c:v>-9.9999999999994704E-2</c:v>
                </c:pt>
                <c:pt idx="23">
                  <c:v>-2.7999999999999972</c:v>
                </c:pt>
                <c:pt idx="24">
                  <c:v>-4.2999999999999972</c:v>
                </c:pt>
                <c:pt idx="25">
                  <c:v>-4.4000000000000083</c:v>
                </c:pt>
                <c:pt idx="26">
                  <c:v>-3.5</c:v>
                </c:pt>
                <c:pt idx="27">
                  <c:v>-3.0999999999999943</c:v>
                </c:pt>
                <c:pt idx="28">
                  <c:v>-2.7000000000000042</c:v>
                </c:pt>
                <c:pt idx="29">
                  <c:v>-2.7999999999999972</c:v>
                </c:pt>
                <c:pt idx="30">
                  <c:v>-3.5999999999999943</c:v>
                </c:pt>
                <c:pt idx="31">
                  <c:v>-4.7000000000000028</c:v>
                </c:pt>
                <c:pt idx="32">
                  <c:v>-5.2000000000000028</c:v>
                </c:pt>
                <c:pt idx="33">
                  <c:v>-4.9000000000000083</c:v>
                </c:pt>
                <c:pt idx="34">
                  <c:v>-4.5999999999999943</c:v>
                </c:pt>
                <c:pt idx="35">
                  <c:v>-3.5</c:v>
                </c:pt>
                <c:pt idx="36">
                  <c:v>-3.2999999999999972</c:v>
                </c:pt>
                <c:pt idx="37">
                  <c:v>-4.0999999999999943</c:v>
                </c:pt>
                <c:pt idx="38">
                  <c:v>-4.5999999999999943</c:v>
                </c:pt>
                <c:pt idx="39">
                  <c:v>-4.9000000000000083</c:v>
                </c:pt>
                <c:pt idx="40">
                  <c:v>-5</c:v>
                </c:pt>
                <c:pt idx="41">
                  <c:v>-4.5</c:v>
                </c:pt>
                <c:pt idx="42">
                  <c:v>-4</c:v>
                </c:pt>
                <c:pt idx="43">
                  <c:v>-3.2000000000000042</c:v>
                </c:pt>
                <c:pt idx="44">
                  <c:v>-2</c:v>
                </c:pt>
                <c:pt idx="45">
                  <c:v>-1.0999999999999901</c:v>
                </c:pt>
                <c:pt idx="46">
                  <c:v>-0.59999999999999432</c:v>
                </c:pt>
                <c:pt idx="47">
                  <c:v>0.59999999999999432</c:v>
                </c:pt>
                <c:pt idx="48" formatCode="General">
                  <c:v>2.5999999999999943</c:v>
                </c:pt>
                <c:pt idx="49" formatCode="General">
                  <c:v>4</c:v>
                </c:pt>
                <c:pt idx="50">
                  <c:v>3.7999999999999972</c:v>
                </c:pt>
                <c:pt idx="51">
                  <c:v>4</c:v>
                </c:pt>
                <c:pt idx="52" formatCode="General">
                  <c:v>2.7999999999999972</c:v>
                </c:pt>
                <c:pt idx="53" formatCode="General">
                  <c:v>1.5</c:v>
                </c:pt>
              </c:numCache>
            </c:numRef>
          </c:val>
        </c:ser>
        <c:ser>
          <c:idx val="3"/>
          <c:order val="3"/>
          <c:tx>
            <c:strRef>
              <c:f>'Ceny 4'!$F$5</c:f>
              <c:strCache>
                <c:ptCount val="1"/>
                <c:pt idx="0">
                  <c:v>Electricity, gas, steam and air conditioning supply</c:v>
                </c:pt>
              </c:strCache>
            </c:strRef>
          </c:tx>
          <c:spPr>
            <a:ln w="19050">
              <a:solidFill>
                <a:srgbClr val="F8A124"/>
              </a:solidFill>
            </a:ln>
          </c:spPr>
          <c:marker>
            <c:symbol val="none"/>
          </c:marke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4'!$F$6:$F$59</c:f>
              <c:numCache>
                <c:formatCode>0.0</c:formatCode>
                <c:ptCount val="54"/>
                <c:pt idx="0">
                  <c:v>3.7000000000000042</c:v>
                </c:pt>
                <c:pt idx="1">
                  <c:v>3.7000000000000042</c:v>
                </c:pt>
                <c:pt idx="2">
                  <c:v>3.7000000000000042</c:v>
                </c:pt>
                <c:pt idx="3">
                  <c:v>3.5</c:v>
                </c:pt>
                <c:pt idx="4">
                  <c:v>3.5</c:v>
                </c:pt>
                <c:pt idx="5">
                  <c:v>3.5999999999999943</c:v>
                </c:pt>
                <c:pt idx="6">
                  <c:v>3.5999999999999943</c:v>
                </c:pt>
                <c:pt idx="7">
                  <c:v>3.5999999999999943</c:v>
                </c:pt>
                <c:pt idx="8">
                  <c:v>3.5999999999999943</c:v>
                </c:pt>
                <c:pt idx="9">
                  <c:v>3.7999999999999972</c:v>
                </c:pt>
                <c:pt idx="10">
                  <c:v>3.7999999999999972</c:v>
                </c:pt>
                <c:pt idx="11">
                  <c:v>3.5</c:v>
                </c:pt>
                <c:pt idx="12">
                  <c:v>-8.8000000000000025</c:v>
                </c:pt>
                <c:pt idx="13">
                  <c:v>-8.8000000000000025</c:v>
                </c:pt>
                <c:pt idx="14">
                  <c:v>-8.8000000000000025</c:v>
                </c:pt>
                <c:pt idx="15">
                  <c:v>-8.6000000000000014</c:v>
                </c:pt>
                <c:pt idx="16">
                  <c:v>-8.6000000000000014</c:v>
                </c:pt>
                <c:pt idx="17">
                  <c:v>-8.7000000000000011</c:v>
                </c:pt>
                <c:pt idx="18">
                  <c:v>-8.7000000000000011</c:v>
                </c:pt>
                <c:pt idx="19">
                  <c:v>-8.6000000000000014</c:v>
                </c:pt>
                <c:pt idx="20">
                  <c:v>-8.6000000000000014</c:v>
                </c:pt>
                <c:pt idx="21">
                  <c:v>-8.9000000000000057</c:v>
                </c:pt>
                <c:pt idx="22">
                  <c:v>-8.9000000000000057</c:v>
                </c:pt>
                <c:pt idx="23">
                  <c:v>-8.6000000000000014</c:v>
                </c:pt>
                <c:pt idx="24">
                  <c:v>-0.7999999999999976</c:v>
                </c:pt>
                <c:pt idx="25">
                  <c:v>-0.7999999999999976</c:v>
                </c:pt>
                <c:pt idx="26">
                  <c:v>-0.7999999999999976</c:v>
                </c:pt>
                <c:pt idx="27">
                  <c:v>-0.70000000000000284</c:v>
                </c:pt>
                <c:pt idx="28">
                  <c:v>-0.70000000000000284</c:v>
                </c:pt>
                <c:pt idx="29">
                  <c:v>-0.70000000000000284</c:v>
                </c:pt>
                <c:pt idx="30">
                  <c:v>-0.70000000000000284</c:v>
                </c:pt>
                <c:pt idx="31">
                  <c:v>-0.7999999999999976</c:v>
                </c:pt>
                <c:pt idx="32">
                  <c:v>-0.7999999999999976</c:v>
                </c:pt>
                <c:pt idx="33">
                  <c:v>-0.90000000000000568</c:v>
                </c:pt>
                <c:pt idx="34">
                  <c:v>-0.90000000000000568</c:v>
                </c:pt>
                <c:pt idx="35">
                  <c:v>-0.90000000000000568</c:v>
                </c:pt>
                <c:pt idx="36">
                  <c:v>-4</c:v>
                </c:pt>
                <c:pt idx="37">
                  <c:v>-4.0999999999999943</c:v>
                </c:pt>
                <c:pt idx="38">
                  <c:v>-4.0999999999999943</c:v>
                </c:pt>
                <c:pt idx="39">
                  <c:v>-4</c:v>
                </c:pt>
                <c:pt idx="40">
                  <c:v>-4</c:v>
                </c:pt>
                <c:pt idx="41">
                  <c:v>-4.0999999999999943</c:v>
                </c:pt>
                <c:pt idx="42">
                  <c:v>-4</c:v>
                </c:pt>
                <c:pt idx="43">
                  <c:v>-4</c:v>
                </c:pt>
                <c:pt idx="44">
                  <c:v>-4.0999999999999943</c:v>
                </c:pt>
                <c:pt idx="45">
                  <c:v>-4.0999999999999943</c:v>
                </c:pt>
                <c:pt idx="46">
                  <c:v>-4.0999999999999943</c:v>
                </c:pt>
                <c:pt idx="47">
                  <c:v>-4.0999999999999943</c:v>
                </c:pt>
                <c:pt idx="48" formatCode="General">
                  <c:v>-1.0999999999999901</c:v>
                </c:pt>
                <c:pt idx="49" formatCode="General">
                  <c:v>-1.2000000000000028</c:v>
                </c:pt>
                <c:pt idx="50">
                  <c:v>-1.2000000000000028</c:v>
                </c:pt>
                <c:pt idx="51">
                  <c:v>-1.4000000000000057</c:v>
                </c:pt>
                <c:pt idx="52" formatCode="General">
                  <c:v>-1.2999999999999921</c:v>
                </c:pt>
                <c:pt idx="53" formatCode="General">
                  <c:v>-1.0999999999999901</c:v>
                </c:pt>
              </c:numCache>
            </c:numRef>
          </c:val>
        </c:ser>
        <c:ser>
          <c:idx val="4"/>
          <c:order val="4"/>
          <c:tx>
            <c:strRef>
              <c:f>'Ceny 4'!$G$5</c:f>
              <c:strCache>
                <c:ptCount val="1"/>
                <c:pt idx="0">
                  <c:v>Water supply, sewerage</c:v>
                </c:pt>
              </c:strCache>
            </c:strRef>
          </c:tx>
          <c:spPr>
            <a:ln w="19050">
              <a:solidFill>
                <a:schemeClr val="accent1"/>
              </a:solidFill>
            </a:ln>
          </c:spPr>
          <c:marker>
            <c:symbol val="none"/>
          </c:marke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4'!$G$6:$G$59</c:f>
              <c:numCache>
                <c:formatCode>General</c:formatCode>
                <c:ptCount val="54"/>
                <c:pt idx="0">
                  <c:v>5.9000000000000083</c:v>
                </c:pt>
                <c:pt idx="1">
                  <c:v>5.7999999999999972</c:v>
                </c:pt>
                <c:pt idx="2">
                  <c:v>5.7000000000000028</c:v>
                </c:pt>
                <c:pt idx="3">
                  <c:v>5.7000000000000028</c:v>
                </c:pt>
                <c:pt idx="4">
                  <c:v>5.7000000000000028</c:v>
                </c:pt>
                <c:pt idx="5">
                  <c:v>5.7000000000000028</c:v>
                </c:pt>
                <c:pt idx="6">
                  <c:v>5.7000000000000028</c:v>
                </c:pt>
                <c:pt idx="7">
                  <c:v>5.7000000000000028</c:v>
                </c:pt>
                <c:pt idx="8">
                  <c:v>5.7000000000000028</c:v>
                </c:pt>
                <c:pt idx="9">
                  <c:v>5.7000000000000028</c:v>
                </c:pt>
                <c:pt idx="10">
                  <c:v>5.7000000000000028</c:v>
                </c:pt>
                <c:pt idx="11">
                  <c:v>5.7000000000000028</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3.4000000000000057</c:v>
                </c:pt>
                <c:pt idx="25">
                  <c:v>3.4000000000000057</c:v>
                </c:pt>
                <c:pt idx="26">
                  <c:v>3.4000000000000057</c:v>
                </c:pt>
                <c:pt idx="27">
                  <c:v>3.4000000000000057</c:v>
                </c:pt>
                <c:pt idx="28">
                  <c:v>3.4000000000000057</c:v>
                </c:pt>
                <c:pt idx="29">
                  <c:v>3.4000000000000057</c:v>
                </c:pt>
                <c:pt idx="30">
                  <c:v>3.4000000000000057</c:v>
                </c:pt>
                <c:pt idx="31">
                  <c:v>3.4000000000000057</c:v>
                </c:pt>
                <c:pt idx="32">
                  <c:v>3.4000000000000057</c:v>
                </c:pt>
                <c:pt idx="33">
                  <c:v>3.4000000000000057</c:v>
                </c:pt>
                <c:pt idx="34">
                  <c:v>3.4000000000000057</c:v>
                </c:pt>
                <c:pt idx="35">
                  <c:v>3.4000000000000057</c:v>
                </c:pt>
                <c:pt idx="36">
                  <c:v>0.5</c:v>
                </c:pt>
                <c:pt idx="37">
                  <c:v>0.5</c:v>
                </c:pt>
                <c:pt idx="38">
                  <c:v>0.5</c:v>
                </c:pt>
                <c:pt idx="39">
                  <c:v>1.5999999999999901</c:v>
                </c:pt>
                <c:pt idx="40">
                  <c:v>1.5999999999999901</c:v>
                </c:pt>
                <c:pt idx="41">
                  <c:v>1.5999999999999901</c:v>
                </c:pt>
                <c:pt idx="42">
                  <c:v>1.5999999999999901</c:v>
                </c:pt>
                <c:pt idx="43">
                  <c:v>1.5999999999999901</c:v>
                </c:pt>
                <c:pt idx="44">
                  <c:v>1.5999999999999901</c:v>
                </c:pt>
                <c:pt idx="45">
                  <c:v>1.5999999999999901</c:v>
                </c:pt>
                <c:pt idx="46">
                  <c:v>1.5999999999999901</c:v>
                </c:pt>
                <c:pt idx="47">
                  <c:v>1.5999999999999901</c:v>
                </c:pt>
                <c:pt idx="48">
                  <c:v>2.0999999999999943</c:v>
                </c:pt>
                <c:pt idx="49">
                  <c:v>2.0999999999999943</c:v>
                </c:pt>
                <c:pt idx="50" formatCode="0.0">
                  <c:v>2.0999999999999943</c:v>
                </c:pt>
                <c:pt idx="51" formatCode="0.0">
                  <c:v>1</c:v>
                </c:pt>
                <c:pt idx="52">
                  <c:v>1</c:v>
                </c:pt>
                <c:pt idx="53">
                  <c:v>1</c:v>
                </c:pt>
              </c:numCache>
            </c:numRef>
          </c:val>
        </c:ser>
        <c:marker val="1"/>
        <c:axId val="176419200"/>
        <c:axId val="176420736"/>
      </c:lineChart>
      <c:catAx>
        <c:axId val="176419200"/>
        <c:scaling>
          <c:orientation val="minMax"/>
        </c:scaling>
        <c:axPos val="b"/>
        <c:tickLblPos val="low"/>
        <c:spPr>
          <a:ln>
            <a:solidFill>
              <a:schemeClr val="tx1"/>
            </a:solidFill>
          </a:ln>
        </c:spPr>
        <c:crossAx val="176420736"/>
        <c:crosses val="autoZero"/>
        <c:auto val="1"/>
        <c:lblAlgn val="ctr"/>
        <c:lblOffset val="100"/>
      </c:catAx>
      <c:valAx>
        <c:axId val="176420736"/>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76419200"/>
        <c:crosses val="autoZero"/>
        <c:crossBetween val="between"/>
      </c:valAx>
      <c:spPr>
        <a:ln>
          <a:solidFill>
            <a:schemeClr val="tx1"/>
          </a:solidFill>
        </a:ln>
      </c:spPr>
    </c:plotArea>
    <c:legend>
      <c:legendPos val="b"/>
      <c:layout>
        <c:manualLayout>
          <c:xMode val="edge"/>
          <c:yMode val="edge"/>
          <c:x val="5.0596282132642119E-2"/>
          <c:y val="0.84079393223010701"/>
          <c:w val="0.89560705842620769"/>
          <c:h val="0.1425394011032316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4942586963863574E-2"/>
          <c:y val="2.8593943487560728E-2"/>
          <c:w val="0.92629263762242564"/>
          <c:h val="0.75790048407069865"/>
        </c:manualLayout>
      </c:layout>
      <c:barChart>
        <c:barDir val="col"/>
        <c:grouping val="clustered"/>
        <c:ser>
          <c:idx val="3"/>
          <c:order val="3"/>
          <c:tx>
            <c:strRef>
              <c:f>'Ceny 3'!$H$5</c:f>
              <c:strCache>
                <c:ptCount val="1"/>
                <c:pt idx="0">
                  <c:v>Terms of trade</c:v>
                </c:pt>
              </c:strCache>
            </c:strRef>
          </c:tx>
          <c:spPr>
            <a:solidFill>
              <a:schemeClr val="bg1">
                <a:lumMod val="65000"/>
              </a:schemeClr>
            </a:solidFill>
          </c:spPr>
          <c:val>
            <c:numRef>
              <c:f>'Ceny 3'!$H$10:$H$27</c:f>
              <c:numCache>
                <c:formatCode>0.0</c:formatCode>
                <c:ptCount val="18"/>
                <c:pt idx="0">
                  <c:v>0.72086874091794828</c:v>
                </c:pt>
                <c:pt idx="1">
                  <c:v>0.66492115250875761</c:v>
                </c:pt>
                <c:pt idx="2">
                  <c:v>1.3267678006503587</c:v>
                </c:pt>
                <c:pt idx="3">
                  <c:v>1.2283581212725823</c:v>
                </c:pt>
                <c:pt idx="4">
                  <c:v>1.7793365680396958</c:v>
                </c:pt>
                <c:pt idx="5">
                  <c:v>2.1121774956172437</c:v>
                </c:pt>
                <c:pt idx="6">
                  <c:v>1.6039707571559436</c:v>
                </c:pt>
                <c:pt idx="7">
                  <c:v>0.6576916486733978</c:v>
                </c:pt>
                <c:pt idx="8">
                  <c:v>0.66875144912618034</c:v>
                </c:pt>
                <c:pt idx="9">
                  <c:v>-5.2195141937815513E-2</c:v>
                </c:pt>
                <c:pt idx="10">
                  <c:v>0.25811822159073472</c:v>
                </c:pt>
                <c:pt idx="11">
                  <c:v>0.70048196058132817</c:v>
                </c:pt>
                <c:pt idx="12">
                  <c:v>1.5034457920506374</c:v>
                </c:pt>
                <c:pt idx="13">
                  <c:v>1.5316445359934219</c:v>
                </c:pt>
                <c:pt idx="14">
                  <c:v>1.1309975684205718</c:v>
                </c:pt>
                <c:pt idx="15">
                  <c:v>6.2910265216473304E-2</c:v>
                </c:pt>
                <c:pt idx="16">
                  <c:v>-1.8857390401630312</c:v>
                </c:pt>
                <c:pt idx="17">
                  <c:v>-1.6543501748548333</c:v>
                </c:pt>
              </c:numCache>
            </c:numRef>
          </c:val>
        </c:ser>
        <c:gapWidth val="95"/>
        <c:axId val="189583360"/>
        <c:axId val="189584896"/>
      </c:barChart>
      <c:lineChart>
        <c:grouping val="standard"/>
        <c:ser>
          <c:idx val="1"/>
          <c:order val="0"/>
          <c:tx>
            <c:strRef>
              <c:f>'Ceny 3'!$E$5</c:f>
              <c:strCache>
                <c:ptCount val="1"/>
                <c:pt idx="0">
                  <c:v>GDP</c:v>
                </c:pt>
              </c:strCache>
            </c:strRef>
          </c:tx>
          <c:spPr>
            <a:ln w="19050">
              <a:solidFill>
                <a:sysClr val="windowText" lastClr="000000"/>
              </a:solidFill>
            </a:ln>
          </c:spPr>
          <c:marker>
            <c:symbol val="none"/>
          </c:marker>
          <c:cat>
            <c:multiLvlStrRef>
              <c:f>'Ceny 3'!$A$10:$B$26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3'!$E$10:$E$27</c:f>
              <c:numCache>
                <c:formatCode>#,##0.0</c:formatCode>
                <c:ptCount val="18"/>
                <c:pt idx="0">
                  <c:v>1.2999708970934816</c:v>
                </c:pt>
                <c:pt idx="1">
                  <c:v>1.1220533709485963</c:v>
                </c:pt>
                <c:pt idx="2">
                  <c:v>1.3013982471865513</c:v>
                </c:pt>
                <c:pt idx="3">
                  <c:v>1.9705982643273221</c:v>
                </c:pt>
                <c:pt idx="4">
                  <c:v>2.3138763904869237</c:v>
                </c:pt>
                <c:pt idx="5">
                  <c:v>2.7748292282439451</c:v>
                </c:pt>
                <c:pt idx="6">
                  <c:v>2.7588595129771818</c:v>
                </c:pt>
                <c:pt idx="7">
                  <c:v>2.0601986396608538</c:v>
                </c:pt>
                <c:pt idx="8">
                  <c:v>1.5369337674784158</c:v>
                </c:pt>
                <c:pt idx="9">
                  <c:v>1.344899624212232</c:v>
                </c:pt>
                <c:pt idx="10">
                  <c:v>1.0394166136579306</c:v>
                </c:pt>
                <c:pt idx="11">
                  <c:v>0.76946574896925257</c:v>
                </c:pt>
                <c:pt idx="12">
                  <c:v>1.4770885012742809</c:v>
                </c:pt>
                <c:pt idx="13">
                  <c:v>1.0859617317946511</c:v>
                </c:pt>
                <c:pt idx="14">
                  <c:v>1.2927847129702457</c:v>
                </c:pt>
                <c:pt idx="15">
                  <c:v>1.1135418002644395</c:v>
                </c:pt>
                <c:pt idx="16" formatCode="General">
                  <c:v>0.53721988241845564</c:v>
                </c:pt>
                <c:pt idx="17" formatCode="General">
                  <c:v>0.9988124786041368</c:v>
                </c:pt>
              </c:numCache>
            </c:numRef>
          </c:val>
        </c:ser>
        <c:ser>
          <c:idx val="0"/>
          <c:order val="1"/>
          <c:tx>
            <c:strRef>
              <c:f>'Ceny 3'!$C$5</c:f>
              <c:strCache>
                <c:ptCount val="1"/>
                <c:pt idx="0">
                  <c:v>Final consumption expenditure</c:v>
                </c:pt>
              </c:strCache>
            </c:strRef>
          </c:tx>
          <c:spPr>
            <a:ln w="19050">
              <a:solidFill>
                <a:srgbClr val="0071BC"/>
              </a:solidFill>
            </a:ln>
          </c:spPr>
          <c:marker>
            <c:symbol val="none"/>
          </c:marker>
          <c:cat>
            <c:multiLvlStrRef>
              <c:f>'Ceny 3'!$A$10:$B$27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3'!$C$10:$C$27</c:f>
              <c:numCache>
                <c:formatCode>0.0</c:formatCode>
                <c:ptCount val="18"/>
                <c:pt idx="0">
                  <c:v>0.70393081077897268</c:v>
                </c:pt>
                <c:pt idx="1">
                  <c:v>0.6460903683416036</c:v>
                </c:pt>
                <c:pt idx="2">
                  <c:v>0.5078022322107647</c:v>
                </c:pt>
                <c:pt idx="3">
                  <c:v>0.76412283599242414</c:v>
                </c:pt>
                <c:pt idx="4">
                  <c:v>0.58981800757618463</c:v>
                </c:pt>
                <c:pt idx="5">
                  <c:v>0.73002869006748694</c:v>
                </c:pt>
                <c:pt idx="6">
                  <c:v>0.9627234351177667</c:v>
                </c:pt>
                <c:pt idx="7">
                  <c:v>1.371359354161328</c:v>
                </c:pt>
                <c:pt idx="8">
                  <c:v>0.68976772600146319</c:v>
                </c:pt>
                <c:pt idx="9">
                  <c:v>0.98805285803847265</c:v>
                </c:pt>
                <c:pt idx="10">
                  <c:v>0.80963604805681655</c:v>
                </c:pt>
                <c:pt idx="11">
                  <c:v>0.11766427409598672</c:v>
                </c:pt>
                <c:pt idx="12">
                  <c:v>0.59228639059519139</c:v>
                </c:pt>
                <c:pt idx="13">
                  <c:v>0.57477319622762479</c:v>
                </c:pt>
                <c:pt idx="14">
                  <c:v>0.95921467327970511</c:v>
                </c:pt>
                <c:pt idx="15">
                  <c:v>1.4791806391940838</c:v>
                </c:pt>
                <c:pt idx="16" formatCode="General">
                  <c:v>2.4150093648891517</c:v>
                </c:pt>
                <c:pt idx="17" formatCode="General">
                  <c:v>2.7033943161741059</c:v>
                </c:pt>
              </c:numCache>
            </c:numRef>
          </c:val>
        </c:ser>
        <c:ser>
          <c:idx val="2"/>
          <c:order val="2"/>
          <c:tx>
            <c:strRef>
              <c:f>'Ceny 3'!$D$5</c:f>
              <c:strCache>
                <c:ptCount val="1"/>
                <c:pt idx="0">
                  <c:v>Gross capital formation</c:v>
                </c:pt>
              </c:strCache>
            </c:strRef>
          </c:tx>
          <c:spPr>
            <a:ln w="19050">
              <a:solidFill>
                <a:srgbClr val="BD1B21"/>
              </a:solidFill>
            </a:ln>
          </c:spPr>
          <c:marker>
            <c:symbol val="none"/>
          </c:marker>
          <c:cat>
            <c:multiLvlStrRef>
              <c:f>'Ceny 3'!$A$10:$B$27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3'!$D$10:$D$27</c:f>
              <c:numCache>
                <c:formatCode>0.0</c:formatCode>
                <c:ptCount val="18"/>
                <c:pt idx="0">
                  <c:v>0.93237675467136649</c:v>
                </c:pt>
                <c:pt idx="1">
                  <c:v>0.55587160422214765</c:v>
                </c:pt>
                <c:pt idx="2">
                  <c:v>-0.14502990088750822</c:v>
                </c:pt>
                <c:pt idx="3">
                  <c:v>1.3523234836422091</c:v>
                </c:pt>
                <c:pt idx="4">
                  <c:v>1.1262607990310585</c:v>
                </c:pt>
                <c:pt idx="5">
                  <c:v>1.6967817745947578</c:v>
                </c:pt>
                <c:pt idx="6">
                  <c:v>2.2944262174508632</c:v>
                </c:pt>
                <c:pt idx="7">
                  <c:v>1.7668000014469527</c:v>
                </c:pt>
                <c:pt idx="8">
                  <c:v>2.1227689478053282</c:v>
                </c:pt>
                <c:pt idx="9">
                  <c:v>2.5283893947638467</c:v>
                </c:pt>
                <c:pt idx="10">
                  <c:v>1.5895921078529938</c:v>
                </c:pt>
                <c:pt idx="11">
                  <c:v>1.323034507587973</c:v>
                </c:pt>
                <c:pt idx="12">
                  <c:v>0.68131620837630158</c:v>
                </c:pt>
                <c:pt idx="13">
                  <c:v>-0.47030660907467092</c:v>
                </c:pt>
                <c:pt idx="14">
                  <c:v>-3.1665506301493451E-2</c:v>
                </c:pt>
                <c:pt idx="15">
                  <c:v>0.48648204884011648</c:v>
                </c:pt>
                <c:pt idx="16" formatCode="General">
                  <c:v>0.99259795512071458</c:v>
                </c:pt>
                <c:pt idx="17" formatCode="General">
                  <c:v>1.6498395161239898</c:v>
                </c:pt>
              </c:numCache>
            </c:numRef>
          </c:val>
        </c:ser>
        <c:marker val="1"/>
        <c:axId val="189583360"/>
        <c:axId val="189584896"/>
      </c:lineChart>
      <c:catAx>
        <c:axId val="189583360"/>
        <c:scaling>
          <c:orientation val="minMax"/>
        </c:scaling>
        <c:axPos val="b"/>
        <c:tickLblPos val="low"/>
        <c:spPr>
          <a:ln>
            <a:solidFill>
              <a:schemeClr val="tx1"/>
            </a:solidFill>
          </a:ln>
        </c:spPr>
        <c:txPr>
          <a:bodyPr rot="0" vert="horz"/>
          <a:lstStyle/>
          <a:p>
            <a:pPr>
              <a:defRPr/>
            </a:pPr>
            <a:endParaRPr lang="cs-CZ"/>
          </a:p>
        </c:txPr>
        <c:crossAx val="189584896"/>
        <c:crossesAt val="0"/>
        <c:auto val="1"/>
        <c:lblAlgn val="ctr"/>
        <c:lblOffset val="100"/>
      </c:catAx>
      <c:valAx>
        <c:axId val="189584896"/>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89583360"/>
        <c:crosses val="autoZero"/>
        <c:crossBetween val="between"/>
      </c:valAx>
      <c:spPr>
        <a:ln>
          <a:solidFill>
            <a:schemeClr val="tx1"/>
          </a:solidFill>
        </a:ln>
      </c:spPr>
    </c:plotArea>
    <c:legend>
      <c:legendPos val="b"/>
      <c:layout>
        <c:manualLayout>
          <c:xMode val="edge"/>
          <c:yMode val="edge"/>
          <c:x val="5.1257598784194246E-2"/>
          <c:y val="0.9105279747832935"/>
          <c:w val="0.92611385511651467"/>
          <c:h val="7.215158167285828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532E-2"/>
          <c:y val="1.6549886621315263E-2"/>
          <c:w val="0.92698007507126057"/>
          <c:h val="0.7135303287981859"/>
        </c:manualLayout>
      </c:layout>
      <c:barChart>
        <c:barDir val="col"/>
        <c:grouping val="clustered"/>
        <c:ser>
          <c:idx val="0"/>
          <c:order val="0"/>
          <c:tx>
            <c:strRef>
              <c:f>'Trh práce 1'!$C$7</c:f>
              <c:strCache>
                <c:ptCount val="1"/>
                <c:pt idx="0">
                  <c:v>Total employment</c:v>
                </c:pt>
              </c:strCache>
            </c:strRef>
          </c:tx>
          <c:spPr>
            <a:solidFill>
              <a:schemeClr val="bg1">
                <a:lumMod val="50000"/>
              </a:schemeClr>
            </a:solidFill>
          </c:spP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1'!$C$8:$C$37</c:f>
              <c:numCache>
                <c:formatCode>#,##0.0</c:formatCode>
                <c:ptCount val="30"/>
                <c:pt idx="0" formatCode="0.0">
                  <c:v>-2.7493629357650775</c:v>
                </c:pt>
                <c:pt idx="1">
                  <c:v>-1.231355670101081</c:v>
                </c:pt>
                <c:pt idx="2">
                  <c:v>-0.18766026442571621</c:v>
                </c:pt>
                <c:pt idx="3">
                  <c:v>6.7316120287756687E-2</c:v>
                </c:pt>
                <c:pt idx="4" formatCode="0.0">
                  <c:v>0.10338579028356776</c:v>
                </c:pt>
                <c:pt idx="5">
                  <c:v>2.018958815014571E-3</c:v>
                </c:pt>
                <c:pt idx="6">
                  <c:v>-0.44357673893365801</c:v>
                </c:pt>
                <c:pt idx="7">
                  <c:v>-0.74967660526091662</c:v>
                </c:pt>
                <c:pt idx="8" formatCode="0.0">
                  <c:v>-6.4487376943205416E-2</c:v>
                </c:pt>
                <c:pt idx="9">
                  <c:v>0.15991018585724309</c:v>
                </c:pt>
                <c:pt idx="10">
                  <c:v>0.67126249823633088</c:v>
                </c:pt>
                <c:pt idx="11">
                  <c:v>0.91419179797142669</c:v>
                </c:pt>
                <c:pt idx="12" formatCode="0.0">
                  <c:v>0.4434233641801768</c:v>
                </c:pt>
                <c:pt idx="13">
                  <c:v>0.67770819458962817</c:v>
                </c:pt>
                <c:pt idx="14">
                  <c:v>0.12895197144355544</c:v>
                </c:pt>
                <c:pt idx="15">
                  <c:v>4.0322580645167319E-2</c:v>
                </c:pt>
                <c:pt idx="16" formatCode="0.0">
                  <c:v>0.57697146908898922</c:v>
                </c:pt>
                <c:pt idx="17">
                  <c:v>8.0399106188068045E-2</c:v>
                </c:pt>
                <c:pt idx="18">
                  <c:v>0.61322218939174811</c:v>
                </c:pt>
                <c:pt idx="19">
                  <c:v>0.93792373035557974</c:v>
                </c:pt>
                <c:pt idx="20" formatCode="0.0">
                  <c:v>1.265699387403769</c:v>
                </c:pt>
                <c:pt idx="21">
                  <c:v>1.7613382287180173</c:v>
                </c:pt>
                <c:pt idx="22">
                  <c:v>1.3482013235820041</c:v>
                </c:pt>
                <c:pt idx="23">
                  <c:v>1.3363413079349578</c:v>
                </c:pt>
                <c:pt idx="24" formatCode="0.0">
                  <c:v>1.25558572910262</c:v>
                </c:pt>
                <c:pt idx="25">
                  <c:v>1.1507983544329499</c:v>
                </c:pt>
                <c:pt idx="26">
                  <c:v>1.2387481612437363</c:v>
                </c:pt>
                <c:pt idx="27">
                  <c:v>1.4978787727267502</c:v>
                </c:pt>
                <c:pt idx="28" formatCode="0.0">
                  <c:v>1.4614799115755517</c:v>
                </c:pt>
                <c:pt idx="29">
                  <c:v>1.3044868387106021</c:v>
                </c:pt>
              </c:numCache>
            </c:numRef>
          </c:val>
        </c:ser>
        <c:ser>
          <c:idx val="1"/>
          <c:order val="1"/>
          <c:tx>
            <c:strRef>
              <c:f>'Trh práce 1'!$D$7</c:f>
              <c:strCache>
                <c:ptCount val="1"/>
                <c:pt idx="0">
                  <c:v>in that employees</c:v>
                </c:pt>
              </c:strCache>
            </c:strRef>
          </c:tx>
          <c:spPr>
            <a:solidFill>
              <a:srgbClr val="B4B4B4"/>
            </a:solidFill>
          </c:spP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1'!$D$8:$D$37</c:f>
              <c:numCache>
                <c:formatCode>#,##0.0</c:formatCode>
                <c:ptCount val="30"/>
                <c:pt idx="0" formatCode="0.0">
                  <c:v>-3.7183457539311604</c:v>
                </c:pt>
                <c:pt idx="1">
                  <c:v>-2.2037535918506852</c:v>
                </c:pt>
                <c:pt idx="2">
                  <c:v>-0.95031718324349868</c:v>
                </c:pt>
                <c:pt idx="3">
                  <c:v>-0.89602372013739251</c:v>
                </c:pt>
                <c:pt idx="4" formatCode="0.0">
                  <c:v>-0.12541420529301206</c:v>
                </c:pt>
                <c:pt idx="5">
                  <c:v>-0.18074186061507191</c:v>
                </c:pt>
                <c:pt idx="6">
                  <c:v>-0.68532067485385562</c:v>
                </c:pt>
                <c:pt idx="7">
                  <c:v>-1.0055124180924493</c:v>
                </c:pt>
                <c:pt idx="8" formatCode="0.0">
                  <c:v>-0.30649126299194102</c:v>
                </c:pt>
                <c:pt idx="9">
                  <c:v>8.2306292576589668E-2</c:v>
                </c:pt>
                <c:pt idx="10">
                  <c:v>1.1363397269730215</c:v>
                </c:pt>
                <c:pt idx="11">
                  <c:v>1.4752985788288413</c:v>
                </c:pt>
                <c:pt idx="12" formatCode="0.0">
                  <c:v>1.3546733566221858</c:v>
                </c:pt>
                <c:pt idx="13">
                  <c:v>1.6154432368700355</c:v>
                </c:pt>
                <c:pt idx="14">
                  <c:v>0.36949059992726152</c:v>
                </c:pt>
                <c:pt idx="15">
                  <c:v>0.47903550287971086</c:v>
                </c:pt>
                <c:pt idx="16" formatCode="0.0">
                  <c:v>0.66378516215239458</c:v>
                </c:pt>
                <c:pt idx="17">
                  <c:v>0.18975134112584194</c:v>
                </c:pt>
                <c:pt idx="18">
                  <c:v>1.2672516726795198</c:v>
                </c:pt>
                <c:pt idx="19">
                  <c:v>1.4210854345550401</c:v>
                </c:pt>
                <c:pt idx="20" formatCode="0.0">
                  <c:v>1.790279667503242</c:v>
                </c:pt>
                <c:pt idx="21">
                  <c:v>2.2018522696376976</c:v>
                </c:pt>
                <c:pt idx="22">
                  <c:v>1.782914734194476</c:v>
                </c:pt>
                <c:pt idx="23">
                  <c:v>2.023636901433207</c:v>
                </c:pt>
                <c:pt idx="24" formatCode="0.0">
                  <c:v>1.7634904453369258</c:v>
                </c:pt>
                <c:pt idx="25">
                  <c:v>1.2273587505034556</c:v>
                </c:pt>
                <c:pt idx="26">
                  <c:v>1.1016541871874335</c:v>
                </c:pt>
                <c:pt idx="27">
                  <c:v>0.89889101162970186</c:v>
                </c:pt>
                <c:pt idx="28" formatCode="0.0">
                  <c:v>0.87734573109716563</c:v>
                </c:pt>
                <c:pt idx="29">
                  <c:v>1.2321816539755162</c:v>
                </c:pt>
              </c:numCache>
            </c:numRef>
          </c:val>
        </c:ser>
        <c:gapWidth val="68"/>
        <c:axId val="214348928"/>
        <c:axId val="214350464"/>
      </c:barChart>
      <c:lineChart>
        <c:grouping val="standard"/>
        <c:ser>
          <c:idx val="2"/>
          <c:order val="2"/>
          <c:tx>
            <c:strRef>
              <c:f>'Trh práce 1'!$E$7</c:f>
              <c:strCache>
                <c:ptCount val="1"/>
                <c:pt idx="0">
                  <c:v>Manufacturing (total employment)</c:v>
                </c:pt>
              </c:strCache>
            </c:strRef>
          </c:tx>
          <c:spPr>
            <a:ln w="19050">
              <a:solidFill>
                <a:srgbClr val="0071BC"/>
              </a:solidFill>
            </a:ln>
          </c:spPr>
          <c:marker>
            <c:symbol val="none"/>
          </c:marke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1'!$E$8:$E$37</c:f>
              <c:numCache>
                <c:formatCode>#,##0.0</c:formatCode>
                <c:ptCount val="30"/>
                <c:pt idx="0" formatCode="0.0">
                  <c:v>-7.1328240218293359</c:v>
                </c:pt>
                <c:pt idx="1">
                  <c:v>-3.3483416585653796</c:v>
                </c:pt>
                <c:pt idx="2">
                  <c:v>-1.2053324012494908</c:v>
                </c:pt>
                <c:pt idx="3">
                  <c:v>-0.57131663484786011</c:v>
                </c:pt>
                <c:pt idx="4" formatCode="0.0">
                  <c:v>3.959401388273843</c:v>
                </c:pt>
                <c:pt idx="5">
                  <c:v>4.29177691707892</c:v>
                </c:pt>
                <c:pt idx="6">
                  <c:v>3.8641041434753762</c:v>
                </c:pt>
                <c:pt idx="7">
                  <c:v>2.3282676220815119</c:v>
                </c:pt>
                <c:pt idx="8" formatCode="0.0">
                  <c:v>0.60345793922903113</c:v>
                </c:pt>
                <c:pt idx="9">
                  <c:v>0.50872672006472897</c:v>
                </c:pt>
                <c:pt idx="10">
                  <c:v>1.203264557092165</c:v>
                </c:pt>
                <c:pt idx="11">
                  <c:v>1.6438966600367309</c:v>
                </c:pt>
                <c:pt idx="12" formatCode="0.0">
                  <c:v>-0.17866048437355175</c:v>
                </c:pt>
                <c:pt idx="13">
                  <c:v>0.16028267064615417</c:v>
                </c:pt>
                <c:pt idx="14">
                  <c:v>-0.40170171733359439</c:v>
                </c:pt>
                <c:pt idx="15">
                  <c:v>-0.21424103300076108</c:v>
                </c:pt>
                <c:pt idx="16" formatCode="0.0">
                  <c:v>0.79613495033972015</c:v>
                </c:pt>
                <c:pt idx="17">
                  <c:v>0.76079016253729148</c:v>
                </c:pt>
                <c:pt idx="18">
                  <c:v>1.537859661648028</c:v>
                </c:pt>
                <c:pt idx="19">
                  <c:v>2.0804183493204675</c:v>
                </c:pt>
                <c:pt idx="20" formatCode="0.0">
                  <c:v>3.4953504286037127</c:v>
                </c:pt>
                <c:pt idx="21">
                  <c:v>3.6840014560195882</c:v>
                </c:pt>
                <c:pt idx="22">
                  <c:v>3.1112916815337428</c:v>
                </c:pt>
                <c:pt idx="23">
                  <c:v>3.7794080596979152</c:v>
                </c:pt>
                <c:pt idx="24" formatCode="0.0">
                  <c:v>2.431344478594383</c:v>
                </c:pt>
                <c:pt idx="25">
                  <c:v>1.5761795854152467</c:v>
                </c:pt>
                <c:pt idx="26">
                  <c:v>1.831630983970058</c:v>
                </c:pt>
                <c:pt idx="27">
                  <c:v>1.3319586258319731</c:v>
                </c:pt>
                <c:pt idx="28" formatCode="0.0">
                  <c:v>1.0374019421035999E-2</c:v>
                </c:pt>
                <c:pt idx="29">
                  <c:v>0.44909578511092718</c:v>
                </c:pt>
              </c:numCache>
            </c:numRef>
          </c:val>
        </c:ser>
        <c:ser>
          <c:idx val="3"/>
          <c:order val="3"/>
          <c:tx>
            <c:strRef>
              <c:f>'Trh práce 1'!$F$7</c:f>
              <c:strCache>
                <c:ptCount val="1"/>
                <c:pt idx="0">
                  <c:v>Construction (total employment)</c:v>
                </c:pt>
              </c:strCache>
            </c:strRef>
          </c:tx>
          <c:spPr>
            <a:ln w="19050">
              <a:solidFill>
                <a:srgbClr val="BD1B21"/>
              </a:solidFill>
            </a:ln>
          </c:spPr>
          <c:marker>
            <c:symbol val="none"/>
          </c:marke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1'!$F$8:$F$37</c:f>
              <c:numCache>
                <c:formatCode>#,##0.0</c:formatCode>
                <c:ptCount val="30"/>
                <c:pt idx="0" formatCode="0.0">
                  <c:v>0.96973743053816153</c:v>
                </c:pt>
                <c:pt idx="1">
                  <c:v>1.5766212487064575</c:v>
                </c:pt>
                <c:pt idx="2">
                  <c:v>2.0505826231116777</c:v>
                </c:pt>
                <c:pt idx="3">
                  <c:v>2.0975017349063059</c:v>
                </c:pt>
                <c:pt idx="4" formatCode="0.0">
                  <c:v>-5.0057748344370765</c:v>
                </c:pt>
                <c:pt idx="5">
                  <c:v>-4.9400088718526733</c:v>
                </c:pt>
                <c:pt idx="6">
                  <c:v>-5.3825592625853389</c:v>
                </c:pt>
                <c:pt idx="7">
                  <c:v>-5.2114309503984755</c:v>
                </c:pt>
                <c:pt idx="8" formatCode="0.0">
                  <c:v>-1.0125955373515865</c:v>
                </c:pt>
                <c:pt idx="9">
                  <c:v>-0.65129343258655747</c:v>
                </c:pt>
                <c:pt idx="10">
                  <c:v>-1.6486726674023942</c:v>
                </c:pt>
                <c:pt idx="11">
                  <c:v>-1.8238369370116339</c:v>
                </c:pt>
                <c:pt idx="12" formatCode="0.0">
                  <c:v>-2.4231770393157888</c:v>
                </c:pt>
                <c:pt idx="13">
                  <c:v>-3.6906605297992421</c:v>
                </c:pt>
                <c:pt idx="14">
                  <c:v>-2.201849061585321</c:v>
                </c:pt>
                <c:pt idx="15">
                  <c:v>-1.0882912822572859</c:v>
                </c:pt>
                <c:pt idx="16" formatCode="0.0">
                  <c:v>-5.0648669747761375</c:v>
                </c:pt>
                <c:pt idx="17">
                  <c:v>-3.6538098049419152</c:v>
                </c:pt>
                <c:pt idx="18">
                  <c:v>-4.2712784278679123</c:v>
                </c:pt>
                <c:pt idx="19">
                  <c:v>-5.2428752740279156</c:v>
                </c:pt>
                <c:pt idx="20" formatCode="0.0">
                  <c:v>-0.17200523557662031</c:v>
                </c:pt>
                <c:pt idx="21">
                  <c:v>-9.2520605210694579E-2</c:v>
                </c:pt>
                <c:pt idx="22">
                  <c:v>-0.60778302632186865</c:v>
                </c:pt>
                <c:pt idx="23">
                  <c:v>-0.98361054964323058</c:v>
                </c:pt>
                <c:pt idx="24" formatCode="0.0">
                  <c:v>-0.86955038298722709</c:v>
                </c:pt>
                <c:pt idx="25">
                  <c:v>-1.2632757897594884</c:v>
                </c:pt>
                <c:pt idx="26">
                  <c:v>0.19494607796374908</c:v>
                </c:pt>
                <c:pt idx="27">
                  <c:v>0.47566227486591162</c:v>
                </c:pt>
                <c:pt idx="28" formatCode="0.0">
                  <c:v>0.87939049904241562</c:v>
                </c:pt>
                <c:pt idx="29">
                  <c:v>0.62240969535069812</c:v>
                </c:pt>
              </c:numCache>
            </c:numRef>
          </c:val>
        </c:ser>
        <c:ser>
          <c:idx val="4"/>
          <c:order val="4"/>
          <c:tx>
            <c:strRef>
              <c:f>'Trh práce 1'!$G$7</c:f>
              <c:strCache>
                <c:ptCount val="1"/>
                <c:pt idx="0">
                  <c:v>Trade, transport, accommodation and food service (total employment)</c:v>
                </c:pt>
              </c:strCache>
            </c:strRef>
          </c:tx>
          <c:spPr>
            <a:ln w="19050">
              <a:solidFill>
                <a:srgbClr val="7DBB2D"/>
              </a:solidFill>
            </a:ln>
          </c:spPr>
          <c:marker>
            <c:symbol val="none"/>
          </c:marke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1'!$G$8:$G$37</c:f>
              <c:numCache>
                <c:formatCode>#,##0.0</c:formatCode>
                <c:ptCount val="30"/>
                <c:pt idx="0" formatCode="0.0">
                  <c:v>-1.4811264631436956</c:v>
                </c:pt>
                <c:pt idx="1">
                  <c:v>-0.55415302001367195</c:v>
                </c:pt>
                <c:pt idx="2">
                  <c:v>0.60230497012719364</c:v>
                </c:pt>
                <c:pt idx="3">
                  <c:v>1.1873384060302081</c:v>
                </c:pt>
                <c:pt idx="4" formatCode="0.0">
                  <c:v>-0.26525714239460285</c:v>
                </c:pt>
                <c:pt idx="5">
                  <c:v>-0.33716708681508617</c:v>
                </c:pt>
                <c:pt idx="6">
                  <c:v>-0.36196666950499518</c:v>
                </c:pt>
                <c:pt idx="7">
                  <c:v>-0.6159301049051038</c:v>
                </c:pt>
                <c:pt idx="8" formatCode="0.0">
                  <c:v>-0.54434279555370324</c:v>
                </c:pt>
                <c:pt idx="9">
                  <c:v>-0.40514396083042931</c:v>
                </c:pt>
                <c:pt idx="10">
                  <c:v>-0.37311748202134282</c:v>
                </c:pt>
                <c:pt idx="11">
                  <c:v>-0.76815794371515267</c:v>
                </c:pt>
                <c:pt idx="12" formatCode="0.0">
                  <c:v>0.77369328581768571</c:v>
                </c:pt>
                <c:pt idx="13">
                  <c:v>0.60429784295405464</c:v>
                </c:pt>
                <c:pt idx="14">
                  <c:v>7.7201205439365581E-2</c:v>
                </c:pt>
                <c:pt idx="15">
                  <c:v>0.17659710770475101</c:v>
                </c:pt>
                <c:pt idx="16" formatCode="0.0">
                  <c:v>-0.27532549141551532</c:v>
                </c:pt>
                <c:pt idx="17">
                  <c:v>-1.0247212280180378</c:v>
                </c:pt>
                <c:pt idx="18">
                  <c:v>-0.43357812735003237</c:v>
                </c:pt>
                <c:pt idx="19">
                  <c:v>0.64735384894699166</c:v>
                </c:pt>
                <c:pt idx="20" formatCode="0.0">
                  <c:v>0.50702313110330977</c:v>
                </c:pt>
                <c:pt idx="21">
                  <c:v>1.5961990830606112</c:v>
                </c:pt>
                <c:pt idx="22">
                  <c:v>0.93704012916178669</c:v>
                </c:pt>
                <c:pt idx="23">
                  <c:v>0.33427848272518235</c:v>
                </c:pt>
                <c:pt idx="24" formatCode="0.0">
                  <c:v>1.0009323399146552</c:v>
                </c:pt>
                <c:pt idx="25">
                  <c:v>1.7066855557750671</c:v>
                </c:pt>
                <c:pt idx="26">
                  <c:v>0.78520382793907162</c:v>
                </c:pt>
                <c:pt idx="27">
                  <c:v>1.1320860722512567</c:v>
                </c:pt>
                <c:pt idx="28" formatCode="0.0">
                  <c:v>2.236638443048145</c:v>
                </c:pt>
                <c:pt idx="29">
                  <c:v>1.5495734803732972</c:v>
                </c:pt>
              </c:numCache>
            </c:numRef>
          </c:val>
        </c:ser>
        <c:ser>
          <c:idx val="5"/>
          <c:order val="5"/>
          <c:tx>
            <c:strRef>
              <c:f>'Trh práce 1'!$H$7</c:f>
              <c:strCache>
                <c:ptCount val="1"/>
                <c:pt idx="0">
                  <c:v>Public administration, defence, education, health and social work (total employment)</c:v>
                </c:pt>
              </c:strCache>
            </c:strRef>
          </c:tx>
          <c:spPr>
            <a:ln w="19050">
              <a:solidFill>
                <a:srgbClr val="F8A124"/>
              </a:solidFill>
            </a:ln>
          </c:spPr>
          <c:marker>
            <c:symbol val="none"/>
          </c:marke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1'!$H$8:$H$37</c:f>
              <c:numCache>
                <c:formatCode>#,##0.0</c:formatCode>
                <c:ptCount val="30"/>
                <c:pt idx="0" formatCode="0.0">
                  <c:v>-1.855806077102784E-2</c:v>
                </c:pt>
                <c:pt idx="1">
                  <c:v>-0.22689757528192445</c:v>
                </c:pt>
                <c:pt idx="2">
                  <c:v>-0.29433275456824531</c:v>
                </c:pt>
                <c:pt idx="3">
                  <c:v>-0.22704563055179997</c:v>
                </c:pt>
                <c:pt idx="4" formatCode="0.0">
                  <c:v>-0.47110868534822775</c:v>
                </c:pt>
                <c:pt idx="5">
                  <c:v>-0.763348586953982</c:v>
                </c:pt>
                <c:pt idx="6">
                  <c:v>-1.0474282405826025</c:v>
                </c:pt>
                <c:pt idx="7">
                  <c:v>-0.76086919786541785</c:v>
                </c:pt>
                <c:pt idx="8" formatCode="0.0">
                  <c:v>-2.5354254663728679</c:v>
                </c:pt>
                <c:pt idx="9">
                  <c:v>-1.902141619073888</c:v>
                </c:pt>
                <c:pt idx="10">
                  <c:v>-0.31903720704937688</c:v>
                </c:pt>
                <c:pt idx="11">
                  <c:v>0.36291810220055326</c:v>
                </c:pt>
                <c:pt idx="12" formatCode="0.0">
                  <c:v>0.82471995854189228</c:v>
                </c:pt>
                <c:pt idx="13">
                  <c:v>2.1008576235233787</c:v>
                </c:pt>
                <c:pt idx="14">
                  <c:v>1.1395620003701339</c:v>
                </c:pt>
                <c:pt idx="15">
                  <c:v>0.93291347702553662</c:v>
                </c:pt>
                <c:pt idx="16" formatCode="0.0">
                  <c:v>1.5775454229154633</c:v>
                </c:pt>
                <c:pt idx="17">
                  <c:v>0.97071946520878882</c:v>
                </c:pt>
                <c:pt idx="18">
                  <c:v>2.0062549533348144</c:v>
                </c:pt>
                <c:pt idx="19">
                  <c:v>1.9094311712761822</c:v>
                </c:pt>
                <c:pt idx="20" formatCode="0.0">
                  <c:v>1.5186815850960897</c:v>
                </c:pt>
                <c:pt idx="21">
                  <c:v>1.3439686041484278</c:v>
                </c:pt>
                <c:pt idx="22">
                  <c:v>0.5825994898127631</c:v>
                </c:pt>
                <c:pt idx="23">
                  <c:v>0.49868099701011276</c:v>
                </c:pt>
                <c:pt idx="24" formatCode="0.0">
                  <c:v>0.63503922301082238</c:v>
                </c:pt>
                <c:pt idx="25">
                  <c:v>0.46250463543849207</c:v>
                </c:pt>
                <c:pt idx="26">
                  <c:v>0.92616906278036026</c:v>
                </c:pt>
                <c:pt idx="27">
                  <c:v>1.4567791547310804</c:v>
                </c:pt>
                <c:pt idx="28" formatCode="0.0">
                  <c:v>0.682846860733207</c:v>
                </c:pt>
                <c:pt idx="29">
                  <c:v>0.93457943925233167</c:v>
                </c:pt>
              </c:numCache>
            </c:numRef>
          </c:val>
        </c:ser>
        <c:marker val="1"/>
        <c:axId val="214348928"/>
        <c:axId val="214350464"/>
      </c:lineChart>
      <c:catAx>
        <c:axId val="214348928"/>
        <c:scaling>
          <c:orientation val="minMax"/>
        </c:scaling>
        <c:axPos val="b"/>
        <c:tickLblPos val="low"/>
        <c:spPr>
          <a:ln>
            <a:solidFill>
              <a:schemeClr val="tx1"/>
            </a:solidFill>
          </a:ln>
        </c:spPr>
        <c:crossAx val="214350464"/>
        <c:crosses val="autoZero"/>
        <c:auto val="1"/>
        <c:lblAlgn val="ctr"/>
        <c:lblOffset val="10"/>
      </c:catAx>
      <c:valAx>
        <c:axId val="214350464"/>
        <c:scaling>
          <c:orientation val="minMax"/>
          <c:max val="5"/>
          <c:min val="-7"/>
        </c:scaling>
        <c:axPos val="l"/>
        <c:majorGridlines>
          <c:spPr>
            <a:ln w="6350">
              <a:solidFill>
                <a:schemeClr val="bg1">
                  <a:lumMod val="75000"/>
                </a:schemeClr>
              </a:solidFill>
            </a:ln>
          </c:spPr>
        </c:majorGridlines>
        <c:numFmt formatCode="0" sourceLinked="0"/>
        <c:tickLblPos val="nextTo"/>
        <c:spPr>
          <a:ln>
            <a:solidFill>
              <a:schemeClr val="tx1"/>
            </a:solidFill>
          </a:ln>
        </c:spPr>
        <c:crossAx val="214348928"/>
        <c:crosses val="autoZero"/>
        <c:crossBetween val="between"/>
        <c:majorUnit val="1"/>
      </c:valAx>
      <c:spPr>
        <a:ln>
          <a:solidFill>
            <a:schemeClr val="tx1"/>
          </a:solidFill>
        </a:ln>
      </c:spPr>
    </c:plotArea>
    <c:legend>
      <c:legendPos val="b"/>
      <c:layout>
        <c:manualLayout>
          <c:xMode val="edge"/>
          <c:yMode val="edge"/>
          <c:x val="5.5392487973751597E-2"/>
          <c:y val="0.8165649092970505"/>
          <c:w val="0.92505743233709092"/>
          <c:h val="0.17981831065759679"/>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3364838092894683E-2"/>
          <c:y val="1.643251153889452E-2"/>
          <c:w val="0.8925446132419389"/>
          <c:h val="0.70608705785294956"/>
        </c:manualLayout>
      </c:layout>
      <c:barChart>
        <c:barDir val="col"/>
        <c:grouping val="clustered"/>
        <c:ser>
          <c:idx val="0"/>
          <c:order val="0"/>
          <c:tx>
            <c:strRef>
              <c:f>'Trh práce-2'!$A$32</c:f>
              <c:strCache>
                <c:ptCount val="1"/>
                <c:pt idx="0">
                  <c:v>Unemployment rate of males (right axis)</c:v>
                </c:pt>
              </c:strCache>
            </c:strRef>
          </c:tx>
          <c:spPr>
            <a:solidFill>
              <a:srgbClr val="BCBCBC"/>
            </a:solidFill>
          </c:spP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práce-2'!$B$32:$AE$32</c:f>
              <c:numCache>
                <c:formatCode>#,##0.0</c:formatCode>
                <c:ptCount val="30"/>
                <c:pt idx="0">
                  <c:v>7.2</c:v>
                </c:pt>
                <c:pt idx="1">
                  <c:v>6.4</c:v>
                </c:pt>
                <c:pt idx="2">
                  <c:v>6.1</c:v>
                </c:pt>
                <c:pt idx="3">
                  <c:v>6</c:v>
                </c:pt>
                <c:pt idx="4">
                  <c:v>6</c:v>
                </c:pt>
                <c:pt idx="5">
                  <c:v>5.9</c:v>
                </c:pt>
                <c:pt idx="6">
                  <c:v>5.7</c:v>
                </c:pt>
                <c:pt idx="7">
                  <c:v>5.6</c:v>
                </c:pt>
                <c:pt idx="8">
                  <c:v>6</c:v>
                </c:pt>
                <c:pt idx="9">
                  <c:v>5.9</c:v>
                </c:pt>
                <c:pt idx="10">
                  <c:v>6</c:v>
                </c:pt>
                <c:pt idx="11">
                  <c:v>6.2</c:v>
                </c:pt>
                <c:pt idx="12">
                  <c:v>6.3</c:v>
                </c:pt>
                <c:pt idx="13">
                  <c:v>5.9</c:v>
                </c:pt>
                <c:pt idx="14">
                  <c:v>5.8</c:v>
                </c:pt>
                <c:pt idx="15">
                  <c:v>5.7</c:v>
                </c:pt>
                <c:pt idx="16">
                  <c:v>5.5</c:v>
                </c:pt>
                <c:pt idx="17">
                  <c:v>5.0999999999999996</c:v>
                </c:pt>
                <c:pt idx="18">
                  <c:v>4.9000000000000004</c:v>
                </c:pt>
                <c:pt idx="19">
                  <c:v>5</c:v>
                </c:pt>
                <c:pt idx="20">
                  <c:v>5</c:v>
                </c:pt>
                <c:pt idx="21">
                  <c:v>4.3</c:v>
                </c:pt>
                <c:pt idx="22">
                  <c:v>4</c:v>
                </c:pt>
                <c:pt idx="23">
                  <c:v>3.8</c:v>
                </c:pt>
                <c:pt idx="24">
                  <c:v>3.5</c:v>
                </c:pt>
                <c:pt idx="25">
                  <c:v>3.5</c:v>
                </c:pt>
                <c:pt idx="26">
                  <c:v>3.4</c:v>
                </c:pt>
                <c:pt idx="27">
                  <c:v>3.1</c:v>
                </c:pt>
                <c:pt idx="28">
                  <c:v>2.5</c:v>
                </c:pt>
                <c:pt idx="29">
                  <c:v>2.4</c:v>
                </c:pt>
              </c:numCache>
            </c:numRef>
          </c:val>
        </c:ser>
        <c:ser>
          <c:idx val="1"/>
          <c:order val="1"/>
          <c:tx>
            <c:strRef>
              <c:f>'Trh práce-2'!$A$33</c:f>
              <c:strCache>
                <c:ptCount val="1"/>
                <c:pt idx="0">
                  <c:v>Unemployment rate of females (right axis)</c:v>
                </c:pt>
              </c:strCache>
            </c:strRef>
          </c:tx>
          <c:spPr>
            <a:solidFill>
              <a:srgbClr val="DBDBDB"/>
            </a:solidFill>
          </c:spP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práce-2'!$B$33:$AE$33</c:f>
              <c:numCache>
                <c:formatCode>#,##0.0</c:formatCode>
                <c:ptCount val="30"/>
                <c:pt idx="0">
                  <c:v>8.7000000000000011</c:v>
                </c:pt>
                <c:pt idx="1">
                  <c:v>8.5</c:v>
                </c:pt>
                <c:pt idx="2">
                  <c:v>8.4</c:v>
                </c:pt>
                <c:pt idx="3">
                  <c:v>8.2000000000000011</c:v>
                </c:pt>
                <c:pt idx="4">
                  <c:v>8.1</c:v>
                </c:pt>
                <c:pt idx="5">
                  <c:v>8.1</c:v>
                </c:pt>
                <c:pt idx="6">
                  <c:v>7.7</c:v>
                </c:pt>
                <c:pt idx="7">
                  <c:v>7.6</c:v>
                </c:pt>
                <c:pt idx="8">
                  <c:v>8</c:v>
                </c:pt>
                <c:pt idx="9">
                  <c:v>8.2000000000000011</c:v>
                </c:pt>
                <c:pt idx="10">
                  <c:v>8.2000000000000011</c:v>
                </c:pt>
                <c:pt idx="11">
                  <c:v>8.5</c:v>
                </c:pt>
                <c:pt idx="12">
                  <c:v>8.4</c:v>
                </c:pt>
                <c:pt idx="13">
                  <c:v>8.3000000000000007</c:v>
                </c:pt>
                <c:pt idx="14">
                  <c:v>8.3000000000000007</c:v>
                </c:pt>
                <c:pt idx="15">
                  <c:v>8.1</c:v>
                </c:pt>
                <c:pt idx="16">
                  <c:v>7.9</c:v>
                </c:pt>
                <c:pt idx="17">
                  <c:v>7.6</c:v>
                </c:pt>
                <c:pt idx="18">
                  <c:v>7.2</c:v>
                </c:pt>
                <c:pt idx="19">
                  <c:v>6.9</c:v>
                </c:pt>
                <c:pt idx="20">
                  <c:v>6.8</c:v>
                </c:pt>
                <c:pt idx="21">
                  <c:v>6.2</c:v>
                </c:pt>
                <c:pt idx="22">
                  <c:v>5.8</c:v>
                </c:pt>
                <c:pt idx="23">
                  <c:v>5.5</c:v>
                </c:pt>
                <c:pt idx="24">
                  <c:v>5</c:v>
                </c:pt>
                <c:pt idx="25">
                  <c:v>4.7</c:v>
                </c:pt>
                <c:pt idx="26">
                  <c:v>4.7</c:v>
                </c:pt>
                <c:pt idx="27">
                  <c:v>4.3</c:v>
                </c:pt>
                <c:pt idx="28">
                  <c:v>4.3</c:v>
                </c:pt>
                <c:pt idx="29">
                  <c:v>3.8</c:v>
                </c:pt>
              </c:numCache>
            </c:numRef>
          </c:val>
        </c:ser>
        <c:gapWidth val="68"/>
        <c:axId val="214753280"/>
        <c:axId val="214731008"/>
      </c:barChart>
      <c:lineChart>
        <c:grouping val="standard"/>
        <c:ser>
          <c:idx val="2"/>
          <c:order val="2"/>
          <c:tx>
            <c:strRef>
              <c:f>'Trh práce-2'!$A$34</c:f>
              <c:strCache>
                <c:ptCount val="1"/>
                <c:pt idx="0">
                  <c:v>Unemployed with max primary education</c:v>
                </c:pt>
              </c:strCache>
            </c:strRef>
          </c:tx>
          <c:spPr>
            <a:ln w="19050">
              <a:solidFill>
                <a:srgbClr val="0071BC"/>
              </a:solidFill>
              <a:prstDash val="solid"/>
            </a:ln>
          </c:spPr>
          <c:marker>
            <c:symbol val="none"/>
          </c:marke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práce-2'!$B$34:$AE$34</c:f>
              <c:numCache>
                <c:formatCode>0</c:formatCode>
                <c:ptCount val="30"/>
                <c:pt idx="0">
                  <c:v>21.714768670214291</c:v>
                </c:pt>
                <c:pt idx="1">
                  <c:v>-1.21634331078873</c:v>
                </c:pt>
                <c:pt idx="2">
                  <c:v>-16.17582875054989</c:v>
                </c:pt>
                <c:pt idx="3">
                  <c:v>-17.326849096450193</c:v>
                </c:pt>
                <c:pt idx="4">
                  <c:v>-20.685159269353587</c:v>
                </c:pt>
                <c:pt idx="5">
                  <c:v>-13.109667018498914</c:v>
                </c:pt>
                <c:pt idx="6">
                  <c:v>-3.4347558981075395</c:v>
                </c:pt>
                <c:pt idx="7">
                  <c:v>-1.2914192636035153</c:v>
                </c:pt>
                <c:pt idx="8">
                  <c:v>15.116142329292568</c:v>
                </c:pt>
                <c:pt idx="9">
                  <c:v>20.564252208332146</c:v>
                </c:pt>
                <c:pt idx="10">
                  <c:v>17.300096375591359</c:v>
                </c:pt>
                <c:pt idx="11">
                  <c:v>21.054278842458295</c:v>
                </c:pt>
                <c:pt idx="12">
                  <c:v>1.5586037838760241</c:v>
                </c:pt>
                <c:pt idx="13">
                  <c:v>-14.506006075302308</c:v>
                </c:pt>
                <c:pt idx="14">
                  <c:v>-19.243419598176949</c:v>
                </c:pt>
                <c:pt idx="15">
                  <c:v>-25.150929504907833</c:v>
                </c:pt>
                <c:pt idx="16">
                  <c:v>-25.77535118359669</c:v>
                </c:pt>
                <c:pt idx="17">
                  <c:v>-22.260631131502926</c:v>
                </c:pt>
                <c:pt idx="18">
                  <c:v>-14.590196785136953</c:v>
                </c:pt>
                <c:pt idx="19">
                  <c:v>-9.444471544328108</c:v>
                </c:pt>
                <c:pt idx="20">
                  <c:v>-1.188370832677478</c:v>
                </c:pt>
                <c:pt idx="21">
                  <c:v>2.1795435785889632</c:v>
                </c:pt>
                <c:pt idx="22">
                  <c:v>-0.63856381013110364</c:v>
                </c:pt>
                <c:pt idx="23">
                  <c:v>4.3365931482174886</c:v>
                </c:pt>
                <c:pt idx="24">
                  <c:v>-7.7096667806764945</c:v>
                </c:pt>
                <c:pt idx="25">
                  <c:v>-3.4192888313452361</c:v>
                </c:pt>
                <c:pt idx="26">
                  <c:v>-5.222415065679006</c:v>
                </c:pt>
                <c:pt idx="27">
                  <c:v>-15.506068308866634</c:v>
                </c:pt>
                <c:pt idx="28">
                  <c:v>-27.918696562118029</c:v>
                </c:pt>
                <c:pt idx="29">
                  <c:v>-33.149695304122517</c:v>
                </c:pt>
              </c:numCache>
            </c:numRef>
          </c:val>
        </c:ser>
        <c:ser>
          <c:idx val="3"/>
          <c:order val="3"/>
          <c:tx>
            <c:strRef>
              <c:f>'Trh práce-2'!$A$35</c:f>
              <c:strCache>
                <c:ptCount val="1"/>
                <c:pt idx="0">
                  <c:v>Unemployed with secondary education without A-level examination</c:v>
                </c:pt>
              </c:strCache>
            </c:strRef>
          </c:tx>
          <c:spPr>
            <a:ln w="19050">
              <a:solidFill>
                <a:srgbClr val="BD1B21"/>
              </a:solidFill>
              <a:prstDash val="solid"/>
            </a:ln>
          </c:spPr>
          <c:marker>
            <c:symbol val="none"/>
          </c:marke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práce-2'!$B$35:$AE$35</c:f>
              <c:numCache>
                <c:formatCode>0</c:formatCode>
                <c:ptCount val="30"/>
                <c:pt idx="0">
                  <c:v>49.784188022706395</c:v>
                </c:pt>
                <c:pt idx="1">
                  <c:v>13.867544627418569</c:v>
                </c:pt>
                <c:pt idx="2">
                  <c:v>-3.4814801600927581</c:v>
                </c:pt>
                <c:pt idx="3">
                  <c:v>-3.5322380372063265</c:v>
                </c:pt>
                <c:pt idx="4">
                  <c:v>-11.579352488945252</c:v>
                </c:pt>
                <c:pt idx="5">
                  <c:v>-8.4345228185388521</c:v>
                </c:pt>
                <c:pt idx="6">
                  <c:v>-7.4278516415523796</c:v>
                </c:pt>
                <c:pt idx="7">
                  <c:v>-11.39844334476407</c:v>
                </c:pt>
                <c:pt idx="8">
                  <c:v>-6.9967808393978146</c:v>
                </c:pt>
                <c:pt idx="9">
                  <c:v>-4.6316506832057804</c:v>
                </c:pt>
                <c:pt idx="10">
                  <c:v>1.5130013110978646</c:v>
                </c:pt>
                <c:pt idx="11">
                  <c:v>15.444727754266269</c:v>
                </c:pt>
                <c:pt idx="12">
                  <c:v>11.29555339930123</c:v>
                </c:pt>
                <c:pt idx="13">
                  <c:v>11.135950773644549</c:v>
                </c:pt>
                <c:pt idx="14">
                  <c:v>2.1227982768583051</c:v>
                </c:pt>
                <c:pt idx="15">
                  <c:v>-8.1974891991531127</c:v>
                </c:pt>
                <c:pt idx="16">
                  <c:v>-9.6245134843654476</c:v>
                </c:pt>
                <c:pt idx="17">
                  <c:v>-16.231929719850754</c:v>
                </c:pt>
                <c:pt idx="18">
                  <c:v>-19.827481877336286</c:v>
                </c:pt>
                <c:pt idx="19">
                  <c:v>-16.693209567708788</c:v>
                </c:pt>
                <c:pt idx="20">
                  <c:v>-16.454778753218978</c:v>
                </c:pt>
                <c:pt idx="21">
                  <c:v>-22.216756280012163</c:v>
                </c:pt>
                <c:pt idx="22">
                  <c:v>-16.999907523882399</c:v>
                </c:pt>
                <c:pt idx="23">
                  <c:v>-31.514681784052971</c:v>
                </c:pt>
                <c:pt idx="24">
                  <c:v>-32.064032560839479</c:v>
                </c:pt>
                <c:pt idx="25">
                  <c:v>-26.106419495499964</c:v>
                </c:pt>
                <c:pt idx="26">
                  <c:v>-25.857804572569627</c:v>
                </c:pt>
                <c:pt idx="27">
                  <c:v>-16.010888695992403</c:v>
                </c:pt>
                <c:pt idx="28">
                  <c:v>-18.906457523972289</c:v>
                </c:pt>
                <c:pt idx="29">
                  <c:v>-22.835039924764516</c:v>
                </c:pt>
              </c:numCache>
            </c:numRef>
          </c:val>
        </c:ser>
        <c:ser>
          <c:idx val="4"/>
          <c:order val="4"/>
          <c:tx>
            <c:strRef>
              <c:f>'Trh práce-2'!$A$36</c:f>
              <c:strCache>
                <c:ptCount val="1"/>
                <c:pt idx="0">
                  <c:v>Unemployed aged 50-64 years</c:v>
                </c:pt>
              </c:strCache>
            </c:strRef>
          </c:tx>
          <c:spPr>
            <a:ln w="19050">
              <a:solidFill>
                <a:srgbClr val="7DBB2D"/>
              </a:solidFill>
              <a:prstDash val="solid"/>
            </a:ln>
          </c:spPr>
          <c:marker>
            <c:symbol val="none"/>
          </c:marke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práce-2'!$B$36:$AE$36</c:f>
              <c:numCache>
                <c:formatCode>0</c:formatCode>
                <c:ptCount val="30"/>
                <c:pt idx="0">
                  <c:v>39.438700147710506</c:v>
                </c:pt>
                <c:pt idx="1">
                  <c:v>16.644649933949726</c:v>
                </c:pt>
                <c:pt idx="2">
                  <c:v>3.0878859857481977</c:v>
                </c:pt>
                <c:pt idx="3">
                  <c:v>3.9473684210526585</c:v>
                </c:pt>
                <c:pt idx="4">
                  <c:v>-3.8135593220339103</c:v>
                </c:pt>
                <c:pt idx="5">
                  <c:v>-9.0600226500566237</c:v>
                </c:pt>
                <c:pt idx="6">
                  <c:v>-10.944700460829495</c:v>
                </c:pt>
                <c:pt idx="7">
                  <c:v>-13.463751438435002</c:v>
                </c:pt>
                <c:pt idx="8" formatCode="#,##0">
                  <c:v>-9.2511013215858764</c:v>
                </c:pt>
                <c:pt idx="9" formatCode="#,##0">
                  <c:v>-2.3661270236612637</c:v>
                </c:pt>
                <c:pt idx="10" formatCode="#,##0">
                  <c:v>-3.6222509702457826</c:v>
                </c:pt>
                <c:pt idx="11" formatCode="#,##0">
                  <c:v>16.622340425531881</c:v>
                </c:pt>
                <c:pt idx="12" formatCode="#,##0">
                  <c:v>7.7669902912621334</c:v>
                </c:pt>
                <c:pt idx="13" formatCode="#,##0">
                  <c:v>1.6581632653061291</c:v>
                </c:pt>
                <c:pt idx="14" formatCode="#,##0">
                  <c:v>3.0872483221476443</c:v>
                </c:pt>
                <c:pt idx="15" formatCode="#,##0">
                  <c:v>-11.516533637400272</c:v>
                </c:pt>
                <c:pt idx="16" formatCode="#,##0">
                  <c:v>-8.3333333333333286</c:v>
                </c:pt>
                <c:pt idx="17" formatCode="#,##0">
                  <c:v>-15.056461731493101</c:v>
                </c:pt>
                <c:pt idx="18" formatCode="#,##0">
                  <c:v>-11.328124999999998</c:v>
                </c:pt>
                <c:pt idx="19" formatCode="#,##0">
                  <c:v>-18.170103092783492</c:v>
                </c:pt>
                <c:pt idx="20" formatCode="#,##0">
                  <c:v>-11.425061425061418</c:v>
                </c:pt>
                <c:pt idx="21" formatCode="#,##0">
                  <c:v>-9.0103397341211178</c:v>
                </c:pt>
                <c:pt idx="22" formatCode="#,##0">
                  <c:v>-16.29955947136558</c:v>
                </c:pt>
                <c:pt idx="23" formatCode="#,##0">
                  <c:v>-12.125984251968536</c:v>
                </c:pt>
                <c:pt idx="24" formatCode="#,##0">
                  <c:v>-10.818307905686538</c:v>
                </c:pt>
                <c:pt idx="25" formatCode="#,##0">
                  <c:v>-12.337662337662357</c:v>
                </c:pt>
                <c:pt idx="26" formatCode="#,##0">
                  <c:v>-16.491228070175399</c:v>
                </c:pt>
                <c:pt idx="27" formatCode="#,##0">
                  <c:v>-16.308243727598565</c:v>
                </c:pt>
                <c:pt idx="28" formatCode="#,##0">
                  <c:v>-26.283048211508529</c:v>
                </c:pt>
              </c:numCache>
            </c:numRef>
          </c:val>
        </c:ser>
        <c:ser>
          <c:idx val="5"/>
          <c:order val="5"/>
          <c:tx>
            <c:strRef>
              <c:f>'Trh práce-2'!$A$37</c:f>
              <c:strCache>
                <c:ptCount val="1"/>
                <c:pt idx="0">
                  <c:v>Long term unemployed (duration more than 12 months)</c:v>
                </c:pt>
              </c:strCache>
            </c:strRef>
          </c:tx>
          <c:spPr>
            <a:ln w="19050">
              <a:solidFill>
                <a:srgbClr val="F8A124"/>
              </a:solidFill>
              <a:prstDash val="solid"/>
            </a:ln>
          </c:spPr>
          <c:marker>
            <c:symbol val="none"/>
          </c:marke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práce-2'!$B$37:$AE$37</c:f>
              <c:numCache>
                <c:formatCode>0</c:formatCode>
                <c:ptCount val="30"/>
                <c:pt idx="0">
                  <c:v>44.412607449856687</c:v>
                </c:pt>
                <c:pt idx="1">
                  <c:v>60</c:v>
                </c:pt>
                <c:pt idx="2">
                  <c:v>47.702205882352963</c:v>
                </c:pt>
                <c:pt idx="3">
                  <c:v>40.757042253521149</c:v>
                </c:pt>
                <c:pt idx="4">
                  <c:v>-1.4550264550264662</c:v>
                </c:pt>
                <c:pt idx="5">
                  <c:v>-11.639871382636636</c:v>
                </c:pt>
                <c:pt idx="6">
                  <c:v>-14.18792781580585</c:v>
                </c:pt>
                <c:pt idx="7">
                  <c:v>-10.318949343339597</c:v>
                </c:pt>
                <c:pt idx="8">
                  <c:v>6.3758389261745085</c:v>
                </c:pt>
                <c:pt idx="9">
                  <c:v>12.590975254730694</c:v>
                </c:pt>
                <c:pt idx="10">
                  <c:v>15.155910079767976</c:v>
                </c:pt>
                <c:pt idx="11">
                  <c:v>12.482566248256662</c:v>
                </c:pt>
                <c:pt idx="12">
                  <c:v>6.6876971608832889</c:v>
                </c:pt>
                <c:pt idx="13">
                  <c:v>2.2624434389140187</c:v>
                </c:pt>
                <c:pt idx="14">
                  <c:v>1.4483627204030121</c:v>
                </c:pt>
                <c:pt idx="15">
                  <c:v>-7.1915685058896717</c:v>
                </c:pt>
                <c:pt idx="16">
                  <c:v>-13.18746303962152</c:v>
                </c:pt>
                <c:pt idx="17">
                  <c:v>-13.211125158027798</c:v>
                </c:pt>
                <c:pt idx="18">
                  <c:v>-14.959652389820018</c:v>
                </c:pt>
                <c:pt idx="19">
                  <c:v>-5.8116232464929851</c:v>
                </c:pt>
                <c:pt idx="20">
                  <c:v>-1.8392370572207284</c:v>
                </c:pt>
                <c:pt idx="21">
                  <c:v>-11.070648215586328</c:v>
                </c:pt>
                <c:pt idx="22">
                  <c:v>-9.1240875912408779</c:v>
                </c:pt>
                <c:pt idx="23">
                  <c:v>-18.581560283687914</c:v>
                </c:pt>
                <c:pt idx="24">
                  <c:v>-26.578764746703669</c:v>
                </c:pt>
                <c:pt idx="25">
                  <c:v>-25.38902538902536</c:v>
                </c:pt>
                <c:pt idx="26">
                  <c:v>-33.092369477911646</c:v>
                </c:pt>
                <c:pt idx="27">
                  <c:v>-35.017421602787337</c:v>
                </c:pt>
                <c:pt idx="28">
                  <c:v>-35.727788279773165</c:v>
                </c:pt>
                <c:pt idx="29">
                  <c:v>-35.016465422612363</c:v>
                </c:pt>
              </c:numCache>
            </c:numRef>
          </c:val>
        </c:ser>
        <c:marker val="1"/>
        <c:axId val="214715392"/>
        <c:axId val="214729472"/>
      </c:lineChart>
      <c:catAx>
        <c:axId val="214715392"/>
        <c:scaling>
          <c:orientation val="minMax"/>
        </c:scaling>
        <c:axPos val="b"/>
        <c:tickLblPos val="low"/>
        <c:spPr>
          <a:ln>
            <a:solidFill>
              <a:schemeClr val="tx1"/>
            </a:solidFill>
          </a:ln>
        </c:spPr>
        <c:crossAx val="214729472"/>
        <c:crossesAt val="-40"/>
        <c:auto val="1"/>
        <c:lblAlgn val="ctr"/>
        <c:lblOffset val="0"/>
      </c:catAx>
      <c:valAx>
        <c:axId val="214729472"/>
        <c:scaling>
          <c:orientation val="minMax"/>
          <c:max val="60"/>
          <c:min val="-40"/>
        </c:scaling>
        <c:axPos val="l"/>
        <c:majorGridlines>
          <c:spPr>
            <a:ln w="6350">
              <a:solidFill>
                <a:schemeClr val="bg1">
                  <a:lumMod val="75000"/>
                </a:schemeClr>
              </a:solidFill>
            </a:ln>
          </c:spPr>
        </c:majorGridlines>
        <c:numFmt formatCode="0" sourceLinked="0"/>
        <c:tickLblPos val="nextTo"/>
        <c:spPr>
          <a:ln>
            <a:solidFill>
              <a:schemeClr val="tx1"/>
            </a:solidFill>
          </a:ln>
        </c:spPr>
        <c:crossAx val="214715392"/>
        <c:crosses val="autoZero"/>
        <c:crossBetween val="between"/>
        <c:majorUnit val="10"/>
      </c:valAx>
      <c:valAx>
        <c:axId val="214731008"/>
        <c:scaling>
          <c:orientation val="minMax"/>
        </c:scaling>
        <c:axPos val="r"/>
        <c:numFmt formatCode="#,##0" sourceLinked="0"/>
        <c:tickLblPos val="nextTo"/>
        <c:crossAx val="214753280"/>
        <c:crosses val="max"/>
        <c:crossBetween val="between"/>
      </c:valAx>
      <c:catAx>
        <c:axId val="214753280"/>
        <c:scaling>
          <c:orientation val="minMax"/>
        </c:scaling>
        <c:delete val="1"/>
        <c:axPos val="b"/>
        <c:tickLblPos val="none"/>
        <c:crossAx val="214731008"/>
        <c:crosses val="autoZero"/>
        <c:auto val="1"/>
        <c:lblAlgn val="ctr"/>
        <c:lblOffset val="100"/>
      </c:catAx>
      <c:spPr>
        <a:ln>
          <a:solidFill>
            <a:schemeClr val="tx1"/>
          </a:solidFill>
        </a:ln>
      </c:spPr>
    </c:plotArea>
    <c:legend>
      <c:legendPos val="b"/>
      <c:layout>
        <c:manualLayout>
          <c:xMode val="edge"/>
          <c:yMode val="edge"/>
          <c:x val="4.9958329787081639E-2"/>
          <c:y val="0.81476689908105826"/>
          <c:w val="0.89764906977634329"/>
          <c:h val="0.17472473924763371"/>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0091348527306885E-2"/>
          <c:y val="2.4094443232317627E-2"/>
          <c:w val="0.94100987714831208"/>
          <c:h val="0.81074914965986533"/>
        </c:manualLayout>
      </c:layout>
      <c:barChart>
        <c:barDir val="col"/>
        <c:grouping val="clustered"/>
        <c:ser>
          <c:idx val="2"/>
          <c:order val="2"/>
          <c:tx>
            <c:strRef>
              <c:f>'Trh práce 3'!$E$8</c:f>
              <c:strCache>
                <c:ptCount val="1"/>
                <c:pt idx="0">
                  <c:v>Average wage (real)</c:v>
                </c:pt>
              </c:strCache>
            </c:strRef>
          </c:tx>
          <c:spPr>
            <a:solidFill>
              <a:srgbClr val="A6A6A6"/>
            </a:solidFill>
            <a:ln w="19050">
              <a:noFill/>
            </a:ln>
          </c:spPr>
          <c:cat>
            <c:multiLvlStrRef>
              <c:f>'Trh práce 3'!$A$9:$B$38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3'!$E$9:$E$38</c:f>
              <c:numCache>
                <c:formatCode>#,##0.0</c:formatCode>
                <c:ptCount val="30"/>
                <c:pt idx="0">
                  <c:v>2.0999999999999943</c:v>
                </c:pt>
                <c:pt idx="1">
                  <c:v>1.9000000000000061</c:v>
                </c:pt>
                <c:pt idx="2">
                  <c:v>0.29999999999999805</c:v>
                </c:pt>
                <c:pt idx="3">
                  <c:v>-1.4000000000000057</c:v>
                </c:pt>
                <c:pt idx="4">
                  <c:v>1.0999999999999917</c:v>
                </c:pt>
                <c:pt idx="5">
                  <c:v>0.7999999999999976</c:v>
                </c:pt>
                <c:pt idx="6">
                  <c:v>0.29999999999999805</c:v>
                </c:pt>
                <c:pt idx="7">
                  <c:v>0</c:v>
                </c:pt>
                <c:pt idx="8">
                  <c:v>-0.5</c:v>
                </c:pt>
                <c:pt idx="9">
                  <c:v>-1.299999999999994</c:v>
                </c:pt>
                <c:pt idx="10">
                  <c:v>-1.799999999999994</c:v>
                </c:pt>
                <c:pt idx="11">
                  <c:v>0.40000000000000568</c:v>
                </c:pt>
                <c:pt idx="12">
                  <c:v>-2.4000000000000057</c:v>
                </c:pt>
                <c:pt idx="13">
                  <c:v>-0.5</c:v>
                </c:pt>
                <c:pt idx="14">
                  <c:v>0</c:v>
                </c:pt>
                <c:pt idx="15">
                  <c:v>-3.0999999999999943</c:v>
                </c:pt>
                <c:pt idx="16">
                  <c:v>3.7000000000000042</c:v>
                </c:pt>
                <c:pt idx="17">
                  <c:v>2.5999999999999943</c:v>
                </c:pt>
                <c:pt idx="18">
                  <c:v>1.5999999999999917</c:v>
                </c:pt>
                <c:pt idx="19">
                  <c:v>2.2999999999999972</c:v>
                </c:pt>
                <c:pt idx="20">
                  <c:v>2.2000000000000042</c:v>
                </c:pt>
                <c:pt idx="21">
                  <c:v>2.5999999999999943</c:v>
                </c:pt>
                <c:pt idx="22">
                  <c:v>3.0999999999999943</c:v>
                </c:pt>
                <c:pt idx="23">
                  <c:v>3.5999999999999943</c:v>
                </c:pt>
                <c:pt idx="24">
                  <c:v>3.2999999999999972</c:v>
                </c:pt>
                <c:pt idx="25">
                  <c:v>3.0999999999999943</c:v>
                </c:pt>
                <c:pt idx="26">
                  <c:v>3.5</c:v>
                </c:pt>
                <c:pt idx="27">
                  <c:v>2.2999999999999972</c:v>
                </c:pt>
                <c:pt idx="28">
                  <c:v>2.9000000000000057</c:v>
                </c:pt>
                <c:pt idx="29">
                  <c:v>5.2999999999999972</c:v>
                </c:pt>
              </c:numCache>
            </c:numRef>
          </c:val>
        </c:ser>
        <c:gapWidth val="78"/>
        <c:axId val="215708800"/>
        <c:axId val="215710336"/>
      </c:barChart>
      <c:lineChart>
        <c:grouping val="standard"/>
        <c:ser>
          <c:idx val="0"/>
          <c:order val="0"/>
          <c:tx>
            <c:strRef>
              <c:f>'Trh práce 3'!$C$8</c:f>
              <c:strCache>
                <c:ptCount val="1"/>
                <c:pt idx="0">
                  <c:v>Average wage (nominal)</c:v>
                </c:pt>
              </c:strCache>
            </c:strRef>
          </c:tx>
          <c:spPr>
            <a:ln w="19050">
              <a:solidFill>
                <a:srgbClr val="0071BC"/>
              </a:solidFill>
            </a:ln>
          </c:spPr>
          <c:marker>
            <c:symbol val="none"/>
          </c:marker>
          <c:cat>
            <c:multiLvlStrRef>
              <c:f>'Trh práce 3'!$A$9:$B$38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3'!$C$9:$C$38</c:f>
              <c:numCache>
                <c:formatCode>0.0</c:formatCode>
                <c:ptCount val="30"/>
                <c:pt idx="0">
                  <c:v>2.7999999999999972</c:v>
                </c:pt>
                <c:pt idx="1">
                  <c:v>3.0999999999999943</c:v>
                </c:pt>
                <c:pt idx="2">
                  <c:v>2.2000000000000042</c:v>
                </c:pt>
                <c:pt idx="3">
                  <c:v>0.70000000000000284</c:v>
                </c:pt>
                <c:pt idx="4">
                  <c:v>2.7999999999999972</c:v>
                </c:pt>
                <c:pt idx="5">
                  <c:v>2.5999999999999943</c:v>
                </c:pt>
                <c:pt idx="6">
                  <c:v>2.0999999999999943</c:v>
                </c:pt>
                <c:pt idx="7">
                  <c:v>2.4000000000000057</c:v>
                </c:pt>
                <c:pt idx="8">
                  <c:v>3.2000000000000042</c:v>
                </c:pt>
                <c:pt idx="9">
                  <c:v>2.0999999999999943</c:v>
                </c:pt>
                <c:pt idx="10">
                  <c:v>1.4000000000000057</c:v>
                </c:pt>
                <c:pt idx="11">
                  <c:v>3.2000000000000042</c:v>
                </c:pt>
                <c:pt idx="12">
                  <c:v>-0.59999999999999432</c:v>
                </c:pt>
                <c:pt idx="13">
                  <c:v>1</c:v>
                </c:pt>
                <c:pt idx="14">
                  <c:v>1.2000000000000028</c:v>
                </c:pt>
                <c:pt idx="15">
                  <c:v>-2</c:v>
                </c:pt>
                <c:pt idx="16">
                  <c:v>3.9000000000000057</c:v>
                </c:pt>
                <c:pt idx="17">
                  <c:v>2.7999999999999972</c:v>
                </c:pt>
                <c:pt idx="18">
                  <c:v>2.2000000000000042</c:v>
                </c:pt>
                <c:pt idx="19">
                  <c:v>2.7999999999999972</c:v>
                </c:pt>
                <c:pt idx="20">
                  <c:v>2.2999999999999972</c:v>
                </c:pt>
                <c:pt idx="21">
                  <c:v>3.2999999999999972</c:v>
                </c:pt>
                <c:pt idx="22">
                  <c:v>3.5</c:v>
                </c:pt>
                <c:pt idx="23">
                  <c:v>3.7000000000000042</c:v>
                </c:pt>
                <c:pt idx="24">
                  <c:v>3.7999999999999972</c:v>
                </c:pt>
                <c:pt idx="25">
                  <c:v>3.2999999999999972</c:v>
                </c:pt>
                <c:pt idx="26">
                  <c:v>4</c:v>
                </c:pt>
                <c:pt idx="27">
                  <c:v>3.7000000000000042</c:v>
                </c:pt>
                <c:pt idx="28">
                  <c:v>5.4000000000000083</c:v>
                </c:pt>
                <c:pt idx="29">
                  <c:v>7.5999999999999943</c:v>
                </c:pt>
              </c:numCache>
            </c:numRef>
          </c:val>
        </c:ser>
        <c:ser>
          <c:idx val="1"/>
          <c:order val="1"/>
          <c:tx>
            <c:strRef>
              <c:f>'Trh práce 3'!$D$8</c:f>
              <c:strCache>
                <c:ptCount val="1"/>
                <c:pt idx="0">
                  <c:v>Median wage (nominal)</c:v>
                </c:pt>
              </c:strCache>
            </c:strRef>
          </c:tx>
          <c:spPr>
            <a:ln w="19050">
              <a:solidFill>
                <a:srgbClr val="BD1B21"/>
              </a:solidFill>
              <a:prstDash val="solid"/>
            </a:ln>
          </c:spPr>
          <c:marker>
            <c:symbol val="none"/>
          </c:marker>
          <c:cat>
            <c:multiLvlStrRef>
              <c:f>'Trh práce 3'!$A$9:$B$38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3'!$D$9:$D$38</c:f>
              <c:numCache>
                <c:formatCode>0.0</c:formatCode>
                <c:ptCount val="30"/>
                <c:pt idx="0">
                  <c:v>3.2000000000000042</c:v>
                </c:pt>
                <c:pt idx="1">
                  <c:v>2.5999999999999943</c:v>
                </c:pt>
                <c:pt idx="2">
                  <c:v>2.7999999999999972</c:v>
                </c:pt>
                <c:pt idx="3">
                  <c:v>1.799999999999994</c:v>
                </c:pt>
                <c:pt idx="4">
                  <c:v>2.7999999999999972</c:v>
                </c:pt>
                <c:pt idx="5">
                  <c:v>2.2000000000000042</c:v>
                </c:pt>
                <c:pt idx="6">
                  <c:v>1.7000000000000028</c:v>
                </c:pt>
                <c:pt idx="7">
                  <c:v>2.2000000000000042</c:v>
                </c:pt>
                <c:pt idx="8">
                  <c:v>1.4000000000000057</c:v>
                </c:pt>
                <c:pt idx="9">
                  <c:v>1.299999999999994</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5.7999999999999972</c:v>
                </c:pt>
                <c:pt idx="25">
                  <c:v>3.7999999999999972</c:v>
                </c:pt>
                <c:pt idx="26">
                  <c:v>4.5999999999999943</c:v>
                </c:pt>
                <c:pt idx="27">
                  <c:v>5.5999999999999943</c:v>
                </c:pt>
                <c:pt idx="28">
                  <c:v>5.2000000000000028</c:v>
                </c:pt>
                <c:pt idx="29">
                  <c:v>8.2000000000000011</c:v>
                </c:pt>
              </c:numCache>
            </c:numRef>
          </c:val>
        </c:ser>
        <c:marker val="1"/>
        <c:axId val="215708800"/>
        <c:axId val="215710336"/>
      </c:lineChart>
      <c:catAx>
        <c:axId val="215708800"/>
        <c:scaling>
          <c:orientation val="minMax"/>
        </c:scaling>
        <c:axPos val="b"/>
        <c:numFmt formatCode="General" sourceLinked="1"/>
        <c:tickLblPos val="low"/>
        <c:spPr>
          <a:ln>
            <a:solidFill>
              <a:schemeClr val="tx1"/>
            </a:solidFill>
          </a:ln>
        </c:spPr>
        <c:txPr>
          <a:bodyPr rot="0" vert="horz"/>
          <a:lstStyle/>
          <a:p>
            <a:pPr>
              <a:defRPr/>
            </a:pPr>
            <a:endParaRPr lang="cs-CZ"/>
          </a:p>
        </c:txPr>
        <c:crossAx val="215710336"/>
        <c:crosses val="autoZero"/>
        <c:auto val="1"/>
        <c:lblAlgn val="ctr"/>
        <c:lblOffset val="0"/>
        <c:tickMarkSkip val="4"/>
      </c:catAx>
      <c:valAx>
        <c:axId val="215710336"/>
        <c:scaling>
          <c:orientation val="minMax"/>
          <c:max val="9"/>
          <c:min val="-4"/>
        </c:scaling>
        <c:axPos val="l"/>
        <c:majorGridlines>
          <c:spPr>
            <a:ln>
              <a:solidFill>
                <a:schemeClr val="bg1">
                  <a:lumMod val="75000"/>
                </a:schemeClr>
              </a:solidFill>
            </a:ln>
          </c:spPr>
        </c:majorGridlines>
        <c:numFmt formatCode="0" sourceLinked="0"/>
        <c:tickLblPos val="nextTo"/>
        <c:spPr>
          <a:ln>
            <a:solidFill>
              <a:schemeClr val="tx1"/>
            </a:solidFill>
          </a:ln>
        </c:spPr>
        <c:crossAx val="215708800"/>
        <c:crosses val="autoZero"/>
        <c:crossBetween val="between"/>
        <c:majorUnit val="1"/>
      </c:valAx>
      <c:spPr>
        <a:ln>
          <a:solidFill>
            <a:schemeClr val="tx1"/>
          </a:solidFill>
        </a:ln>
      </c:spPr>
    </c:plotArea>
    <c:legend>
      <c:legendPos val="b"/>
      <c:layout>
        <c:manualLayout>
          <c:xMode val="edge"/>
          <c:yMode val="edge"/>
          <c:x val="3.6639920249480401E-2"/>
          <c:y val="0.93337811791383263"/>
          <c:w val="0.94428176235089312"/>
          <c:h val="5.613577097505669E-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557159743329959E-2"/>
          <c:y val="2.1711264016309892E-2"/>
          <c:w val="0.93757303275920301"/>
          <c:h val="0.73130361364404484"/>
        </c:manualLayout>
      </c:layout>
      <c:barChart>
        <c:barDir val="col"/>
        <c:grouping val="clustered"/>
        <c:ser>
          <c:idx val="0"/>
          <c:order val="0"/>
          <c:tx>
            <c:strRef>
              <c:f>'Měnové podmínky 1'!$C$5</c:f>
              <c:strCache>
                <c:ptCount val="1"/>
                <c:pt idx="0">
                  <c:v>2W repo rate</c:v>
                </c:pt>
              </c:strCache>
            </c:strRef>
          </c:tx>
          <c:spPr>
            <a:solidFill>
              <a:schemeClr val="bg1">
                <a:lumMod val="65000"/>
              </a:schemeClr>
            </a:solidFill>
          </c:spP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1'!$C$18:$C$71</c:f>
              <c:numCache>
                <c:formatCode>0.00</c:formatCode>
                <c:ptCount val="54"/>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pt idx="25">
                  <c:v>0.05</c:v>
                </c:pt>
                <c:pt idx="26">
                  <c:v>0.05</c:v>
                </c:pt>
                <c:pt idx="27">
                  <c:v>0.05</c:v>
                </c:pt>
                <c:pt idx="28">
                  <c:v>0.05</c:v>
                </c:pt>
                <c:pt idx="29">
                  <c:v>0.05</c:v>
                </c:pt>
                <c:pt idx="30">
                  <c:v>0.05</c:v>
                </c:pt>
                <c:pt idx="31">
                  <c:v>0.05</c:v>
                </c:pt>
                <c:pt idx="32">
                  <c:v>0.05</c:v>
                </c:pt>
                <c:pt idx="33">
                  <c:v>0.05</c:v>
                </c:pt>
                <c:pt idx="34">
                  <c:v>0.05</c:v>
                </c:pt>
                <c:pt idx="35">
                  <c:v>0.05</c:v>
                </c:pt>
                <c:pt idx="36">
                  <c:v>0.05</c:v>
                </c:pt>
                <c:pt idx="37">
                  <c:v>0.05</c:v>
                </c:pt>
                <c:pt idx="38">
                  <c:v>0.05</c:v>
                </c:pt>
                <c:pt idx="39">
                  <c:v>0.05</c:v>
                </c:pt>
                <c:pt idx="40">
                  <c:v>0.05</c:v>
                </c:pt>
                <c:pt idx="41">
                  <c:v>0.05</c:v>
                </c:pt>
                <c:pt idx="42">
                  <c:v>0.05</c:v>
                </c:pt>
                <c:pt idx="43">
                  <c:v>0.05</c:v>
                </c:pt>
                <c:pt idx="44">
                  <c:v>0.05</c:v>
                </c:pt>
                <c:pt idx="45">
                  <c:v>0.05</c:v>
                </c:pt>
                <c:pt idx="46">
                  <c:v>0.05</c:v>
                </c:pt>
                <c:pt idx="47">
                  <c:v>0.05</c:v>
                </c:pt>
                <c:pt idx="48" formatCode="General">
                  <c:v>0.05</c:v>
                </c:pt>
                <c:pt idx="49" formatCode="General">
                  <c:v>0.05</c:v>
                </c:pt>
                <c:pt idx="50" formatCode="General">
                  <c:v>0.05</c:v>
                </c:pt>
                <c:pt idx="51" formatCode="General">
                  <c:v>0.05</c:v>
                </c:pt>
                <c:pt idx="52" formatCode="General">
                  <c:v>0.05</c:v>
                </c:pt>
                <c:pt idx="53" formatCode="General">
                  <c:v>0.05</c:v>
                </c:pt>
              </c:numCache>
            </c:numRef>
          </c:val>
        </c:ser>
        <c:gapWidth val="31"/>
        <c:axId val="215742720"/>
        <c:axId val="215760896"/>
      </c:barChart>
      <c:lineChart>
        <c:grouping val="standard"/>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1'!$F$18:$F$71</c:f>
              <c:numCache>
                <c:formatCode>0.00</c:formatCode>
                <c:ptCount val="54"/>
                <c:pt idx="0">
                  <c:v>0.30000000000000032</c:v>
                </c:pt>
                <c:pt idx="1">
                  <c:v>0.36000000000000032</c:v>
                </c:pt>
                <c:pt idx="2">
                  <c:v>0.31000000000000094</c:v>
                </c:pt>
                <c:pt idx="3">
                  <c:v>0.30000000000000032</c:v>
                </c:pt>
                <c:pt idx="4">
                  <c:v>0.29000000000000031</c:v>
                </c:pt>
                <c:pt idx="5">
                  <c:v>0.43000000000000038</c:v>
                </c:pt>
                <c:pt idx="6">
                  <c:v>0.41000000000000031</c:v>
                </c:pt>
                <c:pt idx="7">
                  <c:v>0.4</c:v>
                </c:pt>
                <c:pt idx="8">
                  <c:v>0.37000000000000038</c:v>
                </c:pt>
                <c:pt idx="9">
                  <c:v>0.33000000000000124</c:v>
                </c:pt>
                <c:pt idx="10">
                  <c:v>0.2</c:v>
                </c:pt>
                <c:pt idx="11">
                  <c:v>0.19</c:v>
                </c:pt>
                <c:pt idx="12">
                  <c:v>0.23</c:v>
                </c:pt>
                <c:pt idx="13">
                  <c:v>0.28000000000000008</c:v>
                </c:pt>
                <c:pt idx="14">
                  <c:v>0.26</c:v>
                </c:pt>
                <c:pt idx="15">
                  <c:v>0.23</c:v>
                </c:pt>
                <c:pt idx="16">
                  <c:v>0.21000000000000021</c:v>
                </c:pt>
                <c:pt idx="17">
                  <c:v>0.24000000000000021</c:v>
                </c:pt>
                <c:pt idx="18">
                  <c:v>0.23</c:v>
                </c:pt>
                <c:pt idx="19">
                  <c:v>0.18000000000000024</c:v>
                </c:pt>
                <c:pt idx="20">
                  <c:v>0.14000000000000001</c:v>
                </c:pt>
                <c:pt idx="21">
                  <c:v>0.1</c:v>
                </c:pt>
                <c:pt idx="22">
                  <c:v>0.12000000000000002</c:v>
                </c:pt>
                <c:pt idx="23">
                  <c:v>0.13</c:v>
                </c:pt>
                <c:pt idx="24">
                  <c:v>9.0000000000000024E-2</c:v>
                </c:pt>
                <c:pt idx="25">
                  <c:v>6.0000000000000032E-2</c:v>
                </c:pt>
                <c:pt idx="26">
                  <c:v>4.0000000000000022E-2</c:v>
                </c:pt>
                <c:pt idx="27">
                  <c:v>-3.0000000000000002E-2</c:v>
                </c:pt>
                <c:pt idx="28">
                  <c:v>4.0000000000000022E-2</c:v>
                </c:pt>
                <c:pt idx="29">
                  <c:v>0.11</c:v>
                </c:pt>
                <c:pt idx="30">
                  <c:v>2.0000000000000011E-2</c:v>
                </c:pt>
                <c:pt idx="31">
                  <c:v>-7.0000000000000021E-2</c:v>
                </c:pt>
                <c:pt idx="32">
                  <c:v>-0.30000000000000032</c:v>
                </c:pt>
                <c:pt idx="33">
                  <c:v>-0.28000000000000008</c:v>
                </c:pt>
                <c:pt idx="34">
                  <c:v>-0.33000000000000124</c:v>
                </c:pt>
                <c:pt idx="35">
                  <c:v>-0.38000000000000106</c:v>
                </c:pt>
                <c:pt idx="36" formatCode="General">
                  <c:v>-0.21000000000000021</c:v>
                </c:pt>
                <c:pt idx="37" formatCode="General">
                  <c:v>-0.18000000000000024</c:v>
                </c:pt>
                <c:pt idx="38" formatCode="General">
                  <c:v>-0.17</c:v>
                </c:pt>
                <c:pt idx="39" formatCode="General">
                  <c:v>-8.0000000000000043E-2</c:v>
                </c:pt>
                <c:pt idx="40" formatCode="General">
                  <c:v>-4.0000000000000022E-2</c:v>
                </c:pt>
                <c:pt idx="41" formatCode="General">
                  <c:v>-0.05</c:v>
                </c:pt>
                <c:pt idx="42" formatCode="General">
                  <c:v>-0.13</c:v>
                </c:pt>
                <c:pt idx="43" formatCode="General">
                  <c:v>-0.22</c:v>
                </c:pt>
                <c:pt idx="44" formatCode="General">
                  <c:v>-0.5</c:v>
                </c:pt>
                <c:pt idx="45" formatCode="General">
                  <c:v>-0.74000000000000188</c:v>
                </c:pt>
                <c:pt idx="46" formatCode="General">
                  <c:v>-0.73000000000000065</c:v>
                </c:pt>
                <c:pt idx="47" formatCode="General">
                  <c:v>-0.81</c:v>
                </c:pt>
                <c:pt idx="48" formatCode="General">
                  <c:v>-0.88</c:v>
                </c:pt>
                <c:pt idx="49" formatCode="General">
                  <c:v>-0.53</c:v>
                </c:pt>
                <c:pt idx="50" formatCode="General">
                  <c:v>-0.44</c:v>
                </c:pt>
                <c:pt idx="51" formatCode="General">
                  <c:v>-0.23</c:v>
                </c:pt>
                <c:pt idx="52" formatCode="General">
                  <c:v>-0.24000000000000021</c:v>
                </c:pt>
                <c:pt idx="53" formatCode="General">
                  <c:v>-0.25</c:v>
                </c:pt>
              </c:numCache>
            </c:numRef>
          </c:val>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1'!$D$18:$D$71</c:f>
              <c:numCache>
                <c:formatCode>0.00</c:formatCode>
                <c:ptCount val="54"/>
                <c:pt idx="0">
                  <c:v>0.5</c:v>
                </c:pt>
                <c:pt idx="1">
                  <c:v>0.5</c:v>
                </c:pt>
                <c:pt idx="2">
                  <c:v>0.49000000000000032</c:v>
                </c:pt>
                <c:pt idx="3">
                  <c:v>0.47000000000000008</c:v>
                </c:pt>
                <c:pt idx="4">
                  <c:v>0.46</c:v>
                </c:pt>
                <c:pt idx="5">
                  <c:v>0.46</c:v>
                </c:pt>
                <c:pt idx="6">
                  <c:v>0.46</c:v>
                </c:pt>
                <c:pt idx="7">
                  <c:v>0.46</c:v>
                </c:pt>
                <c:pt idx="8">
                  <c:v>0.45</c:v>
                </c:pt>
                <c:pt idx="9">
                  <c:v>0.45</c:v>
                </c:pt>
                <c:pt idx="10">
                  <c:v>0.4</c:v>
                </c:pt>
                <c:pt idx="11">
                  <c:v>0.38000000000000106</c:v>
                </c:pt>
                <c:pt idx="12">
                  <c:v>0.37000000000000038</c:v>
                </c:pt>
                <c:pt idx="13">
                  <c:v>0.37000000000000038</c:v>
                </c:pt>
                <c:pt idx="14">
                  <c:v>0.37000000000000038</c:v>
                </c:pt>
                <c:pt idx="15">
                  <c:v>0.37000000000000038</c:v>
                </c:pt>
                <c:pt idx="16">
                  <c:v>0.37000000000000038</c:v>
                </c:pt>
                <c:pt idx="17">
                  <c:v>0.35000000000000031</c:v>
                </c:pt>
                <c:pt idx="18">
                  <c:v>0.35000000000000031</c:v>
                </c:pt>
                <c:pt idx="19">
                  <c:v>0.35000000000000031</c:v>
                </c:pt>
                <c:pt idx="20">
                  <c:v>0.35000000000000031</c:v>
                </c:pt>
                <c:pt idx="21">
                  <c:v>0.35000000000000031</c:v>
                </c:pt>
                <c:pt idx="22">
                  <c:v>0.34</c:v>
                </c:pt>
                <c:pt idx="23">
                  <c:v>0.34</c:v>
                </c:pt>
                <c:pt idx="24">
                  <c:v>0.33000000000000124</c:v>
                </c:pt>
                <c:pt idx="25">
                  <c:v>0.33000000000000124</c:v>
                </c:pt>
                <c:pt idx="26">
                  <c:v>0.32000000000000106</c:v>
                </c:pt>
                <c:pt idx="27">
                  <c:v>0.31000000000000094</c:v>
                </c:pt>
                <c:pt idx="28">
                  <c:v>0.31000000000000094</c:v>
                </c:pt>
                <c:pt idx="29">
                  <c:v>0.31000000000000094</c:v>
                </c:pt>
                <c:pt idx="30">
                  <c:v>0.31000000000000094</c:v>
                </c:pt>
                <c:pt idx="31">
                  <c:v>0.31000000000000094</c:v>
                </c:pt>
                <c:pt idx="32">
                  <c:v>0.30000000000000032</c:v>
                </c:pt>
                <c:pt idx="33">
                  <c:v>0.29000000000000031</c:v>
                </c:pt>
                <c:pt idx="34">
                  <c:v>0.29000000000000031</c:v>
                </c:pt>
                <c:pt idx="35">
                  <c:v>0.29000000000000031</c:v>
                </c:pt>
                <c:pt idx="36">
                  <c:v>0.29000000000000031</c:v>
                </c:pt>
                <c:pt idx="37">
                  <c:v>0.28000000000000008</c:v>
                </c:pt>
                <c:pt idx="38">
                  <c:v>0.29000000000000031</c:v>
                </c:pt>
                <c:pt idx="39">
                  <c:v>0.29000000000000031</c:v>
                </c:pt>
                <c:pt idx="40">
                  <c:v>0.29000000000000031</c:v>
                </c:pt>
                <c:pt idx="41">
                  <c:v>0.29000000000000031</c:v>
                </c:pt>
                <c:pt idx="42">
                  <c:v>0.29000000000000031</c:v>
                </c:pt>
                <c:pt idx="43">
                  <c:v>0.29000000000000031</c:v>
                </c:pt>
                <c:pt idx="44">
                  <c:v>0.29000000000000031</c:v>
                </c:pt>
                <c:pt idx="45">
                  <c:v>0.29000000000000031</c:v>
                </c:pt>
                <c:pt idx="46">
                  <c:v>0.29000000000000031</c:v>
                </c:pt>
                <c:pt idx="47">
                  <c:v>0.29000000000000031</c:v>
                </c:pt>
                <c:pt idx="48" formatCode="General">
                  <c:v>0.28000000000000008</c:v>
                </c:pt>
                <c:pt idx="49" formatCode="General">
                  <c:v>0.28000000000000008</c:v>
                </c:pt>
                <c:pt idx="50" formatCode="General">
                  <c:v>0.28000000000000008</c:v>
                </c:pt>
                <c:pt idx="51" formatCode="General">
                  <c:v>0.29000000000000031</c:v>
                </c:pt>
                <c:pt idx="52" formatCode="General">
                  <c:v>0.30000000000000032</c:v>
                </c:pt>
                <c:pt idx="53" formatCode="General">
                  <c:v>0.30000000000000032</c:v>
                </c:pt>
              </c:numCache>
            </c:numRef>
          </c:val>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1'!$G$18:$G$71</c:f>
              <c:numCache>
                <c:formatCode>0.00</c:formatCode>
                <c:ptCount val="54"/>
                <c:pt idx="0">
                  <c:v>0.98</c:v>
                </c:pt>
                <c:pt idx="1">
                  <c:v>0.99</c:v>
                </c:pt>
                <c:pt idx="2">
                  <c:v>1.08</c:v>
                </c:pt>
                <c:pt idx="3">
                  <c:v>0.98</c:v>
                </c:pt>
                <c:pt idx="4">
                  <c:v>0.9</c:v>
                </c:pt>
                <c:pt idx="5">
                  <c:v>1.23</c:v>
                </c:pt>
                <c:pt idx="6">
                  <c:v>1.3900000000000001</c:v>
                </c:pt>
                <c:pt idx="7">
                  <c:v>1.3900000000000001</c:v>
                </c:pt>
                <c:pt idx="8">
                  <c:v>1.23</c:v>
                </c:pt>
                <c:pt idx="9">
                  <c:v>1.25</c:v>
                </c:pt>
                <c:pt idx="10">
                  <c:v>1.03</c:v>
                </c:pt>
                <c:pt idx="11">
                  <c:v>0.97000000000000064</c:v>
                </c:pt>
                <c:pt idx="12">
                  <c:v>1.0900000000000001</c:v>
                </c:pt>
                <c:pt idx="13">
                  <c:v>1.2</c:v>
                </c:pt>
                <c:pt idx="14">
                  <c:v>1.1399999999999957</c:v>
                </c:pt>
                <c:pt idx="15">
                  <c:v>0.99</c:v>
                </c:pt>
                <c:pt idx="16">
                  <c:v>0.8</c:v>
                </c:pt>
                <c:pt idx="17">
                  <c:v>0.68</c:v>
                </c:pt>
                <c:pt idx="18">
                  <c:v>0.65000000000000224</c:v>
                </c:pt>
                <c:pt idx="19">
                  <c:v>0.62000000000000188</c:v>
                </c:pt>
                <c:pt idx="20">
                  <c:v>0.51</c:v>
                </c:pt>
                <c:pt idx="21">
                  <c:v>0.37000000000000038</c:v>
                </c:pt>
                <c:pt idx="22">
                  <c:v>0.24000000000000021</c:v>
                </c:pt>
                <c:pt idx="23">
                  <c:v>0.22</c:v>
                </c:pt>
                <c:pt idx="24">
                  <c:v>0.13</c:v>
                </c:pt>
                <c:pt idx="25">
                  <c:v>0.17</c:v>
                </c:pt>
                <c:pt idx="26">
                  <c:v>0.14000000000000001</c:v>
                </c:pt>
                <c:pt idx="27">
                  <c:v>0.05</c:v>
                </c:pt>
                <c:pt idx="28">
                  <c:v>0.22</c:v>
                </c:pt>
                <c:pt idx="29">
                  <c:v>0.43000000000000038</c:v>
                </c:pt>
                <c:pt idx="30">
                  <c:v>0.35000000000000031</c:v>
                </c:pt>
                <c:pt idx="31">
                  <c:v>0.2</c:v>
                </c:pt>
                <c:pt idx="32">
                  <c:v>6.0000000000000032E-2</c:v>
                </c:pt>
                <c:pt idx="33">
                  <c:v>-0.05</c:v>
                </c:pt>
                <c:pt idx="34">
                  <c:v>-0.05</c:v>
                </c:pt>
                <c:pt idx="35">
                  <c:v>-0.11</c:v>
                </c:pt>
                <c:pt idx="36" formatCode="General">
                  <c:v>4.0000000000000022E-2</c:v>
                </c:pt>
                <c:pt idx="37" formatCode="General">
                  <c:v>-8.0000000000000043E-2</c:v>
                </c:pt>
                <c:pt idx="38" formatCode="General">
                  <c:v>-0.1</c:v>
                </c:pt>
                <c:pt idx="39" formatCode="General">
                  <c:v>4.0000000000000022E-2</c:v>
                </c:pt>
                <c:pt idx="40" formatCode="General">
                  <c:v>7.0000000000000021E-2</c:v>
                </c:pt>
                <c:pt idx="41" formatCode="General">
                  <c:v>0.05</c:v>
                </c:pt>
                <c:pt idx="42" formatCode="General">
                  <c:v>-2.0000000000000011E-2</c:v>
                </c:pt>
                <c:pt idx="43" formatCode="General">
                  <c:v>-9.0000000000000024E-2</c:v>
                </c:pt>
                <c:pt idx="44" formatCode="General">
                  <c:v>-0.19</c:v>
                </c:pt>
                <c:pt idx="45" formatCode="General">
                  <c:v>-0.17</c:v>
                </c:pt>
                <c:pt idx="46" formatCode="General">
                  <c:v>-0.17</c:v>
                </c:pt>
                <c:pt idx="47" formatCode="General">
                  <c:v>-0.21000000000000021</c:v>
                </c:pt>
                <c:pt idx="48" formatCode="General">
                  <c:v>-0.22</c:v>
                </c:pt>
                <c:pt idx="49" formatCode="General">
                  <c:v>9.0000000000000024E-2</c:v>
                </c:pt>
                <c:pt idx="50" formatCode="General">
                  <c:v>0.1</c:v>
                </c:pt>
                <c:pt idx="51" formatCode="General">
                  <c:v>0.16</c:v>
                </c:pt>
                <c:pt idx="52" formatCode="General">
                  <c:v>4.0000000000000022E-2</c:v>
                </c:pt>
                <c:pt idx="53" formatCode="General">
                  <c:v>-3.0000000000000002E-2</c:v>
                </c:pt>
              </c:numCache>
            </c:numRef>
          </c:val>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1'!$E$18:$E$71</c:f>
              <c:numCache>
                <c:formatCode>0.00</c:formatCode>
                <c:ptCount val="54"/>
                <c:pt idx="0">
                  <c:v>0.86000000000000065</c:v>
                </c:pt>
                <c:pt idx="1">
                  <c:v>0.83000000000000063</c:v>
                </c:pt>
                <c:pt idx="2">
                  <c:v>0.78</c:v>
                </c:pt>
                <c:pt idx="3">
                  <c:v>0.76000000000000212</c:v>
                </c:pt>
                <c:pt idx="4">
                  <c:v>0.76000000000000212</c:v>
                </c:pt>
                <c:pt idx="5">
                  <c:v>0.76000000000000212</c:v>
                </c:pt>
                <c:pt idx="6">
                  <c:v>0.750000000000002</c:v>
                </c:pt>
                <c:pt idx="7">
                  <c:v>0.750000000000002</c:v>
                </c:pt>
                <c:pt idx="8">
                  <c:v>0.74000000000000188</c:v>
                </c:pt>
                <c:pt idx="9">
                  <c:v>0.73000000000000065</c:v>
                </c:pt>
                <c:pt idx="10">
                  <c:v>0.65000000000000224</c:v>
                </c:pt>
                <c:pt idx="11">
                  <c:v>0.61000000000000065</c:v>
                </c:pt>
                <c:pt idx="12">
                  <c:v>0.58000000000000007</c:v>
                </c:pt>
                <c:pt idx="13">
                  <c:v>0.55000000000000004</c:v>
                </c:pt>
                <c:pt idx="14">
                  <c:v>0.55000000000000004</c:v>
                </c:pt>
                <c:pt idx="15">
                  <c:v>0.55000000000000004</c:v>
                </c:pt>
                <c:pt idx="16">
                  <c:v>0.54</c:v>
                </c:pt>
                <c:pt idx="17">
                  <c:v>0.53</c:v>
                </c:pt>
                <c:pt idx="18">
                  <c:v>0.52</c:v>
                </c:pt>
                <c:pt idx="19">
                  <c:v>0.52</c:v>
                </c:pt>
                <c:pt idx="20">
                  <c:v>0.52</c:v>
                </c:pt>
                <c:pt idx="21">
                  <c:v>0.52</c:v>
                </c:pt>
                <c:pt idx="22">
                  <c:v>0.51</c:v>
                </c:pt>
                <c:pt idx="23">
                  <c:v>0.51</c:v>
                </c:pt>
                <c:pt idx="24">
                  <c:v>0.51</c:v>
                </c:pt>
                <c:pt idx="25">
                  <c:v>0.51</c:v>
                </c:pt>
                <c:pt idx="26">
                  <c:v>0.49000000000000032</c:v>
                </c:pt>
                <c:pt idx="27">
                  <c:v>0.48000000000000032</c:v>
                </c:pt>
                <c:pt idx="28">
                  <c:v>0.48000000000000032</c:v>
                </c:pt>
                <c:pt idx="29">
                  <c:v>0.48000000000000032</c:v>
                </c:pt>
                <c:pt idx="30">
                  <c:v>0.48000000000000032</c:v>
                </c:pt>
                <c:pt idx="31">
                  <c:v>0.48000000000000032</c:v>
                </c:pt>
                <c:pt idx="32">
                  <c:v>0.47000000000000008</c:v>
                </c:pt>
                <c:pt idx="33">
                  <c:v>0.46</c:v>
                </c:pt>
                <c:pt idx="34">
                  <c:v>0.46</c:v>
                </c:pt>
                <c:pt idx="35">
                  <c:v>0.46</c:v>
                </c:pt>
                <c:pt idx="36">
                  <c:v>0.45</c:v>
                </c:pt>
                <c:pt idx="37">
                  <c:v>0.45</c:v>
                </c:pt>
                <c:pt idx="38">
                  <c:v>0.45</c:v>
                </c:pt>
                <c:pt idx="39">
                  <c:v>0.45</c:v>
                </c:pt>
                <c:pt idx="40">
                  <c:v>0.45</c:v>
                </c:pt>
                <c:pt idx="41">
                  <c:v>0.45</c:v>
                </c:pt>
                <c:pt idx="42">
                  <c:v>0.45</c:v>
                </c:pt>
                <c:pt idx="43">
                  <c:v>0.45</c:v>
                </c:pt>
                <c:pt idx="44">
                  <c:v>0.45</c:v>
                </c:pt>
                <c:pt idx="45">
                  <c:v>0.45</c:v>
                </c:pt>
                <c:pt idx="46">
                  <c:v>0.45</c:v>
                </c:pt>
                <c:pt idx="47">
                  <c:v>0.45</c:v>
                </c:pt>
                <c:pt idx="48" formatCode="General">
                  <c:v>0.44</c:v>
                </c:pt>
                <c:pt idx="49" formatCode="General">
                  <c:v>0.44</c:v>
                </c:pt>
                <c:pt idx="50" formatCode="General">
                  <c:v>0.44</c:v>
                </c:pt>
                <c:pt idx="51" formatCode="General">
                  <c:v>0.45</c:v>
                </c:pt>
                <c:pt idx="52" formatCode="General">
                  <c:v>0.46</c:v>
                </c:pt>
                <c:pt idx="53" formatCode="General">
                  <c:v>0.46</c:v>
                </c:pt>
              </c:numCache>
            </c:numRef>
          </c:val>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1'!$H$18:$H$71</c:f>
              <c:numCache>
                <c:formatCode>0.00</c:formatCode>
                <c:ptCount val="54"/>
                <c:pt idx="0">
                  <c:v>1.9600000000000037</c:v>
                </c:pt>
                <c:pt idx="1">
                  <c:v>2.0099999999999998</c:v>
                </c:pt>
                <c:pt idx="2">
                  <c:v>1.9800000000000042</c:v>
                </c:pt>
                <c:pt idx="3">
                  <c:v>1.82</c:v>
                </c:pt>
                <c:pt idx="4">
                  <c:v>1.6700000000000021</c:v>
                </c:pt>
                <c:pt idx="5">
                  <c:v>2.14</c:v>
                </c:pt>
                <c:pt idx="6">
                  <c:v>2.23</c:v>
                </c:pt>
                <c:pt idx="7">
                  <c:v>2.4</c:v>
                </c:pt>
                <c:pt idx="8">
                  <c:v>2.42</c:v>
                </c:pt>
                <c:pt idx="9">
                  <c:v>2.3299999999999987</c:v>
                </c:pt>
                <c:pt idx="10">
                  <c:v>2.1800000000000002</c:v>
                </c:pt>
                <c:pt idx="11">
                  <c:v>2.2000000000000002</c:v>
                </c:pt>
                <c:pt idx="12">
                  <c:v>2.4299999999999997</c:v>
                </c:pt>
                <c:pt idx="13">
                  <c:v>2.2799999999999998</c:v>
                </c:pt>
                <c:pt idx="14">
                  <c:v>2.2000000000000002</c:v>
                </c:pt>
                <c:pt idx="15">
                  <c:v>2</c:v>
                </c:pt>
                <c:pt idx="16">
                  <c:v>1.73</c:v>
                </c:pt>
                <c:pt idx="17">
                  <c:v>1.55</c:v>
                </c:pt>
                <c:pt idx="18">
                  <c:v>1.49</c:v>
                </c:pt>
                <c:pt idx="19">
                  <c:v>1.3800000000000001</c:v>
                </c:pt>
                <c:pt idx="20">
                  <c:v>1.21</c:v>
                </c:pt>
                <c:pt idx="21">
                  <c:v>1.1000000000000001</c:v>
                </c:pt>
                <c:pt idx="22">
                  <c:v>0.87000000000000188</c:v>
                </c:pt>
                <c:pt idx="23">
                  <c:v>0.67000000000000248</c:v>
                </c:pt>
                <c:pt idx="24">
                  <c:v>0.35000000000000031</c:v>
                </c:pt>
                <c:pt idx="25">
                  <c:v>0.4</c:v>
                </c:pt>
                <c:pt idx="26">
                  <c:v>0.35000000000000031</c:v>
                </c:pt>
                <c:pt idx="27">
                  <c:v>0.26</c:v>
                </c:pt>
                <c:pt idx="28">
                  <c:v>0.60000000000000064</c:v>
                </c:pt>
                <c:pt idx="29">
                  <c:v>1.01</c:v>
                </c:pt>
                <c:pt idx="30">
                  <c:v>0.97000000000000064</c:v>
                </c:pt>
                <c:pt idx="31">
                  <c:v>0.74000000000000188</c:v>
                </c:pt>
                <c:pt idx="32">
                  <c:v>0.68</c:v>
                </c:pt>
                <c:pt idx="33">
                  <c:v>0.56000000000000005</c:v>
                </c:pt>
                <c:pt idx="34">
                  <c:v>0.49000000000000032</c:v>
                </c:pt>
                <c:pt idx="35">
                  <c:v>0.49000000000000032</c:v>
                </c:pt>
                <c:pt idx="36" formatCode="General">
                  <c:v>0.62000000000000188</c:v>
                </c:pt>
                <c:pt idx="37" formatCode="General">
                  <c:v>0.46</c:v>
                </c:pt>
                <c:pt idx="38" formatCode="General">
                  <c:v>0.35000000000000031</c:v>
                </c:pt>
                <c:pt idx="39" formatCode="General">
                  <c:v>0.43000000000000038</c:v>
                </c:pt>
                <c:pt idx="40" formatCode="General">
                  <c:v>0.46</c:v>
                </c:pt>
                <c:pt idx="41" formatCode="General">
                  <c:v>0.45</c:v>
                </c:pt>
                <c:pt idx="42" formatCode="General">
                  <c:v>0.37000000000000038</c:v>
                </c:pt>
                <c:pt idx="43" formatCode="General">
                  <c:v>0.29000000000000031</c:v>
                </c:pt>
                <c:pt idx="44" formatCode="General">
                  <c:v>0.25</c:v>
                </c:pt>
                <c:pt idx="45" formatCode="General">
                  <c:v>0.37000000000000038</c:v>
                </c:pt>
                <c:pt idx="46" formatCode="General">
                  <c:v>0.55000000000000004</c:v>
                </c:pt>
                <c:pt idx="47" formatCode="General">
                  <c:v>0.53</c:v>
                </c:pt>
                <c:pt idx="48" formatCode="General">
                  <c:v>0.47000000000000008</c:v>
                </c:pt>
                <c:pt idx="49" formatCode="General">
                  <c:v>0.63000000000000211</c:v>
                </c:pt>
                <c:pt idx="50" formatCode="General">
                  <c:v>0.87000000000000188</c:v>
                </c:pt>
                <c:pt idx="51" formatCode="General">
                  <c:v>0.96000000000000063</c:v>
                </c:pt>
                <c:pt idx="52" formatCode="General">
                  <c:v>0.74000000000000188</c:v>
                </c:pt>
                <c:pt idx="53" formatCode="General">
                  <c:v>0.77000000000000213</c:v>
                </c:pt>
              </c:numCache>
            </c:numRef>
          </c:val>
        </c:ser>
        <c:marker val="1"/>
        <c:axId val="215742720"/>
        <c:axId val="215760896"/>
      </c:lineChart>
      <c:catAx>
        <c:axId val="215742720"/>
        <c:scaling>
          <c:orientation val="minMax"/>
        </c:scaling>
        <c:axPos val="b"/>
        <c:tickLblPos val="low"/>
        <c:spPr>
          <a:ln>
            <a:solidFill>
              <a:schemeClr val="tx1"/>
            </a:solidFill>
          </a:ln>
        </c:spPr>
        <c:crossAx val="215760896"/>
        <c:crosses val="autoZero"/>
        <c:auto val="1"/>
        <c:lblAlgn val="ctr"/>
        <c:lblOffset val="100"/>
      </c:catAx>
      <c:valAx>
        <c:axId val="215760896"/>
        <c:scaling>
          <c:orientation val="minMax"/>
          <c:min val="-1"/>
        </c:scaling>
        <c:axPos val="l"/>
        <c:majorGridlines>
          <c:spPr>
            <a:ln w="6350">
              <a:solidFill>
                <a:schemeClr val="bg1">
                  <a:lumMod val="75000"/>
                </a:schemeClr>
              </a:solidFill>
            </a:ln>
          </c:spPr>
        </c:majorGridlines>
        <c:numFmt formatCode="0" sourceLinked="0"/>
        <c:tickLblPos val="nextTo"/>
        <c:spPr>
          <a:ln>
            <a:solidFill>
              <a:schemeClr val="tx1"/>
            </a:solidFill>
          </a:ln>
        </c:spPr>
        <c:crossAx val="215742720"/>
        <c:crosses val="autoZero"/>
        <c:crossBetween val="between"/>
        <c:majorUnit val="1"/>
      </c:valAx>
      <c:spPr>
        <a:ln>
          <a:solidFill>
            <a:schemeClr val="tx1"/>
          </a:solidFill>
        </a:ln>
      </c:spPr>
    </c:plotArea>
    <c:legend>
      <c:legendPos val="b"/>
      <c:layout>
        <c:manualLayout>
          <c:xMode val="edge"/>
          <c:yMode val="edge"/>
          <c:x val="4.2139690982776534E-2"/>
          <c:y val="0.87558269120103249"/>
          <c:w val="0.93886651469098281"/>
          <c:h val="0.1101570592445996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6324299223235513E-2"/>
          <c:y val="2.85939434875607E-2"/>
          <c:w val="0.9397876561972307"/>
          <c:h val="0.69645164921760649"/>
        </c:manualLayout>
      </c:layout>
      <c:lineChart>
        <c:grouping val="standard"/>
        <c:ser>
          <c:idx val="5"/>
          <c:order val="0"/>
          <c:tx>
            <c:strRef>
              <c:f>List1!$G$112</c:f>
              <c:strCache>
                <c:ptCount val="1"/>
                <c:pt idx="0">
                  <c:v>Total credit to households</c:v>
                </c:pt>
              </c:strCache>
            </c:strRef>
          </c:tx>
          <c:spPr>
            <a:ln>
              <a:solidFill>
                <a:schemeClr val="accent2"/>
              </a:solidFill>
            </a:ln>
          </c:spPr>
          <c:marker>
            <c:symbol val="none"/>
          </c:marker>
          <c:cat>
            <c:numRef>
              <c:f>List1!$A$113:$A$166</c:f>
              <c:numCache>
                <c:formatCode>d/m/yyyy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List1!$G$113:$G$166</c:f>
              <c:numCache>
                <c:formatCode>General</c:formatCode>
                <c:ptCount val="54"/>
                <c:pt idx="0">
                  <c:v>3.0877531589829466</c:v>
                </c:pt>
                <c:pt idx="1">
                  <c:v>2.9278034685920482</c:v>
                </c:pt>
                <c:pt idx="2">
                  <c:v>2.9903796480566442</c:v>
                </c:pt>
                <c:pt idx="3">
                  <c:v>3.0491710862186792</c:v>
                </c:pt>
                <c:pt idx="4">
                  <c:v>3.2681836889522349</c:v>
                </c:pt>
                <c:pt idx="5">
                  <c:v>3.2598708501961191</c:v>
                </c:pt>
                <c:pt idx="6">
                  <c:v>3.344199810319167</c:v>
                </c:pt>
                <c:pt idx="7">
                  <c:v>3.3966244329424837</c:v>
                </c:pt>
                <c:pt idx="8">
                  <c:v>3.6482378321744453</c:v>
                </c:pt>
                <c:pt idx="9">
                  <c:v>3.7730480658831627</c:v>
                </c:pt>
                <c:pt idx="10">
                  <c:v>4.1470926324128712</c:v>
                </c:pt>
                <c:pt idx="11">
                  <c:v>4.2553330267144327</c:v>
                </c:pt>
                <c:pt idx="12">
                  <c:v>4.385947087867895</c:v>
                </c:pt>
                <c:pt idx="13">
                  <c:v>4.523376320619855</c:v>
                </c:pt>
                <c:pt idx="14">
                  <c:v>4.5787788541473873</c:v>
                </c:pt>
                <c:pt idx="15">
                  <c:v>4.6195922264676375</c:v>
                </c:pt>
                <c:pt idx="16">
                  <c:v>4.4666038944024899</c:v>
                </c:pt>
                <c:pt idx="17">
                  <c:v>4.5705616558670474</c:v>
                </c:pt>
                <c:pt idx="18">
                  <c:v>4.639428729321792</c:v>
                </c:pt>
                <c:pt idx="19">
                  <c:v>4.579290955920718</c:v>
                </c:pt>
                <c:pt idx="20">
                  <c:v>4.6786005512983788</c:v>
                </c:pt>
                <c:pt idx="21">
                  <c:v>4.5573555013270841</c:v>
                </c:pt>
                <c:pt idx="22">
                  <c:v>4.201757946353287</c:v>
                </c:pt>
                <c:pt idx="23">
                  <c:v>4.0257950102231943</c:v>
                </c:pt>
                <c:pt idx="24">
                  <c:v>4.2393015171592854</c:v>
                </c:pt>
                <c:pt idx="25">
                  <c:v>4.2894597932710719</c:v>
                </c:pt>
                <c:pt idx="26">
                  <c:v>4.4648739564675655</c:v>
                </c:pt>
                <c:pt idx="27">
                  <c:v>4.6448907312726915</c:v>
                </c:pt>
                <c:pt idx="28">
                  <c:v>4.8200618655221303</c:v>
                </c:pt>
                <c:pt idx="29">
                  <c:v>6.6747817845361119</c:v>
                </c:pt>
                <c:pt idx="30">
                  <c:v>6.8504415341803977</c:v>
                </c:pt>
                <c:pt idx="31">
                  <c:v>6.9640912326651288</c:v>
                </c:pt>
                <c:pt idx="32">
                  <c:v>7.0196065423020144</c:v>
                </c:pt>
                <c:pt idx="33">
                  <c:v>7.1686339200419296</c:v>
                </c:pt>
                <c:pt idx="34">
                  <c:v>7.341832287265504</c:v>
                </c:pt>
                <c:pt idx="35">
                  <c:v>7.5776913826795482</c:v>
                </c:pt>
                <c:pt idx="36">
                  <c:v>7.0678121703309307</c:v>
                </c:pt>
                <c:pt idx="37">
                  <c:v>7.4950875729483855</c:v>
                </c:pt>
                <c:pt idx="38">
                  <c:v>7.3168827874998454</c:v>
                </c:pt>
                <c:pt idx="39">
                  <c:v>7.5495713120857744</c:v>
                </c:pt>
                <c:pt idx="40">
                  <c:v>7.7297908124461694</c:v>
                </c:pt>
                <c:pt idx="41">
                  <c:v>6.2057314743048924</c:v>
                </c:pt>
                <c:pt idx="42">
                  <c:v>6.1984185695713245</c:v>
                </c:pt>
                <c:pt idx="43">
                  <c:v>6.5369772527276995</c:v>
                </c:pt>
                <c:pt idx="44">
                  <c:v>6.7135942644571305</c:v>
                </c:pt>
                <c:pt idx="45">
                  <c:v>7.0064612623712383</c:v>
                </c:pt>
                <c:pt idx="46">
                  <c:v>7.3214465009951715</c:v>
                </c:pt>
                <c:pt idx="47">
                  <c:v>7.0472108710942365</c:v>
                </c:pt>
                <c:pt idx="48">
                  <c:v>7.8299596627663943</c:v>
                </c:pt>
                <c:pt idx="49">
                  <c:v>7.7234451145493033</c:v>
                </c:pt>
                <c:pt idx="50">
                  <c:v>8.151635168774563</c:v>
                </c:pt>
                <c:pt idx="51">
                  <c:v>8.1117916123093003</c:v>
                </c:pt>
                <c:pt idx="52">
                  <c:v>8.2506757293459945</c:v>
                </c:pt>
                <c:pt idx="53">
                  <c:v>8.2739760406758442</c:v>
                </c:pt>
              </c:numCache>
            </c:numRef>
          </c:val>
        </c:ser>
        <c:ser>
          <c:idx val="3"/>
          <c:order val="1"/>
          <c:tx>
            <c:strRef>
              <c:f>List1!$E$112</c:f>
              <c:strCache>
                <c:ptCount val="1"/>
                <c:pt idx="0">
                  <c:v>Mortgages</c:v>
                </c:pt>
              </c:strCache>
            </c:strRef>
          </c:tx>
          <c:spPr>
            <a:ln>
              <a:solidFill>
                <a:schemeClr val="tx2"/>
              </a:solidFill>
            </a:ln>
          </c:spPr>
          <c:marker>
            <c:symbol val="none"/>
          </c:marker>
          <c:cat>
            <c:numRef>
              <c:f>List1!$A$113:$A$166</c:f>
              <c:numCache>
                <c:formatCode>d/m/yyyy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List1!$E$113:$E$166</c:f>
              <c:numCache>
                <c:formatCode>General</c:formatCode>
                <c:ptCount val="54"/>
                <c:pt idx="0">
                  <c:v>6.2659736689503935</c:v>
                </c:pt>
                <c:pt idx="1">
                  <c:v>6.2647145285309884</c:v>
                </c:pt>
                <c:pt idx="2">
                  <c:v>6.2873648583460255</c:v>
                </c:pt>
                <c:pt idx="3">
                  <c:v>6.3598141546146127</c:v>
                </c:pt>
                <c:pt idx="4">
                  <c:v>6.3147119881366365</c:v>
                </c:pt>
                <c:pt idx="5">
                  <c:v>6.0275332348596775</c:v>
                </c:pt>
                <c:pt idx="6">
                  <c:v>6.3073525993761006</c:v>
                </c:pt>
                <c:pt idx="7">
                  <c:v>6.1541788048702655</c:v>
                </c:pt>
                <c:pt idx="8">
                  <c:v>6.4269032318838324</c:v>
                </c:pt>
                <c:pt idx="9">
                  <c:v>6.5725403255923593</c:v>
                </c:pt>
                <c:pt idx="10">
                  <c:v>6.5902633224374334</c:v>
                </c:pt>
                <c:pt idx="11">
                  <c:v>6.5837930483635434</c:v>
                </c:pt>
                <c:pt idx="12">
                  <c:v>6.6657491153861734</c:v>
                </c:pt>
                <c:pt idx="13">
                  <c:v>6.6271385083303143</c:v>
                </c:pt>
                <c:pt idx="14">
                  <c:v>6.6523157014405445</c:v>
                </c:pt>
                <c:pt idx="15">
                  <c:v>6.8469262908674455</c:v>
                </c:pt>
                <c:pt idx="16">
                  <c:v>6.9247409315900263</c:v>
                </c:pt>
                <c:pt idx="17">
                  <c:v>7.0418709000086928</c:v>
                </c:pt>
                <c:pt idx="18">
                  <c:v>7.0931229496983326</c:v>
                </c:pt>
                <c:pt idx="19">
                  <c:v>6.9754005631693854</c:v>
                </c:pt>
                <c:pt idx="20">
                  <c:v>7.0577653257563284</c:v>
                </c:pt>
                <c:pt idx="21">
                  <c:v>6.9749589172601389</c:v>
                </c:pt>
                <c:pt idx="22">
                  <c:v>6.8848210515173953</c:v>
                </c:pt>
                <c:pt idx="23">
                  <c:v>6.7341586671434746</c:v>
                </c:pt>
                <c:pt idx="24">
                  <c:v>6.7538184794027556</c:v>
                </c:pt>
                <c:pt idx="25">
                  <c:v>6.8192119643676969</c:v>
                </c:pt>
                <c:pt idx="26">
                  <c:v>6.9316137078820876</c:v>
                </c:pt>
                <c:pt idx="27">
                  <c:v>6.9929235168259645</c:v>
                </c:pt>
                <c:pt idx="28">
                  <c:v>7.2077782386553055</c:v>
                </c:pt>
                <c:pt idx="29">
                  <c:v>7.5191311706305966</c:v>
                </c:pt>
                <c:pt idx="30">
                  <c:v>7.778709117122653</c:v>
                </c:pt>
                <c:pt idx="31">
                  <c:v>8.0645924907376525</c:v>
                </c:pt>
                <c:pt idx="32">
                  <c:v>8.1119422991750572</c:v>
                </c:pt>
                <c:pt idx="33">
                  <c:v>8.2444676425619683</c:v>
                </c:pt>
                <c:pt idx="34">
                  <c:v>8.5039301453452705</c:v>
                </c:pt>
                <c:pt idx="35">
                  <c:v>8.8021391300397767</c:v>
                </c:pt>
                <c:pt idx="36">
                  <c:v>8.2433204519407113</c:v>
                </c:pt>
                <c:pt idx="37">
                  <c:v>8.5537639741768956</c:v>
                </c:pt>
                <c:pt idx="38">
                  <c:v>8.4512781832215413</c:v>
                </c:pt>
                <c:pt idx="39">
                  <c:v>8.5388339561371289</c:v>
                </c:pt>
                <c:pt idx="40">
                  <c:v>8.5177496194520028</c:v>
                </c:pt>
                <c:pt idx="41">
                  <c:v>8.4668106074260567</c:v>
                </c:pt>
                <c:pt idx="42">
                  <c:v>8.2610326083827061</c:v>
                </c:pt>
                <c:pt idx="43">
                  <c:v>8.4220596847293248</c:v>
                </c:pt>
                <c:pt idx="44">
                  <c:v>8.5729843606208025</c:v>
                </c:pt>
                <c:pt idx="45">
                  <c:v>8.7715129103853968</c:v>
                </c:pt>
                <c:pt idx="46">
                  <c:v>9.0166696797666965</c:v>
                </c:pt>
                <c:pt idx="47">
                  <c:v>8.8500296876362547</c:v>
                </c:pt>
                <c:pt idx="48">
                  <c:v>9.6135419108468518</c:v>
                </c:pt>
                <c:pt idx="49">
                  <c:v>9.5803089393486527</c:v>
                </c:pt>
                <c:pt idx="50">
                  <c:v>10.048271879958026</c:v>
                </c:pt>
                <c:pt idx="51">
                  <c:v>10.026850666229175</c:v>
                </c:pt>
                <c:pt idx="52">
                  <c:v>10.24573594995822</c:v>
                </c:pt>
                <c:pt idx="53">
                  <c:v>10.300393885099821</c:v>
                </c:pt>
              </c:numCache>
            </c:numRef>
          </c:val>
        </c:ser>
        <c:ser>
          <c:idx val="4"/>
          <c:order val="2"/>
          <c:tx>
            <c:strRef>
              <c:f>List1!$F$112</c:f>
              <c:strCache>
                <c:ptCount val="1"/>
                <c:pt idx="0">
                  <c:v>Consumer credit</c:v>
                </c:pt>
              </c:strCache>
            </c:strRef>
          </c:tx>
          <c:spPr>
            <a:ln>
              <a:solidFill>
                <a:schemeClr val="accent3"/>
              </a:solidFill>
            </a:ln>
          </c:spPr>
          <c:marker>
            <c:symbol val="none"/>
          </c:marker>
          <c:cat>
            <c:numRef>
              <c:f>List1!$A$113:$A$166</c:f>
              <c:numCache>
                <c:formatCode>d/m/yyyy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List1!$F$113:$F$166</c:f>
              <c:numCache>
                <c:formatCode>General</c:formatCode>
                <c:ptCount val="54"/>
                <c:pt idx="0">
                  <c:v>-1.6990520590717888</c:v>
                </c:pt>
                <c:pt idx="1">
                  <c:v>-1.8432599648818144</c:v>
                </c:pt>
                <c:pt idx="2">
                  <c:v>-1.7366525799200081</c:v>
                </c:pt>
                <c:pt idx="3">
                  <c:v>-1.1546640615192025</c:v>
                </c:pt>
                <c:pt idx="4">
                  <c:v>-0.92880417177445751</c:v>
                </c:pt>
                <c:pt idx="5">
                  <c:v>-1.1105780686565716</c:v>
                </c:pt>
                <c:pt idx="6">
                  <c:v>-0.36473133413138836</c:v>
                </c:pt>
                <c:pt idx="7">
                  <c:v>-0.12333482057492509</c:v>
                </c:pt>
                <c:pt idx="8">
                  <c:v>0.34049795114385056</c:v>
                </c:pt>
                <c:pt idx="9">
                  <c:v>0.62765881476797991</c:v>
                </c:pt>
                <c:pt idx="10">
                  <c:v>1.275342024704478</c:v>
                </c:pt>
                <c:pt idx="11">
                  <c:v>1.6804009179801986</c:v>
                </c:pt>
                <c:pt idx="12">
                  <c:v>1.9649039512889603</c:v>
                </c:pt>
                <c:pt idx="13">
                  <c:v>2.425614321429038</c:v>
                </c:pt>
                <c:pt idx="14">
                  <c:v>2.5340782816284677</c:v>
                </c:pt>
                <c:pt idx="15">
                  <c:v>1.4152701146683297</c:v>
                </c:pt>
                <c:pt idx="16">
                  <c:v>1.149210106381279</c:v>
                </c:pt>
                <c:pt idx="17">
                  <c:v>1.6804633048833186</c:v>
                </c:pt>
                <c:pt idx="18">
                  <c:v>1.6263793068151648</c:v>
                </c:pt>
                <c:pt idx="19">
                  <c:v>1.5079468909643714</c:v>
                </c:pt>
                <c:pt idx="20">
                  <c:v>1.1772730798033364</c:v>
                </c:pt>
                <c:pt idx="21">
                  <c:v>1.1884334930921678</c:v>
                </c:pt>
                <c:pt idx="22">
                  <c:v>1.302679285557494</c:v>
                </c:pt>
                <c:pt idx="23">
                  <c:v>0.79115539184119787</c:v>
                </c:pt>
                <c:pt idx="24">
                  <c:v>1.175582651077435</c:v>
                </c:pt>
                <c:pt idx="25">
                  <c:v>-0.48835516693426451</c:v>
                </c:pt>
                <c:pt idx="26">
                  <c:v>-0.46004360232359676</c:v>
                </c:pt>
                <c:pt idx="27">
                  <c:v>0.65656559235211565</c:v>
                </c:pt>
                <c:pt idx="28">
                  <c:v>0.83457354160380004</c:v>
                </c:pt>
                <c:pt idx="29">
                  <c:v>6.6907643211475785</c:v>
                </c:pt>
                <c:pt idx="30">
                  <c:v>6.5743966419183604</c:v>
                </c:pt>
                <c:pt idx="31">
                  <c:v>6.5695582908020516</c:v>
                </c:pt>
                <c:pt idx="32">
                  <c:v>6.8487478645179056</c:v>
                </c:pt>
                <c:pt idx="33">
                  <c:v>6.5554225256861871</c:v>
                </c:pt>
                <c:pt idx="34">
                  <c:v>6.0691780821917884</c:v>
                </c:pt>
                <c:pt idx="35">
                  <c:v>6.7782485893366164</c:v>
                </c:pt>
                <c:pt idx="36">
                  <c:v>6.9299575737301105</c:v>
                </c:pt>
                <c:pt idx="37">
                  <c:v>10.610990094731683</c:v>
                </c:pt>
                <c:pt idx="38">
                  <c:v>9.6909346444927991</c:v>
                </c:pt>
                <c:pt idx="39">
                  <c:v>10.26732989676397</c:v>
                </c:pt>
                <c:pt idx="40">
                  <c:v>10.895937352084681</c:v>
                </c:pt>
                <c:pt idx="41">
                  <c:v>5.4234129861022264</c:v>
                </c:pt>
                <c:pt idx="42">
                  <c:v>5.7879621633562879</c:v>
                </c:pt>
                <c:pt idx="43">
                  <c:v>6.3311129976066294</c:v>
                </c:pt>
                <c:pt idx="44">
                  <c:v>6.7165403457560959</c:v>
                </c:pt>
                <c:pt idx="45">
                  <c:v>7.641791290366549</c:v>
                </c:pt>
                <c:pt idx="46">
                  <c:v>8.4129404022727599</c:v>
                </c:pt>
                <c:pt idx="47">
                  <c:v>8.5540802340946822</c:v>
                </c:pt>
                <c:pt idx="48">
                  <c:v>8.537359830463279</c:v>
                </c:pt>
                <c:pt idx="49">
                  <c:v>7.3542506609432765</c:v>
                </c:pt>
                <c:pt idx="50">
                  <c:v>8.1221782554393709</c:v>
                </c:pt>
                <c:pt idx="51">
                  <c:v>8.0579931280216588</c:v>
                </c:pt>
                <c:pt idx="52">
                  <c:v>8.0074345396605651</c:v>
                </c:pt>
                <c:pt idx="53">
                  <c:v>7.8367070380073418</c:v>
                </c:pt>
              </c:numCache>
            </c:numRef>
          </c:val>
        </c:ser>
        <c:marker val="1"/>
        <c:axId val="215794432"/>
        <c:axId val="215795968"/>
      </c:lineChart>
      <c:dateAx>
        <c:axId val="215794432"/>
        <c:scaling>
          <c:orientation val="minMax"/>
        </c:scaling>
        <c:axPos val="b"/>
        <c:numFmt formatCode="d/m/yyyy" sourceLinked="1"/>
        <c:tickLblPos val="low"/>
        <c:crossAx val="215795968"/>
        <c:crosses val="autoZero"/>
        <c:auto val="1"/>
        <c:lblOffset val="100"/>
      </c:dateAx>
      <c:valAx>
        <c:axId val="215795968"/>
        <c:scaling>
          <c:orientation val="minMax"/>
        </c:scaling>
        <c:axPos val="l"/>
        <c:majorGridlines/>
        <c:numFmt formatCode="General" sourceLinked="1"/>
        <c:tickLblPos val="nextTo"/>
        <c:crossAx val="215794432"/>
        <c:crosses val="autoZero"/>
        <c:crossBetween val="between"/>
      </c:valAx>
      <c:spPr>
        <a:ln>
          <a:solidFill>
            <a:sysClr val="windowText" lastClr="000000"/>
          </a:solidFill>
        </a:ln>
      </c:spPr>
    </c:plotArea>
    <c:legend>
      <c:legendPos val="r"/>
      <c:layout>
        <c:manualLayout>
          <c:xMode val="edge"/>
          <c:yMode val="edge"/>
          <c:x val="4.577085444106721E-2"/>
          <c:y val="0.88026258020938608"/>
          <c:w val="0.93814505234718537"/>
          <c:h val="0.11159011595181829"/>
        </c:manualLayout>
      </c:layout>
      <c:overlay val="1"/>
      <c:spPr>
        <a:ln>
          <a:solidFill>
            <a:schemeClr val="tx1"/>
          </a:solidFill>
        </a:ln>
      </c:spPr>
    </c:legend>
    <c:plotVisOnly val="1"/>
    <c:dispBlanksAs val="gap"/>
  </c:chart>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3724701079031984E-2"/>
          <c:y val="2.6970778117567418E-2"/>
          <c:w val="0.87770649039240933"/>
          <c:h val="0.76009512552065761"/>
        </c:manualLayout>
      </c:layout>
      <c:barChart>
        <c:barDir val="col"/>
        <c:grouping val="clustered"/>
        <c:ser>
          <c:idx val="0"/>
          <c:order val="0"/>
          <c:tx>
            <c:strRef>
              <c:f>'souhrnná výkonnost 2'!$C$5</c:f>
              <c:strCache>
                <c:ptCount val="1"/>
                <c:pt idx="0">
                  <c:v>GDP (right axis)</c:v>
                </c:pt>
              </c:strCache>
            </c:strRef>
          </c:tx>
          <c:spPr>
            <a:solidFill>
              <a:schemeClr val="bg1">
                <a:lumMod val="65000"/>
              </a:schemeClr>
            </a:solidFill>
            <a:ln>
              <a:noFill/>
            </a:ln>
          </c:spPr>
          <c:val>
            <c:numRef>
              <c:f>'souhrnná výkonnost 2'!$C$18:$C$71</c:f>
              <c:numCache>
                <c:formatCode>0.0</c:formatCode>
                <c:ptCount val="54"/>
                <c:pt idx="0">
                  <c:v>-1.8</c:v>
                </c:pt>
                <c:pt idx="1">
                  <c:v>-1.8</c:v>
                </c:pt>
                <c:pt idx="2">
                  <c:v>-1.8</c:v>
                </c:pt>
                <c:pt idx="3">
                  <c:v>-1.1000000000000001</c:v>
                </c:pt>
                <c:pt idx="4">
                  <c:v>-1.1000000000000001</c:v>
                </c:pt>
                <c:pt idx="5">
                  <c:v>-1.1000000000000001</c:v>
                </c:pt>
                <c:pt idx="6">
                  <c:v>-0.4</c:v>
                </c:pt>
                <c:pt idx="7">
                  <c:v>-0.4</c:v>
                </c:pt>
                <c:pt idx="8">
                  <c:v>-0.4</c:v>
                </c:pt>
                <c:pt idx="9">
                  <c:v>1.3</c:v>
                </c:pt>
                <c:pt idx="10">
                  <c:v>1.3</c:v>
                </c:pt>
                <c:pt idx="11">
                  <c:v>1.3</c:v>
                </c:pt>
                <c:pt idx="12">
                  <c:v>1.6</c:v>
                </c:pt>
                <c:pt idx="13">
                  <c:v>1.6</c:v>
                </c:pt>
                <c:pt idx="14">
                  <c:v>1.6</c:v>
                </c:pt>
                <c:pt idx="15">
                  <c:v>2.4</c:v>
                </c:pt>
                <c:pt idx="16">
                  <c:v>2.4</c:v>
                </c:pt>
                <c:pt idx="17">
                  <c:v>2.4</c:v>
                </c:pt>
                <c:pt idx="18">
                  <c:v>3.4</c:v>
                </c:pt>
                <c:pt idx="19">
                  <c:v>3.4</c:v>
                </c:pt>
                <c:pt idx="20">
                  <c:v>3.4</c:v>
                </c:pt>
                <c:pt idx="21">
                  <c:v>3.4</c:v>
                </c:pt>
                <c:pt idx="22">
                  <c:v>3.4</c:v>
                </c:pt>
                <c:pt idx="23">
                  <c:v>3.4</c:v>
                </c:pt>
                <c:pt idx="24">
                  <c:v>5.2</c:v>
                </c:pt>
                <c:pt idx="25">
                  <c:v>5.2</c:v>
                </c:pt>
                <c:pt idx="26">
                  <c:v>5.2</c:v>
                </c:pt>
                <c:pt idx="27">
                  <c:v>5.8</c:v>
                </c:pt>
                <c:pt idx="28">
                  <c:v>5.8</c:v>
                </c:pt>
                <c:pt idx="29">
                  <c:v>5.8</c:v>
                </c:pt>
                <c:pt idx="30">
                  <c:v>5.7</c:v>
                </c:pt>
                <c:pt idx="31">
                  <c:v>5.7</c:v>
                </c:pt>
                <c:pt idx="32">
                  <c:v>5.7</c:v>
                </c:pt>
                <c:pt idx="33">
                  <c:v>4.9000000000000004</c:v>
                </c:pt>
                <c:pt idx="34">
                  <c:v>4.9000000000000004</c:v>
                </c:pt>
                <c:pt idx="35">
                  <c:v>4.9000000000000004</c:v>
                </c:pt>
                <c:pt idx="36">
                  <c:v>3.5</c:v>
                </c:pt>
                <c:pt idx="37">
                  <c:v>3.5</c:v>
                </c:pt>
                <c:pt idx="38">
                  <c:v>3.5</c:v>
                </c:pt>
                <c:pt idx="39">
                  <c:v>2.8</c:v>
                </c:pt>
                <c:pt idx="40">
                  <c:v>2.8</c:v>
                </c:pt>
                <c:pt idx="41" formatCode="General">
                  <c:v>2.8</c:v>
                </c:pt>
                <c:pt idx="42" formatCode="General">
                  <c:v>1.8</c:v>
                </c:pt>
                <c:pt idx="43" formatCode="General">
                  <c:v>1.8</c:v>
                </c:pt>
                <c:pt idx="44" formatCode="General">
                  <c:v>1.8</c:v>
                </c:pt>
                <c:pt idx="45" formatCode="General">
                  <c:v>1.8</c:v>
                </c:pt>
                <c:pt idx="46" formatCode="General">
                  <c:v>1.8</c:v>
                </c:pt>
                <c:pt idx="47" formatCode="General">
                  <c:v>1.8</c:v>
                </c:pt>
                <c:pt idx="48" formatCode="General">
                  <c:v>3</c:v>
                </c:pt>
                <c:pt idx="49" formatCode="General">
                  <c:v>3</c:v>
                </c:pt>
                <c:pt idx="50" formatCode="General">
                  <c:v>3</c:v>
                </c:pt>
                <c:pt idx="51" formatCode="General">
                  <c:v>4.7</c:v>
                </c:pt>
                <c:pt idx="52" formatCode="General">
                  <c:v>4.7</c:v>
                </c:pt>
                <c:pt idx="53" formatCode="General">
                  <c:v>4.7</c:v>
                </c:pt>
              </c:numCache>
            </c:numRef>
          </c:val>
        </c:ser>
        <c:gapWidth val="30"/>
        <c:axId val="165563392"/>
        <c:axId val="165561856"/>
      </c:barChart>
      <c:lineChart>
        <c:grouping val="standard"/>
        <c:ser>
          <c:idx val="3"/>
          <c:order val="1"/>
          <c:tx>
            <c:strRef>
              <c:f>'souhrnná výkonnost 2'!$D$5</c:f>
              <c:strCache>
                <c:ptCount val="1"/>
                <c:pt idx="0">
                  <c:v>Entrepreneur confidence</c:v>
                </c:pt>
              </c:strCache>
            </c:strRef>
          </c:tx>
          <c:spPr>
            <a:ln w="19050">
              <a:solidFill>
                <a:srgbClr val="0071BC"/>
              </a:solidFill>
            </a:ln>
          </c:spPr>
          <c:marker>
            <c:symbol val="none"/>
          </c:marker>
          <c:cat>
            <c:multiLvlStrRef>
              <c:f>'souhrnná výkonnost 2'!$A$18:$B$71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'souhrnná výkonnost 2'!$D$18:$D$71</c:f>
              <c:numCache>
                <c:formatCode>###,###,##0.0</c:formatCode>
                <c:ptCount val="54"/>
                <c:pt idx="0">
                  <c:v>84.6</c:v>
                </c:pt>
                <c:pt idx="1">
                  <c:v>85.2</c:v>
                </c:pt>
                <c:pt idx="2" formatCode="###,###,##0">
                  <c:v>85</c:v>
                </c:pt>
                <c:pt idx="3">
                  <c:v>82.7</c:v>
                </c:pt>
                <c:pt idx="4">
                  <c:v>83.6</c:v>
                </c:pt>
                <c:pt idx="5" formatCode="###,###,##0">
                  <c:v>84</c:v>
                </c:pt>
                <c:pt idx="6" formatCode="###,###,##0">
                  <c:v>84</c:v>
                </c:pt>
                <c:pt idx="7">
                  <c:v>84.8</c:v>
                </c:pt>
                <c:pt idx="8">
                  <c:v>87.5</c:v>
                </c:pt>
                <c:pt idx="9" formatCode="###,###,##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0.0">
                  <c:v>97</c:v>
                </c:pt>
                <c:pt idx="49" formatCode="0.0">
                  <c:v>95.9</c:v>
                </c:pt>
                <c:pt idx="50" formatCode="0.0">
                  <c:v>94.1</c:v>
                </c:pt>
                <c:pt idx="51" formatCode="0.0">
                  <c:v>95.1</c:v>
                </c:pt>
                <c:pt idx="52" formatCode="0.0">
                  <c:v>94.9</c:v>
                </c:pt>
                <c:pt idx="53" formatCode="0.0">
                  <c:v>95.2</c:v>
                </c:pt>
              </c:numCache>
            </c:numRef>
          </c:val>
        </c:ser>
        <c:ser>
          <c:idx val="2"/>
          <c:order val="2"/>
          <c:tx>
            <c:strRef>
              <c:f>'souhrnná výkonnost 2'!$E$5</c:f>
              <c:strCache>
                <c:ptCount val="1"/>
                <c:pt idx="0">
                  <c:v>Consumer confidence</c:v>
                </c:pt>
              </c:strCache>
            </c:strRef>
          </c:tx>
          <c:spPr>
            <a:ln w="19050">
              <a:solidFill>
                <a:srgbClr val="BD1B21"/>
              </a:solidFill>
            </a:ln>
          </c:spPr>
          <c:marker>
            <c:symbol val="none"/>
          </c:marker>
          <c:cat>
            <c:multiLvlStrRef>
              <c:f>'souhrnná výkonnost 2'!$A$18:$B$71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'souhrnná výkonnost 2'!$E$18:$E$71</c:f>
              <c:numCache>
                <c:formatCode>###,###,##0.0</c:formatCode>
                <c:ptCount val="54"/>
                <c:pt idx="0">
                  <c:v>73.8</c:v>
                </c:pt>
                <c:pt idx="1">
                  <c:v>79.5</c:v>
                </c:pt>
                <c:pt idx="2" formatCode="###,###,##0">
                  <c:v>81</c:v>
                </c:pt>
                <c:pt idx="3">
                  <c:v>77.900000000000006</c:v>
                </c:pt>
                <c:pt idx="4" formatCode="###,###,##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0.0">
                  <c:v>110</c:v>
                </c:pt>
                <c:pt idx="49" formatCode="0.0">
                  <c:v>108.2</c:v>
                </c:pt>
                <c:pt idx="50" formatCode="0.0">
                  <c:v>108.7</c:v>
                </c:pt>
                <c:pt idx="51" formatCode="0.0">
                  <c:v>108.4</c:v>
                </c:pt>
                <c:pt idx="52" formatCode="0.0">
                  <c:v>108.4</c:v>
                </c:pt>
                <c:pt idx="53" formatCode="0.0">
                  <c:v>106.2</c:v>
                </c:pt>
              </c:numCache>
            </c:numRef>
          </c:val>
        </c:ser>
        <c:ser>
          <c:idx val="1"/>
          <c:order val="3"/>
          <c:tx>
            <c:strRef>
              <c:f>'souhrnná výkonnost 2'!$F$5</c:f>
              <c:strCache>
                <c:ptCount val="1"/>
                <c:pt idx="0">
                  <c:v>Total indicator</c:v>
                </c:pt>
              </c:strCache>
            </c:strRef>
          </c:tx>
          <c:spPr>
            <a:ln w="19050">
              <a:solidFill>
                <a:schemeClr val="tx1"/>
              </a:solidFill>
            </a:ln>
          </c:spPr>
          <c:marker>
            <c:symbol val="none"/>
          </c:marker>
          <c:cat>
            <c:multiLvlStrRef>
              <c:f>'souhrnná výkonnost 2'!$A$18:$B$71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'souhrnná výkonnost 2'!$F$18:$F$71</c:f>
              <c:numCache>
                <c:formatCode>###,###,##0.0</c:formatCode>
                <c:ptCount val="54"/>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0">
                  <c:v>93</c:v>
                </c:pt>
                <c:pt idx="19">
                  <c:v>93.4</c:v>
                </c:pt>
                <c:pt idx="20">
                  <c:v>93.7</c:v>
                </c:pt>
                <c:pt idx="21">
                  <c:v>94.1</c:v>
                </c:pt>
                <c:pt idx="22">
                  <c:v>95.2</c:v>
                </c:pt>
                <c:pt idx="23">
                  <c:v>96.5</c:v>
                </c:pt>
                <c:pt idx="24">
                  <c:v>96.4</c:v>
                </c:pt>
                <c:pt idx="25">
                  <c:v>95.5</c:v>
                </c:pt>
                <c:pt idx="26">
                  <c:v>95.1</c:v>
                </c:pt>
                <c:pt idx="27">
                  <c:v>95.1</c:v>
                </c:pt>
                <c:pt idx="28">
                  <c:v>95.5</c:v>
                </c:pt>
                <c:pt idx="29" formatCode="###,###,##0">
                  <c:v>97</c:v>
                </c:pt>
                <c:pt idx="30">
                  <c:v>96.1</c:v>
                </c:pt>
                <c:pt idx="31">
                  <c:v>95.7</c:v>
                </c:pt>
                <c:pt idx="32">
                  <c:v>95.9</c:v>
                </c:pt>
                <c:pt idx="33">
                  <c:v>95.1</c:v>
                </c:pt>
                <c:pt idx="34" formatCode="###,###,##0">
                  <c:v>96</c:v>
                </c:pt>
                <c:pt idx="35">
                  <c:v>96.5</c:v>
                </c:pt>
                <c:pt idx="36" formatCode="0.0">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0.0">
                  <c:v>99.2</c:v>
                </c:pt>
                <c:pt idx="49" formatCode="0.0">
                  <c:v>98</c:v>
                </c:pt>
                <c:pt idx="50" formatCode="0.0">
                  <c:v>96.6</c:v>
                </c:pt>
                <c:pt idx="51" formatCode="0.0">
                  <c:v>97.4</c:v>
                </c:pt>
                <c:pt idx="52" formatCode="0.0">
                  <c:v>97.2</c:v>
                </c:pt>
                <c:pt idx="53" formatCode="0.0">
                  <c:v>97.1</c:v>
                </c:pt>
              </c:numCache>
            </c:numRef>
          </c:val>
        </c:ser>
        <c:marker val="1"/>
        <c:axId val="165542144"/>
        <c:axId val="165560320"/>
      </c:lineChart>
      <c:catAx>
        <c:axId val="165542144"/>
        <c:scaling>
          <c:orientation val="minMax"/>
        </c:scaling>
        <c:axPos val="b"/>
        <c:tickLblPos val="low"/>
        <c:spPr>
          <a:ln>
            <a:solidFill>
              <a:schemeClr val="tx1"/>
            </a:solidFill>
          </a:ln>
        </c:spPr>
        <c:crossAx val="165560320"/>
        <c:crossesAt val="100"/>
        <c:auto val="1"/>
        <c:lblAlgn val="ctr"/>
        <c:lblOffset val="100"/>
      </c:catAx>
      <c:valAx>
        <c:axId val="165560320"/>
        <c:scaling>
          <c:orientation val="minMax"/>
          <c:max val="130"/>
          <c:min val="70"/>
        </c:scaling>
        <c:axPos val="l"/>
        <c:majorGridlines>
          <c:spPr>
            <a:ln w="6350">
              <a:solidFill>
                <a:schemeClr val="bg1">
                  <a:lumMod val="75000"/>
                </a:schemeClr>
              </a:solidFill>
            </a:ln>
          </c:spPr>
        </c:majorGridlines>
        <c:numFmt formatCode="#,##0" sourceLinked="0"/>
        <c:tickLblPos val="nextTo"/>
        <c:spPr>
          <a:ln>
            <a:solidFill>
              <a:schemeClr val="tx1"/>
            </a:solidFill>
          </a:ln>
        </c:spPr>
        <c:crossAx val="165542144"/>
        <c:crosses val="autoZero"/>
        <c:crossBetween val="between"/>
        <c:majorUnit val="5"/>
      </c:valAx>
      <c:valAx>
        <c:axId val="165561856"/>
        <c:scaling>
          <c:orientation val="minMax"/>
          <c:min val="-6"/>
        </c:scaling>
        <c:axPos val="r"/>
        <c:numFmt formatCode="0" sourceLinked="0"/>
        <c:tickLblPos val="nextTo"/>
        <c:spPr>
          <a:ln>
            <a:solidFill>
              <a:schemeClr val="tx1"/>
            </a:solidFill>
          </a:ln>
        </c:spPr>
        <c:crossAx val="165563392"/>
        <c:crosses val="max"/>
        <c:crossBetween val="between"/>
        <c:majorUnit val="1"/>
      </c:valAx>
      <c:catAx>
        <c:axId val="165563392"/>
        <c:scaling>
          <c:orientation val="minMax"/>
        </c:scaling>
        <c:delete val="1"/>
        <c:axPos val="b"/>
        <c:tickLblPos val="none"/>
        <c:crossAx val="165561856"/>
        <c:crossesAt val="0"/>
        <c:auto val="1"/>
        <c:lblAlgn val="ctr"/>
        <c:lblOffset val="100"/>
      </c:catAx>
      <c:spPr>
        <a:ln>
          <a:solidFill>
            <a:schemeClr val="tx1"/>
          </a:solidFill>
        </a:ln>
      </c:spPr>
    </c:plotArea>
    <c:legend>
      <c:legendPos val="b"/>
      <c:layout>
        <c:manualLayout>
          <c:xMode val="edge"/>
          <c:yMode val="edge"/>
          <c:x val="6.2295583422442583E-2"/>
          <c:y val="0.90228835978835575"/>
          <c:w val="0.88075331324325201"/>
          <c:h val="8.264578408195417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5577477727787412E-2"/>
          <c:y val="1.7107238390107405E-2"/>
          <c:w val="0.90191712370542398"/>
          <c:h val="0.80441990809425656"/>
        </c:manualLayout>
      </c:layout>
      <c:barChart>
        <c:barDir val="col"/>
        <c:grouping val="clustered"/>
        <c:ser>
          <c:idx val="2"/>
          <c:order val="4"/>
          <c:tx>
            <c:strRef>
              <c:f>'Státní rozpočet 1'!$A$40</c:f>
              <c:strCache>
                <c:ptCount val="1"/>
                <c:pt idx="0">
                  <c:v>State budget balance (right axis)</c:v>
                </c:pt>
              </c:strCache>
            </c:strRef>
          </c:tx>
          <c:spPr>
            <a:solidFill>
              <a:sysClr val="window" lastClr="FFFFFF">
                <a:lumMod val="75000"/>
              </a:sysClr>
            </a:solidFill>
          </c:spP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1'!$B$40:$N$40</c:f>
              <c:numCache>
                <c:formatCode>#,##0.0</c:formatCode>
                <c:ptCount val="13"/>
                <c:pt idx="0">
                  <c:v>3.7600000000000002</c:v>
                </c:pt>
                <c:pt idx="1">
                  <c:v>7.64</c:v>
                </c:pt>
                <c:pt idx="2">
                  <c:v>1.2749999999999984</c:v>
                </c:pt>
                <c:pt idx="3">
                  <c:v>-5.6519999999999975</c:v>
                </c:pt>
                <c:pt idx="4">
                  <c:v>-68.259</c:v>
                </c:pt>
                <c:pt idx="5">
                  <c:v>-75.661999999999992</c:v>
                </c:pt>
                <c:pt idx="6">
                  <c:v>-62.855999999999995</c:v>
                </c:pt>
                <c:pt idx="7">
                  <c:v>-71.721999999999994</c:v>
                </c:pt>
                <c:pt idx="8">
                  <c:v>-31.52</c:v>
                </c:pt>
                <c:pt idx="9">
                  <c:v>1.45</c:v>
                </c:pt>
                <c:pt idx="10">
                  <c:v>22.650000000000023</c:v>
                </c:pt>
                <c:pt idx="11">
                  <c:v>40.65</c:v>
                </c:pt>
                <c:pt idx="12">
                  <c:v>4.6199999999999966</c:v>
                </c:pt>
              </c:numCache>
            </c:numRef>
          </c:val>
        </c:ser>
        <c:gapWidth val="43"/>
        <c:axId val="218679936"/>
        <c:axId val="218678400"/>
      </c:barChart>
      <c:lineChart>
        <c:grouping val="standard"/>
        <c:ser>
          <c:idx val="0"/>
          <c:order val="0"/>
          <c:tx>
            <c:strRef>
              <c:f>'Státní rozpočet 1'!$A$36</c:f>
              <c:strCache>
                <c:ptCount val="1"/>
                <c:pt idx="0">
                  <c:v>Value added tax</c:v>
                </c:pt>
              </c:strCache>
            </c:strRef>
          </c:tx>
          <c:spPr>
            <a:ln w="19050">
              <a:solidFill>
                <a:srgbClr val="BD1B25"/>
              </a:solidFill>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1'!$B$36:$N$36</c:f>
              <c:numCache>
                <c:formatCode>0.0</c:formatCode>
                <c:ptCount val="13"/>
                <c:pt idx="0">
                  <c:v>20.770252324037173</c:v>
                </c:pt>
                <c:pt idx="1">
                  <c:v>11.996921046844065</c:v>
                </c:pt>
                <c:pt idx="2">
                  <c:v>11.958762886597951</c:v>
                </c:pt>
                <c:pt idx="3">
                  <c:v>4.9022187143734248</c:v>
                </c:pt>
                <c:pt idx="4">
                  <c:v>-1.4629660591874345</c:v>
                </c:pt>
                <c:pt idx="5">
                  <c:v>7.6355306693815166</c:v>
                </c:pt>
                <c:pt idx="6">
                  <c:v>6.9047056041617481</c:v>
                </c:pt>
                <c:pt idx="7">
                  <c:v>-5.419155054191549</c:v>
                </c:pt>
                <c:pt idx="8">
                  <c:v>13.88369192391643</c:v>
                </c:pt>
                <c:pt idx="9">
                  <c:v>6.8861660620165708</c:v>
                </c:pt>
                <c:pt idx="10">
                  <c:v>-4.828690361831562</c:v>
                </c:pt>
                <c:pt idx="11">
                  <c:v>6.0022878675728455</c:v>
                </c:pt>
                <c:pt idx="12">
                  <c:v>14.060813813241952</c:v>
                </c:pt>
              </c:numCache>
            </c:numRef>
          </c:val>
        </c:ser>
        <c:ser>
          <c:idx val="1"/>
          <c:order val="1"/>
          <c:tx>
            <c:strRef>
              <c:f>'Státní rozpočet 1'!$A$37</c:f>
              <c:strCache>
                <c:ptCount val="1"/>
                <c:pt idx="0">
                  <c:v>Consumption tax</c:v>
                </c:pt>
              </c:strCache>
            </c:strRef>
          </c:tx>
          <c:spPr>
            <a:ln w="19050">
              <a:solidFill>
                <a:srgbClr val="7DBB2D"/>
              </a:solidFill>
              <a:prstDash val="solid"/>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1'!$B$37:$N$37</c:f>
              <c:numCache>
                <c:formatCode>0.0</c:formatCode>
                <c:ptCount val="13"/>
                <c:pt idx="0">
                  <c:v>35.457324241711653</c:v>
                </c:pt>
                <c:pt idx="1">
                  <c:v>19.128623502864063</c:v>
                </c:pt>
                <c:pt idx="2">
                  <c:v>-13.434358152411468</c:v>
                </c:pt>
                <c:pt idx="3">
                  <c:v>3.3327722605622077</c:v>
                </c:pt>
                <c:pt idx="4">
                  <c:v>-4.5935820166150796</c:v>
                </c:pt>
                <c:pt idx="5">
                  <c:v>12.053952535427722</c:v>
                </c:pt>
                <c:pt idx="6">
                  <c:v>6.4604601554167402</c:v>
                </c:pt>
                <c:pt idx="7">
                  <c:v>-2.6334621439816743</c:v>
                </c:pt>
                <c:pt idx="8">
                  <c:v>-3.0721740408643288</c:v>
                </c:pt>
                <c:pt idx="9">
                  <c:v>10.646041856232927</c:v>
                </c:pt>
                <c:pt idx="10">
                  <c:v>-3.8240131578947247</c:v>
                </c:pt>
                <c:pt idx="11">
                  <c:v>7.7668519310246671</c:v>
                </c:pt>
                <c:pt idx="12">
                  <c:v>0.80666490346467945</c:v>
                </c:pt>
              </c:numCache>
            </c:numRef>
          </c:val>
        </c:ser>
        <c:ser>
          <c:idx val="3"/>
          <c:order val="2"/>
          <c:tx>
            <c:strRef>
              <c:f>'Státní rozpočet 1'!$A$38</c:f>
              <c:strCache>
                <c:ptCount val="1"/>
                <c:pt idx="0">
                  <c:v>Income taxes natural persons(from employm.)</c:v>
                </c:pt>
              </c:strCache>
            </c:strRef>
          </c:tx>
          <c:spPr>
            <a:ln w="19050">
              <a:solidFill>
                <a:srgbClr val="0071BC"/>
              </a:solidFill>
              <a:prstDash val="solid"/>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1'!$B$38:$N$38</c:f>
              <c:numCache>
                <c:formatCode>0.0</c:formatCode>
                <c:ptCount val="13"/>
                <c:pt idx="0">
                  <c:v>7.2278911564625865</c:v>
                </c:pt>
                <c:pt idx="1">
                  <c:v>2.2997620935765468</c:v>
                </c:pt>
                <c:pt idx="2">
                  <c:v>12.20930232558139</c:v>
                </c:pt>
                <c:pt idx="3">
                  <c:v>-5.4749568221070746</c:v>
                </c:pt>
                <c:pt idx="4">
                  <c:v>-6.0661428832450213</c:v>
                </c:pt>
                <c:pt idx="5">
                  <c:v>-0.11670881151526658</c:v>
                </c:pt>
                <c:pt idx="6">
                  <c:v>6.6601752677701977</c:v>
                </c:pt>
                <c:pt idx="7">
                  <c:v>2.2092386342888344</c:v>
                </c:pt>
                <c:pt idx="8">
                  <c:v>5.4841014648088731</c:v>
                </c:pt>
                <c:pt idx="9">
                  <c:v>4.7417442845046773</c:v>
                </c:pt>
                <c:pt idx="10">
                  <c:v>1.0509296685529517</c:v>
                </c:pt>
                <c:pt idx="11">
                  <c:v>10.704000000000008</c:v>
                </c:pt>
                <c:pt idx="12">
                  <c:v>12.559618441971381</c:v>
                </c:pt>
              </c:numCache>
            </c:numRef>
          </c:val>
        </c:ser>
        <c:ser>
          <c:idx val="4"/>
          <c:order val="3"/>
          <c:tx>
            <c:strRef>
              <c:f>'Státní rozpočet 1'!$A$39</c:f>
              <c:strCache>
                <c:ptCount val="1"/>
                <c:pt idx="0">
                  <c:v>Income taxes of legal persons</c:v>
                </c:pt>
              </c:strCache>
            </c:strRef>
          </c:tx>
          <c:spPr>
            <a:ln w="19050">
              <a:noFill/>
            </a:ln>
          </c:spPr>
          <c:marker>
            <c:symbol val="diamond"/>
            <c:size val="6"/>
            <c:spPr>
              <a:solidFill>
                <a:srgbClr val="984807"/>
              </a:solidFill>
              <a:ln>
                <a:noFill/>
              </a:ln>
            </c:spPr>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1'!$B$39:$N$39</c:f>
              <c:numCache>
                <c:formatCode>0.0</c:formatCode>
                <c:ptCount val="13"/>
                <c:pt idx="0">
                  <c:v>26.596315507064929</c:v>
                </c:pt>
                <c:pt idx="1">
                  <c:v>5.9197513421870553</c:v>
                </c:pt>
                <c:pt idx="2">
                  <c:v>-1.3872215552887752</c:v>
                </c:pt>
                <c:pt idx="3">
                  <c:v>26.565670228594588</c:v>
                </c:pt>
                <c:pt idx="4">
                  <c:v>-22.293470129314954</c:v>
                </c:pt>
                <c:pt idx="5">
                  <c:v>10.16366387016917</c:v>
                </c:pt>
                <c:pt idx="6">
                  <c:v>-13.50811485642947</c:v>
                </c:pt>
                <c:pt idx="7">
                  <c:v>-1.8042725173210101</c:v>
                </c:pt>
                <c:pt idx="8">
                  <c:v>-2.6458915184477441</c:v>
                </c:pt>
                <c:pt idx="9">
                  <c:v>8.3949871659368949</c:v>
                </c:pt>
                <c:pt idx="10">
                  <c:v>8.3855690207550015</c:v>
                </c:pt>
                <c:pt idx="11">
                  <c:v>11.425266675234539</c:v>
                </c:pt>
                <c:pt idx="12">
                  <c:v>7.5778546712802717</c:v>
                </c:pt>
              </c:numCache>
            </c:numRef>
          </c:val>
        </c:ser>
        <c:marker val="1"/>
        <c:axId val="218658304"/>
        <c:axId val="218660224"/>
      </c:lineChart>
      <c:catAx>
        <c:axId val="218658304"/>
        <c:scaling>
          <c:orientation val="minMax"/>
        </c:scaling>
        <c:axPos val="b"/>
        <c:numFmt formatCode="General" sourceLinked="1"/>
        <c:tickLblPos val="low"/>
        <c:spPr>
          <a:ln>
            <a:solidFill>
              <a:schemeClr val="tx1"/>
            </a:solidFill>
          </a:ln>
        </c:spPr>
        <c:crossAx val="218660224"/>
        <c:crosses val="autoZero"/>
        <c:auto val="1"/>
        <c:lblAlgn val="ctr"/>
        <c:lblOffset val="0"/>
      </c:catAx>
      <c:valAx>
        <c:axId val="218660224"/>
        <c:scaling>
          <c:orientation val="minMax"/>
          <c:max val="35"/>
          <c:min val="-40"/>
        </c:scaling>
        <c:axPos val="l"/>
        <c:majorGridlines>
          <c:spPr>
            <a:ln w="6350">
              <a:solidFill>
                <a:schemeClr val="bg1">
                  <a:lumMod val="75000"/>
                </a:schemeClr>
              </a:solidFill>
            </a:ln>
          </c:spPr>
        </c:majorGridlines>
        <c:numFmt formatCode="0" sourceLinked="0"/>
        <c:tickLblPos val="nextTo"/>
        <c:spPr>
          <a:ln>
            <a:solidFill>
              <a:schemeClr val="tx1"/>
            </a:solidFill>
          </a:ln>
        </c:spPr>
        <c:crossAx val="218658304"/>
        <c:crosses val="autoZero"/>
        <c:crossBetween val="between"/>
        <c:majorUnit val="5"/>
      </c:valAx>
      <c:valAx>
        <c:axId val="218678400"/>
        <c:scaling>
          <c:orientation val="minMax"/>
          <c:max val="70"/>
          <c:min val="-80"/>
        </c:scaling>
        <c:axPos val="r"/>
        <c:numFmt formatCode="#,##0" sourceLinked="0"/>
        <c:tickLblPos val="nextTo"/>
        <c:crossAx val="218679936"/>
        <c:crosses val="max"/>
        <c:crossBetween val="between"/>
        <c:majorUnit val="10"/>
      </c:valAx>
      <c:catAx>
        <c:axId val="218679936"/>
        <c:scaling>
          <c:orientation val="minMax"/>
        </c:scaling>
        <c:delete val="1"/>
        <c:axPos val="b"/>
        <c:tickLblPos val="none"/>
        <c:crossAx val="218678400"/>
        <c:crosses val="autoZero"/>
        <c:auto val="1"/>
        <c:lblAlgn val="ctr"/>
        <c:lblOffset val="100"/>
      </c:catAx>
      <c:spPr>
        <a:ln>
          <a:solidFill>
            <a:schemeClr val="tx1"/>
          </a:solidFill>
        </a:ln>
      </c:spPr>
    </c:plotArea>
    <c:legend>
      <c:legendPos val="b"/>
      <c:layout>
        <c:manualLayout>
          <c:xMode val="edge"/>
          <c:yMode val="edge"/>
          <c:x val="3.0497685185185211E-2"/>
          <c:y val="0.87269019274376625"/>
          <c:w val="0.9612659932659936"/>
          <c:h val="0.12011026077097522"/>
        </c:manualLayout>
      </c:layout>
      <c:spPr>
        <a:ln w="6350">
          <a:solidFill>
            <a:schemeClr val="tx1"/>
          </a:solidFill>
        </a:ln>
      </c:spPr>
      <c:txPr>
        <a:bodyPr/>
        <a:lstStyle/>
        <a:p>
          <a:pPr>
            <a:defRPr sz="750"/>
          </a:pPr>
          <a:endParaRPr lang="cs-CZ"/>
        </a:p>
      </c:tx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5885856591416561E-2"/>
          <c:y val="2.1967687074830006E-2"/>
          <c:w val="0.92164178636877203"/>
          <c:h val="0.79758786848072549"/>
        </c:manualLayout>
      </c:layout>
      <c:barChart>
        <c:barDir val="col"/>
        <c:grouping val="stacked"/>
        <c:ser>
          <c:idx val="0"/>
          <c:order val="0"/>
          <c:tx>
            <c:strRef>
              <c:f>'Státní rozpočet 2'!$A$77</c:f>
              <c:strCache>
                <c:ptCount val="1"/>
                <c:pt idx="0">
                  <c:v>Structural funds</c:v>
                </c:pt>
              </c:strCache>
            </c:strRef>
          </c:tx>
          <c:spPr>
            <a:solidFill>
              <a:srgbClr val="BD1B25"/>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2'!$B$77:$N$77</c:f>
              <c:numCache>
                <c:formatCode>#,##0.0</c:formatCode>
                <c:ptCount val="13"/>
                <c:pt idx="0">
                  <c:v>3.2596999999999987</c:v>
                </c:pt>
                <c:pt idx="1">
                  <c:v>0.76380000000000114</c:v>
                </c:pt>
                <c:pt idx="2">
                  <c:v>2.9116999999999957</c:v>
                </c:pt>
                <c:pt idx="3">
                  <c:v>18.781729999999943</c:v>
                </c:pt>
                <c:pt idx="4">
                  <c:v>19.819170000000032</c:v>
                </c:pt>
                <c:pt idx="5">
                  <c:v>15.15996</c:v>
                </c:pt>
                <c:pt idx="6">
                  <c:v>12.547209999999998</c:v>
                </c:pt>
                <c:pt idx="7">
                  <c:v>4.2539899999999955</c:v>
                </c:pt>
                <c:pt idx="8">
                  <c:v>11.90465</c:v>
                </c:pt>
                <c:pt idx="9">
                  <c:v>34.893100000000011</c:v>
                </c:pt>
                <c:pt idx="10">
                  <c:v>96.006079999999983</c:v>
                </c:pt>
                <c:pt idx="11">
                  <c:v>36.659170023613044</c:v>
                </c:pt>
                <c:pt idx="12">
                  <c:v>7.5708382493577515</c:v>
                </c:pt>
              </c:numCache>
            </c:numRef>
          </c:val>
        </c:ser>
        <c:ser>
          <c:idx val="1"/>
          <c:order val="1"/>
          <c:tx>
            <c:strRef>
              <c:f>'Státní rozpočet 2'!$A$78</c:f>
              <c:strCache>
                <c:ptCount val="1"/>
                <c:pt idx="0">
                  <c:v>Cohesion funds</c:v>
                </c:pt>
              </c:strCache>
            </c:strRef>
          </c:tx>
          <c:spPr>
            <a:solidFill>
              <a:srgbClr val="F8A124"/>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2'!$B$78:$N$78</c:f>
              <c:numCache>
                <c:formatCode>#,##0.0</c:formatCode>
                <c:ptCount val="13"/>
                <c:pt idx="0">
                  <c:v>0.3523000000000005</c:v>
                </c:pt>
                <c:pt idx="1">
                  <c:v>3.6486000000000001</c:v>
                </c:pt>
                <c:pt idx="2">
                  <c:v>0.4259000000000005</c:v>
                </c:pt>
                <c:pt idx="3">
                  <c:v>13.973800000000002</c:v>
                </c:pt>
                <c:pt idx="4">
                  <c:v>11.58196</c:v>
                </c:pt>
                <c:pt idx="5">
                  <c:v>4.0828199999999955</c:v>
                </c:pt>
                <c:pt idx="6">
                  <c:v>0.86347000000000063</c:v>
                </c:pt>
                <c:pt idx="7">
                  <c:v>0.20305000000000001</c:v>
                </c:pt>
                <c:pt idx="8">
                  <c:v>0.47140000000000032</c:v>
                </c:pt>
                <c:pt idx="9">
                  <c:v>17.878209999999989</c:v>
                </c:pt>
                <c:pt idx="10">
                  <c:v>29.547130000000003</c:v>
                </c:pt>
                <c:pt idx="11">
                  <c:v>27.588253876318969</c:v>
                </c:pt>
                <c:pt idx="12">
                  <c:v>6.3277452996307106</c:v>
                </c:pt>
              </c:numCache>
            </c:numRef>
          </c:val>
        </c:ser>
        <c:ser>
          <c:idx val="2"/>
          <c:order val="2"/>
          <c:tx>
            <c:strRef>
              <c:f>'Státní rozpočet 2'!$A$79</c:f>
              <c:strCache>
                <c:ptCount val="1"/>
                <c:pt idx="0">
                  <c:v>Direct payments in agriculture*</c:v>
                </c:pt>
              </c:strCache>
            </c:strRef>
          </c:tx>
          <c:spPr>
            <a:solidFill>
              <a:srgbClr val="47AEE7"/>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2'!$B$79:$N$79</c:f>
              <c:numCache>
                <c:formatCode>#,##0.0</c:formatCode>
                <c:ptCount val="13"/>
                <c:pt idx="0">
                  <c:v>6.8854999999999995</c:v>
                </c:pt>
                <c:pt idx="1">
                  <c:v>8.5137550000000015</c:v>
                </c:pt>
                <c:pt idx="2">
                  <c:v>10.171150000000001</c:v>
                </c:pt>
                <c:pt idx="3">
                  <c:v>9.5222000000000016</c:v>
                </c:pt>
                <c:pt idx="4">
                  <c:v>13.3177</c:v>
                </c:pt>
                <c:pt idx="5">
                  <c:v>14.18098</c:v>
                </c:pt>
                <c:pt idx="6">
                  <c:v>15.741469999999998</c:v>
                </c:pt>
                <c:pt idx="7">
                  <c:v>18.786939999999959</c:v>
                </c:pt>
                <c:pt idx="8">
                  <c:v>21.01</c:v>
                </c:pt>
                <c:pt idx="9">
                  <c:v>24.161349999999963</c:v>
                </c:pt>
                <c:pt idx="10">
                  <c:v>23.599900000000005</c:v>
                </c:pt>
                <c:pt idx="11">
                  <c:v>18.645387208474506</c:v>
                </c:pt>
                <c:pt idx="12">
                  <c:v>21.912326264663935</c:v>
                </c:pt>
              </c:numCache>
            </c:numRef>
          </c:val>
        </c:ser>
        <c:ser>
          <c:idx val="3"/>
          <c:order val="3"/>
          <c:tx>
            <c:strRef>
              <c:f>'Státní rozpočet 2'!$A$80</c:f>
              <c:strCache>
                <c:ptCount val="1"/>
                <c:pt idx="0">
                  <c:v>Rural development and fishing</c:v>
                </c:pt>
              </c:strCache>
            </c:strRef>
          </c:tx>
          <c:spPr>
            <a:solidFill>
              <a:srgbClr val="0071BC"/>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2'!$B$80:$N$80</c:f>
              <c:numCache>
                <c:formatCode>#,##0.0</c:formatCode>
                <c:ptCount val="13"/>
                <c:pt idx="0">
                  <c:v>1.718199999999998</c:v>
                </c:pt>
                <c:pt idx="1">
                  <c:v>2.2130999999999998</c:v>
                </c:pt>
                <c:pt idx="2">
                  <c:v>3.0166999999999957</c:v>
                </c:pt>
                <c:pt idx="3">
                  <c:v>2.1449900000000039</c:v>
                </c:pt>
                <c:pt idx="4">
                  <c:v>6.0011899999999985</c:v>
                </c:pt>
                <c:pt idx="5">
                  <c:v>7.4794200000000091</c:v>
                </c:pt>
                <c:pt idx="6">
                  <c:v>7.7303300000000004</c:v>
                </c:pt>
                <c:pt idx="7">
                  <c:v>7.6745099999999926</c:v>
                </c:pt>
                <c:pt idx="8">
                  <c:v>6.80227</c:v>
                </c:pt>
                <c:pt idx="9">
                  <c:v>6.2812100000000024</c:v>
                </c:pt>
                <c:pt idx="10">
                  <c:v>1.3738199999999998</c:v>
                </c:pt>
                <c:pt idx="11">
                  <c:v>3.0041342681294494</c:v>
                </c:pt>
                <c:pt idx="12">
                  <c:v>3.6522234276508767</c:v>
                </c:pt>
              </c:numCache>
            </c:numRef>
          </c:val>
        </c:ser>
        <c:ser>
          <c:idx val="4"/>
          <c:order val="4"/>
          <c:tx>
            <c:strRef>
              <c:f>'Státní rozpočet 2'!$A$81</c:f>
              <c:strCache>
                <c:ptCount val="1"/>
                <c:pt idx="0">
                  <c:v>Other income</c:v>
                </c:pt>
              </c:strCache>
            </c:strRef>
          </c:tx>
          <c:spPr>
            <a:solidFill>
              <a:srgbClr val="BFBFBF"/>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2'!$B$81:$N$81</c:f>
              <c:numCache>
                <c:formatCode>#,##0.0</c:formatCode>
                <c:ptCount val="13"/>
                <c:pt idx="0">
                  <c:v>5.6441999999999908</c:v>
                </c:pt>
                <c:pt idx="1">
                  <c:v>3.1660999999999997</c:v>
                </c:pt>
                <c:pt idx="2">
                  <c:v>0.51729999999999998</c:v>
                </c:pt>
                <c:pt idx="3">
                  <c:v>0</c:v>
                </c:pt>
                <c:pt idx="4">
                  <c:v>0.58942999999999957</c:v>
                </c:pt>
                <c:pt idx="5">
                  <c:v>0.48283000000000031</c:v>
                </c:pt>
                <c:pt idx="6">
                  <c:v>0</c:v>
                </c:pt>
                <c:pt idx="7">
                  <c:v>0</c:v>
                </c:pt>
                <c:pt idx="8">
                  <c:v>0</c:v>
                </c:pt>
                <c:pt idx="9">
                  <c:v>0</c:v>
                </c:pt>
                <c:pt idx="10">
                  <c:v>0</c:v>
                </c:pt>
                <c:pt idx="11">
                  <c:v>0</c:v>
                </c:pt>
                <c:pt idx="12">
                  <c:v>0</c:v>
                </c:pt>
              </c:numCache>
            </c:numRef>
          </c:val>
        </c:ser>
        <c:gapWidth val="39"/>
        <c:overlap val="100"/>
        <c:axId val="187701504"/>
        <c:axId val="187715584"/>
      </c:barChart>
      <c:lineChart>
        <c:grouping val="standard"/>
        <c:ser>
          <c:idx val="5"/>
          <c:order val="5"/>
          <c:tx>
            <c:strRef>
              <c:f>'Státní rozpočet 2'!$A$82</c:f>
              <c:strCache>
                <c:ptCount val="1"/>
                <c:pt idx="0">
                  <c:v>Net position towards EU budget</c:v>
                </c:pt>
              </c:strCache>
            </c:strRef>
          </c:tx>
          <c:spPr>
            <a:ln w="19050">
              <a:solidFill>
                <a:schemeClr val="tx1">
                  <a:lumMod val="95000"/>
                  <a:lumOff val="5000"/>
                </a:schemeClr>
              </a:solidFill>
            </a:ln>
          </c:spPr>
          <c:marker>
            <c:symbol val="none"/>
          </c:marke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2'!$B$82:$N$82</c:f>
              <c:numCache>
                <c:formatCode>#,##0.0</c:formatCode>
                <c:ptCount val="13"/>
                <c:pt idx="0">
                  <c:v>2.6703000000000001</c:v>
                </c:pt>
                <c:pt idx="1">
                  <c:v>3.1989999999999998</c:v>
                </c:pt>
                <c:pt idx="2">
                  <c:v>2.1196999999999977</c:v>
                </c:pt>
                <c:pt idx="3">
                  <c:v>26.209389999999967</c:v>
                </c:pt>
                <c:pt idx="4">
                  <c:v>29.07404</c:v>
                </c:pt>
                <c:pt idx="5">
                  <c:v>22.706880000000005</c:v>
                </c:pt>
                <c:pt idx="6">
                  <c:v>17.385659999999962</c:v>
                </c:pt>
                <c:pt idx="7">
                  <c:v>6.8634399999999918</c:v>
                </c:pt>
                <c:pt idx="8">
                  <c:v>14.966500000000018</c:v>
                </c:pt>
                <c:pt idx="9">
                  <c:v>56.419000000000004</c:v>
                </c:pt>
                <c:pt idx="10">
                  <c:v>126.82836999999998</c:v>
                </c:pt>
                <c:pt idx="11">
                  <c:v>66.611208234866069</c:v>
                </c:pt>
                <c:pt idx="12">
                  <c:v>16.659537298133312</c:v>
                </c:pt>
              </c:numCache>
            </c:numRef>
          </c:val>
        </c:ser>
        <c:marker val="1"/>
        <c:axId val="187701504"/>
        <c:axId val="187715584"/>
      </c:lineChart>
      <c:catAx>
        <c:axId val="187701504"/>
        <c:scaling>
          <c:orientation val="minMax"/>
        </c:scaling>
        <c:axPos val="b"/>
        <c:numFmt formatCode="General" sourceLinked="1"/>
        <c:tickLblPos val="nextTo"/>
        <c:txPr>
          <a:bodyPr/>
          <a:lstStyle/>
          <a:p>
            <a:pPr>
              <a:defRPr sz="800">
                <a:latin typeface="Arial" pitchFamily="34" charset="0"/>
                <a:cs typeface="Arial" pitchFamily="34" charset="0"/>
              </a:defRPr>
            </a:pPr>
            <a:endParaRPr lang="cs-CZ"/>
          </a:p>
        </c:txPr>
        <c:crossAx val="187715584"/>
        <c:crosses val="autoZero"/>
        <c:auto val="1"/>
        <c:lblAlgn val="ctr"/>
        <c:lblOffset val="20"/>
      </c:catAx>
      <c:valAx>
        <c:axId val="187715584"/>
        <c:scaling>
          <c:orientation val="minMax"/>
          <c:max val="160"/>
          <c:min val="0"/>
        </c:scaling>
        <c:axPos val="l"/>
        <c:majorGridlines>
          <c:spPr>
            <a:ln w="6350">
              <a:solidFill>
                <a:srgbClr val="BFBFBF"/>
              </a:solidFill>
            </a:ln>
          </c:spPr>
        </c:majorGridlines>
        <c:numFmt formatCode="#,##0" sourceLinked="0"/>
        <c:tickLblPos val="nextTo"/>
        <c:txPr>
          <a:bodyPr/>
          <a:lstStyle/>
          <a:p>
            <a:pPr>
              <a:defRPr sz="800">
                <a:latin typeface="Arial" pitchFamily="34" charset="0"/>
                <a:cs typeface="Arial" pitchFamily="34" charset="0"/>
              </a:defRPr>
            </a:pPr>
            <a:endParaRPr lang="cs-CZ"/>
          </a:p>
        </c:txPr>
        <c:crossAx val="187701504"/>
        <c:crosses val="autoZero"/>
        <c:crossBetween val="between"/>
        <c:majorUnit val="10"/>
      </c:valAx>
      <c:spPr>
        <a:ln>
          <a:solidFill>
            <a:schemeClr val="tx1">
              <a:lumMod val="95000"/>
              <a:lumOff val="5000"/>
            </a:schemeClr>
          </a:solidFill>
        </a:ln>
      </c:spPr>
    </c:plotArea>
    <c:legend>
      <c:legendPos val="r"/>
      <c:layout>
        <c:manualLayout>
          <c:xMode val="edge"/>
          <c:yMode val="edge"/>
          <c:x val="6.3517658206840313E-2"/>
          <c:y val="0.86898582766440358"/>
          <c:w val="0.92018571517242886"/>
          <c:h val="0.12237414965986392"/>
        </c:manualLayout>
      </c:layout>
      <c:spPr>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3654503640965086E-2"/>
          <c:y val="2.5575113378684816E-2"/>
          <c:w val="0.88571919735113291"/>
          <c:h val="0.75695549886621361"/>
        </c:manualLayout>
      </c:layout>
      <c:barChart>
        <c:barDir val="col"/>
        <c:grouping val="clustered"/>
        <c:ser>
          <c:idx val="0"/>
          <c:order val="0"/>
          <c:tx>
            <c:strRef>
              <c:f>'Státní rozpočet 3'!$B$31</c:f>
              <c:strCache>
                <c:ptCount val="1"/>
                <c:pt idx="0">
                  <c:v>Current expenditures (right axis)</c:v>
                </c:pt>
              </c:strCache>
            </c:strRef>
          </c:tx>
          <c:spPr>
            <a:solidFill>
              <a:schemeClr val="bg1">
                <a:lumMod val="75000"/>
              </a:schemeClr>
            </a:solidFill>
            <a:ln>
              <a:noFill/>
            </a:ln>
          </c:spP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3'!$B$32:$B$44</c:f>
              <c:numCache>
                <c:formatCode>0.0</c:formatCode>
                <c:ptCount val="13"/>
                <c:pt idx="0">
                  <c:v>402.04</c:v>
                </c:pt>
                <c:pt idx="1">
                  <c:v>437.5329999999995</c:v>
                </c:pt>
                <c:pt idx="2">
                  <c:v>455.274</c:v>
                </c:pt>
                <c:pt idx="3">
                  <c:v>488.71899999999926</c:v>
                </c:pt>
                <c:pt idx="4">
                  <c:v>523.79999999999995</c:v>
                </c:pt>
                <c:pt idx="5">
                  <c:v>527.73400000000004</c:v>
                </c:pt>
                <c:pt idx="6">
                  <c:v>523.22</c:v>
                </c:pt>
                <c:pt idx="7">
                  <c:v>534.42999999999938</c:v>
                </c:pt>
                <c:pt idx="8">
                  <c:v>544.65</c:v>
                </c:pt>
                <c:pt idx="9">
                  <c:v>552.71100000000001</c:v>
                </c:pt>
                <c:pt idx="10">
                  <c:v>564.13</c:v>
                </c:pt>
                <c:pt idx="11">
                  <c:v>575.57000000000005</c:v>
                </c:pt>
                <c:pt idx="12">
                  <c:v>609.57000000000005</c:v>
                </c:pt>
              </c:numCache>
            </c:numRef>
          </c:val>
        </c:ser>
        <c:gapWidth val="70"/>
        <c:axId val="188111488"/>
        <c:axId val="188109952"/>
      </c:barChart>
      <c:lineChart>
        <c:grouping val="standard"/>
        <c:ser>
          <c:idx val="1"/>
          <c:order val="1"/>
          <c:tx>
            <c:strRef>
              <c:f>'Státní rozpočet 3'!$C$31</c:f>
              <c:strCache>
                <c:ptCount val="1"/>
                <c:pt idx="0">
                  <c:v>Wages of public sector employees</c:v>
                </c:pt>
              </c:strCache>
            </c:strRef>
          </c:tx>
          <c:spPr>
            <a:ln w="19050">
              <a:solidFill>
                <a:srgbClr val="0071BC"/>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3'!$C$32:$C$44</c:f>
              <c:numCache>
                <c:formatCode>0.0</c:formatCode>
                <c:ptCount val="13"/>
                <c:pt idx="0">
                  <c:v>34.160000000000011</c:v>
                </c:pt>
                <c:pt idx="1">
                  <c:v>35.65</c:v>
                </c:pt>
                <c:pt idx="2">
                  <c:v>37.92</c:v>
                </c:pt>
                <c:pt idx="3">
                  <c:v>37.730000000000011</c:v>
                </c:pt>
                <c:pt idx="4">
                  <c:v>38.980000000000004</c:v>
                </c:pt>
                <c:pt idx="5">
                  <c:v>39.36</c:v>
                </c:pt>
                <c:pt idx="6">
                  <c:v>35.700000000000003</c:v>
                </c:pt>
                <c:pt idx="7">
                  <c:v>36.300000000000004</c:v>
                </c:pt>
                <c:pt idx="8">
                  <c:v>36.879999999999995</c:v>
                </c:pt>
                <c:pt idx="9">
                  <c:v>38.090000000000003</c:v>
                </c:pt>
                <c:pt idx="10">
                  <c:v>41.879999999999995</c:v>
                </c:pt>
                <c:pt idx="11">
                  <c:v>43.220000000000013</c:v>
                </c:pt>
                <c:pt idx="12">
                  <c:v>46.51</c:v>
                </c:pt>
              </c:numCache>
            </c:numRef>
          </c:val>
        </c:ser>
        <c:ser>
          <c:idx val="2"/>
          <c:order val="2"/>
          <c:tx>
            <c:strRef>
              <c:f>'Státní rozpočet 3'!$D$31</c:f>
              <c:strCache>
                <c:ptCount val="1"/>
                <c:pt idx="0">
                  <c:v>Unemployment benefits</c:v>
                </c:pt>
              </c:strCache>
            </c:strRef>
          </c:tx>
          <c:spPr>
            <a:ln w="19050">
              <a:solidFill>
                <a:srgbClr val="984807"/>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3'!$D$32:$D$44</c:f>
              <c:numCache>
                <c:formatCode>0.0</c:formatCode>
                <c:ptCount val="13"/>
                <c:pt idx="0">
                  <c:v>3.69</c:v>
                </c:pt>
                <c:pt idx="1">
                  <c:v>3.8959999999999977</c:v>
                </c:pt>
                <c:pt idx="2">
                  <c:v>3.7800000000000002</c:v>
                </c:pt>
                <c:pt idx="3">
                  <c:v>3.56</c:v>
                </c:pt>
                <c:pt idx="4">
                  <c:v>7.3049999999999917</c:v>
                </c:pt>
                <c:pt idx="5">
                  <c:v>7.7700000000000014</c:v>
                </c:pt>
                <c:pt idx="6">
                  <c:v>6.2279999999999918</c:v>
                </c:pt>
                <c:pt idx="7">
                  <c:v>4.8410000000000002</c:v>
                </c:pt>
                <c:pt idx="8">
                  <c:v>5.3579999999999908</c:v>
                </c:pt>
                <c:pt idx="9">
                  <c:v>5.2690000000000001</c:v>
                </c:pt>
                <c:pt idx="10">
                  <c:v>4.6099999999999985</c:v>
                </c:pt>
                <c:pt idx="11">
                  <c:v>4.4700000000000024</c:v>
                </c:pt>
                <c:pt idx="12">
                  <c:v>4.3199999999999985</c:v>
                </c:pt>
              </c:numCache>
            </c:numRef>
          </c:val>
        </c:ser>
        <c:ser>
          <c:idx val="3"/>
          <c:order val="3"/>
          <c:tx>
            <c:strRef>
              <c:f>'Státní rozpočet 3'!$E$31</c:f>
              <c:strCache>
                <c:ptCount val="1"/>
                <c:pt idx="0">
                  <c:v>State social supoort benefits*</c:v>
                </c:pt>
              </c:strCache>
            </c:strRef>
          </c:tx>
          <c:spPr>
            <a:ln w="19050">
              <a:solidFill>
                <a:srgbClr val="7DBB2D"/>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3'!$E$32:$E$44</c:f>
              <c:numCache>
                <c:formatCode>General</c:formatCode>
                <c:ptCount val="13"/>
                <c:pt idx="0">
                  <c:v>16.649999999999999</c:v>
                </c:pt>
                <c:pt idx="1">
                  <c:v>17.04</c:v>
                </c:pt>
                <c:pt idx="2">
                  <c:v>23.830000000000005</c:v>
                </c:pt>
                <c:pt idx="3">
                  <c:v>21.52</c:v>
                </c:pt>
                <c:pt idx="4">
                  <c:v>20.594999999999999</c:v>
                </c:pt>
                <c:pt idx="5">
                  <c:v>20.64</c:v>
                </c:pt>
                <c:pt idx="6">
                  <c:v>18.405999999999963</c:v>
                </c:pt>
                <c:pt idx="7">
                  <c:v>17.881</c:v>
                </c:pt>
                <c:pt idx="8">
                  <c:v>18.681999999999999</c:v>
                </c:pt>
                <c:pt idx="9">
                  <c:v>18.91</c:v>
                </c:pt>
                <c:pt idx="10">
                  <c:v>18.91</c:v>
                </c:pt>
                <c:pt idx="11">
                  <c:v>18.979999999999986</c:v>
                </c:pt>
                <c:pt idx="12">
                  <c:v>18.760000000000002</c:v>
                </c:pt>
              </c:numCache>
            </c:numRef>
          </c:val>
        </c:ser>
        <c:ser>
          <c:idx val="4"/>
          <c:order val="4"/>
          <c:tx>
            <c:strRef>
              <c:f>'Státní rozpočet 3'!$F$31</c:f>
              <c:strCache>
                <c:ptCount val="1"/>
                <c:pt idx="0">
                  <c:v>Sickness benefits</c:v>
                </c:pt>
              </c:strCache>
            </c:strRef>
          </c:tx>
          <c:spPr>
            <a:ln w="19050">
              <a:solidFill>
                <a:srgbClr val="F8A124"/>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3'!$F$32:$F$44</c:f>
              <c:numCache>
                <c:formatCode>0.00</c:formatCode>
                <c:ptCount val="13"/>
                <c:pt idx="0">
                  <c:v>17.497</c:v>
                </c:pt>
                <c:pt idx="1">
                  <c:v>17.936</c:v>
                </c:pt>
                <c:pt idx="2">
                  <c:v>18.398</c:v>
                </c:pt>
                <c:pt idx="3">
                  <c:v>16.734000000000005</c:v>
                </c:pt>
                <c:pt idx="4">
                  <c:v>14.089</c:v>
                </c:pt>
                <c:pt idx="5">
                  <c:v>11.56</c:v>
                </c:pt>
                <c:pt idx="6">
                  <c:v>11.773</c:v>
                </c:pt>
                <c:pt idx="7">
                  <c:v>10.243999999999998</c:v>
                </c:pt>
                <c:pt idx="8">
                  <c:v>10.609</c:v>
                </c:pt>
                <c:pt idx="9">
                  <c:v>11.201000000000001</c:v>
                </c:pt>
                <c:pt idx="10">
                  <c:v>12.43</c:v>
                </c:pt>
                <c:pt idx="11">
                  <c:v>13.57</c:v>
                </c:pt>
                <c:pt idx="12">
                  <c:v>14.75</c:v>
                </c:pt>
              </c:numCache>
            </c:numRef>
          </c:val>
        </c:ser>
        <c:ser>
          <c:idx val="5"/>
          <c:order val="5"/>
          <c:tx>
            <c:strRef>
              <c:f>'Státní rozpočet 3'!$G$31</c:f>
              <c:strCache>
                <c:ptCount val="1"/>
                <c:pt idx="0">
                  <c:v>Social care benefits**</c:v>
                </c:pt>
              </c:strCache>
            </c:strRef>
          </c:tx>
          <c:spPr>
            <a:ln w="19050">
              <a:solidFill>
                <a:srgbClr val="48AEE7"/>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3'!$G$32:$G$44</c:f>
              <c:numCache>
                <c:formatCode>General</c:formatCode>
                <c:ptCount val="13"/>
                <c:pt idx="2" formatCode="0.00">
                  <c:v>11.691000000000001</c:v>
                </c:pt>
                <c:pt idx="3" formatCode="0.00">
                  <c:v>13.246999999999998</c:v>
                </c:pt>
                <c:pt idx="4" formatCode="0.00">
                  <c:v>13.003</c:v>
                </c:pt>
                <c:pt idx="5" formatCode="0.00">
                  <c:v>13.486000000000002</c:v>
                </c:pt>
                <c:pt idx="6" formatCode="0.00">
                  <c:v>12.911000000000001</c:v>
                </c:pt>
                <c:pt idx="7" formatCode="0.00">
                  <c:v>13.282</c:v>
                </c:pt>
                <c:pt idx="8" formatCode="0.00">
                  <c:v>15.668000000000001</c:v>
                </c:pt>
                <c:pt idx="9" formatCode="0.00">
                  <c:v>16.734999999999999</c:v>
                </c:pt>
                <c:pt idx="10" formatCode="0.00">
                  <c:v>16.93</c:v>
                </c:pt>
                <c:pt idx="11" formatCode="0.00">
                  <c:v>16.779999999999987</c:v>
                </c:pt>
                <c:pt idx="12" formatCode="0.00">
                  <c:v>17.489999999999959</c:v>
                </c:pt>
              </c:numCache>
            </c:numRef>
          </c:val>
        </c:ser>
        <c:ser>
          <c:idx val="6"/>
          <c:order val="6"/>
          <c:tx>
            <c:strRef>
              <c:f>'Státní rozpočet 3'!$H$31</c:f>
              <c:strCache>
                <c:ptCount val="1"/>
                <c:pt idx="0">
                  <c:v>State debt (net expenditures) ***</c:v>
                </c:pt>
              </c:strCache>
            </c:strRef>
          </c:tx>
          <c:spPr>
            <a:ln w="19050">
              <a:solidFill>
                <a:srgbClr val="7030A0"/>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3'!$H$32:$H$44</c:f>
              <c:numCache>
                <c:formatCode>0.0</c:formatCode>
                <c:ptCount val="13"/>
                <c:pt idx="0">
                  <c:v>14.81</c:v>
                </c:pt>
                <c:pt idx="1">
                  <c:v>17.16</c:v>
                </c:pt>
                <c:pt idx="2">
                  <c:v>17.05</c:v>
                </c:pt>
                <c:pt idx="3">
                  <c:v>16.5</c:v>
                </c:pt>
                <c:pt idx="4">
                  <c:v>25.770000000000003</c:v>
                </c:pt>
                <c:pt idx="5">
                  <c:v>21.27</c:v>
                </c:pt>
                <c:pt idx="6">
                  <c:v>25.810000000000031</c:v>
                </c:pt>
                <c:pt idx="7">
                  <c:v>26.419999999999987</c:v>
                </c:pt>
                <c:pt idx="8">
                  <c:v>30.400000000000002</c:v>
                </c:pt>
                <c:pt idx="9">
                  <c:v>26.86</c:v>
                </c:pt>
                <c:pt idx="10">
                  <c:v>23.549999999999986</c:v>
                </c:pt>
                <c:pt idx="11">
                  <c:v>23.759999999999987</c:v>
                </c:pt>
                <c:pt idx="12">
                  <c:v>18.75</c:v>
                </c:pt>
              </c:numCache>
            </c:numRef>
          </c:val>
        </c:ser>
        <c:ser>
          <c:idx val="7"/>
          <c:order val="7"/>
          <c:tx>
            <c:strRef>
              <c:f>'Státní rozpočet 3'!$I$31</c:f>
              <c:strCache>
                <c:ptCount val="1"/>
                <c:pt idx="0">
                  <c:v>Capital expenditures</c:v>
                </c:pt>
              </c:strCache>
            </c:strRef>
          </c:tx>
          <c:spPr>
            <a:ln w="19050">
              <a:solidFill>
                <a:srgbClr val="BD1B21"/>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3'!$I$32:$I$44</c:f>
              <c:numCache>
                <c:formatCode>0.0</c:formatCode>
                <c:ptCount val="13"/>
                <c:pt idx="0">
                  <c:v>20.45</c:v>
                </c:pt>
                <c:pt idx="1">
                  <c:v>23.643000000000001</c:v>
                </c:pt>
                <c:pt idx="2">
                  <c:v>26.771000000000001</c:v>
                </c:pt>
                <c:pt idx="3">
                  <c:v>53.505000000000003</c:v>
                </c:pt>
                <c:pt idx="4">
                  <c:v>51.149000000000001</c:v>
                </c:pt>
                <c:pt idx="5">
                  <c:v>55.873000000000005</c:v>
                </c:pt>
                <c:pt idx="6">
                  <c:v>47.277000000000001</c:v>
                </c:pt>
                <c:pt idx="7">
                  <c:v>41.93</c:v>
                </c:pt>
                <c:pt idx="8">
                  <c:v>36.779000000000003</c:v>
                </c:pt>
                <c:pt idx="9">
                  <c:v>34.894000000000005</c:v>
                </c:pt>
                <c:pt idx="10">
                  <c:v>54.02</c:v>
                </c:pt>
                <c:pt idx="11">
                  <c:v>39.090000000000003</c:v>
                </c:pt>
                <c:pt idx="12">
                  <c:v>20.309999999999999</c:v>
                </c:pt>
              </c:numCache>
            </c:numRef>
          </c:val>
        </c:ser>
        <c:marker val="1"/>
        <c:axId val="188090240"/>
        <c:axId val="188091776"/>
      </c:lineChart>
      <c:catAx>
        <c:axId val="188090240"/>
        <c:scaling>
          <c:orientation val="minMax"/>
        </c:scaling>
        <c:axPos val="b"/>
        <c:numFmt formatCode="General" sourceLinked="1"/>
        <c:tickLblPos val="low"/>
        <c:spPr>
          <a:ln>
            <a:solidFill>
              <a:schemeClr val="bg1">
                <a:lumMod val="50000"/>
              </a:schemeClr>
            </a:solidFill>
          </a:ln>
        </c:spPr>
        <c:crossAx val="188091776"/>
        <c:crosses val="autoZero"/>
        <c:auto val="1"/>
        <c:lblAlgn val="ctr"/>
        <c:lblOffset val="20"/>
      </c:catAx>
      <c:valAx>
        <c:axId val="188091776"/>
        <c:scaling>
          <c:orientation val="minMax"/>
          <c:max val="6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88090240"/>
        <c:crosses val="autoZero"/>
        <c:crossBetween val="between"/>
        <c:majorUnit val="5"/>
      </c:valAx>
      <c:valAx>
        <c:axId val="188109952"/>
        <c:scaling>
          <c:orientation val="minMax"/>
          <c:max val="700"/>
          <c:min val="0"/>
        </c:scaling>
        <c:axPos val="r"/>
        <c:numFmt formatCode="0" sourceLinked="0"/>
        <c:tickLblPos val="nextTo"/>
        <c:spPr>
          <a:ln>
            <a:solidFill>
              <a:schemeClr val="tx1"/>
            </a:solidFill>
          </a:ln>
        </c:spPr>
        <c:crossAx val="188111488"/>
        <c:crosses val="max"/>
        <c:crossBetween val="between"/>
        <c:majorUnit val="100"/>
      </c:valAx>
      <c:catAx>
        <c:axId val="188111488"/>
        <c:scaling>
          <c:orientation val="minMax"/>
        </c:scaling>
        <c:delete val="1"/>
        <c:axPos val="b"/>
        <c:numFmt formatCode="General" sourceLinked="1"/>
        <c:tickLblPos val="none"/>
        <c:crossAx val="188109952"/>
        <c:crosses val="autoZero"/>
        <c:auto val="1"/>
        <c:lblAlgn val="ctr"/>
        <c:lblOffset val="100"/>
      </c:catAx>
      <c:spPr>
        <a:ln>
          <a:solidFill>
            <a:schemeClr val="tx1"/>
          </a:solidFill>
        </a:ln>
      </c:spPr>
    </c:plotArea>
    <c:legend>
      <c:legendPos val="b"/>
      <c:layout>
        <c:manualLayout>
          <c:xMode val="edge"/>
          <c:yMode val="edge"/>
          <c:x val="5.3073638025823225E-2"/>
          <c:y val="0.83424149659864322"/>
          <c:w val="0.8835622736329457"/>
          <c:h val="0.15682001133786849"/>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1857900718404552E-2"/>
          <c:y val="1.544165056508486E-2"/>
          <c:w val="0.86855180193698733"/>
          <c:h val="0.767322562358278"/>
        </c:manualLayout>
      </c:layout>
      <c:barChart>
        <c:barDir val="col"/>
        <c:grouping val="clustered"/>
        <c:ser>
          <c:idx val="4"/>
          <c:order val="4"/>
          <c:tx>
            <c:strRef>
              <c:f>'Státní rozpočet 4'!$F$22</c:f>
              <c:strCache>
                <c:ptCount val="1"/>
                <c:pt idx="0">
                  <c:v>Balance of incomes and expenditures, right axis</c:v>
                </c:pt>
              </c:strCache>
            </c:strRef>
          </c:tx>
          <c:spPr>
            <a:solidFill>
              <a:schemeClr val="bg1">
                <a:lumMod val="65000"/>
              </a:schemeClr>
            </a:solidFill>
            <a:ln>
              <a:noFill/>
            </a:ln>
          </c:spP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4'!$F$23:$F$35</c:f>
              <c:numCache>
                <c:formatCode>0.0</c:formatCode>
                <c:ptCount val="13"/>
                <c:pt idx="0">
                  <c:v>-5.289999999999992</c:v>
                </c:pt>
                <c:pt idx="1">
                  <c:v>-8.0400000000000187</c:v>
                </c:pt>
                <c:pt idx="2">
                  <c:v>0.15999999999999701</c:v>
                </c:pt>
                <c:pt idx="3">
                  <c:v>6.0900000000000025</c:v>
                </c:pt>
                <c:pt idx="4">
                  <c:v>-7.4699999999999989</c:v>
                </c:pt>
                <c:pt idx="5">
                  <c:v>-18.659999999999997</c:v>
                </c:pt>
                <c:pt idx="6">
                  <c:v>-24.669999999999987</c:v>
                </c:pt>
                <c:pt idx="7">
                  <c:v>-21.629999999999992</c:v>
                </c:pt>
                <c:pt idx="8">
                  <c:v>-19.550000000000011</c:v>
                </c:pt>
                <c:pt idx="9">
                  <c:v>-15.79</c:v>
                </c:pt>
                <c:pt idx="10">
                  <c:v>-11.490000000000002</c:v>
                </c:pt>
                <c:pt idx="11">
                  <c:v>-8.7700000000000102</c:v>
                </c:pt>
                <c:pt idx="12">
                  <c:v>-6.7800000000000011</c:v>
                </c:pt>
              </c:numCache>
            </c:numRef>
          </c:val>
        </c:ser>
        <c:gapWidth val="43"/>
        <c:axId val="188152832"/>
        <c:axId val="188151296"/>
      </c:barChart>
      <c:lineChart>
        <c:grouping val="standard"/>
        <c:ser>
          <c:idx val="0"/>
          <c:order val="0"/>
          <c:tx>
            <c:strRef>
              <c:f>'Státní rozpočet 4'!$B$22</c:f>
              <c:strCache>
                <c:ptCount val="1"/>
                <c:pt idx="0">
                  <c:v>Total number of pension recipients </c:v>
                </c:pt>
              </c:strCache>
            </c:strRef>
          </c:tx>
          <c:spPr>
            <a:ln w="19050">
              <a:solidFill>
                <a:srgbClr val="7DBB2D"/>
              </a:solidFill>
              <a:prstDash val="solid"/>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4'!$B$23:$B$35</c:f>
              <c:numCache>
                <c:formatCode>0.0</c:formatCode>
                <c:ptCount val="13"/>
                <c:pt idx="0">
                  <c:v>0.97119001180084363</c:v>
                </c:pt>
                <c:pt idx="1">
                  <c:v>1.7113420628585061</c:v>
                </c:pt>
                <c:pt idx="2">
                  <c:v>0.87203655500734056</c:v>
                </c:pt>
                <c:pt idx="3">
                  <c:v>1.3906623570156837</c:v>
                </c:pt>
                <c:pt idx="4">
                  <c:v>1.3478834471453638</c:v>
                </c:pt>
                <c:pt idx="5">
                  <c:v>1.2637169965881578</c:v>
                </c:pt>
                <c:pt idx="6">
                  <c:v>0.81439496394068567</c:v>
                </c:pt>
                <c:pt idx="7">
                  <c:v>1.2304166450441703</c:v>
                </c:pt>
                <c:pt idx="8">
                  <c:v>-0.21063254977326551</c:v>
                </c:pt>
                <c:pt idx="9">
                  <c:v>0.16190735460577343</c:v>
                </c:pt>
                <c:pt idx="10">
                  <c:v>-1.9049971634387975E-2</c:v>
                </c:pt>
                <c:pt idx="11">
                  <c:v>0.70327331099943535</c:v>
                </c:pt>
                <c:pt idx="12">
                  <c:v>0.24419969415261294</c:v>
                </c:pt>
              </c:numCache>
            </c:numRef>
          </c:val>
        </c:ser>
        <c:ser>
          <c:idx val="1"/>
          <c:order val="1"/>
          <c:tx>
            <c:strRef>
              <c:f>'Státní rozpočet 4'!$C$22</c:f>
              <c:strCache>
                <c:ptCount val="1"/>
                <c:pt idx="0">
                  <c:v>In that old age pensions at early retirement*</c:v>
                </c:pt>
              </c:strCache>
            </c:strRef>
          </c:tx>
          <c:spPr>
            <a:ln w="19050">
              <a:noFill/>
            </a:ln>
          </c:spPr>
          <c:marker>
            <c:symbol val="diamond"/>
            <c:size val="6"/>
            <c:spPr>
              <a:solidFill>
                <a:srgbClr val="7DBB2D"/>
              </a:solidFill>
              <a:ln>
                <a:noFill/>
              </a:ln>
            </c:spPr>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4'!$C$23:$C$35</c:f>
              <c:numCache>
                <c:formatCode>0.0</c:formatCode>
                <c:ptCount val="13"/>
                <c:pt idx="0">
                  <c:v>1.8836726276404638</c:v>
                </c:pt>
                <c:pt idx="1">
                  <c:v>7.0013988339436031</c:v>
                </c:pt>
                <c:pt idx="2">
                  <c:v>9.0068878386914868</c:v>
                </c:pt>
                <c:pt idx="3">
                  <c:v>7.4826769799065405</c:v>
                </c:pt>
                <c:pt idx="4">
                  <c:v>8.0882140941880749</c:v>
                </c:pt>
                <c:pt idx="5">
                  <c:v>11.095225012070149</c:v>
                </c:pt>
                <c:pt idx="6">
                  <c:v>7.5647200626191449</c:v>
                </c:pt>
                <c:pt idx="7">
                  <c:v>14.971695923141496</c:v>
                </c:pt>
                <c:pt idx="8">
                  <c:v>3.4652004411102268</c:v>
                </c:pt>
                <c:pt idx="9">
                  <c:v>4.009479989191469</c:v>
                </c:pt>
                <c:pt idx="10">
                  <c:v>3.9149958775273785</c:v>
                </c:pt>
                <c:pt idx="11">
                  <c:v>3.4372780952083244</c:v>
                </c:pt>
                <c:pt idx="12">
                  <c:v>2.6132260896274886</c:v>
                </c:pt>
              </c:numCache>
            </c:numRef>
          </c:val>
        </c:ser>
        <c:ser>
          <c:idx val="2"/>
          <c:order val="2"/>
          <c:tx>
            <c:strRef>
              <c:f>'Státní rozpočet 4'!$D$22</c:f>
              <c:strCache>
                <c:ptCount val="1"/>
                <c:pt idx="0">
                  <c:v>Incomes on pensions </c:v>
                </c:pt>
              </c:strCache>
            </c:strRef>
          </c:tx>
          <c:spPr>
            <a:ln w="22225">
              <a:solidFill>
                <a:srgbClr val="0071BC"/>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4'!$D$23:$D$35</c:f>
              <c:numCache>
                <c:formatCode>0.0</c:formatCode>
                <c:ptCount val="13"/>
                <c:pt idx="0">
                  <c:v>5.7971014492753534</c:v>
                </c:pt>
                <c:pt idx="1">
                  <c:v>7.1573316041176867</c:v>
                </c:pt>
                <c:pt idx="2">
                  <c:v>10.325264750378224</c:v>
                </c:pt>
                <c:pt idx="3">
                  <c:v>8.1179293794994809</c:v>
                </c:pt>
                <c:pt idx="4">
                  <c:v>1.4839241549876314</c:v>
                </c:pt>
                <c:pt idx="5">
                  <c:v>-3.3243766793726053</c:v>
                </c:pt>
                <c:pt idx="6">
                  <c:v>3.7748044728847674</c:v>
                </c:pt>
                <c:pt idx="7">
                  <c:v>3.2949236997819895</c:v>
                </c:pt>
                <c:pt idx="8">
                  <c:v>-0.78991799324650469</c:v>
                </c:pt>
                <c:pt idx="9">
                  <c:v>2.5952713790798012</c:v>
                </c:pt>
                <c:pt idx="10">
                  <c:v>5.4798578199052059</c:v>
                </c:pt>
                <c:pt idx="11">
                  <c:v>5.9196854816062814</c:v>
                </c:pt>
                <c:pt idx="12">
                  <c:v>7.3068561429556098</c:v>
                </c:pt>
              </c:numCache>
            </c:numRef>
          </c:val>
        </c:ser>
        <c:ser>
          <c:idx val="3"/>
          <c:order val="3"/>
          <c:tx>
            <c:strRef>
              <c:f>'Státní rozpočet 4'!$E$22</c:f>
              <c:strCache>
                <c:ptCount val="1"/>
                <c:pt idx="0">
                  <c:v>Expenditures on pensions </c:v>
                </c:pt>
              </c:strCache>
            </c:strRef>
          </c:tx>
          <c:spPr>
            <a:ln w="22225">
              <a:solidFill>
                <a:srgbClr val="BD1B21"/>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4'!$E$23:$E$35</c:f>
              <c:numCache>
                <c:formatCode>0.0</c:formatCode>
                <c:ptCount val="13"/>
                <c:pt idx="0">
                  <c:v>6.577203445990742</c:v>
                </c:pt>
                <c:pt idx="1">
                  <c:v>9.0004663454065028</c:v>
                </c:pt>
                <c:pt idx="2">
                  <c:v>3.8861950941243597</c:v>
                </c:pt>
                <c:pt idx="3">
                  <c:v>4.056558446015508</c:v>
                </c:pt>
                <c:pt idx="4">
                  <c:v>10.488126649076518</c:v>
                </c:pt>
                <c:pt idx="5">
                  <c:v>3.5044776119403052</c:v>
                </c:pt>
                <c:pt idx="6">
                  <c:v>6.8350925765703305</c:v>
                </c:pt>
                <c:pt idx="7">
                  <c:v>1.2147716229348886</c:v>
                </c:pt>
                <c:pt idx="8">
                  <c:v>-1.8082893262921971</c:v>
                </c:pt>
                <c:pt idx="9">
                  <c:v>0.27705345501955492</c:v>
                </c:pt>
                <c:pt idx="10">
                  <c:v>2.6816187225743593</c:v>
                </c:pt>
                <c:pt idx="11">
                  <c:v>4.1257781998522916</c:v>
                </c:pt>
                <c:pt idx="12">
                  <c:v>5.9738548844750596</c:v>
                </c:pt>
              </c:numCache>
            </c:numRef>
          </c:val>
        </c:ser>
        <c:marker val="1"/>
        <c:axId val="188135680"/>
        <c:axId val="188149760"/>
      </c:lineChart>
      <c:catAx>
        <c:axId val="188135680"/>
        <c:scaling>
          <c:orientation val="minMax"/>
        </c:scaling>
        <c:axPos val="b"/>
        <c:numFmt formatCode="General" sourceLinked="1"/>
        <c:tickLblPos val="low"/>
        <c:spPr>
          <a:ln>
            <a:solidFill>
              <a:schemeClr val="bg1">
                <a:lumMod val="50000"/>
              </a:schemeClr>
            </a:solidFill>
          </a:ln>
        </c:spPr>
        <c:crossAx val="188149760"/>
        <c:crossesAt val="0"/>
        <c:auto val="1"/>
        <c:lblAlgn val="ctr"/>
        <c:lblOffset val="0"/>
      </c:catAx>
      <c:valAx>
        <c:axId val="188149760"/>
        <c:scaling>
          <c:orientation val="minMax"/>
          <c:max val="18"/>
          <c:min val="-15"/>
        </c:scaling>
        <c:axPos val="l"/>
        <c:majorGridlines>
          <c:spPr>
            <a:ln w="6350">
              <a:solidFill>
                <a:schemeClr val="bg1">
                  <a:lumMod val="75000"/>
                </a:schemeClr>
              </a:solidFill>
            </a:ln>
          </c:spPr>
        </c:majorGridlines>
        <c:numFmt formatCode="0" sourceLinked="0"/>
        <c:tickLblPos val="nextTo"/>
        <c:spPr>
          <a:ln>
            <a:solidFill>
              <a:schemeClr val="tx1"/>
            </a:solidFill>
          </a:ln>
        </c:spPr>
        <c:crossAx val="188135680"/>
        <c:crosses val="autoZero"/>
        <c:crossBetween val="between"/>
        <c:majorUnit val="3"/>
      </c:valAx>
      <c:valAx>
        <c:axId val="188151296"/>
        <c:scaling>
          <c:orientation val="minMax"/>
          <c:max val="30"/>
          <c:min val="-25"/>
        </c:scaling>
        <c:axPos val="r"/>
        <c:numFmt formatCode="0" sourceLinked="0"/>
        <c:tickLblPos val="nextTo"/>
        <c:spPr>
          <a:ln>
            <a:solidFill>
              <a:schemeClr val="tx1"/>
            </a:solidFill>
          </a:ln>
        </c:spPr>
        <c:crossAx val="188152832"/>
        <c:crosses val="max"/>
        <c:crossBetween val="between"/>
        <c:majorUnit val="5"/>
      </c:valAx>
      <c:catAx>
        <c:axId val="188152832"/>
        <c:scaling>
          <c:orientation val="minMax"/>
        </c:scaling>
        <c:delete val="1"/>
        <c:axPos val="b"/>
        <c:numFmt formatCode="General" sourceLinked="1"/>
        <c:tickLblPos val="none"/>
        <c:crossAx val="188151296"/>
        <c:crosses val="autoZero"/>
        <c:auto val="1"/>
        <c:lblAlgn val="ctr"/>
        <c:lblOffset val="100"/>
      </c:catAx>
      <c:spPr>
        <a:ln>
          <a:solidFill>
            <a:schemeClr val="tx1"/>
          </a:solidFill>
        </a:ln>
      </c:spPr>
    </c:plotArea>
    <c:legend>
      <c:legendPos val="b"/>
      <c:layout>
        <c:manualLayout>
          <c:xMode val="edge"/>
          <c:yMode val="edge"/>
          <c:x val="6.2962331649832046E-2"/>
          <c:y val="0.83275311791383344"/>
          <c:w val="0.86057601724928634"/>
          <c:h val="0.1603939909297052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6118939099658112E-2"/>
          <c:y val="1.8967687074829931E-2"/>
          <c:w val="0.87842537233566564"/>
          <c:h val="0.73371428571428576"/>
        </c:manualLayout>
      </c:layout>
      <c:barChart>
        <c:barDir val="col"/>
        <c:grouping val="stacked"/>
        <c:ser>
          <c:idx val="0"/>
          <c:order val="0"/>
          <c:tx>
            <c:strRef>
              <c:f>'Státní rozpočet 5'!$B$31</c:f>
              <c:strCache>
                <c:ptCount val="1"/>
                <c:pt idx="0">
                  <c:v>State treasury bills</c:v>
                </c:pt>
              </c:strCache>
            </c:strRef>
          </c:tx>
          <c:spPr>
            <a:solidFill>
              <a:srgbClr val="BD1B21"/>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5'!$C$31:$AZ$31</c:f>
              <c:numCache>
                <c:formatCode>#,##0</c:formatCode>
                <c:ptCount val="50"/>
                <c:pt idx="0">
                  <c:v>126.545</c:v>
                </c:pt>
                <c:pt idx="1">
                  <c:v>109</c:v>
                </c:pt>
                <c:pt idx="2">
                  <c:v>98.034000000000006</c:v>
                </c:pt>
                <c:pt idx="3">
                  <c:v>94.248999999999995</c:v>
                </c:pt>
                <c:pt idx="4">
                  <c:v>86.825999999999979</c:v>
                </c:pt>
                <c:pt idx="5">
                  <c:v>79.324999999999989</c:v>
                </c:pt>
                <c:pt idx="6">
                  <c:v>71.884</c:v>
                </c:pt>
                <c:pt idx="7">
                  <c:v>89.568000000000012</c:v>
                </c:pt>
                <c:pt idx="8">
                  <c:v>78.144000000000005</c:v>
                </c:pt>
                <c:pt idx="9">
                  <c:v>66.144999999999996</c:v>
                </c:pt>
                <c:pt idx="10">
                  <c:v>54.649000000000001</c:v>
                </c:pt>
                <c:pt idx="11">
                  <c:v>82.167999999999992</c:v>
                </c:pt>
                <c:pt idx="12">
                  <c:v>46.833999999999996</c:v>
                </c:pt>
                <c:pt idx="13">
                  <c:v>32.875</c:v>
                </c:pt>
                <c:pt idx="14">
                  <c:v>45.340999999999994</c:v>
                </c:pt>
                <c:pt idx="15">
                  <c:v>78.748999999999995</c:v>
                </c:pt>
                <c:pt idx="16">
                  <c:v>60.950999999999993</c:v>
                </c:pt>
                <c:pt idx="17">
                  <c:v>79.837000000000003</c:v>
                </c:pt>
                <c:pt idx="18">
                  <c:v>79.491000000000128</c:v>
                </c:pt>
                <c:pt idx="19">
                  <c:v>88.183999999999983</c:v>
                </c:pt>
                <c:pt idx="20">
                  <c:v>87.545000000000002</c:v>
                </c:pt>
                <c:pt idx="21">
                  <c:v>89.194999999999993</c:v>
                </c:pt>
                <c:pt idx="22">
                  <c:v>128.47800000000001</c:v>
                </c:pt>
                <c:pt idx="23">
                  <c:v>113.331</c:v>
                </c:pt>
                <c:pt idx="24">
                  <c:v>137.54399999999998</c:v>
                </c:pt>
                <c:pt idx="25">
                  <c:v>141.077</c:v>
                </c:pt>
                <c:pt idx="26">
                  <c:v>143.268</c:v>
                </c:pt>
                <c:pt idx="27">
                  <c:v>162.60899999999998</c:v>
                </c:pt>
                <c:pt idx="28">
                  <c:v>177.10899999999998</c:v>
                </c:pt>
                <c:pt idx="29">
                  <c:v>163.38200000000032</c:v>
                </c:pt>
                <c:pt idx="30">
                  <c:v>172.06700000000001</c:v>
                </c:pt>
                <c:pt idx="31">
                  <c:v>189.13499999999999</c:v>
                </c:pt>
                <c:pt idx="32">
                  <c:v>185.86600000000001</c:v>
                </c:pt>
                <c:pt idx="33">
                  <c:v>161.66499999999999</c:v>
                </c:pt>
                <c:pt idx="34">
                  <c:v>137.51599999999999</c:v>
                </c:pt>
                <c:pt idx="35">
                  <c:v>120.89100000000002</c:v>
                </c:pt>
                <c:pt idx="36">
                  <c:v>97.57</c:v>
                </c:pt>
                <c:pt idx="37">
                  <c:v>98.149000000000001</c:v>
                </c:pt>
                <c:pt idx="38">
                  <c:v>90.838999999999999</c:v>
                </c:pt>
                <c:pt idx="39">
                  <c:v>107.627</c:v>
                </c:pt>
                <c:pt idx="40">
                  <c:v>81.661000000000001</c:v>
                </c:pt>
                <c:pt idx="41">
                  <c:v>88.458000000000013</c:v>
                </c:pt>
                <c:pt idx="42">
                  <c:v>104.687</c:v>
                </c:pt>
                <c:pt idx="43">
                  <c:v>84.432000000000002</c:v>
                </c:pt>
                <c:pt idx="44">
                  <c:v>79.186999999999998</c:v>
                </c:pt>
                <c:pt idx="45">
                  <c:v>58</c:v>
                </c:pt>
                <c:pt idx="46">
                  <c:v>17.7</c:v>
                </c:pt>
                <c:pt idx="47">
                  <c:v>4.22</c:v>
                </c:pt>
                <c:pt idx="48">
                  <c:v>70.343999999999994</c:v>
                </c:pt>
                <c:pt idx="49">
                  <c:v>147.89800000000025</c:v>
                </c:pt>
              </c:numCache>
            </c:numRef>
          </c:val>
        </c:ser>
        <c:ser>
          <c:idx val="1"/>
          <c:order val="1"/>
          <c:tx>
            <c:strRef>
              <c:f>'Státní rozpočet 5'!$B$32</c:f>
              <c:strCache>
                <c:ptCount val="1"/>
                <c:pt idx="0">
                  <c:v>Savings government bonds</c:v>
                </c:pt>
              </c:strCache>
            </c:strRef>
          </c:tx>
          <c:spPr>
            <a:solidFill>
              <a:srgbClr val="E8AFB2"/>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5'!$C$32:$AZ$32</c:f>
              <c:numCache>
                <c:formatCode>#,##0</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20.428999999999959</c:v>
                </c:pt>
                <c:pt idx="28">
                  <c:v>20.428999999999959</c:v>
                </c:pt>
                <c:pt idx="29">
                  <c:v>35.714000000000006</c:v>
                </c:pt>
                <c:pt idx="30">
                  <c:v>35.708000000000013</c:v>
                </c:pt>
                <c:pt idx="31">
                  <c:v>56.206000000000003</c:v>
                </c:pt>
                <c:pt idx="32">
                  <c:v>56.206000000000003</c:v>
                </c:pt>
                <c:pt idx="33">
                  <c:v>73.781999999999996</c:v>
                </c:pt>
                <c:pt idx="34">
                  <c:v>73.738</c:v>
                </c:pt>
                <c:pt idx="35">
                  <c:v>87.578999999999979</c:v>
                </c:pt>
                <c:pt idx="36">
                  <c:v>87.55</c:v>
                </c:pt>
                <c:pt idx="37">
                  <c:v>80.653999999999982</c:v>
                </c:pt>
                <c:pt idx="38">
                  <c:v>80.60899999999998</c:v>
                </c:pt>
                <c:pt idx="39">
                  <c:v>77.828999999999979</c:v>
                </c:pt>
                <c:pt idx="40">
                  <c:v>77.793000000000006</c:v>
                </c:pt>
                <c:pt idx="41">
                  <c:v>77.828999999999979</c:v>
                </c:pt>
                <c:pt idx="42">
                  <c:v>77.801000000000002</c:v>
                </c:pt>
                <c:pt idx="43">
                  <c:v>66.921999999999997</c:v>
                </c:pt>
                <c:pt idx="44">
                  <c:v>66.911000000000143</c:v>
                </c:pt>
                <c:pt idx="45">
                  <c:v>59.9</c:v>
                </c:pt>
                <c:pt idx="46">
                  <c:v>59.9</c:v>
                </c:pt>
                <c:pt idx="47">
                  <c:v>37.757373000000001</c:v>
                </c:pt>
                <c:pt idx="48">
                  <c:v>37.751000000000005</c:v>
                </c:pt>
                <c:pt idx="49">
                  <c:v>31.02</c:v>
                </c:pt>
              </c:numCache>
            </c:numRef>
          </c:val>
        </c:ser>
        <c:ser>
          <c:idx val="2"/>
          <c:order val="2"/>
          <c:tx>
            <c:strRef>
              <c:f>'Státní rozpočet 5'!$B$33</c:f>
              <c:strCache>
                <c:ptCount val="1"/>
                <c:pt idx="0">
                  <c:v>Long (-medium) term state bonds</c:v>
                </c:pt>
              </c:strCache>
            </c:strRef>
          </c:tx>
          <c:spPr>
            <a:solidFill>
              <a:srgbClr val="A6CDE8"/>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5'!$C$33:$AZ$33</c:f>
              <c:numCache>
                <c:formatCode>#,##0</c:formatCode>
                <c:ptCount val="50"/>
                <c:pt idx="0">
                  <c:v>391.274</c:v>
                </c:pt>
                <c:pt idx="1">
                  <c:v>428.7709999999995</c:v>
                </c:pt>
                <c:pt idx="2">
                  <c:v>456.56</c:v>
                </c:pt>
                <c:pt idx="3">
                  <c:v>487.50299999999999</c:v>
                </c:pt>
                <c:pt idx="4">
                  <c:v>495.72099999999944</c:v>
                </c:pt>
                <c:pt idx="5">
                  <c:v>532.05399999999997</c:v>
                </c:pt>
                <c:pt idx="6">
                  <c:v>554.81699999999887</c:v>
                </c:pt>
                <c:pt idx="7">
                  <c:v>588.93499999999949</c:v>
                </c:pt>
                <c:pt idx="8">
                  <c:v>612.06099999999947</c:v>
                </c:pt>
                <c:pt idx="9">
                  <c:v>666.81999999999948</c:v>
                </c:pt>
                <c:pt idx="10">
                  <c:v>664.79500000000053</c:v>
                </c:pt>
                <c:pt idx="11">
                  <c:v>692.19400000000053</c:v>
                </c:pt>
                <c:pt idx="12">
                  <c:v>693.11500000000001</c:v>
                </c:pt>
                <c:pt idx="13">
                  <c:v>728.61800000000005</c:v>
                </c:pt>
                <c:pt idx="14">
                  <c:v>700.70399999999995</c:v>
                </c:pt>
                <c:pt idx="15">
                  <c:v>735.55099999999948</c:v>
                </c:pt>
                <c:pt idx="16">
                  <c:v>753.09699999999998</c:v>
                </c:pt>
                <c:pt idx="17">
                  <c:v>830.01</c:v>
                </c:pt>
                <c:pt idx="18">
                  <c:v>861.48699999999997</c:v>
                </c:pt>
                <c:pt idx="19">
                  <c:v>838.56699999999887</c:v>
                </c:pt>
                <c:pt idx="20">
                  <c:v>878.78000000000054</c:v>
                </c:pt>
                <c:pt idx="21">
                  <c:v>903.13300000000004</c:v>
                </c:pt>
                <c:pt idx="22">
                  <c:v>956.30699999999899</c:v>
                </c:pt>
                <c:pt idx="23">
                  <c:v>922.950999999999</c:v>
                </c:pt>
                <c:pt idx="24">
                  <c:v>962.34499999999946</c:v>
                </c:pt>
                <c:pt idx="25">
                  <c:v>967.24099999999999</c:v>
                </c:pt>
                <c:pt idx="26">
                  <c:v>1003.614</c:v>
                </c:pt>
                <c:pt idx="27">
                  <c:v>999.13199999999949</c:v>
                </c:pt>
                <c:pt idx="28">
                  <c:v>1055.951</c:v>
                </c:pt>
                <c:pt idx="29">
                  <c:v>1063.3779999999999</c:v>
                </c:pt>
                <c:pt idx="30">
                  <c:v>1085.259</c:v>
                </c:pt>
                <c:pt idx="31">
                  <c:v>1042.0029999999999</c:v>
                </c:pt>
                <c:pt idx="32">
                  <c:v>1090.1229999999998</c:v>
                </c:pt>
                <c:pt idx="33">
                  <c:v>1060.3129999999999</c:v>
                </c:pt>
                <c:pt idx="34">
                  <c:v>1059.616</c:v>
                </c:pt>
                <c:pt idx="35">
                  <c:v>1079.675</c:v>
                </c:pt>
                <c:pt idx="36">
                  <c:v>1100.798</c:v>
                </c:pt>
                <c:pt idx="37">
                  <c:v>1150.5329999999999</c:v>
                </c:pt>
                <c:pt idx="38">
                  <c:v>1159.375</c:v>
                </c:pt>
                <c:pt idx="39">
                  <c:v>1175.655</c:v>
                </c:pt>
                <c:pt idx="40">
                  <c:v>1200.799</c:v>
                </c:pt>
                <c:pt idx="41">
                  <c:v>1189.82</c:v>
                </c:pt>
                <c:pt idx="42">
                  <c:v>1177.1919999999998</c:v>
                </c:pt>
                <c:pt idx="43">
                  <c:v>1235.1969999999999</c:v>
                </c:pt>
                <c:pt idx="44">
                  <c:v>1263.7760000000001</c:v>
                </c:pt>
                <c:pt idx="45">
                  <c:v>1288.8</c:v>
                </c:pt>
                <c:pt idx="46">
                  <c:v>1298.0999999999999</c:v>
                </c:pt>
                <c:pt idx="47">
                  <c:v>1301.5999999999999</c:v>
                </c:pt>
                <c:pt idx="48">
                  <c:v>1410.3129999999999</c:v>
                </c:pt>
                <c:pt idx="49">
                  <c:v>1347.2118500000001</c:v>
                </c:pt>
              </c:numCache>
            </c:numRef>
          </c:val>
        </c:ser>
        <c:ser>
          <c:idx val="3"/>
          <c:order val="3"/>
          <c:tx>
            <c:strRef>
              <c:f>'Státní rozpočet 5'!$B$34</c:f>
              <c:strCache>
                <c:ptCount val="1"/>
                <c:pt idx="0">
                  <c:v>Short-term loans</c:v>
                </c:pt>
              </c:strCache>
            </c:strRef>
          </c:tx>
          <c:spPr>
            <a:solidFill>
              <a:srgbClr val="0071BC"/>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5'!$C$34:$AZ$34</c:f>
              <c:numCache>
                <c:formatCode>#,##0</c:formatCode>
                <c:ptCount val="50"/>
                <c:pt idx="0">
                  <c:v>0</c:v>
                </c:pt>
                <c:pt idx="1">
                  <c:v>0</c:v>
                </c:pt>
                <c:pt idx="2">
                  <c:v>0</c:v>
                </c:pt>
                <c:pt idx="3">
                  <c:v>0</c:v>
                </c:pt>
                <c:pt idx="4">
                  <c:v>0</c:v>
                </c:pt>
                <c:pt idx="5">
                  <c:v>0</c:v>
                </c:pt>
                <c:pt idx="6">
                  <c:v>0</c:v>
                </c:pt>
                <c:pt idx="7">
                  <c:v>2.4</c:v>
                </c:pt>
                <c:pt idx="8">
                  <c:v>0</c:v>
                </c:pt>
                <c:pt idx="9">
                  <c:v>0</c:v>
                </c:pt>
                <c:pt idx="10">
                  <c:v>0</c:v>
                </c:pt>
                <c:pt idx="11">
                  <c:v>3.9000000000000014E-2</c:v>
                </c:pt>
                <c:pt idx="12">
                  <c:v>1.4E-2</c:v>
                </c:pt>
                <c:pt idx="13">
                  <c:v>0.79500000000000004</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8.1</c:v>
                </c:pt>
                <c:pt idx="30">
                  <c:v>0</c:v>
                </c:pt>
                <c:pt idx="31">
                  <c:v>0</c:v>
                </c:pt>
                <c:pt idx="32">
                  <c:v>0</c:v>
                </c:pt>
                <c:pt idx="33">
                  <c:v>0</c:v>
                </c:pt>
                <c:pt idx="34">
                  <c:v>1.585</c:v>
                </c:pt>
                <c:pt idx="35">
                  <c:v>0</c:v>
                </c:pt>
                <c:pt idx="36">
                  <c:v>3.2600000000000002</c:v>
                </c:pt>
                <c:pt idx="37">
                  <c:v>11.620999999999999</c:v>
                </c:pt>
                <c:pt idx="38">
                  <c:v>12.352000000000022</c:v>
                </c:pt>
                <c:pt idx="39">
                  <c:v>2.5449999999999999</c:v>
                </c:pt>
                <c:pt idx="40">
                  <c:v>4.9930000000000003</c:v>
                </c:pt>
                <c:pt idx="41">
                  <c:v>11.764000000000001</c:v>
                </c:pt>
                <c:pt idx="42">
                  <c:v>10.553000000000004</c:v>
                </c:pt>
                <c:pt idx="43">
                  <c:v>2.8549999999999978</c:v>
                </c:pt>
                <c:pt idx="44">
                  <c:v>1.357</c:v>
                </c:pt>
                <c:pt idx="45">
                  <c:v>0</c:v>
                </c:pt>
                <c:pt idx="46">
                  <c:v>1.5</c:v>
                </c:pt>
                <c:pt idx="47">
                  <c:v>0</c:v>
                </c:pt>
                <c:pt idx="48">
                  <c:v>2.0000000000000039E-3</c:v>
                </c:pt>
              </c:numCache>
            </c:numRef>
          </c:val>
        </c:ser>
        <c:ser>
          <c:idx val="4"/>
          <c:order val="4"/>
          <c:tx>
            <c:strRef>
              <c:f>'Státní rozpočet 5'!$B$35</c:f>
              <c:strCache>
                <c:ptCount val="1"/>
                <c:pt idx="0">
                  <c:v>Foreign bond issues</c:v>
                </c:pt>
              </c:strCache>
            </c:strRef>
          </c:tx>
          <c:spPr>
            <a:solidFill>
              <a:srgbClr val="7DBB2D"/>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5'!$C$35:$AZ$35</c:f>
              <c:numCache>
                <c:formatCode>#,##0</c:formatCode>
                <c:ptCount val="50"/>
                <c:pt idx="0">
                  <c:v>78.884999999999991</c:v>
                </c:pt>
                <c:pt idx="1">
                  <c:v>78.885999999999981</c:v>
                </c:pt>
                <c:pt idx="2">
                  <c:v>78.88</c:v>
                </c:pt>
                <c:pt idx="3">
                  <c:v>78.873999999999981</c:v>
                </c:pt>
                <c:pt idx="4">
                  <c:v>84.891000000000005</c:v>
                </c:pt>
                <c:pt idx="5">
                  <c:v>84.733000000000004</c:v>
                </c:pt>
                <c:pt idx="6">
                  <c:v>84.557999999999993</c:v>
                </c:pt>
                <c:pt idx="7">
                  <c:v>84.111999999999995</c:v>
                </c:pt>
                <c:pt idx="8">
                  <c:v>84.200999999999993</c:v>
                </c:pt>
                <c:pt idx="9">
                  <c:v>84.04</c:v>
                </c:pt>
                <c:pt idx="10">
                  <c:v>83.929000000000002</c:v>
                </c:pt>
                <c:pt idx="11">
                  <c:v>83.685999999999979</c:v>
                </c:pt>
                <c:pt idx="12">
                  <c:v>83.658999999999978</c:v>
                </c:pt>
                <c:pt idx="13">
                  <c:v>131.55800000000025</c:v>
                </c:pt>
                <c:pt idx="14">
                  <c:v>133.07299999999998</c:v>
                </c:pt>
                <c:pt idx="15">
                  <c:v>137.87</c:v>
                </c:pt>
                <c:pt idx="16">
                  <c:v>138.38500000000025</c:v>
                </c:pt>
                <c:pt idx="17">
                  <c:v>175.62700000000001</c:v>
                </c:pt>
                <c:pt idx="18">
                  <c:v>173.05600000000001</c:v>
                </c:pt>
                <c:pt idx="19">
                  <c:v>193.018</c:v>
                </c:pt>
                <c:pt idx="20">
                  <c:v>189.80800000000025</c:v>
                </c:pt>
                <c:pt idx="21">
                  <c:v>192.506</c:v>
                </c:pt>
                <c:pt idx="22">
                  <c:v>237.06300000000002</c:v>
                </c:pt>
                <c:pt idx="23">
                  <c:v>240.29599999999999</c:v>
                </c:pt>
                <c:pt idx="24">
                  <c:v>237.41399999999999</c:v>
                </c:pt>
                <c:pt idx="25">
                  <c:v>237.08600000000001</c:v>
                </c:pt>
                <c:pt idx="26">
                  <c:v>240.11599999999999</c:v>
                </c:pt>
                <c:pt idx="27">
                  <c:v>245.74599999999998</c:v>
                </c:pt>
                <c:pt idx="28">
                  <c:v>288.46499999999969</c:v>
                </c:pt>
                <c:pt idx="29">
                  <c:v>295.37599999999969</c:v>
                </c:pt>
                <c:pt idx="30">
                  <c:v>290.82499999999999</c:v>
                </c:pt>
                <c:pt idx="31">
                  <c:v>310.28599999999943</c:v>
                </c:pt>
                <c:pt idx="32">
                  <c:v>313.73399999999907</c:v>
                </c:pt>
                <c:pt idx="33">
                  <c:v>314.565</c:v>
                </c:pt>
                <c:pt idx="34">
                  <c:v>313.14100000000002</c:v>
                </c:pt>
                <c:pt idx="35">
                  <c:v>323.68200000000002</c:v>
                </c:pt>
                <c:pt idx="36">
                  <c:v>323.94499999999999</c:v>
                </c:pt>
                <c:pt idx="37">
                  <c:v>275.38900000000001</c:v>
                </c:pt>
                <c:pt idx="38">
                  <c:v>275.81900000000002</c:v>
                </c:pt>
                <c:pt idx="39">
                  <c:v>239.57599999999999</c:v>
                </c:pt>
                <c:pt idx="40">
                  <c:v>238.19399999999999</c:v>
                </c:pt>
                <c:pt idx="41">
                  <c:v>235.67399999999998</c:v>
                </c:pt>
                <c:pt idx="42">
                  <c:v>234.67299999999997</c:v>
                </c:pt>
                <c:pt idx="43">
                  <c:v>225.61899999999997</c:v>
                </c:pt>
                <c:pt idx="44">
                  <c:v>225.89400000000001</c:v>
                </c:pt>
                <c:pt idx="45">
                  <c:v>227.3</c:v>
                </c:pt>
                <c:pt idx="46">
                  <c:v>226.5</c:v>
                </c:pt>
                <c:pt idx="47">
                  <c:v>213.524</c:v>
                </c:pt>
                <c:pt idx="48">
                  <c:v>213.786</c:v>
                </c:pt>
                <c:pt idx="49" formatCode="0">
                  <c:v>207.51715000000002</c:v>
                </c:pt>
              </c:numCache>
            </c:numRef>
          </c:val>
        </c:ser>
        <c:ser>
          <c:idx val="5"/>
          <c:order val="5"/>
          <c:tx>
            <c:strRef>
              <c:f>'Státní rozpočet 5'!$B$36</c:f>
              <c:strCache>
                <c:ptCount val="1"/>
                <c:pt idx="0">
                  <c:v>Loans from EIB</c:v>
                </c:pt>
              </c:strCache>
            </c:strRef>
          </c:tx>
          <c:spPr>
            <a:solidFill>
              <a:srgbClr val="D2E7B6"/>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5'!$C$36:$AZ$36</c:f>
              <c:numCache>
                <c:formatCode>#,##0</c:formatCode>
                <c:ptCount val="50"/>
                <c:pt idx="0">
                  <c:v>20.655000000000001</c:v>
                </c:pt>
                <c:pt idx="1">
                  <c:v>26.164000000000001</c:v>
                </c:pt>
                <c:pt idx="2">
                  <c:v>28.332000000000001</c:v>
                </c:pt>
                <c:pt idx="3">
                  <c:v>29.731999999999999</c:v>
                </c:pt>
                <c:pt idx="4">
                  <c:v>29.901999999999987</c:v>
                </c:pt>
                <c:pt idx="5">
                  <c:v>32.028000000000013</c:v>
                </c:pt>
                <c:pt idx="6">
                  <c:v>34.298000000000073</c:v>
                </c:pt>
                <c:pt idx="7">
                  <c:v>36.704000000000001</c:v>
                </c:pt>
                <c:pt idx="8">
                  <c:v>36.704000000000001</c:v>
                </c:pt>
                <c:pt idx="9">
                  <c:v>38.434000000000005</c:v>
                </c:pt>
                <c:pt idx="10">
                  <c:v>38.743000000000002</c:v>
                </c:pt>
                <c:pt idx="11">
                  <c:v>38.743000000000002</c:v>
                </c:pt>
                <c:pt idx="12">
                  <c:v>35.907000000000004</c:v>
                </c:pt>
                <c:pt idx="13">
                  <c:v>38.913999999999994</c:v>
                </c:pt>
                <c:pt idx="14">
                  <c:v>45.838000000000001</c:v>
                </c:pt>
                <c:pt idx="15">
                  <c:v>46.811999999999998</c:v>
                </c:pt>
                <c:pt idx="16">
                  <c:v>47.237000000000002</c:v>
                </c:pt>
                <c:pt idx="17">
                  <c:v>51.226000000000013</c:v>
                </c:pt>
                <c:pt idx="18">
                  <c:v>53.134</c:v>
                </c:pt>
                <c:pt idx="19">
                  <c:v>57.911999999999999</c:v>
                </c:pt>
                <c:pt idx="20">
                  <c:v>60.056999999999995</c:v>
                </c:pt>
                <c:pt idx="21">
                  <c:v>60.694000000000003</c:v>
                </c:pt>
                <c:pt idx="22">
                  <c:v>62.394000000000005</c:v>
                </c:pt>
                <c:pt idx="23">
                  <c:v>67.184999999999988</c:v>
                </c:pt>
                <c:pt idx="24">
                  <c:v>66.826999999999998</c:v>
                </c:pt>
                <c:pt idx="25">
                  <c:v>67.218000000000004</c:v>
                </c:pt>
                <c:pt idx="26">
                  <c:v>69.516000000000005</c:v>
                </c:pt>
                <c:pt idx="27">
                  <c:v>71.322999999999979</c:v>
                </c:pt>
                <c:pt idx="28">
                  <c:v>70.965000000000003</c:v>
                </c:pt>
                <c:pt idx="29">
                  <c:v>69.756</c:v>
                </c:pt>
                <c:pt idx="30">
                  <c:v>68.459000000000003</c:v>
                </c:pt>
                <c:pt idx="31">
                  <c:v>70.003</c:v>
                </c:pt>
                <c:pt idx="32">
                  <c:v>69.644999999999996</c:v>
                </c:pt>
                <c:pt idx="33">
                  <c:v>67.778999999999982</c:v>
                </c:pt>
                <c:pt idx="34">
                  <c:v>67.870999999999981</c:v>
                </c:pt>
                <c:pt idx="35">
                  <c:v>71.512</c:v>
                </c:pt>
                <c:pt idx="36">
                  <c:v>70.260999999999996</c:v>
                </c:pt>
                <c:pt idx="37">
                  <c:v>66.956999999999994</c:v>
                </c:pt>
                <c:pt idx="38">
                  <c:v>64.012</c:v>
                </c:pt>
                <c:pt idx="39">
                  <c:v>60.432000000000002</c:v>
                </c:pt>
                <c:pt idx="40">
                  <c:v>59.674000000000007</c:v>
                </c:pt>
                <c:pt idx="41">
                  <c:v>59.491</c:v>
                </c:pt>
                <c:pt idx="42">
                  <c:v>58.134</c:v>
                </c:pt>
                <c:pt idx="43">
                  <c:v>57.950999999999993</c:v>
                </c:pt>
                <c:pt idx="44">
                  <c:v>57.593000000000011</c:v>
                </c:pt>
                <c:pt idx="45">
                  <c:v>57.4</c:v>
                </c:pt>
                <c:pt idx="46">
                  <c:v>56.5</c:v>
                </c:pt>
                <c:pt idx="47">
                  <c:v>56.3</c:v>
                </c:pt>
                <c:pt idx="48">
                  <c:v>55.911999999999999</c:v>
                </c:pt>
                <c:pt idx="49">
                  <c:v>55.2</c:v>
                </c:pt>
              </c:numCache>
            </c:numRef>
          </c:val>
        </c:ser>
        <c:gapWidth val="53"/>
        <c:overlap val="100"/>
        <c:axId val="192590208"/>
        <c:axId val="192591744"/>
      </c:barChart>
      <c:lineChart>
        <c:grouping val="standard"/>
        <c:ser>
          <c:idx val="6"/>
          <c:order val="6"/>
          <c:tx>
            <c:strRef>
              <c:f>'Státní rozpočet 5'!$B$37</c:f>
              <c:strCache>
                <c:ptCount val="1"/>
                <c:pt idx="0">
                  <c:v>% of bonds held by non-residents</c:v>
                </c:pt>
              </c:strCache>
            </c:strRef>
          </c:tx>
          <c:spPr>
            <a:ln w="19050">
              <a:solidFill>
                <a:schemeClr val="tx1"/>
              </a:solidFill>
            </a:ln>
          </c:spPr>
          <c:marker>
            <c:symbol val="none"/>
          </c:marke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5'!$C$37:$AZ$37</c:f>
              <c:numCache>
                <c:formatCode>0.0</c:formatCode>
                <c:ptCount val="50"/>
                <c:pt idx="0">
                  <c:v>10.265992704390317</c:v>
                </c:pt>
                <c:pt idx="1">
                  <c:v>10.923088048331014</c:v>
                </c:pt>
                <c:pt idx="2">
                  <c:v>13.145252386172805</c:v>
                </c:pt>
                <c:pt idx="3">
                  <c:v>13.001503685169766</c:v>
                </c:pt>
                <c:pt idx="4">
                  <c:v>13.304825460196522</c:v>
                </c:pt>
                <c:pt idx="5">
                  <c:v>13.130686728399851</c:v>
                </c:pt>
                <c:pt idx="6">
                  <c:v>12.754669045605075</c:v>
                </c:pt>
                <c:pt idx="7">
                  <c:v>14.023012638423253</c:v>
                </c:pt>
                <c:pt idx="8">
                  <c:v>14.540668674784499</c:v>
                </c:pt>
                <c:pt idx="9">
                  <c:v>16.017485639628557</c:v>
                </c:pt>
                <c:pt idx="10">
                  <c:v>14.915904603224822</c:v>
                </c:pt>
                <c:pt idx="11">
                  <c:v>15.636328283334818</c:v>
                </c:pt>
                <c:pt idx="12">
                  <c:v>18.071642557457089</c:v>
                </c:pt>
                <c:pt idx="13">
                  <c:v>17.908165316315252</c:v>
                </c:pt>
                <c:pt idx="14">
                  <c:v>16.786365018341076</c:v>
                </c:pt>
                <c:pt idx="15">
                  <c:v>11.3672591269615</c:v>
                </c:pt>
                <c:pt idx="16">
                  <c:v>9.6178712100545489</c:v>
                </c:pt>
                <c:pt idx="17">
                  <c:v>9.4410888328706157</c:v>
                </c:pt>
                <c:pt idx="18">
                  <c:v>10.794621127623023</c:v>
                </c:pt>
                <c:pt idx="19">
                  <c:v>10.410776619638703</c:v>
                </c:pt>
                <c:pt idx="20">
                  <c:v>11.225493284964054</c:v>
                </c:pt>
                <c:pt idx="21">
                  <c:v>11.79232663254435</c:v>
                </c:pt>
                <c:pt idx="22">
                  <c:v>12.641224199198579</c:v>
                </c:pt>
                <c:pt idx="23">
                  <c:v>12.83741347982785</c:v>
                </c:pt>
                <c:pt idx="24">
                  <c:v>13.318501834003582</c:v>
                </c:pt>
                <c:pt idx="25">
                  <c:v>14.830507060003551</c:v>
                </c:pt>
                <c:pt idx="26">
                  <c:v>14.66050980041847</c:v>
                </c:pt>
                <c:pt idx="27">
                  <c:v>14.171926415445183</c:v>
                </c:pt>
                <c:pt idx="28">
                  <c:v>12.926745930684422</c:v>
                </c:pt>
                <c:pt idx="29">
                  <c:v>12.792771834252662</c:v>
                </c:pt>
                <c:pt idx="30">
                  <c:v>12.77686883709845</c:v>
                </c:pt>
                <c:pt idx="31">
                  <c:v>12.215676084031044</c:v>
                </c:pt>
                <c:pt idx="32">
                  <c:v>13.255297631418399</c:v>
                </c:pt>
                <c:pt idx="33">
                  <c:v>13.350273439240414</c:v>
                </c:pt>
                <c:pt idx="34">
                  <c:v>13.057915258672836</c:v>
                </c:pt>
                <c:pt idx="35">
                  <c:v>14.997789266625253</c:v>
                </c:pt>
                <c:pt idx="36">
                  <c:v>14.974431008283176</c:v>
                </c:pt>
                <c:pt idx="37">
                  <c:v>14.162303131717232</c:v>
                </c:pt>
                <c:pt idx="38">
                  <c:v>14.499025313524344</c:v>
                </c:pt>
                <c:pt idx="39">
                  <c:v>14.49378333679272</c:v>
                </c:pt>
                <c:pt idx="40">
                  <c:v>17.111328570972969</c:v>
                </c:pt>
                <c:pt idx="41">
                  <c:v>17.385520699212726</c:v>
                </c:pt>
                <c:pt idx="42">
                  <c:v>18.843809422995431</c:v>
                </c:pt>
                <c:pt idx="43">
                  <c:v>21.274294138798233</c:v>
                </c:pt>
                <c:pt idx="44">
                  <c:v>24.684449907953084</c:v>
                </c:pt>
                <c:pt idx="45">
                  <c:v>26.121406197883733</c:v>
                </c:pt>
                <c:pt idx="46">
                  <c:v>28.36</c:v>
                </c:pt>
                <c:pt idx="47">
                  <c:v>31.557426806363601</c:v>
                </c:pt>
                <c:pt idx="48">
                  <c:v>47.262759844202357</c:v>
                </c:pt>
                <c:pt idx="49">
                  <c:v>47.618125585631624</c:v>
                </c:pt>
              </c:numCache>
            </c:numRef>
          </c:val>
        </c:ser>
        <c:marker val="1"/>
        <c:axId val="166593664"/>
        <c:axId val="192593280"/>
      </c:lineChart>
      <c:catAx>
        <c:axId val="192590208"/>
        <c:scaling>
          <c:orientation val="minMax"/>
        </c:scaling>
        <c:axPos val="b"/>
        <c:tickLblPos val="nextTo"/>
        <c:spPr>
          <a:ln>
            <a:solidFill>
              <a:schemeClr val="tx1"/>
            </a:solidFill>
          </a:ln>
        </c:spPr>
        <c:crossAx val="192591744"/>
        <c:crosses val="autoZero"/>
        <c:auto val="1"/>
        <c:lblAlgn val="ctr"/>
        <c:lblOffset val="10"/>
      </c:catAx>
      <c:valAx>
        <c:axId val="192591744"/>
        <c:scaling>
          <c:orientation val="minMax"/>
          <c:max val="1800"/>
        </c:scaling>
        <c:axPos val="l"/>
        <c:majorGridlines>
          <c:spPr>
            <a:ln w="6350">
              <a:solidFill>
                <a:schemeClr val="bg1">
                  <a:lumMod val="75000"/>
                </a:schemeClr>
              </a:solidFill>
            </a:ln>
          </c:spPr>
        </c:majorGridlines>
        <c:numFmt formatCode="#,##0" sourceLinked="1"/>
        <c:tickLblPos val="nextTo"/>
        <c:spPr>
          <a:ln>
            <a:solidFill>
              <a:schemeClr val="tx1"/>
            </a:solidFill>
          </a:ln>
        </c:spPr>
        <c:crossAx val="192590208"/>
        <c:crosses val="autoZero"/>
        <c:crossBetween val="between"/>
      </c:valAx>
      <c:valAx>
        <c:axId val="192593280"/>
        <c:scaling>
          <c:orientation val="minMax"/>
          <c:max val="60"/>
        </c:scaling>
        <c:axPos val="r"/>
        <c:numFmt formatCode="0" sourceLinked="0"/>
        <c:tickLblPos val="nextTo"/>
        <c:spPr>
          <a:ln>
            <a:solidFill>
              <a:schemeClr val="tx1"/>
            </a:solidFill>
          </a:ln>
        </c:spPr>
        <c:crossAx val="166593664"/>
        <c:crosses val="max"/>
        <c:crossBetween val="between"/>
        <c:majorUnit val="5"/>
      </c:valAx>
      <c:catAx>
        <c:axId val="166593664"/>
        <c:scaling>
          <c:orientation val="minMax"/>
        </c:scaling>
        <c:delete val="1"/>
        <c:axPos val="b"/>
        <c:tickLblPos val="none"/>
        <c:crossAx val="192593280"/>
        <c:crosses val="autoZero"/>
        <c:auto val="1"/>
        <c:lblAlgn val="ctr"/>
        <c:lblOffset val="100"/>
      </c:catAx>
      <c:spPr>
        <a:ln w="9525">
          <a:solidFill>
            <a:schemeClr val="tx1"/>
          </a:solidFill>
        </a:ln>
      </c:spPr>
    </c:plotArea>
    <c:legend>
      <c:legendPos val="b"/>
      <c:layout>
        <c:manualLayout>
          <c:xMode val="edge"/>
          <c:yMode val="edge"/>
          <c:x val="7.1917809656383364E-2"/>
          <c:y val="0.85316553287982022"/>
          <c:w val="0.8853057659932636"/>
          <c:h val="0.12993917070585131"/>
        </c:manualLayout>
      </c:layout>
      <c:spPr>
        <a:ln w="6350">
          <a:solidFill>
            <a:schemeClr val="tx1"/>
          </a:solidFill>
        </a:ln>
      </c:spPr>
      <c:txPr>
        <a:bodyPr/>
        <a:lstStyle/>
        <a:p>
          <a:pPr>
            <a:defRPr sz="800"/>
          </a:pPr>
          <a:endParaRPr lang="cs-CZ"/>
        </a:p>
      </c:tx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948352704928246E-2"/>
          <c:y val="2.8458510079622041E-2"/>
          <c:w val="0.93956464282120356"/>
          <c:h val="0.6497469886299676"/>
        </c:manualLayout>
      </c:layout>
      <c:barChart>
        <c:barDir val="col"/>
        <c:grouping val="stacked"/>
        <c:ser>
          <c:idx val="5"/>
          <c:order val="1"/>
          <c:tx>
            <c:strRef>
              <c:f>'souhrnná výkonnost 3'!$D$5</c:f>
              <c:strCache>
                <c:ptCount val="1"/>
                <c:pt idx="0">
                  <c:v>Final consumption expenditure of households (inc. non-profit inst.)</c:v>
                </c:pt>
              </c:strCache>
            </c:strRef>
          </c:tx>
          <c:spPr>
            <a:solidFill>
              <a:srgbClr val="0071BC"/>
            </a:solidFill>
            <a:ln>
              <a:noFill/>
            </a:ln>
          </c:spPr>
          <c:val>
            <c:numRef>
              <c:f>'souhrnná výkonnost 3'!$D$10:$D$27</c:f>
              <c:numCache>
                <c:formatCode>#,##0.0</c:formatCode>
                <c:ptCount val="18"/>
                <c:pt idx="0">
                  <c:v>0.40597446298276857</c:v>
                </c:pt>
                <c:pt idx="1">
                  <c:v>0.39628462481417703</c:v>
                </c:pt>
                <c:pt idx="2">
                  <c:v>0.10072438430113158</c:v>
                </c:pt>
                <c:pt idx="3">
                  <c:v>-0.14406158457489293</c:v>
                </c:pt>
                <c:pt idx="4">
                  <c:v>-0.34191248336467717</c:v>
                </c:pt>
                <c:pt idx="5">
                  <c:v>9.7003151816959683E-3</c:v>
                </c:pt>
                <c:pt idx="6">
                  <c:v>0.64252536968968565</c:v>
                </c:pt>
                <c:pt idx="7">
                  <c:v>1.1251665920999583</c:v>
                </c:pt>
                <c:pt idx="8">
                  <c:v>0.95996723394403682</c:v>
                </c:pt>
                <c:pt idx="9">
                  <c:v>0.88418646707186233</c:v>
                </c:pt>
                <c:pt idx="10">
                  <c:v>0.95576447741813653</c:v>
                </c:pt>
                <c:pt idx="11">
                  <c:v>1.1866830908443908</c:v>
                </c:pt>
                <c:pt idx="12">
                  <c:v>1.122020889517066</c:v>
                </c:pt>
                <c:pt idx="13">
                  <c:v>1.223660290814153</c:v>
                </c:pt>
                <c:pt idx="14">
                  <c:v>1.3569551772034671</c:v>
                </c:pt>
                <c:pt idx="15">
                  <c:v>1.1073481536560261</c:v>
                </c:pt>
                <c:pt idx="16">
                  <c:v>1.246260527529943</c:v>
                </c:pt>
                <c:pt idx="17">
                  <c:v>1.547650677272931</c:v>
                </c:pt>
              </c:numCache>
            </c:numRef>
          </c:val>
        </c:ser>
        <c:ser>
          <c:idx val="4"/>
          <c:order val="2"/>
          <c:tx>
            <c:strRef>
              <c:f>'souhrnná výkonnost 3'!$E$5</c:f>
              <c:strCache>
                <c:ptCount val="1"/>
                <c:pt idx="0">
                  <c:v>Final consumption expenditure of government institutions</c:v>
                </c:pt>
              </c:strCache>
            </c:strRef>
          </c:tx>
          <c:spPr>
            <a:solidFill>
              <a:srgbClr val="A6CDE8"/>
            </a:solidFill>
            <a:ln>
              <a:noFill/>
            </a:ln>
          </c:spPr>
          <c:val>
            <c:numRef>
              <c:f>'souhrnná výkonnost 3'!$E$10:$E$27</c:f>
              <c:numCache>
                <c:formatCode>#,##0.0</c:formatCode>
                <c:ptCount val="18"/>
                <c:pt idx="0">
                  <c:v>0.29182349651824147</c:v>
                </c:pt>
                <c:pt idx="1">
                  <c:v>0.39883827436685043</c:v>
                </c:pt>
                <c:pt idx="2">
                  <c:v>0.61835595894915063</c:v>
                </c:pt>
                <c:pt idx="3">
                  <c:v>0.49997414143888386</c:v>
                </c:pt>
                <c:pt idx="4">
                  <c:v>0.24721971722961228</c:v>
                </c:pt>
                <c:pt idx="5">
                  <c:v>0.35050457281023112</c:v>
                </c:pt>
                <c:pt idx="6">
                  <c:v>8.4527068204702738E-2</c:v>
                </c:pt>
                <c:pt idx="7">
                  <c:v>0.28017686102842765</c:v>
                </c:pt>
                <c:pt idx="8">
                  <c:v>0.38356988684026755</c:v>
                </c:pt>
                <c:pt idx="9">
                  <c:v>0.38665907102931607</c:v>
                </c:pt>
                <c:pt idx="10">
                  <c:v>0.60627256929248252</c:v>
                </c:pt>
                <c:pt idx="11">
                  <c:v>0.5639728704360647</c:v>
                </c:pt>
                <c:pt idx="12">
                  <c:v>0.33602278185610457</c:v>
                </c:pt>
                <c:pt idx="13">
                  <c:v>0.41149254163913818</c:v>
                </c:pt>
                <c:pt idx="14">
                  <c:v>0.34012918105702838</c:v>
                </c:pt>
                <c:pt idx="15">
                  <c:v>0.38626077717024276</c:v>
                </c:pt>
                <c:pt idx="16">
                  <c:v>0.45390209197023318</c:v>
                </c:pt>
                <c:pt idx="17">
                  <c:v>0.3455470563895392</c:v>
                </c:pt>
              </c:numCache>
            </c:numRef>
          </c:val>
        </c:ser>
        <c:ser>
          <c:idx val="3"/>
          <c:order val="3"/>
          <c:tx>
            <c:strRef>
              <c:f>'souhrnná výkonnost 3'!$J$5</c:f>
              <c:strCache>
                <c:ptCount val="1"/>
                <c:pt idx="0">
                  <c:v>Gross capital formation</c:v>
                </c:pt>
              </c:strCache>
            </c:strRef>
          </c:tx>
          <c:spPr>
            <a:solidFill>
              <a:srgbClr val="BD1B21"/>
            </a:solidFill>
            <a:ln>
              <a:noFill/>
            </a:ln>
          </c:spPr>
          <c:val>
            <c:numRef>
              <c:f>'souhrnná výkonnost 3'!$J$10:$J$27</c:f>
              <c:numCache>
                <c:formatCode>#,##0.0</c:formatCode>
                <c:ptCount val="18"/>
                <c:pt idx="0">
                  <c:v>-1.3565537417116762</c:v>
                </c:pt>
                <c:pt idx="1">
                  <c:v>-2.8563879245256727</c:v>
                </c:pt>
                <c:pt idx="2">
                  <c:v>-8.4138539479111193E-2</c:v>
                </c:pt>
                <c:pt idx="3">
                  <c:v>0.37621790098269492</c:v>
                </c:pt>
                <c:pt idx="4">
                  <c:v>-6.421771790176492E-2</c:v>
                </c:pt>
                <c:pt idx="5">
                  <c:v>1.7432034404711898</c:v>
                </c:pt>
                <c:pt idx="6">
                  <c:v>1.1897955210010254</c:v>
                </c:pt>
                <c:pt idx="7">
                  <c:v>0.47141627966226696</c:v>
                </c:pt>
                <c:pt idx="8">
                  <c:v>2.995551102866798</c:v>
                </c:pt>
                <c:pt idx="9">
                  <c:v>3.9932674109015083</c:v>
                </c:pt>
                <c:pt idx="10">
                  <c:v>2.7507831059265175</c:v>
                </c:pt>
                <c:pt idx="11">
                  <c:v>1.0081209599196153</c:v>
                </c:pt>
                <c:pt idx="12">
                  <c:v>1.0273007963049317</c:v>
                </c:pt>
                <c:pt idx="13">
                  <c:v>-0.96946155529155886</c:v>
                </c:pt>
                <c:pt idx="14">
                  <c:v>-0.51354041218170043</c:v>
                </c:pt>
                <c:pt idx="15">
                  <c:v>-0.21949598559678951</c:v>
                </c:pt>
                <c:pt idx="16">
                  <c:v>-0.94141467984859595</c:v>
                </c:pt>
                <c:pt idx="17">
                  <c:v>0.65000266309612464</c:v>
                </c:pt>
              </c:numCache>
            </c:numRef>
          </c:val>
        </c:ser>
        <c:ser>
          <c:idx val="1"/>
          <c:order val="4"/>
          <c:tx>
            <c:strRef>
              <c:f>'souhrnná výkonnost 3'!$H$5</c:f>
              <c:strCache>
                <c:ptCount val="1"/>
                <c:pt idx="0">
                  <c:v>Foreign trade balance</c:v>
                </c:pt>
              </c:strCache>
            </c:strRef>
          </c:tx>
          <c:spPr>
            <a:solidFill>
              <a:srgbClr val="7DBB2D"/>
            </a:solidFill>
            <a:ln>
              <a:noFill/>
            </a:ln>
          </c:spPr>
          <c:val>
            <c:numRef>
              <c:f>'souhrnná výkonnost 3'!$H$10:$H$27</c:f>
              <c:numCache>
                <c:formatCode>#,##0.0</c:formatCode>
                <c:ptCount val="18"/>
                <c:pt idx="0">
                  <c:v>-1.1212539863066822</c:v>
                </c:pt>
                <c:pt idx="1">
                  <c:v>0.92540979141000812</c:v>
                </c:pt>
                <c:pt idx="2">
                  <c:v>-1.0354498395259251</c:v>
                </c:pt>
                <c:pt idx="3">
                  <c:v>0.55721289260918105</c:v>
                </c:pt>
                <c:pt idx="4">
                  <c:v>1.8104123228453399</c:v>
                </c:pt>
                <c:pt idx="5">
                  <c:v>0.25472480422095339</c:v>
                </c:pt>
                <c:pt idx="6">
                  <c:v>1.4702269856408019</c:v>
                </c:pt>
                <c:pt idx="7">
                  <c:v>1.4755441754070078</c:v>
                </c:pt>
                <c:pt idx="8">
                  <c:v>0.87270670480565737</c:v>
                </c:pt>
                <c:pt idx="9">
                  <c:v>0.56954370937031307</c:v>
                </c:pt>
                <c:pt idx="10">
                  <c:v>1.4131260319789174</c:v>
                </c:pt>
                <c:pt idx="11">
                  <c:v>2.1455063702622859</c:v>
                </c:pt>
                <c:pt idx="12">
                  <c:v>1.0557410423051223</c:v>
                </c:pt>
                <c:pt idx="13">
                  <c:v>2.1496812176394013</c:v>
                </c:pt>
                <c:pt idx="14">
                  <c:v>0.65095065525561691</c:v>
                </c:pt>
                <c:pt idx="15">
                  <c:v>0.49407696770870146</c:v>
                </c:pt>
                <c:pt idx="16">
                  <c:v>2.1931455623719649</c:v>
                </c:pt>
                <c:pt idx="17">
                  <c:v>2.1128651890066701</c:v>
                </c:pt>
              </c:numCache>
            </c:numRef>
          </c:val>
        </c:ser>
        <c:gapWidth val="40"/>
        <c:overlap val="100"/>
        <c:axId val="165791616"/>
        <c:axId val="165793152"/>
      </c:barChart>
      <c:lineChart>
        <c:grouping val="standard"/>
        <c:ser>
          <c:idx val="0"/>
          <c:order val="0"/>
          <c:tx>
            <c:strRef>
              <c:f>'souhrnná výkonnost 3'!$C$5</c:f>
              <c:strCache>
                <c:ptCount val="1"/>
                <c:pt idx="0">
                  <c:v>GDP</c:v>
                </c:pt>
              </c:strCache>
            </c:strRef>
          </c:tx>
          <c:spPr>
            <a:ln>
              <a:solidFill>
                <a:prstClr val="black"/>
              </a:solidFill>
            </a:ln>
          </c:spPr>
          <c:marker>
            <c:symbol val="none"/>
          </c:marker>
          <c:cat>
            <c:multiLvlStrRef>
              <c:f>'souhrnná výkonnost 3'!$A$10:$B$27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'souhrnná výkonnost 3'!$C$10:$C$27</c:f>
              <c:numCache>
                <c:formatCode>#,##0.0</c:formatCode>
                <c:ptCount val="18"/>
                <c:pt idx="0">
                  <c:v>-1.7511683134985219</c:v>
                </c:pt>
                <c:pt idx="1">
                  <c:v>-1.1225511599608591</c:v>
                </c:pt>
                <c:pt idx="2">
                  <c:v>-0.3518733567189688</c:v>
                </c:pt>
                <c:pt idx="3">
                  <c:v>1.3064560933108733</c:v>
                </c:pt>
                <c:pt idx="4">
                  <c:v>1.6429317745401271</c:v>
                </c:pt>
                <c:pt idx="5">
                  <c:v>2.3799514502212777</c:v>
                </c:pt>
                <c:pt idx="6">
                  <c:v>3.4229941989101702</c:v>
                </c:pt>
                <c:pt idx="7">
                  <c:v>3.3996850847558355</c:v>
                </c:pt>
                <c:pt idx="8">
                  <c:v>5.1924491451289025</c:v>
                </c:pt>
                <c:pt idx="9">
                  <c:v>5.7975987955825898</c:v>
                </c:pt>
                <c:pt idx="10">
                  <c:v>5.6880052521313882</c:v>
                </c:pt>
                <c:pt idx="11">
                  <c:v>4.880725514351437</c:v>
                </c:pt>
                <c:pt idx="12">
                  <c:v>3.5408169174491047</c:v>
                </c:pt>
                <c:pt idx="13">
                  <c:v>2.8477395147454412</c:v>
                </c:pt>
                <c:pt idx="14">
                  <c:v>1.843939906776336</c:v>
                </c:pt>
                <c:pt idx="15">
                  <c:v>1.765441823480645</c:v>
                </c:pt>
                <c:pt idx="16">
                  <c:v>2.9918698816459828</c:v>
                </c:pt>
                <c:pt idx="17">
                  <c:v>4.6799728703031329</c:v>
                </c:pt>
              </c:numCache>
            </c:numRef>
          </c:val>
        </c:ser>
        <c:marker val="1"/>
        <c:axId val="165791616"/>
        <c:axId val="165793152"/>
      </c:lineChart>
      <c:catAx>
        <c:axId val="165791616"/>
        <c:scaling>
          <c:orientation val="minMax"/>
        </c:scaling>
        <c:axPos val="b"/>
        <c:tickLblPos val="low"/>
        <c:spPr>
          <a:ln>
            <a:solidFill>
              <a:schemeClr val="tx1"/>
            </a:solidFill>
          </a:ln>
        </c:spPr>
        <c:txPr>
          <a:bodyPr rot="0" vert="horz"/>
          <a:lstStyle/>
          <a:p>
            <a:pPr>
              <a:defRPr/>
            </a:pPr>
            <a:endParaRPr lang="cs-CZ"/>
          </a:p>
        </c:txPr>
        <c:crossAx val="165793152"/>
        <c:crosses val="autoZero"/>
        <c:auto val="1"/>
        <c:lblAlgn val="ctr"/>
        <c:lblOffset val="100"/>
      </c:catAx>
      <c:valAx>
        <c:axId val="165793152"/>
        <c:scaling>
          <c:orientation val="minMax"/>
          <c:max val="6"/>
          <c:min val="-4"/>
        </c:scaling>
        <c:axPos val="l"/>
        <c:majorGridlines>
          <c:spPr>
            <a:ln w="6350">
              <a:solidFill>
                <a:schemeClr val="bg1">
                  <a:lumMod val="75000"/>
                </a:schemeClr>
              </a:solidFill>
            </a:ln>
          </c:spPr>
        </c:majorGridlines>
        <c:numFmt formatCode="#,##0" sourceLinked="0"/>
        <c:tickLblPos val="nextTo"/>
        <c:spPr>
          <a:ln>
            <a:solidFill>
              <a:schemeClr val="tx1"/>
            </a:solidFill>
          </a:ln>
        </c:spPr>
        <c:crossAx val="165791616"/>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4404035346808708E-2"/>
          <c:y val="3.7154479717354444E-2"/>
          <c:w val="0.93674937195830343"/>
          <c:h val="0.63445260610154264"/>
        </c:manualLayout>
      </c:layout>
      <c:barChart>
        <c:barDir val="col"/>
        <c:grouping val="stacked"/>
        <c:ser>
          <c:idx val="4"/>
          <c:order val="0"/>
          <c:tx>
            <c:strRef>
              <c:f>'souhrnná výkonnost 4'!$C$5</c:f>
              <c:strCache>
                <c:ptCount val="1"/>
                <c:pt idx="0">
                  <c:v>Agriculture, forestry and fishing</c:v>
                </c:pt>
              </c:strCache>
            </c:strRef>
          </c:tx>
          <c:spPr>
            <a:solidFill>
              <a:srgbClr val="0071BC"/>
            </a:solidFill>
            <a:ln>
              <a:noFill/>
            </a:ln>
          </c:spPr>
          <c:val>
            <c:numRef>
              <c:f>'souhrnná výkonnost 4'!$C$10:$C$27</c:f>
              <c:numCache>
                <c:formatCode>#,##0.0</c:formatCode>
                <c:ptCount val="18"/>
                <c:pt idx="0">
                  <c:v>-4.4699648816173963E-2</c:v>
                </c:pt>
                <c:pt idx="1">
                  <c:v>-0.11466415714156017</c:v>
                </c:pt>
                <c:pt idx="2">
                  <c:v>-8.9941431175314654E-2</c:v>
                </c:pt>
                <c:pt idx="3">
                  <c:v>-6.1245633202245504E-3</c:v>
                </c:pt>
                <c:pt idx="4">
                  <c:v>9.4408798336974964E-2</c:v>
                </c:pt>
                <c:pt idx="5">
                  <c:v>0.23066751983404632</c:v>
                </c:pt>
                <c:pt idx="6">
                  <c:v>0.28225200568902681</c:v>
                </c:pt>
                <c:pt idx="7">
                  <c:v>0.25875789622783918</c:v>
                </c:pt>
                <c:pt idx="8">
                  <c:v>0.23202547241325647</c:v>
                </c:pt>
                <c:pt idx="9">
                  <c:v>0.1519285796170429</c:v>
                </c:pt>
                <c:pt idx="10">
                  <c:v>0.12094967534777865</c:v>
                </c:pt>
                <c:pt idx="11">
                  <c:v>0.10040143726492615</c:v>
                </c:pt>
                <c:pt idx="12">
                  <c:v>0.13957559104473763</c:v>
                </c:pt>
                <c:pt idx="13">
                  <c:v>0.21132726920557363</c:v>
                </c:pt>
                <c:pt idx="14">
                  <c:v>0.25387931030712041</c:v>
                </c:pt>
                <c:pt idx="15">
                  <c:v>0.31886734542080447</c:v>
                </c:pt>
                <c:pt idx="16">
                  <c:v>0.22179964495936691</c:v>
                </c:pt>
                <c:pt idx="17">
                  <c:v>0.15695247767469458</c:v>
                </c:pt>
              </c:numCache>
            </c:numRef>
          </c:val>
        </c:ser>
        <c:ser>
          <c:idx val="3"/>
          <c:order val="1"/>
          <c:tx>
            <c:strRef>
              <c:f>'souhrnná výkonnost 4'!$D$5</c:f>
              <c:strCache>
                <c:ptCount val="1"/>
                <c:pt idx="0">
                  <c:v>Manufacturing (CZ-NACE C)</c:v>
                </c:pt>
              </c:strCache>
            </c:strRef>
          </c:tx>
          <c:spPr>
            <a:solidFill>
              <a:srgbClr val="A6CDE8"/>
            </a:solidFill>
            <a:ln>
              <a:noFill/>
            </a:ln>
          </c:spPr>
          <c:val>
            <c:numRef>
              <c:f>'souhrnná výkonnost 4'!$D$10:$D$27</c:f>
              <c:numCache>
                <c:formatCode>#,##0.0</c:formatCode>
                <c:ptCount val="18"/>
                <c:pt idx="0">
                  <c:v>-0.80190174195229758</c:v>
                </c:pt>
                <c:pt idx="1">
                  <c:v>-0.63316913532183261</c:v>
                </c:pt>
                <c:pt idx="2">
                  <c:v>-0.65799971762020437</c:v>
                </c:pt>
                <c:pt idx="3">
                  <c:v>-0.58767125058761094</c:v>
                </c:pt>
                <c:pt idx="4">
                  <c:v>0.42669631687426324</c:v>
                </c:pt>
                <c:pt idx="5">
                  <c:v>1.178814359711718</c:v>
                </c:pt>
                <c:pt idx="6">
                  <c:v>1.9647162979641066</c:v>
                </c:pt>
                <c:pt idx="7">
                  <c:v>2.5539363152168306</c:v>
                </c:pt>
                <c:pt idx="8">
                  <c:v>2.1478703755568072</c:v>
                </c:pt>
                <c:pt idx="9">
                  <c:v>1.6166800300274804</c:v>
                </c:pt>
                <c:pt idx="10">
                  <c:v>1.4270095405518384</c:v>
                </c:pt>
                <c:pt idx="11">
                  <c:v>0.65863363852356127</c:v>
                </c:pt>
                <c:pt idx="12">
                  <c:v>1.1730324306135282</c:v>
                </c:pt>
                <c:pt idx="13">
                  <c:v>1.8409531560333301</c:v>
                </c:pt>
                <c:pt idx="14">
                  <c:v>1.8950378832938781</c:v>
                </c:pt>
                <c:pt idx="15">
                  <c:v>2.2496949915383992</c:v>
                </c:pt>
                <c:pt idx="16">
                  <c:v>1.8995846401079726</c:v>
                </c:pt>
                <c:pt idx="17">
                  <c:v>2.1392875048258957</c:v>
                </c:pt>
              </c:numCache>
            </c:numRef>
          </c:val>
        </c:ser>
        <c:ser>
          <c:idx val="2"/>
          <c:order val="2"/>
          <c:tx>
            <c:strRef>
              <c:f>'souhrnná výkonnost 4'!$E$5</c:f>
              <c:strCache>
                <c:ptCount val="1"/>
                <c:pt idx="0">
                  <c:v>Other industrial branches (CZ-NACE B,D,E)</c:v>
                </c:pt>
              </c:strCache>
            </c:strRef>
          </c:tx>
          <c:spPr>
            <a:solidFill>
              <a:srgbClr val="BD1B21"/>
            </a:solidFill>
            <a:ln>
              <a:noFill/>
            </a:ln>
          </c:spPr>
          <c:val>
            <c:numRef>
              <c:f>'souhrnná výkonnost 4'!$E$10:$E$27</c:f>
              <c:numCache>
                <c:formatCode>0.0</c:formatCode>
                <c:ptCount val="18"/>
                <c:pt idx="0">
                  <c:v>-0.99676396653493249</c:v>
                </c:pt>
                <c:pt idx="1">
                  <c:v>-0.99862189727618111</c:v>
                </c:pt>
                <c:pt idx="2">
                  <c:v>-0.64102712488527125</c:v>
                </c:pt>
                <c:pt idx="3">
                  <c:v>-0.2376831237571034</c:v>
                </c:pt>
                <c:pt idx="4">
                  <c:v>0.34101321981670818</c:v>
                </c:pt>
                <c:pt idx="5">
                  <c:v>0.10905314809036515</c:v>
                </c:pt>
                <c:pt idx="6">
                  <c:v>-0.12299518913780627</c:v>
                </c:pt>
                <c:pt idx="7">
                  <c:v>-0.11606163720933306</c:v>
                </c:pt>
                <c:pt idx="8">
                  <c:v>-0.13641374514700375</c:v>
                </c:pt>
                <c:pt idx="9">
                  <c:v>2.6994603690324401E-2</c:v>
                </c:pt>
                <c:pt idx="10">
                  <c:v>-2.4696121131873472E-2</c:v>
                </c:pt>
                <c:pt idx="11">
                  <c:v>-8.1123422474820725E-2</c:v>
                </c:pt>
                <c:pt idx="12">
                  <c:v>-0.25523928298471665</c:v>
                </c:pt>
                <c:pt idx="13">
                  <c:v>-0.25608606894098401</c:v>
                </c:pt>
                <c:pt idx="14">
                  <c:v>-0.25707511147730044</c:v>
                </c:pt>
                <c:pt idx="15">
                  <c:v>-0.26726875277732276</c:v>
                </c:pt>
                <c:pt idx="16">
                  <c:v>8.3886819619998193E-2</c:v>
                </c:pt>
                <c:pt idx="17">
                  <c:v>-3.2418402893197751E-2</c:v>
                </c:pt>
              </c:numCache>
            </c:numRef>
          </c:val>
        </c:ser>
        <c:ser>
          <c:idx val="1"/>
          <c:order val="3"/>
          <c:tx>
            <c:strRef>
              <c:f>'souhrnná výkonnost 4'!$F$5</c:f>
              <c:strCache>
                <c:ptCount val="1"/>
                <c:pt idx="0">
                  <c:v>Construction</c:v>
                </c:pt>
              </c:strCache>
            </c:strRef>
          </c:tx>
          <c:spPr>
            <a:solidFill>
              <a:srgbClr val="E8AFB2"/>
            </a:solidFill>
            <a:ln>
              <a:noFill/>
            </a:ln>
          </c:spPr>
          <c:val>
            <c:numRef>
              <c:f>'souhrnná výkonnost 4'!$F$10:$F$27</c:f>
              <c:numCache>
                <c:formatCode>#,##0.0</c:formatCode>
                <c:ptCount val="18"/>
                <c:pt idx="0">
                  <c:v>-9.7833498488409248E-2</c:v>
                </c:pt>
                <c:pt idx="1">
                  <c:v>7.0101451917918278E-2</c:v>
                </c:pt>
                <c:pt idx="2">
                  <c:v>0.14066955556231173</c:v>
                </c:pt>
                <c:pt idx="3">
                  <c:v>0.16590826997768471</c:v>
                </c:pt>
                <c:pt idx="4">
                  <c:v>0.20380087901239571</c:v>
                </c:pt>
                <c:pt idx="5">
                  <c:v>7.707944200185142E-2</c:v>
                </c:pt>
                <c:pt idx="6">
                  <c:v>3.6125144783951582E-2</c:v>
                </c:pt>
                <c:pt idx="7">
                  <c:v>0.13861192388176091</c:v>
                </c:pt>
                <c:pt idx="8">
                  <c:v>0.1004407238403428</c:v>
                </c:pt>
                <c:pt idx="9">
                  <c:v>0.26610784775566931</c:v>
                </c:pt>
                <c:pt idx="10">
                  <c:v>0.35569158305836607</c:v>
                </c:pt>
                <c:pt idx="11">
                  <c:v>0.16508861905557687</c:v>
                </c:pt>
                <c:pt idx="12">
                  <c:v>6.0176601627870384E-2</c:v>
                </c:pt>
                <c:pt idx="13">
                  <c:v>-0.13874288331323134</c:v>
                </c:pt>
                <c:pt idx="14">
                  <c:v>-0.25240045091449731</c:v>
                </c:pt>
                <c:pt idx="15">
                  <c:v>-0.22682214751648944</c:v>
                </c:pt>
                <c:pt idx="16" formatCode="0.0">
                  <c:v>-4.8890071848385785E-2</c:v>
                </c:pt>
                <c:pt idx="17" formatCode="0.0">
                  <c:v>0.17059355081672684</c:v>
                </c:pt>
              </c:numCache>
            </c:numRef>
          </c:val>
        </c:ser>
        <c:ser>
          <c:idx val="0"/>
          <c:order val="4"/>
          <c:tx>
            <c:strRef>
              <c:f>'souhrnná výkonnost 4'!$G$5</c:f>
              <c:strCache>
                <c:ptCount val="1"/>
                <c:pt idx="0">
                  <c:v>Services (CZ-NACE G až U)</c:v>
                </c:pt>
              </c:strCache>
            </c:strRef>
          </c:tx>
          <c:spPr>
            <a:solidFill>
              <a:srgbClr val="7DBB2D"/>
            </a:solidFill>
            <a:ln>
              <a:noFill/>
            </a:ln>
          </c:spPr>
          <c:val>
            <c:numRef>
              <c:f>'souhrnná výkonnost 4'!$G$10:$G$27</c:f>
              <c:numCache>
                <c:formatCode>0.0</c:formatCode>
                <c:ptCount val="18"/>
                <c:pt idx="0">
                  <c:v>0.37644839519994661</c:v>
                </c:pt>
                <c:pt idx="1">
                  <c:v>0.81261671036245109</c:v>
                </c:pt>
                <c:pt idx="2">
                  <c:v>1.0166947027297932</c:v>
                </c:pt>
                <c:pt idx="3">
                  <c:v>1.3689952261875691</c:v>
                </c:pt>
                <c:pt idx="4">
                  <c:v>1.2580269123349037</c:v>
                </c:pt>
                <c:pt idx="5">
                  <c:v>1.3856652786986978</c:v>
                </c:pt>
                <c:pt idx="6">
                  <c:v>1.6254915583254295</c:v>
                </c:pt>
                <c:pt idx="7">
                  <c:v>1.6641765372351613</c:v>
                </c:pt>
                <c:pt idx="8">
                  <c:v>2.2624440762395142</c:v>
                </c:pt>
                <c:pt idx="9">
                  <c:v>2.9696553573602107</c:v>
                </c:pt>
                <c:pt idx="10">
                  <c:v>3.3867849325780148</c:v>
                </c:pt>
                <c:pt idx="11">
                  <c:v>3.5053477898363856</c:v>
                </c:pt>
                <c:pt idx="12">
                  <c:v>2.2395224984374389</c:v>
                </c:pt>
                <c:pt idx="13">
                  <c:v>1.1310584414837439</c:v>
                </c:pt>
                <c:pt idx="14">
                  <c:v>0.12888406553309981</c:v>
                </c:pt>
                <c:pt idx="15">
                  <c:v>-0.27609394109782032</c:v>
                </c:pt>
                <c:pt idx="16">
                  <c:v>0.79189102078931872</c:v>
                </c:pt>
                <c:pt idx="17">
                  <c:v>2.2391029504022959</c:v>
                </c:pt>
              </c:numCache>
            </c:numRef>
          </c:val>
        </c:ser>
        <c:gapWidth val="70"/>
        <c:overlap val="100"/>
        <c:axId val="166435840"/>
        <c:axId val="166474496"/>
      </c:barChart>
      <c:lineChart>
        <c:grouping val="standard"/>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'souhrnná výkonnost 4'!$H$10:$H$27</c:f>
              <c:numCache>
                <c:formatCode>#,##0.0</c:formatCode>
                <c:ptCount val="18"/>
                <c:pt idx="0">
                  <c:v>-1.5564064599066569</c:v>
                </c:pt>
                <c:pt idx="1">
                  <c:v>-0.85476160118254663</c:v>
                </c:pt>
                <c:pt idx="2">
                  <c:v>-0.23921578851919562</c:v>
                </c:pt>
                <c:pt idx="3">
                  <c:v>0.69357314385266211</c:v>
                </c:pt>
                <c:pt idx="4">
                  <c:v>2.3418618184973092</c:v>
                </c:pt>
                <c:pt idx="5">
                  <c:v>2.9853700509145402</c:v>
                </c:pt>
                <c:pt idx="6">
                  <c:v>3.7747323841488187</c:v>
                </c:pt>
                <c:pt idx="7">
                  <c:v>4.4884230044466689</c:v>
                </c:pt>
                <c:pt idx="8">
                  <c:v>4.6030533672095215</c:v>
                </c:pt>
                <c:pt idx="9">
                  <c:v>5.0290309680465652</c:v>
                </c:pt>
                <c:pt idx="10">
                  <c:v>5.2622941596795165</c:v>
                </c:pt>
                <c:pt idx="11">
                  <c:v>4.357242052869359</c:v>
                </c:pt>
                <c:pt idx="12">
                  <c:v>3.3617514038440377</c:v>
                </c:pt>
                <c:pt idx="13">
                  <c:v>2.7921029280771741</c:v>
                </c:pt>
                <c:pt idx="14">
                  <c:v>1.7671103559341084</c:v>
                </c:pt>
                <c:pt idx="15">
                  <c:v>1.7915027023020438</c:v>
                </c:pt>
                <c:pt idx="16">
                  <c:v>2.9899771506961352</c:v>
                </c:pt>
                <c:pt idx="17">
                  <c:v>4.6840182085208655</c:v>
                </c:pt>
              </c:numCache>
            </c:numRef>
          </c:val>
        </c:ser>
        <c:marker val="1"/>
        <c:axId val="166435840"/>
        <c:axId val="166474496"/>
      </c:lineChart>
      <c:catAx>
        <c:axId val="166435840"/>
        <c:scaling>
          <c:orientation val="minMax"/>
        </c:scaling>
        <c:axPos val="b"/>
        <c:tickLblPos val="low"/>
        <c:spPr>
          <a:ln>
            <a:solidFill>
              <a:schemeClr val="tx1"/>
            </a:solidFill>
          </a:ln>
        </c:spPr>
        <c:txPr>
          <a:bodyPr rot="0" vert="horz"/>
          <a:lstStyle/>
          <a:p>
            <a:pPr>
              <a:defRPr/>
            </a:pPr>
            <a:endParaRPr lang="cs-CZ"/>
          </a:p>
        </c:txPr>
        <c:crossAx val="166474496"/>
        <c:crosses val="autoZero"/>
        <c:auto val="1"/>
        <c:lblAlgn val="ctr"/>
        <c:lblOffset val="100"/>
      </c:catAx>
      <c:valAx>
        <c:axId val="166474496"/>
        <c:scaling>
          <c:orientation val="minMax"/>
          <c:max val="6"/>
          <c:min val="-3"/>
        </c:scaling>
        <c:axPos val="l"/>
        <c:majorGridlines>
          <c:spPr>
            <a:ln w="6350">
              <a:solidFill>
                <a:schemeClr val="bg1">
                  <a:lumMod val="75000"/>
                </a:schemeClr>
              </a:solidFill>
            </a:ln>
          </c:spPr>
        </c:majorGridlines>
        <c:numFmt formatCode="0" sourceLinked="0"/>
        <c:tickLblPos val="nextTo"/>
        <c:spPr>
          <a:ln>
            <a:solidFill>
              <a:schemeClr val="tx1"/>
            </a:solidFill>
          </a:ln>
        </c:spPr>
        <c:crossAx val="166435840"/>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505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2040029038385493E-2"/>
          <c:y val="1.9513175616352466E-2"/>
          <c:w val="0.92433548575003111"/>
          <c:h val="0.75083417764269056"/>
        </c:manualLayout>
      </c:layout>
      <c:barChart>
        <c:barDir val="col"/>
        <c:grouping val="clustered"/>
        <c:ser>
          <c:idx val="0"/>
          <c:order val="0"/>
          <c:tx>
            <c:strRef>
              <c:f>'výkonnost odvětví 1'!$B$30</c:f>
              <c:strCache>
                <c:ptCount val="1"/>
                <c:pt idx="0">
                  <c:v>Industry total (B+C+D)</c:v>
                </c:pt>
              </c:strCache>
            </c:strRef>
          </c:tx>
          <c:spPr>
            <a:solidFill>
              <a:schemeClr val="bg1">
                <a:lumMod val="65000"/>
              </a:schemeClr>
            </a:solidFill>
            <a:ln w="12700">
              <a:noFill/>
              <a:prstDash val="solid"/>
            </a:ln>
          </c:spP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1'!$C$30:$AF$30</c:f>
              <c:numCache>
                <c:formatCode>#,##0.0</c:formatCode>
                <c:ptCount val="30"/>
                <c:pt idx="0">
                  <c:v>4.8</c:v>
                </c:pt>
                <c:pt idx="1">
                  <c:v>7.8</c:v>
                </c:pt>
                <c:pt idx="2">
                  <c:v>10.5</c:v>
                </c:pt>
                <c:pt idx="3">
                  <c:v>9.5</c:v>
                </c:pt>
                <c:pt idx="4">
                  <c:v>9.9</c:v>
                </c:pt>
                <c:pt idx="5">
                  <c:v>8.3000000000000007</c:v>
                </c:pt>
                <c:pt idx="6">
                  <c:v>2.2999999999999998</c:v>
                </c:pt>
                <c:pt idx="7">
                  <c:v>3.4</c:v>
                </c:pt>
                <c:pt idx="8">
                  <c:v>1.4</c:v>
                </c:pt>
                <c:pt idx="9">
                  <c:v>0.8</c:v>
                </c:pt>
                <c:pt idx="10">
                  <c:v>0</c:v>
                </c:pt>
                <c:pt idx="11">
                  <c:v>-5.2</c:v>
                </c:pt>
                <c:pt idx="12">
                  <c:v>-3.5</c:v>
                </c:pt>
                <c:pt idx="13">
                  <c:v>-3.1</c:v>
                </c:pt>
                <c:pt idx="14">
                  <c:v>1.2</c:v>
                </c:pt>
                <c:pt idx="15">
                  <c:v>6</c:v>
                </c:pt>
                <c:pt idx="16">
                  <c:v>6.5</c:v>
                </c:pt>
                <c:pt idx="17">
                  <c:v>6.4</c:v>
                </c:pt>
                <c:pt idx="18">
                  <c:v>3</c:v>
                </c:pt>
                <c:pt idx="19">
                  <c:v>4</c:v>
                </c:pt>
                <c:pt idx="20">
                  <c:v>5.0999999999999996</c:v>
                </c:pt>
                <c:pt idx="21">
                  <c:v>5.5</c:v>
                </c:pt>
                <c:pt idx="22">
                  <c:v>5.8</c:v>
                </c:pt>
                <c:pt idx="23">
                  <c:v>2.9</c:v>
                </c:pt>
                <c:pt idx="24">
                  <c:v>4</c:v>
                </c:pt>
                <c:pt idx="25">
                  <c:v>2.9</c:v>
                </c:pt>
                <c:pt idx="26">
                  <c:v>1.4</c:v>
                </c:pt>
                <c:pt idx="27">
                  <c:v>3.3</c:v>
                </c:pt>
                <c:pt idx="28">
                  <c:v>4.9000000000000004</c:v>
                </c:pt>
                <c:pt idx="29">
                  <c:v>6.8</c:v>
                </c:pt>
              </c:numCache>
            </c:numRef>
          </c:val>
        </c:ser>
        <c:gapWidth val="30"/>
        <c:axId val="166510592"/>
        <c:axId val="166512512"/>
      </c:barChart>
      <c:lineChart>
        <c:grouping val="standard"/>
        <c:ser>
          <c:idx val="3"/>
          <c:order val="1"/>
          <c:tx>
            <c:strRef>
              <c:f>'výkonnost odvětví 1'!$B$31</c:f>
              <c:strCache>
                <c:ptCount val="1"/>
                <c:pt idx="0">
                  <c:v>Food products and beverages</c:v>
                </c:pt>
              </c:strCache>
            </c:strRef>
          </c:tx>
          <c:spPr>
            <a:ln w="19050">
              <a:solidFill>
                <a:srgbClr val="7DBB2D"/>
              </a:solidFill>
              <a:prstDash val="solid"/>
            </a:ln>
          </c:spPr>
          <c:marker>
            <c:symbol val="none"/>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1'!$C$31:$AF$31</c:f>
              <c:numCache>
                <c:formatCode>#,##0.0</c:formatCode>
                <c:ptCount val="30"/>
                <c:pt idx="0">
                  <c:v>-1.4</c:v>
                </c:pt>
                <c:pt idx="1">
                  <c:v>-4.7</c:v>
                </c:pt>
                <c:pt idx="2">
                  <c:v>-3.1</c:v>
                </c:pt>
                <c:pt idx="3">
                  <c:v>-4.0999999999999996</c:v>
                </c:pt>
                <c:pt idx="4">
                  <c:v>-0.30000000000000032</c:v>
                </c:pt>
                <c:pt idx="5">
                  <c:v>0</c:v>
                </c:pt>
                <c:pt idx="6">
                  <c:v>-4.0999999999999996</c:v>
                </c:pt>
                <c:pt idx="7">
                  <c:v>-1.7</c:v>
                </c:pt>
                <c:pt idx="8">
                  <c:v>-4.3</c:v>
                </c:pt>
                <c:pt idx="9">
                  <c:v>-1.3</c:v>
                </c:pt>
                <c:pt idx="10">
                  <c:v>0</c:v>
                </c:pt>
                <c:pt idx="11">
                  <c:v>-1.8</c:v>
                </c:pt>
                <c:pt idx="12">
                  <c:v>1</c:v>
                </c:pt>
                <c:pt idx="13">
                  <c:v>-1.4</c:v>
                </c:pt>
                <c:pt idx="14">
                  <c:v>-1</c:v>
                </c:pt>
                <c:pt idx="15">
                  <c:v>0.8</c:v>
                </c:pt>
                <c:pt idx="16">
                  <c:v>2.4</c:v>
                </c:pt>
                <c:pt idx="17">
                  <c:v>4.2</c:v>
                </c:pt>
                <c:pt idx="18">
                  <c:v>0.60000000000000064</c:v>
                </c:pt>
                <c:pt idx="19">
                  <c:v>5.7</c:v>
                </c:pt>
                <c:pt idx="20">
                  <c:v>4.4000000000000004</c:v>
                </c:pt>
                <c:pt idx="21">
                  <c:v>1.1000000000000001</c:v>
                </c:pt>
                <c:pt idx="22">
                  <c:v>8.2000000000000011</c:v>
                </c:pt>
                <c:pt idx="23">
                  <c:v>3.8</c:v>
                </c:pt>
                <c:pt idx="24">
                  <c:v>-0.8</c:v>
                </c:pt>
                <c:pt idx="25">
                  <c:v>0.8</c:v>
                </c:pt>
                <c:pt idx="26">
                  <c:v>0.60000000000000064</c:v>
                </c:pt>
                <c:pt idx="27">
                  <c:v>-1.9000000000000001</c:v>
                </c:pt>
                <c:pt idx="28">
                  <c:v>2.6</c:v>
                </c:pt>
                <c:pt idx="29">
                  <c:v>5</c:v>
                </c:pt>
              </c:numCache>
            </c:numRef>
          </c:val>
        </c:ser>
        <c:ser>
          <c:idx val="1"/>
          <c:order val="2"/>
          <c:tx>
            <c:strRef>
              <c:f>'výkonnost odvětví 1'!$B$32</c:f>
              <c:strCache>
                <c:ptCount val="1"/>
                <c:pt idx="0">
                  <c:v>Chemical industry</c:v>
                </c:pt>
              </c:strCache>
            </c:strRef>
          </c:tx>
          <c:spPr>
            <a:ln w="19050">
              <a:solidFill>
                <a:srgbClr val="F8A124"/>
              </a:solidFill>
            </a:ln>
          </c:spPr>
          <c:marker>
            <c:symbol val="none"/>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1'!$C$32:$AF$32</c:f>
              <c:numCache>
                <c:formatCode>#,##0.0</c:formatCode>
                <c:ptCount val="30"/>
                <c:pt idx="0">
                  <c:v>0</c:v>
                </c:pt>
                <c:pt idx="1">
                  <c:v>-1.3</c:v>
                </c:pt>
                <c:pt idx="2">
                  <c:v>13.8</c:v>
                </c:pt>
                <c:pt idx="3">
                  <c:v>12.1</c:v>
                </c:pt>
                <c:pt idx="4">
                  <c:v>2.6</c:v>
                </c:pt>
                <c:pt idx="5">
                  <c:v>-4.7</c:v>
                </c:pt>
                <c:pt idx="6">
                  <c:v>-8.5</c:v>
                </c:pt>
                <c:pt idx="7">
                  <c:v>-8</c:v>
                </c:pt>
                <c:pt idx="8">
                  <c:v>3.1</c:v>
                </c:pt>
                <c:pt idx="9">
                  <c:v>0.60000000000000064</c:v>
                </c:pt>
                <c:pt idx="10">
                  <c:v>10.1</c:v>
                </c:pt>
                <c:pt idx="11">
                  <c:v>6.8</c:v>
                </c:pt>
                <c:pt idx="12">
                  <c:v>-5.0999999999999996</c:v>
                </c:pt>
                <c:pt idx="13">
                  <c:v>-0.9</c:v>
                </c:pt>
                <c:pt idx="14">
                  <c:v>-9.9</c:v>
                </c:pt>
                <c:pt idx="15">
                  <c:v>4</c:v>
                </c:pt>
                <c:pt idx="16">
                  <c:v>9</c:v>
                </c:pt>
                <c:pt idx="17">
                  <c:v>9.7000000000000011</c:v>
                </c:pt>
                <c:pt idx="18">
                  <c:v>15.8</c:v>
                </c:pt>
                <c:pt idx="19">
                  <c:v>4.0999999999999996</c:v>
                </c:pt>
                <c:pt idx="20">
                  <c:v>2.9</c:v>
                </c:pt>
                <c:pt idx="21">
                  <c:v>3.5</c:v>
                </c:pt>
                <c:pt idx="22">
                  <c:v>-7.9</c:v>
                </c:pt>
                <c:pt idx="23">
                  <c:v>-15.9</c:v>
                </c:pt>
                <c:pt idx="24">
                  <c:v>-13.8</c:v>
                </c:pt>
                <c:pt idx="25">
                  <c:v>-16.399999999999999</c:v>
                </c:pt>
                <c:pt idx="26">
                  <c:v>-5.9</c:v>
                </c:pt>
                <c:pt idx="27">
                  <c:v>10.8</c:v>
                </c:pt>
                <c:pt idx="28">
                  <c:v>17.7</c:v>
                </c:pt>
                <c:pt idx="29">
                  <c:v>24</c:v>
                </c:pt>
              </c:numCache>
            </c:numRef>
          </c:val>
        </c:ser>
        <c:ser>
          <c:idx val="7"/>
          <c:order val="3"/>
          <c:tx>
            <c:strRef>
              <c:f>'výkonnost odvětví 1'!$B$33</c:f>
              <c:strCache>
                <c:ptCount val="1"/>
                <c:pt idx="0">
                  <c:v>Computers, electronics,optical appliances</c:v>
                </c:pt>
              </c:strCache>
            </c:strRef>
          </c:tx>
          <c:spPr>
            <a:ln w="19050">
              <a:solidFill>
                <a:srgbClr val="48AEE7"/>
              </a:solidFill>
            </a:ln>
          </c:spPr>
          <c:marker>
            <c:symbol val="none"/>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1'!$C$33:$AF$33</c:f>
              <c:numCache>
                <c:formatCode>#,##0.0</c:formatCode>
                <c:ptCount val="30"/>
                <c:pt idx="0">
                  <c:v>13.6</c:v>
                </c:pt>
                <c:pt idx="1">
                  <c:v>36.9</c:v>
                </c:pt>
                <c:pt idx="2">
                  <c:v>39.1</c:v>
                </c:pt>
                <c:pt idx="3">
                  <c:v>27.2</c:v>
                </c:pt>
                <c:pt idx="4">
                  <c:v>12.5</c:v>
                </c:pt>
                <c:pt idx="5">
                  <c:v>6</c:v>
                </c:pt>
                <c:pt idx="6">
                  <c:v>-5.9</c:v>
                </c:pt>
                <c:pt idx="7">
                  <c:v>-18.399999999999999</c:v>
                </c:pt>
                <c:pt idx="8">
                  <c:v>-19</c:v>
                </c:pt>
                <c:pt idx="9">
                  <c:v>-22.7</c:v>
                </c:pt>
                <c:pt idx="10">
                  <c:v>-19.2</c:v>
                </c:pt>
                <c:pt idx="11">
                  <c:v>-13.5</c:v>
                </c:pt>
                <c:pt idx="12">
                  <c:v>10.6</c:v>
                </c:pt>
                <c:pt idx="13">
                  <c:v>13</c:v>
                </c:pt>
                <c:pt idx="14">
                  <c:v>18.100000000000001</c:v>
                </c:pt>
                <c:pt idx="15">
                  <c:v>22.1</c:v>
                </c:pt>
                <c:pt idx="16">
                  <c:v>18.3</c:v>
                </c:pt>
                <c:pt idx="17">
                  <c:v>19.2</c:v>
                </c:pt>
                <c:pt idx="18">
                  <c:v>14.5</c:v>
                </c:pt>
                <c:pt idx="19">
                  <c:v>21.4</c:v>
                </c:pt>
                <c:pt idx="20">
                  <c:v>7</c:v>
                </c:pt>
                <c:pt idx="21">
                  <c:v>3.5</c:v>
                </c:pt>
                <c:pt idx="22">
                  <c:v>3.1</c:v>
                </c:pt>
                <c:pt idx="23">
                  <c:v>-1.3</c:v>
                </c:pt>
                <c:pt idx="24">
                  <c:v>0.5</c:v>
                </c:pt>
                <c:pt idx="25">
                  <c:v>3.5</c:v>
                </c:pt>
                <c:pt idx="26">
                  <c:v>2.5</c:v>
                </c:pt>
                <c:pt idx="27">
                  <c:v>8.9</c:v>
                </c:pt>
                <c:pt idx="28">
                  <c:v>7.5</c:v>
                </c:pt>
                <c:pt idx="29">
                  <c:v>18.100000000000001</c:v>
                </c:pt>
              </c:numCache>
            </c:numRef>
          </c:val>
        </c:ser>
        <c:ser>
          <c:idx val="2"/>
          <c:order val="4"/>
          <c:tx>
            <c:strRef>
              <c:f>'výkonnost odvětví 1'!$B$34</c:f>
              <c:strCache>
                <c:ptCount val="1"/>
                <c:pt idx="0">
                  <c:v>Motor vehicles</c:v>
                </c:pt>
              </c:strCache>
            </c:strRef>
          </c:tx>
          <c:spPr>
            <a:ln w="19050">
              <a:solidFill>
                <a:srgbClr val="BD1B21"/>
              </a:solidFill>
              <a:prstDash val="solid"/>
            </a:ln>
          </c:spPr>
          <c:marker>
            <c:symbol val="none"/>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1'!$C$34:$AF$34</c:f>
              <c:numCache>
                <c:formatCode>#,##0.0</c:formatCode>
                <c:ptCount val="30"/>
                <c:pt idx="0">
                  <c:v>36.200000000000003</c:v>
                </c:pt>
                <c:pt idx="1">
                  <c:v>18.399999999999999</c:v>
                </c:pt>
                <c:pt idx="2">
                  <c:v>13.3</c:v>
                </c:pt>
                <c:pt idx="3">
                  <c:v>21.4</c:v>
                </c:pt>
                <c:pt idx="4">
                  <c:v>27.1</c:v>
                </c:pt>
                <c:pt idx="5">
                  <c:v>21.6</c:v>
                </c:pt>
                <c:pt idx="6">
                  <c:v>20.8</c:v>
                </c:pt>
                <c:pt idx="7">
                  <c:v>16</c:v>
                </c:pt>
                <c:pt idx="8">
                  <c:v>9.9</c:v>
                </c:pt>
                <c:pt idx="9">
                  <c:v>4.3</c:v>
                </c:pt>
                <c:pt idx="10">
                  <c:v>-2.9</c:v>
                </c:pt>
                <c:pt idx="11">
                  <c:v>-6.9</c:v>
                </c:pt>
                <c:pt idx="12">
                  <c:v>-15</c:v>
                </c:pt>
                <c:pt idx="13">
                  <c:v>-6.6</c:v>
                </c:pt>
                <c:pt idx="14">
                  <c:v>3.9</c:v>
                </c:pt>
                <c:pt idx="15">
                  <c:v>8.3000000000000007</c:v>
                </c:pt>
                <c:pt idx="16">
                  <c:v>20.7</c:v>
                </c:pt>
                <c:pt idx="17">
                  <c:v>13.6</c:v>
                </c:pt>
                <c:pt idx="18">
                  <c:v>10.6</c:v>
                </c:pt>
                <c:pt idx="19">
                  <c:v>9.1</c:v>
                </c:pt>
                <c:pt idx="20">
                  <c:v>7.6</c:v>
                </c:pt>
                <c:pt idx="21">
                  <c:v>12.2</c:v>
                </c:pt>
                <c:pt idx="22">
                  <c:v>14.1</c:v>
                </c:pt>
                <c:pt idx="23">
                  <c:v>16.100000000000001</c:v>
                </c:pt>
                <c:pt idx="24">
                  <c:v>15.7</c:v>
                </c:pt>
                <c:pt idx="25">
                  <c:v>14.6</c:v>
                </c:pt>
                <c:pt idx="26">
                  <c:v>6.4</c:v>
                </c:pt>
                <c:pt idx="27">
                  <c:v>7</c:v>
                </c:pt>
                <c:pt idx="28">
                  <c:v>10.5</c:v>
                </c:pt>
                <c:pt idx="29">
                  <c:v>9.8000000000000007</c:v>
                </c:pt>
              </c:numCache>
            </c:numRef>
          </c:val>
        </c:ser>
        <c:ser>
          <c:idx val="5"/>
          <c:order val="5"/>
          <c:tx>
            <c:strRef>
              <c:f>'výkonnost odvětví 1'!$B$35</c:f>
              <c:strCache>
                <c:ptCount val="1"/>
                <c:pt idx="0">
                  <c:v>Energy industry</c:v>
                </c:pt>
              </c:strCache>
            </c:strRef>
          </c:tx>
          <c:spPr>
            <a:ln w="19050">
              <a:noFill/>
            </a:ln>
          </c:spPr>
          <c:marker>
            <c:symbol val="diamond"/>
            <c:size val="5"/>
            <c:spPr>
              <a:solidFill>
                <a:schemeClr val="tx1">
                  <a:lumMod val="95000"/>
                  <a:lumOff val="5000"/>
                </a:schemeClr>
              </a:solidFill>
              <a:ln>
                <a:noFill/>
              </a:ln>
            </c:spPr>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1'!$C$35:$AF$35</c:f>
              <c:numCache>
                <c:formatCode>#,##0.0</c:formatCode>
                <c:ptCount val="30"/>
                <c:pt idx="0">
                  <c:v>3.3</c:v>
                </c:pt>
                <c:pt idx="1">
                  <c:v>5</c:v>
                </c:pt>
                <c:pt idx="2">
                  <c:v>8.5</c:v>
                </c:pt>
                <c:pt idx="3">
                  <c:v>2.6</c:v>
                </c:pt>
                <c:pt idx="4">
                  <c:v>-4</c:v>
                </c:pt>
                <c:pt idx="5">
                  <c:v>0.30000000000000032</c:v>
                </c:pt>
                <c:pt idx="6">
                  <c:v>-5.2</c:v>
                </c:pt>
                <c:pt idx="7">
                  <c:v>2.5</c:v>
                </c:pt>
                <c:pt idx="8">
                  <c:v>1.9000000000000001</c:v>
                </c:pt>
                <c:pt idx="9">
                  <c:v>4.5</c:v>
                </c:pt>
                <c:pt idx="10">
                  <c:v>1.1000000000000001</c:v>
                </c:pt>
                <c:pt idx="11">
                  <c:v>-7.9</c:v>
                </c:pt>
                <c:pt idx="12">
                  <c:v>-3.4</c:v>
                </c:pt>
                <c:pt idx="13">
                  <c:v>-4</c:v>
                </c:pt>
                <c:pt idx="14">
                  <c:v>-3.4</c:v>
                </c:pt>
                <c:pt idx="15">
                  <c:v>4.2</c:v>
                </c:pt>
                <c:pt idx="16">
                  <c:v>-3.4</c:v>
                </c:pt>
                <c:pt idx="17">
                  <c:v>-2.5</c:v>
                </c:pt>
                <c:pt idx="18">
                  <c:v>-2</c:v>
                </c:pt>
                <c:pt idx="19">
                  <c:v>-3.8</c:v>
                </c:pt>
                <c:pt idx="20">
                  <c:v>2.7</c:v>
                </c:pt>
                <c:pt idx="21">
                  <c:v>-1.4</c:v>
                </c:pt>
                <c:pt idx="22">
                  <c:v>-4.2</c:v>
                </c:pt>
                <c:pt idx="23">
                  <c:v>-7.9</c:v>
                </c:pt>
                <c:pt idx="24">
                  <c:v>-3.8</c:v>
                </c:pt>
                <c:pt idx="25">
                  <c:v>2.7</c:v>
                </c:pt>
                <c:pt idx="26">
                  <c:v>-2</c:v>
                </c:pt>
                <c:pt idx="27">
                  <c:v>7.3</c:v>
                </c:pt>
                <c:pt idx="28">
                  <c:v>4.3</c:v>
                </c:pt>
                <c:pt idx="29">
                  <c:v>0.30000000000000032</c:v>
                </c:pt>
              </c:numCache>
            </c:numRef>
          </c:val>
        </c:ser>
        <c:marker val="1"/>
        <c:axId val="166510592"/>
        <c:axId val="166512512"/>
      </c:lineChart>
      <c:catAx>
        <c:axId val="166510592"/>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66512512"/>
        <c:crossesAt val="0"/>
        <c:lblAlgn val="ctr"/>
        <c:lblOffset val="0"/>
        <c:tickLblSkip val="1"/>
        <c:tickMarkSkip val="4"/>
      </c:catAx>
      <c:valAx>
        <c:axId val="166512512"/>
        <c:scaling>
          <c:orientation val="minMax"/>
          <c:max val="40"/>
          <c:min val="-2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66510592"/>
        <c:crosses val="autoZero"/>
        <c:crossBetween val="between"/>
        <c:majorUnit val="5"/>
      </c:valAx>
      <c:spPr>
        <a:noFill/>
        <a:ln w="9525">
          <a:solidFill>
            <a:schemeClr val="tx1"/>
          </a:solidFill>
        </a:ln>
      </c:spPr>
    </c:plotArea>
    <c:legend>
      <c:legendPos val="b"/>
      <c:layout>
        <c:manualLayout>
          <c:xMode val="edge"/>
          <c:yMode val="edge"/>
          <c:x val="6.0825137685827264E-2"/>
          <c:y val="0.87213891703253565"/>
          <c:w val="0.9258012889558157"/>
          <c:h val="0.1207125970955758"/>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2277854581154255E-2"/>
          <c:y val="1.9008475080329088E-2"/>
          <c:w val="0.92988062751698064"/>
          <c:h val="0.74907069683665461"/>
        </c:manualLayout>
      </c:layout>
      <c:barChart>
        <c:barDir val="col"/>
        <c:grouping val="clustered"/>
        <c:ser>
          <c:idx val="0"/>
          <c:order val="0"/>
          <c:tx>
            <c:strRef>
              <c:f>'výkonnost odvětví 2'!$B$31</c:f>
              <c:strCache>
                <c:ptCount val="1"/>
                <c:pt idx="0">
                  <c:v>Total industry orders</c:v>
                </c:pt>
              </c:strCache>
            </c:strRef>
          </c:tx>
          <c:spPr>
            <a:solidFill>
              <a:schemeClr val="bg1">
                <a:lumMod val="65000"/>
              </a:schemeClr>
            </a:solidFill>
            <a:ln w="12700">
              <a:noFill/>
              <a:prstDash val="solid"/>
            </a:ln>
          </c:spP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2'!$C$31:$AF$31</c:f>
              <c:numCache>
                <c:formatCode>#,##0__</c:formatCode>
                <c:ptCount val="30"/>
                <c:pt idx="0">
                  <c:v>12.055392746813197</c:v>
                </c:pt>
                <c:pt idx="1">
                  <c:v>18.791785748936761</c:v>
                </c:pt>
                <c:pt idx="2">
                  <c:v>17.444096590215729</c:v>
                </c:pt>
                <c:pt idx="3">
                  <c:v>13.260899648585324</c:v>
                </c:pt>
                <c:pt idx="4" formatCode="#,##0.0__">
                  <c:v>12.043109882578847</c:v>
                </c:pt>
                <c:pt idx="5" formatCode="#,##0.0__">
                  <c:v>5.329288738434343</c:v>
                </c:pt>
                <c:pt idx="6" formatCode="#,##0.0__">
                  <c:v>-1.5038252425140923</c:v>
                </c:pt>
                <c:pt idx="7" formatCode="#,##0.0__">
                  <c:v>0.49985212637597076</c:v>
                </c:pt>
                <c:pt idx="8" formatCode="#,##0.0__">
                  <c:v>7.8919813268951096</c:v>
                </c:pt>
                <c:pt idx="9" formatCode="#,##0.0__">
                  <c:v>0.24365995359796996</c:v>
                </c:pt>
                <c:pt idx="10" formatCode="#,##0.0__">
                  <c:v>2.6780171683964693</c:v>
                </c:pt>
                <c:pt idx="11" formatCode="#,##0.0__">
                  <c:v>-2.2928067612426872</c:v>
                </c:pt>
                <c:pt idx="12" formatCode="#,##0.0__">
                  <c:v>-6.7566807507372015</c:v>
                </c:pt>
                <c:pt idx="13" formatCode="#,##0.0__">
                  <c:v>-0.77743655462337924</c:v>
                </c:pt>
                <c:pt idx="14" formatCode="#,##0.0__">
                  <c:v>12.110633355214674</c:v>
                </c:pt>
                <c:pt idx="15" formatCode="#,##0.0__">
                  <c:v>12.61158784734172</c:v>
                </c:pt>
                <c:pt idx="16" formatCode="#,##0.0__">
                  <c:v>18.162563874667111</c:v>
                </c:pt>
                <c:pt idx="17" formatCode="#,##0.0__">
                  <c:v>13.482126304908059</c:v>
                </c:pt>
                <c:pt idx="18" formatCode="#,##0.0__">
                  <c:v>11.650462908552004</c:v>
                </c:pt>
                <c:pt idx="19" formatCode="#,##0.0__">
                  <c:v>7.4466461221971407</c:v>
                </c:pt>
                <c:pt idx="20" formatCode="#,##0.0__">
                  <c:v>8.6601281679304396</c:v>
                </c:pt>
                <c:pt idx="21" formatCode="#,##0.0__">
                  <c:v>7.0703444338271924</c:v>
                </c:pt>
                <c:pt idx="22" formatCode="#,##0.0__">
                  <c:v>3.8319900533634268</c:v>
                </c:pt>
                <c:pt idx="23" formatCode="#,##0.0__">
                  <c:v>6.2462982413050714</c:v>
                </c:pt>
                <c:pt idx="24" formatCode="#,##0.0__">
                  <c:v>1.7408408111983675</c:v>
                </c:pt>
                <c:pt idx="25" formatCode="#,##0.0__">
                  <c:v>10.948509388317888</c:v>
                </c:pt>
                <c:pt idx="26" formatCode="#,##0.0__">
                  <c:v>1.6291665033355542</c:v>
                </c:pt>
                <c:pt idx="27" formatCode="#,##0.0__">
                  <c:v>6.4782911884818253</c:v>
                </c:pt>
                <c:pt idx="28" formatCode="#,##0.0__">
                  <c:v>9.9432376163981502</c:v>
                </c:pt>
                <c:pt idx="29" formatCode="#,##0.0__">
                  <c:v>3.6195909194471625</c:v>
                </c:pt>
              </c:numCache>
            </c:numRef>
          </c:val>
        </c:ser>
        <c:gapWidth val="34"/>
        <c:overlap val="28"/>
        <c:axId val="167736832"/>
        <c:axId val="167738752"/>
      </c:barChart>
      <c:lineChart>
        <c:grouping val="standard"/>
        <c:ser>
          <c:idx val="2"/>
          <c:order val="1"/>
          <c:tx>
            <c:strRef>
              <c:f>'výkonnost odvětví 2'!$B$32</c:f>
              <c:strCache>
                <c:ptCount val="1"/>
                <c:pt idx="0">
                  <c:v>Domestic industry orders</c:v>
                </c:pt>
              </c:strCache>
            </c:strRef>
          </c:tx>
          <c:spPr>
            <a:ln w="19050">
              <a:solidFill>
                <a:srgbClr val="0071BC"/>
              </a:solidFill>
              <a:prstDash val="solid"/>
            </a:ln>
          </c:spPr>
          <c:marker>
            <c:symbol val="none"/>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2'!$C$32:$AF$32</c:f>
              <c:numCache>
                <c:formatCode>#,##0__</c:formatCode>
                <c:ptCount val="30"/>
                <c:pt idx="0">
                  <c:v>9.3690276852933057</c:v>
                </c:pt>
                <c:pt idx="1">
                  <c:v>20.682181592692444</c:v>
                </c:pt>
                <c:pt idx="2">
                  <c:v>16.573478131898671</c:v>
                </c:pt>
                <c:pt idx="3">
                  <c:v>7.6006939720973321</c:v>
                </c:pt>
                <c:pt idx="4" formatCode="#,##0.0__">
                  <c:v>2.8145828625014992</c:v>
                </c:pt>
                <c:pt idx="5" formatCode="#,##0.0__">
                  <c:v>-0.65160236646085079</c:v>
                </c:pt>
                <c:pt idx="6" formatCode="#,##0.0__">
                  <c:v>-11.671779874966376</c:v>
                </c:pt>
                <c:pt idx="7" formatCode="#,##0.0__">
                  <c:v>-10.696553928195002</c:v>
                </c:pt>
                <c:pt idx="8" formatCode="#,##0.0__">
                  <c:v>2.6214089523072488</c:v>
                </c:pt>
                <c:pt idx="9" formatCode="#,##0.0__">
                  <c:v>-9.2467358771092787</c:v>
                </c:pt>
                <c:pt idx="10" formatCode="#,##0.0__">
                  <c:v>-2.8571327008706082</c:v>
                </c:pt>
                <c:pt idx="11" formatCode="#,##0.0__">
                  <c:v>-4.0487131301687915</c:v>
                </c:pt>
                <c:pt idx="12" formatCode="#,##0.0__">
                  <c:v>-7.1126687487238414</c:v>
                </c:pt>
                <c:pt idx="13" formatCode="#,##0.0__">
                  <c:v>-0.59564647244366165</c:v>
                </c:pt>
                <c:pt idx="14" formatCode="#,##0.0__">
                  <c:v>9.3846900381038747</c:v>
                </c:pt>
                <c:pt idx="15" formatCode="#,##0.0__">
                  <c:v>7.0781764130708726</c:v>
                </c:pt>
                <c:pt idx="16" formatCode="#,##0.0__">
                  <c:v>13.320088621608226</c:v>
                </c:pt>
                <c:pt idx="17" formatCode="#,##0.0__">
                  <c:v>7.6021800914440689</c:v>
                </c:pt>
                <c:pt idx="18" formatCode="#,##0.0__">
                  <c:v>17.491767655905477</c:v>
                </c:pt>
                <c:pt idx="19" formatCode="#,##0.0__">
                  <c:v>10.07772805392962</c:v>
                </c:pt>
                <c:pt idx="20" formatCode="#,##0.0__">
                  <c:v>5.7894297437900031</c:v>
                </c:pt>
                <c:pt idx="21" formatCode="#,##0.0__">
                  <c:v>11.162593735327249</c:v>
                </c:pt>
                <c:pt idx="22" formatCode="#,##0.0__">
                  <c:v>-4.0508483479998176</c:v>
                </c:pt>
                <c:pt idx="23" formatCode="#,##0.0__">
                  <c:v>1.8219061224914839</c:v>
                </c:pt>
                <c:pt idx="24" formatCode="#,##0.0__">
                  <c:v>1.3670231871965086</c:v>
                </c:pt>
                <c:pt idx="25" formatCode="#,##0.0__">
                  <c:v>6.1144874584533317</c:v>
                </c:pt>
                <c:pt idx="26" formatCode="#,##0.0__">
                  <c:v>-0.208282602941253</c:v>
                </c:pt>
                <c:pt idx="27" formatCode="#,##0.0__">
                  <c:v>3.0760686001194366</c:v>
                </c:pt>
                <c:pt idx="28" formatCode="#,##0.0__">
                  <c:v>10.978389781409588</c:v>
                </c:pt>
                <c:pt idx="29" formatCode="#,##0.0__">
                  <c:v>6.3261882148095845</c:v>
                </c:pt>
              </c:numCache>
            </c:numRef>
          </c:val>
        </c:ser>
        <c:ser>
          <c:idx val="5"/>
          <c:order val="2"/>
          <c:tx>
            <c:strRef>
              <c:f>'výkonnost odvětví 2'!$B$33</c:f>
              <c:strCache>
                <c:ptCount val="1"/>
                <c:pt idx="0">
                  <c:v>Foreign industry orders</c:v>
                </c:pt>
              </c:strCache>
            </c:strRef>
          </c:tx>
          <c:spPr>
            <a:ln w="19050">
              <a:solidFill>
                <a:srgbClr val="BD1B21"/>
              </a:solidFill>
              <a:prstDash val="solid"/>
            </a:ln>
          </c:spPr>
          <c:marker>
            <c:symbol val="none"/>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2'!$C$33:$AF$33</c:f>
              <c:numCache>
                <c:formatCode>#,##0__</c:formatCode>
                <c:ptCount val="30"/>
                <c:pt idx="0">
                  <c:v>13.967994717912196</c:v>
                </c:pt>
                <c:pt idx="1">
                  <c:v>17.501951580886164</c:v>
                </c:pt>
                <c:pt idx="2">
                  <c:v>18.066389248755868</c:v>
                </c:pt>
                <c:pt idx="3">
                  <c:v>17.763791144855006</c:v>
                </c:pt>
                <c:pt idx="4" formatCode="#,##0.0__">
                  <c:v>18.348359830124476</c:v>
                </c:pt>
                <c:pt idx="5" formatCode="#,##0.0__">
                  <c:v>9.5205485847743709</c:v>
                </c:pt>
                <c:pt idx="6" formatCode="#,##0.0__">
                  <c:v>5.6719989098307195</c:v>
                </c:pt>
                <c:pt idx="7" formatCode="#,##0.0__">
                  <c:v>8.6383086882355951</c:v>
                </c:pt>
                <c:pt idx="8" formatCode="#,##0.0__">
                  <c:v>11.020367044503203</c:v>
                </c:pt>
                <c:pt idx="9" formatCode="#,##0.0__">
                  <c:v>6.2765550752876891</c:v>
                </c:pt>
                <c:pt idx="10" formatCode="#,##0.0__">
                  <c:v>5.9432809771147106</c:v>
                </c:pt>
                <c:pt idx="11" formatCode="#,##0.0__">
                  <c:v>-1.2435707077734555</c:v>
                </c:pt>
                <c:pt idx="12" formatCode="#,##0.0__">
                  <c:v>-6.5613810568299265</c:v>
                </c:pt>
                <c:pt idx="13" formatCode="#,##0.0__">
                  <c:v>-0.87612893265552083</c:v>
                </c:pt>
                <c:pt idx="14" formatCode="#,##0.0__">
                  <c:v>13.585017236629072</c:v>
                </c:pt>
                <c:pt idx="15" formatCode="#,##0.0__">
                  <c:v>15.823868051866199</c:v>
                </c:pt>
                <c:pt idx="16" formatCode="#,##0.0__">
                  <c:v>20.803737843093923</c:v>
                </c:pt>
                <c:pt idx="17" formatCode="#,##0.0__">
                  <c:v>16.683085155498258</c:v>
                </c:pt>
                <c:pt idx="18" formatCode="#,##0.0__">
                  <c:v>8.6077426037905482</c:v>
                </c:pt>
                <c:pt idx="19" formatCode="#,##0.0__">
                  <c:v>6.0345642153573777</c:v>
                </c:pt>
                <c:pt idx="20" formatCode="#,##0.0__">
                  <c:v>10.12888062925188</c:v>
                </c:pt>
                <c:pt idx="21" formatCode="#,##0.0__">
                  <c:v>5.0159759230793242</c:v>
                </c:pt>
                <c:pt idx="22" formatCode="#,##0.0__">
                  <c:v>8.2739940886640966</c:v>
                </c:pt>
                <c:pt idx="23" formatCode="#,##0.0__">
                  <c:v>8.7114357834965919</c:v>
                </c:pt>
                <c:pt idx="24" formatCode="#,##0.0__">
                  <c:v>1.9245605566923001</c:v>
                </c:pt>
                <c:pt idx="25" formatCode="#,##0.0__">
                  <c:v>13.517252250841864</c:v>
                </c:pt>
                <c:pt idx="26" formatCode="#,##0.0__">
                  <c:v>2.5467160757470992</c:v>
                </c:pt>
                <c:pt idx="27" formatCode="#,##0.0__">
                  <c:v>8.2537778544595994</c:v>
                </c:pt>
                <c:pt idx="28" formatCode="#,##0.0__">
                  <c:v>9.4372753873575022</c:v>
                </c:pt>
                <c:pt idx="29" formatCode="#,##0.0__">
                  <c:v>2.2751291102671312</c:v>
                </c:pt>
              </c:numCache>
            </c:numRef>
          </c:val>
        </c:ser>
        <c:ser>
          <c:idx val="3"/>
          <c:order val="3"/>
          <c:tx>
            <c:strRef>
              <c:f>'výkonnost odvětví 2'!$B$34</c:f>
              <c:strCache>
                <c:ptCount val="1"/>
                <c:pt idx="0">
                  <c:v>Foreign orders (motor vehicles)</c:v>
                </c:pt>
              </c:strCache>
            </c:strRef>
          </c:tx>
          <c:spPr>
            <a:ln w="19050">
              <a:solidFill>
                <a:srgbClr val="7DBB2D"/>
              </a:solidFill>
              <a:prstDash val="solid"/>
            </a:ln>
          </c:spPr>
          <c:marker>
            <c:symbol val="none"/>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2'!$C$34:$AF$34</c:f>
              <c:numCache>
                <c:formatCode>#,##0__</c:formatCode>
                <c:ptCount val="30"/>
                <c:pt idx="0">
                  <c:v>24.008427520841689</c:v>
                </c:pt>
                <c:pt idx="1">
                  <c:v>14.674010935341046</c:v>
                </c:pt>
                <c:pt idx="2">
                  <c:v>9.7391351049218109</c:v>
                </c:pt>
                <c:pt idx="3">
                  <c:v>16.783125711775629</c:v>
                </c:pt>
                <c:pt idx="4" formatCode="#,##0.0__">
                  <c:v>15.478617181437468</c:v>
                </c:pt>
                <c:pt idx="5" formatCode="#,##0.0__">
                  <c:v>11.72821468805186</c:v>
                </c:pt>
                <c:pt idx="6" formatCode="#,##0.0__">
                  <c:v>6.542679880774311</c:v>
                </c:pt>
                <c:pt idx="7" formatCode="#,##0.0__">
                  <c:v>6.6356960264430711</c:v>
                </c:pt>
                <c:pt idx="8" formatCode="#,##0.0__">
                  <c:v>22.670301977911127</c:v>
                </c:pt>
                <c:pt idx="9" formatCode="#,##0.0__">
                  <c:v>13.96015573008407</c:v>
                </c:pt>
                <c:pt idx="10" formatCode="#,##0.0__">
                  <c:v>3.8554465624995227</c:v>
                </c:pt>
                <c:pt idx="11" formatCode="#,##0.0__">
                  <c:v>-0.92548587727675624</c:v>
                </c:pt>
                <c:pt idx="12" formatCode="#,##0.0__">
                  <c:v>-14.839347610315926</c:v>
                </c:pt>
                <c:pt idx="13" formatCode="#,##0.0__">
                  <c:v>-5.2962975041670894</c:v>
                </c:pt>
                <c:pt idx="14" formatCode="#,##0.0__">
                  <c:v>28.5449141994455</c:v>
                </c:pt>
                <c:pt idx="15" formatCode="#,##0.0__">
                  <c:v>21.31669103822853</c:v>
                </c:pt>
                <c:pt idx="16" formatCode="#,##0.0__">
                  <c:v>35.957495888821171</c:v>
                </c:pt>
                <c:pt idx="17" formatCode="#,##0.0__">
                  <c:v>27.239841408344233</c:v>
                </c:pt>
                <c:pt idx="18" formatCode="#,##0.0__">
                  <c:v>9.2341155229136191</c:v>
                </c:pt>
                <c:pt idx="19" formatCode="#,##0.0__">
                  <c:v>6.1688216646606095</c:v>
                </c:pt>
                <c:pt idx="20" formatCode="#,##0.0__">
                  <c:v>15.591394938767356</c:v>
                </c:pt>
                <c:pt idx="21" formatCode="#,##0.0__">
                  <c:v>0.51541703808817374</c:v>
                </c:pt>
                <c:pt idx="22" formatCode="#,##0.0__">
                  <c:v>19.552829007204693</c:v>
                </c:pt>
                <c:pt idx="23" formatCode="#,##0.0__">
                  <c:v>21.966377727772336</c:v>
                </c:pt>
                <c:pt idx="24" formatCode="#,##0.0__">
                  <c:v>10.330511045843863</c:v>
                </c:pt>
                <c:pt idx="25" formatCode="#,##0.0__">
                  <c:v>38.766358848039296</c:v>
                </c:pt>
                <c:pt idx="26" formatCode="#,##0.0__">
                  <c:v>7.3137068574776265</c:v>
                </c:pt>
                <c:pt idx="27" formatCode="#,##0.0__">
                  <c:v>13.932436847203524</c:v>
                </c:pt>
                <c:pt idx="28" formatCode="#,##0.0__">
                  <c:v>7.8154936779983109</c:v>
                </c:pt>
                <c:pt idx="29" formatCode="#,##0.0__">
                  <c:v>-3.7245718868521829</c:v>
                </c:pt>
              </c:numCache>
            </c:numRef>
          </c:val>
        </c:ser>
        <c:marker val="1"/>
        <c:axId val="167736832"/>
        <c:axId val="167738752"/>
      </c:lineChart>
      <c:lineChart>
        <c:grouping val="standard"/>
        <c:ser>
          <c:idx val="4"/>
          <c:order val="4"/>
          <c:tx>
            <c:strRef>
              <c:f>'výkonnost odvětví 2'!$B$35</c:f>
              <c:strCache>
                <c:ptCount val="1"/>
                <c:pt idx="0">
                  <c:v>Balance of confidence indicator in industry</c:v>
                </c:pt>
              </c:strCache>
            </c:strRef>
          </c:tx>
          <c:spPr>
            <a:ln w="19050">
              <a:noFill/>
            </a:ln>
          </c:spPr>
          <c:marker>
            <c:symbol val="dash"/>
            <c:size val="9"/>
            <c:spPr>
              <a:solidFill>
                <a:srgbClr val="984807"/>
              </a:solidFill>
              <a:ln>
                <a:noFill/>
              </a:ln>
            </c:spPr>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2'!$C$35:$AF$35</c:f>
              <c:numCache>
                <c:formatCode>0.0</c:formatCode>
                <c:ptCount val="30"/>
                <c:pt idx="0">
                  <c:v>-5.4444444444444464</c:v>
                </c:pt>
                <c:pt idx="1">
                  <c:v>2.4333333333333331</c:v>
                </c:pt>
                <c:pt idx="2">
                  <c:v>5.5666666666666664</c:v>
                </c:pt>
                <c:pt idx="3">
                  <c:v>10</c:v>
                </c:pt>
                <c:pt idx="4">
                  <c:v>12.200000000000001</c:v>
                </c:pt>
                <c:pt idx="5">
                  <c:v>5.8999999999999995</c:v>
                </c:pt>
                <c:pt idx="6">
                  <c:v>2.4333333333333331</c:v>
                </c:pt>
                <c:pt idx="7">
                  <c:v>1.8</c:v>
                </c:pt>
                <c:pt idx="8">
                  <c:v>1.5666666666666667</c:v>
                </c:pt>
                <c:pt idx="9">
                  <c:v>-2.5666666666666669</c:v>
                </c:pt>
                <c:pt idx="10">
                  <c:v>-8.9</c:v>
                </c:pt>
                <c:pt idx="11">
                  <c:v>-10.200000000000001</c:v>
                </c:pt>
                <c:pt idx="12">
                  <c:v>-8.9</c:v>
                </c:pt>
                <c:pt idx="13">
                  <c:v>-10</c:v>
                </c:pt>
                <c:pt idx="14">
                  <c:v>-6.2333333333333458</c:v>
                </c:pt>
                <c:pt idx="15">
                  <c:v>1.7000000000000002</c:v>
                </c:pt>
                <c:pt idx="16">
                  <c:v>2.3333333333333335</c:v>
                </c:pt>
                <c:pt idx="17">
                  <c:v>3.6333333333333342</c:v>
                </c:pt>
                <c:pt idx="18">
                  <c:v>2.5333333333333332</c:v>
                </c:pt>
                <c:pt idx="19">
                  <c:v>2.6666666666666665</c:v>
                </c:pt>
                <c:pt idx="20">
                  <c:v>3</c:v>
                </c:pt>
                <c:pt idx="21">
                  <c:v>3.7666666666666671</c:v>
                </c:pt>
                <c:pt idx="22">
                  <c:v>3.7666666666666671</c:v>
                </c:pt>
                <c:pt idx="23">
                  <c:v>0.76666666666666661</c:v>
                </c:pt>
                <c:pt idx="24">
                  <c:v>3.5666666666666664</c:v>
                </c:pt>
                <c:pt idx="25">
                  <c:v>1.9000000000000001</c:v>
                </c:pt>
                <c:pt idx="26">
                  <c:v>3.7666666666666671</c:v>
                </c:pt>
                <c:pt idx="27">
                  <c:v>5.3333333333333428</c:v>
                </c:pt>
                <c:pt idx="28">
                  <c:v>3.3333333333333335</c:v>
                </c:pt>
                <c:pt idx="29">
                  <c:v>0.8333333333333337</c:v>
                </c:pt>
              </c:numCache>
            </c:numRef>
          </c:val>
        </c:ser>
        <c:marker val="1"/>
        <c:axId val="167752832"/>
        <c:axId val="167754368"/>
      </c:lineChart>
      <c:catAx>
        <c:axId val="167736832"/>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67738752"/>
        <c:crossesAt val="0"/>
        <c:lblAlgn val="ctr"/>
        <c:lblOffset val="0"/>
        <c:tickLblSkip val="1"/>
        <c:tickMarkSkip val="4"/>
      </c:catAx>
      <c:valAx>
        <c:axId val="167738752"/>
        <c:scaling>
          <c:orientation val="minMax"/>
          <c:max val="40"/>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67736832"/>
        <c:crosses val="autoZero"/>
        <c:crossBetween val="between"/>
        <c:majorUnit val="5"/>
      </c:valAx>
      <c:catAx>
        <c:axId val="167752832"/>
        <c:scaling>
          <c:orientation val="minMax"/>
        </c:scaling>
        <c:delete val="1"/>
        <c:axPos val="b"/>
        <c:numFmt formatCode="General" sourceLinked="1"/>
        <c:tickLblPos val="none"/>
        <c:crossAx val="167754368"/>
        <c:crosses val="autoZero"/>
        <c:auto val="1"/>
        <c:lblAlgn val="ctr"/>
        <c:lblOffset val="100"/>
      </c:catAx>
      <c:valAx>
        <c:axId val="167754368"/>
        <c:scaling>
          <c:orientation val="minMax"/>
          <c:max val="40"/>
          <c:min val="-30"/>
        </c:scaling>
        <c:delete val="1"/>
        <c:axPos val="r"/>
        <c:numFmt formatCode="0" sourceLinked="0"/>
        <c:majorTickMark val="in"/>
        <c:tickLblPos val="none"/>
        <c:crossAx val="167752832"/>
        <c:crosses val="max"/>
        <c:crossBetween val="between"/>
        <c:majorUnit val="10"/>
      </c:valAx>
      <c:spPr>
        <a:solidFill>
          <a:srgbClr val="FFFFFF"/>
        </a:solidFill>
        <a:ln w="9525">
          <a:solidFill>
            <a:schemeClr val="tx1"/>
          </a:solidFill>
        </a:ln>
      </c:spPr>
    </c:plotArea>
    <c:legend>
      <c:legendPos val="b"/>
      <c:layout>
        <c:manualLayout>
          <c:xMode val="edge"/>
          <c:yMode val="edge"/>
          <c:x val="4.9759612109554999E-2"/>
          <c:y val="0.86466408652853322"/>
          <c:w val="0.93071792660969377"/>
          <c:h val="0.12117661880503022"/>
        </c:manualLayout>
      </c:layout>
      <c:spPr>
        <a:noFill/>
        <a:ln w="6350">
          <a:solidFill>
            <a:schemeClr val="tx1"/>
          </a:solidFill>
        </a:ln>
      </c:spPr>
      <c:txPr>
        <a:bodyPr/>
        <a:lstStyle/>
        <a:p>
          <a:pPr>
            <a:defRPr sz="750"/>
          </a:pPr>
          <a:endParaRPr lang="cs-CZ"/>
        </a:p>
      </c:tx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6155778692800765E-2"/>
          <c:y val="1.6563187842952739E-2"/>
          <c:w val="0.92847707700101312"/>
          <c:h val="0.72458972501782559"/>
        </c:manualLayout>
      </c:layout>
      <c:barChart>
        <c:barDir val="col"/>
        <c:grouping val="clustered"/>
        <c:ser>
          <c:idx val="0"/>
          <c:order val="0"/>
          <c:tx>
            <c:strRef>
              <c:f>'výkonnost odvětví 3'!$C$10</c:f>
              <c:strCache>
                <c:ptCount val="1"/>
                <c:pt idx="0">
                  <c:v>Construction production index (CPI)*</c:v>
                </c:pt>
              </c:strCache>
            </c:strRef>
          </c:tx>
          <c:spPr>
            <a:solidFill>
              <a:schemeClr val="bg1">
                <a:lumMod val="65000"/>
              </a:schemeClr>
            </a:solidFill>
            <a:ln w="12700">
              <a:noFill/>
              <a:prstDash val="solid"/>
            </a:ln>
          </c:spP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3'!$C$11:$C$40</c:f>
              <c:numCache>
                <c:formatCode>0.0</c:formatCode>
                <c:ptCount val="30"/>
                <c:pt idx="0">
                  <c:v>-22.648910008071788</c:v>
                </c:pt>
                <c:pt idx="1">
                  <c:v>-9.2156825309396009</c:v>
                </c:pt>
                <c:pt idx="2">
                  <c:v>-2.5810006468532833</c:v>
                </c:pt>
                <c:pt idx="3">
                  <c:v>-2.6505345871117547</c:v>
                </c:pt>
                <c:pt idx="4">
                  <c:v>4.8218751374231354</c:v>
                </c:pt>
                <c:pt idx="5">
                  <c:v>-5.294317605789729</c:v>
                </c:pt>
                <c:pt idx="6">
                  <c:v>-9.1132729088378959</c:v>
                </c:pt>
                <c:pt idx="7">
                  <c:v>-0.52625926393379563</c:v>
                </c:pt>
                <c:pt idx="8">
                  <c:v>-10.317415522066002</c:v>
                </c:pt>
                <c:pt idx="9">
                  <c:v>-5.029801427639697</c:v>
                </c:pt>
                <c:pt idx="10">
                  <c:v>-5.7533277226356514</c:v>
                </c:pt>
                <c:pt idx="11">
                  <c:v>-9.3369393893636641</c:v>
                </c:pt>
                <c:pt idx="12">
                  <c:v>-10.150277046339168</c:v>
                </c:pt>
                <c:pt idx="13">
                  <c:v>-11.698293439718171</c:v>
                </c:pt>
                <c:pt idx="14">
                  <c:v>-5.1620407483658042</c:v>
                </c:pt>
                <c:pt idx="15">
                  <c:v>-2.7391641013363182</c:v>
                </c:pt>
                <c:pt idx="16">
                  <c:v>13.259224349587512</c:v>
                </c:pt>
                <c:pt idx="17">
                  <c:v>5.5883892232888144</c:v>
                </c:pt>
                <c:pt idx="18">
                  <c:v>2.4083178914779824</c:v>
                </c:pt>
                <c:pt idx="19">
                  <c:v>1.0830991984453098</c:v>
                </c:pt>
                <c:pt idx="20">
                  <c:v>9.4921215706515589</c:v>
                </c:pt>
                <c:pt idx="21">
                  <c:v>12.22046613403414</c:v>
                </c:pt>
                <c:pt idx="22">
                  <c:v>8.341932816098705</c:v>
                </c:pt>
                <c:pt idx="23">
                  <c:v>1.0720608168441288</c:v>
                </c:pt>
                <c:pt idx="24">
                  <c:v>-6.3766673350847878</c:v>
                </c:pt>
                <c:pt idx="25">
                  <c:v>-10.606479221697157</c:v>
                </c:pt>
                <c:pt idx="26">
                  <c:v>-6.2234043259433394</c:v>
                </c:pt>
                <c:pt idx="27">
                  <c:v>-2.0138842383096716</c:v>
                </c:pt>
                <c:pt idx="28">
                  <c:v>-2.322959798748613</c:v>
                </c:pt>
                <c:pt idx="29">
                  <c:v>7.674140993672296</c:v>
                </c:pt>
              </c:numCache>
            </c:numRef>
          </c:val>
        </c:ser>
        <c:gapWidth val="31"/>
        <c:axId val="168137856"/>
        <c:axId val="168139776"/>
      </c:barChart>
      <c:lineChart>
        <c:grouping val="standard"/>
        <c:ser>
          <c:idx val="1"/>
          <c:order val="1"/>
          <c:tx>
            <c:strRef>
              <c:f>'výkonnost odvětví 3'!$D$10</c:f>
              <c:strCache>
                <c:ptCount val="1"/>
                <c:pt idx="0">
                  <c:v>CPI in the building construction*</c:v>
                </c:pt>
              </c:strCache>
            </c:strRef>
          </c:tx>
          <c:spPr>
            <a:ln w="19050">
              <a:solidFill>
                <a:srgbClr val="0071BC"/>
              </a:solidFill>
              <a:prstDash val="solid"/>
            </a:ln>
          </c:spPr>
          <c:marker>
            <c:symbol val="none"/>
          </c:marke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3'!$D$11:$D$40</c:f>
              <c:numCache>
                <c:formatCode>0.0</c:formatCode>
                <c:ptCount val="30"/>
                <c:pt idx="0">
                  <c:v>-27.130657556913505</c:v>
                </c:pt>
                <c:pt idx="1">
                  <c:v>-10.261407895857802</c:v>
                </c:pt>
                <c:pt idx="2">
                  <c:v>-0.58665460092620947</c:v>
                </c:pt>
                <c:pt idx="3">
                  <c:v>0.23546774022076991</c:v>
                </c:pt>
                <c:pt idx="4">
                  <c:v>8.1339439149999464</c:v>
                </c:pt>
                <c:pt idx="5">
                  <c:v>-1.7000247343842716</c:v>
                </c:pt>
                <c:pt idx="6">
                  <c:v>-6.3339756975623089</c:v>
                </c:pt>
                <c:pt idx="7">
                  <c:v>2.1912842598312636</c:v>
                </c:pt>
                <c:pt idx="8">
                  <c:v>-7.4948272420796371</c:v>
                </c:pt>
                <c:pt idx="9">
                  <c:v>-2.3014859610473053</c:v>
                </c:pt>
                <c:pt idx="10">
                  <c:v>-5.2500653746264545</c:v>
                </c:pt>
                <c:pt idx="11">
                  <c:v>-9.6056058915045668</c:v>
                </c:pt>
                <c:pt idx="12">
                  <c:v>-9.3657718913871548</c:v>
                </c:pt>
                <c:pt idx="13">
                  <c:v>-11.121354416361518</c:v>
                </c:pt>
                <c:pt idx="14">
                  <c:v>-1.5579556005030071</c:v>
                </c:pt>
                <c:pt idx="15">
                  <c:v>-2.9748120379874048</c:v>
                </c:pt>
                <c:pt idx="16">
                  <c:v>16.805784814600059</c:v>
                </c:pt>
                <c:pt idx="17">
                  <c:v>5.0881502079620695</c:v>
                </c:pt>
                <c:pt idx="18">
                  <c:v>-1.0678896819859598</c:v>
                </c:pt>
                <c:pt idx="19">
                  <c:v>-0.33059893139294277</c:v>
                </c:pt>
                <c:pt idx="20">
                  <c:v>7.9282098756323904</c:v>
                </c:pt>
                <c:pt idx="21">
                  <c:v>7.3316347433463314</c:v>
                </c:pt>
                <c:pt idx="22">
                  <c:v>1.3176939481690495</c:v>
                </c:pt>
                <c:pt idx="23">
                  <c:v>-2.6482987614626872</c:v>
                </c:pt>
                <c:pt idx="24">
                  <c:v>-6.6444498463628747</c:v>
                </c:pt>
                <c:pt idx="25">
                  <c:v>-7.7640616369894033</c:v>
                </c:pt>
                <c:pt idx="26">
                  <c:v>1.3238680635700604</c:v>
                </c:pt>
                <c:pt idx="27">
                  <c:v>6.0909470992974661</c:v>
                </c:pt>
                <c:pt idx="28">
                  <c:v>1.6274325108293084</c:v>
                </c:pt>
                <c:pt idx="29">
                  <c:v>13.427632335606242</c:v>
                </c:pt>
              </c:numCache>
            </c:numRef>
          </c:val>
        </c:ser>
        <c:ser>
          <c:idx val="2"/>
          <c:order val="2"/>
          <c:tx>
            <c:strRef>
              <c:f>'výkonnost odvětví 3'!$E$10</c:f>
              <c:strCache>
                <c:ptCount val="1"/>
                <c:pt idx="0">
                  <c:v>CPI in the civil engineering construction*</c:v>
                </c:pt>
              </c:strCache>
            </c:strRef>
          </c:tx>
          <c:spPr>
            <a:ln w="19050">
              <a:solidFill>
                <a:srgbClr val="BD1B21"/>
              </a:solidFill>
              <a:prstDash val="solid"/>
            </a:ln>
          </c:spPr>
          <c:marker>
            <c:symbol val="none"/>
          </c:marke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3'!$E$11:$E$40</c:f>
              <c:numCache>
                <c:formatCode>0.0</c:formatCode>
                <c:ptCount val="30"/>
                <c:pt idx="0">
                  <c:v>-9.2195637782418913</c:v>
                </c:pt>
                <c:pt idx="1">
                  <c:v>-7.2700248828442744</c:v>
                </c:pt>
                <c:pt idx="2">
                  <c:v>-6.0982659873771103</c:v>
                </c:pt>
                <c:pt idx="3">
                  <c:v>-7.790610683153866</c:v>
                </c:pt>
                <c:pt idx="4">
                  <c:v>-3.1444754115018867</c:v>
                </c:pt>
                <c:pt idx="5">
                  <c:v>-11.766061955270358</c:v>
                </c:pt>
                <c:pt idx="6">
                  <c:v>-14.302595679470476</c:v>
                </c:pt>
                <c:pt idx="7">
                  <c:v>-5.7875906342403169</c:v>
                </c:pt>
                <c:pt idx="8">
                  <c:v>-17.896997346818754</c:v>
                </c:pt>
                <c:pt idx="9">
                  <c:v>-10.502735570148518</c:v>
                </c:pt>
                <c:pt idx="10">
                  <c:v>-6.7803610838127355</c:v>
                </c:pt>
                <c:pt idx="11">
                  <c:v>-8.772732461160853</c:v>
                </c:pt>
                <c:pt idx="12">
                  <c:v>-12.523838561195788</c:v>
                </c:pt>
                <c:pt idx="13">
                  <c:v>-12.961672718623616</c:v>
                </c:pt>
                <c:pt idx="14">
                  <c:v>-12.637823237894798</c:v>
                </c:pt>
                <c:pt idx="15">
                  <c:v>-2.2488150197283687</c:v>
                </c:pt>
                <c:pt idx="16">
                  <c:v>2.1415338047714303</c:v>
                </c:pt>
                <c:pt idx="17">
                  <c:v>6.7069724097109864</c:v>
                </c:pt>
                <c:pt idx="18">
                  <c:v>10.533338913399334</c:v>
                </c:pt>
                <c:pt idx="19">
                  <c:v>4.0029514105969852</c:v>
                </c:pt>
                <c:pt idx="20">
                  <c:v>15.098487191355471</c:v>
                </c:pt>
                <c:pt idx="21">
                  <c:v>22.986524631637685</c:v>
                </c:pt>
                <c:pt idx="22">
                  <c:v>23.036677602226387</c:v>
                </c:pt>
                <c:pt idx="23">
                  <c:v>8.4359168367748705</c:v>
                </c:pt>
                <c:pt idx="24">
                  <c:v>-5.4765134545503393</c:v>
                </c:pt>
                <c:pt idx="25">
                  <c:v>-16.069209677741203</c:v>
                </c:pt>
                <c:pt idx="26">
                  <c:v>-19.225204934626067</c:v>
                </c:pt>
                <c:pt idx="27">
                  <c:v>-16.41628005697558</c:v>
                </c:pt>
                <c:pt idx="28">
                  <c:v>-15.438167879080353</c:v>
                </c:pt>
                <c:pt idx="29">
                  <c:v>-4.477423951790243</c:v>
                </c:pt>
              </c:numCache>
            </c:numRef>
          </c:val>
        </c:ser>
        <c:ser>
          <c:idx val="3"/>
          <c:order val="3"/>
          <c:tx>
            <c:strRef>
              <c:f>'výkonnost odvětví 3'!$F$10</c:f>
              <c:strCache>
                <c:ptCount val="1"/>
                <c:pt idx="0">
                  <c:v>Total new orders in construction</c:v>
                </c:pt>
              </c:strCache>
            </c:strRef>
          </c:tx>
          <c:spPr>
            <a:ln w="19050">
              <a:solidFill>
                <a:srgbClr val="7DBB2D"/>
              </a:solidFill>
              <a:prstDash val="sysDash"/>
            </a:ln>
          </c:spPr>
          <c:marker>
            <c:symbol val="none"/>
          </c:marke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3'!$F$11:$F$40</c:f>
              <c:numCache>
                <c:formatCode>0.0</c:formatCode>
                <c:ptCount val="30"/>
                <c:pt idx="0">
                  <c:v>0.82757088505651666</c:v>
                </c:pt>
                <c:pt idx="1">
                  <c:v>8.7687755178484537</c:v>
                </c:pt>
                <c:pt idx="2">
                  <c:v>30.89471189070375</c:v>
                </c:pt>
                <c:pt idx="3">
                  <c:v>-13.415413805192939</c:v>
                </c:pt>
                <c:pt idx="4">
                  <c:v>37.795405718063193</c:v>
                </c:pt>
                <c:pt idx="5">
                  <c:v>-23.565672566981156</c:v>
                </c:pt>
                <c:pt idx="6">
                  <c:v>-23.360716461156017</c:v>
                </c:pt>
                <c:pt idx="7">
                  <c:v>-9.1653963414634205</c:v>
                </c:pt>
                <c:pt idx="8">
                  <c:v>-46.32205964659795</c:v>
                </c:pt>
                <c:pt idx="9">
                  <c:v>-13.714800630772698</c:v>
                </c:pt>
                <c:pt idx="10">
                  <c:v>-7.6729748888363716</c:v>
                </c:pt>
                <c:pt idx="11">
                  <c:v>7.5624082232011753</c:v>
                </c:pt>
                <c:pt idx="12">
                  <c:v>-17.695687793252429</c:v>
                </c:pt>
                <c:pt idx="13">
                  <c:v>-1.584773641063137</c:v>
                </c:pt>
                <c:pt idx="14">
                  <c:v>-1.3308205951467045</c:v>
                </c:pt>
                <c:pt idx="15">
                  <c:v>16.153096050706978</c:v>
                </c:pt>
                <c:pt idx="16">
                  <c:v>67.509727626459025</c:v>
                </c:pt>
                <c:pt idx="17">
                  <c:v>18.978644382544068</c:v>
                </c:pt>
                <c:pt idx="18">
                  <c:v>34.050931384107542</c:v>
                </c:pt>
                <c:pt idx="19">
                  <c:v>-1</c:v>
                </c:pt>
                <c:pt idx="20">
                  <c:v>-3.1547956675580053</c:v>
                </c:pt>
                <c:pt idx="21">
                  <c:v>9.7504961091663347</c:v>
                </c:pt>
                <c:pt idx="22">
                  <c:v>-1.0976060227612561</c:v>
                </c:pt>
                <c:pt idx="23">
                  <c:v>-2.3987783410040464</c:v>
                </c:pt>
                <c:pt idx="24">
                  <c:v>-6.6406358945753805</c:v>
                </c:pt>
                <c:pt idx="25">
                  <c:v>-0.49977652269311085</c:v>
                </c:pt>
                <c:pt idx="26">
                  <c:v>-7.0322087253454839</c:v>
                </c:pt>
                <c:pt idx="27">
                  <c:v>10.122126124559955</c:v>
                </c:pt>
                <c:pt idx="28">
                  <c:v>16.610402413885833</c:v>
                </c:pt>
                <c:pt idx="29">
                  <c:v>9.3574534985809805</c:v>
                </c:pt>
              </c:numCache>
            </c:numRef>
          </c:val>
        </c:ser>
        <c:ser>
          <c:idx val="4"/>
          <c:order val="4"/>
          <c:tx>
            <c:strRef>
              <c:f>'výkonnost odvětví 3'!$G$10</c:f>
              <c:strCache>
                <c:ptCount val="1"/>
                <c:pt idx="0">
                  <c:v>Balance of confidence indicator in construction</c:v>
                </c:pt>
              </c:strCache>
            </c:strRef>
          </c:tx>
          <c:spPr>
            <a:ln w="19050">
              <a:noFill/>
              <a:prstDash val="solid"/>
            </a:ln>
          </c:spPr>
          <c:marker>
            <c:symbol val="dash"/>
            <c:size val="9"/>
            <c:spPr>
              <a:solidFill>
                <a:srgbClr val="984807"/>
              </a:solidFill>
              <a:ln>
                <a:noFill/>
              </a:ln>
            </c:spPr>
          </c:marke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3'!$G$11:$G$40</c:f>
              <c:numCache>
                <c:formatCode>0.0</c:formatCode>
                <c:ptCount val="30"/>
                <c:pt idx="0">
                  <c:v>-32.166666666666565</c:v>
                </c:pt>
                <c:pt idx="1">
                  <c:v>-32.5</c:v>
                </c:pt>
                <c:pt idx="2">
                  <c:v>-37</c:v>
                </c:pt>
                <c:pt idx="3">
                  <c:v>-42.5</c:v>
                </c:pt>
                <c:pt idx="4">
                  <c:v>-40</c:v>
                </c:pt>
                <c:pt idx="5">
                  <c:v>-40.333333333333336</c:v>
                </c:pt>
                <c:pt idx="6">
                  <c:v>-39.166666666666565</c:v>
                </c:pt>
                <c:pt idx="7">
                  <c:v>-39.333333333333336</c:v>
                </c:pt>
                <c:pt idx="8">
                  <c:v>-46</c:v>
                </c:pt>
                <c:pt idx="9">
                  <c:v>-45.333333333333336</c:v>
                </c:pt>
                <c:pt idx="10">
                  <c:v>-43.5</c:v>
                </c:pt>
                <c:pt idx="11">
                  <c:v>-44.666666666666565</c:v>
                </c:pt>
                <c:pt idx="12">
                  <c:v>-46</c:v>
                </c:pt>
                <c:pt idx="13">
                  <c:v>-53.333333333333336</c:v>
                </c:pt>
                <c:pt idx="14">
                  <c:v>-49.5</c:v>
                </c:pt>
                <c:pt idx="15">
                  <c:v>-50.833333333333336</c:v>
                </c:pt>
                <c:pt idx="16">
                  <c:v>-45.166666666666565</c:v>
                </c:pt>
                <c:pt idx="17">
                  <c:v>-38.333333333333336</c:v>
                </c:pt>
                <c:pt idx="18">
                  <c:v>-32</c:v>
                </c:pt>
                <c:pt idx="19">
                  <c:v>-25.166666666666668</c:v>
                </c:pt>
                <c:pt idx="20">
                  <c:v>-20.833333333333282</c:v>
                </c:pt>
                <c:pt idx="21">
                  <c:v>-16.333333333333282</c:v>
                </c:pt>
                <c:pt idx="22">
                  <c:v>-18.666666666666668</c:v>
                </c:pt>
                <c:pt idx="23">
                  <c:v>-15.66666666666668</c:v>
                </c:pt>
                <c:pt idx="24">
                  <c:v>-17.166666666666668</c:v>
                </c:pt>
                <c:pt idx="25">
                  <c:v>-24</c:v>
                </c:pt>
                <c:pt idx="26">
                  <c:v>-26.666666666666668</c:v>
                </c:pt>
                <c:pt idx="27">
                  <c:v>-25.833333333333282</c:v>
                </c:pt>
                <c:pt idx="28">
                  <c:v>-24.5</c:v>
                </c:pt>
                <c:pt idx="29">
                  <c:v>-22.666666666666668</c:v>
                </c:pt>
              </c:numCache>
            </c:numRef>
          </c:val>
        </c:ser>
        <c:marker val="1"/>
        <c:axId val="168137856"/>
        <c:axId val="168139776"/>
      </c:lineChart>
      <c:catAx>
        <c:axId val="168137856"/>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68139776"/>
        <c:crossesAt val="0"/>
        <c:lblAlgn val="ctr"/>
        <c:lblOffset val="0"/>
        <c:tickLblSkip val="1"/>
        <c:tickMarkSkip val="4"/>
      </c:catAx>
      <c:valAx>
        <c:axId val="168139776"/>
        <c:scaling>
          <c:orientation val="minMax"/>
          <c:max val="50"/>
          <c:min val="-6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68137856"/>
        <c:crosses val="autoZero"/>
        <c:crossBetween val="between"/>
        <c:majorUnit val="10"/>
      </c:valAx>
      <c:spPr>
        <a:solidFill>
          <a:srgbClr val="FFFFFF"/>
        </a:solidFill>
        <a:ln w="9525">
          <a:solidFill>
            <a:schemeClr val="tx1"/>
          </a:solidFill>
        </a:ln>
      </c:spPr>
    </c:plotArea>
    <c:legend>
      <c:legendPos val="b"/>
      <c:layout>
        <c:manualLayout>
          <c:xMode val="edge"/>
          <c:yMode val="edge"/>
          <c:x val="5.4756636702296795E-2"/>
          <c:y val="0.83066712135346354"/>
          <c:w val="0.92610625633232013"/>
          <c:h val="0.15760449576267652"/>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3337294494629933E-2"/>
          <c:y val="1.7971422477637725E-2"/>
          <c:w val="0.91372590696101663"/>
          <c:h val="0.72973755625183523"/>
        </c:manualLayout>
      </c:layout>
      <c:barChart>
        <c:barDir val="col"/>
        <c:grouping val="clustered"/>
        <c:ser>
          <c:idx val="0"/>
          <c:order val="0"/>
          <c:tx>
            <c:strRef>
              <c:f>'výkonnost odvětví 4'!$C$10</c:f>
              <c:strCache>
                <c:ptCount val="1"/>
                <c:pt idx="0">
                  <c:v>Total services*</c:v>
                </c:pt>
              </c:strCache>
            </c:strRef>
          </c:tx>
          <c:spPr>
            <a:solidFill>
              <a:schemeClr val="bg1">
                <a:lumMod val="65000"/>
              </a:schemeClr>
            </a:solidFill>
            <a:ln w="12700">
              <a:noFill/>
              <a:prstDash val="solid"/>
            </a:ln>
          </c:spP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4'!$C$11:$C$40</c:f>
              <c:numCache>
                <c:formatCode>#,##0.0</c:formatCode>
                <c:ptCount val="30"/>
                <c:pt idx="0">
                  <c:v>-4.5086821461459685</c:v>
                </c:pt>
                <c:pt idx="1">
                  <c:v>-0.32835885535858822</c:v>
                </c:pt>
                <c:pt idx="2">
                  <c:v>0.73946053993891758</c:v>
                </c:pt>
                <c:pt idx="3">
                  <c:v>-2.5152236064232767</c:v>
                </c:pt>
                <c:pt idx="4">
                  <c:v>0.28391768756938573</c:v>
                </c:pt>
                <c:pt idx="5">
                  <c:v>-0.70805078172122515</c:v>
                </c:pt>
                <c:pt idx="6">
                  <c:v>-4.5203767606311374</c:v>
                </c:pt>
                <c:pt idx="7">
                  <c:v>-2.2655181443709602</c:v>
                </c:pt>
                <c:pt idx="8">
                  <c:v>0.37351297841811981</c:v>
                </c:pt>
                <c:pt idx="9">
                  <c:v>-1.1871830565365564</c:v>
                </c:pt>
                <c:pt idx="10">
                  <c:v>1.1226178720515663</c:v>
                </c:pt>
                <c:pt idx="11">
                  <c:v>-1.3757772010385321</c:v>
                </c:pt>
                <c:pt idx="12">
                  <c:v>-0.13738089259027245</c:v>
                </c:pt>
                <c:pt idx="13">
                  <c:v>-0.88320355282115759</c:v>
                </c:pt>
                <c:pt idx="14">
                  <c:v>-1.390692156642402</c:v>
                </c:pt>
                <c:pt idx="15">
                  <c:v>1.6364179776865666</c:v>
                </c:pt>
                <c:pt idx="16">
                  <c:v>2.8771336307295448</c:v>
                </c:pt>
                <c:pt idx="17">
                  <c:v>1.002019192308552</c:v>
                </c:pt>
                <c:pt idx="18">
                  <c:v>0.49159162809337426</c:v>
                </c:pt>
                <c:pt idx="19">
                  <c:v>-0.25866374543002729</c:v>
                </c:pt>
                <c:pt idx="20">
                  <c:v>3.6461757644775945</c:v>
                </c:pt>
                <c:pt idx="21">
                  <c:v>3.0546031719619742</c:v>
                </c:pt>
                <c:pt idx="22">
                  <c:v>3.647984423755247</c:v>
                </c:pt>
                <c:pt idx="23">
                  <c:v>2.3368507053215524</c:v>
                </c:pt>
                <c:pt idx="24">
                  <c:v>1.3201546203116981</c:v>
                </c:pt>
                <c:pt idx="25">
                  <c:v>-0.70323122890518164</c:v>
                </c:pt>
                <c:pt idx="26">
                  <c:v>1.421959263257603</c:v>
                </c:pt>
                <c:pt idx="27">
                  <c:v>1.6211618392301546</c:v>
                </c:pt>
                <c:pt idx="28">
                  <c:v>5.3320233480099262</c:v>
                </c:pt>
                <c:pt idx="29">
                  <c:v>5.7170689693668066</c:v>
                </c:pt>
              </c:numCache>
            </c:numRef>
          </c:val>
        </c:ser>
        <c:gapWidth val="31"/>
        <c:axId val="168220544"/>
        <c:axId val="168222080"/>
      </c:barChart>
      <c:lineChart>
        <c:grouping val="standard"/>
        <c:ser>
          <c:idx val="1"/>
          <c:order val="1"/>
          <c:tx>
            <c:strRef>
              <c:f>'výkonnost odvětví 4'!$D$10</c:f>
              <c:strCache>
                <c:ptCount val="1"/>
                <c:pt idx="0">
                  <c:v>Transportation and storage</c:v>
                </c:pt>
              </c:strCache>
            </c:strRef>
          </c:tx>
          <c:spPr>
            <a:ln w="19050">
              <a:noFill/>
              <a:prstDash val="solid"/>
            </a:ln>
          </c:spPr>
          <c:marker>
            <c:symbol val="diamond"/>
            <c:size val="5"/>
            <c:spPr>
              <a:solidFill>
                <a:srgbClr val="984807"/>
              </a:solidFill>
              <a:ln>
                <a:noFill/>
              </a:ln>
            </c:spPr>
          </c:marke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4'!$D$11:$D$40</c:f>
              <c:numCache>
                <c:formatCode>#,##0.0</c:formatCode>
                <c:ptCount val="30"/>
                <c:pt idx="0">
                  <c:v>1.1947172056579101</c:v>
                </c:pt>
                <c:pt idx="1">
                  <c:v>6.1612006923673164</c:v>
                </c:pt>
                <c:pt idx="2">
                  <c:v>3.8321763739405226</c:v>
                </c:pt>
                <c:pt idx="3">
                  <c:v>1.9422562614741141</c:v>
                </c:pt>
                <c:pt idx="4">
                  <c:v>3.9905907077130012</c:v>
                </c:pt>
                <c:pt idx="5">
                  <c:v>0.66863750176709402</c:v>
                </c:pt>
                <c:pt idx="6">
                  <c:v>-0.96992608501065547</c:v>
                </c:pt>
                <c:pt idx="7">
                  <c:v>1.53701358146796</c:v>
                </c:pt>
                <c:pt idx="8">
                  <c:v>0.86419433077047492</c:v>
                </c:pt>
                <c:pt idx="9">
                  <c:v>1.820374106952102</c:v>
                </c:pt>
                <c:pt idx="10">
                  <c:v>3.4982887263413289</c:v>
                </c:pt>
                <c:pt idx="11">
                  <c:v>-1.8034409137813583</c:v>
                </c:pt>
                <c:pt idx="12">
                  <c:v>3.3926540371391023</c:v>
                </c:pt>
                <c:pt idx="13">
                  <c:v>2.7604642355407671</c:v>
                </c:pt>
                <c:pt idx="14">
                  <c:v>2.2208650522536715</c:v>
                </c:pt>
                <c:pt idx="15">
                  <c:v>10.115669423589594</c:v>
                </c:pt>
                <c:pt idx="16">
                  <c:v>6.7018833973273502</c:v>
                </c:pt>
                <c:pt idx="17">
                  <c:v>2.7333521657622981</c:v>
                </c:pt>
                <c:pt idx="18">
                  <c:v>2.0465515678918011</c:v>
                </c:pt>
                <c:pt idx="19">
                  <c:v>-1.530844720104767</c:v>
                </c:pt>
                <c:pt idx="20">
                  <c:v>1.002169684302757</c:v>
                </c:pt>
                <c:pt idx="21">
                  <c:v>9.8032147612841E-2</c:v>
                </c:pt>
                <c:pt idx="22">
                  <c:v>0.86950159365595425</c:v>
                </c:pt>
                <c:pt idx="23">
                  <c:v>0.28377530048348376</c:v>
                </c:pt>
                <c:pt idx="24">
                  <c:v>0.39004135456362121</c:v>
                </c:pt>
                <c:pt idx="25">
                  <c:v>0.85652658073075683</c:v>
                </c:pt>
                <c:pt idx="26">
                  <c:v>0.45460658671727588</c:v>
                </c:pt>
                <c:pt idx="27">
                  <c:v>2.9315490427268287</c:v>
                </c:pt>
                <c:pt idx="28">
                  <c:v>5.6249935981078085</c:v>
                </c:pt>
                <c:pt idx="29">
                  <c:v>3.6515405709936597</c:v>
                </c:pt>
              </c:numCache>
            </c:numRef>
          </c:val>
        </c:ser>
        <c:ser>
          <c:idx val="2"/>
          <c:order val="2"/>
          <c:tx>
            <c:strRef>
              <c:f>'výkonnost odvětví 4'!$E$10</c:f>
              <c:strCache>
                <c:ptCount val="1"/>
                <c:pt idx="0">
                  <c:v>Accommodation, food service and restaurants</c:v>
                </c:pt>
              </c:strCache>
            </c:strRef>
          </c:tx>
          <c:spPr>
            <a:ln w="19050">
              <a:solidFill>
                <a:schemeClr val="accent6">
                  <a:lumMod val="75000"/>
                </a:schemeClr>
              </a:solidFill>
              <a:prstDash val="solid"/>
            </a:ln>
          </c:spPr>
          <c:marker>
            <c:symbol val="none"/>
          </c:marke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4'!$E$11:$E$40</c:f>
              <c:numCache>
                <c:formatCode>#,##0.0</c:formatCode>
                <c:ptCount val="30"/>
                <c:pt idx="0">
                  <c:v>-5.6975334622339409</c:v>
                </c:pt>
                <c:pt idx="1">
                  <c:v>-6.45662917116905</c:v>
                </c:pt>
                <c:pt idx="2">
                  <c:v>-2.3613693441163552</c:v>
                </c:pt>
                <c:pt idx="3">
                  <c:v>-4.3794822068248322</c:v>
                </c:pt>
                <c:pt idx="4">
                  <c:v>-0.4555737275375123</c:v>
                </c:pt>
                <c:pt idx="5">
                  <c:v>2.8719283904406567</c:v>
                </c:pt>
                <c:pt idx="6">
                  <c:v>-2.0593466230799167</c:v>
                </c:pt>
                <c:pt idx="7">
                  <c:v>-1.7256463028242994</c:v>
                </c:pt>
                <c:pt idx="8">
                  <c:v>-2.0799940910439592</c:v>
                </c:pt>
                <c:pt idx="9">
                  <c:v>-2.7104496472732067</c:v>
                </c:pt>
                <c:pt idx="10">
                  <c:v>-1.7795460053675638</c:v>
                </c:pt>
                <c:pt idx="11">
                  <c:v>-3.5479456831717857</c:v>
                </c:pt>
                <c:pt idx="12">
                  <c:v>0.89755614973260534</c:v>
                </c:pt>
                <c:pt idx="13">
                  <c:v>0.22924413123806203</c:v>
                </c:pt>
                <c:pt idx="14">
                  <c:v>1.6544632966843258</c:v>
                </c:pt>
                <c:pt idx="15">
                  <c:v>0.76912142555656382</c:v>
                </c:pt>
                <c:pt idx="16">
                  <c:v>2.8501068964853005</c:v>
                </c:pt>
                <c:pt idx="17">
                  <c:v>2.4958042132578977</c:v>
                </c:pt>
                <c:pt idx="18">
                  <c:v>-0.14347203797564134</c:v>
                </c:pt>
                <c:pt idx="19">
                  <c:v>9.4433474314613006E-2</c:v>
                </c:pt>
                <c:pt idx="20">
                  <c:v>2.7050589721666398</c:v>
                </c:pt>
                <c:pt idx="21">
                  <c:v>7.5318806290230071</c:v>
                </c:pt>
                <c:pt idx="22">
                  <c:v>7.8389885799991976</c:v>
                </c:pt>
                <c:pt idx="23">
                  <c:v>4.873320614487179</c:v>
                </c:pt>
                <c:pt idx="24">
                  <c:v>5.5782241405589019</c:v>
                </c:pt>
                <c:pt idx="25">
                  <c:v>2.058514914094502</c:v>
                </c:pt>
                <c:pt idx="26">
                  <c:v>6.8375251195024545</c:v>
                </c:pt>
                <c:pt idx="27">
                  <c:v>7.3108025341731784</c:v>
                </c:pt>
                <c:pt idx="28">
                  <c:v>12.012080667822948</c:v>
                </c:pt>
                <c:pt idx="29">
                  <c:v>13.433599076288345</c:v>
                </c:pt>
              </c:numCache>
            </c:numRef>
          </c:val>
        </c:ser>
        <c:ser>
          <c:idx val="3"/>
          <c:order val="3"/>
          <c:tx>
            <c:strRef>
              <c:f>'výkonnost odvětví 4'!$F$10</c:f>
              <c:strCache>
                <c:ptCount val="1"/>
                <c:pt idx="0">
                  <c:v>Professional, scientific and technical activities </c:v>
                </c:pt>
              </c:strCache>
            </c:strRef>
          </c:tx>
          <c:spPr>
            <a:ln w="19050">
              <a:solidFill>
                <a:srgbClr val="48AEE7"/>
              </a:solidFill>
            </a:ln>
          </c:spPr>
          <c:marker>
            <c:symbol val="none"/>
          </c:marke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4'!$F$11:$F$40</c:f>
              <c:numCache>
                <c:formatCode>#,##0.0</c:formatCode>
                <c:ptCount val="30"/>
                <c:pt idx="0">
                  <c:v>-12.29140286587932</c:v>
                </c:pt>
                <c:pt idx="1">
                  <c:v>-4.2369590371524453</c:v>
                </c:pt>
                <c:pt idx="2">
                  <c:v>-1.2080379480757151</c:v>
                </c:pt>
                <c:pt idx="3">
                  <c:v>-7.4305239361272575</c:v>
                </c:pt>
                <c:pt idx="4">
                  <c:v>-5.3334335616924555</c:v>
                </c:pt>
                <c:pt idx="5">
                  <c:v>-4.4160578473172265</c:v>
                </c:pt>
                <c:pt idx="6">
                  <c:v>-16.037856901980945</c:v>
                </c:pt>
                <c:pt idx="7">
                  <c:v>-8.5897289971528039</c:v>
                </c:pt>
                <c:pt idx="8">
                  <c:v>1.7788922355555599</c:v>
                </c:pt>
                <c:pt idx="9">
                  <c:v>-5.9954391231438375</c:v>
                </c:pt>
                <c:pt idx="10">
                  <c:v>-0.72796001543736111</c:v>
                </c:pt>
                <c:pt idx="11">
                  <c:v>0.13792425546452591</c:v>
                </c:pt>
                <c:pt idx="12">
                  <c:v>-4.5792020329988192</c:v>
                </c:pt>
                <c:pt idx="13">
                  <c:v>-7.3603324814945523</c:v>
                </c:pt>
                <c:pt idx="14">
                  <c:v>-9.2524678147347217</c:v>
                </c:pt>
                <c:pt idx="15">
                  <c:v>-5.1127026831459688</c:v>
                </c:pt>
                <c:pt idx="16">
                  <c:v>-3.1398591187232325</c:v>
                </c:pt>
                <c:pt idx="17">
                  <c:v>-2.2337848171194334</c:v>
                </c:pt>
                <c:pt idx="18">
                  <c:v>-3.2082111393684301</c:v>
                </c:pt>
                <c:pt idx="19">
                  <c:v>-0.51190205487802132</c:v>
                </c:pt>
                <c:pt idx="20">
                  <c:v>5.0596405878540729</c:v>
                </c:pt>
                <c:pt idx="21">
                  <c:v>3.9939192273867832</c:v>
                </c:pt>
                <c:pt idx="22">
                  <c:v>5.6343976736692696</c:v>
                </c:pt>
                <c:pt idx="23">
                  <c:v>-0.90536959838848963</c:v>
                </c:pt>
                <c:pt idx="24">
                  <c:v>-1.6283771135000529</c:v>
                </c:pt>
                <c:pt idx="25">
                  <c:v>-7.4064779750107324</c:v>
                </c:pt>
                <c:pt idx="26">
                  <c:v>-0.53409395066332011</c:v>
                </c:pt>
                <c:pt idx="27">
                  <c:v>-1.4896673386361239</c:v>
                </c:pt>
                <c:pt idx="28">
                  <c:v>2.2822998345791197</c:v>
                </c:pt>
                <c:pt idx="29">
                  <c:v>3.9913465625417359</c:v>
                </c:pt>
              </c:numCache>
            </c:numRef>
          </c:val>
        </c:ser>
        <c:ser>
          <c:idx val="4"/>
          <c:order val="4"/>
          <c:tx>
            <c:strRef>
              <c:f>'výkonnost odvětví 4'!$G$10</c:f>
              <c:strCache>
                <c:ptCount val="1"/>
                <c:pt idx="0">
                  <c:v>Administrative and support service activities</c:v>
                </c:pt>
              </c:strCache>
            </c:strRef>
          </c:tx>
          <c:spPr>
            <a:ln w="19050">
              <a:solidFill>
                <a:srgbClr val="7DBB2D"/>
              </a:solidFill>
            </a:ln>
          </c:spPr>
          <c:marker>
            <c:symbol val="none"/>
          </c:marke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4'!$G$11:$G$40</c:f>
              <c:numCache>
                <c:formatCode>#,##0.0</c:formatCode>
                <c:ptCount val="30"/>
                <c:pt idx="0">
                  <c:v>-1.6549602302955009</c:v>
                </c:pt>
                <c:pt idx="1">
                  <c:v>-2.3594924008949767</c:v>
                </c:pt>
                <c:pt idx="2">
                  <c:v>1.0685094464073757</c:v>
                </c:pt>
                <c:pt idx="3">
                  <c:v>1.802428689681236</c:v>
                </c:pt>
                <c:pt idx="4">
                  <c:v>4.5715948454982955</c:v>
                </c:pt>
                <c:pt idx="5">
                  <c:v>5.6146067882748127</c:v>
                </c:pt>
                <c:pt idx="6">
                  <c:v>5.0768754367534825</c:v>
                </c:pt>
                <c:pt idx="7">
                  <c:v>3.1246108505308001</c:v>
                </c:pt>
                <c:pt idx="8">
                  <c:v>4.9368462848572365</c:v>
                </c:pt>
                <c:pt idx="9">
                  <c:v>2.4137029520887547</c:v>
                </c:pt>
                <c:pt idx="10">
                  <c:v>4.1629831718919119</c:v>
                </c:pt>
                <c:pt idx="11">
                  <c:v>-1.7756569206553507</c:v>
                </c:pt>
                <c:pt idx="12">
                  <c:v>-0.44871471439856236</c:v>
                </c:pt>
                <c:pt idx="13">
                  <c:v>0.9939088783912382</c:v>
                </c:pt>
                <c:pt idx="14">
                  <c:v>0.7362302514327016</c:v>
                </c:pt>
                <c:pt idx="15">
                  <c:v>3.5140731651337469</c:v>
                </c:pt>
                <c:pt idx="16">
                  <c:v>5.1516745001737263</c:v>
                </c:pt>
                <c:pt idx="17">
                  <c:v>3.2158782239781885</c:v>
                </c:pt>
                <c:pt idx="18">
                  <c:v>1.6599049809022119</c:v>
                </c:pt>
                <c:pt idx="19">
                  <c:v>2.1099084628199742</c:v>
                </c:pt>
                <c:pt idx="20">
                  <c:v>6.1376093301024781</c:v>
                </c:pt>
                <c:pt idx="21">
                  <c:v>6.6225322026989755</c:v>
                </c:pt>
                <c:pt idx="22">
                  <c:v>5.29807791431341</c:v>
                </c:pt>
                <c:pt idx="23">
                  <c:v>6.7528747274731273</c:v>
                </c:pt>
                <c:pt idx="24">
                  <c:v>5.6113763982608589</c:v>
                </c:pt>
                <c:pt idx="25">
                  <c:v>3.1599869758994714</c:v>
                </c:pt>
                <c:pt idx="26">
                  <c:v>3.1913401196739528</c:v>
                </c:pt>
                <c:pt idx="27">
                  <c:v>5.1831722314395066</c:v>
                </c:pt>
                <c:pt idx="28">
                  <c:v>9.5426188339913836</c:v>
                </c:pt>
                <c:pt idx="29">
                  <c:v>9.7122164188196507</c:v>
                </c:pt>
              </c:numCache>
            </c:numRef>
          </c:val>
        </c:ser>
        <c:marker val="1"/>
        <c:axId val="168220544"/>
        <c:axId val="168222080"/>
      </c:lineChart>
      <c:catAx>
        <c:axId val="168220544"/>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68222080"/>
        <c:crosses val="autoZero"/>
        <c:lblAlgn val="ctr"/>
        <c:lblOffset val="0"/>
        <c:tickLblSkip val="1"/>
        <c:tickMarkSkip val="4"/>
      </c:catAx>
      <c:valAx>
        <c:axId val="168222080"/>
        <c:scaling>
          <c:orientation val="minMax"/>
          <c:max val="14"/>
          <c:min val="-16"/>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68220544"/>
        <c:crosses val="autoZero"/>
        <c:crossBetween val="between"/>
        <c:majorUnit val="2"/>
      </c:valAx>
      <c:spPr>
        <a:solidFill>
          <a:srgbClr val="FFFFFF"/>
        </a:solidFill>
        <a:ln w="9525">
          <a:solidFill>
            <a:schemeClr val="tx1"/>
          </a:solidFill>
        </a:ln>
      </c:spPr>
    </c:plotArea>
    <c:legend>
      <c:legendPos val="b"/>
      <c:layout>
        <c:manualLayout>
          <c:xMode val="edge"/>
          <c:yMode val="edge"/>
          <c:x val="5.3159200603222566E-2"/>
          <c:y val="0.83987419856971135"/>
          <c:w val="0.91252125420875463"/>
          <c:h val="0.145761330789653"/>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9865404755440938E-2"/>
          <c:y val="3.3960026067356604E-2"/>
          <c:w val="0.90126857480580858"/>
          <c:h val="0.7652359514286271"/>
        </c:manualLayout>
      </c:layout>
      <c:barChart>
        <c:barDir val="col"/>
        <c:grouping val="stacked"/>
        <c:ser>
          <c:idx val="3"/>
          <c:order val="1"/>
          <c:tx>
            <c:strRef>
              <c:f>'Vnější vztahy 1'!$E$5</c:f>
              <c:strCache>
                <c:ptCount val="1"/>
                <c:pt idx="0">
                  <c:v>Balance of goods</c:v>
                </c:pt>
              </c:strCache>
            </c:strRef>
          </c:tx>
          <c:spPr>
            <a:solidFill>
              <a:srgbClr val="BD1B21"/>
            </a:solidFill>
            <a:ln>
              <a:noFill/>
            </a:ln>
          </c:spPr>
          <c:val>
            <c:numRef>
              <c:f>'Vnější vztahy 1'!$E$6:$E$15</c:f>
              <c:numCache>
                <c:formatCode>0.0</c:formatCode>
                <c:ptCount val="10"/>
                <c:pt idx="0">
                  <c:v>19.415199999999924</c:v>
                </c:pt>
                <c:pt idx="1">
                  <c:v>41.968900000000012</c:v>
                </c:pt>
                <c:pt idx="2">
                  <c:v>51.850499999999997</c:v>
                </c:pt>
                <c:pt idx="3">
                  <c:v>57.21220000000001</c:v>
                </c:pt>
                <c:pt idx="4">
                  <c:v>79.433800000000005</c:v>
                </c:pt>
                <c:pt idx="5">
                  <c:v>108.04720000000029</c:v>
                </c:pt>
                <c:pt idx="6">
                  <c:v>136.91500000000002</c:v>
                </c:pt>
                <c:pt idx="7">
                  <c:v>120.30529999999999</c:v>
                </c:pt>
                <c:pt idx="8">
                  <c:v>165.26429999999999</c:v>
                </c:pt>
                <c:pt idx="9" formatCode="General">
                  <c:v>165.51759999999999</c:v>
                </c:pt>
              </c:numCache>
            </c:numRef>
          </c:val>
        </c:ser>
        <c:ser>
          <c:idx val="4"/>
          <c:order val="2"/>
          <c:tx>
            <c:strRef>
              <c:f>'Vnější vztahy 1'!$F$5</c:f>
              <c:strCache>
                <c:ptCount val="1"/>
                <c:pt idx="0">
                  <c:v>Balance of services</c:v>
                </c:pt>
              </c:strCache>
            </c:strRef>
          </c:tx>
          <c:spPr>
            <a:solidFill>
              <a:srgbClr val="E8AFB2"/>
            </a:solidFill>
            <a:ln>
              <a:noFill/>
            </a:ln>
          </c:spPr>
          <c:val>
            <c:numRef>
              <c:f>'Vnější vztahy 1'!$F$6:$F$15</c:f>
              <c:numCache>
                <c:formatCode>0.0</c:formatCode>
                <c:ptCount val="10"/>
                <c:pt idx="0">
                  <c:v>47.176600000000008</c:v>
                </c:pt>
                <c:pt idx="1">
                  <c:v>39.047700000000006</c:v>
                </c:pt>
                <c:pt idx="2">
                  <c:v>44.324000000000005</c:v>
                </c:pt>
                <c:pt idx="3">
                  <c:v>40.113500000000002</c:v>
                </c:pt>
                <c:pt idx="4">
                  <c:v>44.450900000000004</c:v>
                </c:pt>
                <c:pt idx="5">
                  <c:v>39.887999999999998</c:v>
                </c:pt>
                <c:pt idx="6">
                  <c:v>34.862400000000008</c:v>
                </c:pt>
                <c:pt idx="7">
                  <c:v>38.551499999999997</c:v>
                </c:pt>
                <c:pt idx="8">
                  <c:v>49.342800000000004</c:v>
                </c:pt>
                <c:pt idx="9" formatCode="General">
                  <c:v>56.9589</c:v>
                </c:pt>
              </c:numCache>
            </c:numRef>
          </c:val>
        </c:ser>
        <c:ser>
          <c:idx val="2"/>
          <c:order val="3"/>
          <c:tx>
            <c:strRef>
              <c:f>'Vnější vztahy 1'!$D$5</c:f>
              <c:strCache>
                <c:ptCount val="1"/>
                <c:pt idx="0">
                  <c:v>Primary income balance</c:v>
                </c:pt>
              </c:strCache>
            </c:strRef>
          </c:tx>
          <c:spPr>
            <a:solidFill>
              <a:srgbClr val="A6CDE8"/>
            </a:solidFill>
            <a:ln>
              <a:noFill/>
            </a:ln>
          </c:spPr>
          <c:val>
            <c:numRef>
              <c:f>'Vnější vztahy 1'!$D$6:$D$15</c:f>
              <c:numCache>
                <c:formatCode>0.0</c:formatCode>
                <c:ptCount val="10"/>
                <c:pt idx="0">
                  <c:v>-82.290499999999994</c:v>
                </c:pt>
                <c:pt idx="1">
                  <c:v>-112.9543</c:v>
                </c:pt>
                <c:pt idx="2">
                  <c:v>-86.157299999999992</c:v>
                </c:pt>
                <c:pt idx="3">
                  <c:v>-132.95950000000002</c:v>
                </c:pt>
                <c:pt idx="4">
                  <c:v>-76.063999999999993</c:v>
                </c:pt>
                <c:pt idx="5">
                  <c:v>-112.90589999999999</c:v>
                </c:pt>
                <c:pt idx="6">
                  <c:v>-124.5894</c:v>
                </c:pt>
                <c:pt idx="7">
                  <c:v>-125.38179999999998</c:v>
                </c:pt>
                <c:pt idx="8">
                  <c:v>-111.63640000000001</c:v>
                </c:pt>
                <c:pt idx="9" formatCode="General">
                  <c:v>-102.09060000000002</c:v>
                </c:pt>
              </c:numCache>
            </c:numRef>
          </c:val>
        </c:ser>
        <c:ser>
          <c:idx val="1"/>
          <c:order val="4"/>
          <c:tx>
            <c:strRef>
              <c:f>'Vnější vztahy 1'!$C$5</c:f>
              <c:strCache>
                <c:ptCount val="1"/>
                <c:pt idx="0">
                  <c:v>Secondary income balnce</c:v>
                </c:pt>
              </c:strCache>
            </c:strRef>
          </c:tx>
          <c:spPr>
            <a:solidFill>
              <a:srgbClr val="0071BC"/>
            </a:solidFill>
            <a:ln>
              <a:noFill/>
            </a:ln>
          </c:spPr>
          <c:val>
            <c:numRef>
              <c:f>'Vnější vztahy 1'!$C$6:$C$15</c:f>
              <c:numCache>
                <c:formatCode>0.0</c:formatCode>
                <c:ptCount val="10"/>
                <c:pt idx="0">
                  <c:v>-3.5249999999999999</c:v>
                </c:pt>
                <c:pt idx="1">
                  <c:v>-5.1935999999999956</c:v>
                </c:pt>
                <c:pt idx="2">
                  <c:v>-8.9997000000000025</c:v>
                </c:pt>
                <c:pt idx="3">
                  <c:v>-11.628599999999999</c:v>
                </c:pt>
                <c:pt idx="4">
                  <c:v>-27.617099999999997</c:v>
                </c:pt>
                <c:pt idx="5">
                  <c:v>-22.49769999999992</c:v>
                </c:pt>
                <c:pt idx="6">
                  <c:v>-2.9015999999999997</c:v>
                </c:pt>
                <c:pt idx="7">
                  <c:v>11.517200000000001</c:v>
                </c:pt>
                <c:pt idx="8">
                  <c:v>-4.6746999999999996</c:v>
                </c:pt>
                <c:pt idx="9" formatCode="General">
                  <c:v>-30.384699999999924</c:v>
                </c:pt>
              </c:numCache>
            </c:numRef>
          </c:val>
        </c:ser>
        <c:gapWidth val="60"/>
        <c:overlap val="100"/>
        <c:axId val="173934848"/>
        <c:axId val="173936640"/>
      </c:barChart>
      <c:lineChart>
        <c:grouping val="standard"/>
        <c:ser>
          <c:idx val="0"/>
          <c:order val="0"/>
          <c:tx>
            <c:strRef>
              <c:f>'Vnější vztahy 1'!$B$5</c:f>
              <c:strCache>
                <c:ptCount val="1"/>
                <c:pt idx="0">
                  <c:v>Current account</c:v>
                </c:pt>
              </c:strCache>
            </c:strRef>
          </c:tx>
          <c:spPr>
            <a:ln>
              <a:solidFill>
                <a:schemeClr val="tx1"/>
              </a:solidFill>
            </a:ln>
          </c:spPr>
          <c:marker>
            <c:symbol val="none"/>
          </c:marker>
          <c:cat>
            <c:strRef>
              <c:f>'Vnější vztahy 1'!$A$6:$A$15</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'Vnější vztahy 1'!$B$6:$B$15</c:f>
              <c:numCache>
                <c:formatCode>0.0</c:formatCode>
                <c:ptCount val="10"/>
                <c:pt idx="0">
                  <c:v>-19.223699999999916</c:v>
                </c:pt>
                <c:pt idx="1">
                  <c:v>-37.131200000000007</c:v>
                </c:pt>
                <c:pt idx="2">
                  <c:v>1.0174999999999954</c:v>
                </c:pt>
                <c:pt idx="3">
                  <c:v>-47.262500000000166</c:v>
                </c:pt>
                <c:pt idx="4">
                  <c:v>20.20349999999992</c:v>
                </c:pt>
                <c:pt idx="5">
                  <c:v>12.531500000000001</c:v>
                </c:pt>
                <c:pt idx="6">
                  <c:v>44.286500000000011</c:v>
                </c:pt>
                <c:pt idx="7">
                  <c:v>44.992100000000129</c:v>
                </c:pt>
                <c:pt idx="8">
                  <c:v>98.295900000000003</c:v>
                </c:pt>
                <c:pt idx="9" formatCode="General">
                  <c:v>90.001099999999994</c:v>
                </c:pt>
              </c:numCache>
            </c:numRef>
          </c:val>
        </c:ser>
        <c:marker val="1"/>
        <c:axId val="173934848"/>
        <c:axId val="173936640"/>
      </c:lineChart>
      <c:catAx>
        <c:axId val="173934848"/>
        <c:scaling>
          <c:orientation val="minMax"/>
        </c:scaling>
        <c:axPos val="b"/>
        <c:tickLblPos val="low"/>
        <c:spPr>
          <a:ln>
            <a:solidFill>
              <a:schemeClr val="tx1"/>
            </a:solidFill>
          </a:ln>
        </c:spPr>
        <c:txPr>
          <a:bodyPr rot="0" vert="horz"/>
          <a:lstStyle/>
          <a:p>
            <a:pPr>
              <a:defRPr/>
            </a:pPr>
            <a:endParaRPr lang="cs-CZ"/>
          </a:p>
        </c:txPr>
        <c:crossAx val="173936640"/>
        <c:crosses val="autoZero"/>
        <c:auto val="1"/>
        <c:lblAlgn val="ctr"/>
        <c:lblOffset val="100"/>
      </c:catAx>
      <c:valAx>
        <c:axId val="173936640"/>
        <c:scaling>
          <c:orientation val="minMax"/>
          <c:min val="-150"/>
        </c:scaling>
        <c:axPos val="l"/>
        <c:majorGridlines>
          <c:spPr>
            <a:ln w="6350">
              <a:solidFill>
                <a:schemeClr val="bg1">
                  <a:lumMod val="75000"/>
                </a:schemeClr>
              </a:solidFill>
            </a:ln>
          </c:spPr>
        </c:majorGridlines>
        <c:numFmt formatCode="0" sourceLinked="0"/>
        <c:tickLblPos val="nextTo"/>
        <c:spPr>
          <a:ln>
            <a:solidFill>
              <a:schemeClr val="tx1"/>
            </a:solidFill>
          </a:ln>
        </c:spPr>
        <c:crossAx val="173934848"/>
        <c:crosses val="autoZero"/>
        <c:crossBetween val="between"/>
      </c:valAx>
      <c:spPr>
        <a:ln>
          <a:solidFill>
            <a:schemeClr val="tx1"/>
          </a:solidFill>
        </a:ln>
      </c:spPr>
    </c:plotArea>
    <c:legend>
      <c:legendPos val="b"/>
      <c:layout>
        <c:manualLayout>
          <c:xMode val="edge"/>
          <c:yMode val="edge"/>
          <c:x val="6.5159268884492888E-2"/>
          <c:y val="0.88053282633520458"/>
          <c:w val="0.89859169199594657"/>
          <c:h val="0.1007754440717699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0.58947</cdr:x>
      <cdr:y>0.01868</cdr:y>
    </cdr:from>
    <cdr:to>
      <cdr:x>0.6376</cdr:x>
      <cdr:y>0.05626</cdr:y>
    </cdr:to>
    <cdr:sp macro="" textlink="">
      <cdr:nvSpPr>
        <cdr:cNvPr id="2" name="Přímá spojovací šipka 1"/>
        <cdr:cNvSpPr/>
      </cdr:nvSpPr>
      <cdr:spPr>
        <a:xfrm xmlns:a="http://schemas.openxmlformats.org/drawingml/2006/main" flipH="1" flipV="1">
          <a:off x="2799499" y="66271"/>
          <a:ext cx="228579" cy="133342"/>
        </a:xfrm>
        <a:prstGeom xmlns:a="http://schemas.openxmlformats.org/drawingml/2006/main" prst="straightConnector1">
          <a:avLst/>
        </a:prstGeom>
        <a:noFill xmlns:a="http://schemas.openxmlformats.org/drawingml/2006/main"/>
        <a:ln xmlns:a="http://schemas.openxmlformats.org/drawingml/2006/main" w="6350" cap="flat" cmpd="sng" algn="ctr">
          <a:solidFill>
            <a:srgbClr val="7DBB2D"/>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0.64912</cdr:x>
      <cdr:y>0.04249</cdr:y>
    </cdr:from>
    <cdr:to>
      <cdr:x>0.72324</cdr:x>
      <cdr:y>0.09724</cdr:y>
    </cdr:to>
    <cdr:sp macro="" textlink="">
      <cdr:nvSpPr>
        <cdr:cNvPr id="3" name="TextovéPole 2"/>
        <cdr:cNvSpPr txBox="1"/>
      </cdr:nvSpPr>
      <cdr:spPr>
        <a:xfrm xmlns:a="http://schemas.openxmlformats.org/drawingml/2006/main">
          <a:off x="3082788" y="150770"/>
          <a:ext cx="352011" cy="19426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7DBB2D"/>
              </a:solidFill>
              <a:latin typeface="Arial" pitchFamily="34" charset="0"/>
              <a:cs typeface="Arial" pitchFamily="34" charset="0"/>
            </a:rPr>
            <a:t>67,5</a:t>
          </a:r>
        </a:p>
      </cdr:txBody>
    </cdr:sp>
  </cdr:relSizeAnchor>
</c:userShapes>
</file>

<file path=word/drawings/drawing2.xml><?xml version="1.0" encoding="utf-8"?>
<c:userShapes xmlns:c="http://schemas.openxmlformats.org/drawingml/2006/chart">
  <cdr:relSizeAnchor xmlns:cdr="http://schemas.openxmlformats.org/drawingml/2006/chartDrawing">
    <cdr:from>
      <cdr:x>0.0503</cdr:x>
      <cdr:y>0.46992</cdr:y>
    </cdr:from>
    <cdr:to>
      <cdr:x>0.95484</cdr:x>
      <cdr:y>0.47106</cdr:y>
    </cdr:to>
    <cdr:sp macro="" textlink="">
      <cdr:nvSpPr>
        <cdr:cNvPr id="3" name="Přímá spojovací čára 2"/>
        <cdr:cNvSpPr/>
      </cdr:nvSpPr>
      <cdr:spPr bwMode="auto">
        <a:xfrm xmlns:a="http://schemas.openxmlformats.org/drawingml/2006/main">
          <a:off x="237418" y="1630178"/>
          <a:ext cx="4269628" cy="3953"/>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cs-CZ"/>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BB7EA-485E-4408-9258-6C724E47B1EA}">
  <ds:schemaRefs>
    <ds:schemaRef ds:uri="http://schemas.openxmlformats.org/officeDocument/2006/bibliography"/>
  </ds:schemaRefs>
</ds:datastoreItem>
</file>

<file path=customXml/itemProps2.xml><?xml version="1.0" encoding="utf-8"?>
<ds:datastoreItem xmlns:ds="http://schemas.openxmlformats.org/officeDocument/2006/customXml" ds:itemID="{89109715-E6F2-4C6B-AC66-27C50CBA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11</TotalTime>
  <Pages>32</Pages>
  <Words>12869</Words>
  <Characters>75929</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88621</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8</cp:revision>
  <cp:lastPrinted>2017-10-18T06:36:00Z</cp:lastPrinted>
  <dcterms:created xsi:type="dcterms:W3CDTF">2017-10-23T13:20:00Z</dcterms:created>
  <dcterms:modified xsi:type="dcterms:W3CDTF">2017-10-23T14:03:00Z</dcterms:modified>
</cp:coreProperties>
</file>