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83" w:rsidRDefault="005E4483" w:rsidP="00E8484F">
      <w:pPr>
        <w:pStyle w:val="Nadpis1"/>
        <w:numPr>
          <w:ilvl w:val="0"/>
          <w:numId w:val="24"/>
        </w:numPr>
        <w:jc w:val="both"/>
      </w:pPr>
      <w:bookmarkStart w:id="0" w:name="_Toc454185150"/>
      <w:bookmarkStart w:id="1" w:name="_Toc501441378"/>
      <w:r>
        <w:t>Výkonnost odvětví</w:t>
      </w:r>
      <w:bookmarkEnd w:id="0"/>
      <w:bookmarkEnd w:id="1"/>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Pr="005A427F" w:rsidRDefault="005C419C" w:rsidP="00F66CA8">
            <w:pPr>
              <w:spacing w:line="240" w:lineRule="auto"/>
              <w:rPr>
                <w:spacing w:val="-3"/>
                <w:sz w:val="16"/>
                <w:szCs w:val="16"/>
              </w:rPr>
            </w:pPr>
            <w:r w:rsidRPr="005A427F">
              <w:rPr>
                <w:spacing w:val="-3"/>
                <w:sz w:val="16"/>
                <w:szCs w:val="16"/>
              </w:rPr>
              <w:t>Meziroční tempo</w:t>
            </w:r>
            <w:r w:rsidR="00262EB9">
              <w:rPr>
                <w:spacing w:val="-3"/>
                <w:sz w:val="16"/>
                <w:szCs w:val="16"/>
              </w:rPr>
              <w:t xml:space="preserve"> růstu HPH se v průběhu roku zvyšovalo</w:t>
            </w:r>
            <w:r w:rsidRPr="005A427F">
              <w:rPr>
                <w:spacing w:val="-3"/>
                <w:sz w:val="16"/>
                <w:szCs w:val="16"/>
              </w:rPr>
              <w:t>, za tři čtvrtletí činilo 4,2</w:t>
            </w:r>
            <w:r w:rsidR="005723B7">
              <w:rPr>
                <w:spacing w:val="-3"/>
                <w:sz w:val="16"/>
                <w:szCs w:val="16"/>
              </w:rPr>
              <w:t> %</w:t>
            </w:r>
            <w:r w:rsidRPr="005A427F">
              <w:rPr>
                <w:spacing w:val="-3"/>
                <w:sz w:val="16"/>
                <w:szCs w:val="16"/>
              </w:rPr>
              <w:t>. Na růstu se z poloviny podílel zpracovatelský průmysl, přispěla však i všechna ostatní významná odvětví.</w:t>
            </w:r>
          </w:p>
        </w:tc>
        <w:tc>
          <w:tcPr>
            <w:tcW w:w="144" w:type="pct"/>
          </w:tcPr>
          <w:p w:rsidR="005C419C" w:rsidRDefault="005C419C" w:rsidP="00F66CA8">
            <w:pPr>
              <w:pStyle w:val="Textpoznpodarou"/>
              <w:jc w:val="both"/>
            </w:pPr>
          </w:p>
        </w:tc>
        <w:tc>
          <w:tcPr>
            <w:tcW w:w="3840" w:type="pct"/>
          </w:tcPr>
          <w:p w:rsidR="005C419C" w:rsidRPr="00136EA2" w:rsidRDefault="005C419C" w:rsidP="00F66CA8">
            <w:pPr>
              <w:pStyle w:val="Textpoznpodarou"/>
              <w:jc w:val="both"/>
              <w:rPr>
                <w:spacing w:val="-4"/>
              </w:rPr>
            </w:pPr>
            <w:r>
              <w:rPr>
                <w:spacing w:val="-4"/>
              </w:rPr>
              <w:t>Výkon vš</w:t>
            </w:r>
            <w:r w:rsidR="00063AF0">
              <w:rPr>
                <w:spacing w:val="-4"/>
              </w:rPr>
              <w:t>ech odvětví ekonomiky měřený ukazatelem</w:t>
            </w:r>
            <w:r>
              <w:rPr>
                <w:spacing w:val="-4"/>
              </w:rPr>
              <w:t xml:space="preserve"> hrubé přidané hodnoty (HPH)</w:t>
            </w:r>
            <w:r>
              <w:rPr>
                <w:rStyle w:val="Znakapoznpodarou"/>
                <w:spacing w:val="-4"/>
              </w:rPr>
              <w:footnoteReference w:id="1"/>
            </w:r>
            <w:r>
              <w:rPr>
                <w:spacing w:val="-4"/>
              </w:rPr>
              <w:t xml:space="preserve"> ve 3</w:t>
            </w:r>
            <w:r w:rsidR="005723B7">
              <w:rPr>
                <w:spacing w:val="-4"/>
              </w:rPr>
              <w:t>. čtvrtletí</w:t>
            </w:r>
            <w:r>
              <w:rPr>
                <w:spacing w:val="-4"/>
              </w:rPr>
              <w:t xml:space="preserve"> meziročně vzrostl </w:t>
            </w:r>
            <w:r w:rsidR="00CB5852">
              <w:rPr>
                <w:spacing w:val="-4"/>
              </w:rPr>
              <w:t xml:space="preserve">o </w:t>
            </w:r>
            <w:r>
              <w:rPr>
                <w:spacing w:val="-4"/>
              </w:rPr>
              <w:t>5,1</w:t>
            </w:r>
            <w:r w:rsidR="005723B7">
              <w:rPr>
                <w:spacing w:val="-4"/>
              </w:rPr>
              <w:t> %</w:t>
            </w:r>
            <w:r>
              <w:rPr>
                <w:spacing w:val="-4"/>
              </w:rPr>
              <w:t xml:space="preserve"> a sílil již čtvrtý kvartál v řadě. V úhrnu za 1. až 3</w:t>
            </w:r>
            <w:r w:rsidR="005723B7">
              <w:rPr>
                <w:spacing w:val="-4"/>
              </w:rPr>
              <w:t>. čtvrtletí</w:t>
            </w:r>
            <w:r>
              <w:rPr>
                <w:spacing w:val="-4"/>
              </w:rPr>
              <w:t xml:space="preserve"> byl výkon vyšší o 4,2</w:t>
            </w:r>
            <w:r w:rsidR="005723B7">
              <w:rPr>
                <w:spacing w:val="-4"/>
              </w:rPr>
              <w:t> %</w:t>
            </w:r>
            <w:r>
              <w:rPr>
                <w:spacing w:val="-4"/>
              </w:rPr>
              <w:t>. Přispělo k tomu všech deset hlavních odvětvových uskupení, celou polovinou se přitom na lepším výsledku podílel zpracovatelský průmysl (příspěvek +2,1</w:t>
            </w:r>
            <w:r w:rsidR="00CE0849">
              <w:rPr>
                <w:spacing w:val="-4"/>
              </w:rPr>
              <w:t> p. </w:t>
            </w:r>
            <w:proofErr w:type="spellStart"/>
            <w:r w:rsidR="00CE0849">
              <w:rPr>
                <w:spacing w:val="-4"/>
              </w:rPr>
              <w:t>b</w:t>
            </w:r>
            <w:proofErr w:type="spellEnd"/>
            <w:r w:rsidR="00CE0849">
              <w:rPr>
                <w:spacing w:val="-4"/>
              </w:rPr>
              <w:t>.</w:t>
            </w:r>
            <w:r>
              <w:rPr>
                <w:spacing w:val="-4"/>
              </w:rPr>
              <w:t>). Na rozdíl od předchozích dvou let pomohl i kladný výsledek nezpracovatelských průmyslových odvětví, ve kterých se projevilo výraznější oživení v energetice. V celém sektoru služeb se HPH navýšila o 3,0</w:t>
            </w:r>
            <w:r w:rsidR="005723B7">
              <w:rPr>
                <w:spacing w:val="-4"/>
              </w:rPr>
              <w:t> %</w:t>
            </w:r>
            <w:r>
              <w:rPr>
                <w:spacing w:val="-4"/>
              </w:rPr>
              <w:t xml:space="preserve"> (v prvních třech čtvrtletích loňského roku o rovná 2</w:t>
            </w:r>
            <w:r w:rsidR="005723B7">
              <w:rPr>
                <w:spacing w:val="-4"/>
              </w:rPr>
              <w:t> %</w:t>
            </w:r>
            <w:r>
              <w:rPr>
                <w:spacing w:val="-4"/>
              </w:rPr>
              <w:t xml:space="preserve">). </w:t>
            </w:r>
            <w:r w:rsidRPr="00CB5852">
              <w:rPr>
                <w:spacing w:val="-4"/>
              </w:rPr>
              <w:t>Tento sektor tradičně táhlo odvětví obchod, doprav</w:t>
            </w:r>
            <w:r w:rsidR="00CB5852" w:rsidRPr="00CB5852">
              <w:rPr>
                <w:spacing w:val="-4"/>
              </w:rPr>
              <w:t>a</w:t>
            </w:r>
            <w:r w:rsidRPr="00CB5852">
              <w:rPr>
                <w:spacing w:val="-4"/>
              </w:rPr>
              <w:t>, ubytování a stravování (+2,4</w:t>
            </w:r>
            <w:r w:rsidR="005723B7" w:rsidRPr="00CB5852">
              <w:rPr>
                <w:spacing w:val="-4"/>
              </w:rPr>
              <w:t> %</w:t>
            </w:r>
            <w:r w:rsidRPr="00CB5852">
              <w:rPr>
                <w:spacing w:val="-4"/>
              </w:rPr>
              <w:t>), nejvyšší tempa však již druhý rok v řadě vykázalo peněžnictví a pojišťovnictví (+</w:t>
            </w:r>
            <w:r>
              <w:rPr>
                <w:spacing w:val="-4"/>
              </w:rPr>
              <w:t>8,7</w:t>
            </w:r>
            <w:r w:rsidR="005723B7">
              <w:rPr>
                <w:spacing w:val="-4"/>
              </w:rPr>
              <w:t> %</w:t>
            </w:r>
            <w:r>
              <w:rPr>
                <w:spacing w:val="-4"/>
              </w:rPr>
              <w:t>, loni +6,4</w:t>
            </w:r>
            <w:r w:rsidR="005723B7">
              <w:rPr>
                <w:spacing w:val="-4"/>
              </w:rPr>
              <w:t> %</w:t>
            </w:r>
            <w:r>
              <w:rPr>
                <w:spacing w:val="-4"/>
              </w:rPr>
              <w:t>). Přes dílčí zpomalení se nadále dařilo i odvětví zemědělství a lesnictví (vč.</w:t>
            </w:r>
            <w:r w:rsidR="000151A7">
              <w:rPr>
                <w:spacing w:val="-4"/>
              </w:rPr>
              <w:t> </w:t>
            </w:r>
            <w:r>
              <w:rPr>
                <w:spacing w:val="-4"/>
              </w:rPr>
              <w:t>rybářství</w:t>
            </w:r>
            <w:r w:rsidR="00063AF0">
              <w:rPr>
                <w:spacing w:val="-4"/>
              </w:rPr>
              <w:t>). Po loňské velmi dobré</w:t>
            </w:r>
            <w:r>
              <w:rPr>
                <w:spacing w:val="-4"/>
              </w:rPr>
              <w:t xml:space="preserve"> úrodě s</w:t>
            </w:r>
            <w:r w:rsidR="00063AF0">
              <w:rPr>
                <w:spacing w:val="-4"/>
              </w:rPr>
              <w:t>e ta letošní vrátila k průměru,</w:t>
            </w:r>
            <w:r>
              <w:rPr>
                <w:spacing w:val="-4"/>
              </w:rPr>
              <w:t xml:space="preserve"> což se projevilo na HPH celého odvětví především ve 3</w:t>
            </w:r>
            <w:r w:rsidR="005723B7">
              <w:rPr>
                <w:spacing w:val="-4"/>
              </w:rPr>
              <w:t>. čtvrtletí</w:t>
            </w:r>
            <w:r>
              <w:rPr>
                <w:spacing w:val="-4"/>
              </w:rPr>
              <w:t xml:space="preserve"> (+2,9</w:t>
            </w:r>
            <w:r w:rsidR="005723B7">
              <w:rPr>
                <w:spacing w:val="-4"/>
              </w:rPr>
              <w:t> %</w:t>
            </w:r>
            <w:r>
              <w:rPr>
                <w:spacing w:val="-4"/>
              </w:rPr>
              <w:t>, o rok dříve +10,3</w:t>
            </w:r>
            <w:r w:rsidR="005723B7">
              <w:rPr>
                <w:spacing w:val="-4"/>
              </w:rPr>
              <w:t> %</w:t>
            </w:r>
            <w:r>
              <w:rPr>
                <w:spacing w:val="-4"/>
              </w:rPr>
              <w:t>).</w:t>
            </w:r>
          </w:p>
          <w:p w:rsidR="005C419C" w:rsidRPr="00BF7175" w:rsidRDefault="005C419C" w:rsidP="00F66CA8">
            <w:pPr>
              <w:pStyle w:val="Textpoznpodarou"/>
              <w:jc w:val="both"/>
              <w:rPr>
                <w:spacing w:val="-4"/>
                <w:sz w:val="15"/>
                <w:szCs w:val="15"/>
              </w:rPr>
            </w:pPr>
          </w:p>
        </w:tc>
      </w:tr>
      <w:tr w:rsidR="005C419C" w:rsidRPr="00A74192" w:rsidTr="00F66CA8">
        <w:trPr>
          <w:trHeight w:val="145"/>
        </w:trPr>
        <w:tc>
          <w:tcPr>
            <w:tcW w:w="1016" w:type="pct"/>
            <w:shd w:val="clear" w:color="auto" w:fill="auto"/>
          </w:tcPr>
          <w:p w:rsidR="005C419C" w:rsidRPr="003E5346" w:rsidRDefault="005C419C" w:rsidP="00F66CA8">
            <w:pPr>
              <w:spacing w:line="240" w:lineRule="auto"/>
              <w:rPr>
                <w:spacing w:val="-2"/>
                <w:sz w:val="16"/>
                <w:szCs w:val="16"/>
              </w:rPr>
            </w:pPr>
            <w:r>
              <w:rPr>
                <w:spacing w:val="-2"/>
                <w:sz w:val="16"/>
                <w:szCs w:val="16"/>
              </w:rPr>
              <w:t>Dynamický růst průmyslu tažený primárně příznivou ekonomickou situací v hlavních exportních teritoriích přetrvával.</w:t>
            </w:r>
          </w:p>
        </w:tc>
        <w:tc>
          <w:tcPr>
            <w:tcW w:w="144" w:type="pct"/>
          </w:tcPr>
          <w:p w:rsidR="005C419C" w:rsidRDefault="005C419C" w:rsidP="00F66CA8">
            <w:pPr>
              <w:pStyle w:val="Textpoznpodarou"/>
              <w:jc w:val="both"/>
            </w:pPr>
          </w:p>
        </w:tc>
        <w:tc>
          <w:tcPr>
            <w:tcW w:w="3840" w:type="pct"/>
          </w:tcPr>
          <w:p w:rsidR="005C419C" w:rsidRPr="005A427F" w:rsidRDefault="005C419C" w:rsidP="00F66CA8">
            <w:pPr>
              <w:pStyle w:val="Textpoznpodarou"/>
              <w:jc w:val="both"/>
              <w:rPr>
                <w:spacing w:val="-4"/>
              </w:rPr>
            </w:pPr>
            <w:r>
              <w:rPr>
                <w:spacing w:val="-4"/>
              </w:rPr>
              <w:t>Průmyslu se i v průběhu roku 201</w:t>
            </w:r>
            <w:r w:rsidR="00063AF0">
              <w:rPr>
                <w:spacing w:val="-4"/>
              </w:rPr>
              <w:t>7 nadále dařilo, což dokládají</w:t>
            </w:r>
            <w:r>
              <w:rPr>
                <w:spacing w:val="-4"/>
              </w:rPr>
              <w:t xml:space="preserve"> údaje z podnikových statistik. Jeho </w:t>
            </w:r>
            <w:r>
              <w:rPr>
                <w:color w:val="000000" w:themeColor="text1"/>
                <w:spacing w:val="-4"/>
              </w:rPr>
              <w:t>výkon (dle indexu průmyslové</w:t>
            </w:r>
            <w:r w:rsidRPr="008D59A9">
              <w:rPr>
                <w:color w:val="000000" w:themeColor="text1"/>
                <w:spacing w:val="-4"/>
              </w:rPr>
              <w:t xml:space="preserve"> produkce)</w:t>
            </w:r>
            <w:r w:rsidRPr="008D59A9">
              <w:rPr>
                <w:color w:val="000000" w:themeColor="text1"/>
                <w:spacing w:val="-4"/>
                <w:vertAlign w:val="superscript"/>
              </w:rPr>
              <w:footnoteReference w:id="2"/>
            </w:r>
            <w:r>
              <w:rPr>
                <w:color w:val="000000" w:themeColor="text1"/>
                <w:spacing w:val="-4"/>
              </w:rPr>
              <w:t xml:space="preserve"> vzrostl v 1. až 3</w:t>
            </w:r>
            <w:r w:rsidR="005723B7">
              <w:rPr>
                <w:color w:val="000000" w:themeColor="text1"/>
                <w:spacing w:val="-4"/>
              </w:rPr>
              <w:t>. čtvrtletí</w:t>
            </w:r>
            <w:r>
              <w:rPr>
                <w:color w:val="000000" w:themeColor="text1"/>
                <w:spacing w:val="-4"/>
              </w:rPr>
              <w:t xml:space="preserve"> o</w:t>
            </w:r>
            <w:r>
              <w:rPr>
                <w:spacing w:val="-4"/>
              </w:rPr>
              <w:t> </w:t>
            </w:r>
            <w:r>
              <w:rPr>
                <w:color w:val="000000" w:themeColor="text1"/>
                <w:spacing w:val="-4"/>
              </w:rPr>
              <w:t>5,9</w:t>
            </w:r>
            <w:r w:rsidR="005723B7">
              <w:rPr>
                <w:spacing w:val="-4"/>
              </w:rPr>
              <w:t> %</w:t>
            </w:r>
            <w:r>
              <w:rPr>
                <w:color w:val="000000" w:themeColor="text1"/>
                <w:spacing w:val="-4"/>
              </w:rPr>
              <w:t xml:space="preserve"> a dosáhl v tomto období roku nejsilnějšího tempa od roku 2011, kdy se „vzpamatovával“ z důsledků hluboké recese. Růst </w:t>
            </w:r>
            <w:r w:rsidR="00063AF0">
              <w:rPr>
                <w:color w:val="000000" w:themeColor="text1"/>
                <w:spacing w:val="-4"/>
              </w:rPr>
              <w:t>v průběhu roku 2017 osciloval mezi 4,9</w:t>
            </w:r>
            <w:r w:rsidR="005723B7">
              <w:rPr>
                <w:color w:val="000000" w:themeColor="text1"/>
                <w:spacing w:val="-4"/>
              </w:rPr>
              <w:t> %</w:t>
            </w:r>
            <w:r w:rsidR="00063AF0">
              <w:rPr>
                <w:color w:val="000000" w:themeColor="text1"/>
                <w:spacing w:val="-4"/>
              </w:rPr>
              <w:t xml:space="preserve"> (v 1</w:t>
            </w:r>
            <w:r w:rsidR="005723B7">
              <w:rPr>
                <w:color w:val="000000" w:themeColor="text1"/>
                <w:spacing w:val="-4"/>
              </w:rPr>
              <w:t>. čtvrtletí</w:t>
            </w:r>
            <w:r w:rsidR="00063AF0">
              <w:rPr>
                <w:color w:val="000000" w:themeColor="text1"/>
                <w:spacing w:val="-4"/>
              </w:rPr>
              <w:t>) a</w:t>
            </w:r>
            <w:r>
              <w:rPr>
                <w:color w:val="000000" w:themeColor="text1"/>
                <w:spacing w:val="-4"/>
              </w:rPr>
              <w:t xml:space="preserve"> 6,8</w:t>
            </w:r>
            <w:r w:rsidR="005723B7">
              <w:rPr>
                <w:color w:val="000000" w:themeColor="text1"/>
                <w:spacing w:val="-4"/>
              </w:rPr>
              <w:t> %</w:t>
            </w:r>
            <w:r>
              <w:rPr>
                <w:color w:val="000000" w:themeColor="text1"/>
                <w:spacing w:val="-4"/>
              </w:rPr>
              <w:t xml:space="preserve"> (ve 2</w:t>
            </w:r>
            <w:r w:rsidR="005723B7">
              <w:rPr>
                <w:color w:val="000000" w:themeColor="text1"/>
                <w:spacing w:val="-4"/>
              </w:rPr>
              <w:t>. čtvrtletí</w:t>
            </w:r>
            <w:r>
              <w:rPr>
                <w:color w:val="000000" w:themeColor="text1"/>
                <w:spacing w:val="-4"/>
              </w:rPr>
              <w:t>)</w:t>
            </w:r>
            <w:r>
              <w:rPr>
                <w:rStyle w:val="Znakapoznpodarou"/>
                <w:color w:val="000000" w:themeColor="text1"/>
                <w:spacing w:val="-4"/>
              </w:rPr>
              <w:footnoteReference w:id="3"/>
            </w:r>
            <w:r>
              <w:rPr>
                <w:color w:val="000000" w:themeColor="text1"/>
                <w:spacing w:val="-4"/>
              </w:rPr>
              <w:t>. Za těmito výsledky stála nejen dobrá ekonomická situace v hlavních exportních teritoriích, ale i sílící tuzemská poptávka.</w:t>
            </w:r>
          </w:p>
          <w:p w:rsidR="005C419C" w:rsidRPr="001D1E02" w:rsidRDefault="005C419C" w:rsidP="00F66CA8">
            <w:pPr>
              <w:pStyle w:val="Textpoznpodarou"/>
              <w:jc w:val="both"/>
              <w:rPr>
                <w:spacing w:val="-4"/>
                <w:sz w:val="15"/>
                <w:szCs w:val="15"/>
              </w:rPr>
            </w:pPr>
          </w:p>
        </w:tc>
      </w:tr>
      <w:tr w:rsidR="005C419C" w:rsidRPr="00A74192" w:rsidTr="00F66CA8">
        <w:trPr>
          <w:trHeight w:val="145"/>
        </w:trPr>
        <w:tc>
          <w:tcPr>
            <w:tcW w:w="1016" w:type="pct"/>
            <w:shd w:val="clear" w:color="auto" w:fill="auto"/>
          </w:tcPr>
          <w:p w:rsidR="005C419C" w:rsidRDefault="005C419C" w:rsidP="00F66CA8">
            <w:pPr>
              <w:spacing w:line="240" w:lineRule="auto"/>
              <w:rPr>
                <w:spacing w:val="-2"/>
                <w:sz w:val="16"/>
                <w:szCs w:val="16"/>
              </w:rPr>
            </w:pPr>
            <w:r>
              <w:rPr>
                <w:spacing w:val="-2"/>
                <w:sz w:val="16"/>
                <w:szCs w:val="16"/>
              </w:rPr>
              <w:t>K navýšení</w:t>
            </w:r>
            <w:r w:rsidRPr="00AA00F9">
              <w:rPr>
                <w:spacing w:val="-2"/>
                <w:sz w:val="16"/>
                <w:szCs w:val="16"/>
              </w:rPr>
              <w:t xml:space="preserve"> průmyslové produkce přispěl letos z více než třetiny automobilový průmysl, pětinu přidaly také nejbližší subdodavatelské obory.</w:t>
            </w: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Pr="00AA00F9" w:rsidRDefault="005C419C" w:rsidP="00F66CA8">
            <w:pPr>
              <w:spacing w:line="240" w:lineRule="auto"/>
              <w:rPr>
                <w:spacing w:val="-2"/>
                <w:sz w:val="16"/>
                <w:szCs w:val="16"/>
              </w:rPr>
            </w:pPr>
            <w:r>
              <w:rPr>
                <w:spacing w:val="-2"/>
                <w:sz w:val="16"/>
                <w:szCs w:val="16"/>
              </w:rPr>
              <w:t xml:space="preserve">Výrazně zrychlil růst produkce i v dalších významných odvětvích – strojírenství, kovovýrobě. Obnovení výrobních kapacit se odrazilo ve výkonech chemického průmyslu i energetiky. </w:t>
            </w:r>
          </w:p>
        </w:tc>
        <w:tc>
          <w:tcPr>
            <w:tcW w:w="144" w:type="pct"/>
          </w:tcPr>
          <w:p w:rsidR="005C419C" w:rsidRPr="009E7B1B" w:rsidRDefault="005C419C" w:rsidP="00F66CA8">
            <w:pPr>
              <w:pStyle w:val="Textpoznpodarou"/>
              <w:jc w:val="both"/>
              <w:rPr>
                <w:spacing w:val="-2"/>
              </w:rPr>
            </w:pPr>
          </w:p>
        </w:tc>
        <w:tc>
          <w:tcPr>
            <w:tcW w:w="3840" w:type="pct"/>
          </w:tcPr>
          <w:p w:rsidR="005C419C" w:rsidRDefault="005C419C" w:rsidP="00F66CA8">
            <w:pPr>
              <w:pStyle w:val="Textpoznpodarou"/>
              <w:jc w:val="both"/>
              <w:rPr>
                <w:spacing w:val="-4"/>
              </w:rPr>
            </w:pPr>
            <w:r>
              <w:rPr>
                <w:spacing w:val="-4"/>
              </w:rPr>
              <w:t>Dominantní postavení si nadále udržovala výroba motorových vozidel vytvářející více než čtvrtinu produkce celého průmyslu. Toto odvětví sice mírně slevilo z vysoké dynamiky z minulých let, i tak však jeho meziroční růst produkce od počátku roku (podobně jako ve 3</w:t>
            </w:r>
            <w:r w:rsidR="005723B7">
              <w:rPr>
                <w:spacing w:val="-4"/>
              </w:rPr>
              <w:t>. čtvrtletí</w:t>
            </w:r>
            <w:r>
              <w:rPr>
                <w:spacing w:val="-4"/>
              </w:rPr>
              <w:t>) těsně atakoval 10% hranici. Silná poptávka na evropských a asijských trzích, ale i v tuzemsku se odrazila v rekordním množství vyrobených vozů</w:t>
            </w:r>
            <w:r w:rsidRPr="00C00806">
              <w:rPr>
                <w:rStyle w:val="Znakapoznpodarou"/>
                <w:spacing w:val="-4"/>
              </w:rPr>
              <w:footnoteReference w:id="4"/>
            </w:r>
            <w:r>
              <w:rPr>
                <w:spacing w:val="-4"/>
              </w:rPr>
              <w:t>. Automobilový průmysl přispěl letos k meziročnímu navýšení průmyslové produkce více než třetinou, pětinu přidaly nejbližší návazné obory – dařilo se jak gumárenství a </w:t>
            </w:r>
            <w:proofErr w:type="spellStart"/>
            <w:r>
              <w:rPr>
                <w:spacing w:val="-4"/>
              </w:rPr>
              <w:t>plastikářství</w:t>
            </w:r>
            <w:proofErr w:type="spellEnd"/>
            <w:r>
              <w:rPr>
                <w:spacing w:val="-4"/>
              </w:rPr>
              <w:t xml:space="preserve"> (+7,7</w:t>
            </w:r>
            <w:r w:rsidR="005723B7">
              <w:rPr>
                <w:spacing w:val="-4"/>
              </w:rPr>
              <w:t> %</w:t>
            </w:r>
            <w:r>
              <w:rPr>
                <w:spacing w:val="-4"/>
              </w:rPr>
              <w:t>), tak výrobě elektrických zařízení (+8,1</w:t>
            </w:r>
            <w:r w:rsidR="005723B7">
              <w:rPr>
                <w:spacing w:val="-4"/>
              </w:rPr>
              <w:t> %</w:t>
            </w:r>
            <w:r>
              <w:rPr>
                <w:spacing w:val="-4"/>
              </w:rPr>
              <w:t>). Tempo produkce citelně zrychlilo také ve výrobě počítačů, elektronických a optických přístrojů (+11,9</w:t>
            </w:r>
            <w:r w:rsidR="005723B7">
              <w:rPr>
                <w:spacing w:val="-4"/>
              </w:rPr>
              <w:t> %</w:t>
            </w:r>
            <w:r>
              <w:rPr>
                <w:spacing w:val="-4"/>
              </w:rPr>
              <w:t>, o rok dříve +2,2</w:t>
            </w:r>
            <w:r w:rsidR="005723B7">
              <w:rPr>
                <w:spacing w:val="-4"/>
              </w:rPr>
              <w:t> %</w:t>
            </w:r>
            <w:r>
              <w:rPr>
                <w:spacing w:val="-4"/>
              </w:rPr>
              <w:t>). Strojírenská produkce vzrostla nejvyšším tempem (8,0</w:t>
            </w:r>
            <w:r w:rsidR="005723B7">
              <w:rPr>
                <w:spacing w:val="-4"/>
              </w:rPr>
              <w:t> %</w:t>
            </w:r>
            <w:r>
              <w:rPr>
                <w:spacing w:val="-4"/>
              </w:rPr>
              <w:t>) za posledních šest let, k čemuž pomohla i svižnější domácí poptávka. Toto odvětví tak přispělo k vyššímu výkonu celého průmyslu desetinou. V podobném rozsahu přispěl také váhově významný obor kovovýroby, jehož výkon byl meziročně o osminu vyšší. Plné obnovení výrobních kapacit se pozitivně promítlo na výkonu chemického průmyslu (+20,6</w:t>
            </w:r>
            <w:r w:rsidR="005723B7">
              <w:rPr>
                <w:spacing w:val="-4"/>
              </w:rPr>
              <w:t> %</w:t>
            </w:r>
            <w:r>
              <w:rPr>
                <w:spacing w:val="-4"/>
              </w:rPr>
              <w:t>)</w:t>
            </w:r>
            <w:r>
              <w:rPr>
                <w:rStyle w:val="Znakapoznpodarou"/>
                <w:spacing w:val="-4"/>
              </w:rPr>
              <w:footnoteReference w:id="5"/>
            </w:r>
            <w:r w:rsidR="007A18F5">
              <w:rPr>
                <w:spacing w:val="-4"/>
              </w:rPr>
              <w:t xml:space="preserve"> i energetiky (+5,4</w:t>
            </w:r>
            <w:r w:rsidR="005723B7">
              <w:rPr>
                <w:spacing w:val="-4"/>
              </w:rPr>
              <w:t> %</w:t>
            </w:r>
            <w:r>
              <w:rPr>
                <w:spacing w:val="-4"/>
              </w:rPr>
              <w:t>, v samotném 3</w:t>
            </w:r>
            <w:r w:rsidR="005723B7">
              <w:rPr>
                <w:spacing w:val="-4"/>
              </w:rPr>
              <w:t>. čtvrtletí</w:t>
            </w:r>
            <w:r>
              <w:rPr>
                <w:spacing w:val="-4"/>
              </w:rPr>
              <w:t xml:space="preserve"> +12,8</w:t>
            </w:r>
            <w:r w:rsidR="005723B7">
              <w:rPr>
                <w:spacing w:val="-4"/>
              </w:rPr>
              <w:t> %</w:t>
            </w:r>
            <w:r>
              <w:rPr>
                <w:rStyle w:val="Znakapoznpodarou"/>
                <w:spacing w:val="-4"/>
              </w:rPr>
              <w:footnoteReference w:id="6"/>
            </w:r>
            <w:r>
              <w:rPr>
                <w:spacing w:val="-4"/>
              </w:rPr>
              <w:t xml:space="preserve">). Pozvolné oživení poptávky ve stavebnictví podpořilo výkony ve výrobě </w:t>
            </w:r>
            <w:r w:rsidRPr="00E077B6">
              <w:rPr>
                <w:spacing w:val="-4"/>
              </w:rPr>
              <w:t>ostatních nekovových minerálních výrobků</w:t>
            </w:r>
            <w:r w:rsidR="007A18F5">
              <w:rPr>
                <w:spacing w:val="-4"/>
              </w:rPr>
              <w:t xml:space="preserve"> (+4,9</w:t>
            </w:r>
            <w:r w:rsidR="005723B7">
              <w:rPr>
                <w:spacing w:val="-4"/>
              </w:rPr>
              <w:t> %</w:t>
            </w:r>
            <w:r>
              <w:rPr>
                <w:spacing w:val="-4"/>
              </w:rPr>
              <w:t xml:space="preserve">, o rok </w:t>
            </w:r>
            <w:proofErr w:type="gramStart"/>
            <w:r>
              <w:rPr>
                <w:spacing w:val="-4"/>
              </w:rPr>
              <w:t xml:space="preserve">dříve </w:t>
            </w:r>
            <w:r w:rsidR="00C408BB">
              <w:rPr>
                <w:spacing w:val="-4"/>
              </w:rPr>
              <w:t>–</w:t>
            </w:r>
            <w:r>
              <w:rPr>
                <w:spacing w:val="-4"/>
              </w:rPr>
              <w:t>1,5</w:t>
            </w:r>
            <w:proofErr w:type="gramEnd"/>
            <w:r w:rsidR="005723B7">
              <w:rPr>
                <w:spacing w:val="-4"/>
              </w:rPr>
              <w:t> %</w:t>
            </w:r>
            <w:r>
              <w:rPr>
                <w:spacing w:val="-4"/>
              </w:rPr>
              <w:t>). Z menších oborů se dařilo zejména exportně zaměřenému farmaceutickému průmyslu, jehož produkce stoupla meziročně o 11,2</w:t>
            </w:r>
            <w:r w:rsidR="005723B7">
              <w:rPr>
                <w:spacing w:val="-4"/>
              </w:rPr>
              <w:t> %</w:t>
            </w:r>
            <w:r>
              <w:rPr>
                <w:spacing w:val="-4"/>
              </w:rPr>
              <w:t xml:space="preserve"> (za čtyři roky o více než čtvrtinu). Pokračoval mírný růst v textilním, dřevozpracujícím, papírenském i nábytkářském průmyslu. </w:t>
            </w:r>
          </w:p>
          <w:p w:rsidR="005C419C" w:rsidRPr="0023791B" w:rsidRDefault="005C419C" w:rsidP="00F66CA8">
            <w:pPr>
              <w:pStyle w:val="Textpoznpodarou"/>
              <w:jc w:val="both"/>
              <w:rPr>
                <w:spacing w:val="-4"/>
                <w:sz w:val="15"/>
                <w:szCs w:val="15"/>
              </w:rPr>
            </w:pPr>
          </w:p>
        </w:tc>
      </w:tr>
      <w:tr w:rsidR="005C419C" w:rsidRPr="00A74192" w:rsidTr="00F66CA8">
        <w:trPr>
          <w:trHeight w:val="145"/>
        </w:trPr>
        <w:tc>
          <w:tcPr>
            <w:tcW w:w="1016" w:type="pct"/>
            <w:shd w:val="clear" w:color="auto" w:fill="auto"/>
          </w:tcPr>
          <w:p w:rsidR="005C419C" w:rsidRPr="003C0D68" w:rsidRDefault="005C419C" w:rsidP="00F66CA8">
            <w:pPr>
              <w:spacing w:line="240" w:lineRule="auto"/>
              <w:rPr>
                <w:spacing w:val="-2"/>
                <w:sz w:val="16"/>
                <w:szCs w:val="16"/>
              </w:rPr>
            </w:pPr>
            <w:r>
              <w:rPr>
                <w:spacing w:val="-2"/>
                <w:sz w:val="16"/>
                <w:szCs w:val="16"/>
              </w:rPr>
              <w:t xml:space="preserve">Hlubší redukce zaměstnanosti i produkce v těžebním průmyslu pokračovala. </w:t>
            </w:r>
          </w:p>
        </w:tc>
        <w:tc>
          <w:tcPr>
            <w:tcW w:w="144" w:type="pct"/>
          </w:tcPr>
          <w:p w:rsidR="005C419C" w:rsidRPr="005A16AE" w:rsidRDefault="005C419C" w:rsidP="00F66CA8">
            <w:pPr>
              <w:rPr>
                <w:color w:val="000000" w:themeColor="text1"/>
                <w:szCs w:val="16"/>
              </w:rPr>
            </w:pPr>
          </w:p>
        </w:tc>
        <w:tc>
          <w:tcPr>
            <w:tcW w:w="3840" w:type="pct"/>
          </w:tcPr>
          <w:p w:rsidR="005C419C" w:rsidRPr="003D7B07" w:rsidRDefault="005C419C" w:rsidP="00F66CA8">
            <w:pPr>
              <w:pStyle w:val="Textpoznpodarou"/>
              <w:jc w:val="both"/>
              <w:rPr>
                <w:color w:val="000000" w:themeColor="text1"/>
                <w:spacing w:val="-4"/>
              </w:rPr>
            </w:pPr>
            <w:r>
              <w:rPr>
                <w:color w:val="000000" w:themeColor="text1"/>
                <w:spacing w:val="-4"/>
              </w:rPr>
              <w:t>S problémy se naopak nadále potýkalo hutnictví a slévárenství, kde produkce fakticky pouze stagnovala (po 3% redukci v 1. až 3</w:t>
            </w:r>
            <w:r w:rsidR="005723B7">
              <w:rPr>
                <w:color w:val="000000" w:themeColor="text1"/>
                <w:spacing w:val="-4"/>
              </w:rPr>
              <w:t>. čtvrtletí</w:t>
            </w:r>
            <w:r>
              <w:rPr>
                <w:color w:val="000000" w:themeColor="text1"/>
                <w:spacing w:val="-4"/>
              </w:rPr>
              <w:t xml:space="preserve"> 2016). Pozitivní</w:t>
            </w:r>
            <w:r w:rsidR="00063AF0">
              <w:rPr>
                <w:color w:val="000000" w:themeColor="text1"/>
                <w:spacing w:val="-4"/>
              </w:rPr>
              <w:t>m</w:t>
            </w:r>
            <w:r>
              <w:rPr>
                <w:color w:val="000000" w:themeColor="text1"/>
                <w:spacing w:val="-4"/>
              </w:rPr>
              <w:t xml:space="preserve"> signálem může být oživení zakázek (ve 3</w:t>
            </w:r>
            <w:r w:rsidR="005723B7">
              <w:rPr>
                <w:color w:val="000000" w:themeColor="text1"/>
                <w:spacing w:val="-4"/>
              </w:rPr>
              <w:t>. čtvrtletí</w:t>
            </w:r>
            <w:r>
              <w:rPr>
                <w:color w:val="000000" w:themeColor="text1"/>
                <w:spacing w:val="-4"/>
              </w:rPr>
              <w:t xml:space="preserve"> meziročně o 16</w:t>
            </w:r>
            <w:r w:rsidR="005723B7">
              <w:rPr>
                <w:color w:val="000000" w:themeColor="text1"/>
                <w:spacing w:val="-4"/>
              </w:rPr>
              <w:t> %</w:t>
            </w:r>
            <w:r>
              <w:rPr>
                <w:color w:val="000000" w:themeColor="text1"/>
                <w:spacing w:val="-4"/>
              </w:rPr>
              <w:t>) i dynamický růst dovozu základních kovů. Jen slabý růst vykázal letos po loňské stagnaci potravinářský a ná</w:t>
            </w:r>
            <w:r w:rsidR="004C5111">
              <w:rPr>
                <w:color w:val="000000" w:themeColor="text1"/>
                <w:spacing w:val="-4"/>
              </w:rPr>
              <w:t>pojový průmysl (+2,4</w:t>
            </w:r>
            <w:r w:rsidR="005723B7">
              <w:rPr>
                <w:color w:val="000000" w:themeColor="text1"/>
                <w:spacing w:val="-4"/>
              </w:rPr>
              <w:t> %</w:t>
            </w:r>
            <w:r>
              <w:rPr>
                <w:color w:val="000000" w:themeColor="text1"/>
                <w:spacing w:val="-4"/>
              </w:rPr>
              <w:t xml:space="preserve">). Po krátkém oživení v letech 2015 a 2016 se opět snížila produkce v oděvním průmyslu, a to navzdory rostoucí domácí poptávce. Výrobci ostatních (hlavně kolejových) dopravních prostředků letos čelili nejhlubšímu poklesu produkce ze všech průmyslových </w:t>
            </w:r>
            <w:proofErr w:type="gramStart"/>
            <w:r>
              <w:rPr>
                <w:color w:val="000000" w:themeColor="text1"/>
                <w:spacing w:val="-4"/>
              </w:rPr>
              <w:t>odvětví (</w:t>
            </w:r>
            <w:r w:rsidR="00C408BB">
              <w:rPr>
                <w:color w:val="000000" w:themeColor="text1"/>
                <w:spacing w:val="-4"/>
              </w:rPr>
              <w:t>–</w:t>
            </w:r>
            <w:r>
              <w:rPr>
                <w:color w:val="000000" w:themeColor="text1"/>
                <w:spacing w:val="-4"/>
              </w:rPr>
              <w:t>12,0</w:t>
            </w:r>
            <w:proofErr w:type="gramEnd"/>
            <w:r w:rsidR="005723B7">
              <w:rPr>
                <w:color w:val="000000" w:themeColor="text1"/>
                <w:spacing w:val="-4"/>
              </w:rPr>
              <w:t> %</w:t>
            </w:r>
            <w:r>
              <w:rPr>
                <w:color w:val="000000" w:themeColor="text1"/>
                <w:spacing w:val="-4"/>
              </w:rPr>
              <w:t xml:space="preserve">). Vývoj v tomto odvětví je však </w:t>
            </w:r>
            <w:r>
              <w:rPr>
                <w:color w:val="000000" w:themeColor="text1"/>
                <w:spacing w:val="-4"/>
              </w:rPr>
              <w:lastRenderedPageBreak/>
              <w:t xml:space="preserve">tradičně vzhledem k charakteru zakázek značně </w:t>
            </w:r>
            <w:proofErr w:type="spellStart"/>
            <w:r>
              <w:rPr>
                <w:color w:val="000000" w:themeColor="text1"/>
                <w:spacing w:val="-4"/>
              </w:rPr>
              <w:t>volatilní</w:t>
            </w:r>
            <w:proofErr w:type="spellEnd"/>
            <w:r>
              <w:rPr>
                <w:rStyle w:val="Znakapoznpodarou"/>
                <w:color w:val="000000" w:themeColor="text1"/>
                <w:spacing w:val="-4"/>
              </w:rPr>
              <w:footnoteReference w:id="7"/>
            </w:r>
            <w:r>
              <w:rPr>
                <w:color w:val="000000" w:themeColor="text1"/>
                <w:spacing w:val="-4"/>
              </w:rPr>
              <w:t xml:space="preserve">. S velkými problémy se nadále potýkal těžební průmysl. Především vlivem řízeného útlumu těžby černého uhlí klesla za poslední dva roky produkce tohoto odvětví téměř </w:t>
            </w:r>
            <w:r w:rsidR="00C408BB">
              <w:rPr>
                <w:color w:val="000000" w:themeColor="text1"/>
                <w:spacing w:val="-4"/>
              </w:rPr>
              <w:t>o </w:t>
            </w:r>
            <w:r>
              <w:rPr>
                <w:color w:val="000000" w:themeColor="text1"/>
                <w:spacing w:val="-4"/>
              </w:rPr>
              <w:t>15</w:t>
            </w:r>
            <w:r w:rsidR="005723B7">
              <w:rPr>
                <w:color w:val="000000" w:themeColor="text1"/>
                <w:spacing w:val="-4"/>
              </w:rPr>
              <w:t> %</w:t>
            </w:r>
            <w:r>
              <w:rPr>
                <w:color w:val="000000" w:themeColor="text1"/>
                <w:spacing w:val="-4"/>
              </w:rPr>
              <w:t>, podobnou intenzitou docházelo také k úbytku pracovních míst</w:t>
            </w:r>
            <w:r>
              <w:rPr>
                <w:rStyle w:val="Znakapoznpodarou"/>
                <w:color w:val="000000" w:themeColor="text1"/>
                <w:spacing w:val="-4"/>
              </w:rPr>
              <w:footnoteReference w:id="8"/>
            </w:r>
            <w:r>
              <w:rPr>
                <w:color w:val="000000" w:themeColor="text1"/>
                <w:spacing w:val="-4"/>
              </w:rPr>
              <w:t xml:space="preserve">. </w:t>
            </w:r>
          </w:p>
        </w:tc>
      </w:tr>
    </w:tbl>
    <w:p w:rsidR="005C419C" w:rsidRPr="00C25BC2" w:rsidRDefault="005C419C" w:rsidP="005C419C">
      <w:pPr>
        <w:pStyle w:val="Textpoznpodarou"/>
        <w:jc w:val="both"/>
        <w:rPr>
          <w:sz w:val="14"/>
          <w:szCs w:val="14"/>
        </w:rPr>
      </w:pPr>
    </w:p>
    <w:tbl>
      <w:tblPr>
        <w:tblW w:w="4963" w:type="pct"/>
        <w:tblInd w:w="108" w:type="dxa"/>
        <w:tblLayout w:type="fixed"/>
        <w:tblLook w:val="00A0"/>
      </w:tblPr>
      <w:tblGrid>
        <w:gridCol w:w="1997"/>
        <w:gridCol w:w="284"/>
        <w:gridCol w:w="1121"/>
        <w:gridCol w:w="6379"/>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73" w:type="pct"/>
          </w:tcPr>
          <w:p w:rsidR="005C419C" w:rsidRPr="00540CB3" w:rsidRDefault="005C419C" w:rsidP="00F66CA8">
            <w:pPr>
              <w:pStyle w:val="Textpoznpodarou"/>
              <w:jc w:val="both"/>
              <w:rPr>
                <w:highlight w:val="yellow"/>
              </w:rPr>
            </w:pPr>
            <w:r w:rsidRPr="00540CB3">
              <w:rPr>
                <w:color w:val="000000"/>
              </w:rPr>
              <w:t>Graf č. 5</w:t>
            </w:r>
          </w:p>
        </w:tc>
        <w:tc>
          <w:tcPr>
            <w:tcW w:w="3261" w:type="pct"/>
          </w:tcPr>
          <w:p w:rsidR="005C419C" w:rsidRPr="003C6DB9" w:rsidRDefault="005C419C" w:rsidP="00F66CA8">
            <w:pPr>
              <w:pStyle w:val="Textpoznpodarou"/>
              <w:rPr>
                <w:b/>
              </w:rPr>
            </w:pPr>
            <w:r w:rsidRPr="001D04BA">
              <w:rPr>
                <w:b/>
              </w:rPr>
              <w:t>Produkce v průmyslu a</w:t>
            </w:r>
            <w:r>
              <w:rPr>
                <w:b/>
              </w:rPr>
              <w:t xml:space="preserve"> ve</w:t>
            </w:r>
            <w:r w:rsidRPr="001D04BA">
              <w:rPr>
                <w:b/>
              </w:rPr>
              <w:t xml:space="preserve"> vyb</w:t>
            </w:r>
            <w:r>
              <w:rPr>
                <w:b/>
              </w:rPr>
              <w:t xml:space="preserve">raných zpracovatelských odvětvích </w:t>
            </w:r>
            <w:r>
              <w:t>(reálně, očištěno o kalendářní vlivy,</w:t>
            </w:r>
            <w:r w:rsidRPr="001D04BA">
              <w:t xml:space="preserve"> </w:t>
            </w:r>
            <w:r>
              <w:t>meziročně</w:t>
            </w:r>
            <w:r w:rsidRPr="001D04BA">
              <w:t xml:space="preserve"> v</w:t>
            </w:r>
            <w:r w:rsidR="005723B7">
              <w:t> %</w:t>
            </w:r>
            <w:r w:rsidRPr="001D04BA">
              <w:t>)</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4" w:type="pct"/>
            <w:gridSpan w:val="2"/>
          </w:tcPr>
          <w:p w:rsidR="005C419C" w:rsidRPr="00A82C52" w:rsidRDefault="005C419C" w:rsidP="00F66CA8">
            <w:pPr>
              <w:pStyle w:val="Textpoznpodarou"/>
              <w:ind w:left="-124"/>
              <w:jc w:val="right"/>
              <w:rPr>
                <w:sz w:val="16"/>
                <w:szCs w:val="16"/>
              </w:rPr>
            </w:pPr>
            <w:r w:rsidRPr="00600714">
              <w:rPr>
                <w:noProof/>
                <w:sz w:val="14"/>
                <w:szCs w:val="14"/>
              </w:rPr>
              <w:drawing>
                <wp:inline distT="0" distB="0" distL="0" distR="0">
                  <wp:extent cx="4769902" cy="355320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40CB3">
              <w:rPr>
                <w:sz w:val="14"/>
                <w:szCs w:val="14"/>
              </w:rPr>
              <w:t>Zdroj: ČSÚ</w:t>
            </w:r>
          </w:p>
        </w:tc>
      </w:tr>
    </w:tbl>
    <w:p w:rsidR="005C419C" w:rsidRPr="00C25BC2" w:rsidRDefault="005C419C" w:rsidP="005C419C">
      <w:pPr>
        <w:pStyle w:val="Textpoznpodarou"/>
        <w:jc w:val="both"/>
        <w:rPr>
          <w:sz w:val="14"/>
          <w:szCs w:val="14"/>
        </w:rPr>
      </w:pPr>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Pr="00754C03" w:rsidRDefault="005C419C" w:rsidP="00F66CA8">
            <w:pPr>
              <w:spacing w:line="240" w:lineRule="auto"/>
              <w:rPr>
                <w:color w:val="0D0D0D" w:themeColor="text1" w:themeTint="F2"/>
                <w:spacing w:val="-2"/>
                <w:sz w:val="16"/>
                <w:szCs w:val="16"/>
              </w:rPr>
            </w:pPr>
            <w:r w:rsidRPr="00754C03">
              <w:rPr>
                <w:color w:val="0D0D0D" w:themeColor="text1" w:themeTint="F2"/>
                <w:spacing w:val="-2"/>
                <w:sz w:val="16"/>
                <w:szCs w:val="16"/>
              </w:rPr>
              <w:t xml:space="preserve">Již druhé čtvrtletí v řadě rostly průmyslovým podnikům domácí tržby vyšším tempem než tržby z přímého vývozu. </w:t>
            </w:r>
          </w:p>
          <w:p w:rsidR="005C419C" w:rsidRPr="00754C03" w:rsidRDefault="005C419C" w:rsidP="00F66CA8">
            <w:pPr>
              <w:spacing w:line="240" w:lineRule="auto"/>
              <w:rPr>
                <w:color w:val="0D0D0D" w:themeColor="text1" w:themeTint="F2"/>
                <w:spacing w:val="-2"/>
                <w:sz w:val="16"/>
                <w:szCs w:val="16"/>
              </w:rPr>
            </w:pPr>
          </w:p>
          <w:p w:rsidR="005C419C"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r w:rsidRPr="00754C03">
              <w:rPr>
                <w:color w:val="0D0D0D" w:themeColor="text1" w:themeTint="F2"/>
                <w:spacing w:val="-2"/>
                <w:sz w:val="16"/>
                <w:szCs w:val="16"/>
              </w:rPr>
              <w:t xml:space="preserve">Růst objemu nových zakázek ve většině sledovaných průmyslových odvětví pokračoval. </w:t>
            </w:r>
          </w:p>
          <w:p w:rsidR="005C419C" w:rsidRDefault="005C419C" w:rsidP="00F66CA8">
            <w:pPr>
              <w:spacing w:line="240" w:lineRule="auto"/>
              <w:rPr>
                <w:color w:val="0D0D0D" w:themeColor="text1" w:themeTint="F2"/>
                <w:spacing w:val="-2"/>
                <w:sz w:val="16"/>
                <w:szCs w:val="16"/>
              </w:rPr>
            </w:pPr>
          </w:p>
          <w:p w:rsidR="005C419C" w:rsidRDefault="005C419C" w:rsidP="00F66CA8">
            <w:pPr>
              <w:spacing w:line="240" w:lineRule="auto"/>
              <w:rPr>
                <w:color w:val="0D0D0D" w:themeColor="text1" w:themeTint="F2"/>
                <w:spacing w:val="-2"/>
                <w:sz w:val="16"/>
                <w:szCs w:val="16"/>
              </w:rPr>
            </w:pPr>
          </w:p>
          <w:p w:rsidR="005C419C"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r w:rsidRPr="00754C03">
              <w:rPr>
                <w:color w:val="0D0D0D" w:themeColor="text1" w:themeTint="F2"/>
                <w:sz w:val="16"/>
                <w:szCs w:val="16"/>
              </w:rPr>
              <w:t xml:space="preserve">Přetrvávala mírně pozitivní nálada podnikatelů v průmyslu. Hlavní bariérou růstu zůstává </w:t>
            </w:r>
            <w:r>
              <w:rPr>
                <w:color w:val="0D0D0D" w:themeColor="text1" w:themeTint="F2"/>
                <w:sz w:val="16"/>
                <w:szCs w:val="16"/>
              </w:rPr>
              <w:t xml:space="preserve">od </w:t>
            </w:r>
            <w:r w:rsidRPr="00754C03">
              <w:rPr>
                <w:color w:val="0D0D0D" w:themeColor="text1" w:themeTint="F2"/>
                <w:sz w:val="16"/>
                <w:szCs w:val="16"/>
              </w:rPr>
              <w:t>poloviny roku</w:t>
            </w:r>
            <w:r>
              <w:rPr>
                <w:color w:val="0D0D0D" w:themeColor="text1" w:themeTint="F2"/>
                <w:sz w:val="16"/>
                <w:szCs w:val="16"/>
              </w:rPr>
              <w:t xml:space="preserve"> 2017</w:t>
            </w:r>
            <w:r w:rsidRPr="00754C03">
              <w:rPr>
                <w:color w:val="0D0D0D" w:themeColor="text1" w:themeTint="F2"/>
                <w:sz w:val="16"/>
                <w:szCs w:val="16"/>
              </w:rPr>
              <w:t xml:space="preserve"> nedostatek pracovní síly.</w:t>
            </w:r>
          </w:p>
          <w:p w:rsidR="005C419C" w:rsidRPr="003E5346" w:rsidRDefault="005C419C" w:rsidP="00F66CA8">
            <w:pPr>
              <w:spacing w:line="240" w:lineRule="auto"/>
              <w:rPr>
                <w:spacing w:val="-2"/>
                <w:sz w:val="16"/>
                <w:szCs w:val="16"/>
              </w:rPr>
            </w:pPr>
          </w:p>
        </w:tc>
        <w:tc>
          <w:tcPr>
            <w:tcW w:w="144" w:type="pct"/>
          </w:tcPr>
          <w:p w:rsidR="005C419C" w:rsidRDefault="005C419C" w:rsidP="00F66CA8">
            <w:pPr>
              <w:pStyle w:val="Textpoznpodarou"/>
              <w:jc w:val="both"/>
            </w:pPr>
          </w:p>
        </w:tc>
        <w:tc>
          <w:tcPr>
            <w:tcW w:w="3840" w:type="pct"/>
          </w:tcPr>
          <w:p w:rsidR="005C419C" w:rsidRPr="00C25BC2" w:rsidRDefault="005C419C" w:rsidP="00F66CA8">
            <w:pPr>
              <w:pStyle w:val="Textpoznpodarou"/>
              <w:jc w:val="both"/>
              <w:rPr>
                <w:color w:val="000000" w:themeColor="text1"/>
                <w:spacing w:val="-4"/>
              </w:rPr>
            </w:pPr>
            <w:r>
              <w:rPr>
                <w:color w:val="000000" w:themeColor="text1"/>
                <w:spacing w:val="-4"/>
              </w:rPr>
              <w:t>Nominální tržby podniků z průmyslové činnosti vzrostly v 1. až 3</w:t>
            </w:r>
            <w:r w:rsidR="005723B7">
              <w:rPr>
                <w:color w:val="000000" w:themeColor="text1"/>
                <w:spacing w:val="-4"/>
              </w:rPr>
              <w:t>. čtvrtletí</w:t>
            </w:r>
            <w:r w:rsidR="007A18F5">
              <w:rPr>
                <w:color w:val="000000" w:themeColor="text1"/>
                <w:spacing w:val="-4"/>
              </w:rPr>
              <w:t xml:space="preserve"> meziročně o 7,6</w:t>
            </w:r>
            <w:r w:rsidR="005723B7">
              <w:rPr>
                <w:color w:val="000000" w:themeColor="text1"/>
                <w:spacing w:val="-4"/>
              </w:rPr>
              <w:t> %</w:t>
            </w:r>
            <w:r>
              <w:rPr>
                <w:color w:val="000000" w:themeColor="text1"/>
                <w:spacing w:val="-4"/>
              </w:rPr>
              <w:t>. Zvyšovaly se ve všech významnějších průmyslových odvětvích. Domácí tržby rostly ve 2. i 3</w:t>
            </w:r>
            <w:r w:rsidR="005723B7">
              <w:rPr>
                <w:color w:val="000000" w:themeColor="text1"/>
                <w:spacing w:val="-4"/>
              </w:rPr>
              <w:t>. čtvrtletí</w:t>
            </w:r>
            <w:r>
              <w:rPr>
                <w:color w:val="000000" w:themeColor="text1"/>
                <w:spacing w:val="-4"/>
              </w:rPr>
              <w:t xml:space="preserve"> vyšším tempem než tržby z přímého vývozu</w:t>
            </w:r>
            <w:r>
              <w:rPr>
                <w:rStyle w:val="Znakapoznpodarou"/>
                <w:color w:val="000000" w:themeColor="text1"/>
                <w:spacing w:val="-4"/>
              </w:rPr>
              <w:footnoteReference w:id="9"/>
            </w:r>
            <w:r>
              <w:rPr>
                <w:color w:val="000000" w:themeColor="text1"/>
                <w:spacing w:val="-4"/>
              </w:rPr>
              <w:t>. Souviselo to s oživením chemického průmyslu i energetiky, jejichž aktivity jsou více orientovány na tuzemský trh. Tempo růstu zaměstnanosti v průmyslu letos zvolnilo. Stavy pracovníků relativ</w:t>
            </w:r>
            <w:r w:rsidR="00F66CA8">
              <w:rPr>
                <w:color w:val="000000" w:themeColor="text1"/>
                <w:spacing w:val="-4"/>
              </w:rPr>
              <w:t xml:space="preserve">ně nejvíce navyšovaly podniky v </w:t>
            </w:r>
            <w:r>
              <w:rPr>
                <w:color w:val="000000" w:themeColor="text1"/>
                <w:spacing w:val="-4"/>
              </w:rPr>
              <w:t xml:space="preserve">automobilovém průmyslu a jeho </w:t>
            </w:r>
            <w:r w:rsidR="00F66CA8">
              <w:rPr>
                <w:color w:val="000000" w:themeColor="text1"/>
                <w:spacing w:val="-4"/>
              </w:rPr>
              <w:t xml:space="preserve">hlavních </w:t>
            </w:r>
            <w:r>
              <w:rPr>
                <w:color w:val="000000" w:themeColor="text1"/>
                <w:spacing w:val="-4"/>
              </w:rPr>
              <w:t xml:space="preserve">subdodavatelských odvětvích. Nové zakázky letos </w:t>
            </w:r>
            <w:r w:rsidR="005E0DBC">
              <w:rPr>
                <w:color w:val="000000" w:themeColor="text1"/>
                <w:spacing w:val="-4"/>
              </w:rPr>
              <w:t>(vyjma dubna)</w:t>
            </w:r>
            <w:r w:rsidR="004F1D62">
              <w:rPr>
                <w:color w:val="000000" w:themeColor="text1"/>
                <w:spacing w:val="-4"/>
              </w:rPr>
              <w:t xml:space="preserve"> </w:t>
            </w:r>
            <w:r>
              <w:rPr>
                <w:color w:val="000000" w:themeColor="text1"/>
                <w:spacing w:val="-4"/>
              </w:rPr>
              <w:t xml:space="preserve">rostly v </w:t>
            </w:r>
            <w:proofErr w:type="gramStart"/>
            <w:r>
              <w:rPr>
                <w:color w:val="000000" w:themeColor="text1"/>
                <w:spacing w:val="-4"/>
              </w:rPr>
              <w:t>průmyslu  nepřetržitě</w:t>
            </w:r>
            <w:proofErr w:type="gramEnd"/>
            <w:r>
              <w:rPr>
                <w:color w:val="000000" w:themeColor="text1"/>
                <w:spacing w:val="-4"/>
              </w:rPr>
              <w:t>, ve 3</w:t>
            </w:r>
            <w:r w:rsidR="005723B7">
              <w:rPr>
                <w:color w:val="000000" w:themeColor="text1"/>
                <w:spacing w:val="-4"/>
              </w:rPr>
              <w:t>. čtvrtletí</w:t>
            </w:r>
            <w:r>
              <w:rPr>
                <w:color w:val="000000" w:themeColor="text1"/>
                <w:spacing w:val="-4"/>
              </w:rPr>
              <w:t xml:space="preserve"> meziročně o 6,1</w:t>
            </w:r>
            <w:r w:rsidR="005723B7">
              <w:rPr>
                <w:color w:val="000000" w:themeColor="text1"/>
                <w:spacing w:val="-4"/>
              </w:rPr>
              <w:t> %</w:t>
            </w:r>
            <w:r>
              <w:rPr>
                <w:color w:val="000000" w:themeColor="text1"/>
                <w:spacing w:val="-4"/>
              </w:rPr>
              <w:t>. Zásoba práce se navyšovala ve všech dvanácti sledovaných odvětvích</w:t>
            </w:r>
            <w:r>
              <w:rPr>
                <w:rStyle w:val="Znakapoznpodarou"/>
                <w:spacing w:val="-4"/>
              </w:rPr>
              <w:footnoteReference w:id="10"/>
            </w:r>
            <w:r>
              <w:rPr>
                <w:color w:val="000000" w:themeColor="text1"/>
                <w:spacing w:val="-4"/>
              </w:rPr>
              <w:t xml:space="preserve"> kromě oděvnictví a výroby kolejových dopravních prostředků. </w:t>
            </w:r>
            <w:r w:rsidRPr="007419E7">
              <w:rPr>
                <w:color w:val="0D0D0D" w:themeColor="text1" w:themeTint="F2"/>
                <w:spacing w:val="-4"/>
              </w:rPr>
              <w:t>Nálada podnikatelů v</w:t>
            </w:r>
            <w:r w:rsidRPr="000B2BE9">
              <w:rPr>
                <w:color w:val="000000" w:themeColor="text1"/>
                <w:spacing w:val="-4"/>
              </w:rPr>
              <w:t> průmyslu (dle sezónně očištěného salda indikátoru důvěry)</w:t>
            </w:r>
            <w:r>
              <w:rPr>
                <w:color w:val="000000" w:themeColor="text1"/>
                <w:spacing w:val="-4"/>
              </w:rPr>
              <w:t xml:space="preserve"> v průběhu roku 2017 mírně kolísala,</w:t>
            </w:r>
            <w:r w:rsidRPr="000B2BE9">
              <w:rPr>
                <w:color w:val="000000" w:themeColor="text1"/>
                <w:spacing w:val="-4"/>
              </w:rPr>
              <w:t xml:space="preserve"> zůstávala </w:t>
            </w:r>
            <w:r>
              <w:rPr>
                <w:color w:val="000000" w:themeColor="text1"/>
                <w:spacing w:val="-4"/>
              </w:rPr>
              <w:t xml:space="preserve">však </w:t>
            </w:r>
            <w:r w:rsidRPr="000B2BE9">
              <w:rPr>
                <w:color w:val="000000" w:themeColor="text1"/>
                <w:spacing w:val="-4"/>
              </w:rPr>
              <w:t>nadále mírně pozitivní.</w:t>
            </w:r>
            <w:r>
              <w:rPr>
                <w:color w:val="000000" w:themeColor="text1"/>
                <w:spacing w:val="-4"/>
              </w:rPr>
              <w:t xml:space="preserve"> </w:t>
            </w:r>
            <w:r w:rsidRPr="000B2BE9">
              <w:rPr>
                <w:color w:val="000000" w:themeColor="text1"/>
                <w:spacing w:val="-4"/>
              </w:rPr>
              <w:t>Růst výrobní činnosti v příštích třech měsících oč</w:t>
            </w:r>
            <w:r>
              <w:rPr>
                <w:color w:val="000000" w:themeColor="text1"/>
                <w:spacing w:val="-4"/>
              </w:rPr>
              <w:t>ekávalo v průběhu října 27</w:t>
            </w:r>
            <w:r w:rsidR="005723B7">
              <w:rPr>
                <w:color w:val="000000" w:themeColor="text1"/>
                <w:spacing w:val="-4"/>
              </w:rPr>
              <w:t> %</w:t>
            </w:r>
            <w:r>
              <w:rPr>
                <w:color w:val="000000" w:themeColor="text1"/>
                <w:spacing w:val="-4"/>
              </w:rPr>
              <w:t xml:space="preserve"> průmyslových podniků (o rok dříve necelá pětina). Pozitivní posun zaznamenaly hlavně podniky v energetice a zpracovatelském průmyslu.</w:t>
            </w:r>
            <w:r w:rsidRPr="000B2BE9">
              <w:rPr>
                <w:color w:val="000000" w:themeColor="text1"/>
                <w:spacing w:val="-4"/>
              </w:rPr>
              <w:t xml:space="preserve"> </w:t>
            </w:r>
            <w:r>
              <w:rPr>
                <w:color w:val="000000" w:themeColor="text1"/>
                <w:spacing w:val="-4"/>
              </w:rPr>
              <w:t>Pětina podniků uvažovala</w:t>
            </w:r>
            <w:r w:rsidRPr="000B2BE9">
              <w:rPr>
                <w:color w:val="000000" w:themeColor="text1"/>
                <w:spacing w:val="-4"/>
              </w:rPr>
              <w:t xml:space="preserve"> ve stejném horizontu o navýšení zaměstnanosti</w:t>
            </w:r>
            <w:r>
              <w:rPr>
                <w:color w:val="000000" w:themeColor="text1"/>
                <w:spacing w:val="-4"/>
              </w:rPr>
              <w:t>. Výhledy signalizují stabilizaci v těžebním průmyslu – redukovat zaměstnanost zvažovalo 17</w:t>
            </w:r>
            <w:r w:rsidR="005723B7">
              <w:rPr>
                <w:color w:val="000000" w:themeColor="text1"/>
                <w:spacing w:val="-4"/>
              </w:rPr>
              <w:t> %</w:t>
            </w:r>
            <w:r>
              <w:rPr>
                <w:color w:val="000000" w:themeColor="text1"/>
                <w:spacing w:val="-4"/>
              </w:rPr>
              <w:t xml:space="preserve"> podniků, před rokem čtyři pětiny. Ve 3</w:t>
            </w:r>
            <w:r w:rsidR="005723B7">
              <w:rPr>
                <w:color w:val="000000" w:themeColor="text1"/>
                <w:spacing w:val="-4"/>
              </w:rPr>
              <w:t>. čtvrtletí</w:t>
            </w:r>
            <w:r>
              <w:rPr>
                <w:color w:val="000000" w:themeColor="text1"/>
                <w:spacing w:val="-4"/>
              </w:rPr>
              <w:t xml:space="preserve"> považovalo</w:t>
            </w:r>
            <w:r w:rsidRPr="000B2BE9">
              <w:rPr>
                <w:color w:val="000000" w:themeColor="text1"/>
                <w:spacing w:val="-4"/>
              </w:rPr>
              <w:t xml:space="preserve"> nedostatek p</w:t>
            </w:r>
            <w:r>
              <w:rPr>
                <w:color w:val="000000" w:themeColor="text1"/>
                <w:spacing w:val="-4"/>
              </w:rPr>
              <w:t>racovní síly za bariéru růstu</w:t>
            </w:r>
            <w:r w:rsidRPr="000B2BE9">
              <w:rPr>
                <w:color w:val="000000" w:themeColor="text1"/>
                <w:spacing w:val="-4"/>
              </w:rPr>
              <w:t xml:space="preserve"> rekordních 41</w:t>
            </w:r>
            <w:r w:rsidR="005723B7">
              <w:rPr>
                <w:color w:val="000000" w:themeColor="text1"/>
                <w:spacing w:val="-4"/>
              </w:rPr>
              <w:t> %</w:t>
            </w:r>
            <w:r>
              <w:rPr>
                <w:color w:val="000000" w:themeColor="text1"/>
                <w:spacing w:val="-4"/>
              </w:rPr>
              <w:t xml:space="preserve"> průmyslových podniků. </w:t>
            </w:r>
            <w:r w:rsidRPr="000B2BE9">
              <w:rPr>
                <w:color w:val="000000" w:themeColor="text1"/>
                <w:spacing w:val="-4"/>
              </w:rPr>
              <w:t>Pop</w:t>
            </w:r>
            <w:r>
              <w:rPr>
                <w:color w:val="000000" w:themeColor="text1"/>
                <w:spacing w:val="-4"/>
              </w:rPr>
              <w:t>rvé od 1</w:t>
            </w:r>
            <w:r w:rsidR="005723B7">
              <w:rPr>
                <w:color w:val="000000" w:themeColor="text1"/>
                <w:spacing w:val="-4"/>
              </w:rPr>
              <w:t>. čtvrtletí</w:t>
            </w:r>
            <w:r>
              <w:rPr>
                <w:color w:val="000000" w:themeColor="text1"/>
                <w:spacing w:val="-4"/>
              </w:rPr>
              <w:t xml:space="preserve"> 2008 byl tento faktor silnější než</w:t>
            </w:r>
            <w:r w:rsidRPr="000B2BE9">
              <w:rPr>
                <w:color w:val="000000" w:themeColor="text1"/>
                <w:spacing w:val="-4"/>
              </w:rPr>
              <w:t xml:space="preserve"> vliv nedostatečné poptávky</w:t>
            </w:r>
            <w:r>
              <w:rPr>
                <w:color w:val="000000" w:themeColor="text1"/>
                <w:spacing w:val="-4"/>
              </w:rPr>
              <w:t xml:space="preserve"> (40</w:t>
            </w:r>
            <w:r w:rsidR="005723B7">
              <w:rPr>
                <w:color w:val="000000" w:themeColor="text1"/>
                <w:spacing w:val="-4"/>
              </w:rPr>
              <w:t> %</w:t>
            </w:r>
            <w:r>
              <w:rPr>
                <w:color w:val="000000" w:themeColor="text1"/>
                <w:spacing w:val="-4"/>
              </w:rPr>
              <w:t>). To platilo i na počátku posledního čtvrtletí roku 2017. Vliv faktoru chybějící pracovní síly se však (dle sezónně očištěných údajů) o 3</w:t>
            </w:r>
            <w:r w:rsidR="00CE0849">
              <w:rPr>
                <w:color w:val="000000" w:themeColor="text1"/>
                <w:spacing w:val="-4"/>
              </w:rPr>
              <w:t> p. </w:t>
            </w:r>
            <w:proofErr w:type="spellStart"/>
            <w:r w:rsidR="00CE0849">
              <w:rPr>
                <w:color w:val="000000" w:themeColor="text1"/>
                <w:spacing w:val="-4"/>
              </w:rPr>
              <w:t>b</w:t>
            </w:r>
            <w:proofErr w:type="spellEnd"/>
            <w:r w:rsidR="00CE0849">
              <w:rPr>
                <w:color w:val="000000" w:themeColor="text1"/>
                <w:spacing w:val="-4"/>
              </w:rPr>
              <w:t>.</w:t>
            </w:r>
            <w:r>
              <w:rPr>
                <w:color w:val="000000" w:themeColor="text1"/>
                <w:spacing w:val="-4"/>
              </w:rPr>
              <w:t xml:space="preserve"> </w:t>
            </w:r>
            <w:proofErr w:type="gramStart"/>
            <w:r>
              <w:rPr>
                <w:color w:val="000000" w:themeColor="text1"/>
                <w:spacing w:val="-4"/>
              </w:rPr>
              <w:t>snížil</w:t>
            </w:r>
            <w:proofErr w:type="gramEnd"/>
            <w:r>
              <w:rPr>
                <w:color w:val="000000" w:themeColor="text1"/>
                <w:spacing w:val="-4"/>
              </w:rPr>
              <w:t>. Stalo se tak poprvé od konce roku 2014.</w:t>
            </w:r>
          </w:p>
        </w:tc>
      </w:tr>
    </w:tbl>
    <w:p w:rsidR="005C419C" w:rsidRPr="00C25BC2" w:rsidRDefault="005C419C" w:rsidP="005C419C">
      <w:pPr>
        <w:pStyle w:val="Textpoznpodarou"/>
        <w:jc w:val="both"/>
        <w:rPr>
          <w:sz w:val="4"/>
          <w:szCs w:val="4"/>
        </w:rPr>
      </w:pPr>
    </w:p>
    <w:tbl>
      <w:tblPr>
        <w:tblW w:w="4963" w:type="pct"/>
        <w:tblInd w:w="108" w:type="dxa"/>
        <w:tblLayout w:type="fixed"/>
        <w:tblLook w:val="00A0"/>
      </w:tblPr>
      <w:tblGrid>
        <w:gridCol w:w="1997"/>
        <w:gridCol w:w="284"/>
        <w:gridCol w:w="980"/>
        <w:gridCol w:w="6520"/>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01" w:type="pct"/>
          </w:tcPr>
          <w:p w:rsidR="005C419C" w:rsidRPr="00540CB3" w:rsidRDefault="005C419C" w:rsidP="00F66CA8">
            <w:pPr>
              <w:pStyle w:val="Textpoznpodarou"/>
              <w:jc w:val="both"/>
              <w:rPr>
                <w:spacing w:val="-4"/>
                <w:highlight w:val="yellow"/>
              </w:rPr>
            </w:pPr>
            <w:r w:rsidRPr="00540CB3">
              <w:rPr>
                <w:color w:val="000000"/>
                <w:spacing w:val="-4"/>
              </w:rPr>
              <w:t>Graf č. 6</w:t>
            </w:r>
          </w:p>
        </w:tc>
        <w:tc>
          <w:tcPr>
            <w:tcW w:w="3333" w:type="pct"/>
          </w:tcPr>
          <w:p w:rsidR="005C419C" w:rsidRPr="00540CB3" w:rsidRDefault="005C419C" w:rsidP="00F66CA8">
            <w:pPr>
              <w:pStyle w:val="Textpoznpodarou"/>
              <w:rPr>
                <w:b/>
                <w:spacing w:val="-2"/>
              </w:rPr>
            </w:pPr>
            <w:r w:rsidRPr="00540CB3">
              <w:rPr>
                <w:b/>
                <w:spacing w:val="-2"/>
              </w:rPr>
              <w:t xml:space="preserve">Nové zakázky v automobilovém průmyslu, v průmyslu celkem </w:t>
            </w:r>
          </w:p>
          <w:p w:rsidR="005C419C" w:rsidRPr="002B6B7A" w:rsidRDefault="005C419C" w:rsidP="00F66CA8">
            <w:pPr>
              <w:pStyle w:val="Textpoznpodarou"/>
              <w:rPr>
                <w:bCs/>
              </w:rPr>
            </w:pPr>
            <w:r>
              <w:rPr>
                <w:bCs/>
                <w:spacing w:val="-2"/>
              </w:rPr>
              <w:t>(v běž.</w:t>
            </w:r>
            <w:r w:rsidRPr="00540CB3">
              <w:rPr>
                <w:bCs/>
                <w:spacing w:val="-2"/>
              </w:rPr>
              <w:t xml:space="preserve"> </w:t>
            </w:r>
            <w:proofErr w:type="gramStart"/>
            <w:r w:rsidRPr="00540CB3">
              <w:rPr>
                <w:bCs/>
                <w:spacing w:val="-2"/>
              </w:rPr>
              <w:t>cenách</w:t>
            </w:r>
            <w:proofErr w:type="gramEnd"/>
            <w:r w:rsidRPr="00540CB3">
              <w:rPr>
                <w:bCs/>
                <w:spacing w:val="-2"/>
              </w:rPr>
              <w:t xml:space="preserve">, </w:t>
            </w:r>
            <w:r w:rsidRPr="00540CB3">
              <w:rPr>
                <w:spacing w:val="-2"/>
              </w:rPr>
              <w:t>meziročně</w:t>
            </w:r>
            <w:r w:rsidRPr="00540CB3">
              <w:rPr>
                <w:bCs/>
                <w:spacing w:val="-2"/>
              </w:rPr>
              <w:t xml:space="preserve"> v</w:t>
            </w:r>
            <w:r w:rsidR="005723B7">
              <w:rPr>
                <w:bCs/>
                <w:spacing w:val="-2"/>
              </w:rPr>
              <w:t> %</w:t>
            </w:r>
            <w:r w:rsidRPr="00540CB3">
              <w:rPr>
                <w:bCs/>
                <w:spacing w:val="-2"/>
              </w:rPr>
              <w:t xml:space="preserve">) </w:t>
            </w:r>
            <w:r w:rsidRPr="00540CB3">
              <w:rPr>
                <w:b/>
                <w:spacing w:val="-2"/>
              </w:rPr>
              <w:t>a saldo indikátoru důvěry v</w:t>
            </w:r>
            <w:r>
              <w:rPr>
                <w:b/>
                <w:spacing w:val="-2"/>
              </w:rPr>
              <w:t> </w:t>
            </w:r>
            <w:r w:rsidRPr="00540CB3">
              <w:rPr>
                <w:b/>
                <w:spacing w:val="-2"/>
              </w:rPr>
              <w:t>průmyslu</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4" w:type="pct"/>
            <w:gridSpan w:val="2"/>
          </w:tcPr>
          <w:p w:rsidR="005C419C" w:rsidRPr="00540CB3" w:rsidRDefault="005C419C" w:rsidP="00F66CA8">
            <w:pPr>
              <w:pStyle w:val="Textpoznpodarou"/>
              <w:ind w:left="-124"/>
              <w:jc w:val="right"/>
              <w:rPr>
                <w:sz w:val="16"/>
                <w:szCs w:val="16"/>
              </w:rPr>
            </w:pPr>
            <w:r w:rsidRPr="0042232F">
              <w:rPr>
                <w:noProof/>
                <w:sz w:val="14"/>
                <w:szCs w:val="14"/>
              </w:rPr>
              <w:drawing>
                <wp:inline distT="0" distB="0" distL="0" distR="0">
                  <wp:extent cx="4772801" cy="3553200"/>
                  <wp:effectExtent l="1905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2490D">
              <w:rPr>
                <w:sz w:val="14"/>
                <w:szCs w:val="14"/>
              </w:rPr>
              <w:t xml:space="preserve"> </w:t>
            </w:r>
            <w:r w:rsidRPr="00540CB3">
              <w:rPr>
                <w:sz w:val="14"/>
                <w:szCs w:val="14"/>
              </w:rPr>
              <w:t>Zdroj: ČSÚ</w:t>
            </w:r>
          </w:p>
        </w:tc>
      </w:tr>
    </w:tbl>
    <w:p w:rsidR="005C419C" w:rsidRDefault="005C419C" w:rsidP="005C419C">
      <w:pPr>
        <w:pStyle w:val="Textpoznpodarou"/>
        <w:jc w:val="both"/>
        <w:rPr>
          <w:sz w:val="14"/>
          <w:szCs w:val="14"/>
        </w:rPr>
      </w:pPr>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Default="005C419C" w:rsidP="00F66CA8">
            <w:pPr>
              <w:spacing w:line="240" w:lineRule="auto"/>
              <w:rPr>
                <w:spacing w:val="-2"/>
                <w:sz w:val="16"/>
                <w:szCs w:val="16"/>
              </w:rPr>
            </w:pPr>
            <w:r>
              <w:rPr>
                <w:spacing w:val="-2"/>
                <w:sz w:val="16"/>
                <w:szCs w:val="16"/>
              </w:rPr>
              <w:t>Oživení stavebnictví po výpadku mimořádných růstových faktorů pokračovalo v roce 2017 jen velmi pozvolna.</w:t>
            </w: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r>
              <w:rPr>
                <w:spacing w:val="-2"/>
                <w:sz w:val="16"/>
                <w:szCs w:val="16"/>
              </w:rPr>
              <w:t xml:space="preserve">Počet zahájených bytů vzrostl meziročně o pětinu a dosáhl nejvyšší hodnoty za posledních osm let. </w:t>
            </w:r>
          </w:p>
          <w:p w:rsidR="005C419C" w:rsidRPr="00484B46" w:rsidRDefault="005C419C" w:rsidP="00F66CA8">
            <w:pPr>
              <w:spacing w:line="240" w:lineRule="auto"/>
              <w:rPr>
                <w:color w:val="0D0D0D" w:themeColor="text1" w:themeTint="F2"/>
                <w:spacing w:val="-2"/>
                <w:sz w:val="16"/>
                <w:szCs w:val="16"/>
              </w:rPr>
            </w:pPr>
          </w:p>
        </w:tc>
        <w:tc>
          <w:tcPr>
            <w:tcW w:w="144" w:type="pct"/>
          </w:tcPr>
          <w:p w:rsidR="005C419C" w:rsidRDefault="005C419C" w:rsidP="00F66CA8">
            <w:pPr>
              <w:pStyle w:val="Textpoznpodarou"/>
              <w:jc w:val="both"/>
            </w:pPr>
          </w:p>
        </w:tc>
        <w:tc>
          <w:tcPr>
            <w:tcW w:w="3840" w:type="pct"/>
          </w:tcPr>
          <w:p w:rsidR="005C419C" w:rsidRPr="00991173" w:rsidRDefault="005C419C" w:rsidP="00F66CA8">
            <w:pPr>
              <w:pStyle w:val="Textpoznpodarou"/>
              <w:jc w:val="both"/>
              <w:rPr>
                <w:color w:val="0D0D0D" w:themeColor="text1" w:themeTint="F2"/>
                <w:spacing w:val="-4"/>
              </w:rPr>
            </w:pPr>
            <w:r>
              <w:rPr>
                <w:color w:val="0D0D0D" w:themeColor="text1" w:themeTint="F2"/>
                <w:spacing w:val="-4"/>
              </w:rPr>
              <w:t>S</w:t>
            </w:r>
            <w:r w:rsidRPr="005E3339">
              <w:rPr>
                <w:color w:val="0D0D0D" w:themeColor="text1" w:themeTint="F2"/>
                <w:spacing w:val="-4"/>
              </w:rPr>
              <w:t>tavebnictví</w:t>
            </w:r>
            <w:r>
              <w:rPr>
                <w:color w:val="0D0D0D" w:themeColor="text1" w:themeTint="F2"/>
                <w:spacing w:val="-4"/>
              </w:rPr>
              <w:t xml:space="preserve"> se po loňském propadu</w:t>
            </w:r>
            <w:r w:rsidRPr="005E3339">
              <w:rPr>
                <w:color w:val="0D0D0D" w:themeColor="text1" w:themeTint="F2"/>
                <w:spacing w:val="-4"/>
              </w:rPr>
              <w:t xml:space="preserve"> způsobeném výpadkem mimořádných růstových faktorů</w:t>
            </w:r>
            <w:r>
              <w:rPr>
                <w:color w:val="0D0D0D" w:themeColor="text1" w:themeTint="F2"/>
                <w:spacing w:val="-4"/>
              </w:rPr>
              <w:t xml:space="preserve"> prozatím zotavuje jen pomalu. </w:t>
            </w:r>
            <w:proofErr w:type="spellStart"/>
            <w:r>
              <w:rPr>
                <w:color w:val="0D0D0D" w:themeColor="text1" w:themeTint="F2"/>
                <w:spacing w:val="-4"/>
              </w:rPr>
              <w:t>Mezikvartální</w:t>
            </w:r>
            <w:proofErr w:type="spellEnd"/>
            <w:r>
              <w:rPr>
                <w:color w:val="0D0D0D" w:themeColor="text1" w:themeTint="F2"/>
                <w:spacing w:val="-4"/>
              </w:rPr>
              <w:t xml:space="preserve"> růst </w:t>
            </w:r>
            <w:r>
              <w:rPr>
                <w:spacing w:val="-4"/>
              </w:rPr>
              <w:t>stavební produkce započatý ve druhé polovině roku 2016 byl ve 3</w:t>
            </w:r>
            <w:r w:rsidR="005723B7">
              <w:rPr>
                <w:spacing w:val="-4"/>
              </w:rPr>
              <w:t>. čtvrtletí</w:t>
            </w:r>
            <w:r>
              <w:rPr>
                <w:spacing w:val="-4"/>
              </w:rPr>
              <w:t xml:space="preserve"> 2017 </w:t>
            </w:r>
            <w:proofErr w:type="gramStart"/>
            <w:r>
              <w:rPr>
                <w:spacing w:val="-4"/>
              </w:rPr>
              <w:t>zastaven (</w:t>
            </w:r>
            <w:r w:rsidR="009829F1">
              <w:rPr>
                <w:spacing w:val="-4"/>
              </w:rPr>
              <w:t>–</w:t>
            </w:r>
            <w:r>
              <w:rPr>
                <w:spacing w:val="-4"/>
              </w:rPr>
              <w:t>3,2</w:t>
            </w:r>
            <w:proofErr w:type="gramEnd"/>
            <w:r w:rsidR="005723B7">
              <w:rPr>
                <w:spacing w:val="-4"/>
              </w:rPr>
              <w:t> %</w:t>
            </w:r>
            <w:r>
              <w:rPr>
                <w:spacing w:val="-4"/>
              </w:rPr>
              <w:t>). To se odrazilo i ve slabším meziročním tempu</w:t>
            </w:r>
            <w:r>
              <w:rPr>
                <w:rStyle w:val="Znakapoznpodarou"/>
                <w:spacing w:val="-4"/>
              </w:rPr>
              <w:footnoteReference w:id="11"/>
            </w:r>
            <w:r w:rsidR="00063AF0">
              <w:rPr>
                <w:spacing w:val="-4"/>
              </w:rPr>
              <w:t xml:space="preserve">, které </w:t>
            </w:r>
            <w:r>
              <w:rPr>
                <w:spacing w:val="-4"/>
              </w:rPr>
              <w:t>za tři letošní čtvrtletí činilo 2,3</w:t>
            </w:r>
            <w:r w:rsidR="005723B7">
              <w:rPr>
                <w:spacing w:val="-4"/>
              </w:rPr>
              <w:t> %</w:t>
            </w:r>
            <w:r>
              <w:rPr>
                <w:spacing w:val="-4"/>
              </w:rPr>
              <w:t>. Kladný výsledek letos dosáhlo stavebnictví jen vlivem váhově významnějšího pozemního stavitelství (+6,3</w:t>
            </w:r>
            <w:r w:rsidR="005723B7">
              <w:rPr>
                <w:spacing w:val="-4"/>
              </w:rPr>
              <w:t> %</w:t>
            </w:r>
            <w:r>
              <w:rPr>
                <w:spacing w:val="-4"/>
              </w:rPr>
              <w:t xml:space="preserve">), neboť nepříznivý vývoj inženýrského stavitelství vinou nízkého objemu veřejných investic stále </w:t>
            </w:r>
            <w:proofErr w:type="gramStart"/>
            <w:r>
              <w:rPr>
                <w:spacing w:val="-4"/>
              </w:rPr>
              <w:t>přetrvával (</w:t>
            </w:r>
            <w:r w:rsidR="009829F1">
              <w:rPr>
                <w:spacing w:val="-4"/>
              </w:rPr>
              <w:t>–</w:t>
            </w:r>
            <w:r>
              <w:rPr>
                <w:spacing w:val="-4"/>
              </w:rPr>
              <w:t>7,1</w:t>
            </w:r>
            <w:proofErr w:type="gramEnd"/>
            <w:r w:rsidR="005723B7">
              <w:rPr>
                <w:spacing w:val="-4"/>
              </w:rPr>
              <w:t> %</w:t>
            </w:r>
            <w:r>
              <w:rPr>
                <w:spacing w:val="-4"/>
              </w:rPr>
              <w:t xml:space="preserve">). </w:t>
            </w:r>
            <w:r w:rsidRPr="00720868">
              <w:rPr>
                <w:color w:val="0D0D0D" w:themeColor="text1" w:themeTint="F2"/>
                <w:spacing w:val="-4"/>
              </w:rPr>
              <w:t>Do výkonu pozemního stavite</w:t>
            </w:r>
            <w:r>
              <w:rPr>
                <w:color w:val="0D0D0D" w:themeColor="text1" w:themeTint="F2"/>
                <w:spacing w:val="-4"/>
              </w:rPr>
              <w:t>lství se od počátku roku promítá</w:t>
            </w:r>
            <w:r w:rsidRPr="00720868">
              <w:rPr>
                <w:color w:val="0D0D0D" w:themeColor="text1" w:themeTint="F2"/>
                <w:spacing w:val="-4"/>
              </w:rPr>
              <w:t xml:space="preserve"> oživení bytové výstavby</w:t>
            </w:r>
            <w:r>
              <w:rPr>
                <w:color w:val="0D0D0D" w:themeColor="text1" w:themeTint="F2"/>
                <w:spacing w:val="-4"/>
              </w:rPr>
              <w:t xml:space="preserve">. </w:t>
            </w:r>
            <w:r>
              <w:rPr>
                <w:spacing w:val="-4"/>
              </w:rPr>
              <w:t xml:space="preserve">Počet zahájených </w:t>
            </w:r>
            <w:r w:rsidR="000340BD">
              <w:rPr>
                <w:spacing w:val="-4"/>
              </w:rPr>
              <w:t>bytů (23,3</w:t>
            </w:r>
            <w:r>
              <w:rPr>
                <w:spacing w:val="-4"/>
              </w:rPr>
              <w:t xml:space="preserve"> tis.) stoupl meziročně o pětinu, a to především zásluhou intenzivnější výstavby rodinných domů. Více se stavělo i ve většině ostatních </w:t>
            </w:r>
            <w:r w:rsidRPr="006A7450">
              <w:rPr>
                <w:spacing w:val="-4"/>
              </w:rPr>
              <w:t>forem výstavby</w:t>
            </w:r>
            <w:r>
              <w:rPr>
                <w:spacing w:val="-4"/>
              </w:rPr>
              <w:t>,</w:t>
            </w:r>
            <w:r w:rsidRPr="006A7450">
              <w:rPr>
                <w:spacing w:val="-4"/>
              </w:rPr>
              <w:t xml:space="preserve"> vyjma bytů v nebytových budovách a také v domovech pro seniory</w:t>
            </w:r>
            <w:r w:rsidRPr="006A7450">
              <w:rPr>
                <w:rStyle w:val="Znakapoznpodarou"/>
                <w:spacing w:val="-4"/>
              </w:rPr>
              <w:footnoteReference w:id="12"/>
            </w:r>
            <w:r w:rsidRPr="006A7450">
              <w:rPr>
                <w:spacing w:val="-4"/>
              </w:rPr>
              <w:t>.</w:t>
            </w:r>
            <w:r>
              <w:rPr>
                <w:spacing w:val="-4"/>
              </w:rPr>
              <w:t xml:space="preserve"> </w:t>
            </w:r>
            <w:r w:rsidRPr="006A7450">
              <w:rPr>
                <w:color w:val="0D0D0D" w:themeColor="text1" w:themeTint="F2"/>
                <w:spacing w:val="-4"/>
              </w:rPr>
              <w:t>Přestože</w:t>
            </w:r>
            <w:r>
              <w:rPr>
                <w:color w:val="0D0D0D" w:themeColor="text1" w:themeTint="F2"/>
                <w:spacing w:val="-4"/>
              </w:rPr>
              <w:t xml:space="preserve"> </w:t>
            </w:r>
            <w:r>
              <w:rPr>
                <w:spacing w:val="-4"/>
              </w:rPr>
              <w:t>bytů v bytových domech bylo v 1. až 3</w:t>
            </w:r>
            <w:r w:rsidR="005723B7">
              <w:rPr>
                <w:spacing w:val="-4"/>
              </w:rPr>
              <w:t>. čtvrtletí</w:t>
            </w:r>
            <w:r>
              <w:rPr>
                <w:spacing w:val="-4"/>
              </w:rPr>
              <w:t xml:space="preserve"> zahájeno nejvíce za posledních osm let (5,2 tis.), nešlo stále ani o polovinu objemu ze stejného období dosud rekordního roku 2008. Na meziročně vyšším počtu všech zahájených bytů se nejvíce podílela Praha (+1,3 tis.). Alespoň mírné navýšení výstavby ale zaznamenala drtivá většina krajů. Přestože počet zahájených bytů byl v Praze v rámci prvních tří čtvrtletí roku třetí nejvyšší za posledních osm let, silné napětí na rezidenčním trhu</w:t>
            </w:r>
            <w:r w:rsidR="009829F1">
              <w:rPr>
                <w:spacing w:val="-4"/>
              </w:rPr>
              <w:t>,</w:t>
            </w:r>
            <w:r>
              <w:rPr>
                <w:spacing w:val="-4"/>
              </w:rPr>
              <w:t xml:space="preserve"> projevující se dynamickým růstem nabídkových i realizovaných cen nemovitostí</w:t>
            </w:r>
            <w:r w:rsidR="009829F1">
              <w:rPr>
                <w:spacing w:val="-4"/>
              </w:rPr>
              <w:t>,</w:t>
            </w:r>
            <w:r>
              <w:rPr>
                <w:spacing w:val="-4"/>
              </w:rPr>
              <w:t xml:space="preserve"> zatím příliš neovlivnil.</w:t>
            </w:r>
          </w:p>
          <w:p w:rsidR="005C419C" w:rsidRPr="005E3339" w:rsidRDefault="005C419C" w:rsidP="00F66CA8">
            <w:pPr>
              <w:pStyle w:val="Textpoznpodarou"/>
              <w:jc w:val="both"/>
              <w:rPr>
                <w:color w:val="0D0D0D" w:themeColor="text1" w:themeTint="F2"/>
                <w:spacing w:val="-4"/>
                <w:sz w:val="15"/>
                <w:szCs w:val="15"/>
              </w:rPr>
            </w:pPr>
          </w:p>
        </w:tc>
      </w:tr>
      <w:tr w:rsidR="005C419C" w:rsidRPr="00A74192" w:rsidTr="00F66CA8">
        <w:trPr>
          <w:trHeight w:val="145"/>
        </w:trPr>
        <w:tc>
          <w:tcPr>
            <w:tcW w:w="1016" w:type="pct"/>
            <w:shd w:val="clear" w:color="auto" w:fill="auto"/>
          </w:tcPr>
          <w:p w:rsidR="005C419C" w:rsidRDefault="005C419C" w:rsidP="00F66CA8">
            <w:pPr>
              <w:spacing w:line="240" w:lineRule="auto"/>
              <w:rPr>
                <w:spacing w:val="-2"/>
                <w:sz w:val="16"/>
                <w:szCs w:val="16"/>
              </w:rPr>
            </w:pPr>
            <w:r>
              <w:rPr>
                <w:spacing w:val="-2"/>
                <w:sz w:val="16"/>
                <w:szCs w:val="16"/>
              </w:rPr>
              <w:t>Nové stavební zakázky zatím nepředstavovaly pro celé stavebnictví výrazný růstový impul</w:t>
            </w:r>
            <w:r w:rsidR="009829F1">
              <w:rPr>
                <w:spacing w:val="-2"/>
                <w:sz w:val="16"/>
                <w:szCs w:val="16"/>
              </w:rPr>
              <w:t>z</w:t>
            </w:r>
            <w:r>
              <w:rPr>
                <w:spacing w:val="-2"/>
                <w:sz w:val="16"/>
                <w:szCs w:val="16"/>
              </w:rPr>
              <w:t>. Prosazují se především menší či střední projekty.</w:t>
            </w: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color w:val="0D0D0D" w:themeColor="text1" w:themeTint="F2"/>
                <w:spacing w:val="-4"/>
                <w:sz w:val="16"/>
                <w:szCs w:val="16"/>
              </w:rPr>
            </w:pPr>
            <w:r>
              <w:rPr>
                <w:color w:val="0D0D0D" w:themeColor="text1" w:themeTint="F2"/>
                <w:spacing w:val="-4"/>
                <w:sz w:val="16"/>
                <w:szCs w:val="16"/>
              </w:rPr>
              <w:lastRenderedPageBreak/>
              <w:t>Důvěra podnikatelů ve stavebnictví se od konce roku 2016 mírně zvyšovala, stále však setrvávala v negativním pásmu.</w:t>
            </w: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r>
              <w:rPr>
                <w:color w:val="0D0D0D" w:themeColor="text1" w:themeTint="F2"/>
                <w:spacing w:val="-4"/>
                <w:sz w:val="16"/>
                <w:szCs w:val="16"/>
              </w:rPr>
              <w:t>Nejvýznamnější bariérou růstu stavebních podniků nadále i přes dílčí zlepšení zůstává nedostatečná poptávka.</w:t>
            </w:r>
          </w:p>
          <w:p w:rsidR="005C419C" w:rsidRPr="003E5346" w:rsidRDefault="005C419C" w:rsidP="00F66CA8">
            <w:pPr>
              <w:spacing w:line="240" w:lineRule="auto"/>
              <w:rPr>
                <w:spacing w:val="-2"/>
                <w:sz w:val="16"/>
                <w:szCs w:val="16"/>
              </w:rPr>
            </w:pPr>
          </w:p>
        </w:tc>
        <w:tc>
          <w:tcPr>
            <w:tcW w:w="144" w:type="pct"/>
          </w:tcPr>
          <w:p w:rsidR="005C419C" w:rsidRDefault="005C419C" w:rsidP="00F66CA8">
            <w:pPr>
              <w:pStyle w:val="Textpoznpodarou"/>
              <w:jc w:val="both"/>
            </w:pPr>
          </w:p>
        </w:tc>
        <w:tc>
          <w:tcPr>
            <w:tcW w:w="3840" w:type="pct"/>
          </w:tcPr>
          <w:p w:rsidR="005C419C" w:rsidRPr="00DB5F6D" w:rsidRDefault="005C419C" w:rsidP="00F66CA8">
            <w:pPr>
              <w:pStyle w:val="Textpoznpodarou"/>
              <w:jc w:val="both"/>
              <w:rPr>
                <w:spacing w:val="-4"/>
              </w:rPr>
            </w:pPr>
            <w:r>
              <w:rPr>
                <w:spacing w:val="-4"/>
              </w:rPr>
              <w:t>Přestože růst celkové hodnoty nových stavebních zakázek v tuzemsku</w:t>
            </w:r>
            <w:r>
              <w:rPr>
                <w:rStyle w:val="Znakapoznpodarou"/>
                <w:spacing w:val="-4"/>
              </w:rPr>
              <w:footnoteReference w:id="13"/>
            </w:r>
            <w:r>
              <w:rPr>
                <w:spacing w:val="-4"/>
              </w:rPr>
              <w:t xml:space="preserve"> se navyšoval již čtvrté čtvrtletí v řadě, nejednalo se dosud o zásadní impul</w:t>
            </w:r>
            <w:r w:rsidR="009829F1">
              <w:rPr>
                <w:spacing w:val="-4"/>
              </w:rPr>
              <w:t>z</w:t>
            </w:r>
            <w:r>
              <w:rPr>
                <w:spacing w:val="-4"/>
              </w:rPr>
              <w:t xml:space="preserve"> pro celé odvětví. Za první tři čtvrtletí stouply nové objednávky o 8</w:t>
            </w:r>
            <w:r w:rsidR="005723B7">
              <w:rPr>
                <w:spacing w:val="-4"/>
              </w:rPr>
              <w:t> %</w:t>
            </w:r>
            <w:r>
              <w:rPr>
                <w:spacing w:val="-4"/>
              </w:rPr>
              <w:t>, v samotném 3</w:t>
            </w:r>
            <w:r w:rsidR="005723B7">
              <w:rPr>
                <w:spacing w:val="-4"/>
              </w:rPr>
              <w:t>. čtvrtletí</w:t>
            </w:r>
            <w:r>
              <w:rPr>
                <w:spacing w:val="-4"/>
              </w:rPr>
              <w:t xml:space="preserve"> se však meziroční přírůstek „uskromnil“ na 1,1</w:t>
            </w:r>
            <w:r w:rsidR="005723B7">
              <w:rPr>
                <w:spacing w:val="-4"/>
              </w:rPr>
              <w:t> %</w:t>
            </w:r>
            <w:r>
              <w:rPr>
                <w:spacing w:val="-4"/>
              </w:rPr>
              <w:t xml:space="preserve"> (v</w:t>
            </w:r>
            <w:r w:rsidR="009829F1">
              <w:rPr>
                <w:spacing w:val="-4"/>
              </w:rPr>
              <w:t> </w:t>
            </w:r>
            <w:r>
              <w:rPr>
                <w:spacing w:val="-4"/>
              </w:rPr>
              <w:t>inženýrském stavitelství i proti nízké základně předchozího roku dokonce o 5</w:t>
            </w:r>
            <w:r w:rsidR="005723B7">
              <w:rPr>
                <w:spacing w:val="-4"/>
              </w:rPr>
              <w:t> %</w:t>
            </w:r>
            <w:r>
              <w:rPr>
                <w:spacing w:val="-4"/>
              </w:rPr>
              <w:t xml:space="preserve"> poklesl). Průměrná hodnota nové zakázky se v posledních dvou letech významně nemění (ve 3</w:t>
            </w:r>
            <w:r w:rsidR="005723B7">
              <w:rPr>
                <w:spacing w:val="-4"/>
              </w:rPr>
              <w:t>. čtvrtletí</w:t>
            </w:r>
            <w:r>
              <w:rPr>
                <w:spacing w:val="-4"/>
              </w:rPr>
              <w:t xml:space="preserve"> 2017 dosahovala 3,2 mil. korun). Ve stavebnictví se tak ve větší míře prosazují menší projekty vyžadující méně náročnou přípravu vč. schvalovacího procesu. Celková zásoba práce (zahrnující všechny dosud nerealizované zakázky) čítala na konci 3</w:t>
            </w:r>
            <w:r w:rsidR="005723B7">
              <w:rPr>
                <w:spacing w:val="-4"/>
              </w:rPr>
              <w:t>. čtvrtletí</w:t>
            </w:r>
            <w:r>
              <w:rPr>
                <w:spacing w:val="-4"/>
              </w:rPr>
              <w:t xml:space="preserve"> 138</w:t>
            </w:r>
            <w:r w:rsidR="006D164C">
              <w:rPr>
                <w:spacing w:val="-4"/>
              </w:rPr>
              <w:t> mld.</w:t>
            </w:r>
            <w:r>
              <w:rPr>
                <w:spacing w:val="-4"/>
              </w:rPr>
              <w:t xml:space="preserve"> korun. Polovinu z toho tvořily veřejné zakázky v</w:t>
            </w:r>
            <w:r w:rsidR="009829F1">
              <w:rPr>
                <w:spacing w:val="-4"/>
              </w:rPr>
              <w:t> </w:t>
            </w:r>
            <w:r>
              <w:rPr>
                <w:spacing w:val="-4"/>
              </w:rPr>
              <w:t>ČR, necelých 36</w:t>
            </w:r>
            <w:r w:rsidR="005723B7">
              <w:rPr>
                <w:spacing w:val="-4"/>
              </w:rPr>
              <w:t> %</w:t>
            </w:r>
            <w:r>
              <w:rPr>
                <w:spacing w:val="-4"/>
              </w:rPr>
              <w:t xml:space="preserve"> soukromé tuzemské zakázky a zbytek práce v zahraničí. V meziročním srovnání nedošlo k významnějším pohybům, pouze zakázek mimo ČR o desetinu ubylo (stavební </w:t>
            </w:r>
            <w:r>
              <w:rPr>
                <w:spacing w:val="-4"/>
              </w:rPr>
              <w:lastRenderedPageBreak/>
              <w:t xml:space="preserve">podniky jich měly v zásobě nejméně za posledních pět let). O lepších perspektivách stavebnictví v ČR vypovídá </w:t>
            </w:r>
            <w:r w:rsidRPr="009770BA">
              <w:rPr>
                <w:color w:val="0D0D0D" w:themeColor="text1" w:themeTint="F2"/>
                <w:spacing w:val="-4"/>
              </w:rPr>
              <w:t>orientační hodnota vydaných</w:t>
            </w:r>
            <w:r w:rsidRPr="00143F22">
              <w:rPr>
                <w:spacing w:val="-4"/>
              </w:rPr>
              <w:t xml:space="preserve"> stavebních povolení</w:t>
            </w:r>
            <w:r>
              <w:rPr>
                <w:spacing w:val="-4"/>
              </w:rPr>
              <w:t>. Ta vzrostla ve 3</w:t>
            </w:r>
            <w:r w:rsidR="005723B7">
              <w:rPr>
                <w:spacing w:val="-4"/>
              </w:rPr>
              <w:t>. čtvrtletí</w:t>
            </w:r>
            <w:r>
              <w:rPr>
                <w:spacing w:val="-4"/>
              </w:rPr>
              <w:t xml:space="preserve"> meziročně o 41</w:t>
            </w:r>
            <w:r w:rsidR="005723B7">
              <w:rPr>
                <w:spacing w:val="-4"/>
              </w:rPr>
              <w:t> %</w:t>
            </w:r>
            <w:r>
              <w:rPr>
                <w:spacing w:val="-4"/>
              </w:rPr>
              <w:t xml:space="preserve">, a to především zásluhou kategorie </w:t>
            </w:r>
            <w:r w:rsidRPr="00894F0C">
              <w:rPr>
                <w:spacing w:val="-4"/>
              </w:rPr>
              <w:t>změny dokončených staveb</w:t>
            </w:r>
            <w:r>
              <w:rPr>
                <w:spacing w:val="-4"/>
              </w:rPr>
              <w:t xml:space="preserve">. </w:t>
            </w:r>
            <w:r w:rsidRPr="00D163CC">
              <w:rPr>
                <w:color w:val="000000" w:themeColor="text1"/>
                <w:spacing w:val="-4"/>
              </w:rPr>
              <w:t xml:space="preserve">Sezónně očištěné </w:t>
            </w:r>
            <w:r w:rsidRPr="004315D0">
              <w:rPr>
                <w:color w:val="0D0D0D" w:themeColor="text1" w:themeTint="F2"/>
                <w:spacing w:val="-4"/>
              </w:rPr>
              <w:t>saldo důvěry podnikatelů ve</w:t>
            </w:r>
            <w:r w:rsidRPr="00CD12E2">
              <w:rPr>
                <w:color w:val="000000" w:themeColor="text1"/>
                <w:spacing w:val="-4"/>
              </w:rPr>
              <w:t xml:space="preserve"> stavebnictví</w:t>
            </w:r>
            <w:r>
              <w:rPr>
                <w:color w:val="000000" w:themeColor="text1"/>
                <w:spacing w:val="-4"/>
              </w:rPr>
              <w:t xml:space="preserve"> se od počátku roku mírně zlepšovalo a v září dosáhlo nejlepšího výsledku od února 2016, kdy ještě dozníval mimořádný vliv dočerpávání evropských fondů na infrastrukturní projekty. I nadále však saldo zůstávalo v negativním pásmu. Podíl stavebních podniků očekávajících v příštích třech měsících zvýšení stavební činnosti, resp</w:t>
            </w:r>
            <w:r w:rsidR="00500ADA">
              <w:rPr>
                <w:color w:val="000000" w:themeColor="text1"/>
                <w:spacing w:val="-4"/>
              </w:rPr>
              <w:t>ektive</w:t>
            </w:r>
            <w:r>
              <w:rPr>
                <w:color w:val="000000" w:themeColor="text1"/>
                <w:spacing w:val="-4"/>
              </w:rPr>
              <w:t xml:space="preserve"> růst zaměstnanosti se dle říjnových údajů meziročně snížil. Na druhou stranu posílila váha podniků, které očekávaly v těchto oblastech stabilizaci (na 71</w:t>
            </w:r>
            <w:r w:rsidR="005723B7">
              <w:rPr>
                <w:color w:val="000000" w:themeColor="text1"/>
                <w:spacing w:val="-4"/>
              </w:rPr>
              <w:t> %</w:t>
            </w:r>
            <w:r>
              <w:rPr>
                <w:color w:val="000000" w:themeColor="text1"/>
                <w:spacing w:val="-4"/>
              </w:rPr>
              <w:t>, resp. 77</w:t>
            </w:r>
            <w:r w:rsidR="005723B7">
              <w:rPr>
                <w:color w:val="000000" w:themeColor="text1"/>
                <w:spacing w:val="-4"/>
              </w:rPr>
              <w:t> %</w:t>
            </w:r>
            <w:r>
              <w:rPr>
                <w:color w:val="000000" w:themeColor="text1"/>
                <w:spacing w:val="-4"/>
              </w:rPr>
              <w:t>). V očekávání zaměstnanosti signalizovaly mírně příznivější výhledy malé a střední podniky. Žádné bariéry růstu indikoval v říjnu (dle sezónně očištěných údajů) jen každý osmý stavební podnik. Polovinu podniků naopak sužovala nedostatečná poptávka (o rok dříve 60</w:t>
            </w:r>
            <w:r w:rsidR="005723B7">
              <w:rPr>
                <w:color w:val="000000" w:themeColor="text1"/>
                <w:spacing w:val="-4"/>
              </w:rPr>
              <w:t> %</w:t>
            </w:r>
            <w:r>
              <w:rPr>
                <w:color w:val="000000" w:themeColor="text1"/>
                <w:spacing w:val="-4"/>
              </w:rPr>
              <w:t>). Faktor nedostatku zaměstnanců byl zmiňován ve 22</w:t>
            </w:r>
            <w:r w:rsidR="005723B7">
              <w:rPr>
                <w:color w:val="000000" w:themeColor="text1"/>
                <w:spacing w:val="-4"/>
              </w:rPr>
              <w:t> %</w:t>
            </w:r>
            <w:r>
              <w:rPr>
                <w:color w:val="000000" w:themeColor="text1"/>
                <w:spacing w:val="-4"/>
              </w:rPr>
              <w:t>, třikrát častěji než před rokem, od srpna 2017 však jeho váha již nenarůstala.</w:t>
            </w:r>
          </w:p>
        </w:tc>
      </w:tr>
    </w:tbl>
    <w:p w:rsidR="005C419C" w:rsidRPr="00A61C04" w:rsidRDefault="005C419C" w:rsidP="005C419C">
      <w:pPr>
        <w:pStyle w:val="Textpoznpodarou"/>
        <w:jc w:val="both"/>
        <w:rPr>
          <w:sz w:val="15"/>
          <w:szCs w:val="15"/>
        </w:rPr>
      </w:pPr>
    </w:p>
    <w:tbl>
      <w:tblPr>
        <w:tblW w:w="4963" w:type="pct"/>
        <w:tblInd w:w="108" w:type="dxa"/>
        <w:tblLayout w:type="fixed"/>
        <w:tblLook w:val="00A0"/>
      </w:tblPr>
      <w:tblGrid>
        <w:gridCol w:w="1997"/>
        <w:gridCol w:w="284"/>
        <w:gridCol w:w="1119"/>
        <w:gridCol w:w="6381"/>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72" w:type="pct"/>
          </w:tcPr>
          <w:p w:rsidR="005C419C" w:rsidRPr="00AA4A76" w:rsidRDefault="005C419C" w:rsidP="00F66CA8">
            <w:pPr>
              <w:pStyle w:val="Textpoznpodarou"/>
              <w:jc w:val="both"/>
              <w:rPr>
                <w:highlight w:val="yellow"/>
              </w:rPr>
            </w:pPr>
            <w:r>
              <w:rPr>
                <w:color w:val="000000"/>
              </w:rPr>
              <w:t>Graf č. 7</w:t>
            </w:r>
          </w:p>
        </w:tc>
        <w:tc>
          <w:tcPr>
            <w:tcW w:w="3262" w:type="pct"/>
          </w:tcPr>
          <w:p w:rsidR="005C419C" w:rsidRDefault="005C419C" w:rsidP="00F66CA8">
            <w:pPr>
              <w:pStyle w:val="Textpoznpodarou"/>
              <w:rPr>
                <w:bCs/>
              </w:rPr>
            </w:pPr>
            <w:r>
              <w:rPr>
                <w:b/>
              </w:rPr>
              <w:t xml:space="preserve">Stavební produkce*, hodnota nových zakázek </w:t>
            </w:r>
            <w:r>
              <w:rPr>
                <w:bCs/>
              </w:rPr>
              <w:t>(</w:t>
            </w:r>
            <w:r w:rsidRPr="00540CB3">
              <w:rPr>
                <w:spacing w:val="-2"/>
              </w:rPr>
              <w:t>meziročně</w:t>
            </w:r>
            <w:r w:rsidRPr="00540CB3">
              <w:rPr>
                <w:bCs/>
                <w:spacing w:val="-2"/>
              </w:rPr>
              <w:t xml:space="preserve"> v</w:t>
            </w:r>
            <w:r w:rsidR="005723B7">
              <w:rPr>
                <w:bCs/>
                <w:spacing w:val="-2"/>
              </w:rPr>
              <w:t> %</w:t>
            </w:r>
            <w:r w:rsidRPr="00540CB3">
              <w:rPr>
                <w:bCs/>
                <w:spacing w:val="-2"/>
              </w:rPr>
              <w:t>)</w:t>
            </w:r>
            <w:r>
              <w:rPr>
                <w:bCs/>
              </w:rPr>
              <w:t xml:space="preserve"> </w:t>
            </w:r>
          </w:p>
          <w:p w:rsidR="005C419C" w:rsidRPr="00886A8F" w:rsidRDefault="005C419C" w:rsidP="00F66CA8">
            <w:pPr>
              <w:pStyle w:val="Textpoznpodarou"/>
              <w:rPr>
                <w:spacing w:val="-2"/>
                <w:lang w:eastAsia="en-US"/>
              </w:rPr>
            </w:pPr>
            <w:r w:rsidRPr="006B4FFB">
              <w:rPr>
                <w:b/>
              </w:rPr>
              <w:t>a</w:t>
            </w:r>
            <w:r>
              <w:rPr>
                <w:b/>
              </w:rPr>
              <w:t xml:space="preserve"> saldo indikátoru důvěry ve stavebnictví</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3" w:type="pct"/>
            <w:gridSpan w:val="2"/>
          </w:tcPr>
          <w:p w:rsidR="005C419C" w:rsidRPr="00AA4A76" w:rsidRDefault="005C419C" w:rsidP="00F66CA8">
            <w:pPr>
              <w:pStyle w:val="Textpoznpodarou"/>
              <w:ind w:left="-124"/>
              <w:rPr>
                <w:sz w:val="18"/>
                <w:szCs w:val="18"/>
              </w:rPr>
            </w:pPr>
            <w:r w:rsidRPr="00C5034D">
              <w:rPr>
                <w:rFonts w:cs="Arial"/>
                <w:noProof/>
                <w:sz w:val="14"/>
                <w:szCs w:val="14"/>
              </w:rPr>
              <w:drawing>
                <wp:inline distT="0" distB="0" distL="0" distR="0">
                  <wp:extent cx="4748893" cy="3408218"/>
                  <wp:effectExtent l="19050" t="0" r="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6493D">
              <w:rPr>
                <w:rFonts w:cs="Arial"/>
                <w:sz w:val="14"/>
                <w:szCs w:val="14"/>
              </w:rPr>
              <w:t xml:space="preserve"> </w:t>
            </w:r>
            <w:r>
              <w:rPr>
                <w:rFonts w:cs="Arial"/>
                <w:sz w:val="14"/>
                <w:szCs w:val="14"/>
              </w:rPr>
              <w:t>*O</w:t>
            </w:r>
            <w:r w:rsidRPr="00540CB3">
              <w:rPr>
                <w:rFonts w:cs="Arial"/>
                <w:sz w:val="14"/>
                <w:szCs w:val="14"/>
              </w:rPr>
              <w:t xml:space="preserve">čištěno od vlivu počtu pracovních </w:t>
            </w:r>
            <w:r>
              <w:rPr>
                <w:rFonts w:cs="Arial"/>
                <w:sz w:val="14"/>
                <w:szCs w:val="14"/>
              </w:rPr>
              <w:t>dnů.</w:t>
            </w:r>
            <w:r w:rsidRPr="00540CB3">
              <w:rPr>
                <w:rFonts w:cs="Arial"/>
                <w:sz w:val="14"/>
                <w:szCs w:val="14"/>
              </w:rPr>
              <w:t xml:space="preserve">                                                           </w:t>
            </w:r>
            <w:r>
              <w:rPr>
                <w:rFonts w:cs="Arial"/>
                <w:sz w:val="14"/>
                <w:szCs w:val="14"/>
              </w:rPr>
              <w:t xml:space="preserve">                                         </w:t>
            </w:r>
            <w:r w:rsidRPr="00540CB3">
              <w:rPr>
                <w:rFonts w:cs="Arial"/>
                <w:sz w:val="14"/>
                <w:szCs w:val="14"/>
              </w:rPr>
              <w:t xml:space="preserve">      </w:t>
            </w:r>
            <w:r w:rsidRPr="00540CB3">
              <w:rPr>
                <w:sz w:val="14"/>
                <w:szCs w:val="14"/>
              </w:rPr>
              <w:t>Zdroj: ČSÚ</w:t>
            </w:r>
          </w:p>
        </w:tc>
      </w:tr>
    </w:tbl>
    <w:p w:rsidR="005C419C" w:rsidRDefault="005C419C" w:rsidP="005C419C">
      <w:pPr>
        <w:pStyle w:val="Textpoznpodarou"/>
        <w:jc w:val="both"/>
        <w:rPr>
          <w:sz w:val="14"/>
          <w:szCs w:val="14"/>
        </w:rPr>
      </w:pPr>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Pr="003E5346" w:rsidRDefault="005C419C" w:rsidP="00F66CA8">
            <w:pPr>
              <w:spacing w:line="240" w:lineRule="auto"/>
              <w:rPr>
                <w:spacing w:val="-2"/>
                <w:sz w:val="16"/>
                <w:szCs w:val="16"/>
              </w:rPr>
            </w:pPr>
            <w:r>
              <w:rPr>
                <w:spacing w:val="-2"/>
                <w:sz w:val="16"/>
                <w:szCs w:val="16"/>
              </w:rPr>
              <w:t>Tržby ve vybraných službách v první polovině roku 2017 akcelerovaly, ve 3</w:t>
            </w:r>
            <w:r w:rsidR="005723B7">
              <w:rPr>
                <w:spacing w:val="-2"/>
                <w:sz w:val="16"/>
                <w:szCs w:val="16"/>
              </w:rPr>
              <w:t>. čtvrtletí</w:t>
            </w:r>
            <w:r>
              <w:rPr>
                <w:spacing w:val="-2"/>
                <w:sz w:val="16"/>
                <w:szCs w:val="16"/>
              </w:rPr>
              <w:t xml:space="preserve"> ale jejich meziroční tempo zvolnilo. </w:t>
            </w:r>
          </w:p>
        </w:tc>
        <w:tc>
          <w:tcPr>
            <w:tcW w:w="144" w:type="pct"/>
          </w:tcPr>
          <w:p w:rsidR="005C419C" w:rsidRDefault="005C419C" w:rsidP="00F66CA8">
            <w:pPr>
              <w:pStyle w:val="Textpoznpodarou"/>
              <w:jc w:val="both"/>
            </w:pPr>
          </w:p>
        </w:tc>
        <w:tc>
          <w:tcPr>
            <w:tcW w:w="3840" w:type="pct"/>
          </w:tcPr>
          <w:p w:rsidR="005C419C" w:rsidRPr="00D12089" w:rsidRDefault="005C419C" w:rsidP="00F66CA8">
            <w:pPr>
              <w:pStyle w:val="Textpoznpodarou"/>
              <w:jc w:val="both"/>
              <w:rPr>
                <w:color w:val="000000" w:themeColor="text1"/>
                <w:spacing w:val="-4"/>
              </w:rPr>
            </w:pPr>
            <w:r w:rsidRPr="009E766E">
              <w:rPr>
                <w:spacing w:val="-4"/>
              </w:rPr>
              <w:t xml:space="preserve">Významný </w:t>
            </w:r>
            <w:proofErr w:type="spellStart"/>
            <w:r w:rsidRPr="009E766E">
              <w:rPr>
                <w:spacing w:val="-4"/>
              </w:rPr>
              <w:t>mezičtvrtletní</w:t>
            </w:r>
            <w:proofErr w:type="spellEnd"/>
            <w:r w:rsidRPr="009E766E">
              <w:rPr>
                <w:spacing w:val="-4"/>
              </w:rPr>
              <w:t xml:space="preserve"> růst tržeb </w:t>
            </w:r>
            <w:r w:rsidRPr="009E766E">
              <w:rPr>
                <w:color w:val="0D0D0D" w:themeColor="text1" w:themeTint="F2"/>
                <w:spacing w:val="-4"/>
              </w:rPr>
              <w:t>ve vybraných službách</w:t>
            </w:r>
            <w:r w:rsidRPr="009E766E">
              <w:rPr>
                <w:color w:val="0D0D0D" w:themeColor="text1" w:themeTint="F2"/>
                <w:spacing w:val="-4"/>
                <w:vertAlign w:val="superscript"/>
              </w:rPr>
              <w:footnoteReference w:id="14"/>
            </w:r>
            <w:r>
              <w:rPr>
                <w:color w:val="0D0D0D" w:themeColor="text1" w:themeTint="F2"/>
                <w:spacing w:val="-4"/>
              </w:rPr>
              <w:t>, jenž započal v druhé polovině loňského roku, se ve 3</w:t>
            </w:r>
            <w:r w:rsidR="005723B7">
              <w:rPr>
                <w:color w:val="0D0D0D" w:themeColor="text1" w:themeTint="F2"/>
                <w:spacing w:val="-4"/>
              </w:rPr>
              <w:t>. čtvrtletí</w:t>
            </w:r>
            <w:r>
              <w:rPr>
                <w:color w:val="0D0D0D" w:themeColor="text1" w:themeTint="F2"/>
                <w:spacing w:val="-4"/>
              </w:rPr>
              <w:t xml:space="preserve"> 2017 </w:t>
            </w:r>
            <w:proofErr w:type="gramStart"/>
            <w:r>
              <w:rPr>
                <w:color w:val="0D0D0D" w:themeColor="text1" w:themeTint="F2"/>
                <w:spacing w:val="-4"/>
              </w:rPr>
              <w:t>zastavil (</w:t>
            </w:r>
            <w:r w:rsidR="00500ADA">
              <w:rPr>
                <w:color w:val="0D0D0D" w:themeColor="text1" w:themeTint="F2"/>
                <w:spacing w:val="-4"/>
              </w:rPr>
              <w:t>–</w:t>
            </w:r>
            <w:r>
              <w:rPr>
                <w:color w:val="0D0D0D" w:themeColor="text1" w:themeTint="F2"/>
                <w:spacing w:val="-4"/>
              </w:rPr>
              <w:t>0,3</w:t>
            </w:r>
            <w:proofErr w:type="gramEnd"/>
            <w:r w:rsidR="005723B7">
              <w:rPr>
                <w:color w:val="0D0D0D" w:themeColor="text1" w:themeTint="F2"/>
                <w:spacing w:val="-4"/>
              </w:rPr>
              <w:t> %</w:t>
            </w:r>
            <w:r w:rsidR="000340BD">
              <w:rPr>
                <w:color w:val="0D0D0D" w:themeColor="text1" w:themeTint="F2"/>
                <w:spacing w:val="-4"/>
              </w:rPr>
              <w:t>), n</w:t>
            </w:r>
            <w:r>
              <w:rPr>
                <w:color w:val="0D0D0D" w:themeColor="text1" w:themeTint="F2"/>
                <w:spacing w:val="-4"/>
              </w:rPr>
              <w:t xml:space="preserve">epřetržitý </w:t>
            </w:r>
            <w:proofErr w:type="spellStart"/>
            <w:r>
              <w:rPr>
                <w:color w:val="0D0D0D" w:themeColor="text1" w:themeTint="F2"/>
                <w:spacing w:val="-4"/>
              </w:rPr>
              <w:t>mezikvartální</w:t>
            </w:r>
            <w:proofErr w:type="spellEnd"/>
            <w:r>
              <w:rPr>
                <w:color w:val="0D0D0D" w:themeColor="text1" w:themeTint="F2"/>
                <w:spacing w:val="-4"/>
              </w:rPr>
              <w:t xml:space="preserve"> růst si uchovaly jen informační a komunikační činnosti. Tento vývoj se promítl i do meziročních temp. Zatímco v 1. a 2</w:t>
            </w:r>
            <w:r w:rsidR="005723B7">
              <w:rPr>
                <w:color w:val="0D0D0D" w:themeColor="text1" w:themeTint="F2"/>
                <w:spacing w:val="-4"/>
              </w:rPr>
              <w:t>. čtvrtletí</w:t>
            </w:r>
            <w:r>
              <w:rPr>
                <w:color w:val="0D0D0D" w:themeColor="text1" w:themeTint="F2"/>
                <w:spacing w:val="-4"/>
              </w:rPr>
              <w:t xml:space="preserve"> (+5,3</w:t>
            </w:r>
            <w:r w:rsidR="005723B7">
              <w:rPr>
                <w:color w:val="0D0D0D" w:themeColor="text1" w:themeTint="F2"/>
                <w:spacing w:val="-4"/>
              </w:rPr>
              <w:t> %</w:t>
            </w:r>
            <w:r>
              <w:rPr>
                <w:color w:val="0D0D0D" w:themeColor="text1" w:themeTint="F2"/>
                <w:spacing w:val="-4"/>
              </w:rPr>
              <w:t>, resp. +5,7</w:t>
            </w:r>
            <w:r w:rsidR="005723B7">
              <w:rPr>
                <w:color w:val="0D0D0D" w:themeColor="text1" w:themeTint="F2"/>
                <w:spacing w:val="-4"/>
              </w:rPr>
              <w:t> %</w:t>
            </w:r>
            <w:r>
              <w:rPr>
                <w:color w:val="0D0D0D" w:themeColor="text1" w:themeTint="F2"/>
                <w:spacing w:val="-4"/>
              </w:rPr>
              <w:t>) vystoupala tempa nejvýše od konce roku 2007, v následujícím čtvrtletí se růst zmírnil na 3,3</w:t>
            </w:r>
            <w:r w:rsidR="005723B7">
              <w:rPr>
                <w:color w:val="0D0D0D" w:themeColor="text1" w:themeTint="F2"/>
                <w:spacing w:val="-4"/>
              </w:rPr>
              <w:t> %</w:t>
            </w:r>
            <w:r>
              <w:rPr>
                <w:color w:val="0D0D0D" w:themeColor="text1" w:themeTint="F2"/>
                <w:spacing w:val="-4"/>
              </w:rPr>
              <w:t>. V 1. a také ve 3</w:t>
            </w:r>
            <w:r w:rsidR="005723B7">
              <w:rPr>
                <w:color w:val="0D0D0D" w:themeColor="text1" w:themeTint="F2"/>
                <w:spacing w:val="-4"/>
              </w:rPr>
              <w:t>. čtvrtletí</w:t>
            </w:r>
            <w:r>
              <w:rPr>
                <w:color w:val="0D0D0D" w:themeColor="text1" w:themeTint="F2"/>
                <w:spacing w:val="-4"/>
              </w:rPr>
              <w:t xml:space="preserve"> byly </w:t>
            </w:r>
            <w:r>
              <w:rPr>
                <w:color w:val="000000" w:themeColor="text1"/>
                <w:spacing w:val="-4"/>
              </w:rPr>
              <w:t>služby taženy</w:t>
            </w:r>
            <w:r w:rsidRPr="00B6493D">
              <w:rPr>
                <w:color w:val="000000" w:themeColor="text1"/>
                <w:spacing w:val="-4"/>
              </w:rPr>
              <w:t xml:space="preserve"> hlavně váhově nejsilnějším odvětvím</w:t>
            </w:r>
            <w:r>
              <w:rPr>
                <w:color w:val="000000" w:themeColor="text1"/>
                <w:spacing w:val="-4"/>
              </w:rPr>
              <w:t xml:space="preserve"> – dopravou a skladováním (v obou čtvrtletích s</w:t>
            </w:r>
            <w:r w:rsidRPr="00B6493D">
              <w:rPr>
                <w:color w:val="000000" w:themeColor="text1"/>
                <w:spacing w:val="-4"/>
              </w:rPr>
              <w:t xml:space="preserve"> téměř třetinový</w:t>
            </w:r>
            <w:r>
              <w:rPr>
                <w:color w:val="000000" w:themeColor="text1"/>
                <w:spacing w:val="-4"/>
              </w:rPr>
              <w:t>m příspěvkem k celkovému růstu).</w:t>
            </w:r>
            <w:r w:rsidRPr="00B6493D">
              <w:rPr>
                <w:color w:val="000000" w:themeColor="text1"/>
                <w:spacing w:val="-4"/>
              </w:rPr>
              <w:t xml:space="preserve"> </w:t>
            </w:r>
            <w:r>
              <w:rPr>
                <w:color w:val="000000" w:themeColor="text1"/>
                <w:spacing w:val="-4"/>
              </w:rPr>
              <w:t>Ve</w:t>
            </w:r>
            <w:r w:rsidRPr="00B6493D">
              <w:rPr>
                <w:color w:val="000000" w:themeColor="text1"/>
                <w:spacing w:val="-4"/>
              </w:rPr>
              <w:t xml:space="preserve"> 2</w:t>
            </w:r>
            <w:r w:rsidR="005723B7">
              <w:rPr>
                <w:color w:val="000000" w:themeColor="text1"/>
                <w:spacing w:val="-4"/>
              </w:rPr>
              <w:t>. čtvrtletí</w:t>
            </w:r>
            <w:r w:rsidRPr="00B6493D">
              <w:rPr>
                <w:color w:val="000000" w:themeColor="text1"/>
                <w:spacing w:val="-4"/>
              </w:rPr>
              <w:t xml:space="preserve"> role tohoto odvětví </w:t>
            </w:r>
            <w:r>
              <w:rPr>
                <w:color w:val="000000" w:themeColor="text1"/>
                <w:spacing w:val="-4"/>
              </w:rPr>
              <w:t xml:space="preserve">dočasně </w:t>
            </w:r>
            <w:r w:rsidRPr="00B6493D">
              <w:rPr>
                <w:color w:val="000000" w:themeColor="text1"/>
                <w:spacing w:val="-4"/>
              </w:rPr>
              <w:t xml:space="preserve">oslabila ve prospěch informačních a komunikačních činností a též ubytování, stravování a pohostinství. </w:t>
            </w:r>
          </w:p>
          <w:p w:rsidR="005C419C" w:rsidRPr="00BF7175" w:rsidRDefault="005C419C" w:rsidP="00F66CA8">
            <w:pPr>
              <w:pStyle w:val="Textpoznpodarou"/>
              <w:jc w:val="both"/>
              <w:rPr>
                <w:spacing w:val="-4"/>
                <w:sz w:val="15"/>
                <w:szCs w:val="15"/>
              </w:rPr>
            </w:pPr>
          </w:p>
        </w:tc>
      </w:tr>
      <w:tr w:rsidR="005C419C" w:rsidRPr="00A74192" w:rsidTr="00F66CA8">
        <w:trPr>
          <w:trHeight w:val="145"/>
        </w:trPr>
        <w:tc>
          <w:tcPr>
            <w:tcW w:w="1016" w:type="pct"/>
            <w:shd w:val="clear" w:color="auto" w:fill="auto"/>
          </w:tcPr>
          <w:p w:rsidR="005C419C" w:rsidRDefault="005C419C" w:rsidP="00F66CA8">
            <w:pPr>
              <w:spacing w:line="240" w:lineRule="auto"/>
              <w:rPr>
                <w:spacing w:val="-2"/>
                <w:sz w:val="16"/>
                <w:szCs w:val="16"/>
              </w:rPr>
            </w:pPr>
            <w:r>
              <w:rPr>
                <w:spacing w:val="-2"/>
                <w:sz w:val="16"/>
                <w:szCs w:val="16"/>
              </w:rPr>
              <w:t>Od počátku roku rostly tržby meziročně nejvíce v ubytování, stravování a poho</w:t>
            </w:r>
            <w:r w:rsidR="00063AF0">
              <w:rPr>
                <w:spacing w:val="-2"/>
                <w:sz w:val="16"/>
                <w:szCs w:val="16"/>
              </w:rPr>
              <w:t>stinství, alespoň mírné navýšení</w:t>
            </w:r>
            <w:r>
              <w:rPr>
                <w:spacing w:val="-2"/>
                <w:sz w:val="16"/>
                <w:szCs w:val="16"/>
              </w:rPr>
              <w:t xml:space="preserve"> ale zaznamenaly všechny odvětvové sekce služeb.</w:t>
            </w:r>
          </w:p>
          <w:p w:rsidR="005C419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r w:rsidRPr="003D0B8C">
              <w:rPr>
                <w:spacing w:val="-4"/>
                <w:sz w:val="16"/>
                <w:szCs w:val="16"/>
              </w:rPr>
              <w:lastRenderedPageBreak/>
              <w:t xml:space="preserve">Dlouhodobě silná poptávka </w:t>
            </w:r>
            <w:r>
              <w:rPr>
                <w:spacing w:val="-4"/>
                <w:sz w:val="16"/>
                <w:szCs w:val="16"/>
              </w:rPr>
              <w:t xml:space="preserve">po </w:t>
            </w:r>
            <w:r w:rsidRPr="003D0B8C">
              <w:rPr>
                <w:spacing w:val="-4"/>
                <w:sz w:val="16"/>
                <w:szCs w:val="16"/>
              </w:rPr>
              <w:t>informačních činnostech, programování či služb</w:t>
            </w:r>
            <w:r w:rsidR="00063AF0">
              <w:rPr>
                <w:spacing w:val="-4"/>
                <w:sz w:val="16"/>
                <w:szCs w:val="16"/>
              </w:rPr>
              <w:t>ách pracovních agentur přetrvával</w:t>
            </w:r>
            <w:r w:rsidR="001603A3">
              <w:rPr>
                <w:spacing w:val="-4"/>
                <w:sz w:val="16"/>
                <w:szCs w:val="16"/>
              </w:rPr>
              <w:t>a</w:t>
            </w:r>
            <w:r w:rsidRPr="003D0B8C">
              <w:rPr>
                <w:spacing w:val="-4"/>
                <w:sz w:val="16"/>
                <w:szCs w:val="16"/>
              </w:rPr>
              <w:t xml:space="preserve">. </w:t>
            </w:r>
            <w:r>
              <w:rPr>
                <w:spacing w:val="-4"/>
                <w:sz w:val="16"/>
                <w:szCs w:val="16"/>
              </w:rPr>
              <w:t>Pozitivní obrat byl patrný u</w:t>
            </w:r>
            <w:r>
              <w:rPr>
                <w:spacing w:val="-2"/>
                <w:sz w:val="16"/>
                <w:szCs w:val="16"/>
              </w:rPr>
              <w:t> </w:t>
            </w:r>
            <w:r w:rsidRPr="003D0B8C">
              <w:rPr>
                <w:spacing w:val="-4"/>
                <w:sz w:val="16"/>
                <w:szCs w:val="16"/>
              </w:rPr>
              <w:t>cestovních kanceláří a</w:t>
            </w:r>
            <w:r>
              <w:rPr>
                <w:spacing w:val="-2"/>
                <w:sz w:val="16"/>
                <w:szCs w:val="16"/>
              </w:rPr>
              <w:t> </w:t>
            </w:r>
            <w:r w:rsidRPr="003D0B8C">
              <w:rPr>
                <w:spacing w:val="-4"/>
                <w:sz w:val="16"/>
                <w:szCs w:val="16"/>
              </w:rPr>
              <w:t>agentur.</w:t>
            </w:r>
          </w:p>
          <w:p w:rsidR="005C419C" w:rsidRPr="003D0B8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p>
          <w:p w:rsidR="005C419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r w:rsidRPr="003D0B8C">
              <w:rPr>
                <w:spacing w:val="-4"/>
                <w:sz w:val="16"/>
                <w:szCs w:val="16"/>
              </w:rPr>
              <w:t>Tržby v architektonických a inženýrských činnostech po silném loňském propadu nadále mírně klesaly.</w:t>
            </w:r>
          </w:p>
          <w:p w:rsidR="005C419C" w:rsidRPr="003E5346" w:rsidRDefault="005C419C" w:rsidP="00F66CA8">
            <w:pPr>
              <w:spacing w:line="240" w:lineRule="auto"/>
              <w:rPr>
                <w:spacing w:val="-2"/>
                <w:sz w:val="16"/>
                <w:szCs w:val="16"/>
              </w:rPr>
            </w:pPr>
            <w:r>
              <w:rPr>
                <w:spacing w:val="-2"/>
                <w:sz w:val="16"/>
                <w:szCs w:val="16"/>
              </w:rPr>
              <w:t xml:space="preserve">  </w:t>
            </w:r>
          </w:p>
        </w:tc>
        <w:tc>
          <w:tcPr>
            <w:tcW w:w="144" w:type="pct"/>
          </w:tcPr>
          <w:p w:rsidR="005C419C" w:rsidRPr="002916A1" w:rsidRDefault="005C419C" w:rsidP="00F66CA8">
            <w:pPr>
              <w:pStyle w:val="Textpoznpodarou"/>
              <w:jc w:val="both"/>
            </w:pPr>
          </w:p>
        </w:tc>
        <w:tc>
          <w:tcPr>
            <w:tcW w:w="3840" w:type="pct"/>
          </w:tcPr>
          <w:p w:rsidR="005C419C" w:rsidRPr="002916A1" w:rsidRDefault="005C419C" w:rsidP="00F66CA8">
            <w:pPr>
              <w:pStyle w:val="Textpoznpodarou"/>
              <w:jc w:val="both"/>
              <w:rPr>
                <w:spacing w:val="-4"/>
              </w:rPr>
            </w:pPr>
            <w:r w:rsidRPr="002916A1">
              <w:rPr>
                <w:spacing w:val="-4"/>
              </w:rPr>
              <w:t xml:space="preserve">V dopravě a skladování </w:t>
            </w:r>
            <w:r>
              <w:rPr>
                <w:spacing w:val="-4"/>
              </w:rPr>
              <w:t xml:space="preserve">vzrostly tržby </w:t>
            </w:r>
            <w:r w:rsidR="000340BD">
              <w:rPr>
                <w:spacing w:val="-4"/>
              </w:rPr>
              <w:t xml:space="preserve">meziročně </w:t>
            </w:r>
            <w:r>
              <w:rPr>
                <w:spacing w:val="-4"/>
              </w:rPr>
              <w:t>v 1. až 3</w:t>
            </w:r>
            <w:r w:rsidR="005723B7">
              <w:rPr>
                <w:spacing w:val="-4"/>
              </w:rPr>
              <w:t>. čtvrtletí</w:t>
            </w:r>
            <w:r w:rsidR="000340BD">
              <w:rPr>
                <w:spacing w:val="-4"/>
              </w:rPr>
              <w:t xml:space="preserve"> 2017 o 4,2</w:t>
            </w:r>
            <w:r w:rsidR="005723B7">
              <w:rPr>
                <w:spacing w:val="-4"/>
              </w:rPr>
              <w:t> %</w:t>
            </w:r>
            <w:r>
              <w:rPr>
                <w:spacing w:val="-4"/>
              </w:rPr>
              <w:t>. Poprvé po roce 2004 přispěly k růstu všechny odvětvové oddíly. Z nich vyčnívala především vleklou recesí silně zasažená letecká doprava, kde tržby po loňském slabém růstu (+0,7</w:t>
            </w:r>
            <w:r w:rsidR="005723B7">
              <w:rPr>
                <w:spacing w:val="-4"/>
              </w:rPr>
              <w:t> %</w:t>
            </w:r>
            <w:r>
              <w:rPr>
                <w:spacing w:val="-4"/>
              </w:rPr>
              <w:t>) akcelerovaly (+11,4</w:t>
            </w:r>
            <w:r w:rsidR="005723B7">
              <w:rPr>
                <w:spacing w:val="-4"/>
              </w:rPr>
              <w:t> %</w:t>
            </w:r>
            <w:r>
              <w:rPr>
                <w:spacing w:val="-4"/>
              </w:rPr>
              <w:t xml:space="preserve">). Výrazně dynamizovaly i tržby ve skladování, vč. </w:t>
            </w:r>
            <w:r w:rsidRPr="00431237">
              <w:rPr>
                <w:spacing w:val="-4"/>
              </w:rPr>
              <w:t>vedlejší</w:t>
            </w:r>
            <w:r>
              <w:rPr>
                <w:spacing w:val="-4"/>
              </w:rPr>
              <w:t>ch činností</w:t>
            </w:r>
            <w:r w:rsidRPr="00431237">
              <w:rPr>
                <w:spacing w:val="-4"/>
              </w:rPr>
              <w:t xml:space="preserve"> v</w:t>
            </w:r>
            <w:r>
              <w:rPr>
                <w:spacing w:val="-4"/>
              </w:rPr>
              <w:t> </w:t>
            </w:r>
            <w:r w:rsidRPr="00431237">
              <w:rPr>
                <w:spacing w:val="-4"/>
              </w:rPr>
              <w:t>dopravě</w:t>
            </w:r>
            <w:r>
              <w:rPr>
                <w:spacing w:val="-4"/>
              </w:rPr>
              <w:t xml:space="preserve"> (na 5,9</w:t>
            </w:r>
            <w:r w:rsidR="005723B7">
              <w:rPr>
                <w:spacing w:val="-4"/>
              </w:rPr>
              <w:t> %</w:t>
            </w:r>
            <w:r>
              <w:rPr>
                <w:spacing w:val="-4"/>
              </w:rPr>
              <w:t xml:space="preserve">), které profitovaly z rozvoje průmyslu i obchodu. Dařilo se také ubytování, stravování a pohostinství, kde se tempo tržeb </w:t>
            </w:r>
            <w:r w:rsidR="00500ADA">
              <w:rPr>
                <w:spacing w:val="-4"/>
              </w:rPr>
              <w:t>o</w:t>
            </w:r>
            <w:r>
              <w:rPr>
                <w:spacing w:val="-4"/>
              </w:rPr>
              <w:t>proti stejnému období loňského roku zdvojnásobilo a dosáhlo rovných 10</w:t>
            </w:r>
            <w:r w:rsidR="005723B7">
              <w:rPr>
                <w:spacing w:val="-4"/>
              </w:rPr>
              <w:t> %</w:t>
            </w:r>
            <w:r>
              <w:rPr>
                <w:spacing w:val="-4"/>
              </w:rPr>
              <w:t xml:space="preserve"> </w:t>
            </w:r>
            <w:r>
              <w:rPr>
                <w:spacing w:val="-4"/>
              </w:rPr>
              <w:lastRenderedPageBreak/>
              <w:t>(bez významnějších rozdílů mezi odvětvovými oddíly). Tržby v ubytování se navyšovaly nejvíce od roku 2005, ve stravování a pohostinství bylo letošní tempo dokonce nejvyšší v novodobé historii sledování (po roce 2000). Obě dílčí odvětví těžila z rostoucí spotřeby domácností i rozvoje příjezdového cestovního ruchu</w:t>
            </w:r>
            <w:r>
              <w:rPr>
                <w:rStyle w:val="Znakapoznpodarou"/>
                <w:spacing w:val="-4"/>
              </w:rPr>
              <w:footnoteReference w:id="15"/>
            </w:r>
            <w:r>
              <w:rPr>
                <w:spacing w:val="-4"/>
              </w:rPr>
              <w:t>. Za první tři čtvrtletí se počet přenocování v hromadných ubytovacích zařízeních zvýšil o</w:t>
            </w:r>
            <w:r w:rsidR="001603A3">
              <w:rPr>
                <w:spacing w:val="-4"/>
              </w:rPr>
              <w:t> </w:t>
            </w:r>
            <w:r>
              <w:rPr>
                <w:spacing w:val="-4"/>
              </w:rPr>
              <w:t>7,8</w:t>
            </w:r>
            <w:r w:rsidR="005723B7">
              <w:rPr>
                <w:spacing w:val="-4"/>
              </w:rPr>
              <w:t> %</w:t>
            </w:r>
            <w:r>
              <w:rPr>
                <w:spacing w:val="-4"/>
              </w:rPr>
              <w:t>. Od</w:t>
            </w:r>
            <w:r w:rsidRPr="00D91B9F">
              <w:rPr>
                <w:color w:val="0D0D0D" w:themeColor="text1" w:themeTint="F2"/>
                <w:spacing w:val="-4"/>
              </w:rPr>
              <w:t>větví informačních a</w:t>
            </w:r>
            <w:r>
              <w:rPr>
                <w:spacing w:val="-4"/>
              </w:rPr>
              <w:t> </w:t>
            </w:r>
            <w:r w:rsidRPr="00CB5852">
              <w:rPr>
                <w:color w:val="0D0D0D" w:themeColor="text1" w:themeTint="F2"/>
                <w:spacing w:val="-4"/>
              </w:rPr>
              <w:t>komunikačních činnost</w:t>
            </w:r>
            <w:r w:rsidR="001603A3" w:rsidRPr="00CB5852">
              <w:rPr>
                <w:color w:val="0D0D0D" w:themeColor="text1" w:themeTint="F2"/>
                <w:spacing w:val="-4"/>
              </w:rPr>
              <w:t>í</w:t>
            </w:r>
            <w:r w:rsidRPr="00CB5852">
              <w:rPr>
                <w:color w:val="0D0D0D" w:themeColor="text1" w:themeTint="F2"/>
                <w:spacing w:val="-4"/>
              </w:rPr>
              <w:t xml:space="preserve"> (+4,4</w:t>
            </w:r>
            <w:r w:rsidR="005723B7" w:rsidRPr="00CB5852">
              <w:rPr>
                <w:color w:val="0D0D0D" w:themeColor="text1" w:themeTint="F2"/>
                <w:spacing w:val="-4"/>
              </w:rPr>
              <w:t> %</w:t>
            </w:r>
            <w:r w:rsidRPr="00CB5852">
              <w:rPr>
                <w:color w:val="0D0D0D" w:themeColor="text1" w:themeTint="F2"/>
                <w:spacing w:val="-4"/>
              </w:rPr>
              <w:t xml:space="preserve">) táhla </w:t>
            </w:r>
            <w:r w:rsidRPr="00CB5852">
              <w:rPr>
                <w:spacing w:val="-4"/>
              </w:rPr>
              <w:t xml:space="preserve">silná poptávka zejména po zpracování dat, webových portálech a </w:t>
            </w:r>
            <w:proofErr w:type="spellStart"/>
            <w:r w:rsidRPr="00CB5852">
              <w:rPr>
                <w:spacing w:val="-4"/>
              </w:rPr>
              <w:t>hostingu</w:t>
            </w:r>
            <w:proofErr w:type="spellEnd"/>
            <w:r w:rsidRPr="00CB5852">
              <w:rPr>
                <w:spacing w:val="-4"/>
              </w:rPr>
              <w:t xml:space="preserve">, programování a poradenství v oblasti IT. Poklesu tržeb čelil v rámci tohoto odvětví jen filmový a hudební </w:t>
            </w:r>
            <w:proofErr w:type="gramStart"/>
            <w:r w:rsidRPr="00CB5852">
              <w:rPr>
                <w:spacing w:val="-4"/>
              </w:rPr>
              <w:t xml:space="preserve">průmysl </w:t>
            </w:r>
            <w:r w:rsidR="00B9755C">
              <w:rPr>
                <w:spacing w:val="-4"/>
              </w:rPr>
              <w:t xml:space="preserve"> </w:t>
            </w:r>
            <w:r w:rsidRPr="00CB5852">
              <w:rPr>
                <w:spacing w:val="-4"/>
              </w:rPr>
              <w:t>(</w:t>
            </w:r>
            <w:r w:rsidR="001603A3" w:rsidRPr="00CB5852">
              <w:rPr>
                <w:spacing w:val="-4"/>
              </w:rPr>
              <w:t>–</w:t>
            </w:r>
            <w:r w:rsidRPr="00CB5852">
              <w:rPr>
                <w:spacing w:val="-4"/>
              </w:rPr>
              <w:t>14</w:t>
            </w:r>
            <w:proofErr w:type="gramEnd"/>
            <w:r w:rsidR="005723B7" w:rsidRPr="00CB5852">
              <w:rPr>
                <w:spacing w:val="-4"/>
              </w:rPr>
              <w:t> %</w:t>
            </w:r>
            <w:r w:rsidRPr="00CB5852">
              <w:rPr>
                <w:spacing w:val="-4"/>
              </w:rPr>
              <w:t>)</w:t>
            </w:r>
            <w:r w:rsidRPr="00CB5852">
              <w:rPr>
                <w:rStyle w:val="Znakapoznpodarou"/>
                <w:spacing w:val="-4"/>
              </w:rPr>
              <w:footnoteReference w:id="16"/>
            </w:r>
            <w:r w:rsidRPr="00CB5852">
              <w:rPr>
                <w:spacing w:val="-4"/>
              </w:rPr>
              <w:t xml:space="preserve">. V odvětví </w:t>
            </w:r>
            <w:r w:rsidRPr="00CB5852">
              <w:rPr>
                <w:color w:val="0D0D0D" w:themeColor="text1" w:themeTint="F2"/>
                <w:spacing w:val="-4"/>
              </w:rPr>
              <w:t>profesní, vědeck</w:t>
            </w:r>
            <w:r w:rsidR="00CB5852" w:rsidRPr="00CB5852">
              <w:rPr>
                <w:color w:val="0D0D0D" w:themeColor="text1" w:themeTint="F2"/>
                <w:spacing w:val="-4"/>
              </w:rPr>
              <w:t>é</w:t>
            </w:r>
            <w:r w:rsidRPr="00CB5852">
              <w:rPr>
                <w:color w:val="0D0D0D" w:themeColor="text1" w:themeTint="F2"/>
                <w:spacing w:val="-4"/>
              </w:rPr>
              <w:t xml:space="preserve"> a technick</w:t>
            </w:r>
            <w:r w:rsidR="00CB5852" w:rsidRPr="00CB5852">
              <w:rPr>
                <w:color w:val="0D0D0D" w:themeColor="text1" w:themeTint="F2"/>
                <w:spacing w:val="-4"/>
              </w:rPr>
              <w:t>é</w:t>
            </w:r>
            <w:r w:rsidRPr="00CB5852">
              <w:rPr>
                <w:color w:val="0D0D0D" w:themeColor="text1" w:themeTint="F2"/>
                <w:spacing w:val="-4"/>
              </w:rPr>
              <w:t xml:space="preserve"> činnost</w:t>
            </w:r>
            <w:r w:rsidR="00CB5852" w:rsidRPr="00CB5852">
              <w:rPr>
                <w:color w:val="0D0D0D" w:themeColor="text1" w:themeTint="F2"/>
                <w:spacing w:val="-4"/>
              </w:rPr>
              <w:t>i</w:t>
            </w:r>
            <w:r w:rsidRPr="00CB5852">
              <w:rPr>
                <w:spacing w:val="-4"/>
              </w:rPr>
              <w:t xml:space="preserve"> tržby posílily o 2,3</w:t>
            </w:r>
            <w:r w:rsidR="005723B7" w:rsidRPr="00CB5852">
              <w:rPr>
                <w:spacing w:val="-4"/>
              </w:rPr>
              <w:t> %</w:t>
            </w:r>
            <w:r w:rsidRPr="00CB5852">
              <w:rPr>
                <w:spacing w:val="-4"/>
              </w:rPr>
              <w:t xml:space="preserve"> a zaznamenaly teprve druhý meziroční růst po roc</w:t>
            </w:r>
            <w:r w:rsidR="000340BD">
              <w:rPr>
                <w:spacing w:val="-4"/>
              </w:rPr>
              <w:t>e 2008. Táhly ho právní a účetnické</w:t>
            </w:r>
            <w:r w:rsidRPr="00CB5852">
              <w:rPr>
                <w:spacing w:val="-4"/>
              </w:rPr>
              <w:t xml:space="preserve"> činnosti a také vyšší </w:t>
            </w:r>
            <w:r w:rsidRPr="00CB5852">
              <w:rPr>
                <w:color w:val="000000" w:themeColor="text1"/>
                <w:spacing w:val="-4"/>
              </w:rPr>
              <w:t xml:space="preserve">poptávka po fotografických, návrhářských </w:t>
            </w:r>
            <w:r w:rsidR="001603A3" w:rsidRPr="00CB5852">
              <w:rPr>
                <w:color w:val="000000" w:themeColor="text1"/>
                <w:spacing w:val="-4"/>
              </w:rPr>
              <w:t>a </w:t>
            </w:r>
            <w:r w:rsidRPr="00CB5852">
              <w:rPr>
                <w:color w:val="000000" w:themeColor="text1"/>
                <w:spacing w:val="-4"/>
              </w:rPr>
              <w:t>překladatelských činnostech. Ve váhově dominantním oddílu architektonických a</w:t>
            </w:r>
            <w:r w:rsidRPr="00CB5852">
              <w:rPr>
                <w:spacing w:val="-4"/>
              </w:rPr>
              <w:t> </w:t>
            </w:r>
            <w:r w:rsidRPr="00CB5852">
              <w:rPr>
                <w:color w:val="000000" w:themeColor="text1"/>
                <w:spacing w:val="-4"/>
              </w:rPr>
              <w:t xml:space="preserve">inženýrských činností naopak tržby nadále </w:t>
            </w:r>
            <w:proofErr w:type="gramStart"/>
            <w:r w:rsidRPr="00CB5852">
              <w:rPr>
                <w:color w:val="000000" w:themeColor="text1"/>
                <w:spacing w:val="-4"/>
              </w:rPr>
              <w:t>klesaly (</w:t>
            </w:r>
            <w:r w:rsidR="001603A3" w:rsidRPr="00CB5852">
              <w:rPr>
                <w:color w:val="000000" w:themeColor="text1"/>
                <w:spacing w:val="-4"/>
              </w:rPr>
              <w:t>–</w:t>
            </w:r>
            <w:r w:rsidRPr="00CB5852">
              <w:rPr>
                <w:color w:val="000000" w:themeColor="text1"/>
                <w:spacing w:val="-4"/>
              </w:rPr>
              <w:t>0,2</w:t>
            </w:r>
            <w:proofErr w:type="gramEnd"/>
            <w:r w:rsidR="005723B7" w:rsidRPr="00CB5852">
              <w:rPr>
                <w:color w:val="000000" w:themeColor="text1"/>
                <w:spacing w:val="-4"/>
              </w:rPr>
              <w:t> %</w:t>
            </w:r>
            <w:r w:rsidRPr="00CB5852">
              <w:rPr>
                <w:color w:val="000000" w:themeColor="text1"/>
                <w:spacing w:val="-4"/>
              </w:rPr>
              <w:t xml:space="preserve">, o rok dříve </w:t>
            </w:r>
            <w:r w:rsidR="001603A3" w:rsidRPr="00CB5852">
              <w:rPr>
                <w:color w:val="000000" w:themeColor="text1"/>
                <w:spacing w:val="-4"/>
              </w:rPr>
              <w:t>–</w:t>
            </w:r>
            <w:r w:rsidRPr="00CB5852">
              <w:rPr>
                <w:color w:val="000000" w:themeColor="text1"/>
                <w:spacing w:val="-4"/>
              </w:rPr>
              <w:t>9,9</w:t>
            </w:r>
            <w:r w:rsidR="005723B7" w:rsidRPr="00CB5852">
              <w:rPr>
                <w:color w:val="000000" w:themeColor="text1"/>
                <w:spacing w:val="-4"/>
              </w:rPr>
              <w:t> %</w:t>
            </w:r>
            <w:r w:rsidRPr="00CB5852">
              <w:rPr>
                <w:color w:val="000000" w:themeColor="text1"/>
                <w:spacing w:val="-4"/>
              </w:rPr>
              <w:t xml:space="preserve">). V odvětví </w:t>
            </w:r>
            <w:r w:rsidRPr="00CB5852">
              <w:rPr>
                <w:color w:val="0D0D0D" w:themeColor="text1" w:themeTint="F2"/>
                <w:spacing w:val="-4"/>
              </w:rPr>
              <w:t>administrativní a</w:t>
            </w:r>
            <w:r w:rsidRPr="00CB5852">
              <w:rPr>
                <w:spacing w:val="-4"/>
              </w:rPr>
              <w:t> </w:t>
            </w:r>
            <w:r w:rsidRPr="00CB5852">
              <w:rPr>
                <w:color w:val="0D0D0D" w:themeColor="text1" w:themeTint="F2"/>
                <w:spacing w:val="-4"/>
              </w:rPr>
              <w:t>podpůrn</w:t>
            </w:r>
            <w:r w:rsidR="00CB5852" w:rsidRPr="00CB5852">
              <w:rPr>
                <w:color w:val="0D0D0D" w:themeColor="text1" w:themeTint="F2"/>
                <w:spacing w:val="-4"/>
              </w:rPr>
              <w:t>é</w:t>
            </w:r>
            <w:r w:rsidRPr="00CB5852">
              <w:rPr>
                <w:color w:val="0D0D0D" w:themeColor="text1" w:themeTint="F2"/>
                <w:spacing w:val="-4"/>
              </w:rPr>
              <w:t xml:space="preserve"> činnost</w:t>
            </w:r>
            <w:r w:rsidR="00CB5852" w:rsidRPr="00CB5852">
              <w:rPr>
                <w:color w:val="0D0D0D" w:themeColor="text1" w:themeTint="F2"/>
                <w:spacing w:val="-4"/>
              </w:rPr>
              <w:t>i</w:t>
            </w:r>
            <w:r w:rsidRPr="00CB5852">
              <w:rPr>
                <w:color w:val="0D0D0D" w:themeColor="text1" w:themeTint="F2"/>
                <w:spacing w:val="-4"/>
              </w:rPr>
              <w:t xml:space="preserve"> se na růstu tržeb (+8,1</w:t>
            </w:r>
            <w:r w:rsidR="005723B7" w:rsidRPr="00CB5852">
              <w:rPr>
                <w:color w:val="0D0D0D" w:themeColor="text1" w:themeTint="F2"/>
                <w:spacing w:val="-4"/>
              </w:rPr>
              <w:t> %</w:t>
            </w:r>
            <w:r w:rsidRPr="00CB5852">
              <w:rPr>
                <w:color w:val="0D0D0D" w:themeColor="text1" w:themeTint="F2"/>
                <w:spacing w:val="-4"/>
              </w:rPr>
              <w:t xml:space="preserve">) podílely hlavně </w:t>
            </w:r>
            <w:r w:rsidR="00B9755C">
              <w:rPr>
                <w:color w:val="000000" w:themeColor="text1"/>
                <w:spacing w:val="-4"/>
              </w:rPr>
              <w:t>cestovní agentury a</w:t>
            </w:r>
            <w:r w:rsidR="00B9755C" w:rsidRPr="00CB5852">
              <w:rPr>
                <w:spacing w:val="-4"/>
              </w:rPr>
              <w:t> </w:t>
            </w:r>
            <w:r w:rsidRPr="00CB5852">
              <w:rPr>
                <w:color w:val="000000" w:themeColor="text1"/>
                <w:spacing w:val="-4"/>
              </w:rPr>
              <w:t>kanceláře, které dosáhly</w:t>
            </w:r>
            <w:r>
              <w:rPr>
                <w:color w:val="000000" w:themeColor="text1"/>
                <w:spacing w:val="-4"/>
              </w:rPr>
              <w:t xml:space="preserve"> nejlepšího výsledku za posledních deset let, a také dlouhodobě </w:t>
            </w:r>
            <w:r w:rsidR="001603A3">
              <w:rPr>
                <w:color w:val="000000" w:themeColor="text1"/>
                <w:spacing w:val="-4"/>
              </w:rPr>
              <w:t xml:space="preserve">se </w:t>
            </w:r>
            <w:r>
              <w:rPr>
                <w:color w:val="000000" w:themeColor="text1"/>
                <w:spacing w:val="-4"/>
              </w:rPr>
              <w:t>rozvíjející pracovní agentury (+14</w:t>
            </w:r>
            <w:r w:rsidR="005723B7">
              <w:rPr>
                <w:color w:val="000000" w:themeColor="text1"/>
                <w:spacing w:val="-4"/>
              </w:rPr>
              <w:t> %</w:t>
            </w:r>
            <w:r>
              <w:rPr>
                <w:color w:val="000000" w:themeColor="text1"/>
                <w:spacing w:val="-4"/>
              </w:rPr>
              <w:t>, za poslední čtyři roky +77</w:t>
            </w:r>
            <w:r w:rsidR="005723B7">
              <w:rPr>
                <w:color w:val="000000" w:themeColor="text1"/>
                <w:spacing w:val="-4"/>
              </w:rPr>
              <w:t> %</w:t>
            </w:r>
            <w:r>
              <w:rPr>
                <w:color w:val="000000" w:themeColor="text1"/>
                <w:spacing w:val="-4"/>
              </w:rPr>
              <w:t>).</w:t>
            </w:r>
          </w:p>
        </w:tc>
      </w:tr>
    </w:tbl>
    <w:p w:rsidR="005C419C" w:rsidRPr="00535F78" w:rsidRDefault="005C419C" w:rsidP="005C419C">
      <w:pPr>
        <w:pStyle w:val="Textpoznpodarou"/>
        <w:jc w:val="both"/>
        <w:rPr>
          <w:sz w:val="14"/>
          <w:szCs w:val="14"/>
        </w:rPr>
      </w:pPr>
    </w:p>
    <w:tbl>
      <w:tblPr>
        <w:tblW w:w="4963" w:type="pct"/>
        <w:tblInd w:w="108" w:type="dxa"/>
        <w:tblLayout w:type="fixed"/>
        <w:tblLook w:val="00A0"/>
      </w:tblPr>
      <w:tblGrid>
        <w:gridCol w:w="1997"/>
        <w:gridCol w:w="284"/>
        <w:gridCol w:w="980"/>
        <w:gridCol w:w="6520"/>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01" w:type="pct"/>
          </w:tcPr>
          <w:p w:rsidR="005C419C" w:rsidRPr="00E62A33" w:rsidRDefault="005C419C" w:rsidP="00F66CA8">
            <w:pPr>
              <w:pStyle w:val="Textpoznpodarou"/>
              <w:jc w:val="both"/>
              <w:rPr>
                <w:spacing w:val="-2"/>
                <w:highlight w:val="yellow"/>
              </w:rPr>
            </w:pPr>
            <w:r w:rsidRPr="00E62A33">
              <w:rPr>
                <w:color w:val="000000"/>
                <w:spacing w:val="-2"/>
              </w:rPr>
              <w:t>Graf č. 8</w:t>
            </w:r>
          </w:p>
        </w:tc>
        <w:tc>
          <w:tcPr>
            <w:tcW w:w="3333" w:type="pct"/>
          </w:tcPr>
          <w:p w:rsidR="005C419C" w:rsidRDefault="005C419C" w:rsidP="00F66CA8">
            <w:pPr>
              <w:pStyle w:val="Textpoznpodarou"/>
              <w:rPr>
                <w:b/>
                <w:spacing w:val="-2"/>
              </w:rPr>
            </w:pPr>
            <w:r>
              <w:rPr>
                <w:b/>
                <w:spacing w:val="-2"/>
              </w:rPr>
              <w:t>Tržby ve službách* a jejich vybraných odvětvových sekcích</w:t>
            </w:r>
            <w:r w:rsidRPr="00E62A33">
              <w:rPr>
                <w:b/>
                <w:spacing w:val="-2"/>
              </w:rPr>
              <w:t xml:space="preserve"> </w:t>
            </w:r>
          </w:p>
          <w:p w:rsidR="005C419C" w:rsidRPr="00E62A33" w:rsidRDefault="005C419C" w:rsidP="00F66CA8">
            <w:pPr>
              <w:pStyle w:val="Textpoznpodarou"/>
              <w:rPr>
                <w:spacing w:val="-2"/>
                <w:lang w:eastAsia="en-US"/>
              </w:rPr>
            </w:pPr>
            <w:r w:rsidRPr="00E62A33">
              <w:rPr>
                <w:bCs/>
                <w:spacing w:val="-2"/>
              </w:rPr>
              <w:t xml:space="preserve">(reálně, </w:t>
            </w:r>
            <w:r w:rsidRPr="00E62A33">
              <w:rPr>
                <w:rFonts w:cs="Arial"/>
                <w:spacing w:val="-2"/>
              </w:rPr>
              <w:t xml:space="preserve">očištěno od vlivu počtu pracovních dnů, </w:t>
            </w:r>
            <w:r w:rsidRPr="00E62A33">
              <w:rPr>
                <w:spacing w:val="-2"/>
              </w:rPr>
              <w:t>meziročně</w:t>
            </w:r>
            <w:r w:rsidRPr="00E62A33">
              <w:rPr>
                <w:bCs/>
                <w:spacing w:val="-2"/>
              </w:rPr>
              <w:t xml:space="preserve"> v</w:t>
            </w:r>
            <w:r w:rsidR="005723B7">
              <w:rPr>
                <w:bCs/>
                <w:spacing w:val="-2"/>
              </w:rPr>
              <w:t> %</w:t>
            </w:r>
            <w:r w:rsidRPr="00E62A33">
              <w:rPr>
                <w:bCs/>
                <w:spacing w:val="-2"/>
              </w:rPr>
              <w:t>)</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4" w:type="pct"/>
            <w:gridSpan w:val="2"/>
          </w:tcPr>
          <w:p w:rsidR="005C419C" w:rsidRPr="00E62A33" w:rsidRDefault="005C419C" w:rsidP="00F66CA8">
            <w:pPr>
              <w:pStyle w:val="Textpoznpodarou"/>
              <w:ind w:left="-124"/>
              <w:rPr>
                <w:sz w:val="16"/>
                <w:szCs w:val="16"/>
              </w:rPr>
            </w:pPr>
            <w:r w:rsidRPr="004A6D89">
              <w:rPr>
                <w:noProof/>
                <w:color w:val="0D0D0D" w:themeColor="text1" w:themeTint="F2"/>
                <w:spacing w:val="-4"/>
                <w:sz w:val="14"/>
                <w:szCs w:val="14"/>
              </w:rPr>
              <w:drawing>
                <wp:inline distT="0" distB="0" distL="0" distR="0">
                  <wp:extent cx="4742955" cy="3283527"/>
                  <wp:effectExtent l="1905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12A06">
              <w:rPr>
                <w:color w:val="0D0D0D" w:themeColor="text1" w:themeTint="F2"/>
                <w:spacing w:val="-4"/>
                <w:sz w:val="14"/>
                <w:szCs w:val="14"/>
              </w:rPr>
              <w:t>*Bez obchodu, peněžnictví, poji</w:t>
            </w:r>
            <w:r>
              <w:rPr>
                <w:color w:val="0D0D0D" w:themeColor="text1" w:themeTint="F2"/>
                <w:spacing w:val="-4"/>
                <w:sz w:val="14"/>
                <w:szCs w:val="14"/>
              </w:rPr>
              <w:t>šťovnictví, vědy, výzkumu a veřejných</w:t>
            </w:r>
            <w:r w:rsidRPr="00612A06">
              <w:rPr>
                <w:color w:val="0D0D0D" w:themeColor="text1" w:themeTint="F2"/>
                <w:spacing w:val="-4"/>
                <w:sz w:val="14"/>
                <w:szCs w:val="14"/>
              </w:rPr>
              <w:t xml:space="preserve"> služeb.      </w:t>
            </w:r>
            <w:r>
              <w:rPr>
                <w:color w:val="0D0D0D" w:themeColor="text1" w:themeTint="F2"/>
                <w:spacing w:val="-4"/>
                <w:sz w:val="14"/>
                <w:szCs w:val="14"/>
              </w:rPr>
              <w:t xml:space="preserve">                                                </w:t>
            </w:r>
            <w:r w:rsidRPr="00612A06">
              <w:rPr>
                <w:color w:val="0D0D0D" w:themeColor="text1" w:themeTint="F2"/>
                <w:spacing w:val="-4"/>
                <w:sz w:val="14"/>
                <w:szCs w:val="14"/>
              </w:rPr>
              <w:t xml:space="preserve">         </w:t>
            </w:r>
            <w:r w:rsidRPr="00E62A33">
              <w:rPr>
                <w:sz w:val="14"/>
                <w:szCs w:val="14"/>
              </w:rPr>
              <w:t>Zdroj: ČSÚ</w:t>
            </w:r>
          </w:p>
        </w:tc>
      </w:tr>
    </w:tbl>
    <w:p w:rsidR="005C419C" w:rsidRDefault="005C419C" w:rsidP="005C419C">
      <w:pPr>
        <w:pStyle w:val="Textpoznpodarou"/>
        <w:jc w:val="both"/>
        <w:rPr>
          <w:sz w:val="15"/>
          <w:szCs w:val="15"/>
        </w:rPr>
      </w:pPr>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Default="005C419C" w:rsidP="00F66CA8">
            <w:pPr>
              <w:spacing w:line="240" w:lineRule="auto"/>
              <w:rPr>
                <w:spacing w:val="-2"/>
                <w:sz w:val="16"/>
                <w:szCs w:val="16"/>
              </w:rPr>
            </w:pPr>
            <w:r>
              <w:rPr>
                <w:spacing w:val="-2"/>
                <w:sz w:val="16"/>
                <w:szCs w:val="16"/>
              </w:rPr>
              <w:t>Tempo růstu celkových maloobchodních tržeb podobně jako pozitivní nálada spotřebitelů zůstávaly v průběhu roku 2017 bez výraznějších změn.</w:t>
            </w: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r>
              <w:rPr>
                <w:spacing w:val="-2"/>
                <w:sz w:val="16"/>
                <w:szCs w:val="16"/>
              </w:rPr>
              <w:t>Růst maloobchodních tržeb zařadil Česko letos shodně jako v loňském roce na páté místo mezi státy EU.</w:t>
            </w:r>
          </w:p>
          <w:p w:rsidR="005C419C" w:rsidRPr="003E5346" w:rsidRDefault="005C419C" w:rsidP="00F66CA8">
            <w:pPr>
              <w:spacing w:line="240" w:lineRule="auto"/>
              <w:rPr>
                <w:spacing w:val="-2"/>
                <w:sz w:val="16"/>
                <w:szCs w:val="16"/>
              </w:rPr>
            </w:pPr>
          </w:p>
        </w:tc>
        <w:tc>
          <w:tcPr>
            <w:tcW w:w="144" w:type="pct"/>
          </w:tcPr>
          <w:p w:rsidR="005C419C" w:rsidRDefault="005C419C" w:rsidP="00F66CA8">
            <w:pPr>
              <w:pStyle w:val="Textpoznpodarou"/>
              <w:jc w:val="both"/>
            </w:pPr>
          </w:p>
        </w:tc>
        <w:tc>
          <w:tcPr>
            <w:tcW w:w="3840" w:type="pct"/>
          </w:tcPr>
          <w:p w:rsidR="005C419C" w:rsidRPr="00D51636" w:rsidRDefault="005C419C" w:rsidP="00F66CA8">
            <w:pPr>
              <w:pStyle w:val="Textpoznpodarou"/>
              <w:jc w:val="both"/>
              <w:rPr>
                <w:spacing w:val="-4"/>
              </w:rPr>
            </w:pPr>
            <w:r>
              <w:rPr>
                <w:spacing w:val="-4"/>
              </w:rPr>
              <w:t>Tempo růstu maloobchodních tržeb zůstávalo podobně jako optimistické naladění spotřebitelů od počátku roku bez výraznějších změn. Za tři čtvrtletí posílily tržby v maloobchodě meziročně o 6,0</w:t>
            </w:r>
            <w:r w:rsidR="005723B7">
              <w:rPr>
                <w:spacing w:val="-4"/>
              </w:rPr>
              <w:t> %</w:t>
            </w:r>
            <w:r>
              <w:rPr>
                <w:rStyle w:val="Znakapoznpodarou"/>
                <w:spacing w:val="-4"/>
              </w:rPr>
              <w:footnoteReference w:id="17"/>
            </w:r>
            <w:r>
              <w:rPr>
                <w:spacing w:val="-4"/>
              </w:rPr>
              <w:t xml:space="preserve">. Tempo v maloobchodu s potravinami zvolnilo </w:t>
            </w:r>
            <w:r w:rsidRPr="00F052CB">
              <w:rPr>
                <w:spacing w:val="-4"/>
              </w:rPr>
              <w:t>(na 2,5</w:t>
            </w:r>
            <w:r w:rsidR="005723B7">
              <w:rPr>
                <w:spacing w:val="-4"/>
              </w:rPr>
              <w:t> %</w:t>
            </w:r>
            <w:r w:rsidRPr="00F052CB">
              <w:rPr>
                <w:spacing w:val="-4"/>
              </w:rPr>
              <w:t xml:space="preserve"> z loňských 4,1</w:t>
            </w:r>
            <w:r w:rsidR="005723B7">
              <w:rPr>
                <w:spacing w:val="-4"/>
              </w:rPr>
              <w:t> %</w:t>
            </w:r>
            <w:r w:rsidRPr="00F052CB">
              <w:rPr>
                <w:spacing w:val="-4"/>
              </w:rPr>
              <w:t xml:space="preserve">), naopak v prodeji </w:t>
            </w:r>
            <w:proofErr w:type="spellStart"/>
            <w:r w:rsidRPr="00F052CB">
              <w:rPr>
                <w:spacing w:val="-4"/>
              </w:rPr>
              <w:t>nepotravinářskéh</w:t>
            </w:r>
            <w:r>
              <w:rPr>
                <w:spacing w:val="-4"/>
              </w:rPr>
              <w:t>o</w:t>
            </w:r>
            <w:proofErr w:type="spellEnd"/>
            <w:r>
              <w:rPr>
                <w:spacing w:val="-4"/>
              </w:rPr>
              <w:t xml:space="preserve"> zboží rostlo</w:t>
            </w:r>
            <w:r w:rsidRPr="00F052CB">
              <w:rPr>
                <w:spacing w:val="-4"/>
              </w:rPr>
              <w:t xml:space="preserve"> až na 8,9</w:t>
            </w:r>
            <w:r w:rsidR="005723B7">
              <w:rPr>
                <w:spacing w:val="-4"/>
              </w:rPr>
              <w:t> %</w:t>
            </w:r>
            <w:r w:rsidRPr="00F052CB">
              <w:rPr>
                <w:spacing w:val="-4"/>
              </w:rPr>
              <w:t xml:space="preserve"> </w:t>
            </w:r>
            <w:r>
              <w:rPr>
                <w:spacing w:val="-4"/>
              </w:rPr>
              <w:t>(nejvyšší meziroční hodnota za posledních deset let). Posílil hlavně maloobchod s </w:t>
            </w:r>
            <w:r w:rsidRPr="00C20A0D">
              <w:rPr>
                <w:spacing w:val="-4"/>
              </w:rPr>
              <w:t>odě</w:t>
            </w:r>
            <w:r>
              <w:rPr>
                <w:spacing w:val="-4"/>
              </w:rPr>
              <w:t>vy, obuví a </w:t>
            </w:r>
            <w:r w:rsidRPr="00C20A0D">
              <w:rPr>
                <w:spacing w:val="-4"/>
              </w:rPr>
              <w:t>koženým zbožím</w:t>
            </w:r>
            <w:r>
              <w:rPr>
                <w:spacing w:val="-4"/>
              </w:rPr>
              <w:t xml:space="preserve"> (11,3</w:t>
            </w:r>
            <w:r w:rsidR="005723B7">
              <w:rPr>
                <w:spacing w:val="-4"/>
              </w:rPr>
              <w:t> %</w:t>
            </w:r>
            <w:r>
              <w:rPr>
                <w:spacing w:val="-4"/>
              </w:rPr>
              <w:t>), dařilo se i výrobkům pro kulturu a </w:t>
            </w:r>
            <w:r w:rsidRPr="00C20A0D">
              <w:rPr>
                <w:spacing w:val="-4"/>
              </w:rPr>
              <w:t>rekreaci</w:t>
            </w:r>
            <w:r>
              <w:rPr>
                <w:spacing w:val="-4"/>
              </w:rPr>
              <w:t>. Po loňské stagnaci se obnovil silný růst poptávky po počítačových a komunikačních zařízeních. Tržb</w:t>
            </w:r>
            <w:r w:rsidRPr="00D94263">
              <w:rPr>
                <w:color w:val="0D0D0D" w:themeColor="text1" w:themeTint="F2"/>
                <w:spacing w:val="-4"/>
              </w:rPr>
              <w:t>y internetových prodejců rostly o 23,4</w:t>
            </w:r>
            <w:r w:rsidR="005723B7">
              <w:rPr>
                <w:color w:val="0D0D0D" w:themeColor="text1" w:themeTint="F2"/>
                <w:spacing w:val="-4"/>
              </w:rPr>
              <w:t> %</w:t>
            </w:r>
            <w:r w:rsidRPr="00D94263">
              <w:rPr>
                <w:color w:val="0D0D0D" w:themeColor="text1" w:themeTint="F2"/>
                <w:spacing w:val="-4"/>
              </w:rPr>
              <w:t>, podobnými tempy se vyvíjely již pátý rok v řadě. Celkové maloobchodní tržby rostly v ČR od počátku roku více než dvojnásobným tempem nežli v EU (+2,8</w:t>
            </w:r>
            <w:r w:rsidR="005723B7">
              <w:rPr>
                <w:color w:val="0D0D0D" w:themeColor="text1" w:themeTint="F2"/>
                <w:spacing w:val="-4"/>
              </w:rPr>
              <w:t> %</w:t>
            </w:r>
            <w:r w:rsidRPr="00D94263">
              <w:rPr>
                <w:color w:val="0D0D0D" w:themeColor="text1" w:themeTint="F2"/>
                <w:spacing w:val="-4"/>
              </w:rPr>
              <w:t>).</w:t>
            </w:r>
            <w:r>
              <w:rPr>
                <w:color w:val="0D0D0D" w:themeColor="text1" w:themeTint="F2"/>
                <w:spacing w:val="-4"/>
              </w:rPr>
              <w:t xml:space="preserve"> Podobně jako v loňském roce zaznamenaly silnější tempa jen čtyři státy</w:t>
            </w:r>
            <w:r w:rsidR="00BD3F01">
              <w:rPr>
                <w:color w:val="0D0D0D" w:themeColor="text1" w:themeTint="F2"/>
                <w:spacing w:val="-4"/>
              </w:rPr>
              <w:t> </w:t>
            </w:r>
            <w:r>
              <w:rPr>
                <w:color w:val="0D0D0D" w:themeColor="text1" w:themeTint="F2"/>
                <w:spacing w:val="-4"/>
              </w:rPr>
              <w:t>EU. Těžiště růstu maloobchodu v EU bylo vyjma Irska soustředěno výhradně do novějších členských států. Z velkých ekonomik se nejvíce dařilo Francii (+3,8</w:t>
            </w:r>
            <w:r w:rsidR="005723B7">
              <w:rPr>
                <w:color w:val="0D0D0D" w:themeColor="text1" w:themeTint="F2"/>
                <w:spacing w:val="-4"/>
              </w:rPr>
              <w:t> %</w:t>
            </w:r>
            <w:r w:rsidR="00180C39">
              <w:rPr>
                <w:color w:val="0D0D0D" w:themeColor="text1" w:themeTint="F2"/>
                <w:spacing w:val="-4"/>
              </w:rPr>
              <w:t>) a Německu (+3,4</w:t>
            </w:r>
            <w:r w:rsidR="005723B7">
              <w:rPr>
                <w:color w:val="0D0D0D" w:themeColor="text1" w:themeTint="F2"/>
                <w:spacing w:val="-4"/>
              </w:rPr>
              <w:t> %</w:t>
            </w:r>
            <w:r>
              <w:rPr>
                <w:color w:val="0D0D0D" w:themeColor="text1" w:themeTint="F2"/>
                <w:spacing w:val="-4"/>
              </w:rPr>
              <w:t>). Slabou dynamiku si naopak v letošním (i loňském) roce udržovala Itálie.</w:t>
            </w:r>
          </w:p>
        </w:tc>
      </w:tr>
    </w:tbl>
    <w:p w:rsidR="00654093" w:rsidRPr="005C419C" w:rsidRDefault="00654093" w:rsidP="00654093">
      <w:pPr>
        <w:pStyle w:val="Textpoznpodarou"/>
        <w:jc w:val="both"/>
        <w:rPr>
          <w:sz w:val="2"/>
          <w:szCs w:val="2"/>
        </w:rPr>
      </w:pPr>
    </w:p>
    <w:p w:rsidR="00813CB4" w:rsidRPr="00654093" w:rsidRDefault="00813CB4" w:rsidP="00492991">
      <w:pPr>
        <w:pStyle w:val="Textpoznpodarou"/>
        <w:jc w:val="both"/>
        <w:rPr>
          <w:sz w:val="2"/>
          <w:szCs w:val="2"/>
        </w:rPr>
      </w:pPr>
    </w:p>
    <w:sectPr w:rsidR="00813CB4" w:rsidRPr="00654093" w:rsidSect="00E8484F">
      <w:headerReference w:type="even" r:id="rId13"/>
      <w:headerReference w:type="default" r:id="rId14"/>
      <w:footerReference w:type="even" r:id="rId15"/>
      <w:footerReference w:type="default" r:id="rId16"/>
      <w:type w:val="continuous"/>
      <w:pgSz w:w="11906" w:h="16838" w:code="9"/>
      <w:pgMar w:top="1134" w:right="1134" w:bottom="1418" w:left="1134" w:header="680" w:footer="680" w:gutter="0"/>
      <w:pgNumType w:start="9"/>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BF40B" w15:done="0"/>
  <w15:commentEx w15:paraId="16C4E902" w15:done="0"/>
  <w15:commentEx w15:paraId="77D26CEC" w15:done="0"/>
  <w15:commentEx w15:paraId="5E0FE7F5" w15:done="0"/>
  <w15:commentEx w15:paraId="4A572DBB" w15:done="0"/>
  <w15:commentEx w15:paraId="51697760" w15:done="0"/>
  <w15:commentEx w15:paraId="5ED29711" w15:done="0"/>
  <w15:commentEx w15:paraId="526810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BF40B" w16cid:durableId="1DDEACCD"/>
  <w16cid:commentId w16cid:paraId="16C4E902" w16cid:durableId="1DDF6F04"/>
  <w16cid:commentId w16cid:paraId="77D26CEC" w16cid:durableId="1DDF596E"/>
  <w16cid:commentId w16cid:paraId="5E0FE7F5" w16cid:durableId="1DDF7C4B"/>
  <w16cid:commentId w16cid:paraId="4A572DBB" w16cid:durableId="1DDF8DFA"/>
  <w16cid:commentId w16cid:paraId="51697760" w16cid:durableId="1DDFC45F"/>
  <w16cid:commentId w16cid:paraId="5ED29711" w16cid:durableId="1DDFC9D1"/>
  <w16cid:commentId w16cid:paraId="52681086" w16cid:durableId="1DDFCB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28" w:rsidRDefault="00E34E28" w:rsidP="00E71A58">
      <w:r>
        <w:separator/>
      </w:r>
    </w:p>
  </w:endnote>
  <w:endnote w:type="continuationSeparator" w:id="0">
    <w:p w:rsidR="00E34E28" w:rsidRDefault="00E34E28"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Default="004A6717"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EC6D4B" w:rsidRPr="005A21E0">
      <w:rPr>
        <w:rFonts w:ascii="Arial" w:hAnsi="Arial" w:cs="Arial"/>
        <w:sz w:val="16"/>
        <w:szCs w:val="16"/>
      </w:rPr>
      <w:fldChar w:fldCharType="begin"/>
    </w:r>
    <w:r w:rsidRPr="005A21E0">
      <w:rPr>
        <w:rFonts w:ascii="Arial" w:hAnsi="Arial" w:cs="Arial"/>
        <w:sz w:val="16"/>
        <w:szCs w:val="16"/>
      </w:rPr>
      <w:instrText>PAGE   \* MERGEFORMAT</w:instrText>
    </w:r>
    <w:r w:rsidR="00EC6D4B" w:rsidRPr="005A21E0">
      <w:rPr>
        <w:rFonts w:ascii="Arial" w:hAnsi="Arial" w:cs="Arial"/>
        <w:sz w:val="16"/>
        <w:szCs w:val="16"/>
      </w:rPr>
      <w:fldChar w:fldCharType="separate"/>
    </w:r>
    <w:r w:rsidR="00E8484F">
      <w:rPr>
        <w:rFonts w:ascii="Arial" w:hAnsi="Arial" w:cs="Arial"/>
        <w:noProof/>
        <w:sz w:val="16"/>
        <w:szCs w:val="16"/>
      </w:rPr>
      <w:t>10</w:t>
    </w:r>
    <w:r w:rsidR="00EC6D4B"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Default="004A6717"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4A6717" w:rsidRPr="00223E00" w:rsidRDefault="004A6717"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EC6D4B"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EC6D4B" w:rsidRPr="00223E00">
      <w:rPr>
        <w:rFonts w:ascii="Arial" w:hAnsi="Arial" w:cs="Arial"/>
        <w:sz w:val="16"/>
        <w:szCs w:val="16"/>
      </w:rPr>
      <w:fldChar w:fldCharType="separate"/>
    </w:r>
    <w:r w:rsidR="00E8484F">
      <w:rPr>
        <w:rFonts w:ascii="Arial" w:hAnsi="Arial" w:cs="Arial"/>
        <w:noProof/>
        <w:sz w:val="16"/>
        <w:szCs w:val="16"/>
      </w:rPr>
      <w:t>9</w:t>
    </w:r>
    <w:r w:rsidR="00EC6D4B"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28" w:rsidRDefault="00E34E28" w:rsidP="00E71A58">
      <w:r>
        <w:separator/>
      </w:r>
    </w:p>
  </w:footnote>
  <w:footnote w:type="continuationSeparator" w:id="0">
    <w:p w:rsidR="00E34E28" w:rsidRDefault="00E34E28" w:rsidP="00E71A58">
      <w:r>
        <w:continuationSeparator/>
      </w:r>
    </w:p>
  </w:footnote>
  <w:footnote w:id="1">
    <w:p w:rsidR="004A6717" w:rsidRPr="00670182" w:rsidRDefault="004A6717" w:rsidP="005C419C">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Údaje o HPH jsou vyjádřeny ve stálých cenách a v očištění o sezónní a kalendářní vlivy.</w:t>
      </w:r>
    </w:p>
  </w:footnote>
  <w:footnote w:id="2">
    <w:p w:rsidR="004A6717" w:rsidRPr="00670182" w:rsidRDefault="004A6717" w:rsidP="005C419C">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Pr>
          <w:color w:val="0D0D0D" w:themeColor="text1" w:themeTint="F2"/>
          <w:spacing w:val="-2"/>
          <w:sz w:val="16"/>
          <w:szCs w:val="16"/>
        </w:rPr>
        <w:t xml:space="preserve"> Zahrnutá odvětví: těžba a dobývání, zpracovatelský průmysl, e</w:t>
      </w:r>
      <w:r w:rsidRPr="00670182">
        <w:rPr>
          <w:color w:val="0D0D0D" w:themeColor="text1" w:themeTint="F2"/>
          <w:spacing w:val="-2"/>
          <w:sz w:val="16"/>
          <w:szCs w:val="16"/>
        </w:rPr>
        <w:t>nergetika. Všechna meziroční tempa produkce (na úrovni odvětvových sekcí i oddílů) jsou očištěna o kalendářní vlivy.</w:t>
      </w:r>
    </w:p>
  </w:footnote>
  <w:footnote w:id="3">
    <w:p w:rsidR="004A6717" w:rsidRPr="00D629B0" w:rsidRDefault="004A6717" w:rsidP="005C419C">
      <w:pPr>
        <w:pStyle w:val="Textpoznpodarou"/>
        <w:jc w:val="both"/>
        <w:rPr>
          <w:spacing w:val="-2"/>
          <w:sz w:val="16"/>
          <w:szCs w:val="16"/>
        </w:rPr>
      </w:pPr>
      <w:r w:rsidRPr="00D629B0">
        <w:rPr>
          <w:rStyle w:val="Znakapoznpodarou"/>
          <w:spacing w:val="-2"/>
          <w:sz w:val="16"/>
          <w:szCs w:val="16"/>
        </w:rPr>
        <w:footnoteRef/>
      </w:r>
      <w:r w:rsidRPr="00D629B0">
        <w:rPr>
          <w:spacing w:val="-2"/>
          <w:sz w:val="16"/>
          <w:szCs w:val="16"/>
        </w:rPr>
        <w:t xml:space="preserve"> V </w:t>
      </w:r>
      <w:proofErr w:type="spellStart"/>
      <w:r w:rsidRPr="00D629B0">
        <w:rPr>
          <w:spacing w:val="-2"/>
          <w:sz w:val="16"/>
          <w:szCs w:val="16"/>
        </w:rPr>
        <w:t>mezičtvrtletním</w:t>
      </w:r>
      <w:proofErr w:type="spellEnd"/>
      <w:r w:rsidRPr="00D629B0">
        <w:rPr>
          <w:spacing w:val="-2"/>
          <w:sz w:val="16"/>
          <w:szCs w:val="16"/>
        </w:rPr>
        <w:t xml:space="preserve"> vyjádření průmyslová produkce po silných růstech v první polovině roku (+3,2</w:t>
      </w:r>
      <w:r>
        <w:rPr>
          <w:spacing w:val="-2"/>
          <w:sz w:val="16"/>
          <w:szCs w:val="16"/>
        </w:rPr>
        <w:t> %</w:t>
      </w:r>
      <w:r w:rsidRPr="00D629B0">
        <w:rPr>
          <w:spacing w:val="-2"/>
          <w:sz w:val="16"/>
          <w:szCs w:val="16"/>
        </w:rPr>
        <w:t>, +1,8</w:t>
      </w:r>
      <w:r>
        <w:rPr>
          <w:spacing w:val="-2"/>
          <w:sz w:val="16"/>
          <w:szCs w:val="16"/>
        </w:rPr>
        <w:t> %</w:t>
      </w:r>
      <w:r w:rsidRPr="00D629B0">
        <w:rPr>
          <w:spacing w:val="-2"/>
          <w:sz w:val="16"/>
          <w:szCs w:val="16"/>
        </w:rPr>
        <w:t>) ve 3</w:t>
      </w:r>
      <w:r>
        <w:rPr>
          <w:spacing w:val="-2"/>
          <w:sz w:val="16"/>
          <w:szCs w:val="16"/>
        </w:rPr>
        <w:t>. čtvrtletí</w:t>
      </w:r>
      <w:r w:rsidRPr="00D629B0">
        <w:rPr>
          <w:spacing w:val="-2"/>
          <w:sz w:val="16"/>
          <w:szCs w:val="16"/>
        </w:rPr>
        <w:t xml:space="preserve"> citelně </w:t>
      </w:r>
      <w:proofErr w:type="gramStart"/>
      <w:r w:rsidRPr="00D629B0">
        <w:rPr>
          <w:spacing w:val="-2"/>
          <w:sz w:val="16"/>
          <w:szCs w:val="16"/>
        </w:rPr>
        <w:t>zpomalila (</w:t>
      </w:r>
      <w:r>
        <w:rPr>
          <w:spacing w:val="-2"/>
          <w:sz w:val="16"/>
          <w:szCs w:val="16"/>
        </w:rPr>
        <w:t>–</w:t>
      </w:r>
      <w:r w:rsidRPr="00D629B0">
        <w:rPr>
          <w:spacing w:val="-2"/>
          <w:sz w:val="16"/>
          <w:szCs w:val="16"/>
        </w:rPr>
        <w:t>2,6</w:t>
      </w:r>
      <w:proofErr w:type="gramEnd"/>
      <w:r>
        <w:rPr>
          <w:spacing w:val="-2"/>
          <w:sz w:val="16"/>
          <w:szCs w:val="16"/>
        </w:rPr>
        <w:t> %</w:t>
      </w:r>
      <w:r w:rsidRPr="00D629B0">
        <w:rPr>
          <w:spacing w:val="-2"/>
          <w:sz w:val="16"/>
          <w:szCs w:val="16"/>
        </w:rPr>
        <w:t>). Obdobný průběh se ale vyskytl i v</w:t>
      </w:r>
      <w:r>
        <w:rPr>
          <w:spacing w:val="-2"/>
          <w:sz w:val="16"/>
          <w:szCs w:val="16"/>
        </w:rPr>
        <w:t xml:space="preserve"> rámci </w:t>
      </w:r>
      <w:r w:rsidRPr="00D629B0">
        <w:rPr>
          <w:spacing w:val="-2"/>
          <w:sz w:val="16"/>
          <w:szCs w:val="16"/>
        </w:rPr>
        <w:t xml:space="preserve">předchozích </w:t>
      </w:r>
      <w:r>
        <w:rPr>
          <w:spacing w:val="-2"/>
          <w:sz w:val="16"/>
          <w:szCs w:val="16"/>
        </w:rPr>
        <w:t>tří</w:t>
      </w:r>
      <w:r w:rsidRPr="00D629B0">
        <w:rPr>
          <w:spacing w:val="-2"/>
          <w:sz w:val="16"/>
          <w:szCs w:val="16"/>
        </w:rPr>
        <w:t xml:space="preserve"> </w:t>
      </w:r>
      <w:r>
        <w:rPr>
          <w:spacing w:val="-2"/>
          <w:sz w:val="16"/>
          <w:szCs w:val="16"/>
        </w:rPr>
        <w:t>let</w:t>
      </w:r>
      <w:r w:rsidRPr="00D629B0">
        <w:rPr>
          <w:spacing w:val="-2"/>
          <w:sz w:val="16"/>
          <w:szCs w:val="16"/>
        </w:rPr>
        <w:t xml:space="preserve"> a na meziroční dynamiku tak měl jen okrajový vliv. V samotném automobilovém průmyslu se tato skutečnost tak výrazně neprojevila</w:t>
      </w:r>
      <w:r>
        <w:rPr>
          <w:spacing w:val="-2"/>
          <w:sz w:val="16"/>
          <w:szCs w:val="16"/>
        </w:rPr>
        <w:t>,</w:t>
      </w:r>
      <w:r w:rsidRPr="00D629B0">
        <w:rPr>
          <w:spacing w:val="-2"/>
          <w:sz w:val="16"/>
          <w:szCs w:val="16"/>
        </w:rPr>
        <w:t xml:space="preserve"> a toto odvětví tak vykazovalo nepřetržitý růst již třináct </w:t>
      </w:r>
      <w:r>
        <w:rPr>
          <w:spacing w:val="-2"/>
          <w:sz w:val="16"/>
          <w:szCs w:val="16"/>
        </w:rPr>
        <w:t>čtvrtletí</w:t>
      </w:r>
      <w:r w:rsidRPr="00D629B0">
        <w:rPr>
          <w:spacing w:val="-2"/>
          <w:sz w:val="16"/>
          <w:szCs w:val="16"/>
        </w:rPr>
        <w:t xml:space="preserve"> v řadě.</w:t>
      </w:r>
    </w:p>
  </w:footnote>
  <w:footnote w:id="4">
    <w:p w:rsidR="004A6717" w:rsidRPr="00EC671E" w:rsidRDefault="004A6717" w:rsidP="005C419C">
      <w:pPr>
        <w:pStyle w:val="Textpoznpodarou"/>
        <w:jc w:val="both"/>
        <w:rPr>
          <w:color w:val="0D0D0D" w:themeColor="text1" w:themeTint="F2"/>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Podle údajů Sdružení automobilového průmyslu bylo v</w:t>
      </w:r>
      <w:r>
        <w:rPr>
          <w:color w:val="0D0D0D" w:themeColor="text1" w:themeTint="F2"/>
          <w:sz w:val="16"/>
          <w:szCs w:val="16"/>
        </w:rPr>
        <w:t> </w:t>
      </w:r>
      <w:r w:rsidRPr="00EC671E">
        <w:rPr>
          <w:color w:val="0D0D0D" w:themeColor="text1" w:themeTint="F2"/>
          <w:sz w:val="16"/>
          <w:szCs w:val="16"/>
        </w:rPr>
        <w:t>Česku</w:t>
      </w:r>
      <w:r>
        <w:rPr>
          <w:color w:val="0D0D0D" w:themeColor="text1" w:themeTint="F2"/>
          <w:sz w:val="16"/>
          <w:szCs w:val="16"/>
        </w:rPr>
        <w:t xml:space="preserve"> od ledna do října roku 2017 vyrobeno 1 173</w:t>
      </w:r>
      <w:r w:rsidRPr="00EC671E">
        <w:rPr>
          <w:color w:val="0D0D0D" w:themeColor="text1" w:themeTint="F2"/>
          <w:sz w:val="16"/>
          <w:szCs w:val="16"/>
        </w:rPr>
        <w:t xml:space="preserve"> tis. oso</w:t>
      </w:r>
      <w:r>
        <w:rPr>
          <w:color w:val="0D0D0D" w:themeColor="text1" w:themeTint="F2"/>
          <w:sz w:val="16"/>
          <w:szCs w:val="16"/>
        </w:rPr>
        <w:t>bních automobilů, meziročně o 4,4 % více. Dařilo se i většině</w:t>
      </w:r>
      <w:r w:rsidRPr="00EC671E">
        <w:rPr>
          <w:color w:val="0D0D0D" w:themeColor="text1" w:themeTint="F2"/>
          <w:sz w:val="16"/>
          <w:szCs w:val="16"/>
        </w:rPr>
        <w:t xml:space="preserve"> výrobců ostatních druhů motorových vozidel.</w:t>
      </w:r>
    </w:p>
  </w:footnote>
  <w:footnote w:id="5">
    <w:p w:rsidR="004A6717" w:rsidRPr="006D2A22" w:rsidRDefault="004A6717" w:rsidP="005C419C">
      <w:pPr>
        <w:pStyle w:val="Textpoznpodarou"/>
        <w:rPr>
          <w:sz w:val="16"/>
          <w:szCs w:val="16"/>
        </w:rPr>
      </w:pPr>
      <w:r w:rsidRPr="006D2A22">
        <w:rPr>
          <w:rStyle w:val="Znakapoznpodarou"/>
          <w:sz w:val="16"/>
          <w:szCs w:val="16"/>
        </w:rPr>
        <w:footnoteRef/>
      </w:r>
      <w:r w:rsidRPr="006D2A22">
        <w:rPr>
          <w:sz w:val="16"/>
          <w:szCs w:val="16"/>
        </w:rPr>
        <w:t xml:space="preserve"> Produkce v chemickém průmyslu překonala úroveň před haváriemi (2</w:t>
      </w:r>
      <w:r>
        <w:rPr>
          <w:sz w:val="16"/>
          <w:szCs w:val="16"/>
        </w:rPr>
        <w:t>. čtvrtletí</w:t>
      </w:r>
      <w:r w:rsidRPr="006D2A22">
        <w:rPr>
          <w:sz w:val="16"/>
          <w:szCs w:val="16"/>
        </w:rPr>
        <w:t xml:space="preserve"> 2015) již na počátku roku 2017.</w:t>
      </w:r>
    </w:p>
  </w:footnote>
  <w:footnote w:id="6">
    <w:p w:rsidR="004A6717" w:rsidRPr="009C4BF8" w:rsidRDefault="004A6717" w:rsidP="005C419C">
      <w:pPr>
        <w:pStyle w:val="Textpoznpodarou"/>
        <w:jc w:val="both"/>
        <w:rPr>
          <w:sz w:val="16"/>
          <w:szCs w:val="16"/>
        </w:rPr>
      </w:pPr>
      <w:r w:rsidRPr="009C4BF8">
        <w:rPr>
          <w:rStyle w:val="Znakapoznpodarou"/>
          <w:sz w:val="16"/>
          <w:szCs w:val="16"/>
        </w:rPr>
        <w:footnoteRef/>
      </w:r>
      <w:r w:rsidRPr="009C4BF8">
        <w:rPr>
          <w:sz w:val="16"/>
          <w:szCs w:val="16"/>
        </w:rPr>
        <w:t xml:space="preserve"> Podílel se na tom především vysoký meziroční růst výroby elektřiny v září (+23</w:t>
      </w:r>
      <w:r>
        <w:rPr>
          <w:sz w:val="16"/>
          <w:szCs w:val="16"/>
        </w:rPr>
        <w:t> %</w:t>
      </w:r>
      <w:r w:rsidRPr="009C4BF8">
        <w:rPr>
          <w:sz w:val="16"/>
          <w:szCs w:val="16"/>
        </w:rPr>
        <w:t>). Ve 3</w:t>
      </w:r>
      <w:r>
        <w:rPr>
          <w:sz w:val="16"/>
          <w:szCs w:val="16"/>
        </w:rPr>
        <w:t>. čtvrtletí</w:t>
      </w:r>
      <w:r w:rsidRPr="009C4BF8">
        <w:rPr>
          <w:sz w:val="16"/>
          <w:szCs w:val="16"/>
        </w:rPr>
        <w:t xml:space="preserve"> 2017 posílila dle údajů Energetického regulačního úřadu celková výroba elektřiny</w:t>
      </w:r>
      <w:r>
        <w:rPr>
          <w:sz w:val="16"/>
          <w:szCs w:val="16"/>
        </w:rPr>
        <w:t xml:space="preserve"> v ČR</w:t>
      </w:r>
      <w:r w:rsidRPr="009C4BF8">
        <w:rPr>
          <w:sz w:val="16"/>
          <w:szCs w:val="16"/>
        </w:rPr>
        <w:t xml:space="preserve"> o 6</w:t>
      </w:r>
      <w:r>
        <w:rPr>
          <w:sz w:val="16"/>
          <w:szCs w:val="16"/>
        </w:rPr>
        <w:t> %</w:t>
      </w:r>
      <w:r w:rsidRPr="009C4BF8">
        <w:rPr>
          <w:sz w:val="16"/>
          <w:szCs w:val="16"/>
        </w:rPr>
        <w:t>, z toho v jaderných elektrárnách o 49</w:t>
      </w:r>
      <w:r>
        <w:rPr>
          <w:sz w:val="16"/>
          <w:szCs w:val="16"/>
        </w:rPr>
        <w:t> %</w:t>
      </w:r>
      <w:r w:rsidRPr="009C4BF8">
        <w:rPr>
          <w:sz w:val="16"/>
          <w:szCs w:val="16"/>
        </w:rPr>
        <w:t>.</w:t>
      </w:r>
    </w:p>
  </w:footnote>
  <w:footnote w:id="7">
    <w:p w:rsidR="004A6717" w:rsidRPr="00C82C44" w:rsidRDefault="004A6717" w:rsidP="005C419C">
      <w:pPr>
        <w:pStyle w:val="Textpoznpodarou"/>
        <w:jc w:val="both"/>
        <w:rPr>
          <w:spacing w:val="-3"/>
          <w:sz w:val="16"/>
          <w:szCs w:val="16"/>
        </w:rPr>
      </w:pPr>
      <w:r w:rsidRPr="00C82C44">
        <w:rPr>
          <w:rStyle w:val="Znakapoznpodarou"/>
          <w:spacing w:val="-3"/>
          <w:sz w:val="16"/>
          <w:szCs w:val="16"/>
        </w:rPr>
        <w:footnoteRef/>
      </w:r>
      <w:r w:rsidRPr="00C82C44">
        <w:rPr>
          <w:spacing w:val="-3"/>
          <w:sz w:val="16"/>
          <w:szCs w:val="16"/>
        </w:rPr>
        <w:t xml:space="preserve"> Dlouhodobě ale toto odvětví patří v rámci průmyslu k nejdynamičtějším. Za posledních devět let (resp. oproti konci konjunktury minulé dekády) se jeho produkce reálně zvýšila o 49</w:t>
      </w:r>
      <w:r>
        <w:rPr>
          <w:spacing w:val="-3"/>
          <w:sz w:val="16"/>
          <w:szCs w:val="16"/>
        </w:rPr>
        <w:t> %</w:t>
      </w:r>
      <w:r w:rsidRPr="00C82C44">
        <w:rPr>
          <w:spacing w:val="-3"/>
          <w:sz w:val="16"/>
          <w:szCs w:val="16"/>
        </w:rPr>
        <w:t>. Ve výrobě motorových vozidel se navýšila téměř na dvojnásobek, v celém průmyslu o 15</w:t>
      </w:r>
      <w:r>
        <w:rPr>
          <w:spacing w:val="-3"/>
          <w:sz w:val="16"/>
          <w:szCs w:val="16"/>
        </w:rPr>
        <w:t> %</w:t>
      </w:r>
      <w:r w:rsidRPr="00C82C44">
        <w:rPr>
          <w:spacing w:val="-3"/>
          <w:sz w:val="16"/>
          <w:szCs w:val="16"/>
        </w:rPr>
        <w:t>. Zhruba polovina (především menších) průmyslových oborů za touto úrovní stále zaostávala (především těžba a dobývání – o 33</w:t>
      </w:r>
      <w:r>
        <w:rPr>
          <w:spacing w:val="-3"/>
          <w:sz w:val="16"/>
          <w:szCs w:val="16"/>
        </w:rPr>
        <w:t> %</w:t>
      </w:r>
      <w:r w:rsidRPr="00C82C44">
        <w:rPr>
          <w:spacing w:val="-3"/>
          <w:sz w:val="16"/>
          <w:szCs w:val="16"/>
        </w:rPr>
        <w:t>).</w:t>
      </w:r>
    </w:p>
  </w:footnote>
  <w:footnote w:id="8">
    <w:p w:rsidR="004A6717" w:rsidRPr="00C82C44" w:rsidRDefault="004A6717" w:rsidP="005C419C">
      <w:pPr>
        <w:pStyle w:val="Textpoznpodarou"/>
        <w:jc w:val="both"/>
        <w:rPr>
          <w:spacing w:val="-2"/>
          <w:sz w:val="16"/>
          <w:szCs w:val="16"/>
        </w:rPr>
      </w:pPr>
      <w:r w:rsidRPr="00C82C44">
        <w:rPr>
          <w:rStyle w:val="Znakapoznpodarou"/>
          <w:spacing w:val="-2"/>
          <w:sz w:val="16"/>
          <w:szCs w:val="16"/>
        </w:rPr>
        <w:footnoteRef/>
      </w:r>
      <w:r w:rsidRPr="00C82C44">
        <w:rPr>
          <w:spacing w:val="-2"/>
          <w:sz w:val="16"/>
          <w:szCs w:val="16"/>
        </w:rPr>
        <w:t xml:space="preserve"> V odvětvovém oddíle ostatní těžba a dobývání (zahrnující</w:t>
      </w:r>
      <w:r>
        <w:rPr>
          <w:spacing w:val="-2"/>
          <w:sz w:val="16"/>
          <w:szCs w:val="16"/>
        </w:rPr>
        <w:t>m</w:t>
      </w:r>
      <w:r w:rsidRPr="00C82C44">
        <w:rPr>
          <w:spacing w:val="-2"/>
          <w:sz w:val="16"/>
          <w:szCs w:val="16"/>
        </w:rPr>
        <w:t xml:space="preserve"> např. dobývání kamene, písků a jílů) produkce i zaměstna</w:t>
      </w:r>
      <w:r>
        <w:rPr>
          <w:spacing w:val="-2"/>
          <w:sz w:val="16"/>
          <w:szCs w:val="16"/>
        </w:rPr>
        <w:t>nos</w:t>
      </w:r>
      <w:r w:rsidRPr="00C82C44">
        <w:rPr>
          <w:spacing w:val="-2"/>
          <w:sz w:val="16"/>
          <w:szCs w:val="16"/>
        </w:rPr>
        <w:t>t naopak mírně rostly. Na celkové produkci v těžbě a dobývání se však tento oddíl v roce 2016 podílel (dle údajů národních účtů) pouze čtvrtinou.</w:t>
      </w:r>
    </w:p>
  </w:footnote>
  <w:footnote w:id="9">
    <w:p w:rsidR="004A6717" w:rsidRPr="00745B8B" w:rsidRDefault="004A6717" w:rsidP="005C419C">
      <w:pPr>
        <w:pStyle w:val="Textpoznpodarou"/>
        <w:jc w:val="both"/>
        <w:rPr>
          <w:sz w:val="16"/>
          <w:szCs w:val="16"/>
        </w:rPr>
      </w:pPr>
      <w:r w:rsidRPr="00745B8B">
        <w:rPr>
          <w:rStyle w:val="Znakapoznpodarou"/>
          <w:sz w:val="16"/>
          <w:szCs w:val="16"/>
        </w:rPr>
        <w:footnoteRef/>
      </w:r>
      <w:r w:rsidRPr="00745B8B">
        <w:rPr>
          <w:sz w:val="16"/>
          <w:szCs w:val="16"/>
        </w:rPr>
        <w:t xml:space="preserve"> </w:t>
      </w:r>
      <w:r w:rsidRPr="00745B8B">
        <w:rPr>
          <w:color w:val="000000" w:themeColor="text1"/>
          <w:spacing w:val="-4"/>
          <w:sz w:val="16"/>
          <w:szCs w:val="16"/>
        </w:rPr>
        <w:t>Tento jev je vzhledem k silné a stále posilující exportní orientaci průmyslu v ČR poměrně vzácný. Naposledy se v podobném rozsahu vyskytl ve 2</w:t>
      </w:r>
      <w:r>
        <w:rPr>
          <w:color w:val="000000" w:themeColor="text1"/>
          <w:spacing w:val="-4"/>
          <w:sz w:val="16"/>
          <w:szCs w:val="16"/>
        </w:rPr>
        <w:t>. čtvrtletí</w:t>
      </w:r>
      <w:r w:rsidRPr="00745B8B">
        <w:rPr>
          <w:color w:val="000000" w:themeColor="text1"/>
          <w:spacing w:val="-4"/>
          <w:sz w:val="16"/>
          <w:szCs w:val="16"/>
        </w:rPr>
        <w:t xml:space="preserve"> 2009.</w:t>
      </w:r>
    </w:p>
  </w:footnote>
  <w:footnote w:id="10">
    <w:p w:rsidR="004A6717" w:rsidRPr="00EC671E" w:rsidRDefault="004A6717" w:rsidP="005C419C">
      <w:pPr>
        <w:pStyle w:val="Textpoznpodarou"/>
        <w:jc w:val="both"/>
        <w:rPr>
          <w:rFonts w:cs="Arial"/>
          <w:color w:val="0D0D0D" w:themeColor="text1" w:themeTint="F2"/>
          <w:sz w:val="16"/>
          <w:szCs w:val="16"/>
        </w:rPr>
      </w:pPr>
      <w:r w:rsidRPr="00EC671E">
        <w:rPr>
          <w:rStyle w:val="Znakapoznpodarou"/>
          <w:rFonts w:cs="Arial"/>
          <w:color w:val="0D0D0D" w:themeColor="text1" w:themeTint="F2"/>
          <w:sz w:val="16"/>
          <w:szCs w:val="16"/>
        </w:rPr>
        <w:footnoteRef/>
      </w:r>
      <w:r w:rsidRPr="00EC671E">
        <w:rPr>
          <w:rFonts w:cs="Arial"/>
          <w:color w:val="0D0D0D" w:themeColor="text1" w:themeTint="F2"/>
          <w:sz w:val="16"/>
          <w:szCs w:val="16"/>
        </w:rPr>
        <w:t xml:space="preserve"> Průmyslové zakázky se sledují pouze ve vybraných oddílech CZ-NACE (13, 14, 17, 20 až 21, 24 až 30), které vyrábějí př</w:t>
      </w:r>
      <w:r>
        <w:rPr>
          <w:rFonts w:cs="Arial"/>
          <w:color w:val="0D0D0D" w:themeColor="text1" w:themeTint="F2"/>
          <w:sz w:val="16"/>
          <w:szCs w:val="16"/>
        </w:rPr>
        <w:t>evážně na zakázku, s del</w:t>
      </w:r>
      <w:r w:rsidRPr="00EC671E">
        <w:rPr>
          <w:rFonts w:cs="Arial"/>
          <w:color w:val="0D0D0D" w:themeColor="text1" w:themeTint="F2"/>
          <w:sz w:val="16"/>
          <w:szCs w:val="16"/>
        </w:rPr>
        <w:t>ším výrobním cyklem a s většími zásobami zakázek.</w:t>
      </w:r>
    </w:p>
  </w:footnote>
  <w:footnote w:id="11">
    <w:p w:rsidR="004A6717" w:rsidRPr="00D85B50" w:rsidRDefault="004A6717" w:rsidP="005C419C">
      <w:pPr>
        <w:pStyle w:val="Textpoznpodarou"/>
        <w:jc w:val="both"/>
        <w:rPr>
          <w:spacing w:val="-4"/>
          <w:sz w:val="16"/>
          <w:szCs w:val="16"/>
        </w:rPr>
      </w:pPr>
      <w:r w:rsidRPr="00D85B50">
        <w:rPr>
          <w:rStyle w:val="Znakapoznpodarou"/>
          <w:color w:val="0D0D0D" w:themeColor="text1" w:themeTint="F2"/>
          <w:spacing w:val="-4"/>
          <w:sz w:val="16"/>
          <w:szCs w:val="16"/>
        </w:rPr>
        <w:footnoteRef/>
      </w:r>
      <w:r w:rsidRPr="00D85B50">
        <w:rPr>
          <w:color w:val="0D0D0D" w:themeColor="text1" w:themeTint="F2"/>
          <w:spacing w:val="-4"/>
          <w:sz w:val="16"/>
          <w:szCs w:val="16"/>
        </w:rPr>
        <w:t xml:space="preserve"> </w:t>
      </w:r>
      <w:r>
        <w:rPr>
          <w:color w:val="0D0D0D" w:themeColor="text1" w:themeTint="F2"/>
          <w:spacing w:val="-4"/>
          <w:sz w:val="16"/>
          <w:szCs w:val="16"/>
        </w:rPr>
        <w:t>Všechny m</w:t>
      </w:r>
      <w:r w:rsidRPr="00D85B50">
        <w:rPr>
          <w:color w:val="0D0D0D" w:themeColor="text1" w:themeTint="F2"/>
          <w:spacing w:val="-4"/>
          <w:sz w:val="16"/>
          <w:szCs w:val="16"/>
        </w:rPr>
        <w:t>eziroční údaje o s</w:t>
      </w:r>
      <w:r>
        <w:rPr>
          <w:color w:val="0D0D0D" w:themeColor="text1" w:themeTint="F2"/>
          <w:spacing w:val="-4"/>
          <w:sz w:val="16"/>
          <w:szCs w:val="16"/>
        </w:rPr>
        <w:t>tavební produkci jsou očištěny</w:t>
      </w:r>
      <w:r w:rsidRPr="00D85B50">
        <w:rPr>
          <w:color w:val="0D0D0D" w:themeColor="text1" w:themeTint="F2"/>
          <w:spacing w:val="-4"/>
          <w:sz w:val="16"/>
          <w:szCs w:val="16"/>
        </w:rPr>
        <w:t xml:space="preserve"> o kalendářní vlivy</w:t>
      </w:r>
      <w:r>
        <w:rPr>
          <w:color w:val="0D0D0D" w:themeColor="text1" w:themeTint="F2"/>
          <w:spacing w:val="-4"/>
          <w:sz w:val="16"/>
          <w:szCs w:val="16"/>
        </w:rPr>
        <w:t>.</w:t>
      </w:r>
    </w:p>
  </w:footnote>
  <w:footnote w:id="12">
    <w:p w:rsidR="004A6717" w:rsidRPr="00720868" w:rsidRDefault="004A6717" w:rsidP="005C419C">
      <w:pPr>
        <w:pStyle w:val="Textpoznpodarou"/>
        <w:rPr>
          <w:sz w:val="16"/>
          <w:szCs w:val="16"/>
        </w:rPr>
      </w:pPr>
      <w:r w:rsidRPr="00720868">
        <w:rPr>
          <w:rStyle w:val="Znakapoznpodarou"/>
          <w:sz w:val="16"/>
          <w:szCs w:val="16"/>
        </w:rPr>
        <w:footnoteRef/>
      </w:r>
      <w:r w:rsidRPr="00720868">
        <w:rPr>
          <w:sz w:val="16"/>
          <w:szCs w:val="16"/>
        </w:rPr>
        <w:t xml:space="preserve"> V této kategorii bylo v 1. až 3</w:t>
      </w:r>
      <w:r>
        <w:rPr>
          <w:sz w:val="16"/>
          <w:szCs w:val="16"/>
        </w:rPr>
        <w:t>. čtvrtletí</w:t>
      </w:r>
      <w:r w:rsidRPr="00720868">
        <w:rPr>
          <w:sz w:val="16"/>
          <w:szCs w:val="16"/>
        </w:rPr>
        <w:t xml:space="preserve"> v celé ČR zahájeno pouze 255 bytů, nejméně ve dvacetileté historii sledování.</w:t>
      </w:r>
    </w:p>
  </w:footnote>
  <w:footnote w:id="13">
    <w:p w:rsidR="004A6717" w:rsidRPr="00A41E54" w:rsidRDefault="004A6717" w:rsidP="005C419C">
      <w:pPr>
        <w:pStyle w:val="Textpoznpodarou"/>
        <w:rPr>
          <w:sz w:val="16"/>
          <w:szCs w:val="16"/>
        </w:rPr>
      </w:pPr>
      <w:r w:rsidRPr="00A41E54">
        <w:rPr>
          <w:rStyle w:val="Znakapoznpodarou"/>
          <w:sz w:val="16"/>
          <w:szCs w:val="16"/>
        </w:rPr>
        <w:footnoteRef/>
      </w:r>
      <w:r w:rsidRPr="00A41E54">
        <w:rPr>
          <w:sz w:val="16"/>
          <w:szCs w:val="16"/>
        </w:rPr>
        <w:t xml:space="preserve"> Údaj zahrnuje pouze stavební podniky s 50 a více zaměstnanci.</w:t>
      </w:r>
    </w:p>
  </w:footnote>
  <w:footnote w:id="14">
    <w:p w:rsidR="004A6717" w:rsidRPr="000340BD" w:rsidRDefault="004A6717" w:rsidP="000340BD">
      <w:pPr>
        <w:spacing w:line="240" w:lineRule="auto"/>
        <w:jc w:val="both"/>
      </w:pPr>
      <w:r w:rsidRPr="004A26AF">
        <w:rPr>
          <w:rStyle w:val="Znakapoznpodarou"/>
          <w:color w:val="0D0D0D" w:themeColor="text1" w:themeTint="F2"/>
          <w:sz w:val="16"/>
          <w:szCs w:val="16"/>
        </w:rPr>
        <w:footnoteRef/>
      </w:r>
      <w:r>
        <w:rPr>
          <w:color w:val="0D0D0D" w:themeColor="text1" w:themeTint="F2"/>
          <w:sz w:val="16"/>
          <w:szCs w:val="16"/>
        </w:rPr>
        <w:t xml:space="preserve"> </w:t>
      </w:r>
      <w:r w:rsidR="000340BD" w:rsidRPr="004A26AF">
        <w:rPr>
          <w:color w:val="0D0D0D" w:themeColor="text1" w:themeTint="F2"/>
          <w:sz w:val="16"/>
          <w:szCs w:val="16"/>
        </w:rPr>
        <w:t>Bez obchodu, peněžnictví, poji</w:t>
      </w:r>
      <w:r w:rsidR="000340BD">
        <w:rPr>
          <w:color w:val="0D0D0D" w:themeColor="text1" w:themeTint="F2"/>
          <w:sz w:val="16"/>
          <w:szCs w:val="16"/>
        </w:rPr>
        <w:t>šťovnictví, vědy, výzkumu a veřejných</w:t>
      </w:r>
      <w:r w:rsidR="000340BD" w:rsidRPr="004A26AF">
        <w:rPr>
          <w:color w:val="0D0D0D" w:themeColor="text1" w:themeTint="F2"/>
          <w:sz w:val="16"/>
          <w:szCs w:val="16"/>
        </w:rPr>
        <w:t xml:space="preserve"> služeb. Všechny údaje za služby jsou</w:t>
      </w:r>
      <w:r w:rsidR="000340BD">
        <w:rPr>
          <w:color w:val="0D0D0D" w:themeColor="text1" w:themeTint="F2"/>
          <w:sz w:val="16"/>
          <w:szCs w:val="16"/>
        </w:rPr>
        <w:t xml:space="preserve"> ve stálých cenách, meziroční údaje jsou</w:t>
      </w:r>
      <w:r w:rsidR="000340BD" w:rsidRPr="004A26AF">
        <w:rPr>
          <w:color w:val="0D0D0D" w:themeColor="text1" w:themeTint="F2"/>
          <w:sz w:val="16"/>
          <w:szCs w:val="16"/>
        </w:rPr>
        <w:t xml:space="preserve"> očištěny o kalendářní vlivy</w:t>
      </w:r>
      <w:r w:rsidR="000340BD">
        <w:rPr>
          <w:color w:val="0D0D0D" w:themeColor="text1" w:themeTint="F2"/>
          <w:sz w:val="16"/>
          <w:szCs w:val="16"/>
        </w:rPr>
        <w:t xml:space="preserve">, </w:t>
      </w:r>
      <w:proofErr w:type="spellStart"/>
      <w:r w:rsidR="000340BD">
        <w:rPr>
          <w:color w:val="0D0D0D" w:themeColor="text1" w:themeTint="F2"/>
          <w:sz w:val="16"/>
          <w:szCs w:val="16"/>
        </w:rPr>
        <w:t>mezičtvrtletní</w:t>
      </w:r>
      <w:proofErr w:type="spellEnd"/>
      <w:r w:rsidR="000340BD">
        <w:rPr>
          <w:color w:val="0D0D0D" w:themeColor="text1" w:themeTint="F2"/>
          <w:sz w:val="16"/>
          <w:szCs w:val="16"/>
        </w:rPr>
        <w:t xml:space="preserve"> jsou očištěny o sezónní vlivy (včetně vlivu počtu pracovních dnů)</w:t>
      </w:r>
      <w:r w:rsidR="000340BD" w:rsidRPr="004A26AF">
        <w:rPr>
          <w:color w:val="0D0D0D" w:themeColor="text1" w:themeTint="F2"/>
          <w:sz w:val="16"/>
          <w:szCs w:val="16"/>
        </w:rPr>
        <w:t>.</w:t>
      </w:r>
    </w:p>
  </w:footnote>
  <w:footnote w:id="15">
    <w:p w:rsidR="004A6717" w:rsidRPr="00B7677D" w:rsidRDefault="004A6717" w:rsidP="005C419C">
      <w:pPr>
        <w:pStyle w:val="Textpoznpodarou"/>
        <w:rPr>
          <w:sz w:val="16"/>
          <w:szCs w:val="16"/>
        </w:rPr>
      </w:pPr>
      <w:r w:rsidRPr="00B7677D">
        <w:rPr>
          <w:rStyle w:val="Znakapoznpodarou"/>
          <w:sz w:val="16"/>
          <w:szCs w:val="16"/>
        </w:rPr>
        <w:footnoteRef/>
      </w:r>
      <w:r w:rsidRPr="00B7677D">
        <w:rPr>
          <w:sz w:val="16"/>
          <w:szCs w:val="16"/>
        </w:rPr>
        <w:t xml:space="preserve"> V</w:t>
      </w:r>
      <w:r>
        <w:rPr>
          <w:sz w:val="16"/>
          <w:szCs w:val="16"/>
        </w:rPr>
        <w:t>e v</w:t>
      </w:r>
      <w:r w:rsidRPr="00B7677D">
        <w:rPr>
          <w:sz w:val="16"/>
          <w:szCs w:val="16"/>
        </w:rPr>
        <w:t>ysok</w:t>
      </w:r>
      <w:r>
        <w:rPr>
          <w:sz w:val="16"/>
          <w:szCs w:val="16"/>
        </w:rPr>
        <w:t>ých</w:t>
      </w:r>
      <w:r w:rsidRPr="00B7677D">
        <w:rPr>
          <w:sz w:val="16"/>
          <w:szCs w:val="16"/>
        </w:rPr>
        <w:t xml:space="preserve"> tempech tržeb v roce 2017</w:t>
      </w:r>
      <w:r>
        <w:rPr>
          <w:sz w:val="16"/>
          <w:szCs w:val="16"/>
        </w:rPr>
        <w:t xml:space="preserve"> se mohl projevit i vliv přesunu některých aktivit z šedé ekonomiky v souvislosti s opatřeními zavedenými v předchozím roce na straně výběru daně.</w:t>
      </w:r>
      <w:r w:rsidRPr="00B7677D">
        <w:rPr>
          <w:sz w:val="16"/>
          <w:szCs w:val="16"/>
        </w:rPr>
        <w:t xml:space="preserve"> </w:t>
      </w:r>
    </w:p>
  </w:footnote>
  <w:footnote w:id="16">
    <w:p w:rsidR="004A6717" w:rsidRPr="00C60CAD" w:rsidRDefault="004A6717" w:rsidP="005C419C">
      <w:pPr>
        <w:pStyle w:val="Textpoznpodarou"/>
        <w:rPr>
          <w:sz w:val="16"/>
          <w:szCs w:val="16"/>
        </w:rPr>
      </w:pPr>
      <w:r w:rsidRPr="00C60CAD">
        <w:rPr>
          <w:rStyle w:val="Znakapoznpodarou"/>
          <w:sz w:val="16"/>
          <w:szCs w:val="16"/>
        </w:rPr>
        <w:footnoteRef/>
      </w:r>
      <w:r w:rsidRPr="00C60CAD">
        <w:rPr>
          <w:sz w:val="16"/>
          <w:szCs w:val="16"/>
        </w:rPr>
        <w:t xml:space="preserve"> Segmentu filmové distribuce se přitom dařilo. Počet návštěvníků kin v ČR vzrostl dle předběžných údajů Unie filmových distributorů za </w:t>
      </w:r>
      <w:r>
        <w:rPr>
          <w:sz w:val="16"/>
          <w:szCs w:val="16"/>
        </w:rPr>
        <w:t>prvních devět měsíců roku</w:t>
      </w:r>
      <w:r w:rsidRPr="00C60CAD">
        <w:rPr>
          <w:sz w:val="16"/>
          <w:szCs w:val="16"/>
        </w:rPr>
        <w:t xml:space="preserve"> </w:t>
      </w:r>
      <w:r>
        <w:rPr>
          <w:sz w:val="16"/>
          <w:szCs w:val="16"/>
        </w:rPr>
        <w:t xml:space="preserve">2017 </w:t>
      </w:r>
      <w:r w:rsidRPr="00C60CAD">
        <w:rPr>
          <w:sz w:val="16"/>
          <w:szCs w:val="16"/>
        </w:rPr>
        <w:t>o téměř 6</w:t>
      </w:r>
      <w:r>
        <w:rPr>
          <w:sz w:val="16"/>
          <w:szCs w:val="16"/>
        </w:rPr>
        <w:t> %</w:t>
      </w:r>
      <w:r w:rsidRPr="00C60CAD">
        <w:rPr>
          <w:sz w:val="16"/>
          <w:szCs w:val="16"/>
        </w:rPr>
        <w:t xml:space="preserve"> (na 11,2 mil. osob).</w:t>
      </w:r>
    </w:p>
  </w:footnote>
  <w:footnote w:id="17">
    <w:p w:rsidR="004A6717" w:rsidRPr="00544A98" w:rsidRDefault="004A6717" w:rsidP="005C419C">
      <w:pPr>
        <w:pStyle w:val="Textpoznpodarou"/>
        <w:rPr>
          <w:sz w:val="16"/>
          <w:szCs w:val="16"/>
        </w:rPr>
      </w:pPr>
      <w:r w:rsidRPr="00544A98">
        <w:rPr>
          <w:rStyle w:val="Znakapoznpodarou"/>
          <w:sz w:val="16"/>
          <w:szCs w:val="16"/>
        </w:rPr>
        <w:footnoteRef/>
      </w:r>
      <w:r w:rsidRPr="00544A98">
        <w:rPr>
          <w:sz w:val="16"/>
          <w:szCs w:val="16"/>
        </w:rPr>
        <w:t xml:space="preserve"> </w:t>
      </w:r>
      <w:r>
        <w:rPr>
          <w:sz w:val="16"/>
          <w:szCs w:val="16"/>
        </w:rPr>
        <w:t>Data nezahrnují motoristický segment</w:t>
      </w:r>
      <w:r w:rsidRPr="00544A98">
        <w:rPr>
          <w:sz w:val="16"/>
          <w:szCs w:val="16"/>
        </w:rPr>
        <w:t>. Údaje o maloobchodu jsou očištěny o kalendářní vlivy ve stálých cenách.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Pr="00C00831" w:rsidRDefault="004A6717"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až 3. čtvrtletí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Pr="0030768C" w:rsidRDefault="004A6717" w:rsidP="0030768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až 3. čtvrtletí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207515"/>
    <w:multiLevelType w:val="hybridMultilevel"/>
    <w:tmpl w:val="F8B61BB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7"/>
  </w:num>
  <w:num w:numId="2">
    <w:abstractNumId w:val="23"/>
  </w:num>
  <w:num w:numId="3">
    <w:abstractNumId w:val="13"/>
  </w:num>
  <w:num w:numId="4">
    <w:abstractNumId w:val="21"/>
  </w:num>
  <w:num w:numId="5">
    <w:abstractNumId w:val="15"/>
  </w:num>
  <w:num w:numId="6">
    <w:abstractNumId w:val="18"/>
  </w:num>
  <w:num w:numId="7">
    <w:abstractNumId w:val="5"/>
  </w:num>
  <w:num w:numId="8">
    <w:abstractNumId w:val="11"/>
  </w:num>
  <w:num w:numId="9">
    <w:abstractNumId w:val="20"/>
  </w:num>
  <w:num w:numId="10">
    <w:abstractNumId w:val="4"/>
  </w:num>
  <w:num w:numId="11">
    <w:abstractNumId w:val="8"/>
  </w:num>
  <w:num w:numId="12">
    <w:abstractNumId w:val="2"/>
  </w:num>
  <w:num w:numId="13">
    <w:abstractNumId w:val="7"/>
  </w:num>
  <w:num w:numId="14">
    <w:abstractNumId w:val="0"/>
  </w:num>
  <w:num w:numId="15">
    <w:abstractNumId w:val="19"/>
  </w:num>
  <w:num w:numId="16">
    <w:abstractNumId w:val="16"/>
  </w:num>
  <w:num w:numId="17">
    <w:abstractNumId w:val="6"/>
  </w:num>
  <w:num w:numId="18">
    <w:abstractNumId w:val="22"/>
  </w:num>
  <w:num w:numId="19">
    <w:abstractNumId w:val="10"/>
  </w:num>
  <w:num w:numId="20">
    <w:abstractNumId w:val="1"/>
  </w:num>
  <w:num w:numId="21">
    <w:abstractNumId w:val="12"/>
  </w:num>
  <w:num w:numId="22">
    <w:abstractNumId w:val="14"/>
  </w:num>
  <w:num w:numId="23">
    <w:abstractNumId w:val="3"/>
  </w:num>
  <w:num w:numId="24">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9B70BD"/>
    <w:rsid w:val="00000FA7"/>
    <w:rsid w:val="00001EFF"/>
    <w:rsid w:val="00003687"/>
    <w:rsid w:val="00003C43"/>
    <w:rsid w:val="00004C5D"/>
    <w:rsid w:val="00004EB0"/>
    <w:rsid w:val="00007498"/>
    <w:rsid w:val="0000767A"/>
    <w:rsid w:val="000101F5"/>
    <w:rsid w:val="000104B9"/>
    <w:rsid w:val="00010702"/>
    <w:rsid w:val="00010770"/>
    <w:rsid w:val="00010982"/>
    <w:rsid w:val="00011191"/>
    <w:rsid w:val="0001159B"/>
    <w:rsid w:val="000117CA"/>
    <w:rsid w:val="00012986"/>
    <w:rsid w:val="00014028"/>
    <w:rsid w:val="00015195"/>
    <w:rsid w:val="0001519F"/>
    <w:rsid w:val="000151A7"/>
    <w:rsid w:val="0001572B"/>
    <w:rsid w:val="0001573E"/>
    <w:rsid w:val="000157DA"/>
    <w:rsid w:val="0001589D"/>
    <w:rsid w:val="00016033"/>
    <w:rsid w:val="000162DB"/>
    <w:rsid w:val="00017F05"/>
    <w:rsid w:val="000202C6"/>
    <w:rsid w:val="00020315"/>
    <w:rsid w:val="000208B1"/>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40BD"/>
    <w:rsid w:val="00035CCF"/>
    <w:rsid w:val="00035FC6"/>
    <w:rsid w:val="0003705E"/>
    <w:rsid w:val="00037667"/>
    <w:rsid w:val="0003780E"/>
    <w:rsid w:val="0004075D"/>
    <w:rsid w:val="000411E1"/>
    <w:rsid w:val="00041E9C"/>
    <w:rsid w:val="00042EC6"/>
    <w:rsid w:val="00043C68"/>
    <w:rsid w:val="00043E05"/>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AF0"/>
    <w:rsid w:val="00064256"/>
    <w:rsid w:val="000673F8"/>
    <w:rsid w:val="000706A4"/>
    <w:rsid w:val="00070A0C"/>
    <w:rsid w:val="00071F80"/>
    <w:rsid w:val="00072118"/>
    <w:rsid w:val="00073173"/>
    <w:rsid w:val="0007324C"/>
    <w:rsid w:val="00075C64"/>
    <w:rsid w:val="000779AC"/>
    <w:rsid w:val="00080A41"/>
    <w:rsid w:val="00080AA8"/>
    <w:rsid w:val="00081851"/>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73B6"/>
    <w:rsid w:val="00097BFC"/>
    <w:rsid w:val="00097D02"/>
    <w:rsid w:val="000A1183"/>
    <w:rsid w:val="000A2121"/>
    <w:rsid w:val="000A2484"/>
    <w:rsid w:val="000A2929"/>
    <w:rsid w:val="000A36CE"/>
    <w:rsid w:val="000A59BF"/>
    <w:rsid w:val="000A66C2"/>
    <w:rsid w:val="000A68A7"/>
    <w:rsid w:val="000A7F13"/>
    <w:rsid w:val="000B1CFE"/>
    <w:rsid w:val="000B210A"/>
    <w:rsid w:val="000B249B"/>
    <w:rsid w:val="000B2ADE"/>
    <w:rsid w:val="000B3B01"/>
    <w:rsid w:val="000B3DB9"/>
    <w:rsid w:val="000B3F02"/>
    <w:rsid w:val="000B48A2"/>
    <w:rsid w:val="000B48E7"/>
    <w:rsid w:val="000B4F41"/>
    <w:rsid w:val="000B7663"/>
    <w:rsid w:val="000C1106"/>
    <w:rsid w:val="000C11D3"/>
    <w:rsid w:val="000C12F5"/>
    <w:rsid w:val="000C1F41"/>
    <w:rsid w:val="000C3408"/>
    <w:rsid w:val="000C54AF"/>
    <w:rsid w:val="000C57C5"/>
    <w:rsid w:val="000C5C0F"/>
    <w:rsid w:val="000C5D56"/>
    <w:rsid w:val="000C60D8"/>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D7414"/>
    <w:rsid w:val="000E025B"/>
    <w:rsid w:val="000E0ECB"/>
    <w:rsid w:val="000E153A"/>
    <w:rsid w:val="000E19A8"/>
    <w:rsid w:val="000E1EEA"/>
    <w:rsid w:val="000E4241"/>
    <w:rsid w:val="000E4A42"/>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8CF"/>
    <w:rsid w:val="00102CB8"/>
    <w:rsid w:val="00102F02"/>
    <w:rsid w:val="0010385D"/>
    <w:rsid w:val="00103E41"/>
    <w:rsid w:val="001041B6"/>
    <w:rsid w:val="001070EA"/>
    <w:rsid w:val="001073E5"/>
    <w:rsid w:val="001076CA"/>
    <w:rsid w:val="0011002A"/>
    <w:rsid w:val="001107CE"/>
    <w:rsid w:val="001109F0"/>
    <w:rsid w:val="0011110A"/>
    <w:rsid w:val="001118AF"/>
    <w:rsid w:val="00111CA5"/>
    <w:rsid w:val="0011256E"/>
    <w:rsid w:val="0011352E"/>
    <w:rsid w:val="0011365A"/>
    <w:rsid w:val="00114FC0"/>
    <w:rsid w:val="00115496"/>
    <w:rsid w:val="00116DB9"/>
    <w:rsid w:val="00116F28"/>
    <w:rsid w:val="00117CE8"/>
    <w:rsid w:val="00121961"/>
    <w:rsid w:val="00121C39"/>
    <w:rsid w:val="00123255"/>
    <w:rsid w:val="00124D2D"/>
    <w:rsid w:val="00124DA1"/>
    <w:rsid w:val="00125326"/>
    <w:rsid w:val="00125CB5"/>
    <w:rsid w:val="001264C1"/>
    <w:rsid w:val="00127535"/>
    <w:rsid w:val="001307BE"/>
    <w:rsid w:val="00130A21"/>
    <w:rsid w:val="00130C8F"/>
    <w:rsid w:val="001314F2"/>
    <w:rsid w:val="001317DA"/>
    <w:rsid w:val="00131FFA"/>
    <w:rsid w:val="001323BA"/>
    <w:rsid w:val="0013254D"/>
    <w:rsid w:val="00133AAC"/>
    <w:rsid w:val="00133FBD"/>
    <w:rsid w:val="00134DFD"/>
    <w:rsid w:val="001356FC"/>
    <w:rsid w:val="00136561"/>
    <w:rsid w:val="00136AE8"/>
    <w:rsid w:val="001400E1"/>
    <w:rsid w:val="001405FA"/>
    <w:rsid w:val="001413B3"/>
    <w:rsid w:val="001425C3"/>
    <w:rsid w:val="00142F16"/>
    <w:rsid w:val="00143E03"/>
    <w:rsid w:val="00143E93"/>
    <w:rsid w:val="00143FA3"/>
    <w:rsid w:val="0014428D"/>
    <w:rsid w:val="001459A7"/>
    <w:rsid w:val="0014731B"/>
    <w:rsid w:val="00147E55"/>
    <w:rsid w:val="001500FC"/>
    <w:rsid w:val="00151AC0"/>
    <w:rsid w:val="00151B27"/>
    <w:rsid w:val="00152046"/>
    <w:rsid w:val="00152488"/>
    <w:rsid w:val="00152E53"/>
    <w:rsid w:val="00154147"/>
    <w:rsid w:val="00154D93"/>
    <w:rsid w:val="001550F3"/>
    <w:rsid w:val="00155746"/>
    <w:rsid w:val="00156318"/>
    <w:rsid w:val="0015639A"/>
    <w:rsid w:val="001579FC"/>
    <w:rsid w:val="001603A3"/>
    <w:rsid w:val="0016081D"/>
    <w:rsid w:val="00160CF3"/>
    <w:rsid w:val="00160E61"/>
    <w:rsid w:val="00161300"/>
    <w:rsid w:val="001620FA"/>
    <w:rsid w:val="00162853"/>
    <w:rsid w:val="00163793"/>
    <w:rsid w:val="00163A99"/>
    <w:rsid w:val="00167FB2"/>
    <w:rsid w:val="001707DE"/>
    <w:rsid w:val="00170B04"/>
    <w:rsid w:val="00170F47"/>
    <w:rsid w:val="001711F2"/>
    <w:rsid w:val="001714F2"/>
    <w:rsid w:val="001718C2"/>
    <w:rsid w:val="00173642"/>
    <w:rsid w:val="001736BB"/>
    <w:rsid w:val="00173AF4"/>
    <w:rsid w:val="00173CB0"/>
    <w:rsid w:val="00174CE8"/>
    <w:rsid w:val="00174E7D"/>
    <w:rsid w:val="001752CB"/>
    <w:rsid w:val="00175351"/>
    <w:rsid w:val="00175F60"/>
    <w:rsid w:val="00176050"/>
    <w:rsid w:val="001764D8"/>
    <w:rsid w:val="00176A8F"/>
    <w:rsid w:val="00180C39"/>
    <w:rsid w:val="00180D58"/>
    <w:rsid w:val="00181132"/>
    <w:rsid w:val="00181938"/>
    <w:rsid w:val="00182981"/>
    <w:rsid w:val="00184CF9"/>
    <w:rsid w:val="00185010"/>
    <w:rsid w:val="001852EC"/>
    <w:rsid w:val="00186447"/>
    <w:rsid w:val="001874CF"/>
    <w:rsid w:val="00190214"/>
    <w:rsid w:val="00190D9B"/>
    <w:rsid w:val="00191678"/>
    <w:rsid w:val="00191BAE"/>
    <w:rsid w:val="00193432"/>
    <w:rsid w:val="0019346C"/>
    <w:rsid w:val="00194AE3"/>
    <w:rsid w:val="00195335"/>
    <w:rsid w:val="00195444"/>
    <w:rsid w:val="0019579E"/>
    <w:rsid w:val="00197806"/>
    <w:rsid w:val="001A199D"/>
    <w:rsid w:val="001A2855"/>
    <w:rsid w:val="001A2BDB"/>
    <w:rsid w:val="001A30F4"/>
    <w:rsid w:val="001A47AB"/>
    <w:rsid w:val="001A4C0D"/>
    <w:rsid w:val="001A552F"/>
    <w:rsid w:val="001A56F3"/>
    <w:rsid w:val="001A737B"/>
    <w:rsid w:val="001A750C"/>
    <w:rsid w:val="001B1D89"/>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E0E"/>
    <w:rsid w:val="001C0E66"/>
    <w:rsid w:val="001C0EB9"/>
    <w:rsid w:val="001C1219"/>
    <w:rsid w:val="001C357A"/>
    <w:rsid w:val="001C3961"/>
    <w:rsid w:val="001C3A37"/>
    <w:rsid w:val="001C4384"/>
    <w:rsid w:val="001C55F5"/>
    <w:rsid w:val="001C65FF"/>
    <w:rsid w:val="001C6747"/>
    <w:rsid w:val="001D3787"/>
    <w:rsid w:val="001D47E5"/>
    <w:rsid w:val="001D584C"/>
    <w:rsid w:val="001D5E1B"/>
    <w:rsid w:val="001D66C1"/>
    <w:rsid w:val="001D6EF6"/>
    <w:rsid w:val="001D7C6F"/>
    <w:rsid w:val="001E0024"/>
    <w:rsid w:val="001E0C65"/>
    <w:rsid w:val="001E23E3"/>
    <w:rsid w:val="001E29AF"/>
    <w:rsid w:val="001E387A"/>
    <w:rsid w:val="001E3DA4"/>
    <w:rsid w:val="001E5469"/>
    <w:rsid w:val="001E5830"/>
    <w:rsid w:val="001E684C"/>
    <w:rsid w:val="001E701C"/>
    <w:rsid w:val="001E7552"/>
    <w:rsid w:val="001E7C03"/>
    <w:rsid w:val="001F02AF"/>
    <w:rsid w:val="001F0649"/>
    <w:rsid w:val="001F28F4"/>
    <w:rsid w:val="001F2902"/>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40C"/>
    <w:rsid w:val="00203B09"/>
    <w:rsid w:val="00203B46"/>
    <w:rsid w:val="00203FCB"/>
    <w:rsid w:val="002048E1"/>
    <w:rsid w:val="002070AB"/>
    <w:rsid w:val="00207DB6"/>
    <w:rsid w:val="00210278"/>
    <w:rsid w:val="00210CC2"/>
    <w:rsid w:val="00210F5B"/>
    <w:rsid w:val="00210FFA"/>
    <w:rsid w:val="00211262"/>
    <w:rsid w:val="0021139C"/>
    <w:rsid w:val="002115F5"/>
    <w:rsid w:val="00211AC9"/>
    <w:rsid w:val="0021329E"/>
    <w:rsid w:val="0021355B"/>
    <w:rsid w:val="00215061"/>
    <w:rsid w:val="0021507A"/>
    <w:rsid w:val="0021552C"/>
    <w:rsid w:val="00215A2C"/>
    <w:rsid w:val="00217980"/>
    <w:rsid w:val="002179F9"/>
    <w:rsid w:val="002205F2"/>
    <w:rsid w:val="0022080E"/>
    <w:rsid w:val="00220895"/>
    <w:rsid w:val="00220B20"/>
    <w:rsid w:val="0022139E"/>
    <w:rsid w:val="0022272B"/>
    <w:rsid w:val="00222A99"/>
    <w:rsid w:val="00223678"/>
    <w:rsid w:val="002236F7"/>
    <w:rsid w:val="00223E00"/>
    <w:rsid w:val="002252E0"/>
    <w:rsid w:val="002255F6"/>
    <w:rsid w:val="00225F36"/>
    <w:rsid w:val="00226466"/>
    <w:rsid w:val="002266D0"/>
    <w:rsid w:val="00226887"/>
    <w:rsid w:val="00227991"/>
    <w:rsid w:val="00230DAD"/>
    <w:rsid w:val="0023229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609"/>
    <w:rsid w:val="00252FDC"/>
    <w:rsid w:val="002532E2"/>
    <w:rsid w:val="00253E11"/>
    <w:rsid w:val="00254069"/>
    <w:rsid w:val="00254B3B"/>
    <w:rsid w:val="00254C4B"/>
    <w:rsid w:val="002550D8"/>
    <w:rsid w:val="00257613"/>
    <w:rsid w:val="00261A0F"/>
    <w:rsid w:val="00261E5B"/>
    <w:rsid w:val="00262EB9"/>
    <w:rsid w:val="00262F34"/>
    <w:rsid w:val="002633E5"/>
    <w:rsid w:val="00263470"/>
    <w:rsid w:val="00263733"/>
    <w:rsid w:val="00264676"/>
    <w:rsid w:val="00264A46"/>
    <w:rsid w:val="00265536"/>
    <w:rsid w:val="00265E54"/>
    <w:rsid w:val="00266F3E"/>
    <w:rsid w:val="00270785"/>
    <w:rsid w:val="00272464"/>
    <w:rsid w:val="00272B0B"/>
    <w:rsid w:val="00272CC5"/>
    <w:rsid w:val="00273C60"/>
    <w:rsid w:val="00273DCD"/>
    <w:rsid w:val="00274291"/>
    <w:rsid w:val="00276C09"/>
    <w:rsid w:val="00276CFE"/>
    <w:rsid w:val="00277071"/>
    <w:rsid w:val="0027786C"/>
    <w:rsid w:val="00277BF7"/>
    <w:rsid w:val="00281416"/>
    <w:rsid w:val="00282084"/>
    <w:rsid w:val="00283C61"/>
    <w:rsid w:val="00284C6F"/>
    <w:rsid w:val="00285CD3"/>
    <w:rsid w:val="0028633E"/>
    <w:rsid w:val="0028686A"/>
    <w:rsid w:val="00286E66"/>
    <w:rsid w:val="002870B7"/>
    <w:rsid w:val="002919B5"/>
    <w:rsid w:val="00293441"/>
    <w:rsid w:val="00293553"/>
    <w:rsid w:val="00294238"/>
    <w:rsid w:val="00294776"/>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DA"/>
    <w:rsid w:val="002A7F47"/>
    <w:rsid w:val="002B1544"/>
    <w:rsid w:val="002B1DC1"/>
    <w:rsid w:val="002B36C8"/>
    <w:rsid w:val="002B385B"/>
    <w:rsid w:val="002B6B7A"/>
    <w:rsid w:val="002B71B4"/>
    <w:rsid w:val="002B7240"/>
    <w:rsid w:val="002B7937"/>
    <w:rsid w:val="002C0FF4"/>
    <w:rsid w:val="002C125A"/>
    <w:rsid w:val="002C2668"/>
    <w:rsid w:val="002C43BD"/>
    <w:rsid w:val="002C493D"/>
    <w:rsid w:val="002C5261"/>
    <w:rsid w:val="002C6091"/>
    <w:rsid w:val="002C63C1"/>
    <w:rsid w:val="002D0562"/>
    <w:rsid w:val="002D1B5A"/>
    <w:rsid w:val="002D2500"/>
    <w:rsid w:val="002D338A"/>
    <w:rsid w:val="002D3E4C"/>
    <w:rsid w:val="002D3F00"/>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4217"/>
    <w:rsid w:val="002E435E"/>
    <w:rsid w:val="002E73F2"/>
    <w:rsid w:val="002F149A"/>
    <w:rsid w:val="002F33FB"/>
    <w:rsid w:val="002F663A"/>
    <w:rsid w:val="002F68A4"/>
    <w:rsid w:val="002F7594"/>
    <w:rsid w:val="002F7902"/>
    <w:rsid w:val="003003E7"/>
    <w:rsid w:val="00300D6F"/>
    <w:rsid w:val="00301357"/>
    <w:rsid w:val="0030192C"/>
    <w:rsid w:val="00301D04"/>
    <w:rsid w:val="003035D4"/>
    <w:rsid w:val="00303A3C"/>
    <w:rsid w:val="00303DCB"/>
    <w:rsid w:val="00304771"/>
    <w:rsid w:val="00304E6C"/>
    <w:rsid w:val="00305736"/>
    <w:rsid w:val="00305C33"/>
    <w:rsid w:val="00306C5B"/>
    <w:rsid w:val="00306E3B"/>
    <w:rsid w:val="0030768C"/>
    <w:rsid w:val="00310ADB"/>
    <w:rsid w:val="003119B6"/>
    <w:rsid w:val="00312C3D"/>
    <w:rsid w:val="00314331"/>
    <w:rsid w:val="00317E31"/>
    <w:rsid w:val="00320214"/>
    <w:rsid w:val="003209D6"/>
    <w:rsid w:val="00320B3F"/>
    <w:rsid w:val="0032109A"/>
    <w:rsid w:val="0032214F"/>
    <w:rsid w:val="00322164"/>
    <w:rsid w:val="00323CF7"/>
    <w:rsid w:val="00323E61"/>
    <w:rsid w:val="0032513D"/>
    <w:rsid w:val="00326251"/>
    <w:rsid w:val="0032739C"/>
    <w:rsid w:val="003276D1"/>
    <w:rsid w:val="00327DEE"/>
    <w:rsid w:val="003302DA"/>
    <w:rsid w:val="00330EB0"/>
    <w:rsid w:val="00331574"/>
    <w:rsid w:val="0033229B"/>
    <w:rsid w:val="003329F3"/>
    <w:rsid w:val="00333134"/>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482"/>
    <w:rsid w:val="00352E57"/>
    <w:rsid w:val="003541B0"/>
    <w:rsid w:val="0035457E"/>
    <w:rsid w:val="00355885"/>
    <w:rsid w:val="00355CAA"/>
    <w:rsid w:val="0035605E"/>
    <w:rsid w:val="00356244"/>
    <w:rsid w:val="00357449"/>
    <w:rsid w:val="00357A0D"/>
    <w:rsid w:val="00357C28"/>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67D56"/>
    <w:rsid w:val="00370963"/>
    <w:rsid w:val="0037144E"/>
    <w:rsid w:val="00372272"/>
    <w:rsid w:val="0037290D"/>
    <w:rsid w:val="003736B5"/>
    <w:rsid w:val="00374F1E"/>
    <w:rsid w:val="003750CF"/>
    <w:rsid w:val="003769F0"/>
    <w:rsid w:val="00376DEC"/>
    <w:rsid w:val="00377200"/>
    <w:rsid w:val="00377666"/>
    <w:rsid w:val="0038034A"/>
    <w:rsid w:val="00380E04"/>
    <w:rsid w:val="00380E6C"/>
    <w:rsid w:val="00383227"/>
    <w:rsid w:val="003839C9"/>
    <w:rsid w:val="0038422D"/>
    <w:rsid w:val="00384D8F"/>
    <w:rsid w:val="003857A2"/>
    <w:rsid w:val="00385D98"/>
    <w:rsid w:val="00385EC5"/>
    <w:rsid w:val="0038658E"/>
    <w:rsid w:val="003875C2"/>
    <w:rsid w:val="0039066E"/>
    <w:rsid w:val="00391C95"/>
    <w:rsid w:val="00392110"/>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B38"/>
    <w:rsid w:val="003B1DB0"/>
    <w:rsid w:val="003B2142"/>
    <w:rsid w:val="003B2580"/>
    <w:rsid w:val="003B293F"/>
    <w:rsid w:val="003B2E63"/>
    <w:rsid w:val="003B3189"/>
    <w:rsid w:val="003B3A9D"/>
    <w:rsid w:val="003B3DDD"/>
    <w:rsid w:val="003B462D"/>
    <w:rsid w:val="003B5031"/>
    <w:rsid w:val="003B5A32"/>
    <w:rsid w:val="003B6105"/>
    <w:rsid w:val="003C03CC"/>
    <w:rsid w:val="003C04C4"/>
    <w:rsid w:val="003C08E2"/>
    <w:rsid w:val="003C0B96"/>
    <w:rsid w:val="003C26F4"/>
    <w:rsid w:val="003C3686"/>
    <w:rsid w:val="003C3E2C"/>
    <w:rsid w:val="003C4852"/>
    <w:rsid w:val="003C5BC7"/>
    <w:rsid w:val="003C601E"/>
    <w:rsid w:val="003C66C4"/>
    <w:rsid w:val="003C6DB9"/>
    <w:rsid w:val="003D2393"/>
    <w:rsid w:val="003D2C4E"/>
    <w:rsid w:val="003D3600"/>
    <w:rsid w:val="003D3825"/>
    <w:rsid w:val="003D3EC4"/>
    <w:rsid w:val="003D44E2"/>
    <w:rsid w:val="003D4760"/>
    <w:rsid w:val="003D49DC"/>
    <w:rsid w:val="003D4DD9"/>
    <w:rsid w:val="003D4FB5"/>
    <w:rsid w:val="003D59BE"/>
    <w:rsid w:val="003D5D7A"/>
    <w:rsid w:val="003D5E4B"/>
    <w:rsid w:val="003D653F"/>
    <w:rsid w:val="003D6B55"/>
    <w:rsid w:val="003E0663"/>
    <w:rsid w:val="003E133F"/>
    <w:rsid w:val="003E49F6"/>
    <w:rsid w:val="003E699C"/>
    <w:rsid w:val="003E69F3"/>
    <w:rsid w:val="003E782E"/>
    <w:rsid w:val="003E7A0B"/>
    <w:rsid w:val="003E7B2B"/>
    <w:rsid w:val="003F0293"/>
    <w:rsid w:val="003F116D"/>
    <w:rsid w:val="003F181F"/>
    <w:rsid w:val="003F1A48"/>
    <w:rsid w:val="003F1E23"/>
    <w:rsid w:val="003F22F6"/>
    <w:rsid w:val="003F2B0A"/>
    <w:rsid w:val="003F313C"/>
    <w:rsid w:val="003F32AB"/>
    <w:rsid w:val="003F341B"/>
    <w:rsid w:val="003F37FC"/>
    <w:rsid w:val="003F39B4"/>
    <w:rsid w:val="003F3A26"/>
    <w:rsid w:val="003F49A6"/>
    <w:rsid w:val="003F5047"/>
    <w:rsid w:val="003F5098"/>
    <w:rsid w:val="003F5568"/>
    <w:rsid w:val="003F5A95"/>
    <w:rsid w:val="003F6D19"/>
    <w:rsid w:val="004000D5"/>
    <w:rsid w:val="00400244"/>
    <w:rsid w:val="004005C1"/>
    <w:rsid w:val="00400BBD"/>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3BE"/>
    <w:rsid w:val="0041329F"/>
    <w:rsid w:val="00414CE5"/>
    <w:rsid w:val="00416673"/>
    <w:rsid w:val="0042160D"/>
    <w:rsid w:val="00423A3C"/>
    <w:rsid w:val="00423C04"/>
    <w:rsid w:val="00424D9B"/>
    <w:rsid w:val="0042681B"/>
    <w:rsid w:val="00427193"/>
    <w:rsid w:val="0043068A"/>
    <w:rsid w:val="004306E0"/>
    <w:rsid w:val="00431D54"/>
    <w:rsid w:val="00431F98"/>
    <w:rsid w:val="004329BE"/>
    <w:rsid w:val="00432C38"/>
    <w:rsid w:val="004342EC"/>
    <w:rsid w:val="00434D5A"/>
    <w:rsid w:val="00437C76"/>
    <w:rsid w:val="00437F4A"/>
    <w:rsid w:val="0044105C"/>
    <w:rsid w:val="00442197"/>
    <w:rsid w:val="00443E95"/>
    <w:rsid w:val="004441A0"/>
    <w:rsid w:val="00444268"/>
    <w:rsid w:val="00444326"/>
    <w:rsid w:val="004443BF"/>
    <w:rsid w:val="00444C19"/>
    <w:rsid w:val="00445218"/>
    <w:rsid w:val="00445CDD"/>
    <w:rsid w:val="00446892"/>
    <w:rsid w:val="00447267"/>
    <w:rsid w:val="00447E36"/>
    <w:rsid w:val="00450700"/>
    <w:rsid w:val="00450C30"/>
    <w:rsid w:val="004529C7"/>
    <w:rsid w:val="004540FF"/>
    <w:rsid w:val="004541F1"/>
    <w:rsid w:val="00455BB8"/>
    <w:rsid w:val="00455ECA"/>
    <w:rsid w:val="00457296"/>
    <w:rsid w:val="00457320"/>
    <w:rsid w:val="00460164"/>
    <w:rsid w:val="0046039A"/>
    <w:rsid w:val="00460A6B"/>
    <w:rsid w:val="00461977"/>
    <w:rsid w:val="00461A3F"/>
    <w:rsid w:val="00461C4C"/>
    <w:rsid w:val="004620C7"/>
    <w:rsid w:val="004629FD"/>
    <w:rsid w:val="00462AD2"/>
    <w:rsid w:val="00463B4B"/>
    <w:rsid w:val="00463F4D"/>
    <w:rsid w:val="00464658"/>
    <w:rsid w:val="0046471F"/>
    <w:rsid w:val="00464BE8"/>
    <w:rsid w:val="00465019"/>
    <w:rsid w:val="00465FA4"/>
    <w:rsid w:val="0046613F"/>
    <w:rsid w:val="0046655D"/>
    <w:rsid w:val="00466808"/>
    <w:rsid w:val="00466AAE"/>
    <w:rsid w:val="004670EA"/>
    <w:rsid w:val="0046765E"/>
    <w:rsid w:val="004676E2"/>
    <w:rsid w:val="00471EDD"/>
    <w:rsid w:val="004739AC"/>
    <w:rsid w:val="00473E94"/>
    <w:rsid w:val="0047400C"/>
    <w:rsid w:val="00474471"/>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E32"/>
    <w:rsid w:val="00487F81"/>
    <w:rsid w:val="00490082"/>
    <w:rsid w:val="00490247"/>
    <w:rsid w:val="00490B20"/>
    <w:rsid w:val="0049104F"/>
    <w:rsid w:val="00491218"/>
    <w:rsid w:val="00491CFD"/>
    <w:rsid w:val="00492991"/>
    <w:rsid w:val="00493362"/>
    <w:rsid w:val="00494343"/>
    <w:rsid w:val="00494AAB"/>
    <w:rsid w:val="00496C2F"/>
    <w:rsid w:val="0049740D"/>
    <w:rsid w:val="004978D3"/>
    <w:rsid w:val="004A06A6"/>
    <w:rsid w:val="004A11F8"/>
    <w:rsid w:val="004A22BD"/>
    <w:rsid w:val="004A22FA"/>
    <w:rsid w:val="004A25E2"/>
    <w:rsid w:val="004A269A"/>
    <w:rsid w:val="004A26AF"/>
    <w:rsid w:val="004A26DB"/>
    <w:rsid w:val="004A30FB"/>
    <w:rsid w:val="004A35DD"/>
    <w:rsid w:val="004A37D3"/>
    <w:rsid w:val="004A3AD6"/>
    <w:rsid w:val="004A3BCE"/>
    <w:rsid w:val="004A4760"/>
    <w:rsid w:val="004A5865"/>
    <w:rsid w:val="004A6717"/>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243"/>
    <w:rsid w:val="004C0BBB"/>
    <w:rsid w:val="004C1AD6"/>
    <w:rsid w:val="004C1B86"/>
    <w:rsid w:val="004C1DEE"/>
    <w:rsid w:val="004C3382"/>
    <w:rsid w:val="004C3867"/>
    <w:rsid w:val="004C4AB7"/>
    <w:rsid w:val="004C4B88"/>
    <w:rsid w:val="004C4CD0"/>
    <w:rsid w:val="004C5111"/>
    <w:rsid w:val="004C57B5"/>
    <w:rsid w:val="004C5C25"/>
    <w:rsid w:val="004C6717"/>
    <w:rsid w:val="004C6CFF"/>
    <w:rsid w:val="004C7065"/>
    <w:rsid w:val="004C70DC"/>
    <w:rsid w:val="004C7268"/>
    <w:rsid w:val="004C7C50"/>
    <w:rsid w:val="004D0211"/>
    <w:rsid w:val="004D1C9C"/>
    <w:rsid w:val="004D2A0E"/>
    <w:rsid w:val="004D458D"/>
    <w:rsid w:val="004D4F13"/>
    <w:rsid w:val="004D504B"/>
    <w:rsid w:val="004D536E"/>
    <w:rsid w:val="004D58CE"/>
    <w:rsid w:val="004D70B1"/>
    <w:rsid w:val="004D76CC"/>
    <w:rsid w:val="004E1415"/>
    <w:rsid w:val="004E1839"/>
    <w:rsid w:val="004E4A75"/>
    <w:rsid w:val="004E541A"/>
    <w:rsid w:val="004E5A5C"/>
    <w:rsid w:val="004E7007"/>
    <w:rsid w:val="004E76D6"/>
    <w:rsid w:val="004E7F57"/>
    <w:rsid w:val="004F06F5"/>
    <w:rsid w:val="004F191F"/>
    <w:rsid w:val="004F1D62"/>
    <w:rsid w:val="004F2A4D"/>
    <w:rsid w:val="004F2A73"/>
    <w:rsid w:val="004F33A0"/>
    <w:rsid w:val="004F353A"/>
    <w:rsid w:val="004F4353"/>
    <w:rsid w:val="004F447D"/>
    <w:rsid w:val="004F4C28"/>
    <w:rsid w:val="004F4E82"/>
    <w:rsid w:val="004F5470"/>
    <w:rsid w:val="004F5CC5"/>
    <w:rsid w:val="004F6350"/>
    <w:rsid w:val="004F7170"/>
    <w:rsid w:val="00500ADA"/>
    <w:rsid w:val="005028E1"/>
    <w:rsid w:val="00505989"/>
    <w:rsid w:val="00506309"/>
    <w:rsid w:val="0050692E"/>
    <w:rsid w:val="00507040"/>
    <w:rsid w:val="005079F8"/>
    <w:rsid w:val="00510189"/>
    <w:rsid w:val="005108C0"/>
    <w:rsid w:val="00511873"/>
    <w:rsid w:val="00512603"/>
    <w:rsid w:val="00512CC5"/>
    <w:rsid w:val="0051367B"/>
    <w:rsid w:val="00513A89"/>
    <w:rsid w:val="00513B7E"/>
    <w:rsid w:val="005140DE"/>
    <w:rsid w:val="00514474"/>
    <w:rsid w:val="005147E9"/>
    <w:rsid w:val="0051507D"/>
    <w:rsid w:val="0051593C"/>
    <w:rsid w:val="00517567"/>
    <w:rsid w:val="0051778E"/>
    <w:rsid w:val="005215EF"/>
    <w:rsid w:val="0052207A"/>
    <w:rsid w:val="00524637"/>
    <w:rsid w:val="00524FDD"/>
    <w:rsid w:val="00525137"/>
    <w:rsid w:val="005251DD"/>
    <w:rsid w:val="00526DB6"/>
    <w:rsid w:val="0053017A"/>
    <w:rsid w:val="00530492"/>
    <w:rsid w:val="005308E4"/>
    <w:rsid w:val="005325A8"/>
    <w:rsid w:val="00532854"/>
    <w:rsid w:val="00532E85"/>
    <w:rsid w:val="005350F2"/>
    <w:rsid w:val="00535152"/>
    <w:rsid w:val="00535359"/>
    <w:rsid w:val="005357A2"/>
    <w:rsid w:val="005359E3"/>
    <w:rsid w:val="00535D87"/>
    <w:rsid w:val="00535EF0"/>
    <w:rsid w:val="00535F78"/>
    <w:rsid w:val="005363DF"/>
    <w:rsid w:val="0053734B"/>
    <w:rsid w:val="005375B1"/>
    <w:rsid w:val="00537AFD"/>
    <w:rsid w:val="00537CB4"/>
    <w:rsid w:val="00540CB3"/>
    <w:rsid w:val="00540D25"/>
    <w:rsid w:val="00541822"/>
    <w:rsid w:val="00542D19"/>
    <w:rsid w:val="0054516B"/>
    <w:rsid w:val="0054559E"/>
    <w:rsid w:val="005459BD"/>
    <w:rsid w:val="00546833"/>
    <w:rsid w:val="0054787A"/>
    <w:rsid w:val="005513D5"/>
    <w:rsid w:val="005523B9"/>
    <w:rsid w:val="00553C88"/>
    <w:rsid w:val="005544FC"/>
    <w:rsid w:val="005545E0"/>
    <w:rsid w:val="00554865"/>
    <w:rsid w:val="00554E57"/>
    <w:rsid w:val="00557E6A"/>
    <w:rsid w:val="00562749"/>
    <w:rsid w:val="00562DE9"/>
    <w:rsid w:val="005638A5"/>
    <w:rsid w:val="00564137"/>
    <w:rsid w:val="00566381"/>
    <w:rsid w:val="00566A03"/>
    <w:rsid w:val="00571932"/>
    <w:rsid w:val="005723B7"/>
    <w:rsid w:val="00573C97"/>
    <w:rsid w:val="00574240"/>
    <w:rsid w:val="0057454C"/>
    <w:rsid w:val="005752EB"/>
    <w:rsid w:val="005755FE"/>
    <w:rsid w:val="00575CDC"/>
    <w:rsid w:val="005765D5"/>
    <w:rsid w:val="00576A3E"/>
    <w:rsid w:val="0057703D"/>
    <w:rsid w:val="00581892"/>
    <w:rsid w:val="0058366F"/>
    <w:rsid w:val="00583D5B"/>
    <w:rsid w:val="00583FFD"/>
    <w:rsid w:val="00587CCD"/>
    <w:rsid w:val="005908AE"/>
    <w:rsid w:val="00590CDE"/>
    <w:rsid w:val="0059176E"/>
    <w:rsid w:val="00592854"/>
    <w:rsid w:val="00593152"/>
    <w:rsid w:val="005931BF"/>
    <w:rsid w:val="005934CE"/>
    <w:rsid w:val="00593CA3"/>
    <w:rsid w:val="00594161"/>
    <w:rsid w:val="00594969"/>
    <w:rsid w:val="00594B91"/>
    <w:rsid w:val="00595035"/>
    <w:rsid w:val="00595C7C"/>
    <w:rsid w:val="00596C5E"/>
    <w:rsid w:val="005A2194"/>
    <w:rsid w:val="005A21E0"/>
    <w:rsid w:val="005A3210"/>
    <w:rsid w:val="005A33A1"/>
    <w:rsid w:val="005A3687"/>
    <w:rsid w:val="005A54EE"/>
    <w:rsid w:val="005A563B"/>
    <w:rsid w:val="005A5F82"/>
    <w:rsid w:val="005A61D1"/>
    <w:rsid w:val="005A6E85"/>
    <w:rsid w:val="005A7500"/>
    <w:rsid w:val="005A77E4"/>
    <w:rsid w:val="005A77F6"/>
    <w:rsid w:val="005B0262"/>
    <w:rsid w:val="005B0B8F"/>
    <w:rsid w:val="005B1907"/>
    <w:rsid w:val="005B1BDB"/>
    <w:rsid w:val="005B22A7"/>
    <w:rsid w:val="005B2BAA"/>
    <w:rsid w:val="005B2D53"/>
    <w:rsid w:val="005B3247"/>
    <w:rsid w:val="005B3409"/>
    <w:rsid w:val="005B498A"/>
    <w:rsid w:val="005B7B12"/>
    <w:rsid w:val="005C16CB"/>
    <w:rsid w:val="005C21D6"/>
    <w:rsid w:val="005C331D"/>
    <w:rsid w:val="005C3F9F"/>
    <w:rsid w:val="005C406F"/>
    <w:rsid w:val="005C40BA"/>
    <w:rsid w:val="005C419C"/>
    <w:rsid w:val="005C4A23"/>
    <w:rsid w:val="005C562C"/>
    <w:rsid w:val="005C5812"/>
    <w:rsid w:val="005C6400"/>
    <w:rsid w:val="005C7F1E"/>
    <w:rsid w:val="005D073B"/>
    <w:rsid w:val="005D2450"/>
    <w:rsid w:val="005D25B4"/>
    <w:rsid w:val="005D374F"/>
    <w:rsid w:val="005D5802"/>
    <w:rsid w:val="005D6CFC"/>
    <w:rsid w:val="005D6D2E"/>
    <w:rsid w:val="005D73E2"/>
    <w:rsid w:val="005D757A"/>
    <w:rsid w:val="005D7C4B"/>
    <w:rsid w:val="005E0DBC"/>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3F04"/>
    <w:rsid w:val="005F4057"/>
    <w:rsid w:val="005F4088"/>
    <w:rsid w:val="005F42F4"/>
    <w:rsid w:val="005F4C83"/>
    <w:rsid w:val="005F5628"/>
    <w:rsid w:val="005F5916"/>
    <w:rsid w:val="005F601D"/>
    <w:rsid w:val="005F6119"/>
    <w:rsid w:val="005F7940"/>
    <w:rsid w:val="00600712"/>
    <w:rsid w:val="0060091A"/>
    <w:rsid w:val="0060107A"/>
    <w:rsid w:val="00601120"/>
    <w:rsid w:val="00601AFF"/>
    <w:rsid w:val="00602A2B"/>
    <w:rsid w:val="00602D1D"/>
    <w:rsid w:val="00604307"/>
    <w:rsid w:val="0060487F"/>
    <w:rsid w:val="00605814"/>
    <w:rsid w:val="00606B93"/>
    <w:rsid w:val="00607727"/>
    <w:rsid w:val="00607934"/>
    <w:rsid w:val="00610BD5"/>
    <w:rsid w:val="00611363"/>
    <w:rsid w:val="00611531"/>
    <w:rsid w:val="006118AA"/>
    <w:rsid w:val="00611C28"/>
    <w:rsid w:val="00611EB7"/>
    <w:rsid w:val="00612E84"/>
    <w:rsid w:val="006139C7"/>
    <w:rsid w:val="006150EA"/>
    <w:rsid w:val="006153E3"/>
    <w:rsid w:val="006167AB"/>
    <w:rsid w:val="0061718A"/>
    <w:rsid w:val="00617D2D"/>
    <w:rsid w:val="00617D83"/>
    <w:rsid w:val="00620430"/>
    <w:rsid w:val="00620AC5"/>
    <w:rsid w:val="00621575"/>
    <w:rsid w:val="006215FC"/>
    <w:rsid w:val="00624093"/>
    <w:rsid w:val="006260B8"/>
    <w:rsid w:val="00630F66"/>
    <w:rsid w:val="00631FC2"/>
    <w:rsid w:val="00632171"/>
    <w:rsid w:val="0063332A"/>
    <w:rsid w:val="006347F9"/>
    <w:rsid w:val="0063494E"/>
    <w:rsid w:val="00634C90"/>
    <w:rsid w:val="00635818"/>
    <w:rsid w:val="00635E79"/>
    <w:rsid w:val="006365E8"/>
    <w:rsid w:val="00636E5E"/>
    <w:rsid w:val="006379E0"/>
    <w:rsid w:val="00637D0E"/>
    <w:rsid w:val="006404A7"/>
    <w:rsid w:val="006407F3"/>
    <w:rsid w:val="006408EC"/>
    <w:rsid w:val="0064129B"/>
    <w:rsid w:val="00641DF7"/>
    <w:rsid w:val="00643497"/>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7B1"/>
    <w:rsid w:val="00663CFD"/>
    <w:rsid w:val="006647AD"/>
    <w:rsid w:val="00664B64"/>
    <w:rsid w:val="00665691"/>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F0F"/>
    <w:rsid w:val="006764ED"/>
    <w:rsid w:val="00676AFC"/>
    <w:rsid w:val="00676F11"/>
    <w:rsid w:val="00680079"/>
    <w:rsid w:val="006801D6"/>
    <w:rsid w:val="00680ECC"/>
    <w:rsid w:val="00680F68"/>
    <w:rsid w:val="0068260E"/>
    <w:rsid w:val="0068373D"/>
    <w:rsid w:val="00683BFE"/>
    <w:rsid w:val="00683EAB"/>
    <w:rsid w:val="0068437D"/>
    <w:rsid w:val="006847C5"/>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3FB"/>
    <w:rsid w:val="00696AA5"/>
    <w:rsid w:val="006977F6"/>
    <w:rsid w:val="0069789D"/>
    <w:rsid w:val="00697A13"/>
    <w:rsid w:val="006A109C"/>
    <w:rsid w:val="006A18AE"/>
    <w:rsid w:val="006A2EE8"/>
    <w:rsid w:val="006A3CF3"/>
    <w:rsid w:val="006A568F"/>
    <w:rsid w:val="006A65EF"/>
    <w:rsid w:val="006A672B"/>
    <w:rsid w:val="006B1781"/>
    <w:rsid w:val="006B23A9"/>
    <w:rsid w:val="006B23D8"/>
    <w:rsid w:val="006B281D"/>
    <w:rsid w:val="006B3F8A"/>
    <w:rsid w:val="006B59D7"/>
    <w:rsid w:val="006B5CA3"/>
    <w:rsid w:val="006B6B3B"/>
    <w:rsid w:val="006B7248"/>
    <w:rsid w:val="006B7714"/>
    <w:rsid w:val="006B78D8"/>
    <w:rsid w:val="006B7CCE"/>
    <w:rsid w:val="006C090F"/>
    <w:rsid w:val="006C0935"/>
    <w:rsid w:val="006C0BCE"/>
    <w:rsid w:val="006C113F"/>
    <w:rsid w:val="006C2AED"/>
    <w:rsid w:val="006C38DD"/>
    <w:rsid w:val="006C3DC1"/>
    <w:rsid w:val="006C457F"/>
    <w:rsid w:val="006C53C7"/>
    <w:rsid w:val="006C5577"/>
    <w:rsid w:val="006C559A"/>
    <w:rsid w:val="006C586D"/>
    <w:rsid w:val="006C58FA"/>
    <w:rsid w:val="006C6197"/>
    <w:rsid w:val="006D004F"/>
    <w:rsid w:val="006D042D"/>
    <w:rsid w:val="006D06EF"/>
    <w:rsid w:val="006D142E"/>
    <w:rsid w:val="006D164C"/>
    <w:rsid w:val="006D29A8"/>
    <w:rsid w:val="006D3B87"/>
    <w:rsid w:val="006D4497"/>
    <w:rsid w:val="006D4E6F"/>
    <w:rsid w:val="006D5681"/>
    <w:rsid w:val="006D61F6"/>
    <w:rsid w:val="006D710C"/>
    <w:rsid w:val="006E0EB0"/>
    <w:rsid w:val="006E182C"/>
    <w:rsid w:val="006E1F4C"/>
    <w:rsid w:val="006E22C8"/>
    <w:rsid w:val="006E279A"/>
    <w:rsid w:val="006E2C28"/>
    <w:rsid w:val="006E2F3F"/>
    <w:rsid w:val="006E313B"/>
    <w:rsid w:val="006E442A"/>
    <w:rsid w:val="006E4434"/>
    <w:rsid w:val="006E4A1B"/>
    <w:rsid w:val="006E59FC"/>
    <w:rsid w:val="006E5CFD"/>
    <w:rsid w:val="006E7E2C"/>
    <w:rsid w:val="006F1326"/>
    <w:rsid w:val="006F2280"/>
    <w:rsid w:val="006F2BEE"/>
    <w:rsid w:val="006F3708"/>
    <w:rsid w:val="006F376C"/>
    <w:rsid w:val="006F3A90"/>
    <w:rsid w:val="006F3E6B"/>
    <w:rsid w:val="006F4619"/>
    <w:rsid w:val="006F4A59"/>
    <w:rsid w:val="006F65A8"/>
    <w:rsid w:val="006F6968"/>
    <w:rsid w:val="00700232"/>
    <w:rsid w:val="00701382"/>
    <w:rsid w:val="007014C7"/>
    <w:rsid w:val="00702100"/>
    <w:rsid w:val="00702D6F"/>
    <w:rsid w:val="007031C6"/>
    <w:rsid w:val="00703B6C"/>
    <w:rsid w:val="00703C6B"/>
    <w:rsid w:val="007047D5"/>
    <w:rsid w:val="00705D98"/>
    <w:rsid w:val="00707891"/>
    <w:rsid w:val="00707D43"/>
    <w:rsid w:val="00710F7C"/>
    <w:rsid w:val="00711EF1"/>
    <w:rsid w:val="0071229A"/>
    <w:rsid w:val="00712572"/>
    <w:rsid w:val="00713495"/>
    <w:rsid w:val="00713EEB"/>
    <w:rsid w:val="007142C1"/>
    <w:rsid w:val="00715487"/>
    <w:rsid w:val="007159D2"/>
    <w:rsid w:val="00716DCC"/>
    <w:rsid w:val="00717726"/>
    <w:rsid w:val="0072050E"/>
    <w:rsid w:val="00720958"/>
    <w:rsid w:val="00720FA2"/>
    <w:rsid w:val="007211F5"/>
    <w:rsid w:val="00723581"/>
    <w:rsid w:val="007240C5"/>
    <w:rsid w:val="00724666"/>
    <w:rsid w:val="00724E80"/>
    <w:rsid w:val="00725055"/>
    <w:rsid w:val="00725492"/>
    <w:rsid w:val="007256B7"/>
    <w:rsid w:val="00726043"/>
    <w:rsid w:val="0072704A"/>
    <w:rsid w:val="007279B9"/>
    <w:rsid w:val="00730AE8"/>
    <w:rsid w:val="00731189"/>
    <w:rsid w:val="007315DA"/>
    <w:rsid w:val="00731963"/>
    <w:rsid w:val="00732706"/>
    <w:rsid w:val="0073325D"/>
    <w:rsid w:val="00734321"/>
    <w:rsid w:val="00734597"/>
    <w:rsid w:val="00735044"/>
    <w:rsid w:val="0073532E"/>
    <w:rsid w:val="00735B01"/>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F3C"/>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55EA0"/>
    <w:rsid w:val="00760141"/>
    <w:rsid w:val="007609C6"/>
    <w:rsid w:val="007610A0"/>
    <w:rsid w:val="00762036"/>
    <w:rsid w:val="007620F2"/>
    <w:rsid w:val="00762EBA"/>
    <w:rsid w:val="0076359D"/>
    <w:rsid w:val="00763A13"/>
    <w:rsid w:val="00763D86"/>
    <w:rsid w:val="0077058D"/>
    <w:rsid w:val="00770931"/>
    <w:rsid w:val="00772536"/>
    <w:rsid w:val="00773613"/>
    <w:rsid w:val="0077430F"/>
    <w:rsid w:val="00774782"/>
    <w:rsid w:val="00776476"/>
    <w:rsid w:val="00776527"/>
    <w:rsid w:val="00777DB1"/>
    <w:rsid w:val="0078050E"/>
    <w:rsid w:val="007805E1"/>
    <w:rsid w:val="00780DDF"/>
    <w:rsid w:val="0078113E"/>
    <w:rsid w:val="007813E4"/>
    <w:rsid w:val="00781834"/>
    <w:rsid w:val="007821DB"/>
    <w:rsid w:val="00782818"/>
    <w:rsid w:val="007838F1"/>
    <w:rsid w:val="007841BB"/>
    <w:rsid w:val="00784C4A"/>
    <w:rsid w:val="00787432"/>
    <w:rsid w:val="00787507"/>
    <w:rsid w:val="0078778C"/>
    <w:rsid w:val="007879F2"/>
    <w:rsid w:val="00790393"/>
    <w:rsid w:val="00791804"/>
    <w:rsid w:val="0079197F"/>
    <w:rsid w:val="00791CF8"/>
    <w:rsid w:val="00791EF9"/>
    <w:rsid w:val="00792262"/>
    <w:rsid w:val="00793387"/>
    <w:rsid w:val="00793BAE"/>
    <w:rsid w:val="007941C3"/>
    <w:rsid w:val="00794870"/>
    <w:rsid w:val="00794E0A"/>
    <w:rsid w:val="00795B04"/>
    <w:rsid w:val="00796642"/>
    <w:rsid w:val="007A11D9"/>
    <w:rsid w:val="007A18F5"/>
    <w:rsid w:val="007A327B"/>
    <w:rsid w:val="007A4048"/>
    <w:rsid w:val="007A45B1"/>
    <w:rsid w:val="007A4606"/>
    <w:rsid w:val="007A4D58"/>
    <w:rsid w:val="007A5039"/>
    <w:rsid w:val="007B04E8"/>
    <w:rsid w:val="007B0D67"/>
    <w:rsid w:val="007B0F90"/>
    <w:rsid w:val="007B1966"/>
    <w:rsid w:val="007B2257"/>
    <w:rsid w:val="007B22E6"/>
    <w:rsid w:val="007B2779"/>
    <w:rsid w:val="007B2AF7"/>
    <w:rsid w:val="007B3DCC"/>
    <w:rsid w:val="007B4518"/>
    <w:rsid w:val="007B5031"/>
    <w:rsid w:val="007B573F"/>
    <w:rsid w:val="007B72AC"/>
    <w:rsid w:val="007B78F8"/>
    <w:rsid w:val="007C0065"/>
    <w:rsid w:val="007C010B"/>
    <w:rsid w:val="007C32B6"/>
    <w:rsid w:val="007C3AE3"/>
    <w:rsid w:val="007C605B"/>
    <w:rsid w:val="007C6EBA"/>
    <w:rsid w:val="007C7BAC"/>
    <w:rsid w:val="007C7CC5"/>
    <w:rsid w:val="007D2A5A"/>
    <w:rsid w:val="007D2AD8"/>
    <w:rsid w:val="007D2C47"/>
    <w:rsid w:val="007D2C61"/>
    <w:rsid w:val="007D2DA3"/>
    <w:rsid w:val="007D2F81"/>
    <w:rsid w:val="007D3167"/>
    <w:rsid w:val="007D341F"/>
    <w:rsid w:val="007D3CF7"/>
    <w:rsid w:val="007D4128"/>
    <w:rsid w:val="007D4281"/>
    <w:rsid w:val="007D42F5"/>
    <w:rsid w:val="007D44C3"/>
    <w:rsid w:val="007D5947"/>
    <w:rsid w:val="007D65C1"/>
    <w:rsid w:val="007D66E3"/>
    <w:rsid w:val="007D7CAF"/>
    <w:rsid w:val="007E030F"/>
    <w:rsid w:val="007E0D49"/>
    <w:rsid w:val="007E0E59"/>
    <w:rsid w:val="007E0F4B"/>
    <w:rsid w:val="007E12C1"/>
    <w:rsid w:val="007E1EF7"/>
    <w:rsid w:val="007E3715"/>
    <w:rsid w:val="007E5880"/>
    <w:rsid w:val="007E5F3D"/>
    <w:rsid w:val="007E6588"/>
    <w:rsid w:val="007E6A5B"/>
    <w:rsid w:val="007E7063"/>
    <w:rsid w:val="007E7E61"/>
    <w:rsid w:val="007F0316"/>
    <w:rsid w:val="007F0845"/>
    <w:rsid w:val="007F0DF6"/>
    <w:rsid w:val="007F1092"/>
    <w:rsid w:val="007F16F9"/>
    <w:rsid w:val="007F2801"/>
    <w:rsid w:val="007F3E3E"/>
    <w:rsid w:val="007F42E0"/>
    <w:rsid w:val="007F500D"/>
    <w:rsid w:val="007F5F14"/>
    <w:rsid w:val="007F7B54"/>
    <w:rsid w:val="007F7C60"/>
    <w:rsid w:val="00800073"/>
    <w:rsid w:val="008005D7"/>
    <w:rsid w:val="008013CB"/>
    <w:rsid w:val="00801FDD"/>
    <w:rsid w:val="008020C2"/>
    <w:rsid w:val="0080255C"/>
    <w:rsid w:val="008054FB"/>
    <w:rsid w:val="00806088"/>
    <w:rsid w:val="00806D07"/>
    <w:rsid w:val="0081019B"/>
    <w:rsid w:val="0081187C"/>
    <w:rsid w:val="00811E24"/>
    <w:rsid w:val="008120C5"/>
    <w:rsid w:val="00812386"/>
    <w:rsid w:val="00812E2B"/>
    <w:rsid w:val="00813A70"/>
    <w:rsid w:val="00813CB4"/>
    <w:rsid w:val="00813DB0"/>
    <w:rsid w:val="00813FE6"/>
    <w:rsid w:val="00814965"/>
    <w:rsid w:val="00815B82"/>
    <w:rsid w:val="00815C6E"/>
    <w:rsid w:val="00815DD0"/>
    <w:rsid w:val="00815F10"/>
    <w:rsid w:val="0081645F"/>
    <w:rsid w:val="00816A28"/>
    <w:rsid w:val="008174A3"/>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40699"/>
    <w:rsid w:val="00841D9F"/>
    <w:rsid w:val="00842078"/>
    <w:rsid w:val="00842604"/>
    <w:rsid w:val="00843ECF"/>
    <w:rsid w:val="008444BE"/>
    <w:rsid w:val="00845AB1"/>
    <w:rsid w:val="00846673"/>
    <w:rsid w:val="008508A9"/>
    <w:rsid w:val="0085188D"/>
    <w:rsid w:val="008518D8"/>
    <w:rsid w:val="008525F9"/>
    <w:rsid w:val="0085281A"/>
    <w:rsid w:val="00853C0F"/>
    <w:rsid w:val="00853F33"/>
    <w:rsid w:val="008548EA"/>
    <w:rsid w:val="008549C5"/>
    <w:rsid w:val="008550EA"/>
    <w:rsid w:val="008559FE"/>
    <w:rsid w:val="0085686D"/>
    <w:rsid w:val="00857339"/>
    <w:rsid w:val="00860706"/>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F2B"/>
    <w:rsid w:val="00873B2E"/>
    <w:rsid w:val="00874097"/>
    <w:rsid w:val="008746E6"/>
    <w:rsid w:val="0087515D"/>
    <w:rsid w:val="00875740"/>
    <w:rsid w:val="0087594C"/>
    <w:rsid w:val="00876058"/>
    <w:rsid w:val="00876086"/>
    <w:rsid w:val="008765FA"/>
    <w:rsid w:val="008768D6"/>
    <w:rsid w:val="008775D1"/>
    <w:rsid w:val="008777BB"/>
    <w:rsid w:val="00877D68"/>
    <w:rsid w:val="00877E5D"/>
    <w:rsid w:val="00880150"/>
    <w:rsid w:val="00880ABA"/>
    <w:rsid w:val="00880F23"/>
    <w:rsid w:val="00883A67"/>
    <w:rsid w:val="00883D45"/>
    <w:rsid w:val="00884D69"/>
    <w:rsid w:val="0088503D"/>
    <w:rsid w:val="00885EC6"/>
    <w:rsid w:val="008869D2"/>
    <w:rsid w:val="00886A8F"/>
    <w:rsid w:val="0088733A"/>
    <w:rsid w:val="008901CC"/>
    <w:rsid w:val="0089061C"/>
    <w:rsid w:val="00891BE0"/>
    <w:rsid w:val="00893302"/>
    <w:rsid w:val="00893648"/>
    <w:rsid w:val="00893D83"/>
    <w:rsid w:val="00893F0C"/>
    <w:rsid w:val="00893F3C"/>
    <w:rsid w:val="008945A1"/>
    <w:rsid w:val="00894A63"/>
    <w:rsid w:val="00894F71"/>
    <w:rsid w:val="00895A54"/>
    <w:rsid w:val="00896776"/>
    <w:rsid w:val="00896916"/>
    <w:rsid w:val="00896BDE"/>
    <w:rsid w:val="0089763E"/>
    <w:rsid w:val="008A03DE"/>
    <w:rsid w:val="008A0861"/>
    <w:rsid w:val="008A0BB2"/>
    <w:rsid w:val="008A1AB3"/>
    <w:rsid w:val="008A1D5C"/>
    <w:rsid w:val="008A3292"/>
    <w:rsid w:val="008A3A85"/>
    <w:rsid w:val="008A43E9"/>
    <w:rsid w:val="008A4CB1"/>
    <w:rsid w:val="008A615E"/>
    <w:rsid w:val="008A632B"/>
    <w:rsid w:val="008A6BFE"/>
    <w:rsid w:val="008A6F21"/>
    <w:rsid w:val="008A73DA"/>
    <w:rsid w:val="008B00C2"/>
    <w:rsid w:val="008B04A0"/>
    <w:rsid w:val="008B05E8"/>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8A5"/>
    <w:rsid w:val="008C1AA8"/>
    <w:rsid w:val="008C22A8"/>
    <w:rsid w:val="008C5B43"/>
    <w:rsid w:val="008C63FD"/>
    <w:rsid w:val="008C6CB8"/>
    <w:rsid w:val="008C6D92"/>
    <w:rsid w:val="008C777A"/>
    <w:rsid w:val="008C7815"/>
    <w:rsid w:val="008C7A07"/>
    <w:rsid w:val="008C7E90"/>
    <w:rsid w:val="008C7EB3"/>
    <w:rsid w:val="008D0171"/>
    <w:rsid w:val="008D0632"/>
    <w:rsid w:val="008D0E3B"/>
    <w:rsid w:val="008D13EA"/>
    <w:rsid w:val="008D2671"/>
    <w:rsid w:val="008D2A16"/>
    <w:rsid w:val="008D2ECF"/>
    <w:rsid w:val="008D347D"/>
    <w:rsid w:val="008D3F3D"/>
    <w:rsid w:val="008D4376"/>
    <w:rsid w:val="008E0367"/>
    <w:rsid w:val="008E2DCD"/>
    <w:rsid w:val="008E308D"/>
    <w:rsid w:val="008E31FF"/>
    <w:rsid w:val="008E3B0F"/>
    <w:rsid w:val="008E46A3"/>
    <w:rsid w:val="008E5DE6"/>
    <w:rsid w:val="008E6113"/>
    <w:rsid w:val="008E6AB3"/>
    <w:rsid w:val="008E6AD3"/>
    <w:rsid w:val="008E6EBD"/>
    <w:rsid w:val="008E71A6"/>
    <w:rsid w:val="008E77B6"/>
    <w:rsid w:val="008E7C55"/>
    <w:rsid w:val="008F032E"/>
    <w:rsid w:val="008F0F14"/>
    <w:rsid w:val="008F1638"/>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2FAC"/>
    <w:rsid w:val="00903E06"/>
    <w:rsid w:val="009045D1"/>
    <w:rsid w:val="00904B9D"/>
    <w:rsid w:val="00905A11"/>
    <w:rsid w:val="00905FE8"/>
    <w:rsid w:val="009066E1"/>
    <w:rsid w:val="00906F67"/>
    <w:rsid w:val="00907A41"/>
    <w:rsid w:val="009102BD"/>
    <w:rsid w:val="00910F93"/>
    <w:rsid w:val="00910FBC"/>
    <w:rsid w:val="00911E3B"/>
    <w:rsid w:val="0091255A"/>
    <w:rsid w:val="00914426"/>
    <w:rsid w:val="0091675F"/>
    <w:rsid w:val="00917709"/>
    <w:rsid w:val="00917918"/>
    <w:rsid w:val="00920874"/>
    <w:rsid w:val="00921F14"/>
    <w:rsid w:val="009227C6"/>
    <w:rsid w:val="00923750"/>
    <w:rsid w:val="009243A5"/>
    <w:rsid w:val="0092500F"/>
    <w:rsid w:val="009250D2"/>
    <w:rsid w:val="0092519D"/>
    <w:rsid w:val="0092540B"/>
    <w:rsid w:val="009256C5"/>
    <w:rsid w:val="00925A21"/>
    <w:rsid w:val="00926283"/>
    <w:rsid w:val="00927B6E"/>
    <w:rsid w:val="009306BE"/>
    <w:rsid w:val="0093161F"/>
    <w:rsid w:val="00934836"/>
    <w:rsid w:val="00934963"/>
    <w:rsid w:val="00936ECA"/>
    <w:rsid w:val="00937AF4"/>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67AE9"/>
    <w:rsid w:val="009700DB"/>
    <w:rsid w:val="00971DC6"/>
    <w:rsid w:val="00972263"/>
    <w:rsid w:val="00972502"/>
    <w:rsid w:val="00972D8D"/>
    <w:rsid w:val="00973AAE"/>
    <w:rsid w:val="009742F7"/>
    <w:rsid w:val="0097476C"/>
    <w:rsid w:val="00974923"/>
    <w:rsid w:val="00974D48"/>
    <w:rsid w:val="00974D5F"/>
    <w:rsid w:val="00975017"/>
    <w:rsid w:val="009759DF"/>
    <w:rsid w:val="009777B3"/>
    <w:rsid w:val="00977A4D"/>
    <w:rsid w:val="00980373"/>
    <w:rsid w:val="00980392"/>
    <w:rsid w:val="00980621"/>
    <w:rsid w:val="0098095B"/>
    <w:rsid w:val="00982072"/>
    <w:rsid w:val="009829F1"/>
    <w:rsid w:val="009833FA"/>
    <w:rsid w:val="00983DBB"/>
    <w:rsid w:val="00983ECF"/>
    <w:rsid w:val="00985157"/>
    <w:rsid w:val="00986745"/>
    <w:rsid w:val="009867BC"/>
    <w:rsid w:val="00987109"/>
    <w:rsid w:val="00987309"/>
    <w:rsid w:val="00987351"/>
    <w:rsid w:val="0099012D"/>
    <w:rsid w:val="00990363"/>
    <w:rsid w:val="00991266"/>
    <w:rsid w:val="009928AE"/>
    <w:rsid w:val="00993BE6"/>
    <w:rsid w:val="00993D9C"/>
    <w:rsid w:val="00993F56"/>
    <w:rsid w:val="0099483E"/>
    <w:rsid w:val="009954FF"/>
    <w:rsid w:val="0099571E"/>
    <w:rsid w:val="00995E2F"/>
    <w:rsid w:val="009961BC"/>
    <w:rsid w:val="00996355"/>
    <w:rsid w:val="0099788F"/>
    <w:rsid w:val="00997ADD"/>
    <w:rsid w:val="009A05A2"/>
    <w:rsid w:val="009A1374"/>
    <w:rsid w:val="009A13FA"/>
    <w:rsid w:val="009A2014"/>
    <w:rsid w:val="009A2030"/>
    <w:rsid w:val="009A3A87"/>
    <w:rsid w:val="009A4E12"/>
    <w:rsid w:val="009A5C68"/>
    <w:rsid w:val="009A5DE2"/>
    <w:rsid w:val="009A6EF7"/>
    <w:rsid w:val="009B04D0"/>
    <w:rsid w:val="009B052C"/>
    <w:rsid w:val="009B0975"/>
    <w:rsid w:val="009B0EF2"/>
    <w:rsid w:val="009B23A3"/>
    <w:rsid w:val="009B25CE"/>
    <w:rsid w:val="009B2C0E"/>
    <w:rsid w:val="009B4925"/>
    <w:rsid w:val="009B4B4B"/>
    <w:rsid w:val="009B4CE3"/>
    <w:rsid w:val="009B6FD3"/>
    <w:rsid w:val="009B70BD"/>
    <w:rsid w:val="009C07A5"/>
    <w:rsid w:val="009C24A3"/>
    <w:rsid w:val="009C3705"/>
    <w:rsid w:val="009C5003"/>
    <w:rsid w:val="009C6215"/>
    <w:rsid w:val="009C7388"/>
    <w:rsid w:val="009C74C2"/>
    <w:rsid w:val="009D0CFF"/>
    <w:rsid w:val="009D1551"/>
    <w:rsid w:val="009D182E"/>
    <w:rsid w:val="009D2859"/>
    <w:rsid w:val="009D36EC"/>
    <w:rsid w:val="009D3CD0"/>
    <w:rsid w:val="009D4173"/>
    <w:rsid w:val="009D51CA"/>
    <w:rsid w:val="009D6095"/>
    <w:rsid w:val="009D6306"/>
    <w:rsid w:val="009D6727"/>
    <w:rsid w:val="009E048A"/>
    <w:rsid w:val="009E1124"/>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172C"/>
    <w:rsid w:val="00A05B91"/>
    <w:rsid w:val="00A06788"/>
    <w:rsid w:val="00A10D66"/>
    <w:rsid w:val="00A12BA8"/>
    <w:rsid w:val="00A133F2"/>
    <w:rsid w:val="00A13993"/>
    <w:rsid w:val="00A1420C"/>
    <w:rsid w:val="00A1456C"/>
    <w:rsid w:val="00A14821"/>
    <w:rsid w:val="00A14BA8"/>
    <w:rsid w:val="00A14C9D"/>
    <w:rsid w:val="00A17754"/>
    <w:rsid w:val="00A2055B"/>
    <w:rsid w:val="00A20E22"/>
    <w:rsid w:val="00A219FE"/>
    <w:rsid w:val="00A2253C"/>
    <w:rsid w:val="00A23545"/>
    <w:rsid w:val="00A23A55"/>
    <w:rsid w:val="00A23E43"/>
    <w:rsid w:val="00A23EF0"/>
    <w:rsid w:val="00A24472"/>
    <w:rsid w:val="00A24F8C"/>
    <w:rsid w:val="00A262BF"/>
    <w:rsid w:val="00A271AD"/>
    <w:rsid w:val="00A276D5"/>
    <w:rsid w:val="00A30336"/>
    <w:rsid w:val="00A30BB5"/>
    <w:rsid w:val="00A3128F"/>
    <w:rsid w:val="00A326D0"/>
    <w:rsid w:val="00A35287"/>
    <w:rsid w:val="00A355F2"/>
    <w:rsid w:val="00A35CB2"/>
    <w:rsid w:val="00A36226"/>
    <w:rsid w:val="00A378F8"/>
    <w:rsid w:val="00A40965"/>
    <w:rsid w:val="00A40B19"/>
    <w:rsid w:val="00A40F56"/>
    <w:rsid w:val="00A41D07"/>
    <w:rsid w:val="00A424F8"/>
    <w:rsid w:val="00A42883"/>
    <w:rsid w:val="00A437B7"/>
    <w:rsid w:val="00A43EA2"/>
    <w:rsid w:val="00A46C70"/>
    <w:rsid w:val="00A46D48"/>
    <w:rsid w:val="00A46DE0"/>
    <w:rsid w:val="00A4778A"/>
    <w:rsid w:val="00A47C94"/>
    <w:rsid w:val="00A504C0"/>
    <w:rsid w:val="00A5067F"/>
    <w:rsid w:val="00A517C1"/>
    <w:rsid w:val="00A518E0"/>
    <w:rsid w:val="00A5408A"/>
    <w:rsid w:val="00A5430D"/>
    <w:rsid w:val="00A55301"/>
    <w:rsid w:val="00A572FB"/>
    <w:rsid w:val="00A57B3C"/>
    <w:rsid w:val="00A57F1B"/>
    <w:rsid w:val="00A600D2"/>
    <w:rsid w:val="00A6128E"/>
    <w:rsid w:val="00A62CE1"/>
    <w:rsid w:val="00A631FA"/>
    <w:rsid w:val="00A64203"/>
    <w:rsid w:val="00A64348"/>
    <w:rsid w:val="00A644E1"/>
    <w:rsid w:val="00A66784"/>
    <w:rsid w:val="00A6766C"/>
    <w:rsid w:val="00A70765"/>
    <w:rsid w:val="00A711B0"/>
    <w:rsid w:val="00A71279"/>
    <w:rsid w:val="00A721FB"/>
    <w:rsid w:val="00A727BA"/>
    <w:rsid w:val="00A72D4B"/>
    <w:rsid w:val="00A732AE"/>
    <w:rsid w:val="00A74192"/>
    <w:rsid w:val="00A750EB"/>
    <w:rsid w:val="00A75837"/>
    <w:rsid w:val="00A75E40"/>
    <w:rsid w:val="00A76B12"/>
    <w:rsid w:val="00A76EF2"/>
    <w:rsid w:val="00A7727E"/>
    <w:rsid w:val="00A77EB2"/>
    <w:rsid w:val="00A81094"/>
    <w:rsid w:val="00A82B66"/>
    <w:rsid w:val="00A82C52"/>
    <w:rsid w:val="00A83B58"/>
    <w:rsid w:val="00A84D7D"/>
    <w:rsid w:val="00A84FAF"/>
    <w:rsid w:val="00A851B6"/>
    <w:rsid w:val="00A85729"/>
    <w:rsid w:val="00A8574B"/>
    <w:rsid w:val="00A857C0"/>
    <w:rsid w:val="00A85F5E"/>
    <w:rsid w:val="00A90343"/>
    <w:rsid w:val="00A91336"/>
    <w:rsid w:val="00A9221C"/>
    <w:rsid w:val="00A92277"/>
    <w:rsid w:val="00A92916"/>
    <w:rsid w:val="00A929D1"/>
    <w:rsid w:val="00A94628"/>
    <w:rsid w:val="00A94954"/>
    <w:rsid w:val="00A9497A"/>
    <w:rsid w:val="00A949A6"/>
    <w:rsid w:val="00A96241"/>
    <w:rsid w:val="00A96463"/>
    <w:rsid w:val="00A97E3F"/>
    <w:rsid w:val="00AA09D3"/>
    <w:rsid w:val="00AA1356"/>
    <w:rsid w:val="00AA220F"/>
    <w:rsid w:val="00AA23FB"/>
    <w:rsid w:val="00AA34FE"/>
    <w:rsid w:val="00AA42AB"/>
    <w:rsid w:val="00AA4A76"/>
    <w:rsid w:val="00AA559A"/>
    <w:rsid w:val="00AA57A4"/>
    <w:rsid w:val="00AA5F10"/>
    <w:rsid w:val="00AB0BB9"/>
    <w:rsid w:val="00AB104D"/>
    <w:rsid w:val="00AB1441"/>
    <w:rsid w:val="00AB1653"/>
    <w:rsid w:val="00AB2AF1"/>
    <w:rsid w:val="00AB440B"/>
    <w:rsid w:val="00AB47E3"/>
    <w:rsid w:val="00AB4D2A"/>
    <w:rsid w:val="00AB4E33"/>
    <w:rsid w:val="00AB74C5"/>
    <w:rsid w:val="00AB75A7"/>
    <w:rsid w:val="00AB7BEE"/>
    <w:rsid w:val="00AB7DF2"/>
    <w:rsid w:val="00AC1E3F"/>
    <w:rsid w:val="00AC219A"/>
    <w:rsid w:val="00AC3D02"/>
    <w:rsid w:val="00AC4F18"/>
    <w:rsid w:val="00AC69CA"/>
    <w:rsid w:val="00AD0B46"/>
    <w:rsid w:val="00AD1094"/>
    <w:rsid w:val="00AD2565"/>
    <w:rsid w:val="00AD2862"/>
    <w:rsid w:val="00AD306C"/>
    <w:rsid w:val="00AD3424"/>
    <w:rsid w:val="00AD3E3F"/>
    <w:rsid w:val="00AD4FEF"/>
    <w:rsid w:val="00AD50D1"/>
    <w:rsid w:val="00AD59BB"/>
    <w:rsid w:val="00AD5D68"/>
    <w:rsid w:val="00AD6C73"/>
    <w:rsid w:val="00AD7D49"/>
    <w:rsid w:val="00AE06D0"/>
    <w:rsid w:val="00AE1B8A"/>
    <w:rsid w:val="00AE39DC"/>
    <w:rsid w:val="00AE3CDA"/>
    <w:rsid w:val="00AE481D"/>
    <w:rsid w:val="00AE608F"/>
    <w:rsid w:val="00AE6734"/>
    <w:rsid w:val="00AE7968"/>
    <w:rsid w:val="00AE7B2B"/>
    <w:rsid w:val="00AE7DFF"/>
    <w:rsid w:val="00AF128B"/>
    <w:rsid w:val="00AF1AEA"/>
    <w:rsid w:val="00AF2536"/>
    <w:rsid w:val="00AF2852"/>
    <w:rsid w:val="00AF3225"/>
    <w:rsid w:val="00AF4983"/>
    <w:rsid w:val="00AF4CA7"/>
    <w:rsid w:val="00AF518B"/>
    <w:rsid w:val="00AF5275"/>
    <w:rsid w:val="00AF5D62"/>
    <w:rsid w:val="00AF6367"/>
    <w:rsid w:val="00AF6A79"/>
    <w:rsid w:val="00AF6B7C"/>
    <w:rsid w:val="00AF724E"/>
    <w:rsid w:val="00AF73A9"/>
    <w:rsid w:val="00B01436"/>
    <w:rsid w:val="00B01C2C"/>
    <w:rsid w:val="00B0231C"/>
    <w:rsid w:val="00B03F5F"/>
    <w:rsid w:val="00B06EE1"/>
    <w:rsid w:val="00B07372"/>
    <w:rsid w:val="00B07C2A"/>
    <w:rsid w:val="00B10100"/>
    <w:rsid w:val="00B128E5"/>
    <w:rsid w:val="00B13681"/>
    <w:rsid w:val="00B13BCE"/>
    <w:rsid w:val="00B15DCD"/>
    <w:rsid w:val="00B16201"/>
    <w:rsid w:val="00B17E71"/>
    <w:rsid w:val="00B17FDE"/>
    <w:rsid w:val="00B208FC"/>
    <w:rsid w:val="00B20C65"/>
    <w:rsid w:val="00B22E17"/>
    <w:rsid w:val="00B25567"/>
    <w:rsid w:val="00B25E31"/>
    <w:rsid w:val="00B266C5"/>
    <w:rsid w:val="00B27293"/>
    <w:rsid w:val="00B300E8"/>
    <w:rsid w:val="00B301BB"/>
    <w:rsid w:val="00B30737"/>
    <w:rsid w:val="00B321E3"/>
    <w:rsid w:val="00B3229E"/>
    <w:rsid w:val="00B32DDB"/>
    <w:rsid w:val="00B3447A"/>
    <w:rsid w:val="00B3448C"/>
    <w:rsid w:val="00B34931"/>
    <w:rsid w:val="00B35174"/>
    <w:rsid w:val="00B35BEA"/>
    <w:rsid w:val="00B365CB"/>
    <w:rsid w:val="00B37915"/>
    <w:rsid w:val="00B3793D"/>
    <w:rsid w:val="00B41BE6"/>
    <w:rsid w:val="00B42831"/>
    <w:rsid w:val="00B428A4"/>
    <w:rsid w:val="00B428EA"/>
    <w:rsid w:val="00B457E7"/>
    <w:rsid w:val="00B45D1B"/>
    <w:rsid w:val="00B45DE5"/>
    <w:rsid w:val="00B46D25"/>
    <w:rsid w:val="00B47430"/>
    <w:rsid w:val="00B47AC6"/>
    <w:rsid w:val="00B52D2D"/>
    <w:rsid w:val="00B534EF"/>
    <w:rsid w:val="00B548DA"/>
    <w:rsid w:val="00B55BA8"/>
    <w:rsid w:val="00B55F15"/>
    <w:rsid w:val="00B561A6"/>
    <w:rsid w:val="00B57CC4"/>
    <w:rsid w:val="00B60062"/>
    <w:rsid w:val="00B6206C"/>
    <w:rsid w:val="00B62960"/>
    <w:rsid w:val="00B63A11"/>
    <w:rsid w:val="00B63FD0"/>
    <w:rsid w:val="00B6493D"/>
    <w:rsid w:val="00B6553E"/>
    <w:rsid w:val="00B65C84"/>
    <w:rsid w:val="00B6608F"/>
    <w:rsid w:val="00B67E42"/>
    <w:rsid w:val="00B73180"/>
    <w:rsid w:val="00B74317"/>
    <w:rsid w:val="00B75700"/>
    <w:rsid w:val="00B760C1"/>
    <w:rsid w:val="00B76D1E"/>
    <w:rsid w:val="00B77BC8"/>
    <w:rsid w:val="00B77FB7"/>
    <w:rsid w:val="00B800EB"/>
    <w:rsid w:val="00B822D2"/>
    <w:rsid w:val="00B823F1"/>
    <w:rsid w:val="00B831B4"/>
    <w:rsid w:val="00B83D46"/>
    <w:rsid w:val="00B848B8"/>
    <w:rsid w:val="00B84A41"/>
    <w:rsid w:val="00B84D57"/>
    <w:rsid w:val="00B8504B"/>
    <w:rsid w:val="00B853C2"/>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55C"/>
    <w:rsid w:val="00B979A0"/>
    <w:rsid w:val="00BA094F"/>
    <w:rsid w:val="00BA0DED"/>
    <w:rsid w:val="00BA0F99"/>
    <w:rsid w:val="00BA28FD"/>
    <w:rsid w:val="00BA6D2C"/>
    <w:rsid w:val="00BB0274"/>
    <w:rsid w:val="00BB0B13"/>
    <w:rsid w:val="00BB1CFD"/>
    <w:rsid w:val="00BB2C53"/>
    <w:rsid w:val="00BB32DA"/>
    <w:rsid w:val="00BB3A54"/>
    <w:rsid w:val="00BB4286"/>
    <w:rsid w:val="00BB462A"/>
    <w:rsid w:val="00BB4D26"/>
    <w:rsid w:val="00BB4E21"/>
    <w:rsid w:val="00BB62F2"/>
    <w:rsid w:val="00BB6F86"/>
    <w:rsid w:val="00BB7746"/>
    <w:rsid w:val="00BC22EB"/>
    <w:rsid w:val="00BC682B"/>
    <w:rsid w:val="00BC68BA"/>
    <w:rsid w:val="00BC6B04"/>
    <w:rsid w:val="00BC6D27"/>
    <w:rsid w:val="00BD059A"/>
    <w:rsid w:val="00BD0CBB"/>
    <w:rsid w:val="00BD186B"/>
    <w:rsid w:val="00BD1EAC"/>
    <w:rsid w:val="00BD254C"/>
    <w:rsid w:val="00BD3428"/>
    <w:rsid w:val="00BD366B"/>
    <w:rsid w:val="00BD3F01"/>
    <w:rsid w:val="00BD5217"/>
    <w:rsid w:val="00BD5298"/>
    <w:rsid w:val="00BD534C"/>
    <w:rsid w:val="00BD557B"/>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BF7F08"/>
    <w:rsid w:val="00BF7F28"/>
    <w:rsid w:val="00C00831"/>
    <w:rsid w:val="00C00F20"/>
    <w:rsid w:val="00C01354"/>
    <w:rsid w:val="00C01700"/>
    <w:rsid w:val="00C01B84"/>
    <w:rsid w:val="00C034E6"/>
    <w:rsid w:val="00C05715"/>
    <w:rsid w:val="00C05926"/>
    <w:rsid w:val="00C06B8B"/>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711F"/>
    <w:rsid w:val="00C17E38"/>
    <w:rsid w:val="00C20027"/>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4E"/>
    <w:rsid w:val="00C300C6"/>
    <w:rsid w:val="00C30828"/>
    <w:rsid w:val="00C30924"/>
    <w:rsid w:val="00C31DD8"/>
    <w:rsid w:val="00C3271C"/>
    <w:rsid w:val="00C32A35"/>
    <w:rsid w:val="00C34AEA"/>
    <w:rsid w:val="00C34FDE"/>
    <w:rsid w:val="00C35C16"/>
    <w:rsid w:val="00C36EC3"/>
    <w:rsid w:val="00C408BB"/>
    <w:rsid w:val="00C40E09"/>
    <w:rsid w:val="00C40F81"/>
    <w:rsid w:val="00C41463"/>
    <w:rsid w:val="00C41A06"/>
    <w:rsid w:val="00C41A72"/>
    <w:rsid w:val="00C42D45"/>
    <w:rsid w:val="00C43CB1"/>
    <w:rsid w:val="00C4422D"/>
    <w:rsid w:val="00C45380"/>
    <w:rsid w:val="00C466D1"/>
    <w:rsid w:val="00C476C5"/>
    <w:rsid w:val="00C503B0"/>
    <w:rsid w:val="00C511C2"/>
    <w:rsid w:val="00C527C6"/>
    <w:rsid w:val="00C538FC"/>
    <w:rsid w:val="00C53CDB"/>
    <w:rsid w:val="00C53D82"/>
    <w:rsid w:val="00C54748"/>
    <w:rsid w:val="00C574CF"/>
    <w:rsid w:val="00C575FB"/>
    <w:rsid w:val="00C6017B"/>
    <w:rsid w:val="00C60696"/>
    <w:rsid w:val="00C60943"/>
    <w:rsid w:val="00C60EEF"/>
    <w:rsid w:val="00C610C5"/>
    <w:rsid w:val="00C6121D"/>
    <w:rsid w:val="00C615F1"/>
    <w:rsid w:val="00C61627"/>
    <w:rsid w:val="00C63B1A"/>
    <w:rsid w:val="00C64E60"/>
    <w:rsid w:val="00C657A4"/>
    <w:rsid w:val="00C66589"/>
    <w:rsid w:val="00C6736C"/>
    <w:rsid w:val="00C7179C"/>
    <w:rsid w:val="00C71A1D"/>
    <w:rsid w:val="00C71EC4"/>
    <w:rsid w:val="00C7410A"/>
    <w:rsid w:val="00C74791"/>
    <w:rsid w:val="00C7591E"/>
    <w:rsid w:val="00C75C7E"/>
    <w:rsid w:val="00C75C9B"/>
    <w:rsid w:val="00C76D8E"/>
    <w:rsid w:val="00C774F6"/>
    <w:rsid w:val="00C77833"/>
    <w:rsid w:val="00C80953"/>
    <w:rsid w:val="00C80C9B"/>
    <w:rsid w:val="00C814FC"/>
    <w:rsid w:val="00C8180B"/>
    <w:rsid w:val="00C8335E"/>
    <w:rsid w:val="00C83F9C"/>
    <w:rsid w:val="00C84CE3"/>
    <w:rsid w:val="00C85614"/>
    <w:rsid w:val="00C86127"/>
    <w:rsid w:val="00C9003C"/>
    <w:rsid w:val="00C90CF4"/>
    <w:rsid w:val="00C91C19"/>
    <w:rsid w:val="00C929A0"/>
    <w:rsid w:val="00C930FB"/>
    <w:rsid w:val="00C93389"/>
    <w:rsid w:val="00C937DB"/>
    <w:rsid w:val="00C94519"/>
    <w:rsid w:val="00C94E11"/>
    <w:rsid w:val="00C94E83"/>
    <w:rsid w:val="00C9567E"/>
    <w:rsid w:val="00C96F2A"/>
    <w:rsid w:val="00C97038"/>
    <w:rsid w:val="00C97D46"/>
    <w:rsid w:val="00CA02B2"/>
    <w:rsid w:val="00CA0883"/>
    <w:rsid w:val="00CA1085"/>
    <w:rsid w:val="00CA140F"/>
    <w:rsid w:val="00CA25C2"/>
    <w:rsid w:val="00CA37BB"/>
    <w:rsid w:val="00CA37CA"/>
    <w:rsid w:val="00CA39E1"/>
    <w:rsid w:val="00CA5016"/>
    <w:rsid w:val="00CA5724"/>
    <w:rsid w:val="00CA6508"/>
    <w:rsid w:val="00CA6BA1"/>
    <w:rsid w:val="00CA6CD5"/>
    <w:rsid w:val="00CA6D0B"/>
    <w:rsid w:val="00CB1910"/>
    <w:rsid w:val="00CB2150"/>
    <w:rsid w:val="00CB28EE"/>
    <w:rsid w:val="00CB2B15"/>
    <w:rsid w:val="00CB2EEA"/>
    <w:rsid w:val="00CB39FE"/>
    <w:rsid w:val="00CB43A7"/>
    <w:rsid w:val="00CB4DF1"/>
    <w:rsid w:val="00CB5852"/>
    <w:rsid w:val="00CB5996"/>
    <w:rsid w:val="00CB6809"/>
    <w:rsid w:val="00CB7452"/>
    <w:rsid w:val="00CC0E10"/>
    <w:rsid w:val="00CC1DAF"/>
    <w:rsid w:val="00CC21A6"/>
    <w:rsid w:val="00CC2642"/>
    <w:rsid w:val="00CC2967"/>
    <w:rsid w:val="00CC2A1E"/>
    <w:rsid w:val="00CC2A36"/>
    <w:rsid w:val="00CC2E15"/>
    <w:rsid w:val="00CC3440"/>
    <w:rsid w:val="00CC351B"/>
    <w:rsid w:val="00CC3908"/>
    <w:rsid w:val="00CC4F3D"/>
    <w:rsid w:val="00CC5BC5"/>
    <w:rsid w:val="00CC62AD"/>
    <w:rsid w:val="00CC6CA2"/>
    <w:rsid w:val="00CC7086"/>
    <w:rsid w:val="00CC7B80"/>
    <w:rsid w:val="00CD0080"/>
    <w:rsid w:val="00CD0779"/>
    <w:rsid w:val="00CD2B3C"/>
    <w:rsid w:val="00CD30F6"/>
    <w:rsid w:val="00CD4B29"/>
    <w:rsid w:val="00CD5493"/>
    <w:rsid w:val="00CD6607"/>
    <w:rsid w:val="00CD67CA"/>
    <w:rsid w:val="00CD6954"/>
    <w:rsid w:val="00CD6DA3"/>
    <w:rsid w:val="00CD6EF1"/>
    <w:rsid w:val="00CD7E35"/>
    <w:rsid w:val="00CE0849"/>
    <w:rsid w:val="00CE21C7"/>
    <w:rsid w:val="00CE2682"/>
    <w:rsid w:val="00CE2756"/>
    <w:rsid w:val="00CE442A"/>
    <w:rsid w:val="00CE44CE"/>
    <w:rsid w:val="00CE4DEB"/>
    <w:rsid w:val="00CE57D8"/>
    <w:rsid w:val="00CE5F03"/>
    <w:rsid w:val="00CE617A"/>
    <w:rsid w:val="00CE65E7"/>
    <w:rsid w:val="00CE6E3C"/>
    <w:rsid w:val="00CE7158"/>
    <w:rsid w:val="00CE797F"/>
    <w:rsid w:val="00CF107E"/>
    <w:rsid w:val="00CF15BF"/>
    <w:rsid w:val="00CF25D2"/>
    <w:rsid w:val="00CF28C2"/>
    <w:rsid w:val="00CF3D3A"/>
    <w:rsid w:val="00CF42BD"/>
    <w:rsid w:val="00CF51EC"/>
    <w:rsid w:val="00CF58ED"/>
    <w:rsid w:val="00CF6A9D"/>
    <w:rsid w:val="00CF6CD7"/>
    <w:rsid w:val="00CF7276"/>
    <w:rsid w:val="00CF75EC"/>
    <w:rsid w:val="00D002DF"/>
    <w:rsid w:val="00D0037A"/>
    <w:rsid w:val="00D0061E"/>
    <w:rsid w:val="00D00DAF"/>
    <w:rsid w:val="00D0103D"/>
    <w:rsid w:val="00D017EC"/>
    <w:rsid w:val="00D01CDA"/>
    <w:rsid w:val="00D020FC"/>
    <w:rsid w:val="00D024A1"/>
    <w:rsid w:val="00D03866"/>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6923"/>
    <w:rsid w:val="00D27856"/>
    <w:rsid w:val="00D27D34"/>
    <w:rsid w:val="00D3006B"/>
    <w:rsid w:val="00D301CA"/>
    <w:rsid w:val="00D30740"/>
    <w:rsid w:val="00D31075"/>
    <w:rsid w:val="00D31445"/>
    <w:rsid w:val="00D31932"/>
    <w:rsid w:val="00D32AE0"/>
    <w:rsid w:val="00D360DA"/>
    <w:rsid w:val="00D374B3"/>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2F9A"/>
    <w:rsid w:val="00D547BA"/>
    <w:rsid w:val="00D55626"/>
    <w:rsid w:val="00D556BC"/>
    <w:rsid w:val="00D5626D"/>
    <w:rsid w:val="00D56631"/>
    <w:rsid w:val="00D577A4"/>
    <w:rsid w:val="00D57E4B"/>
    <w:rsid w:val="00D60277"/>
    <w:rsid w:val="00D60336"/>
    <w:rsid w:val="00D61B06"/>
    <w:rsid w:val="00D61F88"/>
    <w:rsid w:val="00D62688"/>
    <w:rsid w:val="00D62901"/>
    <w:rsid w:val="00D6345E"/>
    <w:rsid w:val="00D64583"/>
    <w:rsid w:val="00D645E4"/>
    <w:rsid w:val="00D6470C"/>
    <w:rsid w:val="00D64853"/>
    <w:rsid w:val="00D64CB5"/>
    <w:rsid w:val="00D66D48"/>
    <w:rsid w:val="00D7162F"/>
    <w:rsid w:val="00D72897"/>
    <w:rsid w:val="00D73256"/>
    <w:rsid w:val="00D73A30"/>
    <w:rsid w:val="00D73E6F"/>
    <w:rsid w:val="00D74ABF"/>
    <w:rsid w:val="00D74C65"/>
    <w:rsid w:val="00D74E97"/>
    <w:rsid w:val="00D74F21"/>
    <w:rsid w:val="00D758D0"/>
    <w:rsid w:val="00D75DC2"/>
    <w:rsid w:val="00D75DC3"/>
    <w:rsid w:val="00D766EF"/>
    <w:rsid w:val="00D76C03"/>
    <w:rsid w:val="00D77F8D"/>
    <w:rsid w:val="00D80E07"/>
    <w:rsid w:val="00D8119B"/>
    <w:rsid w:val="00D81906"/>
    <w:rsid w:val="00D81B44"/>
    <w:rsid w:val="00D82462"/>
    <w:rsid w:val="00D831C6"/>
    <w:rsid w:val="00D83EF3"/>
    <w:rsid w:val="00D84BD1"/>
    <w:rsid w:val="00D85773"/>
    <w:rsid w:val="00D85886"/>
    <w:rsid w:val="00D85D55"/>
    <w:rsid w:val="00D868CE"/>
    <w:rsid w:val="00D86DAE"/>
    <w:rsid w:val="00D90116"/>
    <w:rsid w:val="00D90C1E"/>
    <w:rsid w:val="00D91BDF"/>
    <w:rsid w:val="00D91F2C"/>
    <w:rsid w:val="00D9266B"/>
    <w:rsid w:val="00D93F09"/>
    <w:rsid w:val="00D94859"/>
    <w:rsid w:val="00D954C2"/>
    <w:rsid w:val="00D9640A"/>
    <w:rsid w:val="00D97BB8"/>
    <w:rsid w:val="00DA1318"/>
    <w:rsid w:val="00DA1382"/>
    <w:rsid w:val="00DA28B7"/>
    <w:rsid w:val="00DA2FE8"/>
    <w:rsid w:val="00DA4AF6"/>
    <w:rsid w:val="00DA7AB2"/>
    <w:rsid w:val="00DB016E"/>
    <w:rsid w:val="00DB06E9"/>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226A"/>
    <w:rsid w:val="00DC257F"/>
    <w:rsid w:val="00DC2A9F"/>
    <w:rsid w:val="00DC2FA9"/>
    <w:rsid w:val="00DC350B"/>
    <w:rsid w:val="00DC3790"/>
    <w:rsid w:val="00DC408A"/>
    <w:rsid w:val="00DC436D"/>
    <w:rsid w:val="00DC519B"/>
    <w:rsid w:val="00DC53D9"/>
    <w:rsid w:val="00DC5B3B"/>
    <w:rsid w:val="00DC6796"/>
    <w:rsid w:val="00DC6CC6"/>
    <w:rsid w:val="00DC78DF"/>
    <w:rsid w:val="00DC7D4C"/>
    <w:rsid w:val="00DD0726"/>
    <w:rsid w:val="00DD0821"/>
    <w:rsid w:val="00DD0E32"/>
    <w:rsid w:val="00DD1878"/>
    <w:rsid w:val="00DD1DC1"/>
    <w:rsid w:val="00DD2872"/>
    <w:rsid w:val="00DD2A62"/>
    <w:rsid w:val="00DD2BD0"/>
    <w:rsid w:val="00DD2BFE"/>
    <w:rsid w:val="00DD373E"/>
    <w:rsid w:val="00DD3867"/>
    <w:rsid w:val="00DD57AD"/>
    <w:rsid w:val="00DD7435"/>
    <w:rsid w:val="00DD7C6D"/>
    <w:rsid w:val="00DE009B"/>
    <w:rsid w:val="00DE08F8"/>
    <w:rsid w:val="00DE0C31"/>
    <w:rsid w:val="00DE0E40"/>
    <w:rsid w:val="00DE1460"/>
    <w:rsid w:val="00DE2ED9"/>
    <w:rsid w:val="00DE319A"/>
    <w:rsid w:val="00DE3BE8"/>
    <w:rsid w:val="00DE5403"/>
    <w:rsid w:val="00DF0615"/>
    <w:rsid w:val="00DF0DC3"/>
    <w:rsid w:val="00DF1FDA"/>
    <w:rsid w:val="00DF21FD"/>
    <w:rsid w:val="00DF2873"/>
    <w:rsid w:val="00DF293C"/>
    <w:rsid w:val="00DF34B2"/>
    <w:rsid w:val="00DF42DF"/>
    <w:rsid w:val="00DF4C74"/>
    <w:rsid w:val="00DF5578"/>
    <w:rsid w:val="00DF594F"/>
    <w:rsid w:val="00DF6CF8"/>
    <w:rsid w:val="00DF78DD"/>
    <w:rsid w:val="00DF7FEC"/>
    <w:rsid w:val="00E01B16"/>
    <w:rsid w:val="00E01C0E"/>
    <w:rsid w:val="00E02086"/>
    <w:rsid w:val="00E023BE"/>
    <w:rsid w:val="00E02740"/>
    <w:rsid w:val="00E03B27"/>
    <w:rsid w:val="00E03B58"/>
    <w:rsid w:val="00E04694"/>
    <w:rsid w:val="00E049F6"/>
    <w:rsid w:val="00E04CA9"/>
    <w:rsid w:val="00E05B2B"/>
    <w:rsid w:val="00E05EAD"/>
    <w:rsid w:val="00E06A2A"/>
    <w:rsid w:val="00E07F05"/>
    <w:rsid w:val="00E106A2"/>
    <w:rsid w:val="00E127E1"/>
    <w:rsid w:val="00E12BCE"/>
    <w:rsid w:val="00E144D2"/>
    <w:rsid w:val="00E144D6"/>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3313"/>
    <w:rsid w:val="00E34985"/>
    <w:rsid w:val="00E34E28"/>
    <w:rsid w:val="00E34E4A"/>
    <w:rsid w:val="00E365B3"/>
    <w:rsid w:val="00E366BB"/>
    <w:rsid w:val="00E372FD"/>
    <w:rsid w:val="00E37C45"/>
    <w:rsid w:val="00E40AAA"/>
    <w:rsid w:val="00E41A59"/>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C7"/>
    <w:rsid w:val="00E569C7"/>
    <w:rsid w:val="00E571F2"/>
    <w:rsid w:val="00E57429"/>
    <w:rsid w:val="00E60FCE"/>
    <w:rsid w:val="00E61EA8"/>
    <w:rsid w:val="00E62A33"/>
    <w:rsid w:val="00E63221"/>
    <w:rsid w:val="00E63960"/>
    <w:rsid w:val="00E63EC6"/>
    <w:rsid w:val="00E64AE4"/>
    <w:rsid w:val="00E64CFF"/>
    <w:rsid w:val="00E64EA1"/>
    <w:rsid w:val="00E6582D"/>
    <w:rsid w:val="00E669C7"/>
    <w:rsid w:val="00E67611"/>
    <w:rsid w:val="00E70510"/>
    <w:rsid w:val="00E71262"/>
    <w:rsid w:val="00E71A58"/>
    <w:rsid w:val="00E737F6"/>
    <w:rsid w:val="00E7568F"/>
    <w:rsid w:val="00E764AE"/>
    <w:rsid w:val="00E76F80"/>
    <w:rsid w:val="00E7724B"/>
    <w:rsid w:val="00E80E31"/>
    <w:rsid w:val="00E81130"/>
    <w:rsid w:val="00E83DAB"/>
    <w:rsid w:val="00E8484F"/>
    <w:rsid w:val="00E84F21"/>
    <w:rsid w:val="00E8618A"/>
    <w:rsid w:val="00E90A4B"/>
    <w:rsid w:val="00E90D67"/>
    <w:rsid w:val="00E90F73"/>
    <w:rsid w:val="00E910A7"/>
    <w:rsid w:val="00E9159D"/>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1CFB"/>
    <w:rsid w:val="00EA2169"/>
    <w:rsid w:val="00EA3EBE"/>
    <w:rsid w:val="00EA3FAC"/>
    <w:rsid w:val="00EA4153"/>
    <w:rsid w:val="00EA421A"/>
    <w:rsid w:val="00EA5CD6"/>
    <w:rsid w:val="00EA76FD"/>
    <w:rsid w:val="00EA77CA"/>
    <w:rsid w:val="00EA78FE"/>
    <w:rsid w:val="00EB03D4"/>
    <w:rsid w:val="00EB0555"/>
    <w:rsid w:val="00EB20A0"/>
    <w:rsid w:val="00EB29CA"/>
    <w:rsid w:val="00EB2CE9"/>
    <w:rsid w:val="00EB30B6"/>
    <w:rsid w:val="00EB4FA4"/>
    <w:rsid w:val="00EB5146"/>
    <w:rsid w:val="00EB522B"/>
    <w:rsid w:val="00EB55E9"/>
    <w:rsid w:val="00EB5641"/>
    <w:rsid w:val="00EB5BA3"/>
    <w:rsid w:val="00EB5CA9"/>
    <w:rsid w:val="00EB5ED4"/>
    <w:rsid w:val="00EB6537"/>
    <w:rsid w:val="00EB70E1"/>
    <w:rsid w:val="00EB7EB5"/>
    <w:rsid w:val="00EC0860"/>
    <w:rsid w:val="00EC0EC1"/>
    <w:rsid w:val="00EC424C"/>
    <w:rsid w:val="00EC454B"/>
    <w:rsid w:val="00EC4941"/>
    <w:rsid w:val="00EC6153"/>
    <w:rsid w:val="00EC6D4B"/>
    <w:rsid w:val="00EC7F92"/>
    <w:rsid w:val="00ED00A8"/>
    <w:rsid w:val="00ED0A79"/>
    <w:rsid w:val="00ED2989"/>
    <w:rsid w:val="00ED2B0B"/>
    <w:rsid w:val="00ED2CA5"/>
    <w:rsid w:val="00ED336F"/>
    <w:rsid w:val="00ED390A"/>
    <w:rsid w:val="00ED3A94"/>
    <w:rsid w:val="00ED40F0"/>
    <w:rsid w:val="00ED4AC0"/>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E75"/>
    <w:rsid w:val="00EF1D92"/>
    <w:rsid w:val="00EF1ED5"/>
    <w:rsid w:val="00EF1F5A"/>
    <w:rsid w:val="00EF3486"/>
    <w:rsid w:val="00EF3CF0"/>
    <w:rsid w:val="00EF4685"/>
    <w:rsid w:val="00EF5397"/>
    <w:rsid w:val="00EF63CC"/>
    <w:rsid w:val="00EF6BE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6D"/>
    <w:rsid w:val="00F11AD5"/>
    <w:rsid w:val="00F126D0"/>
    <w:rsid w:val="00F12A83"/>
    <w:rsid w:val="00F14ACD"/>
    <w:rsid w:val="00F15309"/>
    <w:rsid w:val="00F15BEF"/>
    <w:rsid w:val="00F15FBB"/>
    <w:rsid w:val="00F160EC"/>
    <w:rsid w:val="00F172BE"/>
    <w:rsid w:val="00F1776C"/>
    <w:rsid w:val="00F2037E"/>
    <w:rsid w:val="00F20D17"/>
    <w:rsid w:val="00F2103E"/>
    <w:rsid w:val="00F214FC"/>
    <w:rsid w:val="00F21C31"/>
    <w:rsid w:val="00F23825"/>
    <w:rsid w:val="00F2389A"/>
    <w:rsid w:val="00F23F6C"/>
    <w:rsid w:val="00F23FFF"/>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8E3"/>
    <w:rsid w:val="00F35ACD"/>
    <w:rsid w:val="00F365BF"/>
    <w:rsid w:val="00F36BF8"/>
    <w:rsid w:val="00F375BA"/>
    <w:rsid w:val="00F37760"/>
    <w:rsid w:val="00F403D1"/>
    <w:rsid w:val="00F4272E"/>
    <w:rsid w:val="00F43921"/>
    <w:rsid w:val="00F44E1B"/>
    <w:rsid w:val="00F4524F"/>
    <w:rsid w:val="00F45530"/>
    <w:rsid w:val="00F4591F"/>
    <w:rsid w:val="00F47321"/>
    <w:rsid w:val="00F4736B"/>
    <w:rsid w:val="00F47804"/>
    <w:rsid w:val="00F47997"/>
    <w:rsid w:val="00F47D05"/>
    <w:rsid w:val="00F50030"/>
    <w:rsid w:val="00F502F5"/>
    <w:rsid w:val="00F50B9D"/>
    <w:rsid w:val="00F51FC9"/>
    <w:rsid w:val="00F529EE"/>
    <w:rsid w:val="00F52AE1"/>
    <w:rsid w:val="00F53243"/>
    <w:rsid w:val="00F541ED"/>
    <w:rsid w:val="00F54B31"/>
    <w:rsid w:val="00F54FD3"/>
    <w:rsid w:val="00F554F9"/>
    <w:rsid w:val="00F55605"/>
    <w:rsid w:val="00F56375"/>
    <w:rsid w:val="00F57CD7"/>
    <w:rsid w:val="00F6080A"/>
    <w:rsid w:val="00F61BFE"/>
    <w:rsid w:val="00F62F02"/>
    <w:rsid w:val="00F6339F"/>
    <w:rsid w:val="00F63DDE"/>
    <w:rsid w:val="00F63FB7"/>
    <w:rsid w:val="00F64726"/>
    <w:rsid w:val="00F64F44"/>
    <w:rsid w:val="00F6561A"/>
    <w:rsid w:val="00F66243"/>
    <w:rsid w:val="00F66CA8"/>
    <w:rsid w:val="00F67BDA"/>
    <w:rsid w:val="00F70309"/>
    <w:rsid w:val="00F7078A"/>
    <w:rsid w:val="00F70E45"/>
    <w:rsid w:val="00F727D5"/>
    <w:rsid w:val="00F72F44"/>
    <w:rsid w:val="00F73A0C"/>
    <w:rsid w:val="00F7593B"/>
    <w:rsid w:val="00F759DC"/>
    <w:rsid w:val="00F76563"/>
    <w:rsid w:val="00F7717C"/>
    <w:rsid w:val="00F771A5"/>
    <w:rsid w:val="00F80021"/>
    <w:rsid w:val="00F80D1E"/>
    <w:rsid w:val="00F817A4"/>
    <w:rsid w:val="00F81C3A"/>
    <w:rsid w:val="00F83573"/>
    <w:rsid w:val="00F835E1"/>
    <w:rsid w:val="00F835FC"/>
    <w:rsid w:val="00F8373A"/>
    <w:rsid w:val="00F83E21"/>
    <w:rsid w:val="00F83FA4"/>
    <w:rsid w:val="00F8410C"/>
    <w:rsid w:val="00F84E18"/>
    <w:rsid w:val="00F852E5"/>
    <w:rsid w:val="00F853A5"/>
    <w:rsid w:val="00F90350"/>
    <w:rsid w:val="00F91EAF"/>
    <w:rsid w:val="00F9310A"/>
    <w:rsid w:val="00F94681"/>
    <w:rsid w:val="00F95117"/>
    <w:rsid w:val="00F97ED2"/>
    <w:rsid w:val="00FA05D7"/>
    <w:rsid w:val="00FA16BD"/>
    <w:rsid w:val="00FA1992"/>
    <w:rsid w:val="00FA1C6C"/>
    <w:rsid w:val="00FA2447"/>
    <w:rsid w:val="00FA2A4A"/>
    <w:rsid w:val="00FA2BDE"/>
    <w:rsid w:val="00FA2C2A"/>
    <w:rsid w:val="00FA309A"/>
    <w:rsid w:val="00FA6B3F"/>
    <w:rsid w:val="00FA7644"/>
    <w:rsid w:val="00FB0A9A"/>
    <w:rsid w:val="00FB16AD"/>
    <w:rsid w:val="00FB1F21"/>
    <w:rsid w:val="00FB332E"/>
    <w:rsid w:val="00FB3763"/>
    <w:rsid w:val="00FB483B"/>
    <w:rsid w:val="00FB56F1"/>
    <w:rsid w:val="00FB5FD4"/>
    <w:rsid w:val="00FB6398"/>
    <w:rsid w:val="00FB67F3"/>
    <w:rsid w:val="00FB6AF4"/>
    <w:rsid w:val="00FC0D8A"/>
    <w:rsid w:val="00FC0E5F"/>
    <w:rsid w:val="00FC135D"/>
    <w:rsid w:val="00FC26FB"/>
    <w:rsid w:val="00FC2CF4"/>
    <w:rsid w:val="00FC3C84"/>
    <w:rsid w:val="00FC4660"/>
    <w:rsid w:val="00FC56DE"/>
    <w:rsid w:val="00FC5E01"/>
    <w:rsid w:val="00FC6140"/>
    <w:rsid w:val="00FC6DB5"/>
    <w:rsid w:val="00FD1261"/>
    <w:rsid w:val="00FD1627"/>
    <w:rsid w:val="00FD1BBD"/>
    <w:rsid w:val="00FD38B2"/>
    <w:rsid w:val="00FD43A0"/>
    <w:rsid w:val="00FD473D"/>
    <w:rsid w:val="00FD55BA"/>
    <w:rsid w:val="00FD61C8"/>
    <w:rsid w:val="00FD63CE"/>
    <w:rsid w:val="00FD7D49"/>
    <w:rsid w:val="00FE1251"/>
    <w:rsid w:val="00FE16E6"/>
    <w:rsid w:val="00FE2F78"/>
    <w:rsid w:val="00FE3510"/>
    <w:rsid w:val="00FE371D"/>
    <w:rsid w:val="00FE375F"/>
    <w:rsid w:val="00FE3D8B"/>
    <w:rsid w:val="00FE4FCB"/>
    <w:rsid w:val="00FE53AD"/>
    <w:rsid w:val="00FE688F"/>
    <w:rsid w:val="00FE705E"/>
    <w:rsid w:val="00FF02EB"/>
    <w:rsid w:val="00FF288B"/>
    <w:rsid w:val="00FF28E0"/>
    <w:rsid w:val="00FF2FB4"/>
    <w:rsid w:val="00FF30B3"/>
    <w:rsid w:val="00FF3DF3"/>
    <w:rsid w:val="00FF4027"/>
    <w:rsid w:val="00FF45A2"/>
    <w:rsid w:val="00FF55B1"/>
    <w:rsid w:val="00FF65DF"/>
    <w:rsid w:val="00FF761D"/>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357A0D"/>
    <w:rPr>
      <w:b/>
      <w:bCs/>
    </w:rPr>
  </w:style>
  <w:style w:type="character" w:customStyle="1" w:styleId="PedmtkomenteChar">
    <w:name w:val="Předmět komentáře Char"/>
    <w:basedOn w:val="TextkomenteChar"/>
    <w:link w:val="Pedmtkomente"/>
    <w:uiPriority w:val="99"/>
    <w:semiHidden/>
    <w:rsid w:val="00357A0D"/>
    <w:rPr>
      <w:rFonts w:ascii="Arial" w:hAnsi="Arial"/>
      <w:b/>
      <w:bCs/>
    </w:rPr>
  </w:style>
  <w:style w:type="paragraph" w:styleId="Revize">
    <w:name w:val="Revision"/>
    <w:hidden/>
    <w:uiPriority w:val="99"/>
    <w:semiHidden/>
    <w:rsid w:val="001459A7"/>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 Id="rId43"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kap.%20odv&#283;tv&#237;\Odv&#283;tv&#237;%20grafy-1-3.q-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kap.%20odv&#283;tv&#237;\Odv&#283;tv&#237;%20grafy-1-3.q-201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QMakro\1-.3.&#269;tvrtlet&#237;%202017\kap.%20odv&#283;tv&#237;\Odv&#283;tv&#237;%20grafy-1-3.q-201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JKAM%20CSU\PUBLIKACE\PUBLIKACE\2017\QMakro\1-.3.&#269;tvrtlet&#237;%202017\kap.%20odv&#283;tv&#237;\Odv&#283;tv&#237;%20grafy-1-3.q-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2040029038385534E-2"/>
          <c:y val="1.9513175616352643E-2"/>
          <c:w val="0.92433548575002844"/>
          <c:h val="0.75083417764269356"/>
        </c:manualLayout>
      </c:layout>
      <c:barChart>
        <c:barDir val="col"/>
        <c:grouping val="clustered"/>
        <c:ser>
          <c:idx val="0"/>
          <c:order val="0"/>
          <c:tx>
            <c:strRef>
              <c:f>'výkonnost odvětví 1'!$B$30</c:f>
              <c:strCache>
                <c:ptCount val="1"/>
                <c:pt idx="0">
                  <c:v>Průmysl celkem (B+C+D)</c:v>
                </c:pt>
              </c:strCache>
            </c:strRef>
          </c:tx>
          <c:spPr>
            <a:solidFill>
              <a:schemeClr val="bg1">
                <a:lumMod val="65000"/>
              </a:schemeClr>
            </a:solidFill>
            <a:ln w="12700">
              <a:noFill/>
              <a:prstDash val="solid"/>
            </a:ln>
          </c:spP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1'!$C$30:$AG$30</c:f>
              <c:numCache>
                <c:formatCode>#,##0.0</c:formatCode>
                <c:ptCount val="31"/>
                <c:pt idx="0">
                  <c:v>4.8</c:v>
                </c:pt>
                <c:pt idx="1">
                  <c:v>7.8</c:v>
                </c:pt>
                <c:pt idx="2">
                  <c:v>10.5</c:v>
                </c:pt>
                <c:pt idx="3">
                  <c:v>9.5</c:v>
                </c:pt>
                <c:pt idx="4">
                  <c:v>9.9</c:v>
                </c:pt>
                <c:pt idx="5">
                  <c:v>8.3000000000000007</c:v>
                </c:pt>
                <c:pt idx="6">
                  <c:v>2.2999999999999998</c:v>
                </c:pt>
                <c:pt idx="7">
                  <c:v>3.4</c:v>
                </c:pt>
                <c:pt idx="8">
                  <c:v>1.4</c:v>
                </c:pt>
                <c:pt idx="9">
                  <c:v>0.8</c:v>
                </c:pt>
                <c:pt idx="10">
                  <c:v>0</c:v>
                </c:pt>
                <c:pt idx="11">
                  <c:v>-5.2</c:v>
                </c:pt>
                <c:pt idx="12">
                  <c:v>-3.5</c:v>
                </c:pt>
                <c:pt idx="13">
                  <c:v>-3.1</c:v>
                </c:pt>
                <c:pt idx="14">
                  <c:v>1.2</c:v>
                </c:pt>
                <c:pt idx="15">
                  <c:v>6</c:v>
                </c:pt>
                <c:pt idx="16">
                  <c:v>6.5</c:v>
                </c:pt>
                <c:pt idx="17">
                  <c:v>6.4</c:v>
                </c:pt>
                <c:pt idx="18">
                  <c:v>3</c:v>
                </c:pt>
                <c:pt idx="19">
                  <c:v>4</c:v>
                </c:pt>
                <c:pt idx="20">
                  <c:v>5.0999999999999996</c:v>
                </c:pt>
                <c:pt idx="21">
                  <c:v>5.5</c:v>
                </c:pt>
                <c:pt idx="22">
                  <c:v>5.8</c:v>
                </c:pt>
                <c:pt idx="23">
                  <c:v>2.9</c:v>
                </c:pt>
                <c:pt idx="24">
                  <c:v>4</c:v>
                </c:pt>
                <c:pt idx="25">
                  <c:v>2.9</c:v>
                </c:pt>
                <c:pt idx="26">
                  <c:v>1.4</c:v>
                </c:pt>
                <c:pt idx="27">
                  <c:v>3.3</c:v>
                </c:pt>
                <c:pt idx="28">
                  <c:v>4.9000000000000004</c:v>
                </c:pt>
                <c:pt idx="29">
                  <c:v>6.8</c:v>
                </c:pt>
                <c:pt idx="30">
                  <c:v>5.9</c:v>
                </c:pt>
              </c:numCache>
            </c:numRef>
          </c:val>
          <c:extLst xmlns:c16r2="http://schemas.microsoft.com/office/drawing/2015/06/chart">
            <c:ext xmlns:c16="http://schemas.microsoft.com/office/drawing/2014/chart" uri="{C3380CC4-5D6E-409C-BE32-E72D297353CC}">
              <c16:uniqueId val="{00000000-4DD1-401B-B2AE-BCCCA77A00B3}"/>
            </c:ext>
          </c:extLst>
        </c:ser>
        <c:gapWidth val="30"/>
        <c:axId val="185083392"/>
        <c:axId val="204493952"/>
      </c:barChart>
      <c:lineChart>
        <c:grouping val="standard"/>
        <c:ser>
          <c:idx val="3"/>
          <c:order val="1"/>
          <c:tx>
            <c:strRef>
              <c:f>'výkonnost odvětví 1'!$B$31</c:f>
              <c:strCache>
                <c:ptCount val="1"/>
                <c:pt idx="0">
                  <c:v>Potravinářství a výroba nápojů</c:v>
                </c:pt>
              </c:strCache>
            </c:strRef>
          </c:tx>
          <c:spPr>
            <a:ln w="19050">
              <a:solidFill>
                <a:srgbClr val="7DBB2D"/>
              </a:solidFill>
              <a:prstDash val="solid"/>
            </a:ln>
          </c:spPr>
          <c:marker>
            <c:symbol val="none"/>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1'!$C$31:$AG$31</c:f>
              <c:numCache>
                <c:formatCode>#,##0.0</c:formatCode>
                <c:ptCount val="31"/>
                <c:pt idx="0">
                  <c:v>-1.4</c:v>
                </c:pt>
                <c:pt idx="1">
                  <c:v>-4.7</c:v>
                </c:pt>
                <c:pt idx="2">
                  <c:v>-3.1</c:v>
                </c:pt>
                <c:pt idx="3">
                  <c:v>-4.0999999999999996</c:v>
                </c:pt>
                <c:pt idx="4">
                  <c:v>-0.30000000000000032</c:v>
                </c:pt>
                <c:pt idx="5">
                  <c:v>0</c:v>
                </c:pt>
                <c:pt idx="6">
                  <c:v>-4.0999999999999996</c:v>
                </c:pt>
                <c:pt idx="7">
                  <c:v>-1.7</c:v>
                </c:pt>
                <c:pt idx="8">
                  <c:v>-4.3</c:v>
                </c:pt>
                <c:pt idx="9">
                  <c:v>-1.3</c:v>
                </c:pt>
                <c:pt idx="10">
                  <c:v>0</c:v>
                </c:pt>
                <c:pt idx="11">
                  <c:v>-1.8</c:v>
                </c:pt>
                <c:pt idx="12">
                  <c:v>1</c:v>
                </c:pt>
                <c:pt idx="13">
                  <c:v>-1.4</c:v>
                </c:pt>
                <c:pt idx="14">
                  <c:v>-1</c:v>
                </c:pt>
                <c:pt idx="15">
                  <c:v>0.8</c:v>
                </c:pt>
                <c:pt idx="16">
                  <c:v>2.4</c:v>
                </c:pt>
                <c:pt idx="17">
                  <c:v>4.2</c:v>
                </c:pt>
                <c:pt idx="18">
                  <c:v>0.60000000000000064</c:v>
                </c:pt>
                <c:pt idx="19">
                  <c:v>5.7</c:v>
                </c:pt>
                <c:pt idx="20">
                  <c:v>4.4000000000000004</c:v>
                </c:pt>
                <c:pt idx="21">
                  <c:v>1.1000000000000001</c:v>
                </c:pt>
                <c:pt idx="22">
                  <c:v>8.2000000000000011</c:v>
                </c:pt>
                <c:pt idx="23">
                  <c:v>3.8</c:v>
                </c:pt>
                <c:pt idx="24">
                  <c:v>-0.8</c:v>
                </c:pt>
                <c:pt idx="25">
                  <c:v>0.8</c:v>
                </c:pt>
                <c:pt idx="26">
                  <c:v>0.60000000000000064</c:v>
                </c:pt>
                <c:pt idx="27">
                  <c:v>-1.9000000000000001</c:v>
                </c:pt>
                <c:pt idx="28">
                  <c:v>2.6</c:v>
                </c:pt>
                <c:pt idx="29">
                  <c:v>5</c:v>
                </c:pt>
                <c:pt idx="30">
                  <c:v>-1.1000000000000001</c:v>
                </c:pt>
              </c:numCache>
            </c:numRef>
          </c:val>
          <c:extLst xmlns:c16r2="http://schemas.microsoft.com/office/drawing/2015/06/chart">
            <c:ext xmlns:c16="http://schemas.microsoft.com/office/drawing/2014/chart" uri="{C3380CC4-5D6E-409C-BE32-E72D297353CC}">
              <c16:uniqueId val="{00000001-4DD1-401B-B2AE-BCCCA77A00B3}"/>
            </c:ext>
          </c:extLst>
        </c:ser>
        <c:ser>
          <c:idx val="1"/>
          <c:order val="2"/>
          <c:tx>
            <c:strRef>
              <c:f>'výkonnost odvětví 1'!$B$32</c:f>
              <c:strCache>
                <c:ptCount val="1"/>
                <c:pt idx="0">
                  <c:v>Chemický průmysl</c:v>
                </c:pt>
              </c:strCache>
            </c:strRef>
          </c:tx>
          <c:spPr>
            <a:ln w="19050">
              <a:solidFill>
                <a:srgbClr val="F8A124"/>
              </a:solidFill>
            </a:ln>
          </c:spPr>
          <c:marker>
            <c:symbol val="none"/>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1'!$C$32:$AG$32</c:f>
              <c:numCache>
                <c:formatCode>#,##0.0</c:formatCode>
                <c:ptCount val="31"/>
                <c:pt idx="0">
                  <c:v>0</c:v>
                </c:pt>
                <c:pt idx="1">
                  <c:v>-1.3</c:v>
                </c:pt>
                <c:pt idx="2">
                  <c:v>13.8</c:v>
                </c:pt>
                <c:pt idx="3">
                  <c:v>12.1</c:v>
                </c:pt>
                <c:pt idx="4">
                  <c:v>2.6</c:v>
                </c:pt>
                <c:pt idx="5">
                  <c:v>-4.7</c:v>
                </c:pt>
                <c:pt idx="6">
                  <c:v>-8.5</c:v>
                </c:pt>
                <c:pt idx="7">
                  <c:v>-8</c:v>
                </c:pt>
                <c:pt idx="8">
                  <c:v>3.1</c:v>
                </c:pt>
                <c:pt idx="9">
                  <c:v>0.60000000000000064</c:v>
                </c:pt>
                <c:pt idx="10">
                  <c:v>10.1</c:v>
                </c:pt>
                <c:pt idx="11">
                  <c:v>6.8</c:v>
                </c:pt>
                <c:pt idx="12">
                  <c:v>-5.0999999999999996</c:v>
                </c:pt>
                <c:pt idx="13">
                  <c:v>-0.9</c:v>
                </c:pt>
                <c:pt idx="14">
                  <c:v>-9.9</c:v>
                </c:pt>
                <c:pt idx="15">
                  <c:v>4</c:v>
                </c:pt>
                <c:pt idx="16">
                  <c:v>9</c:v>
                </c:pt>
                <c:pt idx="17">
                  <c:v>9.7000000000000011</c:v>
                </c:pt>
                <c:pt idx="18">
                  <c:v>15.8</c:v>
                </c:pt>
                <c:pt idx="19">
                  <c:v>4.0999999999999996</c:v>
                </c:pt>
                <c:pt idx="20">
                  <c:v>2.9</c:v>
                </c:pt>
                <c:pt idx="21">
                  <c:v>3.5</c:v>
                </c:pt>
                <c:pt idx="22">
                  <c:v>-7.9</c:v>
                </c:pt>
                <c:pt idx="23">
                  <c:v>-15.9</c:v>
                </c:pt>
                <c:pt idx="24">
                  <c:v>-13.8</c:v>
                </c:pt>
                <c:pt idx="25">
                  <c:v>-16.399999999999999</c:v>
                </c:pt>
                <c:pt idx="26">
                  <c:v>-5.9</c:v>
                </c:pt>
                <c:pt idx="27">
                  <c:v>10.8</c:v>
                </c:pt>
                <c:pt idx="28">
                  <c:v>17.7</c:v>
                </c:pt>
                <c:pt idx="29">
                  <c:v>24</c:v>
                </c:pt>
                <c:pt idx="30">
                  <c:v>20.100000000000001</c:v>
                </c:pt>
              </c:numCache>
            </c:numRef>
          </c:val>
          <c:extLst xmlns:c16r2="http://schemas.microsoft.com/office/drawing/2015/06/chart">
            <c:ext xmlns:c16="http://schemas.microsoft.com/office/drawing/2014/chart" uri="{C3380CC4-5D6E-409C-BE32-E72D297353CC}">
              <c16:uniqueId val="{00000002-4DD1-401B-B2AE-BCCCA77A00B3}"/>
            </c:ext>
          </c:extLst>
        </c:ser>
        <c:ser>
          <c:idx val="7"/>
          <c:order val="3"/>
          <c:tx>
            <c:strRef>
              <c:f>'výkonnost odvětví 1'!$B$33</c:f>
              <c:strCache>
                <c:ptCount val="1"/>
                <c:pt idx="0">
                  <c:v>Výroba PC, elektronic. a optic. přístrojů</c:v>
                </c:pt>
              </c:strCache>
            </c:strRef>
          </c:tx>
          <c:spPr>
            <a:ln w="19050">
              <a:solidFill>
                <a:srgbClr val="48AEE7"/>
              </a:solidFill>
            </a:ln>
          </c:spPr>
          <c:marker>
            <c:symbol val="none"/>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1'!$C$33:$AG$33</c:f>
              <c:numCache>
                <c:formatCode>#,##0.0</c:formatCode>
                <c:ptCount val="31"/>
                <c:pt idx="0">
                  <c:v>13.6</c:v>
                </c:pt>
                <c:pt idx="1">
                  <c:v>36.9</c:v>
                </c:pt>
                <c:pt idx="2">
                  <c:v>39.1</c:v>
                </c:pt>
                <c:pt idx="3">
                  <c:v>27.2</c:v>
                </c:pt>
                <c:pt idx="4">
                  <c:v>12.5</c:v>
                </c:pt>
                <c:pt idx="5">
                  <c:v>6</c:v>
                </c:pt>
                <c:pt idx="6">
                  <c:v>-5.9</c:v>
                </c:pt>
                <c:pt idx="7">
                  <c:v>-18.399999999999999</c:v>
                </c:pt>
                <c:pt idx="8">
                  <c:v>-19</c:v>
                </c:pt>
                <c:pt idx="9">
                  <c:v>-22.7</c:v>
                </c:pt>
                <c:pt idx="10">
                  <c:v>-19.2</c:v>
                </c:pt>
                <c:pt idx="11">
                  <c:v>-13.5</c:v>
                </c:pt>
                <c:pt idx="12">
                  <c:v>10.6</c:v>
                </c:pt>
                <c:pt idx="13">
                  <c:v>13</c:v>
                </c:pt>
                <c:pt idx="14">
                  <c:v>18.100000000000001</c:v>
                </c:pt>
                <c:pt idx="15">
                  <c:v>22.1</c:v>
                </c:pt>
                <c:pt idx="16">
                  <c:v>18.3</c:v>
                </c:pt>
                <c:pt idx="17">
                  <c:v>19.2</c:v>
                </c:pt>
                <c:pt idx="18">
                  <c:v>14.5</c:v>
                </c:pt>
                <c:pt idx="19">
                  <c:v>21.4</c:v>
                </c:pt>
                <c:pt idx="20">
                  <c:v>7</c:v>
                </c:pt>
                <c:pt idx="21">
                  <c:v>3.5</c:v>
                </c:pt>
                <c:pt idx="22">
                  <c:v>3.1</c:v>
                </c:pt>
                <c:pt idx="23">
                  <c:v>-1.3</c:v>
                </c:pt>
                <c:pt idx="24">
                  <c:v>0.5</c:v>
                </c:pt>
                <c:pt idx="25">
                  <c:v>3.5</c:v>
                </c:pt>
                <c:pt idx="26">
                  <c:v>2.5</c:v>
                </c:pt>
                <c:pt idx="27">
                  <c:v>8.9</c:v>
                </c:pt>
                <c:pt idx="28">
                  <c:v>7.5</c:v>
                </c:pt>
                <c:pt idx="29">
                  <c:v>18.100000000000001</c:v>
                </c:pt>
                <c:pt idx="30">
                  <c:v>10</c:v>
                </c:pt>
              </c:numCache>
            </c:numRef>
          </c:val>
          <c:extLst xmlns:c16r2="http://schemas.microsoft.com/office/drawing/2015/06/chart">
            <c:ext xmlns:c16="http://schemas.microsoft.com/office/drawing/2014/chart" uri="{C3380CC4-5D6E-409C-BE32-E72D297353CC}">
              <c16:uniqueId val="{00000003-4DD1-401B-B2AE-BCCCA77A00B3}"/>
            </c:ext>
          </c:extLst>
        </c:ser>
        <c:ser>
          <c:idx val="2"/>
          <c:order val="4"/>
          <c:tx>
            <c:strRef>
              <c:f>'výkonnost odvětví 1'!$B$34</c:f>
              <c:strCache>
                <c:ptCount val="1"/>
                <c:pt idx="0">
                  <c:v>Výroba motor. voz.</c:v>
                </c:pt>
              </c:strCache>
            </c:strRef>
          </c:tx>
          <c:spPr>
            <a:ln w="19050">
              <a:solidFill>
                <a:srgbClr val="BD1B21"/>
              </a:solidFill>
              <a:prstDash val="solid"/>
            </a:ln>
          </c:spPr>
          <c:marker>
            <c:symbol val="none"/>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1'!$C$34:$AG$34</c:f>
              <c:numCache>
                <c:formatCode>#,##0.0</c:formatCode>
                <c:ptCount val="31"/>
                <c:pt idx="0">
                  <c:v>36.200000000000003</c:v>
                </c:pt>
                <c:pt idx="1">
                  <c:v>18.399999999999999</c:v>
                </c:pt>
                <c:pt idx="2">
                  <c:v>13.3</c:v>
                </c:pt>
                <c:pt idx="3">
                  <c:v>21.4</c:v>
                </c:pt>
                <c:pt idx="4">
                  <c:v>27.1</c:v>
                </c:pt>
                <c:pt idx="5">
                  <c:v>21.6</c:v>
                </c:pt>
                <c:pt idx="6">
                  <c:v>20.8</c:v>
                </c:pt>
                <c:pt idx="7">
                  <c:v>16</c:v>
                </c:pt>
                <c:pt idx="8">
                  <c:v>9.9</c:v>
                </c:pt>
                <c:pt idx="9">
                  <c:v>4.3</c:v>
                </c:pt>
                <c:pt idx="10">
                  <c:v>-2.9</c:v>
                </c:pt>
                <c:pt idx="11">
                  <c:v>-6.9</c:v>
                </c:pt>
                <c:pt idx="12">
                  <c:v>-15</c:v>
                </c:pt>
                <c:pt idx="13">
                  <c:v>-6.6</c:v>
                </c:pt>
                <c:pt idx="14">
                  <c:v>3.9</c:v>
                </c:pt>
                <c:pt idx="15">
                  <c:v>8.3000000000000007</c:v>
                </c:pt>
                <c:pt idx="16">
                  <c:v>20.7</c:v>
                </c:pt>
                <c:pt idx="17">
                  <c:v>13.6</c:v>
                </c:pt>
                <c:pt idx="18">
                  <c:v>10.6</c:v>
                </c:pt>
                <c:pt idx="19">
                  <c:v>9.1</c:v>
                </c:pt>
                <c:pt idx="20">
                  <c:v>7.6</c:v>
                </c:pt>
                <c:pt idx="21">
                  <c:v>12.2</c:v>
                </c:pt>
                <c:pt idx="22">
                  <c:v>14.1</c:v>
                </c:pt>
                <c:pt idx="23">
                  <c:v>16.100000000000001</c:v>
                </c:pt>
                <c:pt idx="24">
                  <c:v>15.7</c:v>
                </c:pt>
                <c:pt idx="25">
                  <c:v>14.6</c:v>
                </c:pt>
                <c:pt idx="26">
                  <c:v>6.5</c:v>
                </c:pt>
                <c:pt idx="27">
                  <c:v>7</c:v>
                </c:pt>
                <c:pt idx="28">
                  <c:v>10.5</c:v>
                </c:pt>
                <c:pt idx="29">
                  <c:v>9.8000000000000007</c:v>
                </c:pt>
                <c:pt idx="30">
                  <c:v>9.4</c:v>
                </c:pt>
              </c:numCache>
            </c:numRef>
          </c:val>
          <c:extLst xmlns:c16r2="http://schemas.microsoft.com/office/drawing/2015/06/chart">
            <c:ext xmlns:c16="http://schemas.microsoft.com/office/drawing/2014/chart" uri="{C3380CC4-5D6E-409C-BE32-E72D297353CC}">
              <c16:uniqueId val="{00000004-4DD1-401B-B2AE-BCCCA77A00B3}"/>
            </c:ext>
          </c:extLst>
        </c:ser>
        <c:ser>
          <c:idx val="5"/>
          <c:order val="5"/>
          <c:tx>
            <c:strRef>
              <c:f>'výkonnost odvětví 1'!$B$35</c:f>
              <c:strCache>
                <c:ptCount val="1"/>
                <c:pt idx="0">
                  <c:v>Energetika</c:v>
                </c:pt>
              </c:strCache>
            </c:strRef>
          </c:tx>
          <c:spPr>
            <a:ln w="19050">
              <a:noFill/>
            </a:ln>
          </c:spPr>
          <c:marker>
            <c:symbol val="diamond"/>
            <c:size val="5"/>
            <c:spPr>
              <a:solidFill>
                <a:schemeClr val="tx1">
                  <a:lumMod val="95000"/>
                  <a:lumOff val="5000"/>
                </a:schemeClr>
              </a:solidFill>
              <a:ln>
                <a:noFill/>
              </a:ln>
            </c:spPr>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1'!$C$35:$AG$35</c:f>
              <c:numCache>
                <c:formatCode>#,##0.0</c:formatCode>
                <c:ptCount val="31"/>
                <c:pt idx="0">
                  <c:v>3.3</c:v>
                </c:pt>
                <c:pt idx="1">
                  <c:v>5</c:v>
                </c:pt>
                <c:pt idx="2">
                  <c:v>8.5</c:v>
                </c:pt>
                <c:pt idx="3">
                  <c:v>2.6</c:v>
                </c:pt>
                <c:pt idx="4">
                  <c:v>-4</c:v>
                </c:pt>
                <c:pt idx="5">
                  <c:v>0.30000000000000032</c:v>
                </c:pt>
                <c:pt idx="6">
                  <c:v>-5.2</c:v>
                </c:pt>
                <c:pt idx="7">
                  <c:v>2.5</c:v>
                </c:pt>
                <c:pt idx="8">
                  <c:v>1.9000000000000001</c:v>
                </c:pt>
                <c:pt idx="9">
                  <c:v>4.5</c:v>
                </c:pt>
                <c:pt idx="10">
                  <c:v>1.1000000000000001</c:v>
                </c:pt>
                <c:pt idx="11">
                  <c:v>-7.9</c:v>
                </c:pt>
                <c:pt idx="12">
                  <c:v>-3.4</c:v>
                </c:pt>
                <c:pt idx="13">
                  <c:v>-4</c:v>
                </c:pt>
                <c:pt idx="14">
                  <c:v>-3.4</c:v>
                </c:pt>
                <c:pt idx="15">
                  <c:v>4.2</c:v>
                </c:pt>
                <c:pt idx="16">
                  <c:v>-3.4</c:v>
                </c:pt>
                <c:pt idx="17">
                  <c:v>-2.5</c:v>
                </c:pt>
                <c:pt idx="18">
                  <c:v>-2</c:v>
                </c:pt>
                <c:pt idx="19">
                  <c:v>-3.8</c:v>
                </c:pt>
                <c:pt idx="20">
                  <c:v>2.7</c:v>
                </c:pt>
                <c:pt idx="21">
                  <c:v>-1.4</c:v>
                </c:pt>
                <c:pt idx="22">
                  <c:v>-4.2</c:v>
                </c:pt>
                <c:pt idx="23">
                  <c:v>-7.9</c:v>
                </c:pt>
                <c:pt idx="24">
                  <c:v>-3.8</c:v>
                </c:pt>
                <c:pt idx="25">
                  <c:v>2.7</c:v>
                </c:pt>
                <c:pt idx="26">
                  <c:v>-2</c:v>
                </c:pt>
                <c:pt idx="27">
                  <c:v>7.3</c:v>
                </c:pt>
                <c:pt idx="28">
                  <c:v>4.4000000000000004</c:v>
                </c:pt>
                <c:pt idx="29">
                  <c:v>0.30000000000000032</c:v>
                </c:pt>
                <c:pt idx="30">
                  <c:v>12.8</c:v>
                </c:pt>
              </c:numCache>
            </c:numRef>
          </c:val>
          <c:extLst xmlns:c16r2="http://schemas.microsoft.com/office/drawing/2015/06/chart">
            <c:ext xmlns:c16="http://schemas.microsoft.com/office/drawing/2014/chart" uri="{C3380CC4-5D6E-409C-BE32-E72D297353CC}">
              <c16:uniqueId val="{00000005-4DD1-401B-B2AE-BCCCA77A00B3}"/>
            </c:ext>
          </c:extLst>
        </c:ser>
        <c:marker val="1"/>
        <c:axId val="185083392"/>
        <c:axId val="204493952"/>
      </c:lineChart>
      <c:catAx>
        <c:axId val="185083392"/>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204493952"/>
        <c:crossesAt val="0"/>
        <c:lblAlgn val="ctr"/>
        <c:lblOffset val="0"/>
        <c:tickLblSkip val="1"/>
        <c:tickMarkSkip val="4"/>
      </c:catAx>
      <c:valAx>
        <c:axId val="204493952"/>
        <c:scaling>
          <c:orientation val="minMax"/>
          <c:max val="40"/>
          <c:min val="-2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85083392"/>
        <c:crosses val="autoZero"/>
        <c:crossBetween val="between"/>
        <c:majorUnit val="5"/>
      </c:valAx>
      <c:spPr>
        <a:noFill/>
        <a:ln w="9525">
          <a:solidFill>
            <a:schemeClr val="tx1"/>
          </a:solidFill>
        </a:ln>
      </c:spPr>
    </c:plotArea>
    <c:legend>
      <c:legendPos val="b"/>
      <c:layout>
        <c:manualLayout>
          <c:xMode val="edge"/>
          <c:yMode val="edge"/>
          <c:x val="6.0825137685827313E-2"/>
          <c:y val="0.87213891703253565"/>
          <c:w val="0.9258012889558157"/>
          <c:h val="0.1207125970955758"/>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9008475080329174E-2"/>
          <c:w val="0.92988062751698064"/>
          <c:h val="0.74907069683665461"/>
        </c:manualLayout>
      </c:layout>
      <c:barChart>
        <c:barDir val="col"/>
        <c:grouping val="clustered"/>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2'!$C$31:$AG$31</c:f>
              <c:numCache>
                <c:formatCode>#,##0__</c:formatCode>
                <c:ptCount val="31"/>
                <c:pt idx="0">
                  <c:v>12.055392746813197</c:v>
                </c:pt>
                <c:pt idx="1">
                  <c:v>18.791785748936761</c:v>
                </c:pt>
                <c:pt idx="2">
                  <c:v>17.444096590215729</c:v>
                </c:pt>
                <c:pt idx="3">
                  <c:v>13.260899648585324</c:v>
                </c:pt>
                <c:pt idx="4" formatCode="#,##0.0__">
                  <c:v>12.043109882578847</c:v>
                </c:pt>
                <c:pt idx="5" formatCode="#,##0.0__">
                  <c:v>5.329288738434343</c:v>
                </c:pt>
                <c:pt idx="6" formatCode="#,##0.0__">
                  <c:v>-1.5038252425140883</c:v>
                </c:pt>
                <c:pt idx="7" formatCode="#,##0.0__">
                  <c:v>0.49985212637597154</c:v>
                </c:pt>
                <c:pt idx="8" formatCode="#,##0.0__">
                  <c:v>7.8919813268951016</c:v>
                </c:pt>
                <c:pt idx="9" formatCode="#,##0.0__">
                  <c:v>0.24365995359797032</c:v>
                </c:pt>
                <c:pt idx="10" formatCode="#,##0.0__">
                  <c:v>2.6780171683964737</c:v>
                </c:pt>
                <c:pt idx="11" formatCode="#,##0.0__">
                  <c:v>-2.2928067612426872</c:v>
                </c:pt>
                <c:pt idx="12" formatCode="#,##0.0__">
                  <c:v>-6.7566807507372015</c:v>
                </c:pt>
                <c:pt idx="13" formatCode="#,##0.0__">
                  <c:v>-0.77743655462338024</c:v>
                </c:pt>
                <c:pt idx="14" formatCode="#,##0.0__">
                  <c:v>12.110633355214674</c:v>
                </c:pt>
                <c:pt idx="15" formatCode="#,##0.0__">
                  <c:v>12.61158784734172</c:v>
                </c:pt>
                <c:pt idx="16" formatCode="#,##0.0__">
                  <c:v>18.162563874667068</c:v>
                </c:pt>
                <c:pt idx="17" formatCode="#,##0.0__">
                  <c:v>13.482126304908077</c:v>
                </c:pt>
                <c:pt idx="18" formatCode="#,##0.0__">
                  <c:v>11.650462908552004</c:v>
                </c:pt>
                <c:pt idx="19" formatCode="#,##0.0__">
                  <c:v>7.4466461221971532</c:v>
                </c:pt>
                <c:pt idx="20" formatCode="#,##0.0__">
                  <c:v>8.660128167930413</c:v>
                </c:pt>
                <c:pt idx="21" formatCode="#,##0.0__">
                  <c:v>7.0703444338271924</c:v>
                </c:pt>
                <c:pt idx="22" formatCode="#,##0.0__">
                  <c:v>3.8319900533634268</c:v>
                </c:pt>
                <c:pt idx="23" formatCode="#,##0.0__">
                  <c:v>6.2462982413050714</c:v>
                </c:pt>
                <c:pt idx="24" formatCode="#,##0.0__">
                  <c:v>1.7408408111983675</c:v>
                </c:pt>
                <c:pt idx="25" formatCode="#,##0.0__">
                  <c:v>10.948509388317888</c:v>
                </c:pt>
                <c:pt idx="26" formatCode="#,##0.0__">
                  <c:v>1.6291665033355542</c:v>
                </c:pt>
                <c:pt idx="27" formatCode="#,##0.0__">
                  <c:v>6.4782911884818439</c:v>
                </c:pt>
                <c:pt idx="28" formatCode="#,##0.0__">
                  <c:v>9.9432376163981502</c:v>
                </c:pt>
                <c:pt idx="29" formatCode="#,##0.0__">
                  <c:v>3.6195909194471625</c:v>
                </c:pt>
                <c:pt idx="30" formatCode="#,##0.0__">
                  <c:v>6.0641433803063478</c:v>
                </c:pt>
              </c:numCache>
            </c:numRef>
          </c:val>
          <c:extLst xmlns:c16r2="http://schemas.microsoft.com/office/drawing/2015/06/chart">
            <c:ext xmlns:c16="http://schemas.microsoft.com/office/drawing/2014/chart" uri="{C3380CC4-5D6E-409C-BE32-E72D297353CC}">
              <c16:uniqueId val="{00000000-7CCC-464F-91C5-560995853069}"/>
            </c:ext>
          </c:extLst>
        </c:ser>
        <c:gapWidth val="34"/>
        <c:overlap val="28"/>
        <c:axId val="166866944"/>
        <c:axId val="166868864"/>
      </c:barChart>
      <c:lineChart>
        <c:grouping val="standard"/>
        <c:ser>
          <c:idx val="2"/>
          <c:order val="1"/>
          <c:tx>
            <c:strRef>
              <c:f>'výkonnost odvětví 2'!$B$32</c:f>
              <c:strCache>
                <c:ptCount val="1"/>
                <c:pt idx="0">
                  <c:v>Průmyslové zakázky z tuzemska</c:v>
                </c:pt>
              </c:strCache>
            </c:strRef>
          </c:tx>
          <c:spPr>
            <a:ln w="19050">
              <a:solidFill>
                <a:srgbClr val="0071BC"/>
              </a:solidFill>
              <a:prstDash val="solid"/>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2'!$C$32:$AG$32</c:f>
              <c:numCache>
                <c:formatCode>#,##0__</c:formatCode>
                <c:ptCount val="31"/>
                <c:pt idx="0">
                  <c:v>9.3690276852933057</c:v>
                </c:pt>
                <c:pt idx="1">
                  <c:v>20.682181592692444</c:v>
                </c:pt>
                <c:pt idx="2">
                  <c:v>16.573478131898707</c:v>
                </c:pt>
                <c:pt idx="3">
                  <c:v>7.6006939720973321</c:v>
                </c:pt>
                <c:pt idx="4" formatCode="#,##0.0__">
                  <c:v>2.8145828625014992</c:v>
                </c:pt>
                <c:pt idx="5" formatCode="#,##0.0__">
                  <c:v>-0.65160236646085179</c:v>
                </c:pt>
                <c:pt idx="6" formatCode="#,##0.0__">
                  <c:v>-11.671779874966376</c:v>
                </c:pt>
                <c:pt idx="7" formatCode="#,##0.0__">
                  <c:v>-10.696553928195002</c:v>
                </c:pt>
                <c:pt idx="8" formatCode="#,##0.0__">
                  <c:v>2.6214089523072488</c:v>
                </c:pt>
                <c:pt idx="9" formatCode="#,##0.0__">
                  <c:v>-9.2467358771092947</c:v>
                </c:pt>
                <c:pt idx="10" formatCode="#,##0.0__">
                  <c:v>-2.8571327008706082</c:v>
                </c:pt>
                <c:pt idx="11" formatCode="#,##0.0__">
                  <c:v>-4.0487131301687915</c:v>
                </c:pt>
                <c:pt idx="12" formatCode="#,##0.0__">
                  <c:v>-7.1126687487238414</c:v>
                </c:pt>
                <c:pt idx="13" formatCode="#,##0.0__">
                  <c:v>-0.59564647244366165</c:v>
                </c:pt>
                <c:pt idx="14" formatCode="#,##0.0__">
                  <c:v>9.3846900381038747</c:v>
                </c:pt>
                <c:pt idx="15" formatCode="#,##0.0__">
                  <c:v>7.0781764130708797</c:v>
                </c:pt>
                <c:pt idx="16" formatCode="#,##0.0__">
                  <c:v>13.320088621608226</c:v>
                </c:pt>
                <c:pt idx="17" formatCode="#,##0.0__">
                  <c:v>7.6021800914440689</c:v>
                </c:pt>
                <c:pt idx="18" formatCode="#,##0.0__">
                  <c:v>17.491767655905477</c:v>
                </c:pt>
                <c:pt idx="19" formatCode="#,##0.0__">
                  <c:v>10.07772805392962</c:v>
                </c:pt>
                <c:pt idx="20" formatCode="#,##0.0__">
                  <c:v>5.7894297437900129</c:v>
                </c:pt>
                <c:pt idx="21" formatCode="#,##0.0__">
                  <c:v>11.162593735327274</c:v>
                </c:pt>
                <c:pt idx="22" formatCode="#,##0.0__">
                  <c:v>-4.0508483479998176</c:v>
                </c:pt>
                <c:pt idx="23" formatCode="#,##0.0__">
                  <c:v>1.8219061224914839</c:v>
                </c:pt>
                <c:pt idx="24" formatCode="#,##0.0__">
                  <c:v>1.3670231871965086</c:v>
                </c:pt>
                <c:pt idx="25" formatCode="#,##0.0__">
                  <c:v>6.1144874584533255</c:v>
                </c:pt>
                <c:pt idx="26" formatCode="#,##0.0__">
                  <c:v>-0.208282602941253</c:v>
                </c:pt>
                <c:pt idx="27" formatCode="#,##0.0__">
                  <c:v>3.0760686001194331</c:v>
                </c:pt>
                <c:pt idx="28" formatCode="#,##0.0__">
                  <c:v>10.978389781409588</c:v>
                </c:pt>
                <c:pt idx="29" formatCode="#,##0.0__">
                  <c:v>6.3261882148095845</c:v>
                </c:pt>
                <c:pt idx="30" formatCode="#,##0.0__">
                  <c:v>8.5667505369249586</c:v>
                </c:pt>
              </c:numCache>
            </c:numRef>
          </c:val>
          <c:extLst xmlns:c16r2="http://schemas.microsoft.com/office/drawing/2015/06/chart">
            <c:ext xmlns:c16="http://schemas.microsoft.com/office/drawing/2014/chart" uri="{C3380CC4-5D6E-409C-BE32-E72D297353CC}">
              <c16:uniqueId val="{00000001-7CCC-464F-91C5-560995853069}"/>
            </c:ext>
          </c:extLst>
        </c:ser>
        <c:ser>
          <c:idx val="5"/>
          <c:order val="2"/>
          <c:tx>
            <c:strRef>
              <c:f>'výkonnost odvětví 2'!$B$33</c:f>
              <c:strCache>
                <c:ptCount val="1"/>
                <c:pt idx="0">
                  <c:v>Průmyslové zakázky ze zahraničí</c:v>
                </c:pt>
              </c:strCache>
            </c:strRef>
          </c:tx>
          <c:spPr>
            <a:ln w="19050">
              <a:solidFill>
                <a:srgbClr val="BD1B21"/>
              </a:solidFill>
              <a:prstDash val="solid"/>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2'!$C$33:$AG$33</c:f>
              <c:numCache>
                <c:formatCode>#,##0__</c:formatCode>
                <c:ptCount val="31"/>
                <c:pt idx="0">
                  <c:v>13.967994717912196</c:v>
                </c:pt>
                <c:pt idx="1">
                  <c:v>17.5019515808862</c:v>
                </c:pt>
                <c:pt idx="2">
                  <c:v>18.066389248755819</c:v>
                </c:pt>
                <c:pt idx="3">
                  <c:v>17.763791144855006</c:v>
                </c:pt>
                <c:pt idx="4" formatCode="#,##0.0__">
                  <c:v>18.34835983012443</c:v>
                </c:pt>
                <c:pt idx="5" formatCode="#,##0.0__">
                  <c:v>9.5205485847743709</c:v>
                </c:pt>
                <c:pt idx="6" formatCode="#,##0.0__">
                  <c:v>5.6719989098307195</c:v>
                </c:pt>
                <c:pt idx="7" formatCode="#,##0.0__">
                  <c:v>8.6383086882355613</c:v>
                </c:pt>
                <c:pt idx="8" formatCode="#,##0.0__">
                  <c:v>11.020367044503203</c:v>
                </c:pt>
                <c:pt idx="9" formatCode="#,##0.0__">
                  <c:v>6.2765550752876891</c:v>
                </c:pt>
                <c:pt idx="10" formatCode="#,##0.0__">
                  <c:v>5.9432809771147106</c:v>
                </c:pt>
                <c:pt idx="11" formatCode="#,##0.0__">
                  <c:v>-1.2435707077734535</c:v>
                </c:pt>
                <c:pt idx="12" formatCode="#,##0.0__">
                  <c:v>-6.5613810568299265</c:v>
                </c:pt>
                <c:pt idx="13" formatCode="#,##0.0__">
                  <c:v>-0.87612893265552283</c:v>
                </c:pt>
                <c:pt idx="14" formatCode="#,##0.0__">
                  <c:v>13.585017236629096</c:v>
                </c:pt>
                <c:pt idx="15" formatCode="#,##0.0__">
                  <c:v>15.823868051866199</c:v>
                </c:pt>
                <c:pt idx="16" formatCode="#,##0.0__">
                  <c:v>20.803737843093895</c:v>
                </c:pt>
                <c:pt idx="17" formatCode="#,##0.0__">
                  <c:v>16.683085155498301</c:v>
                </c:pt>
                <c:pt idx="18" formatCode="#,##0.0__">
                  <c:v>8.6077426037905482</c:v>
                </c:pt>
                <c:pt idx="19" formatCode="#,##0.0__">
                  <c:v>6.0345642153573777</c:v>
                </c:pt>
                <c:pt idx="20" formatCode="#,##0.0__">
                  <c:v>10.128880629251862</c:v>
                </c:pt>
                <c:pt idx="21" formatCode="#,##0.0__">
                  <c:v>5.0159759230793242</c:v>
                </c:pt>
                <c:pt idx="22" formatCode="#,##0.0__">
                  <c:v>8.2739940886640966</c:v>
                </c:pt>
                <c:pt idx="23" formatCode="#,##0.0__">
                  <c:v>8.7114357834965919</c:v>
                </c:pt>
                <c:pt idx="24" formatCode="#,##0.0__">
                  <c:v>1.9245605566923001</c:v>
                </c:pt>
                <c:pt idx="25" formatCode="#,##0.0__">
                  <c:v>13.517252250841864</c:v>
                </c:pt>
                <c:pt idx="26" formatCode="#,##0.0__">
                  <c:v>2.5467160757470992</c:v>
                </c:pt>
                <c:pt idx="27" formatCode="#,##0.0__">
                  <c:v>8.2537778544595994</c:v>
                </c:pt>
                <c:pt idx="28" formatCode="#,##0.0__">
                  <c:v>9.4372753873574791</c:v>
                </c:pt>
                <c:pt idx="29" formatCode="#,##0.0__">
                  <c:v>2.2751291102671312</c:v>
                </c:pt>
                <c:pt idx="30" formatCode="#,##0.0__">
                  <c:v>4.8480143912486815</c:v>
                </c:pt>
              </c:numCache>
            </c:numRef>
          </c:val>
          <c:extLst xmlns:c16r2="http://schemas.microsoft.com/office/drawing/2015/06/chart">
            <c:ext xmlns:c16="http://schemas.microsoft.com/office/drawing/2014/chart" uri="{C3380CC4-5D6E-409C-BE32-E72D297353CC}">
              <c16:uniqueId val="{00000002-7CCC-464F-91C5-560995853069}"/>
            </c:ext>
          </c:extLst>
        </c:ser>
        <c:ser>
          <c:idx val="3"/>
          <c:order val="3"/>
          <c:tx>
            <c:strRef>
              <c:f>'výkonnost odvětví 2'!$B$34</c:f>
              <c:strCache>
                <c:ptCount val="1"/>
                <c:pt idx="0">
                  <c:v>Celkové zakázky ve výrobě motor.voz.</c:v>
                </c:pt>
              </c:strCache>
            </c:strRef>
          </c:tx>
          <c:spPr>
            <a:ln w="19050">
              <a:solidFill>
                <a:srgbClr val="7DBB2D"/>
              </a:solidFill>
              <a:prstDash val="sysDash"/>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2'!$C$34:$AG$34</c:f>
              <c:numCache>
                <c:formatCode>#,##0__</c:formatCode>
                <c:ptCount val="31"/>
                <c:pt idx="0">
                  <c:v>22.397283057705607</c:v>
                </c:pt>
                <c:pt idx="1">
                  <c:v>13.97319302651168</c:v>
                </c:pt>
                <c:pt idx="2">
                  <c:v>7.1944771497167279</c:v>
                </c:pt>
                <c:pt idx="3">
                  <c:v>11.191663864871268</c:v>
                </c:pt>
                <c:pt idx="4" formatCode="#,##0.0__">
                  <c:v>11.429402386477452</c:v>
                </c:pt>
                <c:pt idx="5" formatCode="#,##0.0__">
                  <c:v>9.2048305726435871</c:v>
                </c:pt>
                <c:pt idx="6" formatCode="#,##0.0__">
                  <c:v>4.4139979160091229</c:v>
                </c:pt>
                <c:pt idx="7" formatCode="#,##0.0__">
                  <c:v>5.3718762099036104</c:v>
                </c:pt>
                <c:pt idx="8" formatCode="#,##0.0__">
                  <c:v>19.546364960067962</c:v>
                </c:pt>
                <c:pt idx="9" formatCode="#,##0.0__">
                  <c:v>4.6887472536184545</c:v>
                </c:pt>
                <c:pt idx="10" formatCode="#,##0.0__">
                  <c:v>1.3322076250665489</c:v>
                </c:pt>
                <c:pt idx="11" formatCode="#,##0.0__">
                  <c:v>-2.0218867913281429</c:v>
                </c:pt>
                <c:pt idx="12" formatCode="#,##0.0__">
                  <c:v>-15.423727423981818</c:v>
                </c:pt>
                <c:pt idx="13" formatCode="#,##0.0__">
                  <c:v>-3.0233496760853602</c:v>
                </c:pt>
                <c:pt idx="14" formatCode="#,##0.0__">
                  <c:v>24.6541923398335</c:v>
                </c:pt>
                <c:pt idx="15" formatCode="#,##0.0__">
                  <c:v>18.470977722262504</c:v>
                </c:pt>
                <c:pt idx="16" formatCode="#,##0.0__">
                  <c:v>32.857924641754245</c:v>
                </c:pt>
                <c:pt idx="17" formatCode="#,##0.0__">
                  <c:v>21.510093669639033</c:v>
                </c:pt>
                <c:pt idx="18" formatCode="#,##0.0__">
                  <c:v>18.020323646174209</c:v>
                </c:pt>
                <c:pt idx="19" formatCode="#,##0.0__">
                  <c:v>12.881775988021868</c:v>
                </c:pt>
                <c:pt idx="20" formatCode="#,##0.0__">
                  <c:v>15.24629352397284</c:v>
                </c:pt>
                <c:pt idx="21" formatCode="#,##0.0__">
                  <c:v>6.8791958260229649</c:v>
                </c:pt>
                <c:pt idx="22" formatCode="#,##0.0__">
                  <c:v>12.567873991728405</c:v>
                </c:pt>
                <c:pt idx="23" formatCode="#,##0.0__">
                  <c:v>18.260229737036489</c:v>
                </c:pt>
                <c:pt idx="24" formatCode="#,##0.0__">
                  <c:v>11.749683619623852</c:v>
                </c:pt>
                <c:pt idx="25" formatCode="#,##0.0__">
                  <c:v>31.720945586356066</c:v>
                </c:pt>
                <c:pt idx="26" formatCode="#,##0.0__">
                  <c:v>5.5580496491434115</c:v>
                </c:pt>
                <c:pt idx="27" formatCode="#,##0.0__">
                  <c:v>11.524691177371963</c:v>
                </c:pt>
                <c:pt idx="28" formatCode="#,##0.0__">
                  <c:v>7.3911878589177631</c:v>
                </c:pt>
                <c:pt idx="29" formatCode="#,##0.0__">
                  <c:v>-1.825653301071384</c:v>
                </c:pt>
                <c:pt idx="30" formatCode="#,##0.0__">
                  <c:v>3.4805984999952937</c:v>
                </c:pt>
              </c:numCache>
            </c:numRef>
          </c:val>
          <c:extLst xmlns:c16r2="http://schemas.microsoft.com/office/drawing/2015/06/chart">
            <c:ext xmlns:c16="http://schemas.microsoft.com/office/drawing/2014/chart" uri="{C3380CC4-5D6E-409C-BE32-E72D297353CC}">
              <c16:uniqueId val="{00000003-7CCC-464F-91C5-560995853069}"/>
            </c:ext>
          </c:extLst>
        </c:ser>
        <c:marker val="1"/>
        <c:axId val="166866944"/>
        <c:axId val="166868864"/>
      </c:lineChart>
      <c:lineChart>
        <c:grouping val="standard"/>
        <c:ser>
          <c:idx val="4"/>
          <c:order val="4"/>
          <c:tx>
            <c:strRef>
              <c:f>'výkonnost odvětví 2'!$B$35</c:f>
              <c:strCache>
                <c:ptCount val="1"/>
                <c:pt idx="0">
                  <c:v>Saldo souhr. indikát. důvěry v průmyslu</c:v>
                </c:pt>
              </c:strCache>
            </c:strRef>
          </c:tx>
          <c:spPr>
            <a:ln w="19050">
              <a:noFill/>
            </a:ln>
          </c:spPr>
          <c:marker>
            <c:symbol val="dash"/>
            <c:size val="9"/>
            <c:spPr>
              <a:solidFill>
                <a:srgbClr val="984807"/>
              </a:solidFill>
              <a:ln>
                <a:noFill/>
              </a:ln>
            </c:spPr>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2'!$C$35:$AG$35</c:f>
              <c:numCache>
                <c:formatCode>0.0</c:formatCode>
                <c:ptCount val="31"/>
                <c:pt idx="0">
                  <c:v>-5.4444444444444464</c:v>
                </c:pt>
                <c:pt idx="1">
                  <c:v>2.4333333333333331</c:v>
                </c:pt>
                <c:pt idx="2">
                  <c:v>5.5666666666666664</c:v>
                </c:pt>
                <c:pt idx="3">
                  <c:v>10</c:v>
                </c:pt>
                <c:pt idx="4">
                  <c:v>12.200000000000001</c:v>
                </c:pt>
                <c:pt idx="5">
                  <c:v>5.8999999999999995</c:v>
                </c:pt>
                <c:pt idx="6">
                  <c:v>2.4333333333333331</c:v>
                </c:pt>
                <c:pt idx="7">
                  <c:v>1.8</c:v>
                </c:pt>
                <c:pt idx="8">
                  <c:v>1.5666666666666667</c:v>
                </c:pt>
                <c:pt idx="9">
                  <c:v>-2.5666666666666669</c:v>
                </c:pt>
                <c:pt idx="10">
                  <c:v>-8.9</c:v>
                </c:pt>
                <c:pt idx="11">
                  <c:v>-10.200000000000001</c:v>
                </c:pt>
                <c:pt idx="12">
                  <c:v>-8.9</c:v>
                </c:pt>
                <c:pt idx="13">
                  <c:v>-10</c:v>
                </c:pt>
                <c:pt idx="14">
                  <c:v>-6.2333333333333547</c:v>
                </c:pt>
                <c:pt idx="15">
                  <c:v>1.7000000000000002</c:v>
                </c:pt>
                <c:pt idx="16">
                  <c:v>2.3333333333333335</c:v>
                </c:pt>
                <c:pt idx="17">
                  <c:v>3.6333333333333342</c:v>
                </c:pt>
                <c:pt idx="18">
                  <c:v>2.5333333333333332</c:v>
                </c:pt>
                <c:pt idx="19">
                  <c:v>2.6666666666666665</c:v>
                </c:pt>
                <c:pt idx="20">
                  <c:v>3</c:v>
                </c:pt>
                <c:pt idx="21">
                  <c:v>3.7666666666666671</c:v>
                </c:pt>
                <c:pt idx="22">
                  <c:v>3.7666666666666671</c:v>
                </c:pt>
                <c:pt idx="23">
                  <c:v>0.76666666666666661</c:v>
                </c:pt>
                <c:pt idx="24">
                  <c:v>3.5666666666666664</c:v>
                </c:pt>
                <c:pt idx="25">
                  <c:v>1.9000000000000001</c:v>
                </c:pt>
                <c:pt idx="26">
                  <c:v>3.7666666666666671</c:v>
                </c:pt>
                <c:pt idx="27">
                  <c:v>5.3333333333333508</c:v>
                </c:pt>
                <c:pt idx="28">
                  <c:v>3.3333333333333335</c:v>
                </c:pt>
                <c:pt idx="29">
                  <c:v>0.8333333333333337</c:v>
                </c:pt>
                <c:pt idx="30">
                  <c:v>3.8666666666666667</c:v>
                </c:pt>
              </c:numCache>
            </c:numRef>
          </c:val>
          <c:extLst xmlns:c16r2="http://schemas.microsoft.com/office/drawing/2015/06/chart">
            <c:ext xmlns:c16="http://schemas.microsoft.com/office/drawing/2014/chart" uri="{C3380CC4-5D6E-409C-BE32-E72D297353CC}">
              <c16:uniqueId val="{00000004-7CCC-464F-91C5-560995853069}"/>
            </c:ext>
          </c:extLst>
        </c:ser>
        <c:marker val="1"/>
        <c:axId val="166870400"/>
        <c:axId val="166888576"/>
      </c:lineChart>
      <c:catAx>
        <c:axId val="166866944"/>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66868864"/>
        <c:crossesAt val="0"/>
        <c:lblAlgn val="ctr"/>
        <c:lblOffset val="0"/>
        <c:tickLblSkip val="1"/>
        <c:tickMarkSkip val="4"/>
      </c:catAx>
      <c:valAx>
        <c:axId val="166868864"/>
        <c:scaling>
          <c:orientation val="minMax"/>
          <c:max val="3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66866944"/>
        <c:crosses val="autoZero"/>
        <c:crossBetween val="between"/>
        <c:majorUnit val="5"/>
      </c:valAx>
      <c:catAx>
        <c:axId val="166870400"/>
        <c:scaling>
          <c:orientation val="minMax"/>
        </c:scaling>
        <c:delete val="1"/>
        <c:axPos val="b"/>
        <c:numFmt formatCode="General" sourceLinked="1"/>
        <c:tickLblPos val="none"/>
        <c:crossAx val="166888576"/>
        <c:crosses val="autoZero"/>
        <c:auto val="1"/>
        <c:lblAlgn val="ctr"/>
        <c:lblOffset val="100"/>
      </c:catAx>
      <c:valAx>
        <c:axId val="166888576"/>
        <c:scaling>
          <c:orientation val="minMax"/>
          <c:max val="40"/>
          <c:min val="-30"/>
        </c:scaling>
        <c:delete val="1"/>
        <c:axPos val="r"/>
        <c:numFmt formatCode="0" sourceLinked="0"/>
        <c:majorTickMark val="in"/>
        <c:tickLblPos val="none"/>
        <c:crossAx val="166870400"/>
        <c:crosses val="max"/>
        <c:crossBetween val="between"/>
        <c:majorUnit val="10"/>
      </c:valAx>
      <c:spPr>
        <a:solidFill>
          <a:srgbClr val="FFFFFF"/>
        </a:solidFill>
        <a:ln w="9525">
          <a:solidFill>
            <a:schemeClr val="tx1"/>
          </a:solidFill>
        </a:ln>
      </c:spPr>
    </c:plotArea>
    <c:legend>
      <c:legendPos val="b"/>
      <c:layout>
        <c:manualLayout>
          <c:xMode val="edge"/>
          <c:yMode val="edge"/>
          <c:x val="5.2455780139263733E-2"/>
          <c:y val="0.86823820781267591"/>
          <c:w val="0.93069499440685233"/>
          <c:h val="0.11760244286840103"/>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6155778692800765E-2"/>
          <c:y val="1.656318784295285E-2"/>
          <c:w val="0.92847707700101312"/>
          <c:h val="0.74964447062339401"/>
        </c:manualLayout>
      </c:layout>
      <c:barChart>
        <c:barDir val="col"/>
        <c:grouping val="clustered"/>
        <c:ser>
          <c:idx val="0"/>
          <c:order val="0"/>
          <c:tx>
            <c:strRef>
              <c:f>'výkonnost odvětví 3'!$C$10</c:f>
              <c:strCache>
                <c:ptCount val="1"/>
                <c:pt idx="0">
                  <c:v>Index stavební produkce (ISP)*</c:v>
                </c:pt>
              </c:strCache>
            </c:strRef>
          </c:tx>
          <c:spPr>
            <a:solidFill>
              <a:schemeClr val="bg1">
                <a:lumMod val="65000"/>
              </a:schemeClr>
            </a:solidFill>
            <a:ln w="12700">
              <a:noFill/>
              <a:prstDash val="solid"/>
            </a:ln>
          </c:spP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3'!$C$11:$C$41</c:f>
              <c:numCache>
                <c:formatCode>0.0</c:formatCode>
                <c:ptCount val="31"/>
                <c:pt idx="0">
                  <c:v>-22.648298835873486</c:v>
                </c:pt>
                <c:pt idx="1">
                  <c:v>-9.2248861421679464</c:v>
                </c:pt>
                <c:pt idx="2">
                  <c:v>-2.5767735511134049</c:v>
                </c:pt>
                <c:pt idx="3">
                  <c:v>-2.654731509242465</c:v>
                </c:pt>
                <c:pt idx="4">
                  <c:v>4.8122335569358317</c:v>
                </c:pt>
                <c:pt idx="5">
                  <c:v>-5.294658666068468</c:v>
                </c:pt>
                <c:pt idx="6">
                  <c:v>-9.1130444296804711</c:v>
                </c:pt>
                <c:pt idx="7">
                  <c:v>-0.5219510209705337</c:v>
                </c:pt>
                <c:pt idx="8">
                  <c:v>-10.320587053826841</c:v>
                </c:pt>
                <c:pt idx="9">
                  <c:v>-5.0190415547493394</c:v>
                </c:pt>
                <c:pt idx="10">
                  <c:v>-5.7483416688628921</c:v>
                </c:pt>
                <c:pt idx="11">
                  <c:v>-9.3412318326088695</c:v>
                </c:pt>
                <c:pt idx="12">
                  <c:v>-10.138257435037348</c:v>
                </c:pt>
                <c:pt idx="13">
                  <c:v>-11.697763850276388</c:v>
                </c:pt>
                <c:pt idx="14">
                  <c:v>-5.1769905790982369</c:v>
                </c:pt>
                <c:pt idx="15">
                  <c:v>-2.7344780359236771</c:v>
                </c:pt>
                <c:pt idx="16">
                  <c:v>13.258676722445145</c:v>
                </c:pt>
                <c:pt idx="17">
                  <c:v>5.588102718588047</c:v>
                </c:pt>
                <c:pt idx="18">
                  <c:v>2.4031023286082558</c:v>
                </c:pt>
                <c:pt idx="19">
                  <c:v>1.0880252067508849</c:v>
                </c:pt>
                <c:pt idx="20">
                  <c:v>9.4917754251796485</c:v>
                </c:pt>
                <c:pt idx="21">
                  <c:v>12.219872774546431</c:v>
                </c:pt>
                <c:pt idx="22">
                  <c:v>8.3535506852148167</c:v>
                </c:pt>
                <c:pt idx="23">
                  <c:v>1.0671204793156335</c:v>
                </c:pt>
                <c:pt idx="24">
                  <c:v>-6.3701671236768824</c:v>
                </c:pt>
                <c:pt idx="25">
                  <c:v>-10.626660804601823</c:v>
                </c:pt>
                <c:pt idx="26">
                  <c:v>-6.2186661733281916</c:v>
                </c:pt>
                <c:pt idx="27">
                  <c:v>-2.0138703453589808</c:v>
                </c:pt>
                <c:pt idx="28">
                  <c:v>-2.3461801084681184</c:v>
                </c:pt>
                <c:pt idx="29">
                  <c:v>7.700541247624642</c:v>
                </c:pt>
                <c:pt idx="30">
                  <c:v>0.23189528477141241</c:v>
                </c:pt>
              </c:numCache>
            </c:numRef>
          </c:val>
          <c:extLst xmlns:c16r2="http://schemas.microsoft.com/office/drawing/2015/06/chart">
            <c:ext xmlns:c16="http://schemas.microsoft.com/office/drawing/2014/chart" uri="{C3380CC4-5D6E-409C-BE32-E72D297353CC}">
              <c16:uniqueId val="{00000000-CDFE-4508-895E-A900559FE52E}"/>
            </c:ext>
          </c:extLst>
        </c:ser>
        <c:gapWidth val="31"/>
        <c:axId val="166954496"/>
        <c:axId val="166956416"/>
      </c:barChart>
      <c:lineChart>
        <c:grouping val="standard"/>
        <c:ser>
          <c:idx val="1"/>
          <c:order val="1"/>
          <c:tx>
            <c:strRef>
              <c:f>'výkonnost odvětví 3'!$D$10</c:f>
              <c:strCache>
                <c:ptCount val="1"/>
                <c:pt idx="0">
                  <c:v>ISP v pozemním stavitelství*</c:v>
                </c:pt>
              </c:strCache>
            </c:strRef>
          </c:tx>
          <c:spPr>
            <a:ln w="19050">
              <a:solidFill>
                <a:srgbClr val="0071BC"/>
              </a:solidFill>
              <a:prstDash val="solid"/>
            </a:ln>
          </c:spPr>
          <c:marker>
            <c:symbol val="none"/>
          </c:marke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3'!$D$11:$D$41</c:f>
              <c:numCache>
                <c:formatCode>0.0</c:formatCode>
                <c:ptCount val="31"/>
                <c:pt idx="0">
                  <c:v>-27.130490002335087</c:v>
                </c:pt>
                <c:pt idx="1">
                  <c:v>-10.263825867508899</c:v>
                </c:pt>
                <c:pt idx="2">
                  <c:v>-0.58550816301914022</c:v>
                </c:pt>
                <c:pt idx="3">
                  <c:v>0.23433855878722967</c:v>
                </c:pt>
                <c:pt idx="4">
                  <c:v>8.1315734936921142</c:v>
                </c:pt>
                <c:pt idx="5">
                  <c:v>-1.7000539622082065</c:v>
                </c:pt>
                <c:pt idx="6">
                  <c:v>-6.3339338536312875</c:v>
                </c:pt>
                <c:pt idx="7">
                  <c:v>2.1924315746014789</c:v>
                </c:pt>
                <c:pt idx="8">
                  <c:v>-7.4955361368726727</c:v>
                </c:pt>
                <c:pt idx="9">
                  <c:v>-2.2986716299360381</c:v>
                </c:pt>
                <c:pt idx="10">
                  <c:v>-5.2487940711487369</c:v>
                </c:pt>
                <c:pt idx="11">
                  <c:v>-9.6066927715583876</c:v>
                </c:pt>
                <c:pt idx="12">
                  <c:v>-9.3630113335441507</c:v>
                </c:pt>
                <c:pt idx="13">
                  <c:v>-11.121228566757889</c:v>
                </c:pt>
                <c:pt idx="14">
                  <c:v>-1.5618316531320526</c:v>
                </c:pt>
                <c:pt idx="15">
                  <c:v>-2.9736240044856288</c:v>
                </c:pt>
                <c:pt idx="16">
                  <c:v>16.805627710236507</c:v>
                </c:pt>
                <c:pt idx="17">
                  <c:v>5.0880854257084849</c:v>
                </c:pt>
                <c:pt idx="18">
                  <c:v>-1.0692331859807069</c:v>
                </c:pt>
                <c:pt idx="19">
                  <c:v>-0.32934185584807213</c:v>
                </c:pt>
                <c:pt idx="20">
                  <c:v>7.9281464242892525</c:v>
                </c:pt>
                <c:pt idx="21">
                  <c:v>7.3315459166584045</c:v>
                </c:pt>
                <c:pt idx="22">
                  <c:v>1.3204119901125893</c:v>
                </c:pt>
                <c:pt idx="23">
                  <c:v>-2.6495212406974327</c:v>
                </c:pt>
                <c:pt idx="24">
                  <c:v>-6.643000607261115</c:v>
                </c:pt>
                <c:pt idx="25">
                  <c:v>-7.7693588647274652</c:v>
                </c:pt>
                <c:pt idx="26">
                  <c:v>1.3251957403558379</c:v>
                </c:pt>
                <c:pt idx="27">
                  <c:v>6.0909358315349307</c:v>
                </c:pt>
                <c:pt idx="28">
                  <c:v>1.6221568490928642</c:v>
                </c:pt>
                <c:pt idx="29">
                  <c:v>13.434571983211248</c:v>
                </c:pt>
                <c:pt idx="30">
                  <c:v>3.1759424113997508</c:v>
                </c:pt>
              </c:numCache>
            </c:numRef>
          </c:val>
          <c:extLst xmlns:c16r2="http://schemas.microsoft.com/office/drawing/2015/06/chart">
            <c:ext xmlns:c16="http://schemas.microsoft.com/office/drawing/2014/chart" uri="{C3380CC4-5D6E-409C-BE32-E72D297353CC}">
              <c16:uniqueId val="{00000001-CDFE-4508-895E-A900559FE52E}"/>
            </c:ext>
          </c:extLst>
        </c:ser>
        <c:ser>
          <c:idx val="2"/>
          <c:order val="2"/>
          <c:tx>
            <c:strRef>
              <c:f>'výkonnost odvětví 3'!$E$10</c:f>
              <c:strCache>
                <c:ptCount val="1"/>
                <c:pt idx="0">
                  <c:v>ISP v inženýrském stavitelství*</c:v>
                </c:pt>
              </c:strCache>
            </c:strRef>
          </c:tx>
          <c:spPr>
            <a:ln w="19050">
              <a:solidFill>
                <a:srgbClr val="BD1B21"/>
              </a:solidFill>
              <a:prstDash val="solid"/>
            </a:ln>
          </c:spPr>
          <c:marker>
            <c:symbol val="none"/>
          </c:marke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3'!$E$11:$E$41</c:f>
              <c:numCache>
                <c:formatCode>0.0</c:formatCode>
                <c:ptCount val="31"/>
                <c:pt idx="0">
                  <c:v>-9.218740176496544</c:v>
                </c:pt>
                <c:pt idx="1">
                  <c:v>-7.2920042019275355</c:v>
                </c:pt>
                <c:pt idx="2">
                  <c:v>-6.0887357738821404</c:v>
                </c:pt>
                <c:pt idx="3">
                  <c:v>-7.8002083175169465</c:v>
                </c:pt>
                <c:pt idx="4">
                  <c:v>-3.1708879618726002</c:v>
                </c:pt>
                <c:pt idx="5">
                  <c:v>-11.767820596482252</c:v>
                </c:pt>
                <c:pt idx="6">
                  <c:v>-14.301744025475974</c:v>
                </c:pt>
                <c:pt idx="7">
                  <c:v>-5.7775860827501484</c:v>
                </c:pt>
                <c:pt idx="8">
                  <c:v>-17.908002461432602</c:v>
                </c:pt>
                <c:pt idx="9">
                  <c:v>-10.476866104892352</c:v>
                </c:pt>
                <c:pt idx="10">
                  <c:v>-6.7677305035211663</c:v>
                </c:pt>
                <c:pt idx="11">
                  <c:v>-8.7837646937806166</c:v>
                </c:pt>
                <c:pt idx="12">
                  <c:v>-12.484479098093729</c:v>
                </c:pt>
                <c:pt idx="13">
                  <c:v>-12.960122290777322</c:v>
                </c:pt>
                <c:pt idx="14">
                  <c:v>-12.674359501554818</c:v>
                </c:pt>
                <c:pt idx="15">
                  <c:v>-2.2368030163927557</c:v>
                </c:pt>
                <c:pt idx="16">
                  <c:v>2.1412308737428991</c:v>
                </c:pt>
                <c:pt idx="17">
                  <c:v>6.7060506902522121</c:v>
                </c:pt>
                <c:pt idx="18">
                  <c:v>10.520651243536568</c:v>
                </c:pt>
                <c:pt idx="19">
                  <c:v>4.0154080934528134</c:v>
                </c:pt>
                <c:pt idx="20">
                  <c:v>15.096396205125124</c:v>
                </c:pt>
                <c:pt idx="21">
                  <c:v>22.983564189995587</c:v>
                </c:pt>
                <c:pt idx="22">
                  <c:v>23.071264501942085</c:v>
                </c:pt>
                <c:pt idx="23">
                  <c:v>8.4227109201932677</c:v>
                </c:pt>
                <c:pt idx="24">
                  <c:v>-5.4531378976917608</c:v>
                </c:pt>
                <c:pt idx="25">
                  <c:v>-16.117483835737886</c:v>
                </c:pt>
                <c:pt idx="26">
                  <c:v>-19.215129526972934</c:v>
                </c:pt>
                <c:pt idx="27">
                  <c:v>-16.416019530524785</c:v>
                </c:pt>
                <c:pt idx="28">
                  <c:v>-15.516423932726306</c:v>
                </c:pt>
                <c:pt idx="29">
                  <c:v>-4.4150637460411728</c:v>
                </c:pt>
                <c:pt idx="30">
                  <c:v>-6.1296647837287024</c:v>
                </c:pt>
              </c:numCache>
            </c:numRef>
          </c:val>
          <c:extLst xmlns:c16r2="http://schemas.microsoft.com/office/drawing/2015/06/chart">
            <c:ext xmlns:c16="http://schemas.microsoft.com/office/drawing/2014/chart" uri="{C3380CC4-5D6E-409C-BE32-E72D297353CC}">
              <c16:uniqueId val="{00000002-CDFE-4508-895E-A900559FE52E}"/>
            </c:ext>
          </c:extLst>
        </c:ser>
        <c:ser>
          <c:idx val="3"/>
          <c:order val="3"/>
          <c:tx>
            <c:strRef>
              <c:f>'výkonnost odvětví 3'!$F$10</c:f>
              <c:strCache>
                <c:ptCount val="1"/>
                <c:pt idx="0">
                  <c:v>Nové zakázky ve stavebnictví celkem</c:v>
                </c:pt>
              </c:strCache>
            </c:strRef>
          </c:tx>
          <c:spPr>
            <a:ln w="19050">
              <a:solidFill>
                <a:srgbClr val="7DBB2D"/>
              </a:solidFill>
              <a:prstDash val="sysDash"/>
            </a:ln>
          </c:spPr>
          <c:marker>
            <c:symbol val="none"/>
          </c:marke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3'!$F$11:$F$41</c:f>
              <c:numCache>
                <c:formatCode>0.0</c:formatCode>
                <c:ptCount val="31"/>
                <c:pt idx="0">
                  <c:v>0.82757088505651666</c:v>
                </c:pt>
                <c:pt idx="1">
                  <c:v>8.7687755178484537</c:v>
                </c:pt>
                <c:pt idx="2">
                  <c:v>30.894711890703729</c:v>
                </c:pt>
                <c:pt idx="3">
                  <c:v>-13.41541380519296</c:v>
                </c:pt>
                <c:pt idx="4">
                  <c:v>37.795405718063265</c:v>
                </c:pt>
                <c:pt idx="5">
                  <c:v>-23.565672566981085</c:v>
                </c:pt>
                <c:pt idx="6">
                  <c:v>-23.360716461156017</c:v>
                </c:pt>
                <c:pt idx="7">
                  <c:v>-9.1653963414634205</c:v>
                </c:pt>
                <c:pt idx="8">
                  <c:v>-46.322059646598021</c:v>
                </c:pt>
                <c:pt idx="9">
                  <c:v>-13.714800630772698</c:v>
                </c:pt>
                <c:pt idx="10">
                  <c:v>-7.6729748888363645</c:v>
                </c:pt>
                <c:pt idx="11">
                  <c:v>7.5624082232011753</c:v>
                </c:pt>
                <c:pt idx="12">
                  <c:v>-17.695687793252468</c:v>
                </c:pt>
                <c:pt idx="13">
                  <c:v>-1.584773641063137</c:v>
                </c:pt>
                <c:pt idx="14">
                  <c:v>-1.3308205951467045</c:v>
                </c:pt>
                <c:pt idx="15">
                  <c:v>16.153096050706978</c:v>
                </c:pt>
                <c:pt idx="16">
                  <c:v>67.509727626458826</c:v>
                </c:pt>
                <c:pt idx="17">
                  <c:v>18.978644382544008</c:v>
                </c:pt>
                <c:pt idx="18">
                  <c:v>34.050931384107542</c:v>
                </c:pt>
                <c:pt idx="19">
                  <c:v>-1</c:v>
                </c:pt>
                <c:pt idx="20">
                  <c:v>-3.1547956675580053</c:v>
                </c:pt>
                <c:pt idx="21">
                  <c:v>9.7504961091663613</c:v>
                </c:pt>
                <c:pt idx="22">
                  <c:v>-1.0976060227612561</c:v>
                </c:pt>
                <c:pt idx="23">
                  <c:v>-2.3987783410040464</c:v>
                </c:pt>
                <c:pt idx="24">
                  <c:v>-6.6406358945753805</c:v>
                </c:pt>
                <c:pt idx="25">
                  <c:v>-0.49977652269311085</c:v>
                </c:pt>
                <c:pt idx="26">
                  <c:v>-7.0322087253454839</c:v>
                </c:pt>
                <c:pt idx="27">
                  <c:v>10.122126124559955</c:v>
                </c:pt>
                <c:pt idx="28">
                  <c:v>16.610402413885833</c:v>
                </c:pt>
                <c:pt idx="29">
                  <c:v>9.3574534985810036</c:v>
                </c:pt>
                <c:pt idx="30">
                  <c:v>1.0866030264189845</c:v>
                </c:pt>
              </c:numCache>
            </c:numRef>
          </c:val>
          <c:extLst xmlns:c16r2="http://schemas.microsoft.com/office/drawing/2015/06/chart">
            <c:ext xmlns:c16="http://schemas.microsoft.com/office/drawing/2014/chart" uri="{C3380CC4-5D6E-409C-BE32-E72D297353CC}">
              <c16:uniqueId val="{00000003-CDFE-4508-895E-A900559FE52E}"/>
            </c:ext>
          </c:extLst>
        </c:ser>
        <c:ser>
          <c:idx val="4"/>
          <c:order val="4"/>
          <c:tx>
            <c:strRef>
              <c:f>'výkonnost odvětví 3'!$G$10</c:f>
              <c:strCache>
                <c:ptCount val="1"/>
                <c:pt idx="0">
                  <c:v>Saldo indik. důvěry ve stavebnictví</c:v>
                </c:pt>
              </c:strCache>
            </c:strRef>
          </c:tx>
          <c:spPr>
            <a:ln w="19050">
              <a:noFill/>
              <a:prstDash val="solid"/>
            </a:ln>
          </c:spPr>
          <c:marker>
            <c:symbol val="dash"/>
            <c:size val="9"/>
            <c:spPr>
              <a:solidFill>
                <a:srgbClr val="984807"/>
              </a:solidFill>
              <a:ln>
                <a:noFill/>
              </a:ln>
            </c:spPr>
          </c:marke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3'!$G$11:$G$41</c:f>
              <c:numCache>
                <c:formatCode>0.0</c:formatCode>
                <c:ptCount val="31"/>
                <c:pt idx="0">
                  <c:v>-32.166666666666437</c:v>
                </c:pt>
                <c:pt idx="1">
                  <c:v>-32.5</c:v>
                </c:pt>
                <c:pt idx="2">
                  <c:v>-37</c:v>
                </c:pt>
                <c:pt idx="3">
                  <c:v>-42.5</c:v>
                </c:pt>
                <c:pt idx="4">
                  <c:v>-40</c:v>
                </c:pt>
                <c:pt idx="5">
                  <c:v>-40.333333333333336</c:v>
                </c:pt>
                <c:pt idx="6">
                  <c:v>-39.166666666666437</c:v>
                </c:pt>
                <c:pt idx="7">
                  <c:v>-39.333333333333336</c:v>
                </c:pt>
                <c:pt idx="8">
                  <c:v>-46</c:v>
                </c:pt>
                <c:pt idx="9">
                  <c:v>-45.333333333333336</c:v>
                </c:pt>
                <c:pt idx="10">
                  <c:v>-43.5</c:v>
                </c:pt>
                <c:pt idx="11">
                  <c:v>-44.666666666666437</c:v>
                </c:pt>
                <c:pt idx="12">
                  <c:v>-46</c:v>
                </c:pt>
                <c:pt idx="13">
                  <c:v>-53.333333333333336</c:v>
                </c:pt>
                <c:pt idx="14">
                  <c:v>-49.5</c:v>
                </c:pt>
                <c:pt idx="15">
                  <c:v>-50.833333333333336</c:v>
                </c:pt>
                <c:pt idx="16">
                  <c:v>-45.166666666666437</c:v>
                </c:pt>
                <c:pt idx="17">
                  <c:v>-38.333333333333336</c:v>
                </c:pt>
                <c:pt idx="18">
                  <c:v>-32</c:v>
                </c:pt>
                <c:pt idx="19">
                  <c:v>-25.166666666666668</c:v>
                </c:pt>
                <c:pt idx="20">
                  <c:v>-20.833333333333222</c:v>
                </c:pt>
                <c:pt idx="21">
                  <c:v>-16.333333333333222</c:v>
                </c:pt>
                <c:pt idx="22">
                  <c:v>-18.666666666666668</c:v>
                </c:pt>
                <c:pt idx="23">
                  <c:v>-15.666666666666702</c:v>
                </c:pt>
                <c:pt idx="24">
                  <c:v>-17.166666666666668</c:v>
                </c:pt>
                <c:pt idx="25">
                  <c:v>-24</c:v>
                </c:pt>
                <c:pt idx="26">
                  <c:v>-26.666666666666668</c:v>
                </c:pt>
                <c:pt idx="27">
                  <c:v>-25.833333333333222</c:v>
                </c:pt>
                <c:pt idx="28">
                  <c:v>-24.5</c:v>
                </c:pt>
                <c:pt idx="29">
                  <c:v>-22.666666666666668</c:v>
                </c:pt>
                <c:pt idx="30">
                  <c:v>-19.833333333333222</c:v>
                </c:pt>
              </c:numCache>
            </c:numRef>
          </c:val>
          <c:extLst xmlns:c16r2="http://schemas.microsoft.com/office/drawing/2015/06/chart">
            <c:ext xmlns:c16="http://schemas.microsoft.com/office/drawing/2014/chart" uri="{C3380CC4-5D6E-409C-BE32-E72D297353CC}">
              <c16:uniqueId val="{00000004-CDFE-4508-895E-A900559FE52E}"/>
            </c:ext>
          </c:extLst>
        </c:ser>
        <c:marker val="1"/>
        <c:axId val="166954496"/>
        <c:axId val="166956416"/>
      </c:lineChart>
      <c:catAx>
        <c:axId val="166954496"/>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66956416"/>
        <c:crossesAt val="0"/>
        <c:lblAlgn val="ctr"/>
        <c:lblOffset val="0"/>
        <c:tickLblSkip val="1"/>
        <c:tickMarkSkip val="4"/>
      </c:catAx>
      <c:valAx>
        <c:axId val="166956416"/>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66954496"/>
        <c:crosses val="autoZero"/>
        <c:crossBetween val="between"/>
        <c:majorUnit val="10"/>
      </c:valAx>
      <c:spPr>
        <a:solidFill>
          <a:srgbClr val="FFFFFF"/>
        </a:solidFill>
        <a:ln w="9525">
          <a:solidFill>
            <a:schemeClr val="tx1"/>
          </a:solidFill>
        </a:ln>
      </c:spPr>
    </c:plotArea>
    <c:legend>
      <c:legendPos val="b"/>
      <c:layout>
        <c:manualLayout>
          <c:xMode val="edge"/>
          <c:yMode val="edge"/>
          <c:x val="5.4756708056613715E-2"/>
          <c:y val="0.87003886444790779"/>
          <c:w val="0.92610625633232013"/>
          <c:h val="0.1146535032960096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3337294494629933E-2"/>
          <c:y val="2.1718077717576636E-2"/>
          <c:w val="0.91372590696101663"/>
          <c:h val="0.72599103236105256"/>
        </c:manualLayout>
      </c:layout>
      <c:barChart>
        <c:barDir val="col"/>
        <c:grouping val="clustered"/>
        <c:ser>
          <c:idx val="0"/>
          <c:order val="0"/>
          <c:tx>
            <c:strRef>
              <c:f>'výkonnost odvětví 4'!$C$10</c:f>
              <c:strCache>
                <c:ptCount val="1"/>
                <c:pt idx="0">
                  <c:v>Služby celkem*</c:v>
                </c:pt>
              </c:strCache>
            </c:strRef>
          </c:tx>
          <c:spPr>
            <a:solidFill>
              <a:schemeClr val="bg1">
                <a:lumMod val="65000"/>
              </a:schemeClr>
            </a:solidFill>
            <a:ln w="12700">
              <a:noFill/>
              <a:prstDash val="solid"/>
            </a:ln>
          </c:spP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4'!$C$11:$C$41</c:f>
              <c:numCache>
                <c:formatCode>#,##0.0</c:formatCode>
                <c:ptCount val="31"/>
                <c:pt idx="0">
                  <c:v>-4.5086821461459685</c:v>
                </c:pt>
                <c:pt idx="1">
                  <c:v>-0.32835885535858911</c:v>
                </c:pt>
                <c:pt idx="2">
                  <c:v>0.73946053993891758</c:v>
                </c:pt>
                <c:pt idx="3">
                  <c:v>-2.5152236064232767</c:v>
                </c:pt>
                <c:pt idx="4">
                  <c:v>0.28391768756938623</c:v>
                </c:pt>
                <c:pt idx="5">
                  <c:v>-0.70805078172122371</c:v>
                </c:pt>
                <c:pt idx="6">
                  <c:v>-4.5203767606311374</c:v>
                </c:pt>
                <c:pt idx="7">
                  <c:v>-2.2655181443709602</c:v>
                </c:pt>
                <c:pt idx="8">
                  <c:v>0.37351297841811981</c:v>
                </c:pt>
                <c:pt idx="9">
                  <c:v>-1.1871830565365584</c:v>
                </c:pt>
                <c:pt idx="10">
                  <c:v>1.1226178720515685</c:v>
                </c:pt>
                <c:pt idx="11">
                  <c:v>-1.3757772010385321</c:v>
                </c:pt>
                <c:pt idx="12">
                  <c:v>-0.13738089259027267</c:v>
                </c:pt>
                <c:pt idx="13">
                  <c:v>-0.88320355282115759</c:v>
                </c:pt>
                <c:pt idx="14">
                  <c:v>-1.390692156642402</c:v>
                </c:pt>
                <c:pt idx="15">
                  <c:v>1.6364179776865702</c:v>
                </c:pt>
                <c:pt idx="16">
                  <c:v>2.8771336307295448</c:v>
                </c:pt>
                <c:pt idx="17">
                  <c:v>1.002019192308552</c:v>
                </c:pt>
                <c:pt idx="18">
                  <c:v>0.49159162809337426</c:v>
                </c:pt>
                <c:pt idx="19">
                  <c:v>-0.25866374543002729</c:v>
                </c:pt>
                <c:pt idx="20">
                  <c:v>3.6461757644775985</c:v>
                </c:pt>
                <c:pt idx="21">
                  <c:v>3.0546031719619742</c:v>
                </c:pt>
                <c:pt idx="22">
                  <c:v>3.647984423755247</c:v>
                </c:pt>
                <c:pt idx="23">
                  <c:v>2.3368507053215524</c:v>
                </c:pt>
                <c:pt idx="24">
                  <c:v>1.3201546203116981</c:v>
                </c:pt>
                <c:pt idx="25">
                  <c:v>-0.70323122890518164</c:v>
                </c:pt>
                <c:pt idx="26">
                  <c:v>1.421959263257601</c:v>
                </c:pt>
                <c:pt idx="27">
                  <c:v>1.6211618392301546</c:v>
                </c:pt>
                <c:pt idx="28">
                  <c:v>5.3414780247255322</c:v>
                </c:pt>
                <c:pt idx="29">
                  <c:v>5.7121893969718505</c:v>
                </c:pt>
                <c:pt idx="30">
                  <c:v>3.2522754836907257</c:v>
                </c:pt>
              </c:numCache>
            </c:numRef>
          </c:val>
          <c:extLst xmlns:c16r2="http://schemas.microsoft.com/office/drawing/2015/06/chart">
            <c:ext xmlns:c16="http://schemas.microsoft.com/office/drawing/2014/chart" uri="{C3380CC4-5D6E-409C-BE32-E72D297353CC}">
              <c16:uniqueId val="{00000000-F249-4EAB-B137-D4CD330A9051}"/>
            </c:ext>
          </c:extLst>
        </c:ser>
        <c:gapWidth val="31"/>
        <c:axId val="167601280"/>
        <c:axId val="167603200"/>
      </c:barChart>
      <c:lineChart>
        <c:grouping val="standard"/>
        <c:ser>
          <c:idx val="1"/>
          <c:order val="1"/>
          <c:tx>
            <c:strRef>
              <c:f>'výkonnost odvětví 4'!$D$10</c:f>
              <c:strCache>
                <c:ptCount val="1"/>
                <c:pt idx="0">
                  <c:v>Doprava a skladování</c:v>
                </c:pt>
              </c:strCache>
            </c:strRef>
          </c:tx>
          <c:spPr>
            <a:ln w="19050">
              <a:solidFill>
                <a:schemeClr val="tx1">
                  <a:lumMod val="95000"/>
                  <a:lumOff val="5000"/>
                </a:schemeClr>
              </a:solidFill>
              <a:prstDash val="solid"/>
            </a:ln>
          </c:spPr>
          <c:marker>
            <c:symbol val="none"/>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4'!$D$11:$D$41</c:f>
              <c:numCache>
                <c:formatCode>#,##0.0</c:formatCode>
                <c:ptCount val="31"/>
                <c:pt idx="0">
                  <c:v>1.1947172056579101</c:v>
                </c:pt>
                <c:pt idx="1">
                  <c:v>6.1612006923673164</c:v>
                </c:pt>
                <c:pt idx="2">
                  <c:v>3.8321763739405186</c:v>
                </c:pt>
                <c:pt idx="3">
                  <c:v>1.9422562614741141</c:v>
                </c:pt>
                <c:pt idx="4">
                  <c:v>3.9905907077130012</c:v>
                </c:pt>
                <c:pt idx="5">
                  <c:v>0.66863750176709402</c:v>
                </c:pt>
                <c:pt idx="6">
                  <c:v>-0.96992608501065547</c:v>
                </c:pt>
                <c:pt idx="7">
                  <c:v>1.53701358146796</c:v>
                </c:pt>
                <c:pt idx="8">
                  <c:v>0.86419433077047603</c:v>
                </c:pt>
                <c:pt idx="9">
                  <c:v>1.820374106952102</c:v>
                </c:pt>
                <c:pt idx="10">
                  <c:v>3.4982887263413289</c:v>
                </c:pt>
                <c:pt idx="11">
                  <c:v>-1.8034409137813583</c:v>
                </c:pt>
                <c:pt idx="12">
                  <c:v>3.392654037139097</c:v>
                </c:pt>
                <c:pt idx="13">
                  <c:v>2.7604642355407671</c:v>
                </c:pt>
                <c:pt idx="14">
                  <c:v>2.2208650522536715</c:v>
                </c:pt>
                <c:pt idx="15">
                  <c:v>10.115669423589594</c:v>
                </c:pt>
                <c:pt idx="16">
                  <c:v>6.7018833973273502</c:v>
                </c:pt>
                <c:pt idx="17">
                  <c:v>2.7333521657622981</c:v>
                </c:pt>
                <c:pt idx="18">
                  <c:v>2.0465515678918011</c:v>
                </c:pt>
                <c:pt idx="19">
                  <c:v>-1.530844720104767</c:v>
                </c:pt>
                <c:pt idx="20">
                  <c:v>1.002169684302757</c:v>
                </c:pt>
                <c:pt idx="21">
                  <c:v>9.8032147612841E-2</c:v>
                </c:pt>
                <c:pt idx="22">
                  <c:v>0.86950159365595425</c:v>
                </c:pt>
                <c:pt idx="23">
                  <c:v>0.28377530048348376</c:v>
                </c:pt>
                <c:pt idx="24">
                  <c:v>0.39004135456362121</c:v>
                </c:pt>
                <c:pt idx="25">
                  <c:v>0.85652658073075538</c:v>
                </c:pt>
                <c:pt idx="26">
                  <c:v>0.45460658671727588</c:v>
                </c:pt>
                <c:pt idx="27">
                  <c:v>2.9315490427268287</c:v>
                </c:pt>
                <c:pt idx="28">
                  <c:v>5.622584965083532</c:v>
                </c:pt>
                <c:pt idx="29">
                  <c:v>3.6536825071874213</c:v>
                </c:pt>
                <c:pt idx="30">
                  <c:v>3.5517385487238755</c:v>
                </c:pt>
              </c:numCache>
            </c:numRef>
          </c:val>
          <c:extLst xmlns:c16r2="http://schemas.microsoft.com/office/drawing/2015/06/chart">
            <c:ext xmlns:c16="http://schemas.microsoft.com/office/drawing/2014/chart" uri="{C3380CC4-5D6E-409C-BE32-E72D297353CC}">
              <c16:uniqueId val="{00000001-F249-4EAB-B137-D4CD330A9051}"/>
            </c:ext>
          </c:extLst>
        </c:ser>
        <c:ser>
          <c:idx val="2"/>
          <c:order val="2"/>
          <c:tx>
            <c:strRef>
              <c:f>'výkonnost odvětví 4'!$E$10</c:f>
              <c:strCache>
                <c:ptCount val="1"/>
                <c:pt idx="0">
                  <c:v> Ubytování, stravování a pohostinství</c:v>
                </c:pt>
              </c:strCache>
            </c:strRef>
          </c:tx>
          <c:spPr>
            <a:ln w="19050">
              <a:solidFill>
                <a:schemeClr val="accent6">
                  <a:lumMod val="75000"/>
                </a:schemeClr>
              </a:solidFill>
              <a:prstDash val="solid"/>
            </a:ln>
          </c:spPr>
          <c:marker>
            <c:symbol val="none"/>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4'!$E$11:$E$41</c:f>
              <c:numCache>
                <c:formatCode>#,##0.0</c:formatCode>
                <c:ptCount val="31"/>
                <c:pt idx="0">
                  <c:v>-5.6975334622339355</c:v>
                </c:pt>
                <c:pt idx="1">
                  <c:v>-6.4566291711690571</c:v>
                </c:pt>
                <c:pt idx="2">
                  <c:v>-2.3613693441163552</c:v>
                </c:pt>
                <c:pt idx="3">
                  <c:v>-4.3794822068248322</c:v>
                </c:pt>
                <c:pt idx="4">
                  <c:v>-0.4555737275375123</c:v>
                </c:pt>
                <c:pt idx="5">
                  <c:v>2.8719283904406567</c:v>
                </c:pt>
                <c:pt idx="6">
                  <c:v>-2.0593466230799167</c:v>
                </c:pt>
                <c:pt idx="7">
                  <c:v>-1.7256463028242972</c:v>
                </c:pt>
                <c:pt idx="8">
                  <c:v>-2.0799940910439592</c:v>
                </c:pt>
                <c:pt idx="9">
                  <c:v>-2.7104496472732067</c:v>
                </c:pt>
                <c:pt idx="10">
                  <c:v>-1.7795460053675638</c:v>
                </c:pt>
                <c:pt idx="11">
                  <c:v>-3.5479456831717822</c:v>
                </c:pt>
                <c:pt idx="12">
                  <c:v>0.89755614973260267</c:v>
                </c:pt>
                <c:pt idx="13">
                  <c:v>0.22924413123806231</c:v>
                </c:pt>
                <c:pt idx="14">
                  <c:v>1.6544632966843258</c:v>
                </c:pt>
                <c:pt idx="15">
                  <c:v>0.76912142555656493</c:v>
                </c:pt>
                <c:pt idx="16">
                  <c:v>2.8501068964853005</c:v>
                </c:pt>
                <c:pt idx="17">
                  <c:v>2.4958042132578977</c:v>
                </c:pt>
                <c:pt idx="18">
                  <c:v>-0.14347203797564134</c:v>
                </c:pt>
                <c:pt idx="19">
                  <c:v>9.4433474314613006E-2</c:v>
                </c:pt>
                <c:pt idx="20">
                  <c:v>2.7050589721666398</c:v>
                </c:pt>
                <c:pt idx="21">
                  <c:v>7.5318806290230071</c:v>
                </c:pt>
                <c:pt idx="22">
                  <c:v>7.8389885799991887</c:v>
                </c:pt>
                <c:pt idx="23">
                  <c:v>4.8733206144871861</c:v>
                </c:pt>
                <c:pt idx="24">
                  <c:v>5.5782241405589019</c:v>
                </c:pt>
                <c:pt idx="25">
                  <c:v>2.058514914094502</c:v>
                </c:pt>
                <c:pt idx="26">
                  <c:v>6.8375251195024545</c:v>
                </c:pt>
                <c:pt idx="27">
                  <c:v>7.3108025341731784</c:v>
                </c:pt>
                <c:pt idx="28">
                  <c:v>12.00829980631562</c:v>
                </c:pt>
                <c:pt idx="29">
                  <c:v>13.435934769141404</c:v>
                </c:pt>
                <c:pt idx="30">
                  <c:v>5.2190801962285613</c:v>
                </c:pt>
              </c:numCache>
            </c:numRef>
          </c:val>
          <c:extLst xmlns:c16r2="http://schemas.microsoft.com/office/drawing/2015/06/chart">
            <c:ext xmlns:c16="http://schemas.microsoft.com/office/drawing/2014/chart" uri="{C3380CC4-5D6E-409C-BE32-E72D297353CC}">
              <c16:uniqueId val="{00000002-F249-4EAB-B137-D4CD330A9051}"/>
            </c:ext>
          </c:extLst>
        </c:ser>
        <c:ser>
          <c:idx val="3"/>
          <c:order val="3"/>
          <c:tx>
            <c:strRef>
              <c:f>'výkonnost odvětví 4'!$F$10</c:f>
              <c:strCache>
                <c:ptCount val="1"/>
                <c:pt idx="0">
                  <c:v>Profesní, vědecké a technické čin.</c:v>
                </c:pt>
              </c:strCache>
            </c:strRef>
          </c:tx>
          <c:spPr>
            <a:ln w="19050">
              <a:solidFill>
                <a:srgbClr val="48AEE7"/>
              </a:solidFill>
            </a:ln>
          </c:spPr>
          <c:marker>
            <c:symbol val="none"/>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4'!$F$11:$F$41</c:f>
              <c:numCache>
                <c:formatCode>#,##0.0</c:formatCode>
                <c:ptCount val="31"/>
                <c:pt idx="0">
                  <c:v>-12.29140286587932</c:v>
                </c:pt>
                <c:pt idx="1">
                  <c:v>-4.2369590371524453</c:v>
                </c:pt>
                <c:pt idx="2">
                  <c:v>-1.2080379480757168</c:v>
                </c:pt>
                <c:pt idx="3">
                  <c:v>-7.4305239361272575</c:v>
                </c:pt>
                <c:pt idx="4">
                  <c:v>-5.3334335616924555</c:v>
                </c:pt>
                <c:pt idx="5">
                  <c:v>-4.4160578473172265</c:v>
                </c:pt>
                <c:pt idx="6">
                  <c:v>-16.037856901980945</c:v>
                </c:pt>
                <c:pt idx="7">
                  <c:v>-8.5897289971528039</c:v>
                </c:pt>
                <c:pt idx="8">
                  <c:v>1.7788922355555599</c:v>
                </c:pt>
                <c:pt idx="9">
                  <c:v>-5.9954391231438464</c:v>
                </c:pt>
                <c:pt idx="10">
                  <c:v>-0.72796001543736111</c:v>
                </c:pt>
                <c:pt idx="11">
                  <c:v>0.13792425546452591</c:v>
                </c:pt>
                <c:pt idx="12">
                  <c:v>-4.5792020329988325</c:v>
                </c:pt>
                <c:pt idx="13">
                  <c:v>-7.3603324814945523</c:v>
                </c:pt>
                <c:pt idx="14">
                  <c:v>-9.2524678147347359</c:v>
                </c:pt>
                <c:pt idx="15">
                  <c:v>-5.1127026831459688</c:v>
                </c:pt>
                <c:pt idx="16">
                  <c:v>-3.1398591187232272</c:v>
                </c:pt>
                <c:pt idx="17">
                  <c:v>-2.2337848171194397</c:v>
                </c:pt>
                <c:pt idx="18">
                  <c:v>-3.2082111393684301</c:v>
                </c:pt>
                <c:pt idx="19">
                  <c:v>-0.51190205487802132</c:v>
                </c:pt>
                <c:pt idx="20">
                  <c:v>5.0596405878540809</c:v>
                </c:pt>
                <c:pt idx="21">
                  <c:v>3.9939192273867832</c:v>
                </c:pt>
                <c:pt idx="22">
                  <c:v>5.6343976736692696</c:v>
                </c:pt>
                <c:pt idx="23">
                  <c:v>-0.90536959838848963</c:v>
                </c:pt>
                <c:pt idx="24">
                  <c:v>-1.6283771135000549</c:v>
                </c:pt>
                <c:pt idx="25">
                  <c:v>-7.4064779750107324</c:v>
                </c:pt>
                <c:pt idx="26">
                  <c:v>-0.53409395066332099</c:v>
                </c:pt>
                <c:pt idx="27">
                  <c:v>-1.4896673386361239</c:v>
                </c:pt>
                <c:pt idx="28">
                  <c:v>2.3067220934771338</c:v>
                </c:pt>
                <c:pt idx="29">
                  <c:v>3.9796499108853567</c:v>
                </c:pt>
                <c:pt idx="30">
                  <c:v>0.5324512464589477</c:v>
                </c:pt>
              </c:numCache>
            </c:numRef>
          </c:val>
          <c:extLst xmlns:c16r2="http://schemas.microsoft.com/office/drawing/2015/06/chart">
            <c:ext xmlns:c16="http://schemas.microsoft.com/office/drawing/2014/chart" uri="{C3380CC4-5D6E-409C-BE32-E72D297353CC}">
              <c16:uniqueId val="{00000003-F249-4EAB-B137-D4CD330A9051}"/>
            </c:ext>
          </c:extLst>
        </c:ser>
        <c:ser>
          <c:idx val="4"/>
          <c:order val="4"/>
          <c:tx>
            <c:strRef>
              <c:f>'výkonnost odvětví 4'!$G$10</c:f>
              <c:strCache>
                <c:ptCount val="1"/>
                <c:pt idx="0">
                  <c:v>Administrativní a podpůrné činnosti</c:v>
                </c:pt>
              </c:strCache>
            </c:strRef>
          </c:tx>
          <c:spPr>
            <a:ln w="19050">
              <a:solidFill>
                <a:srgbClr val="7DBB2D"/>
              </a:solidFill>
            </a:ln>
          </c:spPr>
          <c:marker>
            <c:symbol val="none"/>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4'!$G$11:$G$41</c:f>
              <c:numCache>
                <c:formatCode>#,##0.0</c:formatCode>
                <c:ptCount val="31"/>
                <c:pt idx="0">
                  <c:v>-1.6549602302955009</c:v>
                </c:pt>
                <c:pt idx="1">
                  <c:v>-2.3594924008949767</c:v>
                </c:pt>
                <c:pt idx="2">
                  <c:v>1.0685094464073757</c:v>
                </c:pt>
                <c:pt idx="3">
                  <c:v>1.802428689681236</c:v>
                </c:pt>
                <c:pt idx="4">
                  <c:v>4.5715948454982955</c:v>
                </c:pt>
                <c:pt idx="5">
                  <c:v>5.6146067882748127</c:v>
                </c:pt>
                <c:pt idx="6">
                  <c:v>5.0768754367534825</c:v>
                </c:pt>
                <c:pt idx="7">
                  <c:v>3.1246108505308001</c:v>
                </c:pt>
                <c:pt idx="8">
                  <c:v>4.9368462848572445</c:v>
                </c:pt>
                <c:pt idx="9">
                  <c:v>2.4137029520887547</c:v>
                </c:pt>
                <c:pt idx="10">
                  <c:v>4.1629831718919004</c:v>
                </c:pt>
                <c:pt idx="11">
                  <c:v>-1.7756569206553507</c:v>
                </c:pt>
                <c:pt idx="12">
                  <c:v>-0.44871471439856236</c:v>
                </c:pt>
                <c:pt idx="13">
                  <c:v>0.9939088783912382</c:v>
                </c:pt>
                <c:pt idx="14">
                  <c:v>0.7362302514327016</c:v>
                </c:pt>
                <c:pt idx="15">
                  <c:v>3.5140731651337425</c:v>
                </c:pt>
                <c:pt idx="16">
                  <c:v>5.1516745001737263</c:v>
                </c:pt>
                <c:pt idx="17">
                  <c:v>3.2158782239781822</c:v>
                </c:pt>
                <c:pt idx="18">
                  <c:v>1.6599049809022119</c:v>
                </c:pt>
                <c:pt idx="19">
                  <c:v>2.1099084628199742</c:v>
                </c:pt>
                <c:pt idx="20">
                  <c:v>6.1376093301024781</c:v>
                </c:pt>
                <c:pt idx="21">
                  <c:v>6.6225322026989648</c:v>
                </c:pt>
                <c:pt idx="22">
                  <c:v>5.29807791431341</c:v>
                </c:pt>
                <c:pt idx="23">
                  <c:v>6.7528747274731273</c:v>
                </c:pt>
                <c:pt idx="24">
                  <c:v>5.6113763982608589</c:v>
                </c:pt>
                <c:pt idx="25">
                  <c:v>3.1599869758994714</c:v>
                </c:pt>
                <c:pt idx="26">
                  <c:v>3.1913401196739528</c:v>
                </c:pt>
                <c:pt idx="27">
                  <c:v>5.1831722314395066</c:v>
                </c:pt>
                <c:pt idx="28">
                  <c:v>9.5483567013076485</c:v>
                </c:pt>
                <c:pt idx="29">
                  <c:v>9.7092531579511459</c:v>
                </c:pt>
                <c:pt idx="30">
                  <c:v>5.4669153712398053</c:v>
                </c:pt>
              </c:numCache>
            </c:numRef>
          </c:val>
          <c:extLst xmlns:c16r2="http://schemas.microsoft.com/office/drawing/2015/06/chart">
            <c:ext xmlns:c16="http://schemas.microsoft.com/office/drawing/2014/chart" uri="{C3380CC4-5D6E-409C-BE32-E72D297353CC}">
              <c16:uniqueId val="{00000004-F249-4EAB-B137-D4CD330A9051}"/>
            </c:ext>
          </c:extLst>
        </c:ser>
        <c:ser>
          <c:idx val="5"/>
          <c:order val="5"/>
          <c:tx>
            <c:strRef>
              <c:f>'výkonnost odvětví 4'!$H$10</c:f>
              <c:strCache>
                <c:ptCount val="1"/>
                <c:pt idx="0">
                  <c:v> Informační a komunikační činnosti</c:v>
                </c:pt>
              </c:strCache>
            </c:strRef>
          </c:tx>
          <c:spPr>
            <a:ln>
              <a:noFill/>
            </a:ln>
          </c:spPr>
          <c:marker>
            <c:symbol val="diamond"/>
            <c:size val="5"/>
            <c:spPr>
              <a:solidFill>
                <a:srgbClr val="984807"/>
              </a:solidFill>
            </c:spPr>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4'!$H$11:$H$41</c:f>
              <c:numCache>
                <c:formatCode>#,##0.0</c:formatCode>
                <c:ptCount val="31"/>
                <c:pt idx="0">
                  <c:v>-1.7569841865706759</c:v>
                </c:pt>
                <c:pt idx="1">
                  <c:v>-8.6221143980481266E-2</c:v>
                </c:pt>
                <c:pt idx="2">
                  <c:v>1.8716313577688866</c:v>
                </c:pt>
                <c:pt idx="3">
                  <c:v>-1.0298863480790417</c:v>
                </c:pt>
                <c:pt idx="4">
                  <c:v>-3.1095049529597106E-3</c:v>
                </c:pt>
                <c:pt idx="5">
                  <c:v>-1.157799683532015</c:v>
                </c:pt>
                <c:pt idx="6">
                  <c:v>-2.7988947786483749</c:v>
                </c:pt>
                <c:pt idx="7">
                  <c:v>-0.57350199072186558</c:v>
                </c:pt>
                <c:pt idx="8">
                  <c:v>0.65614782340553712</c:v>
                </c:pt>
                <c:pt idx="9">
                  <c:v>-2.1574519074576456E-2</c:v>
                </c:pt>
                <c:pt idx="10">
                  <c:v>1.5164530209313143</c:v>
                </c:pt>
                <c:pt idx="11">
                  <c:v>-0.56278965630770295</c:v>
                </c:pt>
                <c:pt idx="12">
                  <c:v>-1.909567586633472</c:v>
                </c:pt>
                <c:pt idx="13">
                  <c:v>0.34072038449770048</c:v>
                </c:pt>
                <c:pt idx="14">
                  <c:v>-2.0549451083956267</c:v>
                </c:pt>
                <c:pt idx="15">
                  <c:v>0.4473527259021079</c:v>
                </c:pt>
                <c:pt idx="16">
                  <c:v>3.063936628069039</c:v>
                </c:pt>
                <c:pt idx="17">
                  <c:v>0.28792896096983894</c:v>
                </c:pt>
                <c:pt idx="18">
                  <c:v>1.8965571581991867</c:v>
                </c:pt>
                <c:pt idx="19">
                  <c:v>1.189685340428156</c:v>
                </c:pt>
                <c:pt idx="20">
                  <c:v>6.8982667032687734</c:v>
                </c:pt>
                <c:pt idx="21">
                  <c:v>4.4697876545021824</c:v>
                </c:pt>
                <c:pt idx="22">
                  <c:v>4.5108639908306181</c:v>
                </c:pt>
                <c:pt idx="23">
                  <c:v>6.6486532316137925</c:v>
                </c:pt>
                <c:pt idx="24">
                  <c:v>1.9983516619299209</c:v>
                </c:pt>
                <c:pt idx="25">
                  <c:v>0.47566965110716808</c:v>
                </c:pt>
                <c:pt idx="26">
                  <c:v>1.5203098872971126</c:v>
                </c:pt>
                <c:pt idx="27">
                  <c:v>0.80005970565694851</c:v>
                </c:pt>
                <c:pt idx="28">
                  <c:v>3.3155036833574627</c:v>
                </c:pt>
                <c:pt idx="29">
                  <c:v>5.5080446266329846</c:v>
                </c:pt>
                <c:pt idx="30">
                  <c:v>4.3743636404440593</c:v>
                </c:pt>
              </c:numCache>
            </c:numRef>
          </c:val>
          <c:extLst xmlns:c16r2="http://schemas.microsoft.com/office/drawing/2015/06/chart">
            <c:ext xmlns:c16="http://schemas.microsoft.com/office/drawing/2014/chart" uri="{C3380CC4-5D6E-409C-BE32-E72D297353CC}">
              <c16:uniqueId val="{00000005-F249-4EAB-B137-D4CD330A9051}"/>
            </c:ext>
          </c:extLst>
        </c:ser>
        <c:marker val="1"/>
        <c:axId val="167601280"/>
        <c:axId val="167603200"/>
      </c:lineChart>
      <c:catAx>
        <c:axId val="16760128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67603200"/>
        <c:crosses val="autoZero"/>
        <c:lblAlgn val="ctr"/>
        <c:lblOffset val="0"/>
        <c:tickLblSkip val="1"/>
        <c:tickMarkSkip val="4"/>
      </c:catAx>
      <c:valAx>
        <c:axId val="167603200"/>
        <c:scaling>
          <c:orientation val="minMax"/>
          <c:max val="14"/>
          <c:min val="-14"/>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67601280"/>
        <c:crosses val="autoZero"/>
        <c:crossBetween val="between"/>
        <c:majorUnit val="2"/>
      </c:valAx>
      <c:spPr>
        <a:solidFill>
          <a:srgbClr val="FFFFFF"/>
        </a:solidFill>
        <a:ln w="9525">
          <a:solidFill>
            <a:schemeClr val="tx1"/>
          </a:solidFill>
        </a:ln>
      </c:spPr>
    </c:plotArea>
    <c:legend>
      <c:legendPos val="b"/>
      <c:layout>
        <c:manualLayout>
          <c:xMode val="edge"/>
          <c:yMode val="edge"/>
          <c:x val="5.0503730461652213E-2"/>
          <c:y val="0.85483933686761981"/>
          <c:w val="0.91497470579305717"/>
          <c:h val="0.127054907917265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0.58947</cdr:x>
      <cdr:y>0.01868</cdr:y>
    </cdr:from>
    <cdr:to>
      <cdr:x>0.6376</cdr:x>
      <cdr:y>0.05626</cdr:y>
    </cdr:to>
    <cdr:sp macro="" textlink="">
      <cdr:nvSpPr>
        <cdr:cNvPr id="2" name="Přímá spojovací šipka 1"/>
        <cdr:cNvSpPr/>
      </cdr:nvSpPr>
      <cdr:spPr>
        <a:xfrm xmlns:a="http://schemas.openxmlformats.org/drawingml/2006/main" flipH="1" flipV="1">
          <a:off x="2799499" y="66271"/>
          <a:ext cx="228579" cy="133342"/>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0.64912</cdr:x>
      <cdr:y>0.04249</cdr:y>
    </cdr:from>
    <cdr:to>
      <cdr:x>0.72324</cdr:x>
      <cdr:y>0.09724</cdr:y>
    </cdr:to>
    <cdr:sp macro="" textlink="">
      <cdr:nvSpPr>
        <cdr:cNvPr id="3" name="TextovéPole 2"/>
        <cdr:cNvSpPr txBox="1"/>
      </cdr:nvSpPr>
      <cdr:spPr>
        <a:xfrm xmlns:a="http://schemas.openxmlformats.org/drawingml/2006/main">
          <a:off x="3082788" y="150770"/>
          <a:ext cx="352011" cy="19426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drawings/drawing2.xml><?xml version="1.0" encoding="utf-8"?>
<c:userShapes xmlns:c="http://schemas.openxmlformats.org/drawingml/2006/chart">
  <cdr:relSizeAnchor xmlns:cdr="http://schemas.openxmlformats.org/drawingml/2006/chartDrawing">
    <cdr:from>
      <cdr:x>0.26574</cdr:x>
      <cdr:y>0.71461</cdr:y>
    </cdr:from>
    <cdr:to>
      <cdr:x>0.31164</cdr:x>
      <cdr:y>0.72853</cdr:y>
    </cdr:to>
    <cdr:sp macro="" textlink="">
      <cdr:nvSpPr>
        <cdr:cNvPr id="2" name="Přímá spojovací šipka 1"/>
        <cdr:cNvSpPr/>
      </cdr:nvSpPr>
      <cdr:spPr>
        <a:xfrm xmlns:a="http://schemas.openxmlformats.org/drawingml/2006/main" flipH="1">
          <a:off x="1260229" y="2429208"/>
          <a:ext cx="217677" cy="47292"/>
        </a:xfrm>
        <a:prstGeom xmlns:a="http://schemas.openxmlformats.org/drawingml/2006/main" prst="straightConnector1">
          <a:avLst/>
        </a:prstGeom>
        <a:noFill xmlns:a="http://schemas.openxmlformats.org/drawingml/2006/main"/>
        <a:ln xmlns:a="http://schemas.openxmlformats.org/drawingml/2006/main" w="6350" cap="flat" cmpd="sng" algn="ctr">
          <a:solidFill>
            <a:srgbClr val="00B0F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0.32547</cdr:x>
      <cdr:y>0.69521</cdr:y>
    </cdr:from>
    <cdr:to>
      <cdr:x>0.38425</cdr:x>
      <cdr:y>0.75017</cdr:y>
    </cdr:to>
    <cdr:sp macro="" textlink="">
      <cdr:nvSpPr>
        <cdr:cNvPr id="3" name="TextovéPole 2"/>
        <cdr:cNvSpPr txBox="1"/>
      </cdr:nvSpPr>
      <cdr:spPr>
        <a:xfrm xmlns:a="http://schemas.openxmlformats.org/drawingml/2006/main">
          <a:off x="1543521" y="2363267"/>
          <a:ext cx="278751" cy="18682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00B0F0"/>
              </a:solidFill>
              <a:latin typeface="Arial" pitchFamily="34" charset="0"/>
              <a:cs typeface="Arial" pitchFamily="34" charset="0"/>
            </a:rPr>
            <a:t>-16,0</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9F2F3-234E-4327-8B35-5CA9828465AE}">
  <ds:schemaRefs>
    <ds:schemaRef ds:uri="http://schemas.openxmlformats.org/officeDocument/2006/bibliography"/>
  </ds:schemaRefs>
</ds:datastoreItem>
</file>

<file path=customXml/itemProps2.xml><?xml version="1.0" encoding="utf-8"?>
<ds:datastoreItem xmlns:ds="http://schemas.openxmlformats.org/officeDocument/2006/customXml" ds:itemID="{567D50C7-C3B0-4E9D-912F-B3653585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TotalTime>
  <Pages>5</Pages>
  <Words>2409</Words>
  <Characters>14217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16593</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2017-12-15T12:34:00Z</cp:lastPrinted>
  <dcterms:created xsi:type="dcterms:W3CDTF">2017-12-20T10:53:00Z</dcterms:created>
  <dcterms:modified xsi:type="dcterms:W3CDTF">2017-12-20T10:55:00Z</dcterms:modified>
</cp:coreProperties>
</file>