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A74192" w:rsidRDefault="00AA4A76" w:rsidP="00B16A6E">
      <w:pPr>
        <w:pStyle w:val="Nadpis1"/>
        <w:numPr>
          <w:ilvl w:val="0"/>
          <w:numId w:val="20"/>
        </w:numPr>
        <w:jc w:val="both"/>
      </w:pPr>
      <w:bookmarkStart w:id="0" w:name="_Toc469299935"/>
      <w:bookmarkStart w:id="1" w:name="_Toc485271460"/>
      <w:r>
        <w:t>M</w:t>
      </w:r>
      <w:r w:rsidR="00576A3E" w:rsidRPr="00A74192">
        <w:t>ěnové podmínky</w:t>
      </w:r>
      <w:bookmarkEnd w:id="0"/>
      <w:bookmarkEnd w:id="1"/>
    </w:p>
    <w:tbl>
      <w:tblPr>
        <w:tblW w:w="4995" w:type="pct"/>
        <w:tblInd w:w="108" w:type="dxa"/>
        <w:tblLayout w:type="fixed"/>
        <w:tblLook w:val="00A0"/>
      </w:tblPr>
      <w:tblGrid>
        <w:gridCol w:w="2000"/>
        <w:gridCol w:w="284"/>
        <w:gridCol w:w="1118"/>
        <w:gridCol w:w="6442"/>
      </w:tblGrid>
      <w:tr w:rsidR="00AA4A76" w:rsidRPr="00A74192" w:rsidTr="00AA4A76">
        <w:trPr>
          <w:trHeight w:val="145"/>
        </w:trPr>
        <w:tc>
          <w:tcPr>
            <w:tcW w:w="1016" w:type="pct"/>
          </w:tcPr>
          <w:p w:rsidR="00AA4A76" w:rsidRPr="006D5608" w:rsidRDefault="00AA4A76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814C42">
              <w:rPr>
                <w:color w:val="000000" w:themeColor="text1"/>
                <w:sz w:val="16"/>
                <w:szCs w:val="16"/>
              </w:rPr>
              <w:t>Měnověpolitické</w:t>
            </w:r>
            <w:proofErr w:type="spellEnd"/>
            <w:r w:rsidRPr="00814C42">
              <w:rPr>
                <w:color w:val="000000" w:themeColor="text1"/>
                <w:sz w:val="16"/>
                <w:szCs w:val="16"/>
              </w:rPr>
              <w:t xml:space="preserve"> sazby zůstaly na technické nule. Režim měnových intervencí v 1. čtvrtletí 2017 dosáhl konce deklarovaného horizontu fungování.</w:t>
            </w:r>
          </w:p>
        </w:tc>
        <w:tc>
          <w:tcPr>
            <w:tcW w:w="144" w:type="pct"/>
          </w:tcPr>
          <w:p w:rsidR="00AA4A76" w:rsidRPr="003E6E0D" w:rsidRDefault="00AA4A76" w:rsidP="00134DFD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AA4A76" w:rsidRDefault="00AA4A76" w:rsidP="00134DFD">
            <w:pPr>
              <w:pStyle w:val="Textpoznpodarou"/>
              <w:jc w:val="both"/>
            </w:pPr>
            <w:r>
              <w:t xml:space="preserve">Již pátým rokem zůstávaly </w:t>
            </w:r>
            <w:proofErr w:type="spellStart"/>
            <w:r>
              <w:t>měnověpolitické</w:t>
            </w:r>
            <w:proofErr w:type="spellEnd"/>
            <w:r>
              <w:t xml:space="preserve"> úrokové sazby</w:t>
            </w:r>
            <w:r w:rsidR="00045681">
              <w:t xml:space="preserve"> konstantní</w:t>
            </w:r>
            <w:r>
              <w:t>. V 1. čtvrtletí roku 2017 pokračoval i režim asymetrického kurzového závazku používaný jako nástroj uvolňování měnových podmínek. Návrat inflace k 2% cíli v závěru roku 2016 a zrychlování cenového růstu v prvních třech měsících roku 2017 byly zhodnoceny jako splnění podmínek ukončení závazku, a tak bankovní rada neprodloužila tzv. „tvrdý“ závazek, který skončil k 31. 3. 2017 (úplné opuštění kurzového závazku bylo oznámeno 6. 4. 2017). Měsíční průměry kurzu koruny vůči euru byly po celé 1. čtvrtletí na hodnotě 27,02</w:t>
            </w:r>
            <w:r w:rsidR="004C0243">
              <w:rPr>
                <w:rStyle w:val="Znakapoznpodarou"/>
              </w:rPr>
              <w:footnoteReference w:id="1"/>
            </w:r>
            <w:r w:rsidR="004C0243">
              <w:t xml:space="preserve">. </w:t>
            </w:r>
            <w:r>
              <w:t>Dolarový kurz dosáhl průměru 25,38 korun za dolar a meziročně oslabil o 3,4 %.</w:t>
            </w:r>
          </w:p>
          <w:p w:rsidR="00B16A6E" w:rsidRDefault="00B16A6E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  <w:p w:rsidR="00AA4A76" w:rsidRPr="00365E26" w:rsidRDefault="00AA4A76" w:rsidP="00134DFD">
            <w:pPr>
              <w:pStyle w:val="Textpoznpodarou"/>
              <w:jc w:val="both"/>
              <w:rPr>
                <w:sz w:val="4"/>
                <w:szCs w:val="4"/>
              </w:rPr>
            </w:pPr>
          </w:p>
        </w:tc>
      </w:tr>
      <w:tr w:rsidR="00AA4A76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AA4A76" w:rsidRPr="006D5608" w:rsidRDefault="00AA4A76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814C42">
              <w:rPr>
                <w:color w:val="000000" w:themeColor="text1"/>
                <w:sz w:val="16"/>
                <w:szCs w:val="16"/>
              </w:rPr>
              <w:t xml:space="preserve">Udržení kurzu nad hranicí 27 korun za euro vyžadovalo rekordní </w:t>
            </w:r>
            <w:r>
              <w:rPr>
                <w:color w:val="000000" w:themeColor="text1"/>
                <w:sz w:val="16"/>
                <w:szCs w:val="16"/>
              </w:rPr>
              <w:t xml:space="preserve">objem </w:t>
            </w:r>
            <w:r w:rsidRPr="00814C42">
              <w:rPr>
                <w:color w:val="000000" w:themeColor="text1"/>
                <w:sz w:val="16"/>
                <w:szCs w:val="16"/>
              </w:rPr>
              <w:t>operac</w:t>
            </w:r>
            <w:r>
              <w:rPr>
                <w:color w:val="000000" w:themeColor="text1"/>
                <w:sz w:val="16"/>
                <w:szCs w:val="16"/>
              </w:rPr>
              <w:t>í</w:t>
            </w:r>
            <w:r w:rsidRPr="00814C42">
              <w:rPr>
                <w:color w:val="000000" w:themeColor="text1"/>
                <w:sz w:val="16"/>
                <w:szCs w:val="16"/>
              </w:rPr>
              <w:t xml:space="preserve"> na devizovém trhu. Došlo k výraznému nárůstu českých devizových rezerv. </w:t>
            </w:r>
          </w:p>
        </w:tc>
        <w:tc>
          <w:tcPr>
            <w:tcW w:w="144" w:type="pct"/>
          </w:tcPr>
          <w:p w:rsidR="00AA4A76" w:rsidRPr="003E6E0D" w:rsidRDefault="00AA4A76" w:rsidP="00134DFD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AA4A76" w:rsidRDefault="00AA4A76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Závěr nekonvenčního režimu měnové politiky byl poznamenán výraznou potřebou intervenovat, aby byl udržen kurz na stanovené úrovni. Podle publikovaných dat o</w:t>
            </w:r>
            <w:r w:rsidR="00CB2B15">
              <w:t> </w:t>
            </w:r>
            <w:r>
              <w:t>devizových obchodech ČNB vyvstala nutnost zásahu již v druhé polovině roku 2015. Proklamovaná vůle zasáhnout proti posílení měny všemi dostupnými prostředky i očekávaný konec intervencí ve světle rostoucí inflace přilákaly velké množství spekulativního kapitálu. Objem operací na devizovém trhu prudce vzrostl ve 4. čtvrtletí 2016 a v 1. čtvrtletí 2017 dosáhl 41,9 mld. eur. To je téměř dvakrát více než celkový objem obchodů v předchozím roce a půl. S intervencí je spojen i</w:t>
            </w:r>
            <w:r w:rsidR="00CB2B15">
              <w:t> </w:t>
            </w:r>
            <w:r>
              <w:t>výrazný nárůst objemu devizových rezerv. Ten k 31. 3. 2017 činil 122,9 mld eur (3 323 mld. korun) a oproti stejnému období předchozího roku vzrostl o 91 %. Významná část tohoto nárůstu se odehrála v 1. čtvrtletí letošního roku, kdy se</w:t>
            </w:r>
            <w:r w:rsidR="006E4A1B">
              <w:t> </w:t>
            </w:r>
            <w:r>
              <w:t>objem dev</w:t>
            </w:r>
            <w:r w:rsidR="00045681">
              <w:t xml:space="preserve">izových </w:t>
            </w:r>
            <w:r>
              <w:t>rezerv zvýšil o 41,6 mld. eur.</w:t>
            </w:r>
          </w:p>
          <w:p w:rsidR="00AA4A76" w:rsidRPr="0094422D" w:rsidRDefault="00AA4A76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A4A76" w:rsidTr="00FC6DB5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AA4A76" w:rsidRDefault="00FC6DB5" w:rsidP="00AA4A76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44" w:type="pct"/>
          </w:tcPr>
          <w:p w:rsidR="00FC6DB5" w:rsidRPr="00AA4A76" w:rsidRDefault="00FC6DB5" w:rsidP="00D94859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568" w:type="pct"/>
          </w:tcPr>
          <w:p w:rsidR="00FC6DB5" w:rsidRPr="00AA4A76" w:rsidRDefault="00FC6DB5" w:rsidP="008A03DE">
            <w:pPr>
              <w:pStyle w:val="Textpoznpodarou"/>
              <w:jc w:val="both"/>
              <w:rPr>
                <w:highlight w:val="yellow"/>
              </w:rPr>
            </w:pPr>
            <w:r w:rsidRPr="00AA4A76">
              <w:rPr>
                <w:color w:val="000000"/>
              </w:rPr>
              <w:t>Graf č. 17</w:t>
            </w:r>
          </w:p>
        </w:tc>
        <w:tc>
          <w:tcPr>
            <w:tcW w:w="3272" w:type="pct"/>
          </w:tcPr>
          <w:p w:rsidR="00FC6DB5" w:rsidRPr="00AA4A76" w:rsidRDefault="00FC6DB5" w:rsidP="00DE1460">
            <w:pPr>
              <w:pStyle w:val="Textpoznpodarou"/>
              <w:jc w:val="both"/>
              <w:rPr>
                <w:highlight w:val="yellow"/>
              </w:rPr>
            </w:pPr>
            <w:r w:rsidRPr="00AA4A76">
              <w:rPr>
                <w:b/>
                <w:color w:val="000000" w:themeColor="text1"/>
              </w:rPr>
              <w:t xml:space="preserve">Měnové kurzy </w:t>
            </w:r>
            <w:r w:rsidRPr="00AA4A76">
              <w:rPr>
                <w:color w:val="000000" w:themeColor="text1"/>
              </w:rPr>
              <w:t>(levá osa)</w:t>
            </w:r>
            <w:r w:rsidRPr="00AA4A76">
              <w:rPr>
                <w:b/>
                <w:color w:val="000000" w:themeColor="text1"/>
              </w:rPr>
              <w:t xml:space="preserve"> a měsíční objem devizových obchodů </w:t>
            </w:r>
            <w:r w:rsidRPr="00AA4A76">
              <w:rPr>
                <w:color w:val="000000" w:themeColor="text1"/>
              </w:rPr>
              <w:t>(pravá osa, v ml</w:t>
            </w:r>
            <w:r w:rsidR="00DE1460">
              <w:rPr>
                <w:color w:val="000000" w:themeColor="text1"/>
              </w:rPr>
              <w:t>d</w:t>
            </w:r>
            <w:r w:rsidRPr="00AA4A76">
              <w:rPr>
                <w:color w:val="000000" w:themeColor="text1"/>
              </w:rPr>
              <w:t>. eur)</w:t>
            </w: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3F53" w:rsidRDefault="00FC6DB5" w:rsidP="008A03DE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FC6DB5" w:rsidRPr="00A74192" w:rsidRDefault="00FC6DB5" w:rsidP="00D94859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FC6DB5" w:rsidRDefault="00DE1460" w:rsidP="00AA4A76">
            <w:pPr>
              <w:pStyle w:val="Textpoznpodarou"/>
              <w:ind w:left="-124"/>
              <w:jc w:val="both"/>
              <w:rPr>
                <w:sz w:val="16"/>
                <w:szCs w:val="16"/>
              </w:rPr>
            </w:pPr>
            <w:r w:rsidRPr="00DE1460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600" cy="3553200"/>
                  <wp:effectExtent l="19050" t="0" r="5850" b="0"/>
                  <wp:docPr id="4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6DB5" w:rsidRPr="00DE1460" w:rsidRDefault="00FC6DB5" w:rsidP="00AA4A76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ČNB</w:t>
            </w:r>
          </w:p>
          <w:p w:rsidR="00FC6DB5" w:rsidRPr="00AA4A76" w:rsidRDefault="00FC6DB5" w:rsidP="00AA4A76">
            <w:pPr>
              <w:pStyle w:val="Textpoznpodarou"/>
              <w:ind w:left="-124"/>
              <w:jc w:val="right"/>
              <w:rPr>
                <w:sz w:val="18"/>
                <w:szCs w:val="18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64B4">
              <w:rPr>
                <w:color w:val="000000" w:themeColor="text1"/>
                <w:sz w:val="16"/>
                <w:szCs w:val="16"/>
              </w:rPr>
              <w:t xml:space="preserve">Zrychlil růst objemu peněz v ekonomice. Výraznější pohyb se odehrál u položky </w:t>
            </w:r>
            <w:proofErr w:type="spellStart"/>
            <w:r w:rsidRPr="007964B4">
              <w:rPr>
                <w:color w:val="000000" w:themeColor="text1"/>
                <w:sz w:val="16"/>
                <w:szCs w:val="16"/>
              </w:rPr>
              <w:t>repo</w:t>
            </w:r>
            <w:proofErr w:type="spellEnd"/>
            <w:r w:rsidRPr="007964B4">
              <w:rPr>
                <w:color w:val="000000" w:themeColor="text1"/>
                <w:sz w:val="16"/>
                <w:szCs w:val="16"/>
              </w:rPr>
              <w:t xml:space="preserve"> operací.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1D68C4">
              <w:t xml:space="preserve">Měnová báze měřená agregátem M3 v 1. čtvrtletí 2017 zrychlila svůj </w:t>
            </w:r>
            <w:r>
              <w:t xml:space="preserve">meziroční </w:t>
            </w:r>
            <w:r w:rsidRPr="001D68C4">
              <w:t>růst</w:t>
            </w:r>
            <w:r>
              <w:t xml:space="preserve"> na 10,0 %</w:t>
            </w:r>
            <w:r w:rsidRPr="001D68C4">
              <w:t>.</w:t>
            </w:r>
            <w:r>
              <w:t xml:space="preserve"> To znamenalo oživení dynamiky mírně zpomalené v závěru roku 2016 (7,6 %). Zvýšení peněžní zásoby se odehrálo výhradně prostřednictvím růstu objemu jednodenních vkladů, což může souviset s ukládáním spekulativně nakoupených korun. Podíl jednodenních vkladů, který v posledních letech výrazně rostl, se v 1. čtvrtletí držel na hladině 75,9 %. Zajímavý byl pohyb u </w:t>
            </w:r>
            <w:proofErr w:type="spellStart"/>
            <w:r>
              <w:t>repo</w:t>
            </w:r>
            <w:proofErr w:type="spellEnd"/>
            <w:r>
              <w:t xml:space="preserve"> operací, </w:t>
            </w:r>
            <w:r>
              <w:lastRenderedPageBreak/>
              <w:t>které jsou objemově nevýznamné, ale jejich podíl narostl z 0,5 % ve 4. čtvrtletí 2016 na 1,2 % v 1. kvartálu letošního roku.</w:t>
            </w:r>
          </w:p>
          <w:p w:rsidR="00FC6DB5" w:rsidRPr="0094422D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64B4">
              <w:rPr>
                <w:color w:val="000000" w:themeColor="text1"/>
                <w:sz w:val="16"/>
                <w:szCs w:val="16"/>
              </w:rPr>
              <w:lastRenderedPageBreak/>
              <w:t>Mezibankovní sazby se ne</w:t>
            </w:r>
            <w:r>
              <w:rPr>
                <w:color w:val="000000" w:themeColor="text1"/>
                <w:sz w:val="16"/>
                <w:szCs w:val="16"/>
              </w:rPr>
              <w:t>měni</w:t>
            </w:r>
            <w:r w:rsidR="00045681">
              <w:rPr>
                <w:color w:val="000000" w:themeColor="text1"/>
                <w:sz w:val="16"/>
                <w:szCs w:val="16"/>
              </w:rPr>
              <w:t>l</w:t>
            </w:r>
            <w:r>
              <w:rPr>
                <w:color w:val="000000" w:themeColor="text1"/>
                <w:sz w:val="16"/>
                <w:szCs w:val="16"/>
              </w:rPr>
              <w:t>y</w:t>
            </w:r>
            <w:r w:rsidRPr="007964B4">
              <w:rPr>
                <w:color w:val="000000" w:themeColor="text1"/>
                <w:sz w:val="16"/>
                <w:szCs w:val="16"/>
              </w:rPr>
              <w:t>, posun nastal na trhu s vládními dluhopisy.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proofErr w:type="spellStart"/>
            <w:r w:rsidRPr="00335A97">
              <w:t>Měnověpolitické</w:t>
            </w:r>
            <w:proofErr w:type="spellEnd"/>
            <w:r w:rsidRPr="00335A97">
              <w:t xml:space="preserve"> sazby zůstávají na technické nule a od nich se odvíjející mezibankovní sazby se nepohnuly ani v 1. čtvrtletí 2017.</w:t>
            </w:r>
            <w:r>
              <w:t xml:space="preserve"> Dynamičtější byl vývoj sazeb na vládních dluhopisech. Výnosy na dluhopisech se splatností do dvou let dosáhly rekordního minima v lednu 2017 (-0,81 %). Jejich pokles v předchozím roce byl způsoben spekulativními nákupy spojenými s očekávaným ukončením intervencí. Vývoj devizových rezerv na počátku roku však naznačoval, že tato očekávání mohou být nenaplněna. Sazba se postupně zv</w:t>
            </w:r>
            <w:r w:rsidR="00CB2B15">
              <w:t xml:space="preserve">ýšila až na březnových </w:t>
            </w:r>
            <w:r w:rsidR="00CB2B15">
              <w:noBreakHyphen/>
            </w:r>
            <w:r>
              <w:t>0,44 %. Rostly i sazby na dluhopisech se střednědobou a dlouhodobou splatností.</w:t>
            </w:r>
          </w:p>
          <w:p w:rsidR="00FC6DB5" w:rsidRPr="00F06A1D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64B4">
              <w:rPr>
                <w:color w:val="000000" w:themeColor="text1"/>
                <w:sz w:val="16"/>
                <w:szCs w:val="16"/>
              </w:rPr>
              <w:t>Úročení běžných vkladů je prakticky nulové pro domácnosti i firmy. Vklady s</w:t>
            </w:r>
            <w:r>
              <w:rPr>
                <w:color w:val="000000" w:themeColor="text1"/>
                <w:sz w:val="16"/>
                <w:szCs w:val="16"/>
              </w:rPr>
              <w:t xml:space="preserve"> delší </w:t>
            </w:r>
            <w:r w:rsidRPr="007964B4">
              <w:rPr>
                <w:color w:val="000000" w:themeColor="text1"/>
                <w:sz w:val="16"/>
                <w:szCs w:val="16"/>
              </w:rPr>
              <w:t>splatností nezískají na úrocích ani hodnotu inflace.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Sazby na vkladech většinou odráží situaci na mezibankovním trhu. Průměrná sazba na jednodenních vkladech pro domácnosti klesla z hodnoty 0,12 % ve</w:t>
            </w:r>
            <w:r w:rsidR="00CB2B15">
              <w:t> </w:t>
            </w:r>
            <w:r>
              <w:t>4.</w:t>
            </w:r>
            <w:r w:rsidR="00CB2B15">
              <w:t> </w:t>
            </w:r>
            <w:r>
              <w:t>čtvrtletí 2016 na 0,10 % v 1. čtvrtletí letošního roku. Sazby na běžných účtech domácností již nemají velký prostor k poklesu – jejich průměrná hodnota v 1.</w:t>
            </w:r>
            <w:r w:rsidR="00CB2B15">
              <w:t> </w:t>
            </w:r>
            <w:r>
              <w:t>čtvrtletí dosáhla 0,05 %. Rostly sazby na vkladech s dohodnutou splatností nad 1 rok (splatnost mezi 1 a 2 lety včetně</w:t>
            </w:r>
            <w:r w:rsidR="00045681">
              <w:t>,</w:t>
            </w:r>
            <w:r>
              <w:t xml:space="preserve"> i splatnost nad 2 roky), které se</w:t>
            </w:r>
            <w:r w:rsidR="006E4A1B">
              <w:t> </w:t>
            </w:r>
            <w:r>
              <w:t>propadly v předchozím čtvrtletí a nyní se vrací na své původní hodnoty. Výnosy na</w:t>
            </w:r>
            <w:r w:rsidR="00CB2B15">
              <w:t> </w:t>
            </w:r>
            <w:r>
              <w:t>vkladech nefinančních podniků dosáhly svého dna již v minulém roce a nyní zůstávají na téměř nulových hodnotách bez ohledu na druh. Vklady na běžných účtech byly tak průměrně úročeny 0,03 %, vklady s dohodnutou splatností 0,07 %.</w:t>
            </w:r>
          </w:p>
          <w:p w:rsidR="00FC6DB5" w:rsidRPr="0094422D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64B4">
              <w:rPr>
                <w:color w:val="000000" w:themeColor="text1"/>
                <w:sz w:val="16"/>
                <w:szCs w:val="16"/>
              </w:rPr>
              <w:t xml:space="preserve">Objem běžných vkladů stále roste a finanční prostředky jsou stahovány z termínovaných účtů. 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8C6F93">
              <w:t>Objem vkladů na běžných účtech pro domácnosti i nefinanční podniky rostl, stejně jako jejich podíl na celkových vkladech v bankách.</w:t>
            </w:r>
            <w:r>
              <w:t xml:space="preserve"> Objem jednodenních vkladů nefinančních podniků během 1. čtvrtletí roku 2017 vzrostl o 42,1 mld. korun. V</w:t>
            </w:r>
            <w:r w:rsidR="00CB2B15">
              <w:t> </w:t>
            </w:r>
            <w:r>
              <w:t>případě domácností vzrostl objem stejného typu vkladů o 68,1 mld. korun. Úroky nepokrývající inflaci odrazují střadatele od umístění finančních prostředků na</w:t>
            </w:r>
            <w:r w:rsidR="00CB2B15">
              <w:t> </w:t>
            </w:r>
            <w:r>
              <w:t>jakýkoli druh termínovaných účtů. Není tedy překvapením, že vklady se stanovenou splatností i výpovědní lhůtou nadále ztrácel</w:t>
            </w:r>
            <w:r w:rsidR="00045681">
              <w:t>y</w:t>
            </w:r>
            <w:r>
              <w:t xml:space="preserve"> na významu pro obě skupiny střadatelů a jejich podíl na celkovém portfoliu klesal. V 1. čtvrtletí 2017 se</w:t>
            </w:r>
            <w:r w:rsidR="006E4A1B">
              <w:t> </w:t>
            </w:r>
            <w:r>
              <w:t xml:space="preserve">zvýšil objem </w:t>
            </w:r>
            <w:proofErr w:type="spellStart"/>
            <w:r>
              <w:t>repo</w:t>
            </w:r>
            <w:proofErr w:type="spellEnd"/>
            <w:r>
              <w:t xml:space="preserve"> operací u nefinančních podniků o 2,2 mld. korun.</w:t>
            </w:r>
          </w:p>
          <w:p w:rsidR="00FC6DB5" w:rsidRPr="00AD0FC0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  <w:shd w:val="clear" w:color="auto" w:fill="auto"/>
          </w:tcPr>
          <w:p w:rsidR="00FC6DB5" w:rsidRPr="006D5608" w:rsidRDefault="00FC6DB5" w:rsidP="006E4A1B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64B4">
              <w:rPr>
                <w:color w:val="000000" w:themeColor="text1"/>
                <w:sz w:val="16"/>
                <w:szCs w:val="16"/>
              </w:rPr>
              <w:t>Hypoteční úvěry zaž</w:t>
            </w:r>
            <w:r>
              <w:rPr>
                <w:color w:val="000000" w:themeColor="text1"/>
                <w:sz w:val="16"/>
                <w:szCs w:val="16"/>
              </w:rPr>
              <w:t>ily</w:t>
            </w:r>
            <w:r w:rsidRPr="007964B4">
              <w:rPr>
                <w:color w:val="000000" w:themeColor="text1"/>
                <w:sz w:val="16"/>
                <w:szCs w:val="16"/>
              </w:rPr>
              <w:t xml:space="preserve"> obrat – jejich sazby v 1.</w:t>
            </w:r>
            <w:r w:rsidR="006E4A1B">
              <w:rPr>
                <w:color w:val="000000" w:themeColor="text1"/>
                <w:sz w:val="16"/>
                <w:szCs w:val="16"/>
              </w:rPr>
              <w:t> </w:t>
            </w:r>
            <w:r w:rsidRPr="007964B4">
              <w:rPr>
                <w:color w:val="000000" w:themeColor="text1"/>
                <w:sz w:val="16"/>
                <w:szCs w:val="16"/>
              </w:rPr>
              <w:t>čtvrtletí začaly opět růst. Klesaly úroky na spotřebních úvěrech.</w:t>
            </w:r>
            <w:r>
              <w:rPr>
                <w:color w:val="000000" w:themeColor="text1"/>
                <w:sz w:val="16"/>
                <w:szCs w:val="16"/>
              </w:rPr>
              <w:t xml:space="preserve"> Rostla i cena úvěrů pro nefinanční podniky.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 w:rsidRPr="003C6642">
              <w:t>Pokles sazeb na hypotečních úvěrech, který se odehrál během roku 2016, se</w:t>
            </w:r>
            <w:r w:rsidR="006E4A1B">
              <w:t> </w:t>
            </w:r>
            <w:r w:rsidRPr="003C6642">
              <w:t>zřejmě zastavil a průměrná sazba u úvěrů na pořízení nemovitostí se zvýšila z 2,17 % ve 4. čtvrtletí 2016 na 2,2</w:t>
            </w:r>
            <w:r>
              <w:t>5</w:t>
            </w:r>
            <w:r w:rsidRPr="003C6642">
              <w:t xml:space="preserve"> % v 1. čtvrtletí letošního roku. Zvyšovaly se</w:t>
            </w:r>
            <w:r w:rsidR="006E4A1B">
              <w:t> </w:t>
            </w:r>
            <w:r w:rsidRPr="003C6642">
              <w:t xml:space="preserve">úrokové sazby u všech </w:t>
            </w:r>
            <w:r>
              <w:t xml:space="preserve">typů </w:t>
            </w:r>
            <w:r w:rsidRPr="003C6642">
              <w:t>fixací.</w:t>
            </w:r>
            <w:r>
              <w:t xml:space="preserve"> Momentálně nejoblíbenější typ úvěru – s fixací mezi 5 a 10 lety – zdražil z 1,91 % na 2,03 %. Naopak spotřební úvěry dále zlevňují a v 1. čtvrtletí roku 2017 se jejich průměrné úročení dostalo pod 10 %. Dostupnost úvěrového financování pro nefinanční podniky zůstala dobrá, i zde však dochází k obratu a úrokové sazby mezičtvrtletně mírně vzrostly. Týká se to hlavně úvěrů s objemem do 7,5 mil. korun, u kterých sazba vzrostla z 3,02 % v závěru roku 2016 na 3,13 %. Stabilní zůstala situace u úvěrů mezi 7,5</w:t>
            </w:r>
            <w:r w:rsidR="006E4A1B">
              <w:t> </w:t>
            </w:r>
            <w:r>
              <w:t>a</w:t>
            </w:r>
            <w:r w:rsidR="006E4A1B">
              <w:t> </w:t>
            </w:r>
            <w:r>
              <w:t>30</w:t>
            </w:r>
            <w:r w:rsidR="006E4A1B">
              <w:t> </w:t>
            </w:r>
            <w:r>
              <w:t>mil.</w:t>
            </w:r>
            <w:r w:rsidR="006E4A1B">
              <w:t> </w:t>
            </w:r>
            <w:r>
              <w:t xml:space="preserve">korun, u kterých průměrná sazba v 1. čtvrtletí činila 1,94 %. Úročení úvěrů nad 30 mil. korun se zvýšilo o 0,06 </w:t>
            </w:r>
            <w:proofErr w:type="spellStart"/>
            <w:r>
              <w:t>p.b</w:t>
            </w:r>
            <w:proofErr w:type="spellEnd"/>
            <w:r>
              <w:t>., sazba je však ze všech typů úvěrů nejnižší – dosáhla 1,74 %.</w:t>
            </w:r>
          </w:p>
          <w:p w:rsidR="00FC6DB5" w:rsidRPr="000D2DB1" w:rsidRDefault="00FC6DB5" w:rsidP="00134DF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C6DB5" w:rsidRPr="00A74192" w:rsidTr="00AA4A76">
        <w:trPr>
          <w:trHeight w:val="145"/>
        </w:trPr>
        <w:tc>
          <w:tcPr>
            <w:tcW w:w="1016" w:type="pct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720AB">
              <w:rPr>
                <w:color w:val="000000" w:themeColor="text1"/>
                <w:sz w:val="16"/>
                <w:szCs w:val="16"/>
              </w:rPr>
              <w:t xml:space="preserve">V 1. čtvrtletí </w:t>
            </w:r>
            <w:r>
              <w:rPr>
                <w:color w:val="000000" w:themeColor="text1"/>
                <w:sz w:val="16"/>
                <w:szCs w:val="16"/>
              </w:rPr>
              <w:t xml:space="preserve">roku 2017 </w:t>
            </w:r>
            <w:r w:rsidRPr="00C720AB">
              <w:rPr>
                <w:color w:val="000000" w:themeColor="text1"/>
                <w:sz w:val="16"/>
                <w:szCs w:val="16"/>
              </w:rPr>
              <w:t>došlo k výjimečně vysokému nárůstu poskytnutých hypoték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C720A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Objem poskytnutých úvěrů na bydlení se během 1. čtvrtletí zvýšil o</w:t>
            </w:r>
            <w:r w:rsidR="00045681">
              <w:t> </w:t>
            </w:r>
            <w:r>
              <w:t>20,8</w:t>
            </w:r>
            <w:r w:rsidR="00045681">
              <w:t> </w:t>
            </w:r>
            <w:r>
              <w:t>mld</w:t>
            </w:r>
            <w:r w:rsidR="00045681">
              <w:t>. </w:t>
            </w:r>
            <w:r>
              <w:t>korun, což je při srovnání stejného období předchozích let rekordní nárůst. Stojí za</w:t>
            </w:r>
            <w:r w:rsidR="006E4A1B">
              <w:t> </w:t>
            </w:r>
            <w:r>
              <w:t>tím stále výhodné úvěrové podmínky a oznámené restrikce na</w:t>
            </w:r>
            <w:r w:rsidR="00045681">
              <w:t> </w:t>
            </w:r>
            <w:r>
              <w:t>poskytování hypotečních úvěrů. Objem poskytnutých spotřebních úvěrů vzrostl během 1.</w:t>
            </w:r>
            <w:r w:rsidR="00CB2B15">
              <w:t> </w:t>
            </w:r>
            <w:r>
              <w:t>čtvrtletí roku o 1,9 mld. korun, což je o 0,5 mld. méně než ve stejném období minulého roku. Rok 2016 byl však z pohledu objemu úvěru na spotřebu mimořádný. Množství poskytnutých spotřebních úvěrů v první čtvrtině minulého roku výrazně rostlo, čímž se 1. čtvrtletí 2016 vymykalo stejnému období předchozích let, kdy objem těchto úvěrů klesal.</w:t>
            </w:r>
          </w:p>
          <w:p w:rsidR="00FC6DB5" w:rsidRPr="00813AD8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FC6DB5" w:rsidRPr="00A74192" w:rsidTr="00AA4A76">
        <w:tc>
          <w:tcPr>
            <w:tcW w:w="1016" w:type="pct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720AB">
              <w:rPr>
                <w:color w:val="000000" w:themeColor="text1"/>
                <w:sz w:val="16"/>
                <w:szCs w:val="16"/>
              </w:rPr>
              <w:t>Prudce narostl objem krátkodobých úvěrů poskytnutých nefinančním podnikům v cizí měně.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Celkový o</w:t>
            </w:r>
            <w:r w:rsidRPr="006530EE">
              <w:t xml:space="preserve">bjem úvěrů </w:t>
            </w:r>
            <w:r>
              <w:t xml:space="preserve">a pohledávek za </w:t>
            </w:r>
            <w:r w:rsidRPr="006530EE">
              <w:t>nefinanční podnik</w:t>
            </w:r>
            <w:r>
              <w:t>y vzrostl v 1. čtvrtletí roku</w:t>
            </w:r>
            <w:r w:rsidR="00045681">
              <w:t> 2017 o</w:t>
            </w:r>
            <w:r>
              <w:t xml:space="preserve"> 28,5 mld. korun. Největší podíl na celkových pohledávkách mají dlouhodobé úvěry a pohledávky, přesto jejich nárůst o 9,5 mld. překonaly krátkodobé úvěry a pohledávky, jejichž objem se zvýšil o 11,8 mld. korun. Pokračoval prudký nárůst úvěrů poskytnutých v cizí měně a zároveň došlo ke</w:t>
            </w:r>
            <w:r w:rsidR="00CB2B15">
              <w:t> </w:t>
            </w:r>
            <w:r>
              <w:t xml:space="preserve">změně v jejich obvyklé struktuře. V lednu až březnu se objem krátkodobých </w:t>
            </w:r>
            <w:r>
              <w:lastRenderedPageBreak/>
              <w:t>úvěrů v cizí měně zvýšil o 17,3 mld. korun, což je více než za celý předchozí rok. Z hlediska odvětvové struktury</w:t>
            </w:r>
            <w:r w:rsidR="004C0243">
              <w:rPr>
                <w:rStyle w:val="Znakapoznpodarou"/>
              </w:rPr>
              <w:footnoteReference w:id="2"/>
            </w:r>
            <w:r>
              <w:t xml:space="preserve"> došlo po dlouhém období růstu k výraznému meziročnímu poklesu úvěrů poskytnutých firmám zabývajícím se informačními a</w:t>
            </w:r>
            <w:r w:rsidR="00CB2B15">
              <w:t> </w:t>
            </w:r>
            <w:r>
              <w:t xml:space="preserve">komunikačními činnostmi. Zrychlil se růst objemu úvěrů poskytnutých v odvětví peněžnictví a pojišťovnictví. </w:t>
            </w:r>
          </w:p>
          <w:p w:rsidR="00FC6DB5" w:rsidRPr="007874D0" w:rsidRDefault="00FC6DB5" w:rsidP="00134DF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C6DB5" w:rsidRPr="00A74192" w:rsidTr="00AA4A76">
        <w:tc>
          <w:tcPr>
            <w:tcW w:w="1016" w:type="pct"/>
          </w:tcPr>
          <w:p w:rsidR="00FC6DB5" w:rsidRPr="006D5608" w:rsidRDefault="00FC6DB5" w:rsidP="00134DFD">
            <w:pPr>
              <w:spacing w:line="240" w:lineRule="auto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720AB">
              <w:rPr>
                <w:color w:val="000000" w:themeColor="text1"/>
                <w:sz w:val="16"/>
                <w:szCs w:val="16"/>
              </w:rPr>
              <w:lastRenderedPageBreak/>
              <w:t>Rostlo celkové zadlužení domácností, především dluh související s bydlením.</w:t>
            </w:r>
          </w:p>
        </w:tc>
        <w:tc>
          <w:tcPr>
            <w:tcW w:w="144" w:type="pct"/>
          </w:tcPr>
          <w:p w:rsidR="00FC6DB5" w:rsidRPr="003E6E0D" w:rsidRDefault="00FC6DB5" w:rsidP="00134DFD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FC6DB5" w:rsidRDefault="00FC6DB5" w:rsidP="00134DFD">
            <w:pPr>
              <w:pStyle w:val="Textpoznpodarou"/>
              <w:jc w:val="both"/>
            </w:pPr>
            <w:r w:rsidRPr="000D1ADA">
              <w:t xml:space="preserve">Celkové zadlužení domácností k 31. 3. 2017 dosáhlo 1 446 mld. korun a jeho růst se oproti předchozímu čtvrtletí mírně zrychlil. </w:t>
            </w:r>
            <w:r>
              <w:t>Z</w:t>
            </w:r>
            <w:r w:rsidRPr="000D1ADA">
              <w:t>výšil</w:t>
            </w:r>
            <w:r>
              <w:t xml:space="preserve"> se</w:t>
            </w:r>
            <w:r w:rsidRPr="000D1ADA">
              <w:t xml:space="preserve"> podíl zadlužení souvisejícího s bydlením na celkovém dluhu a meziroční tempo růstu tohoto typu dluhu se v 1. čtvrtletí 2017 zrychlilo na 9,0 %. Pokračuje tak zrychlování, které začalo již ve 4. čtvrtletí roku 2014.</w:t>
            </w:r>
          </w:p>
          <w:p w:rsidR="00FC6DB5" w:rsidRPr="007874D0" w:rsidRDefault="00FC6DB5" w:rsidP="00134DF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C6DB5" w:rsidRPr="00AA4A76" w:rsidTr="00FC6DB5">
        <w:tc>
          <w:tcPr>
            <w:tcW w:w="1016" w:type="pct"/>
          </w:tcPr>
          <w:p w:rsidR="00FC6DB5" w:rsidRPr="00AA4A76" w:rsidRDefault="00FC6DB5" w:rsidP="00AA4A76">
            <w:pPr>
              <w:spacing w:line="240" w:lineRule="auto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4" w:type="pct"/>
          </w:tcPr>
          <w:p w:rsidR="00FC6DB5" w:rsidRPr="00AA4A76" w:rsidRDefault="00FC6DB5" w:rsidP="00134DFD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568" w:type="pct"/>
          </w:tcPr>
          <w:p w:rsidR="00FC6DB5" w:rsidRPr="00AA4A76" w:rsidRDefault="00FC6DB5" w:rsidP="00134DFD">
            <w:pPr>
              <w:pStyle w:val="Textpoznpodarou"/>
              <w:jc w:val="both"/>
            </w:pPr>
            <w:r w:rsidRPr="00AA4A76">
              <w:rPr>
                <w:color w:val="000000" w:themeColor="text1"/>
              </w:rPr>
              <w:t>Graf č. 18</w:t>
            </w:r>
          </w:p>
        </w:tc>
        <w:tc>
          <w:tcPr>
            <w:tcW w:w="3272" w:type="pct"/>
          </w:tcPr>
          <w:p w:rsidR="00FC6DB5" w:rsidRPr="00AA4A76" w:rsidRDefault="00FC6DB5" w:rsidP="00134DFD">
            <w:pPr>
              <w:pStyle w:val="Textpoznpodarou"/>
              <w:jc w:val="both"/>
            </w:pPr>
            <w:r w:rsidRPr="00AA4A76">
              <w:rPr>
                <w:b/>
              </w:rPr>
              <w:t xml:space="preserve">Tržní úrokové sazby </w:t>
            </w:r>
            <w:r w:rsidRPr="00AA4A76">
              <w:t>(v %)</w:t>
            </w:r>
          </w:p>
        </w:tc>
      </w:tr>
      <w:tr w:rsidR="00FC6DB5" w:rsidRPr="00A74192" w:rsidTr="00AA4A76">
        <w:trPr>
          <w:trHeight w:val="1390"/>
        </w:trPr>
        <w:tc>
          <w:tcPr>
            <w:tcW w:w="1016" w:type="pct"/>
          </w:tcPr>
          <w:p w:rsidR="00FC6DB5" w:rsidRPr="006D3F53" w:rsidRDefault="00FC6DB5" w:rsidP="008A03DE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4" w:type="pct"/>
          </w:tcPr>
          <w:p w:rsidR="00FC6DB5" w:rsidRPr="00A74192" w:rsidRDefault="00FC6DB5" w:rsidP="00D94859">
            <w:pPr>
              <w:pStyle w:val="Textpoznpodarou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40" w:type="pct"/>
            <w:gridSpan w:val="2"/>
          </w:tcPr>
          <w:p w:rsidR="00DE1460" w:rsidRDefault="00DE1460" w:rsidP="00AA4A76">
            <w:pPr>
              <w:pStyle w:val="Textpoznpodarou"/>
              <w:ind w:left="-124"/>
              <w:jc w:val="both"/>
              <w:rPr>
                <w:noProof/>
              </w:rPr>
            </w:pPr>
            <w:r w:rsidRPr="00DE146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4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C6DB5" w:rsidRPr="00DE1460" w:rsidRDefault="00FC6DB5" w:rsidP="00AA4A76">
            <w:pPr>
              <w:pStyle w:val="Textpoznpodarou"/>
              <w:ind w:left="-124"/>
              <w:jc w:val="right"/>
              <w:rPr>
                <w:sz w:val="14"/>
                <w:szCs w:val="14"/>
              </w:rPr>
            </w:pPr>
            <w:r w:rsidRPr="00DE1460">
              <w:rPr>
                <w:sz w:val="14"/>
                <w:szCs w:val="14"/>
              </w:rPr>
              <w:t>Zdroj: ČNB</w:t>
            </w:r>
          </w:p>
          <w:p w:rsidR="00FC6DB5" w:rsidRPr="00AA4A76" w:rsidRDefault="00FC6DB5" w:rsidP="00AA4A76">
            <w:pPr>
              <w:pStyle w:val="Textpoznpodarou"/>
              <w:ind w:left="-124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535F78" w:rsidRPr="00535F78" w:rsidRDefault="00535F78" w:rsidP="00535F78">
      <w:bookmarkStart w:id="2" w:name="_Toc485271461"/>
      <w:bookmarkEnd w:id="2"/>
    </w:p>
    <w:sectPr w:rsidR="00535F78" w:rsidRPr="00535F78" w:rsidSect="00B16A6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24" w:rsidRDefault="00D50224" w:rsidP="00E71A58">
      <w:r>
        <w:separator/>
      </w:r>
    </w:p>
  </w:endnote>
  <w:endnote w:type="continuationSeparator" w:id="0">
    <w:p w:rsidR="00D50224" w:rsidRDefault="00D5022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82C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0582C" w:rsidRPr="005A21E0">
      <w:rPr>
        <w:rFonts w:ascii="Arial" w:hAnsi="Arial" w:cs="Arial"/>
        <w:sz w:val="16"/>
        <w:szCs w:val="16"/>
      </w:rPr>
      <w:fldChar w:fldCharType="separate"/>
    </w:r>
    <w:r w:rsidR="005B468A">
      <w:rPr>
        <w:rFonts w:ascii="Arial" w:hAnsi="Arial" w:cs="Arial"/>
        <w:noProof/>
        <w:sz w:val="16"/>
        <w:szCs w:val="16"/>
      </w:rPr>
      <w:t>24</w:t>
    </w:r>
    <w:r w:rsidR="0000582C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667A0" w:rsidRPr="00223E00" w:rsidRDefault="00D667A0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00582C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0582C" w:rsidRPr="00223E00">
      <w:rPr>
        <w:rFonts w:ascii="Arial" w:hAnsi="Arial" w:cs="Arial"/>
        <w:sz w:val="16"/>
        <w:szCs w:val="16"/>
      </w:rPr>
      <w:fldChar w:fldCharType="separate"/>
    </w:r>
    <w:r w:rsidR="005B468A">
      <w:rPr>
        <w:rFonts w:ascii="Arial" w:hAnsi="Arial" w:cs="Arial"/>
        <w:noProof/>
        <w:sz w:val="16"/>
        <w:szCs w:val="16"/>
      </w:rPr>
      <w:t>23</w:t>
    </w:r>
    <w:r w:rsidR="0000582C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24" w:rsidRDefault="00D50224" w:rsidP="00E71A58">
      <w:r>
        <w:separator/>
      </w:r>
    </w:p>
  </w:footnote>
  <w:footnote w:type="continuationSeparator" w:id="0">
    <w:p w:rsidR="00D50224" w:rsidRDefault="00D50224" w:rsidP="00E71A58">
      <w:r>
        <w:continuationSeparator/>
      </w:r>
    </w:p>
  </w:footnote>
  <w:footnote w:id="1">
    <w:p w:rsidR="00D667A0" w:rsidRPr="007E12C1" w:rsidRDefault="00D667A0" w:rsidP="004C0243">
      <w:pPr>
        <w:pStyle w:val="Textpoznpodarou"/>
        <w:rPr>
          <w:sz w:val="16"/>
          <w:szCs w:val="16"/>
        </w:rPr>
      </w:pPr>
      <w:r w:rsidRPr="007E12C1">
        <w:rPr>
          <w:rStyle w:val="Znakapoznpodarou"/>
          <w:sz w:val="16"/>
          <w:szCs w:val="16"/>
        </w:rPr>
        <w:footnoteRef/>
      </w:r>
      <w:r w:rsidRPr="007E12C1">
        <w:rPr>
          <w:sz w:val="16"/>
          <w:szCs w:val="16"/>
        </w:rPr>
        <w:t xml:space="preserve"> Údaje ČNB. Není-li uvedeno jinak, jsou veškeré údaje v této kapitole převzaty z databáze ARAD České národní banky. </w:t>
      </w:r>
    </w:p>
  </w:footnote>
  <w:footnote w:id="2">
    <w:p w:rsidR="00D667A0" w:rsidRPr="008334C3" w:rsidRDefault="00D667A0" w:rsidP="004C0243">
      <w:pPr>
        <w:pStyle w:val="Textpoznpodarou"/>
        <w:rPr>
          <w:sz w:val="16"/>
          <w:szCs w:val="16"/>
        </w:rPr>
      </w:pPr>
      <w:r w:rsidRPr="00AB1653">
        <w:rPr>
          <w:rStyle w:val="Znakapoznpodarou"/>
          <w:sz w:val="16"/>
        </w:rPr>
        <w:footnoteRef/>
      </w:r>
      <w:r w:rsidRPr="00AB1653">
        <w:rPr>
          <w:sz w:val="16"/>
        </w:rPr>
        <w:t xml:space="preserve"> </w:t>
      </w:r>
      <w:r>
        <w:rPr>
          <w:sz w:val="16"/>
          <w:szCs w:val="16"/>
        </w:rPr>
        <w:t>P</w:t>
      </w:r>
      <w:r w:rsidRPr="008334C3">
        <w:rPr>
          <w:sz w:val="16"/>
          <w:szCs w:val="16"/>
        </w:rPr>
        <w:t>odle klasifikace CZ-NACE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C00831" w:rsidRDefault="00D667A0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A0" w:rsidRPr="0030768C" w:rsidRDefault="00D667A0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E1"/>
    <w:multiLevelType w:val="hybridMultilevel"/>
    <w:tmpl w:val="C430DB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4"/>
  </w:num>
  <w:num w:numId="8">
    <w:abstractNumId w:val="9"/>
  </w:num>
  <w:num w:numId="9">
    <w:abstractNumId w:val="16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582C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0F7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A2C"/>
    <w:rsid w:val="002161D6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2A94"/>
    <w:rsid w:val="003035D4"/>
    <w:rsid w:val="00303A3C"/>
    <w:rsid w:val="00303DCB"/>
    <w:rsid w:val="00304771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9FC"/>
    <w:rsid w:val="003651A4"/>
    <w:rsid w:val="00365680"/>
    <w:rsid w:val="003657F3"/>
    <w:rsid w:val="00365E26"/>
    <w:rsid w:val="00366D4D"/>
    <w:rsid w:val="00366F77"/>
    <w:rsid w:val="00367038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B96"/>
    <w:rsid w:val="003C26F4"/>
    <w:rsid w:val="003C3686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0AE6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4DC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493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4F2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68A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B4D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2D98"/>
    <w:rsid w:val="0068373D"/>
    <w:rsid w:val="00683B2A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ADE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2D4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6DE2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7B8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836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0979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6CDA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3BCE"/>
    <w:rsid w:val="00B15DCD"/>
    <w:rsid w:val="00B16201"/>
    <w:rsid w:val="00B16A6E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3DC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56C9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6971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36EC3"/>
    <w:rsid w:val="00C40E09"/>
    <w:rsid w:val="00C40F81"/>
    <w:rsid w:val="00C41463"/>
    <w:rsid w:val="00C41A72"/>
    <w:rsid w:val="00C42D45"/>
    <w:rsid w:val="00C43CB1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2E15"/>
    <w:rsid w:val="00D433F5"/>
    <w:rsid w:val="00D43998"/>
    <w:rsid w:val="00D439C2"/>
    <w:rsid w:val="00D451E0"/>
    <w:rsid w:val="00D45A1D"/>
    <w:rsid w:val="00D4615E"/>
    <w:rsid w:val="00D4651F"/>
    <w:rsid w:val="00D478E2"/>
    <w:rsid w:val="00D50224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7A0"/>
    <w:rsid w:val="00D66D48"/>
    <w:rsid w:val="00D7162F"/>
    <w:rsid w:val="00D72897"/>
    <w:rsid w:val="00D72948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886"/>
    <w:rsid w:val="00D868CE"/>
    <w:rsid w:val="00D86DAE"/>
    <w:rsid w:val="00D875B6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0B8D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446B"/>
    <w:rsid w:val="00E04694"/>
    <w:rsid w:val="00E049F6"/>
    <w:rsid w:val="00E04CA9"/>
    <w:rsid w:val="00E05B2B"/>
    <w:rsid w:val="00E05EAD"/>
    <w:rsid w:val="00E06A2A"/>
    <w:rsid w:val="00E06E17"/>
    <w:rsid w:val="00E07F05"/>
    <w:rsid w:val="00E106A2"/>
    <w:rsid w:val="00E127E1"/>
    <w:rsid w:val="00E12BCE"/>
    <w:rsid w:val="00E144D2"/>
    <w:rsid w:val="00E144D6"/>
    <w:rsid w:val="00E15346"/>
    <w:rsid w:val="00E15B7D"/>
    <w:rsid w:val="00E16D20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77FEA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51C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60B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1F0F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4B4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3280826290465847E-2"/>
          <c:y val="2.4537128254668878E-2"/>
          <c:w val="0.90735140155353267"/>
          <c:h val="0.78063689069008568"/>
        </c:manualLayout>
      </c:layout>
      <c:barChart>
        <c:barDir val="col"/>
        <c:grouping val="clustered"/>
        <c:ser>
          <c:idx val="2"/>
          <c:order val="2"/>
          <c:tx>
            <c:strRef>
              <c:f>'Měnové podmínky 2'!$E$5</c:f>
              <c:strCache>
                <c:ptCount val="1"/>
                <c:pt idx="0">
                  <c:v>Devizové obchody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'Měnové podmínky 2'!$A$6:$B$68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  <c:pt idx="60">
                    <c:v>2017</c:v>
                  </c:pt>
                </c:lvl>
              </c:multiLvlStrCache>
            </c:multiLvlStrRef>
          </c:cat>
          <c:val>
            <c:numRef>
              <c:f>'Měnové podmínky 2'!$F$6:$F$68</c:f>
              <c:numCache>
                <c:formatCode>0.0</c:formatCode>
                <c:ptCount val="63"/>
                <c:pt idx="0">
                  <c:v>-8.4000000000000047E-2</c:v>
                </c:pt>
                <c:pt idx="1">
                  <c:v>-8.4000000000000047E-2</c:v>
                </c:pt>
                <c:pt idx="2">
                  <c:v>-8.8000000000000064E-2</c:v>
                </c:pt>
                <c:pt idx="3">
                  <c:v>-8.0000000000000043E-2</c:v>
                </c:pt>
                <c:pt idx="4">
                  <c:v>-8.4000000000000047E-2</c:v>
                </c:pt>
                <c:pt idx="5">
                  <c:v>-8.4000000000000047E-2</c:v>
                </c:pt>
                <c:pt idx="6">
                  <c:v>-8.0000000000000043E-2</c:v>
                </c:pt>
                <c:pt idx="7">
                  <c:v>-9.2000000000000026E-2</c:v>
                </c:pt>
                <c:pt idx="8">
                  <c:v>-7.5999999999999998E-2</c:v>
                </c:pt>
                <c:pt idx="9">
                  <c:v>-9.2000000000000026E-2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7.4989999999999997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1.0325</c:v>
                </c:pt>
                <c:pt idx="43">
                  <c:v>3.7345000000000002</c:v>
                </c:pt>
                <c:pt idx="44">
                  <c:v>2.3219999999999987</c:v>
                </c:pt>
                <c:pt idx="45">
                  <c:v>0</c:v>
                </c:pt>
                <c:pt idx="46">
                  <c:v>0.36900000000000038</c:v>
                </c:pt>
                <c:pt idx="47">
                  <c:v>1.54</c:v>
                </c:pt>
                <c:pt idx="48">
                  <c:v>2.1539999999999999</c:v>
                </c:pt>
                <c:pt idx="49">
                  <c:v>0.62300000000000277</c:v>
                </c:pt>
                <c:pt idx="50">
                  <c:v>0</c:v>
                </c:pt>
                <c:pt idx="51">
                  <c:v>0.39300000000000185</c:v>
                </c:pt>
                <c:pt idx="52">
                  <c:v>0.57500000000000062</c:v>
                </c:pt>
                <c:pt idx="53">
                  <c:v>0.31300000000000139</c:v>
                </c:pt>
                <c:pt idx="54">
                  <c:v>0.30700000000000038</c:v>
                </c:pt>
                <c:pt idx="55">
                  <c:v>1.0589999999999944</c:v>
                </c:pt>
                <c:pt idx="56">
                  <c:v>3.6850000000000001</c:v>
                </c:pt>
                <c:pt idx="57">
                  <c:v>3.9609999999999999</c:v>
                </c:pt>
                <c:pt idx="58">
                  <c:v>0.52400000000000002</c:v>
                </c:pt>
                <c:pt idx="59">
                  <c:v>3.2570000000000001</c:v>
                </c:pt>
                <c:pt idx="60">
                  <c:v>14.480500000000006</c:v>
                </c:pt>
                <c:pt idx="61">
                  <c:v>8.1384999999999987</c:v>
                </c:pt>
                <c:pt idx="62">
                  <c:v>19.257999999999999</c:v>
                </c:pt>
              </c:numCache>
            </c:numRef>
          </c:val>
        </c:ser>
        <c:gapWidth val="95"/>
        <c:axId val="165428608"/>
        <c:axId val="165427072"/>
      </c:barChart>
      <c:lineChart>
        <c:grouping val="standard"/>
        <c:ser>
          <c:idx val="0"/>
          <c:order val="0"/>
          <c:tx>
            <c:strRef>
              <c:f>'Měnové podmínky 2'!$C$5</c:f>
              <c:strCache>
                <c:ptCount val="1"/>
                <c:pt idx="0">
                  <c:v>CZK/EUR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2'!$A$6:$B$68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  <c:pt idx="60">
                    <c:v>2017</c:v>
                  </c:pt>
                </c:lvl>
              </c:multiLvlStrCache>
            </c:multiLvlStrRef>
          </c:cat>
          <c:val>
            <c:numRef>
              <c:f>'Měnové podmínky 2'!$C$6:$C$68</c:f>
              <c:numCache>
                <c:formatCode>General</c:formatCode>
                <c:ptCount val="63"/>
                <c:pt idx="0">
                  <c:v>25.532</c:v>
                </c:pt>
                <c:pt idx="1">
                  <c:v>25.041</c:v>
                </c:pt>
                <c:pt idx="2">
                  <c:v>24.675999999999988</c:v>
                </c:pt>
                <c:pt idx="3">
                  <c:v>24.798999999999989</c:v>
                </c:pt>
                <c:pt idx="4">
                  <c:v>25.321999999999999</c:v>
                </c:pt>
                <c:pt idx="5">
                  <c:v>25.640999999999988</c:v>
                </c:pt>
                <c:pt idx="6">
                  <c:v>25.434000000000001</c:v>
                </c:pt>
                <c:pt idx="7">
                  <c:v>25.02</c:v>
                </c:pt>
                <c:pt idx="8">
                  <c:v>24.731000000000005</c:v>
                </c:pt>
                <c:pt idx="9">
                  <c:v>24.937999999999999</c:v>
                </c:pt>
                <c:pt idx="10">
                  <c:v>25.364999999999988</c:v>
                </c:pt>
                <c:pt idx="11">
                  <c:v>25.216000000000001</c:v>
                </c:pt>
                <c:pt idx="12">
                  <c:v>25.562999999999899</c:v>
                </c:pt>
                <c:pt idx="13">
                  <c:v>25.475999999999907</c:v>
                </c:pt>
                <c:pt idx="14">
                  <c:v>25.661999999999999</c:v>
                </c:pt>
                <c:pt idx="15">
                  <c:v>25.84</c:v>
                </c:pt>
                <c:pt idx="16">
                  <c:v>25.888999999999989</c:v>
                </c:pt>
                <c:pt idx="17">
                  <c:v>25.760999999999989</c:v>
                </c:pt>
                <c:pt idx="18">
                  <c:v>25.949000000000002</c:v>
                </c:pt>
                <c:pt idx="19">
                  <c:v>25.818000000000001</c:v>
                </c:pt>
                <c:pt idx="20">
                  <c:v>25.786999999999903</c:v>
                </c:pt>
                <c:pt idx="21">
                  <c:v>25.658000000000001</c:v>
                </c:pt>
                <c:pt idx="22">
                  <c:v>26.924999999999986</c:v>
                </c:pt>
                <c:pt idx="23">
                  <c:v>27.516999999999999</c:v>
                </c:pt>
                <c:pt idx="24">
                  <c:v>27.484000000000002</c:v>
                </c:pt>
                <c:pt idx="25">
                  <c:v>27.442999999999881</c:v>
                </c:pt>
                <c:pt idx="26">
                  <c:v>27.393999999999988</c:v>
                </c:pt>
                <c:pt idx="27">
                  <c:v>27.45</c:v>
                </c:pt>
                <c:pt idx="28">
                  <c:v>27.439999999999987</c:v>
                </c:pt>
                <c:pt idx="29">
                  <c:v>27.451000000000001</c:v>
                </c:pt>
                <c:pt idx="30">
                  <c:v>27.457000000000001</c:v>
                </c:pt>
                <c:pt idx="31">
                  <c:v>27.815999999999999</c:v>
                </c:pt>
                <c:pt idx="32">
                  <c:v>27.597999999999999</c:v>
                </c:pt>
                <c:pt idx="33">
                  <c:v>27.58</c:v>
                </c:pt>
                <c:pt idx="34">
                  <c:v>27.666</c:v>
                </c:pt>
                <c:pt idx="35">
                  <c:v>27.634000000000103</c:v>
                </c:pt>
                <c:pt idx="36" formatCode="0.000">
                  <c:v>27.895</c:v>
                </c:pt>
                <c:pt idx="37" formatCode="0.000">
                  <c:v>27.608000000000001</c:v>
                </c:pt>
                <c:pt idx="38" formatCode="0.000">
                  <c:v>27.379000000000001</c:v>
                </c:pt>
                <c:pt idx="39" formatCode="0.000">
                  <c:v>27.442999999999881</c:v>
                </c:pt>
                <c:pt idx="40" formatCode="0.000">
                  <c:v>27.396000000000001</c:v>
                </c:pt>
                <c:pt idx="41" formatCode="0.000">
                  <c:v>27.306000000000001</c:v>
                </c:pt>
                <c:pt idx="42" formatCode="0.000">
                  <c:v>27.091000000000001</c:v>
                </c:pt>
                <c:pt idx="43" formatCode="0.000">
                  <c:v>27.041</c:v>
                </c:pt>
                <c:pt idx="44" formatCode="0.000">
                  <c:v>27.081999999999987</c:v>
                </c:pt>
                <c:pt idx="45" formatCode="0.000">
                  <c:v>27.103000000000005</c:v>
                </c:pt>
                <c:pt idx="46" formatCode="0.000">
                  <c:v>27.04</c:v>
                </c:pt>
                <c:pt idx="47" formatCode="0.000">
                  <c:v>27.026</c:v>
                </c:pt>
                <c:pt idx="48" formatCode="0.000">
                  <c:v>27.026</c:v>
                </c:pt>
                <c:pt idx="49" formatCode="0.000">
                  <c:v>27.039000000000001</c:v>
                </c:pt>
                <c:pt idx="50" formatCode="0.000">
                  <c:v>27.050999999999988</c:v>
                </c:pt>
                <c:pt idx="51" formatCode="0.000">
                  <c:v>27.030999999999999</c:v>
                </c:pt>
                <c:pt idx="52" formatCode="0.000">
                  <c:v>27.026</c:v>
                </c:pt>
                <c:pt idx="53" formatCode="0.000">
                  <c:v>27.061</c:v>
                </c:pt>
                <c:pt idx="54" formatCode="0.000">
                  <c:v>27.038</c:v>
                </c:pt>
                <c:pt idx="55" formatCode="0.000">
                  <c:v>27.024999999999999</c:v>
                </c:pt>
                <c:pt idx="56" formatCode="0.000">
                  <c:v>27.021000000000001</c:v>
                </c:pt>
                <c:pt idx="57" formatCode="0.000">
                  <c:v>27.021000000000001</c:v>
                </c:pt>
                <c:pt idx="58" formatCode="0.000">
                  <c:v>27.032</c:v>
                </c:pt>
                <c:pt idx="59" formatCode="0.000">
                  <c:v>27.03</c:v>
                </c:pt>
                <c:pt idx="60" formatCode="0.000">
                  <c:v>27.02</c:v>
                </c:pt>
                <c:pt idx="61" formatCode="0.000">
                  <c:v>27.02</c:v>
                </c:pt>
                <c:pt idx="62" formatCode="0.000">
                  <c:v>27.02</c:v>
                </c:pt>
              </c:numCache>
            </c:numRef>
          </c:val>
        </c:ser>
        <c:ser>
          <c:idx val="1"/>
          <c:order val="1"/>
          <c:tx>
            <c:strRef>
              <c:f>'Měnové podmínky 2'!$D$5</c:f>
              <c:strCache>
                <c:ptCount val="1"/>
                <c:pt idx="0">
                  <c:v>CZK/USD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2'!$A$6:$B$68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2012</c:v>
                  </c:pt>
                  <c:pt idx="12">
                    <c:v>2013</c:v>
                  </c:pt>
                  <c:pt idx="24">
                    <c:v>2014</c:v>
                  </c:pt>
                  <c:pt idx="36">
                    <c:v>2015</c:v>
                  </c:pt>
                  <c:pt idx="48">
                    <c:v>2016</c:v>
                  </c:pt>
                  <c:pt idx="60">
                    <c:v>2017</c:v>
                  </c:pt>
                </c:lvl>
              </c:multiLvlStrCache>
            </c:multiLvlStrRef>
          </c:cat>
          <c:val>
            <c:numRef>
              <c:f>'Měnové podmínky 2'!$D$6:$D$68</c:f>
              <c:numCache>
                <c:formatCode>General</c:formatCode>
                <c:ptCount val="63"/>
                <c:pt idx="0">
                  <c:v>19.786999999999903</c:v>
                </c:pt>
                <c:pt idx="1">
                  <c:v>18.937999999999999</c:v>
                </c:pt>
                <c:pt idx="2">
                  <c:v>18.693000000000001</c:v>
                </c:pt>
                <c:pt idx="3">
                  <c:v>18.849</c:v>
                </c:pt>
                <c:pt idx="4">
                  <c:v>19.824000000000005</c:v>
                </c:pt>
                <c:pt idx="5">
                  <c:v>20.47</c:v>
                </c:pt>
                <c:pt idx="6">
                  <c:v>20.718</c:v>
                </c:pt>
                <c:pt idx="7">
                  <c:v>20.178999999999988</c:v>
                </c:pt>
                <c:pt idx="8">
                  <c:v>19.245999999999896</c:v>
                </c:pt>
                <c:pt idx="9">
                  <c:v>19.221</c:v>
                </c:pt>
                <c:pt idx="10">
                  <c:v>19.774999999999999</c:v>
                </c:pt>
                <c:pt idx="11">
                  <c:v>19.23</c:v>
                </c:pt>
                <c:pt idx="12">
                  <c:v>19.238</c:v>
                </c:pt>
                <c:pt idx="13">
                  <c:v>19.073</c:v>
                </c:pt>
                <c:pt idx="14">
                  <c:v>19.806000000000001</c:v>
                </c:pt>
                <c:pt idx="15">
                  <c:v>19.835999999999999</c:v>
                </c:pt>
                <c:pt idx="16">
                  <c:v>19.954999999999988</c:v>
                </c:pt>
                <c:pt idx="17">
                  <c:v>19.532</c:v>
                </c:pt>
                <c:pt idx="18">
                  <c:v>19.827999999999999</c:v>
                </c:pt>
                <c:pt idx="19">
                  <c:v>19.398</c:v>
                </c:pt>
                <c:pt idx="20">
                  <c:v>19.321000000000005</c:v>
                </c:pt>
                <c:pt idx="21">
                  <c:v>18.827000000000005</c:v>
                </c:pt>
                <c:pt idx="22">
                  <c:v>19.954999999999988</c:v>
                </c:pt>
                <c:pt idx="23">
                  <c:v>20.077999999999999</c:v>
                </c:pt>
                <c:pt idx="24">
                  <c:v>20.196000000000005</c:v>
                </c:pt>
                <c:pt idx="25">
                  <c:v>20.094000000000001</c:v>
                </c:pt>
                <c:pt idx="26">
                  <c:v>19.818000000000001</c:v>
                </c:pt>
                <c:pt idx="27">
                  <c:v>19.873999999999999</c:v>
                </c:pt>
                <c:pt idx="28">
                  <c:v>19.998999999999896</c:v>
                </c:pt>
                <c:pt idx="29">
                  <c:v>20.196000000000005</c:v>
                </c:pt>
                <c:pt idx="30">
                  <c:v>20.279999999999987</c:v>
                </c:pt>
                <c:pt idx="31">
                  <c:v>20.888999999999989</c:v>
                </c:pt>
                <c:pt idx="32">
                  <c:v>21.393000000000001</c:v>
                </c:pt>
                <c:pt idx="33">
                  <c:v>21.768999999999888</c:v>
                </c:pt>
                <c:pt idx="34">
                  <c:v>22.181999999999999</c:v>
                </c:pt>
                <c:pt idx="35">
                  <c:v>22.4</c:v>
                </c:pt>
                <c:pt idx="36" formatCode="0.000">
                  <c:v>24.013000000000005</c:v>
                </c:pt>
                <c:pt idx="37" formatCode="0.000">
                  <c:v>24.324000000000005</c:v>
                </c:pt>
                <c:pt idx="38" formatCode="0.000">
                  <c:v>25.268999999999888</c:v>
                </c:pt>
                <c:pt idx="39" formatCode="0.000">
                  <c:v>25.446000000000002</c:v>
                </c:pt>
                <c:pt idx="40" formatCode="0.000">
                  <c:v>24.582999999999888</c:v>
                </c:pt>
                <c:pt idx="41" formatCode="0.000">
                  <c:v>24.356000000000005</c:v>
                </c:pt>
                <c:pt idx="42" formatCode="0.000">
                  <c:v>24.638999999999999</c:v>
                </c:pt>
                <c:pt idx="43" formatCode="0.000">
                  <c:v>24.277000000000001</c:v>
                </c:pt>
                <c:pt idx="44" formatCode="0.000">
                  <c:v>24.128</c:v>
                </c:pt>
                <c:pt idx="45" formatCode="0.000">
                  <c:v>24.113000000000035</c:v>
                </c:pt>
                <c:pt idx="46" formatCode="0.000">
                  <c:v>25.181999999999999</c:v>
                </c:pt>
                <c:pt idx="47" formatCode="0.000">
                  <c:v>24.856000000000005</c:v>
                </c:pt>
                <c:pt idx="48" formatCode="0.000">
                  <c:v>24.888000000000002</c:v>
                </c:pt>
                <c:pt idx="49" formatCode="0.000">
                  <c:v>24.378</c:v>
                </c:pt>
                <c:pt idx="50" formatCode="0.000">
                  <c:v>24.373999999999999</c:v>
                </c:pt>
                <c:pt idx="51" formatCode="0.000">
                  <c:v>23.835999999999999</c:v>
                </c:pt>
                <c:pt idx="52" formatCode="0.000">
                  <c:v>23.895</c:v>
                </c:pt>
                <c:pt idx="53" formatCode="0.000">
                  <c:v>24.1</c:v>
                </c:pt>
                <c:pt idx="54" formatCode="0.000">
                  <c:v>24.434999999999999</c:v>
                </c:pt>
                <c:pt idx="55" formatCode="0.000">
                  <c:v>24.103999999999999</c:v>
                </c:pt>
                <c:pt idx="56" formatCode="0.000">
                  <c:v>24.100999999999999</c:v>
                </c:pt>
                <c:pt idx="57" formatCode="0.000">
                  <c:v>24.494999999999987</c:v>
                </c:pt>
                <c:pt idx="58" formatCode="0.000">
                  <c:v>25.032</c:v>
                </c:pt>
                <c:pt idx="59" formatCode="0.000">
                  <c:v>25.640999999999988</c:v>
                </c:pt>
                <c:pt idx="60" formatCode="0.000">
                  <c:v>25.457000000000001</c:v>
                </c:pt>
                <c:pt idx="61" formatCode="0.000">
                  <c:v>25.39</c:v>
                </c:pt>
                <c:pt idx="62" formatCode="0.000">
                  <c:v>25.292000000000002</c:v>
                </c:pt>
              </c:numCache>
            </c:numRef>
          </c:val>
        </c:ser>
        <c:marker val="1"/>
        <c:axId val="161987584"/>
        <c:axId val="165279232"/>
      </c:lineChart>
      <c:catAx>
        <c:axId val="161987584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5279232"/>
        <c:crosses val="autoZero"/>
        <c:auto val="1"/>
        <c:lblAlgn val="ctr"/>
        <c:lblOffset val="100"/>
      </c:catAx>
      <c:valAx>
        <c:axId val="165279232"/>
        <c:scaling>
          <c:orientation val="minMax"/>
          <c:min val="17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1987584"/>
        <c:crosses val="autoZero"/>
        <c:crossBetween val="between"/>
        <c:majorUnit val="2"/>
      </c:valAx>
      <c:valAx>
        <c:axId val="165427072"/>
        <c:scaling>
          <c:orientation val="minMax"/>
          <c:max val="20"/>
          <c:min val="0"/>
        </c:scaling>
        <c:axPos val="r"/>
        <c:numFmt formatCode="0" sourceLinked="0"/>
        <c:tickLblPos val="nextTo"/>
        <c:crossAx val="165428608"/>
        <c:crosses val="max"/>
        <c:crossBetween val="between"/>
      </c:valAx>
      <c:catAx>
        <c:axId val="165428608"/>
        <c:scaling>
          <c:orientation val="minMax"/>
        </c:scaling>
        <c:delete val="1"/>
        <c:axPos val="b"/>
        <c:tickLblPos val="none"/>
        <c:crossAx val="165427072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5599248564673775E-2"/>
          <c:y val="0.92676603365701193"/>
          <c:w val="0.90850662782843639"/>
          <c:h val="6.3909245354229885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4557159743329959E-2"/>
          <c:y val="2.1711264016309892E-2"/>
          <c:w val="0.93757303275920301"/>
          <c:h val="0.73130361364404384"/>
        </c:manualLayout>
      </c:layout>
      <c:barChart>
        <c:barDir val="col"/>
        <c:grouping val="clustered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multiLvlStrRef>
              <c:f>'Měnové podmínky 1'!$A$18:$B$68</c:f>
              <c:multiLvlStrCache>
                <c:ptCount val="5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'Měnové podmínky 1'!$C$18:$C$68</c:f>
              <c:numCache>
                <c:formatCode>0.00</c:formatCode>
                <c:ptCount val="51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0.05</c:v>
                </c:pt>
                <c:pt idx="24">
                  <c:v>0.05</c:v>
                </c:pt>
                <c:pt idx="25">
                  <c:v>0.05</c:v>
                </c:pt>
                <c:pt idx="26">
                  <c:v>0.05</c:v>
                </c:pt>
                <c:pt idx="27">
                  <c:v>0.05</c:v>
                </c:pt>
                <c:pt idx="28">
                  <c:v>0.05</c:v>
                </c:pt>
                <c:pt idx="29">
                  <c:v>0.05</c:v>
                </c:pt>
                <c:pt idx="30">
                  <c:v>0.05</c:v>
                </c:pt>
                <c:pt idx="31">
                  <c:v>0.05</c:v>
                </c:pt>
                <c:pt idx="32">
                  <c:v>0.05</c:v>
                </c:pt>
                <c:pt idx="33">
                  <c:v>0.05</c:v>
                </c:pt>
                <c:pt idx="34">
                  <c:v>0.05</c:v>
                </c:pt>
                <c:pt idx="35">
                  <c:v>0.05</c:v>
                </c:pt>
                <c:pt idx="36">
                  <c:v>0.05</c:v>
                </c:pt>
                <c:pt idx="37">
                  <c:v>0.05</c:v>
                </c:pt>
                <c:pt idx="38">
                  <c:v>0.05</c:v>
                </c:pt>
                <c:pt idx="39">
                  <c:v>0.05</c:v>
                </c:pt>
                <c:pt idx="40">
                  <c:v>0.05</c:v>
                </c:pt>
                <c:pt idx="41">
                  <c:v>0.05</c:v>
                </c:pt>
                <c:pt idx="42">
                  <c:v>0.05</c:v>
                </c:pt>
                <c:pt idx="43">
                  <c:v>0.05</c:v>
                </c:pt>
                <c:pt idx="44">
                  <c:v>0.05</c:v>
                </c:pt>
                <c:pt idx="45">
                  <c:v>0.05</c:v>
                </c:pt>
                <c:pt idx="46">
                  <c:v>0.05</c:v>
                </c:pt>
                <c:pt idx="47">
                  <c:v>0.05</c:v>
                </c:pt>
                <c:pt idx="48" formatCode="General">
                  <c:v>0.05</c:v>
                </c:pt>
                <c:pt idx="49" formatCode="General">
                  <c:v>0.05</c:v>
                </c:pt>
                <c:pt idx="50" formatCode="General">
                  <c:v>0.05</c:v>
                </c:pt>
              </c:numCache>
            </c:numRef>
          </c:val>
        </c:ser>
        <c:gapWidth val="31"/>
        <c:axId val="167022976"/>
        <c:axId val="167024896"/>
      </c:barChart>
      <c:lineChart>
        <c:grouping val="standard"/>
        <c:ser>
          <c:idx val="1"/>
          <c:order val="1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val>
            <c:numRef>
              <c:f>'Měnové podmínky 1'!$D$18:$D$68</c:f>
              <c:numCache>
                <c:formatCode>0.00</c:formatCode>
                <c:ptCount val="51"/>
                <c:pt idx="0">
                  <c:v>0.5</c:v>
                </c:pt>
                <c:pt idx="1">
                  <c:v>0.5</c:v>
                </c:pt>
                <c:pt idx="2">
                  <c:v>0.49000000000000032</c:v>
                </c:pt>
                <c:pt idx="3">
                  <c:v>0.47000000000000008</c:v>
                </c:pt>
                <c:pt idx="4">
                  <c:v>0.46</c:v>
                </c:pt>
                <c:pt idx="5">
                  <c:v>0.46</c:v>
                </c:pt>
                <c:pt idx="6">
                  <c:v>0.46</c:v>
                </c:pt>
                <c:pt idx="7">
                  <c:v>0.46</c:v>
                </c:pt>
                <c:pt idx="8">
                  <c:v>0.45</c:v>
                </c:pt>
                <c:pt idx="9">
                  <c:v>0.45</c:v>
                </c:pt>
                <c:pt idx="10">
                  <c:v>0.4</c:v>
                </c:pt>
                <c:pt idx="11">
                  <c:v>0.38000000000000156</c:v>
                </c:pt>
                <c:pt idx="12">
                  <c:v>0.37000000000000038</c:v>
                </c:pt>
                <c:pt idx="13">
                  <c:v>0.37000000000000038</c:v>
                </c:pt>
                <c:pt idx="14">
                  <c:v>0.37000000000000038</c:v>
                </c:pt>
                <c:pt idx="15">
                  <c:v>0.37000000000000038</c:v>
                </c:pt>
                <c:pt idx="16">
                  <c:v>0.37000000000000038</c:v>
                </c:pt>
                <c:pt idx="17">
                  <c:v>0.35000000000000031</c:v>
                </c:pt>
                <c:pt idx="18">
                  <c:v>0.35000000000000031</c:v>
                </c:pt>
                <c:pt idx="19">
                  <c:v>0.35000000000000031</c:v>
                </c:pt>
                <c:pt idx="20">
                  <c:v>0.35000000000000031</c:v>
                </c:pt>
                <c:pt idx="21">
                  <c:v>0.35000000000000031</c:v>
                </c:pt>
                <c:pt idx="22">
                  <c:v>0.34</c:v>
                </c:pt>
                <c:pt idx="23">
                  <c:v>0.34</c:v>
                </c:pt>
                <c:pt idx="24">
                  <c:v>0.33000000000000185</c:v>
                </c:pt>
                <c:pt idx="25">
                  <c:v>0.33000000000000185</c:v>
                </c:pt>
                <c:pt idx="26">
                  <c:v>0.32000000000000156</c:v>
                </c:pt>
                <c:pt idx="27">
                  <c:v>0.31000000000000139</c:v>
                </c:pt>
                <c:pt idx="28">
                  <c:v>0.31000000000000139</c:v>
                </c:pt>
                <c:pt idx="29">
                  <c:v>0.31000000000000139</c:v>
                </c:pt>
                <c:pt idx="30">
                  <c:v>0.31000000000000139</c:v>
                </c:pt>
                <c:pt idx="31">
                  <c:v>0.31000000000000139</c:v>
                </c:pt>
                <c:pt idx="32">
                  <c:v>0.30000000000000032</c:v>
                </c:pt>
                <c:pt idx="33">
                  <c:v>0.29000000000000031</c:v>
                </c:pt>
                <c:pt idx="34">
                  <c:v>0.29000000000000031</c:v>
                </c:pt>
                <c:pt idx="35">
                  <c:v>0.29000000000000031</c:v>
                </c:pt>
                <c:pt idx="36">
                  <c:v>0.29000000000000031</c:v>
                </c:pt>
                <c:pt idx="37">
                  <c:v>0.28000000000000008</c:v>
                </c:pt>
                <c:pt idx="38">
                  <c:v>0.29000000000000031</c:v>
                </c:pt>
                <c:pt idx="39">
                  <c:v>0.29000000000000031</c:v>
                </c:pt>
                <c:pt idx="40">
                  <c:v>0.29000000000000031</c:v>
                </c:pt>
                <c:pt idx="41">
                  <c:v>0.29000000000000031</c:v>
                </c:pt>
                <c:pt idx="42">
                  <c:v>0.29000000000000031</c:v>
                </c:pt>
                <c:pt idx="43">
                  <c:v>0.29000000000000031</c:v>
                </c:pt>
                <c:pt idx="44">
                  <c:v>0.29000000000000031</c:v>
                </c:pt>
                <c:pt idx="45">
                  <c:v>0.29000000000000031</c:v>
                </c:pt>
                <c:pt idx="46">
                  <c:v>0.29000000000000031</c:v>
                </c:pt>
                <c:pt idx="47">
                  <c:v>0.29000000000000031</c:v>
                </c:pt>
                <c:pt idx="48" formatCode="General">
                  <c:v>0.28000000000000008</c:v>
                </c:pt>
                <c:pt idx="49" formatCode="General">
                  <c:v>0.28000000000000008</c:v>
                </c:pt>
                <c:pt idx="50" formatCode="General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val>
            <c:numRef>
              <c:f>'Měnové podmínky 1'!$E$18:$E$68</c:f>
              <c:numCache>
                <c:formatCode>0.00</c:formatCode>
                <c:ptCount val="51"/>
                <c:pt idx="0">
                  <c:v>0.86000000000000065</c:v>
                </c:pt>
                <c:pt idx="1">
                  <c:v>0.83000000000000063</c:v>
                </c:pt>
                <c:pt idx="2">
                  <c:v>0.78</c:v>
                </c:pt>
                <c:pt idx="3">
                  <c:v>0.76000000000000312</c:v>
                </c:pt>
                <c:pt idx="4">
                  <c:v>0.76000000000000312</c:v>
                </c:pt>
                <c:pt idx="5">
                  <c:v>0.76000000000000312</c:v>
                </c:pt>
                <c:pt idx="6">
                  <c:v>0.75000000000000289</c:v>
                </c:pt>
                <c:pt idx="7">
                  <c:v>0.75000000000000289</c:v>
                </c:pt>
                <c:pt idx="8">
                  <c:v>0.74000000000000277</c:v>
                </c:pt>
                <c:pt idx="9">
                  <c:v>0.73000000000000065</c:v>
                </c:pt>
                <c:pt idx="10">
                  <c:v>0.65000000000000324</c:v>
                </c:pt>
                <c:pt idx="11">
                  <c:v>0.61000000000000065</c:v>
                </c:pt>
                <c:pt idx="12">
                  <c:v>0.58000000000000007</c:v>
                </c:pt>
                <c:pt idx="13">
                  <c:v>0.55000000000000004</c:v>
                </c:pt>
                <c:pt idx="14">
                  <c:v>0.55000000000000004</c:v>
                </c:pt>
                <c:pt idx="15">
                  <c:v>0.55000000000000004</c:v>
                </c:pt>
                <c:pt idx="16">
                  <c:v>0.54</c:v>
                </c:pt>
                <c:pt idx="17">
                  <c:v>0.53</c:v>
                </c:pt>
                <c:pt idx="18">
                  <c:v>0.52</c:v>
                </c:pt>
                <c:pt idx="19">
                  <c:v>0.52</c:v>
                </c:pt>
                <c:pt idx="20">
                  <c:v>0.52</c:v>
                </c:pt>
                <c:pt idx="21">
                  <c:v>0.52</c:v>
                </c:pt>
                <c:pt idx="22">
                  <c:v>0.51</c:v>
                </c:pt>
                <c:pt idx="23">
                  <c:v>0.51</c:v>
                </c:pt>
                <c:pt idx="24">
                  <c:v>0.51</c:v>
                </c:pt>
                <c:pt idx="25">
                  <c:v>0.51</c:v>
                </c:pt>
                <c:pt idx="26">
                  <c:v>0.49000000000000032</c:v>
                </c:pt>
                <c:pt idx="27">
                  <c:v>0.48000000000000032</c:v>
                </c:pt>
                <c:pt idx="28">
                  <c:v>0.48000000000000032</c:v>
                </c:pt>
                <c:pt idx="29">
                  <c:v>0.48000000000000032</c:v>
                </c:pt>
                <c:pt idx="30">
                  <c:v>0.48000000000000032</c:v>
                </c:pt>
                <c:pt idx="31">
                  <c:v>0.48000000000000032</c:v>
                </c:pt>
                <c:pt idx="32">
                  <c:v>0.47000000000000008</c:v>
                </c:pt>
                <c:pt idx="33">
                  <c:v>0.46</c:v>
                </c:pt>
                <c:pt idx="34">
                  <c:v>0.46</c:v>
                </c:pt>
                <c:pt idx="35">
                  <c:v>0.46</c:v>
                </c:pt>
                <c:pt idx="36">
                  <c:v>0.45</c:v>
                </c:pt>
                <c:pt idx="37">
                  <c:v>0.45</c:v>
                </c:pt>
                <c:pt idx="38">
                  <c:v>0.45</c:v>
                </c:pt>
                <c:pt idx="39">
                  <c:v>0.45</c:v>
                </c:pt>
                <c:pt idx="40">
                  <c:v>0.45</c:v>
                </c:pt>
                <c:pt idx="41">
                  <c:v>0.45</c:v>
                </c:pt>
                <c:pt idx="42">
                  <c:v>0.45</c:v>
                </c:pt>
                <c:pt idx="43">
                  <c:v>0.45</c:v>
                </c:pt>
                <c:pt idx="44">
                  <c:v>0.45</c:v>
                </c:pt>
                <c:pt idx="45">
                  <c:v>0.45</c:v>
                </c:pt>
                <c:pt idx="46">
                  <c:v>0.45</c:v>
                </c:pt>
                <c:pt idx="47">
                  <c:v>0.45</c:v>
                </c:pt>
                <c:pt idx="48" formatCode="General">
                  <c:v>0.44</c:v>
                </c:pt>
                <c:pt idx="49" formatCode="General">
                  <c:v>0.44</c:v>
                </c:pt>
                <c:pt idx="50" formatCode="General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val>
            <c:numRef>
              <c:f>'Měnové podmínky 1'!$F$18:$F$68</c:f>
              <c:numCache>
                <c:formatCode>0.00</c:formatCode>
                <c:ptCount val="51"/>
                <c:pt idx="0">
                  <c:v>0.30000000000000032</c:v>
                </c:pt>
                <c:pt idx="1">
                  <c:v>0.36000000000000032</c:v>
                </c:pt>
                <c:pt idx="2">
                  <c:v>0.31000000000000139</c:v>
                </c:pt>
                <c:pt idx="3">
                  <c:v>0.30000000000000032</c:v>
                </c:pt>
                <c:pt idx="4">
                  <c:v>0.29000000000000031</c:v>
                </c:pt>
                <c:pt idx="5">
                  <c:v>0.43000000000000038</c:v>
                </c:pt>
                <c:pt idx="6">
                  <c:v>0.41000000000000031</c:v>
                </c:pt>
                <c:pt idx="7">
                  <c:v>0.4</c:v>
                </c:pt>
                <c:pt idx="8">
                  <c:v>0.37000000000000038</c:v>
                </c:pt>
                <c:pt idx="9">
                  <c:v>0.33000000000000185</c:v>
                </c:pt>
                <c:pt idx="10">
                  <c:v>0.2</c:v>
                </c:pt>
                <c:pt idx="11">
                  <c:v>0.19</c:v>
                </c:pt>
                <c:pt idx="12">
                  <c:v>0.23</c:v>
                </c:pt>
                <c:pt idx="13">
                  <c:v>0.28000000000000008</c:v>
                </c:pt>
                <c:pt idx="14">
                  <c:v>0.26</c:v>
                </c:pt>
                <c:pt idx="15">
                  <c:v>0.23</c:v>
                </c:pt>
                <c:pt idx="16">
                  <c:v>0.21000000000000021</c:v>
                </c:pt>
                <c:pt idx="17">
                  <c:v>0.24000000000000021</c:v>
                </c:pt>
                <c:pt idx="18">
                  <c:v>0.23</c:v>
                </c:pt>
                <c:pt idx="19">
                  <c:v>0.18000000000000024</c:v>
                </c:pt>
                <c:pt idx="20">
                  <c:v>0.14000000000000001</c:v>
                </c:pt>
                <c:pt idx="21">
                  <c:v>0.1</c:v>
                </c:pt>
                <c:pt idx="22">
                  <c:v>0.12000000000000002</c:v>
                </c:pt>
                <c:pt idx="23">
                  <c:v>0.13</c:v>
                </c:pt>
                <c:pt idx="24">
                  <c:v>9.0000000000000024E-2</c:v>
                </c:pt>
                <c:pt idx="25">
                  <c:v>6.0000000000000032E-2</c:v>
                </c:pt>
                <c:pt idx="26">
                  <c:v>4.0000000000000022E-2</c:v>
                </c:pt>
                <c:pt idx="27">
                  <c:v>-3.0000000000000002E-2</c:v>
                </c:pt>
                <c:pt idx="28">
                  <c:v>4.0000000000000022E-2</c:v>
                </c:pt>
                <c:pt idx="29">
                  <c:v>0.11</c:v>
                </c:pt>
                <c:pt idx="30">
                  <c:v>2.0000000000000011E-2</c:v>
                </c:pt>
                <c:pt idx="31">
                  <c:v>-7.0000000000000021E-2</c:v>
                </c:pt>
                <c:pt idx="32">
                  <c:v>-0.30000000000000032</c:v>
                </c:pt>
                <c:pt idx="33">
                  <c:v>-0.28000000000000008</c:v>
                </c:pt>
                <c:pt idx="34">
                  <c:v>-0.33000000000000185</c:v>
                </c:pt>
                <c:pt idx="35">
                  <c:v>-0.38000000000000156</c:v>
                </c:pt>
                <c:pt idx="36" formatCode="General">
                  <c:v>-0.21000000000000021</c:v>
                </c:pt>
                <c:pt idx="37" formatCode="General">
                  <c:v>-0.18000000000000024</c:v>
                </c:pt>
                <c:pt idx="38" formatCode="General">
                  <c:v>-0.17</c:v>
                </c:pt>
                <c:pt idx="39" formatCode="General">
                  <c:v>-8.0000000000000043E-2</c:v>
                </c:pt>
                <c:pt idx="40" formatCode="General">
                  <c:v>-4.0000000000000022E-2</c:v>
                </c:pt>
                <c:pt idx="41" formatCode="General">
                  <c:v>-0.05</c:v>
                </c:pt>
                <c:pt idx="42" formatCode="General">
                  <c:v>-0.13</c:v>
                </c:pt>
                <c:pt idx="43" formatCode="General">
                  <c:v>-0.22</c:v>
                </c:pt>
                <c:pt idx="44" formatCode="General">
                  <c:v>-0.5</c:v>
                </c:pt>
                <c:pt idx="45" formatCode="General">
                  <c:v>-0.74000000000000277</c:v>
                </c:pt>
                <c:pt idx="46" formatCode="General">
                  <c:v>-0.73000000000000065</c:v>
                </c:pt>
                <c:pt idx="47" formatCode="General">
                  <c:v>-0.81</c:v>
                </c:pt>
                <c:pt idx="48" formatCode="General">
                  <c:v>-0.53</c:v>
                </c:pt>
                <c:pt idx="49" formatCode="General">
                  <c:v>-0.44</c:v>
                </c:pt>
                <c:pt idx="50" formatCode="General">
                  <c:v>-0.23</c:v>
                </c:pt>
              </c:numCache>
            </c:numRef>
          </c:val>
        </c:ser>
        <c:ser>
          <c:idx val="4"/>
          <c:order val="4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val>
            <c:numRef>
              <c:f>'Měnové podmínky 1'!$G$18:$G$68</c:f>
              <c:numCache>
                <c:formatCode>0.00</c:formatCode>
                <c:ptCount val="51"/>
                <c:pt idx="0">
                  <c:v>0.98</c:v>
                </c:pt>
                <c:pt idx="1">
                  <c:v>0.99</c:v>
                </c:pt>
                <c:pt idx="2">
                  <c:v>1.08</c:v>
                </c:pt>
                <c:pt idx="3">
                  <c:v>0.98</c:v>
                </c:pt>
                <c:pt idx="4">
                  <c:v>0.9</c:v>
                </c:pt>
                <c:pt idx="5">
                  <c:v>1.23</c:v>
                </c:pt>
                <c:pt idx="6">
                  <c:v>1.3900000000000001</c:v>
                </c:pt>
                <c:pt idx="7">
                  <c:v>1.3900000000000001</c:v>
                </c:pt>
                <c:pt idx="8">
                  <c:v>1.23</c:v>
                </c:pt>
                <c:pt idx="9">
                  <c:v>1.25</c:v>
                </c:pt>
                <c:pt idx="10">
                  <c:v>1.03</c:v>
                </c:pt>
                <c:pt idx="11">
                  <c:v>0.97000000000000064</c:v>
                </c:pt>
                <c:pt idx="12">
                  <c:v>1.0900000000000001</c:v>
                </c:pt>
                <c:pt idx="13">
                  <c:v>1.2</c:v>
                </c:pt>
                <c:pt idx="14">
                  <c:v>1.1399999999999937</c:v>
                </c:pt>
                <c:pt idx="15">
                  <c:v>0.99</c:v>
                </c:pt>
                <c:pt idx="16">
                  <c:v>0.8</c:v>
                </c:pt>
                <c:pt idx="17">
                  <c:v>0.68</c:v>
                </c:pt>
                <c:pt idx="18">
                  <c:v>0.65000000000000324</c:v>
                </c:pt>
                <c:pt idx="19">
                  <c:v>0.62000000000000277</c:v>
                </c:pt>
                <c:pt idx="20">
                  <c:v>0.51</c:v>
                </c:pt>
                <c:pt idx="21">
                  <c:v>0.37000000000000038</c:v>
                </c:pt>
                <c:pt idx="22">
                  <c:v>0.24000000000000021</c:v>
                </c:pt>
                <c:pt idx="23">
                  <c:v>0.22</c:v>
                </c:pt>
                <c:pt idx="24">
                  <c:v>0.13</c:v>
                </c:pt>
                <c:pt idx="25">
                  <c:v>0.17</c:v>
                </c:pt>
                <c:pt idx="26">
                  <c:v>0.14000000000000001</c:v>
                </c:pt>
                <c:pt idx="27">
                  <c:v>0.05</c:v>
                </c:pt>
                <c:pt idx="28">
                  <c:v>0.22</c:v>
                </c:pt>
                <c:pt idx="29">
                  <c:v>0.43000000000000038</c:v>
                </c:pt>
                <c:pt idx="30">
                  <c:v>0.35000000000000031</c:v>
                </c:pt>
                <c:pt idx="31">
                  <c:v>0.2</c:v>
                </c:pt>
                <c:pt idx="32">
                  <c:v>6.0000000000000032E-2</c:v>
                </c:pt>
                <c:pt idx="33">
                  <c:v>-0.05</c:v>
                </c:pt>
                <c:pt idx="34">
                  <c:v>-0.05</c:v>
                </c:pt>
                <c:pt idx="35">
                  <c:v>-0.11</c:v>
                </c:pt>
                <c:pt idx="36" formatCode="General">
                  <c:v>4.0000000000000022E-2</c:v>
                </c:pt>
                <c:pt idx="37" formatCode="General">
                  <c:v>-8.0000000000000043E-2</c:v>
                </c:pt>
                <c:pt idx="38" formatCode="General">
                  <c:v>-0.1</c:v>
                </c:pt>
                <c:pt idx="39" formatCode="General">
                  <c:v>4.0000000000000022E-2</c:v>
                </c:pt>
                <c:pt idx="40" formatCode="General">
                  <c:v>7.0000000000000021E-2</c:v>
                </c:pt>
                <c:pt idx="41" formatCode="General">
                  <c:v>0.05</c:v>
                </c:pt>
                <c:pt idx="42" formatCode="General">
                  <c:v>-2.0000000000000011E-2</c:v>
                </c:pt>
                <c:pt idx="43" formatCode="General">
                  <c:v>-9.0000000000000024E-2</c:v>
                </c:pt>
                <c:pt idx="44" formatCode="General">
                  <c:v>-0.19</c:v>
                </c:pt>
                <c:pt idx="45" formatCode="General">
                  <c:v>-0.17</c:v>
                </c:pt>
                <c:pt idx="46" formatCode="General">
                  <c:v>-0.17</c:v>
                </c:pt>
                <c:pt idx="47" formatCode="General">
                  <c:v>-0.21000000000000021</c:v>
                </c:pt>
                <c:pt idx="48" formatCode="General">
                  <c:v>9.0000000000000024E-2</c:v>
                </c:pt>
                <c:pt idx="49" formatCode="General">
                  <c:v>0.1</c:v>
                </c:pt>
                <c:pt idx="50" formatCode="General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val>
            <c:numRef>
              <c:f>'Měnové podmínky 1'!$H$18:$H$68</c:f>
              <c:numCache>
                <c:formatCode>0.00</c:formatCode>
                <c:ptCount val="51"/>
                <c:pt idx="0">
                  <c:v>1.9600000000000055</c:v>
                </c:pt>
                <c:pt idx="1">
                  <c:v>2.0099999999999998</c:v>
                </c:pt>
                <c:pt idx="2">
                  <c:v>1.9800000000000062</c:v>
                </c:pt>
                <c:pt idx="3">
                  <c:v>1.82</c:v>
                </c:pt>
                <c:pt idx="4">
                  <c:v>1.6700000000000021</c:v>
                </c:pt>
                <c:pt idx="5">
                  <c:v>2.14</c:v>
                </c:pt>
                <c:pt idx="6">
                  <c:v>2.23</c:v>
                </c:pt>
                <c:pt idx="7">
                  <c:v>2.4</c:v>
                </c:pt>
                <c:pt idx="8">
                  <c:v>2.42</c:v>
                </c:pt>
                <c:pt idx="9">
                  <c:v>2.3299999999999987</c:v>
                </c:pt>
                <c:pt idx="10">
                  <c:v>2.1800000000000002</c:v>
                </c:pt>
                <c:pt idx="11">
                  <c:v>2.2000000000000002</c:v>
                </c:pt>
                <c:pt idx="12">
                  <c:v>2.4299999999999997</c:v>
                </c:pt>
                <c:pt idx="13">
                  <c:v>2.2799999999999998</c:v>
                </c:pt>
                <c:pt idx="14">
                  <c:v>2.2000000000000002</c:v>
                </c:pt>
                <c:pt idx="15">
                  <c:v>2</c:v>
                </c:pt>
                <c:pt idx="16">
                  <c:v>1.73</c:v>
                </c:pt>
                <c:pt idx="17">
                  <c:v>1.55</c:v>
                </c:pt>
                <c:pt idx="18">
                  <c:v>1.49</c:v>
                </c:pt>
                <c:pt idx="19">
                  <c:v>1.3800000000000001</c:v>
                </c:pt>
                <c:pt idx="20">
                  <c:v>1.21</c:v>
                </c:pt>
                <c:pt idx="21">
                  <c:v>1.1000000000000001</c:v>
                </c:pt>
                <c:pt idx="22">
                  <c:v>0.87000000000000277</c:v>
                </c:pt>
                <c:pt idx="23">
                  <c:v>0.6700000000000037</c:v>
                </c:pt>
                <c:pt idx="24">
                  <c:v>0.35000000000000031</c:v>
                </c:pt>
                <c:pt idx="25">
                  <c:v>0.4</c:v>
                </c:pt>
                <c:pt idx="26">
                  <c:v>0.35000000000000031</c:v>
                </c:pt>
                <c:pt idx="27">
                  <c:v>0.26</c:v>
                </c:pt>
                <c:pt idx="28">
                  <c:v>0.60000000000000064</c:v>
                </c:pt>
                <c:pt idx="29">
                  <c:v>1.01</c:v>
                </c:pt>
                <c:pt idx="30">
                  <c:v>0.97000000000000064</c:v>
                </c:pt>
                <c:pt idx="31">
                  <c:v>0.74000000000000277</c:v>
                </c:pt>
                <c:pt idx="32">
                  <c:v>0.68</c:v>
                </c:pt>
                <c:pt idx="33">
                  <c:v>0.56000000000000005</c:v>
                </c:pt>
                <c:pt idx="34">
                  <c:v>0.49000000000000032</c:v>
                </c:pt>
                <c:pt idx="35">
                  <c:v>0.49000000000000032</c:v>
                </c:pt>
                <c:pt idx="36" formatCode="General">
                  <c:v>0.62000000000000277</c:v>
                </c:pt>
                <c:pt idx="37" formatCode="General">
                  <c:v>0.46</c:v>
                </c:pt>
                <c:pt idx="38" formatCode="General">
                  <c:v>0.35000000000000031</c:v>
                </c:pt>
                <c:pt idx="39" formatCode="General">
                  <c:v>0.43000000000000038</c:v>
                </c:pt>
                <c:pt idx="40" formatCode="General">
                  <c:v>0.46</c:v>
                </c:pt>
                <c:pt idx="41" formatCode="General">
                  <c:v>0.45</c:v>
                </c:pt>
                <c:pt idx="42" formatCode="General">
                  <c:v>0.37000000000000038</c:v>
                </c:pt>
                <c:pt idx="43" formatCode="General">
                  <c:v>0.29000000000000031</c:v>
                </c:pt>
                <c:pt idx="44" formatCode="General">
                  <c:v>0.25</c:v>
                </c:pt>
                <c:pt idx="45" formatCode="General">
                  <c:v>0.37000000000000038</c:v>
                </c:pt>
                <c:pt idx="46" formatCode="General">
                  <c:v>0.55000000000000004</c:v>
                </c:pt>
                <c:pt idx="47" formatCode="General">
                  <c:v>0.53</c:v>
                </c:pt>
                <c:pt idx="48" formatCode="General">
                  <c:v>0.63000000000000311</c:v>
                </c:pt>
                <c:pt idx="49" formatCode="General">
                  <c:v>0.87000000000000277</c:v>
                </c:pt>
                <c:pt idx="50" formatCode="General">
                  <c:v>0.96000000000000063</c:v>
                </c:pt>
              </c:numCache>
            </c:numRef>
          </c:val>
        </c:ser>
        <c:marker val="1"/>
        <c:axId val="167022976"/>
        <c:axId val="167024896"/>
      </c:lineChart>
      <c:catAx>
        <c:axId val="16702297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crossAx val="167024896"/>
        <c:crosses val="autoZero"/>
        <c:auto val="1"/>
        <c:lblAlgn val="ctr"/>
        <c:lblOffset val="100"/>
      </c:catAx>
      <c:valAx>
        <c:axId val="167024896"/>
        <c:scaling>
          <c:orientation val="minMax"/>
          <c:min val="-1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67022976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465E-2"/>
          <c:y val="0.87558269120103249"/>
          <c:w val="0.93886651469098281"/>
          <c:h val="0.11015705924459968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039B-507F-4DCD-8A20-08344905C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91314-85D1-4414-9F2D-18DA066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3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8318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4</cp:revision>
  <cp:lastPrinted>2017-03-16T10:07:00Z</cp:lastPrinted>
  <dcterms:created xsi:type="dcterms:W3CDTF">2017-06-20T12:54:00Z</dcterms:created>
  <dcterms:modified xsi:type="dcterms:W3CDTF">2017-06-20T12:55:00Z</dcterms:modified>
</cp:coreProperties>
</file>