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A74192" w:rsidRDefault="00576A3E" w:rsidP="003D27BF">
      <w:pPr>
        <w:pStyle w:val="Nadpis1"/>
        <w:numPr>
          <w:ilvl w:val="0"/>
          <w:numId w:val="20"/>
        </w:numPr>
        <w:jc w:val="both"/>
      </w:pPr>
      <w:bookmarkStart w:id="0" w:name="_Toc469299932"/>
      <w:bookmarkStart w:id="1" w:name="_Toc485271457"/>
      <w:r w:rsidRPr="00A74192">
        <w:t>Vnější ekonomické vztahy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143"/>
        <w:gridCol w:w="2533"/>
        <w:gridCol w:w="3703"/>
      </w:tblGrid>
      <w:tr w:rsidR="006647AD" w:rsidRPr="00A74192" w:rsidTr="008F1638">
        <w:tc>
          <w:tcPr>
            <w:tcW w:w="1015" w:type="pct"/>
          </w:tcPr>
          <w:p w:rsidR="006647AD" w:rsidRPr="001841D7" w:rsidRDefault="006647AD" w:rsidP="00B25E31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497294">
              <w:rPr>
                <w:sz w:val="16"/>
                <w:szCs w:val="16"/>
              </w:rPr>
              <w:t>Kladné saldo obchodu se zbožím stálo za</w:t>
            </w:r>
            <w:r w:rsidR="00B25E31">
              <w:rPr>
                <w:sz w:val="16"/>
                <w:szCs w:val="16"/>
              </w:rPr>
              <w:t> </w:t>
            </w:r>
            <w:r w:rsidRPr="00497294">
              <w:rPr>
                <w:sz w:val="16"/>
                <w:szCs w:val="16"/>
              </w:rPr>
              <w:t>celkovým přebytkem běžného účtu.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 w:rsidRPr="005F17C4">
              <w:t>Přebytek běžného účtu platební bilance</w:t>
            </w:r>
            <w:r w:rsidR="0030192C">
              <w:t xml:space="preserve"> (PB)</w:t>
            </w:r>
            <w:r w:rsidRPr="005F17C4">
              <w:t xml:space="preserve"> v 1. čtvrtletí 2017 dosáhl </w:t>
            </w:r>
            <w:r w:rsidR="0030192C">
              <w:t>94</w:t>
            </w:r>
            <w:r w:rsidRPr="005F17C4">
              <w:t>,</w:t>
            </w:r>
            <w:r w:rsidR="0030192C">
              <w:t>5</w:t>
            </w:r>
            <w:r w:rsidR="007240C5">
              <w:t> </w:t>
            </w:r>
            <w:r w:rsidRPr="005F17C4">
              <w:t>mld.</w:t>
            </w:r>
            <w:r w:rsidR="007240C5">
              <w:t> </w:t>
            </w:r>
            <w:r w:rsidRPr="005F17C4">
              <w:t>korun</w:t>
            </w:r>
            <w:r>
              <w:t>. V porovnání se stejným obdobím předchozího roku se snížil o</w:t>
            </w:r>
            <w:r w:rsidR="007240C5">
              <w:t> </w:t>
            </w:r>
            <w:r w:rsidR="0030192C">
              <w:t>15</w:t>
            </w:r>
            <w:r>
              <w:t>,</w:t>
            </w:r>
            <w:r w:rsidR="0030192C">
              <w:t>4</w:t>
            </w:r>
            <w:r>
              <w:t xml:space="preserve"> mld. korun. Největší podíl na přebytku měl tradičně obchod se zbožím, jehož kladné saldo dosáhlo 8</w:t>
            </w:r>
            <w:r w:rsidR="0030192C">
              <w:t>3</w:t>
            </w:r>
            <w:r>
              <w:t>,</w:t>
            </w:r>
            <w:r w:rsidR="0030192C">
              <w:t>8</w:t>
            </w:r>
            <w:r>
              <w:t xml:space="preserve"> mld. korun a udrželo se tak na úrovni loňského roku (83,7</w:t>
            </w:r>
            <w:r w:rsidR="00CB2B15">
              <w:t> </w:t>
            </w:r>
            <w:r>
              <w:t xml:space="preserve">mld.). </w:t>
            </w:r>
            <w:r w:rsidR="0030192C">
              <w:t xml:space="preserve">Vzrostlo i kladné saldo bilance služeb, které se v předchozích letech </w:t>
            </w:r>
            <w:r>
              <w:t>drž</w:t>
            </w:r>
            <w:r w:rsidR="0030192C">
              <w:t>elo</w:t>
            </w:r>
            <w:r>
              <w:t xml:space="preserve"> na relativně konstantní úrovni</w:t>
            </w:r>
            <w:r w:rsidR="0030192C">
              <w:t>.</w:t>
            </w:r>
            <w:r>
              <w:t xml:space="preserve"> </w:t>
            </w:r>
            <w:r w:rsidR="0030192C">
              <w:t>V</w:t>
            </w:r>
            <w:r>
              <w:t xml:space="preserve"> 1. čtvrtletí dosáhlo </w:t>
            </w:r>
            <w:r w:rsidR="0030192C">
              <w:t>28,0</w:t>
            </w:r>
            <w:r w:rsidR="00CB2B15">
              <w:t> </w:t>
            </w:r>
            <w:r>
              <w:t xml:space="preserve">mld. korun. Saldo prvotních důchodů, které bylo na začátku let 2015 i 2016 záporné, dosáhlo </w:t>
            </w:r>
            <w:r w:rsidR="0030192C">
              <w:noBreakHyphen/>
            </w:r>
            <w:r>
              <w:t>2,</w:t>
            </w:r>
            <w:r w:rsidR="0030192C">
              <w:t>3</w:t>
            </w:r>
            <w:r>
              <w:t xml:space="preserve"> mld. korun</w:t>
            </w:r>
            <w:r w:rsidR="0030192C">
              <w:t>. Za meziročním poklesem přebytku PB stojí záporné</w:t>
            </w:r>
            <w:r>
              <w:t xml:space="preserve"> saldo druhotných důchodů</w:t>
            </w:r>
            <w:r w:rsidR="0030192C">
              <w:t xml:space="preserve">, které </w:t>
            </w:r>
            <w:r>
              <w:t>bylo po dvou letech přebytku v deficitu 1</w:t>
            </w:r>
            <w:r w:rsidR="0030192C">
              <w:t>5</w:t>
            </w:r>
            <w:r>
              <w:t>,</w:t>
            </w:r>
            <w:r w:rsidR="0030192C">
              <w:t>0</w:t>
            </w:r>
            <w:r>
              <w:t xml:space="preserve"> mld. korun. </w:t>
            </w:r>
            <w:r w:rsidR="008054FB">
              <w:t xml:space="preserve">Objem toků </w:t>
            </w:r>
            <w:r>
              <w:t xml:space="preserve">na kapitálovém účtu </w:t>
            </w:r>
            <w:r w:rsidR="0030192C">
              <w:t xml:space="preserve">PB </w:t>
            </w:r>
            <w:r>
              <w:t xml:space="preserve">byl v 1. čtvrtletí </w:t>
            </w:r>
            <w:r w:rsidR="008054FB">
              <w:t>poměrně malý. Do</w:t>
            </w:r>
            <w:r w:rsidR="00D74E97">
              <w:t> </w:t>
            </w:r>
            <w:r w:rsidR="008054FB">
              <w:t xml:space="preserve">Česka přiteklo v 1. čtvrtletí 0,8 mld. korun a z Česka </w:t>
            </w:r>
            <w:r w:rsidR="001718C2">
              <w:t>odteklo</w:t>
            </w:r>
            <w:r w:rsidR="008054FB">
              <w:t xml:space="preserve"> 1,7</w:t>
            </w:r>
            <w:r w:rsidR="00D74E97">
              <w:t> </w:t>
            </w:r>
            <w:r w:rsidR="008054FB">
              <w:t>mld. korun.</w:t>
            </w:r>
          </w:p>
          <w:p w:rsidR="006647AD" w:rsidRPr="003D27BF" w:rsidRDefault="006647AD" w:rsidP="00134DFD">
            <w:pPr>
              <w:pStyle w:val="Textpoznpodarou"/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6647AD" w:rsidRPr="00A74192" w:rsidTr="008F1638">
        <w:tc>
          <w:tcPr>
            <w:tcW w:w="1015" w:type="pct"/>
          </w:tcPr>
          <w:p w:rsidR="006647AD" w:rsidRPr="001841D7" w:rsidRDefault="006647AD" w:rsidP="00134DFD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497294">
              <w:rPr>
                <w:sz w:val="16"/>
                <w:szCs w:val="16"/>
              </w:rPr>
              <w:t>Mimořádně vysok</w:t>
            </w:r>
            <w:r>
              <w:rPr>
                <w:sz w:val="16"/>
                <w:szCs w:val="16"/>
              </w:rPr>
              <w:t>ý</w:t>
            </w:r>
            <w:r w:rsidRPr="004972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objem</w:t>
            </w:r>
            <w:r w:rsidRPr="00497294">
              <w:rPr>
                <w:sz w:val="16"/>
                <w:szCs w:val="16"/>
              </w:rPr>
              <w:t xml:space="preserve"> toků na finančním účtu je spojen s očekávaným ukončením intervencí.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Kladné saldo finančního účtu (FÚ) platební bilance činilo </w:t>
            </w:r>
            <w:r w:rsidR="008054FB">
              <w:t>39,8</w:t>
            </w:r>
            <w:r>
              <w:t xml:space="preserve"> mld. korun a</w:t>
            </w:r>
            <w:r w:rsidR="00CB2B15">
              <w:t> </w:t>
            </w:r>
            <w:r>
              <w:t xml:space="preserve">v porovnání se stejným obdobím předchozího roku se snížilo o </w:t>
            </w:r>
            <w:r w:rsidR="008054FB">
              <w:t>91,4</w:t>
            </w:r>
            <w:r>
              <w:t xml:space="preserve"> mld. Saldo se řádově udrželo na úrovni předchozích let, to však neplatilo o celkových tocích peněz na FÚ. Nejvýraznější položkou působící ve směru přebytku FÚ se stala rezervní aktiva, která se v 1. čtvrtletí zvýšila o 1 119 mld. korun. To je více než sedminásobek hodnoty ve stejném období roku 2016 a dvojnásobek hodnoty za</w:t>
            </w:r>
            <w:r w:rsidR="00D74E97">
              <w:t> </w:t>
            </w:r>
            <w:r>
              <w:t>celý rok 2016. Příliv přímých investic ze zahraničí ve výši 5</w:t>
            </w:r>
            <w:r w:rsidR="008054FB">
              <w:t>9</w:t>
            </w:r>
            <w:r>
              <w:t>,</w:t>
            </w:r>
            <w:r w:rsidR="008054FB">
              <w:t>1 mld. korun vedl k deficitu 54,0</w:t>
            </w:r>
            <w:r>
              <w:t xml:space="preserve"> mld., jehož hodnota byla vyšší, než je v tomto období obvyklé, ale ve srovnání s ostatními položkami FÚ byla méně významná. Hlavními faktory působícími ve směru deficitu FÚ tak byly portfoliové investice a ostatní investice.</w:t>
            </w:r>
          </w:p>
          <w:p w:rsidR="006647AD" w:rsidRPr="003D27BF" w:rsidRDefault="006647AD" w:rsidP="00134DFD">
            <w:pPr>
              <w:pStyle w:val="Textpoznpodarou"/>
              <w:jc w:val="both"/>
              <w:rPr>
                <w:sz w:val="14"/>
                <w:szCs w:val="14"/>
              </w:rPr>
            </w:pPr>
            <w:r>
              <w:t xml:space="preserve"> </w:t>
            </w:r>
          </w:p>
        </w:tc>
      </w:tr>
      <w:tr w:rsidR="006647AD" w:rsidRPr="00A74192" w:rsidTr="008F1638">
        <w:tc>
          <w:tcPr>
            <w:tcW w:w="1015" w:type="pct"/>
          </w:tcPr>
          <w:p w:rsidR="006647AD" w:rsidRPr="001841D7" w:rsidRDefault="006647AD" w:rsidP="00134DFD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497294">
              <w:rPr>
                <w:sz w:val="16"/>
                <w:szCs w:val="16"/>
              </w:rPr>
              <w:t>Příliv portfoliových investic byl spojen s výrazným nárůstem objemu domácích dluhopisů v rukou nerezidentů.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 w:rsidRPr="0017557E">
              <w:t>Čistý příliv portfoliových investic v 1. čtvrtletí 2017 činil 4</w:t>
            </w:r>
            <w:r w:rsidR="008054FB">
              <w:t>45,6</w:t>
            </w:r>
            <w:r w:rsidRPr="0017557E">
              <w:t xml:space="preserve"> mld. korun. To</w:t>
            </w:r>
            <w:r w:rsidR="00CB2B15">
              <w:t> </w:t>
            </w:r>
            <w:r w:rsidRPr="0017557E">
              <w:t>odpovídá de</w:t>
            </w:r>
            <w:r w:rsidR="002D6B11">
              <w:t>seti</w:t>
            </w:r>
            <w:r w:rsidRPr="0017557E">
              <w:t>násobku hodnoty z 1. čtvrtletí 2016</w:t>
            </w:r>
            <w:r>
              <w:t xml:space="preserve"> a 2,</w:t>
            </w:r>
            <w:r w:rsidR="002D6B11">
              <w:t>6</w:t>
            </w:r>
            <w:r>
              <w:t>násobku přílivu za</w:t>
            </w:r>
            <w:r w:rsidR="00D74E97">
              <w:t> </w:t>
            </w:r>
            <w:r>
              <w:t>celý rok 2016. Stály za tím téměř výhradně dluhové cenné papíry, kterých zahraniční držitelé nakoupili za 4</w:t>
            </w:r>
            <w:r w:rsidR="002D6B11">
              <w:t>37,2</w:t>
            </w:r>
            <w:r>
              <w:t xml:space="preserve"> mld. korun. Z velké části šlo o dluhopisy vládních institucí (3</w:t>
            </w:r>
            <w:r w:rsidR="002D6B11">
              <w:t>57,3</w:t>
            </w:r>
            <w:r>
              <w:t xml:space="preserve"> mld. korun, více než pětinásobek 1. čtvrtletí 2016). Ve</w:t>
            </w:r>
            <w:r w:rsidR="00CB2B15">
              <w:t> </w:t>
            </w:r>
            <w:r>
              <w:t xml:space="preserve">struktuře držitelů domácích dluhopisů se tak výrazně zvýšil podíl zahraničních držitelů. Podle dat MF bylo na konci března 47,26 % korunových dluhopisu v rukou nerezidentů (v prosinci 2016 to bylo 31,56 %). Položka ostatních investic v 1. čtvrtletí 2017 skončila v deficitu </w:t>
            </w:r>
            <w:r w:rsidR="002D6B11">
              <w:t>581,5</w:t>
            </w:r>
            <w:r>
              <w:t xml:space="preserve"> mld. korun (ve stejném období roku 2016 to byl přebytek 13,7 mld.).</w:t>
            </w:r>
          </w:p>
          <w:p w:rsidR="006647AD" w:rsidRPr="003D27BF" w:rsidRDefault="006647AD" w:rsidP="00134DFD">
            <w:pPr>
              <w:pStyle w:val="Textpoznpodarou"/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FC6DB5" w:rsidRPr="006647AD" w:rsidTr="008F1638">
        <w:tc>
          <w:tcPr>
            <w:tcW w:w="1015" w:type="pct"/>
          </w:tcPr>
          <w:p w:rsidR="00FC6DB5" w:rsidRPr="006647AD" w:rsidRDefault="00FC6DB5" w:rsidP="006647AD">
            <w:pPr>
              <w:spacing w:line="240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4" w:type="pct"/>
          </w:tcPr>
          <w:p w:rsidR="00FC6DB5" w:rsidRPr="006647AD" w:rsidRDefault="00FC6DB5" w:rsidP="00D94859">
            <w:pPr>
              <w:pStyle w:val="Textpoznpodarou"/>
              <w:rPr>
                <w:color w:val="FF0000"/>
              </w:rPr>
            </w:pPr>
          </w:p>
        </w:tc>
        <w:tc>
          <w:tcPr>
            <w:tcW w:w="580" w:type="pct"/>
          </w:tcPr>
          <w:p w:rsidR="00FC6DB5" w:rsidRPr="006647AD" w:rsidRDefault="00FC6DB5" w:rsidP="006647AD">
            <w:pPr>
              <w:pStyle w:val="Textpoznpodarou"/>
              <w:rPr>
                <w:color w:val="FF0000"/>
                <w:highlight w:val="yellow"/>
              </w:rPr>
            </w:pPr>
            <w:r w:rsidRPr="006647AD">
              <w:t>Graf č. 9</w:t>
            </w:r>
          </w:p>
        </w:tc>
        <w:tc>
          <w:tcPr>
            <w:tcW w:w="3261" w:type="pct"/>
            <w:gridSpan w:val="3"/>
          </w:tcPr>
          <w:p w:rsidR="00FC6DB5" w:rsidRPr="006647AD" w:rsidRDefault="00FC6DB5" w:rsidP="00ED2B0B">
            <w:pPr>
              <w:pStyle w:val="Textpoznpodarou"/>
              <w:jc w:val="both"/>
              <w:rPr>
                <w:color w:val="FF0000"/>
                <w:highlight w:val="yellow"/>
              </w:rPr>
            </w:pPr>
            <w:r w:rsidRPr="006647AD">
              <w:rPr>
                <w:b/>
              </w:rPr>
              <w:t xml:space="preserve">Běžný účet platební bilance </w:t>
            </w:r>
            <w:r w:rsidRPr="006647AD">
              <w:t>(1. čtvrtletí v mld. korun)</w:t>
            </w:r>
          </w:p>
        </w:tc>
      </w:tr>
      <w:tr w:rsidR="006647AD" w:rsidRPr="00A74192" w:rsidTr="008F1638">
        <w:tc>
          <w:tcPr>
            <w:tcW w:w="1015" w:type="pct"/>
          </w:tcPr>
          <w:p w:rsidR="006647AD" w:rsidRPr="002804BB" w:rsidRDefault="006647AD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6647AD" w:rsidRPr="00A74192" w:rsidRDefault="006647AD" w:rsidP="00D94859">
            <w:pPr>
              <w:pStyle w:val="Textpoznpodarou"/>
              <w:rPr>
                <w:color w:val="FF0000"/>
              </w:rPr>
            </w:pPr>
          </w:p>
        </w:tc>
        <w:tc>
          <w:tcPr>
            <w:tcW w:w="3841" w:type="pct"/>
            <w:gridSpan w:val="4"/>
          </w:tcPr>
          <w:p w:rsidR="006647AD" w:rsidRPr="006647AD" w:rsidRDefault="000921B6" w:rsidP="006647AD">
            <w:pPr>
              <w:pStyle w:val="Textpoznpodarou"/>
              <w:ind w:left="-73"/>
              <w:jc w:val="both"/>
              <w:rPr>
                <w:sz w:val="16"/>
                <w:highlight w:val="yellow"/>
              </w:rPr>
            </w:pPr>
            <w:r w:rsidRPr="000921B6">
              <w:rPr>
                <w:noProof/>
                <w:sz w:val="16"/>
              </w:rPr>
              <w:drawing>
                <wp:inline distT="0" distB="0" distL="0" distR="0">
                  <wp:extent cx="4737600" cy="3553200"/>
                  <wp:effectExtent l="0" t="0" r="0" b="0"/>
                  <wp:docPr id="3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901CC" w:rsidRPr="003D27BF" w:rsidRDefault="006647AD" w:rsidP="003D27BF">
            <w:pPr>
              <w:pStyle w:val="Textpoznpodarou"/>
              <w:ind w:left="-73"/>
              <w:jc w:val="right"/>
              <w:rPr>
                <w:sz w:val="14"/>
                <w:szCs w:val="14"/>
              </w:rPr>
            </w:pPr>
            <w:r w:rsidRPr="000921B6">
              <w:rPr>
                <w:sz w:val="14"/>
                <w:szCs w:val="14"/>
              </w:rPr>
              <w:t>Zdroj: ČNB</w:t>
            </w:r>
          </w:p>
        </w:tc>
      </w:tr>
      <w:tr w:rsidR="006647AD" w:rsidRPr="00A74192" w:rsidTr="008F1638">
        <w:tc>
          <w:tcPr>
            <w:tcW w:w="1015" w:type="pct"/>
          </w:tcPr>
          <w:p w:rsidR="006647AD" w:rsidRPr="001841D7" w:rsidRDefault="006647AD" w:rsidP="00134DFD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497294">
              <w:rPr>
                <w:sz w:val="16"/>
                <w:szCs w:val="16"/>
              </w:rPr>
              <w:lastRenderedPageBreak/>
              <w:t>Meziroční růst českého exportu z</w:t>
            </w:r>
            <w:r>
              <w:rPr>
                <w:sz w:val="16"/>
                <w:szCs w:val="16"/>
              </w:rPr>
              <w:t>r</w:t>
            </w:r>
            <w:r w:rsidRPr="00497294">
              <w:rPr>
                <w:sz w:val="16"/>
                <w:szCs w:val="16"/>
              </w:rPr>
              <w:t>ychlil.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 w:rsidRPr="00C2133F">
              <w:t xml:space="preserve">Hodnota vývozu v 1. čtvrtletí 2017 dosáhla </w:t>
            </w:r>
            <w:r>
              <w:t>898,0 mld. korun</w:t>
            </w:r>
            <w:r w:rsidRPr="00A74192">
              <w:rPr>
                <w:rStyle w:val="Znakapoznpodarou"/>
              </w:rPr>
              <w:footnoteReference w:id="1"/>
            </w:r>
            <w:r w:rsidRPr="00C2133F">
              <w:t xml:space="preserve"> a </w:t>
            </w:r>
            <w:r>
              <w:t xml:space="preserve">export </w:t>
            </w:r>
            <w:r w:rsidRPr="00C2133F">
              <w:t xml:space="preserve">překonal stejné období předchozího roku o </w:t>
            </w:r>
            <w:r>
              <w:t xml:space="preserve">68,0 </w:t>
            </w:r>
            <w:r w:rsidRPr="00C2133F">
              <w:t>mld</w:t>
            </w:r>
            <w:r>
              <w:t>. korun</w:t>
            </w:r>
            <w:r w:rsidRPr="00C2133F">
              <w:t>.</w:t>
            </w:r>
            <w:r>
              <w:t xml:space="preserve"> </w:t>
            </w:r>
            <w:r w:rsidRPr="00C2133F">
              <w:t xml:space="preserve">Meziroční růst hodnoty exportu dosáhl </w:t>
            </w:r>
            <w:r>
              <w:t xml:space="preserve">8,2 </w:t>
            </w:r>
            <w:r w:rsidRPr="00C2133F">
              <w:t xml:space="preserve">%. </w:t>
            </w:r>
            <w:r>
              <w:t>Převýšen byl i mimořádně silný výsledek 2. čtvrtletí roku 2016 o</w:t>
            </w:r>
            <w:r w:rsidR="007240C5">
              <w:t> </w:t>
            </w:r>
            <w:r>
              <w:t xml:space="preserve">35,5 mld. korun. Český vývoz tak po útlumu v 2. polovině roku 2016 nabral nový dech, meziroční přírůstek byl nejvyšší od 4. čtvrtletí 2014. </w:t>
            </w:r>
          </w:p>
          <w:p w:rsidR="006647AD" w:rsidRPr="00365E26" w:rsidRDefault="006647AD" w:rsidP="00134DFD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647AD" w:rsidRPr="00A74192" w:rsidTr="008F1638">
        <w:tc>
          <w:tcPr>
            <w:tcW w:w="1015" w:type="pct"/>
          </w:tcPr>
          <w:p w:rsidR="006647AD" w:rsidRPr="001841D7" w:rsidRDefault="006647AD" w:rsidP="00B25E31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F35066">
              <w:rPr>
                <w:sz w:val="16"/>
                <w:szCs w:val="16"/>
              </w:rPr>
              <w:t>Klesl vývoz na Slovensko. Export do</w:t>
            </w:r>
            <w:r w:rsidR="00B25E31">
              <w:rPr>
                <w:sz w:val="16"/>
                <w:szCs w:val="16"/>
              </w:rPr>
              <w:t> </w:t>
            </w:r>
            <w:r w:rsidRPr="00F35066">
              <w:rPr>
                <w:sz w:val="16"/>
                <w:szCs w:val="16"/>
              </w:rPr>
              <w:t>Ruska meziročně vzrostl, nevrátil se však zatím na hodnoty před rokem 2014.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Pr="00813CB4" w:rsidRDefault="006647AD" w:rsidP="00134DFD">
            <w:pPr>
              <w:pStyle w:val="Textpoznpodarou"/>
              <w:jc w:val="both"/>
              <w:rPr>
                <w:spacing w:val="-3"/>
                <w:sz w:val="16"/>
                <w:szCs w:val="16"/>
              </w:rPr>
            </w:pPr>
            <w:r w:rsidRPr="00813CB4">
              <w:rPr>
                <w:spacing w:val="-3"/>
              </w:rPr>
              <w:t>Teritoriální struktura exportu zůstává nezměněna. Největší podíl vývozu (84</w:t>
            </w:r>
            <w:r w:rsidR="00362408">
              <w:rPr>
                <w:spacing w:val="-3"/>
              </w:rPr>
              <w:t>,0</w:t>
            </w:r>
            <w:r w:rsidRPr="00813CB4">
              <w:rPr>
                <w:spacing w:val="-3"/>
              </w:rPr>
              <w:t xml:space="preserve"> %) míří do EU a v porovnání s předchozím čtvrtletím se mírně zvýšil, což je pravidelný úkaz. Posílený růst celkového exportu souvisel s nárůstem exportu do jednotlivých teritorií. </w:t>
            </w:r>
            <w:r w:rsidR="00362408">
              <w:rPr>
                <w:spacing w:val="-3"/>
              </w:rPr>
              <w:t>Vývoz</w:t>
            </w:r>
            <w:r w:rsidRPr="00813CB4">
              <w:rPr>
                <w:spacing w:val="-3"/>
              </w:rPr>
              <w:t xml:space="preserve"> do EU se meziročně zvýšil o 7,0 %, export mimo EU dokonce o</w:t>
            </w:r>
            <w:r w:rsidR="00362408">
              <w:rPr>
                <w:spacing w:val="-3"/>
              </w:rPr>
              <w:t> </w:t>
            </w:r>
            <w:r w:rsidRPr="00813CB4">
              <w:rPr>
                <w:spacing w:val="-3"/>
              </w:rPr>
              <w:t>14,9</w:t>
            </w:r>
            <w:r w:rsidR="00362408">
              <w:rPr>
                <w:spacing w:val="-3"/>
              </w:rPr>
              <w:t> </w:t>
            </w:r>
            <w:r w:rsidRPr="00813CB4">
              <w:rPr>
                <w:spacing w:val="-3"/>
              </w:rPr>
              <w:t>%. Meziroční růst vývozu do Německa po nevýrazném roku 2016 posílil na</w:t>
            </w:r>
            <w:r w:rsidR="00362408">
              <w:rPr>
                <w:spacing w:val="-3"/>
              </w:rPr>
              <w:t> </w:t>
            </w:r>
            <w:r w:rsidRPr="00813CB4">
              <w:rPr>
                <w:spacing w:val="-3"/>
              </w:rPr>
              <w:t>8,5 % v 1. čtvrtletí 2017. Prudce vzrostl vývoz do Polska (14,9 %) a Rakouska (15,2 %). Dařilo se i vývozu do Francie (+11,8 %), u kterého se neprojevil ani útlum minulého roku. Naopak pokračuje prudký pokles exportu na</w:t>
            </w:r>
            <w:r w:rsidR="00362408">
              <w:rPr>
                <w:spacing w:val="-3"/>
              </w:rPr>
              <w:t xml:space="preserve"> </w:t>
            </w:r>
            <w:r w:rsidRPr="00813CB4">
              <w:rPr>
                <w:spacing w:val="-3"/>
              </w:rPr>
              <w:t>Slovensko</w:t>
            </w:r>
            <w:r w:rsidR="00362408">
              <w:rPr>
                <w:spacing w:val="-3"/>
              </w:rPr>
              <w:t xml:space="preserve"> </w:t>
            </w:r>
            <w:r w:rsidRPr="00813CB4">
              <w:rPr>
                <w:spacing w:val="-3"/>
              </w:rPr>
              <w:t>(-9,9 %). Tento propad se podepsal i na poklesu podílu vývozu na</w:t>
            </w:r>
            <w:r w:rsidR="00CB2B15" w:rsidRPr="00813CB4">
              <w:rPr>
                <w:spacing w:val="-3"/>
              </w:rPr>
              <w:t> </w:t>
            </w:r>
            <w:r w:rsidRPr="00813CB4">
              <w:rPr>
                <w:spacing w:val="-3"/>
              </w:rPr>
              <w:t>Slovensko na celkovém exportu, který v 1. čtvrtletí 2017 činil 8,6 % a byl tak nejnižší od 1. čtvrtletí roku 2007. Vývoz do Ruska vzrostl meziročně o 30,4 %, za</w:t>
            </w:r>
            <w:r w:rsidR="00CB2B15" w:rsidRPr="00813CB4">
              <w:rPr>
                <w:spacing w:val="-3"/>
              </w:rPr>
              <w:t> </w:t>
            </w:r>
            <w:r w:rsidRPr="00813CB4">
              <w:rPr>
                <w:spacing w:val="-3"/>
              </w:rPr>
              <w:t>úrovní před uvalením hospodářských sankcí však stále zaostává (10 mld. korun).</w:t>
            </w:r>
          </w:p>
          <w:p w:rsidR="006647AD" w:rsidRPr="00365E26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6647AD" w:rsidRPr="00A74192" w:rsidTr="008F1638">
        <w:tc>
          <w:tcPr>
            <w:tcW w:w="1015" w:type="pct"/>
          </w:tcPr>
          <w:p w:rsidR="006647AD" w:rsidRPr="001841D7" w:rsidRDefault="006647AD" w:rsidP="00B25E31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F35066">
              <w:rPr>
                <w:sz w:val="16"/>
                <w:szCs w:val="16"/>
              </w:rPr>
              <w:t>Opět zrychlil růst exportu motorových vozidel. Hodnota vývozu chemických výrobků a</w:t>
            </w:r>
            <w:r w:rsidR="00B25E31">
              <w:rPr>
                <w:sz w:val="16"/>
                <w:szCs w:val="16"/>
              </w:rPr>
              <w:t> </w:t>
            </w:r>
            <w:r w:rsidRPr="00F35066">
              <w:rPr>
                <w:sz w:val="16"/>
                <w:szCs w:val="16"/>
              </w:rPr>
              <w:t>přípravků se vrátila na obvyklou úroveň.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Tahounem českého vývozu zůstávají motorová vozidla. Jejich podíl na exportu dosáhl v 1. čtvrtletí 29,5 % a byl nejvyšší v historii. Po dvou slabších (i když v porovnání s ostatními zbožovými oddíly dobrých) čtvrtletích znovu zrychlilo tempo růstu hodnoty vývozu motorových vozidel a dosáhlo 12,2 %. Dařilo </w:t>
            </w:r>
            <w:proofErr w:type="spellStart"/>
            <w:r w:rsidRPr="00362408">
              <w:t>sei</w:t>
            </w:r>
            <w:proofErr w:type="spellEnd"/>
            <w:r w:rsidR="00CB2B15">
              <w:t> </w:t>
            </w:r>
            <w:r>
              <w:t xml:space="preserve">exportu v oddílu stroje a zařízení (meziroční nárůst o 13,2 %). </w:t>
            </w:r>
            <w:r w:rsidR="007240C5">
              <w:t>V 1. čtvrtletí bylo p</w:t>
            </w:r>
            <w:r>
              <w:t>atrné</w:t>
            </w:r>
            <w:r w:rsidR="007240C5">
              <w:t xml:space="preserve"> i oživení </w:t>
            </w:r>
            <w:r>
              <w:t>chemick</w:t>
            </w:r>
            <w:r w:rsidR="007240C5">
              <w:t>ého</w:t>
            </w:r>
            <w:r>
              <w:t xml:space="preserve"> průmysl po výpadku v letech 2015 a 2016. Hodnota vývozu chemických látek a přípravků dosáhla v 1. čtvrtletí 41,2 mld. korun, což odpovídá meziročnímu nárůstu o 18,7 % a hodnotě vývozu před</w:t>
            </w:r>
            <w:r w:rsidR="00362408">
              <w:t> </w:t>
            </w:r>
            <w:r>
              <w:t>havárií výrobních kapacit, která původní útlum zavinila. Po roce útlumu se</w:t>
            </w:r>
            <w:r w:rsidR="00362408">
              <w:t> </w:t>
            </w:r>
            <w:r>
              <w:t>oživil vývoz elektrických zařízení (9,8 %) i pryžových a plastových výrobků (10,5 %). Prudce vzrostl vývoz základních kovů (17,2 %). Zpomalení z konce minulého roku přetrvalo u potravinářských výrobků, kterých se meziročně vyvezlo o 5,2 % méně i u kovodělných výrobků (-12,9 %). Pokračovala stagnace vývozu počítačů, elektronických a optických přístrojů a zařízení.</w:t>
            </w:r>
          </w:p>
          <w:p w:rsidR="006647AD" w:rsidRPr="00365E26" w:rsidRDefault="006647AD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6647AD" w:rsidRPr="00A74192" w:rsidTr="008F1638">
        <w:tc>
          <w:tcPr>
            <w:tcW w:w="1015" w:type="pct"/>
          </w:tcPr>
          <w:p w:rsidR="006647AD" w:rsidRPr="001841D7" w:rsidRDefault="006647AD" w:rsidP="00B25E31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F35066">
              <w:rPr>
                <w:sz w:val="16"/>
                <w:szCs w:val="16"/>
              </w:rPr>
              <w:t>Dynamika dovozu do</w:t>
            </w:r>
            <w:r w:rsidR="00B25E31">
              <w:rPr>
                <w:sz w:val="16"/>
                <w:szCs w:val="16"/>
              </w:rPr>
              <w:t> </w:t>
            </w:r>
            <w:r w:rsidRPr="00F35066">
              <w:rPr>
                <w:sz w:val="16"/>
                <w:szCs w:val="16"/>
              </w:rPr>
              <w:t xml:space="preserve">ČR odrážela rostoucí ceny ropy a zemního plynu. </w:t>
            </w:r>
          </w:p>
        </w:tc>
        <w:tc>
          <w:tcPr>
            <w:tcW w:w="144" w:type="pct"/>
          </w:tcPr>
          <w:p w:rsidR="006647AD" w:rsidRPr="002804BB" w:rsidRDefault="006647AD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6647AD" w:rsidRDefault="00DE1460" w:rsidP="00134DFD">
            <w:pPr>
              <w:pStyle w:val="Textpoznpodarou"/>
              <w:jc w:val="both"/>
            </w:pPr>
            <w:r>
              <w:t>D</w:t>
            </w:r>
            <w:r w:rsidR="006647AD" w:rsidRPr="00C95515">
              <w:t>ovoz do České republiky v 1. čtvrtletí 2017 prudce vzrostl</w:t>
            </w:r>
            <w:r>
              <w:t>. Jeho h</w:t>
            </w:r>
            <w:r w:rsidR="006647AD">
              <w:t xml:space="preserve">odnota </w:t>
            </w:r>
            <w:r>
              <w:t>d</w:t>
            </w:r>
            <w:r w:rsidR="006647AD">
              <w:t>osáhla 835</w:t>
            </w:r>
            <w:r w:rsidR="006647AD" w:rsidRPr="00C95515">
              <w:t>,</w:t>
            </w:r>
            <w:r w:rsidR="006647AD">
              <w:t>8</w:t>
            </w:r>
            <w:r w:rsidR="006647AD" w:rsidRPr="00C95515">
              <w:t xml:space="preserve"> mld. korun a její meziroční </w:t>
            </w:r>
            <w:r w:rsidR="006647AD">
              <w:t>růst</w:t>
            </w:r>
            <w:r w:rsidR="006647AD" w:rsidRPr="00C95515">
              <w:t xml:space="preserve"> se zrychlil na 8,</w:t>
            </w:r>
            <w:r w:rsidR="006647AD">
              <w:t>8</w:t>
            </w:r>
            <w:r w:rsidR="006647AD" w:rsidRPr="00C95515">
              <w:t xml:space="preserve"> %.</w:t>
            </w:r>
            <w:r w:rsidR="006647AD">
              <w:t xml:space="preserve"> Část z tohoto nárůstu lze přisoudit meziročnímu navýšení cen ropy promítají</w:t>
            </w:r>
            <w:r w:rsidR="009742F7">
              <w:t>címu</w:t>
            </w:r>
            <w:r w:rsidR="006647AD">
              <w:t xml:space="preserve"> se do vyjádření dovozu v běžných cenách – hodnota dovozu ropy a</w:t>
            </w:r>
            <w:r w:rsidR="00CB2B15">
              <w:t> </w:t>
            </w:r>
            <w:r w:rsidR="006647AD">
              <w:t>zemního plynu meziročně vzrostla o 34,7 %. Podobné důvody lze hledat i za výrazným nárůstem hodnoty importu koksu a rafinovaných ropných výrobků (17,7 %). Růst dovozu motorových vozidel podpořený domácím ekonomickým růstem po zvolnění v minulém půlroce opět zrychlil (15,9 % v 1. čtvrtletí 2017). Meziroční pokles dovozu pokračoval u</w:t>
            </w:r>
            <w:r w:rsidR="00362408">
              <w:t> </w:t>
            </w:r>
            <w:r w:rsidR="006647AD">
              <w:t>potravinářských výrobků (-3,8 %) a</w:t>
            </w:r>
            <w:r w:rsidR="00CB2B15">
              <w:t> </w:t>
            </w:r>
            <w:r w:rsidR="006647AD">
              <w:t>kovodělných výrobků (-14,9 %). Rostoucí ceny ropy a zemního plynu se promítly i do výsledků dovozu dle teritoriální struktury. Dovoz ze zemí mimo EU meziročně vzrostl o 14,0 %, z toho dovoz z Ruska stoupl o 43,1 %. Dovoz z Německa se meziročně zvýšil o 9,8 %, což je</w:t>
            </w:r>
            <w:r w:rsidR="00362408">
              <w:t> </w:t>
            </w:r>
            <w:r w:rsidR="006647AD">
              <w:t>nejvíce od 3. čtvrtletí roku 2014. Silný byl i nárůst dovozu ze Slovenska (12,9</w:t>
            </w:r>
            <w:r w:rsidR="00362408">
              <w:t> </w:t>
            </w:r>
            <w:r w:rsidR="006647AD">
              <w:t>%) a Rakouska (16,8 %). Do</w:t>
            </w:r>
            <w:r w:rsidR="00CB2B15">
              <w:t> </w:t>
            </w:r>
            <w:r w:rsidR="006647AD">
              <w:t>výrazného poklesu dovozu z Velké Británie (</w:t>
            </w:r>
            <w:r w:rsidR="00362408">
              <w:noBreakHyphen/>
            </w:r>
            <w:r w:rsidR="006647AD">
              <w:t>18,0 %) se promítla vysoká základna stejného období minulého roku</w:t>
            </w:r>
            <w:r>
              <w:t>.</w:t>
            </w: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</w:pPr>
          </w:p>
          <w:p w:rsidR="003D27BF" w:rsidRDefault="003D27BF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  <w:p w:rsidR="003D27BF" w:rsidRDefault="003D27BF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  <w:p w:rsidR="006647AD" w:rsidRPr="00365E26" w:rsidRDefault="006647AD" w:rsidP="00134DFD">
            <w:pPr>
              <w:pStyle w:val="Textpoznpodarou"/>
              <w:jc w:val="both"/>
              <w:rPr>
                <w:sz w:val="14"/>
                <w:szCs w:val="14"/>
                <w:highlight w:val="yellow"/>
              </w:rPr>
            </w:pPr>
          </w:p>
        </w:tc>
      </w:tr>
      <w:tr w:rsidR="00FC6DB5" w:rsidRPr="00A74192" w:rsidTr="008F1638">
        <w:tc>
          <w:tcPr>
            <w:tcW w:w="1015" w:type="pct"/>
          </w:tcPr>
          <w:p w:rsidR="00FC6DB5" w:rsidRPr="002804BB" w:rsidRDefault="00FC6DB5" w:rsidP="006647AD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FC6DB5" w:rsidRPr="00A74192" w:rsidRDefault="00FC6DB5" w:rsidP="00D94859">
            <w:pPr>
              <w:pStyle w:val="Textpoznpodarou"/>
              <w:jc w:val="both"/>
            </w:pPr>
          </w:p>
        </w:tc>
        <w:tc>
          <w:tcPr>
            <w:tcW w:w="653" w:type="pct"/>
            <w:gridSpan w:val="2"/>
          </w:tcPr>
          <w:p w:rsidR="00FC6DB5" w:rsidRPr="00463736" w:rsidRDefault="00FC6DB5" w:rsidP="006647AD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  <w:r w:rsidRPr="00DC4FA6">
              <w:t>Graf č. 10</w:t>
            </w:r>
          </w:p>
        </w:tc>
        <w:tc>
          <w:tcPr>
            <w:tcW w:w="3188" w:type="pct"/>
            <w:gridSpan w:val="2"/>
          </w:tcPr>
          <w:p w:rsidR="00FC6DB5" w:rsidRPr="00463736" w:rsidRDefault="00FC6DB5" w:rsidP="00780DDF">
            <w:pPr>
              <w:pStyle w:val="Textpoznpodarou"/>
              <w:rPr>
                <w:sz w:val="16"/>
                <w:szCs w:val="16"/>
                <w:highlight w:val="yellow"/>
              </w:rPr>
            </w:pPr>
            <w:r w:rsidRPr="00DC4FA6">
              <w:rPr>
                <w:b/>
              </w:rPr>
              <w:t>Bilance zahraničního obchodu</w:t>
            </w:r>
            <w:r w:rsidR="008F1638">
              <w:rPr>
                <w:b/>
              </w:rPr>
              <w:t>*</w:t>
            </w:r>
            <w:r w:rsidRPr="00DC4FA6">
              <w:rPr>
                <w:b/>
              </w:rPr>
              <w:t xml:space="preserve"> v</w:t>
            </w:r>
            <w:r w:rsidR="00780DDF">
              <w:rPr>
                <w:b/>
              </w:rPr>
              <w:t xml:space="preserve">e statistice zahraničního obchodu </w:t>
            </w:r>
            <w:r w:rsidRPr="00ED2B0B">
              <w:t>(1</w:t>
            </w:r>
            <w:r w:rsidRPr="006647AD">
              <w:t>. čtvrtletí</w:t>
            </w:r>
            <w:r>
              <w:t xml:space="preserve">, </w:t>
            </w:r>
            <w:r w:rsidRPr="00DC4FA6">
              <w:t>v mld. korun</w:t>
            </w:r>
            <w:r>
              <w:t>, vybrané oddíly klasifikace CPA</w:t>
            </w:r>
            <w:r w:rsidRPr="00DC4FA6">
              <w:t>)</w:t>
            </w:r>
          </w:p>
        </w:tc>
      </w:tr>
      <w:tr w:rsidR="006647AD" w:rsidRPr="00A74192" w:rsidTr="008F1638">
        <w:tc>
          <w:tcPr>
            <w:tcW w:w="1015" w:type="pct"/>
          </w:tcPr>
          <w:p w:rsidR="006647AD" w:rsidRPr="002804BB" w:rsidRDefault="006647AD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6647AD" w:rsidRPr="00A74192" w:rsidRDefault="006647AD" w:rsidP="00D94859">
            <w:pPr>
              <w:pStyle w:val="Textpoznpodarou"/>
              <w:jc w:val="both"/>
            </w:pPr>
          </w:p>
        </w:tc>
        <w:tc>
          <w:tcPr>
            <w:tcW w:w="3841" w:type="pct"/>
            <w:gridSpan w:val="4"/>
          </w:tcPr>
          <w:p w:rsidR="008F1638" w:rsidRPr="000921B6" w:rsidRDefault="000921B6" w:rsidP="008F1638">
            <w:pPr>
              <w:pStyle w:val="Textpoznpodarou"/>
              <w:ind w:left="-73"/>
              <w:jc w:val="right"/>
              <w:rPr>
                <w:sz w:val="14"/>
                <w:szCs w:val="14"/>
              </w:rPr>
            </w:pPr>
            <w:r w:rsidRPr="000921B6">
              <w:rPr>
                <w:noProof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19050" t="0" r="0" b="0"/>
                  <wp:docPr id="3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F1638" w:rsidRPr="008F1638" w:rsidTr="008F1638">
        <w:tc>
          <w:tcPr>
            <w:tcW w:w="1015" w:type="pct"/>
          </w:tcPr>
          <w:p w:rsidR="008F1638" w:rsidRPr="00F35066" w:rsidRDefault="008F1638" w:rsidP="006260B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8F1638" w:rsidRPr="002804BB" w:rsidRDefault="008F1638" w:rsidP="006260B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1948" w:type="pct"/>
            <w:gridSpan w:val="3"/>
          </w:tcPr>
          <w:p w:rsidR="008F1638" w:rsidRPr="008F1638" w:rsidRDefault="008F1638" w:rsidP="006260B8">
            <w:pPr>
              <w:pStyle w:val="Textpoznpodarou"/>
              <w:jc w:val="both"/>
              <w:rPr>
                <w:sz w:val="14"/>
                <w:szCs w:val="14"/>
              </w:rPr>
            </w:pPr>
            <w:r w:rsidRPr="008F1638">
              <w:rPr>
                <w:sz w:val="14"/>
                <w:szCs w:val="14"/>
              </w:rPr>
              <w:t>*v národním pojetí</w:t>
            </w:r>
          </w:p>
        </w:tc>
        <w:tc>
          <w:tcPr>
            <w:tcW w:w="1893" w:type="pct"/>
          </w:tcPr>
          <w:p w:rsidR="008F1638" w:rsidRDefault="008F1638" w:rsidP="008F1638">
            <w:pPr>
              <w:pStyle w:val="Textpoznpodarou"/>
              <w:jc w:val="right"/>
              <w:rPr>
                <w:sz w:val="14"/>
                <w:szCs w:val="14"/>
              </w:rPr>
            </w:pPr>
            <w:r w:rsidRPr="008F1638">
              <w:rPr>
                <w:sz w:val="14"/>
                <w:szCs w:val="14"/>
              </w:rPr>
              <w:t>Zdroj: ČSÚ</w:t>
            </w:r>
          </w:p>
          <w:p w:rsidR="008F1638" w:rsidRPr="00365E26" w:rsidRDefault="008F1638" w:rsidP="008F1638">
            <w:pPr>
              <w:pStyle w:val="Textpoznpodarou"/>
              <w:jc w:val="right"/>
              <w:rPr>
                <w:sz w:val="16"/>
                <w:szCs w:val="16"/>
              </w:rPr>
            </w:pPr>
          </w:p>
        </w:tc>
      </w:tr>
      <w:tr w:rsidR="008F1638" w:rsidRPr="00A74192" w:rsidTr="008F1638">
        <w:tc>
          <w:tcPr>
            <w:tcW w:w="1015" w:type="pct"/>
          </w:tcPr>
          <w:p w:rsidR="008F1638" w:rsidRPr="001841D7" w:rsidRDefault="008F1638" w:rsidP="00B25E31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F35066">
              <w:rPr>
                <w:sz w:val="16"/>
                <w:szCs w:val="16"/>
              </w:rPr>
              <w:t>Přetrvala kladná bilance zahraničního obchodu i</w:t>
            </w:r>
            <w:r w:rsidR="00B25E31">
              <w:rPr>
                <w:sz w:val="16"/>
                <w:szCs w:val="16"/>
              </w:rPr>
              <w:t> </w:t>
            </w:r>
            <w:r w:rsidRPr="00F35066">
              <w:rPr>
                <w:sz w:val="16"/>
                <w:szCs w:val="16"/>
              </w:rPr>
              <w:t>přes prohloubení záporného salda se zeměmi mimo EU.</w:t>
            </w:r>
          </w:p>
        </w:tc>
        <w:tc>
          <w:tcPr>
            <w:tcW w:w="144" w:type="pct"/>
          </w:tcPr>
          <w:p w:rsidR="008F1638" w:rsidRPr="002804BB" w:rsidRDefault="008F1638" w:rsidP="006260B8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1" w:type="pct"/>
            <w:gridSpan w:val="4"/>
          </w:tcPr>
          <w:p w:rsidR="008F1638" w:rsidRPr="00365E26" w:rsidRDefault="008F1638" w:rsidP="006260B8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  <w:r w:rsidRPr="00365E26">
              <w:rPr>
                <w:spacing w:val="-2"/>
              </w:rPr>
              <w:t>Bilance zahraničního obchodu</w:t>
            </w:r>
            <w:r w:rsidRPr="00365E26">
              <w:rPr>
                <w:rStyle w:val="Znakapoznpodarou"/>
                <w:spacing w:val="-2"/>
              </w:rPr>
              <w:footnoteReference w:id="2"/>
            </w:r>
            <w:r w:rsidRPr="00365E26">
              <w:rPr>
                <w:spacing w:val="-2"/>
              </w:rPr>
              <w:t xml:space="preserve"> zůstává kladná. Přebytek v 1. čtvrtletí 2017 dosáhl 62,3 mld. korun a meziročně se zvýšil o 0,5 mld. Kladná zůstala bilance se</w:t>
            </w:r>
            <w:r w:rsidR="00362408" w:rsidRPr="00365E26">
              <w:rPr>
                <w:spacing w:val="-2"/>
              </w:rPr>
              <w:t> </w:t>
            </w:r>
            <w:r w:rsidRPr="00365E26">
              <w:rPr>
                <w:spacing w:val="-2"/>
              </w:rPr>
              <w:t>státy EU (186,1 mld. korun), která se meziročně zvýšila o 14,0 mld. korun. Naopak prohloubení deficitu o 13,6 mld. korun nastalo u výsledků bilance obchodu se státy mimo EU, do k</w:t>
            </w:r>
            <w:r w:rsidR="009742F7" w:rsidRPr="00365E26">
              <w:rPr>
                <w:spacing w:val="-2"/>
              </w:rPr>
              <w:t>terých se promítlo zvýšení cen</w:t>
            </w:r>
            <w:r w:rsidRPr="00365E26">
              <w:rPr>
                <w:spacing w:val="-2"/>
              </w:rPr>
              <w:t xml:space="preserve"> ropy a zemního plynu. To potvrzuje výsledek obchodu s Ruskem, který skončil v deficitu 11,1 mld. korun, což je prohloubení o 4,5 mld. oproti stejnému období minulého roku. Prakticky nezměněn zůstává deficit obchodu s Čínou, který je dlouhodobě vysoký a v 1. čtvrtletí 2017 dosáhl 69,9 mld. korun. Přetrvává záporné saldo bilance s Polskem, které se sice meziročně snížilo o 10,9 mld. korun, jde však jen o</w:t>
            </w:r>
            <w:r w:rsidR="00362408" w:rsidRPr="00365E26">
              <w:rPr>
                <w:spacing w:val="-2"/>
              </w:rPr>
              <w:t> </w:t>
            </w:r>
            <w:r w:rsidRPr="00365E26">
              <w:rPr>
                <w:spacing w:val="-2"/>
              </w:rPr>
              <w:t>návrat na dlouhodobý průměr. O 13,6 mld. korun se meziročně snížil přebytek obchodu se Slovenskem.</w:t>
            </w:r>
          </w:p>
        </w:tc>
      </w:tr>
    </w:tbl>
    <w:p w:rsidR="008A03DE" w:rsidRPr="00CE7158" w:rsidRDefault="008A03DE" w:rsidP="003D27BF">
      <w:pPr>
        <w:pStyle w:val="Nadpis1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3D27B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E9" w:rsidRDefault="001804E9" w:rsidP="00E71A58">
      <w:r>
        <w:separator/>
      </w:r>
    </w:p>
  </w:endnote>
  <w:endnote w:type="continuationSeparator" w:id="0">
    <w:p w:rsidR="001804E9" w:rsidRDefault="001804E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E4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F1E41" w:rsidRPr="005A21E0">
      <w:rPr>
        <w:rFonts w:ascii="Arial" w:hAnsi="Arial" w:cs="Arial"/>
        <w:sz w:val="16"/>
        <w:szCs w:val="16"/>
      </w:rPr>
      <w:fldChar w:fldCharType="separate"/>
    </w:r>
    <w:r w:rsidR="003D27BF">
      <w:rPr>
        <w:rFonts w:ascii="Arial" w:hAnsi="Arial" w:cs="Arial"/>
        <w:noProof/>
        <w:sz w:val="16"/>
        <w:szCs w:val="16"/>
      </w:rPr>
      <w:t>14</w:t>
    </w:r>
    <w:r w:rsidR="000F1E4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0F1E41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F1E41" w:rsidRPr="00223E00">
      <w:rPr>
        <w:rFonts w:ascii="Arial" w:hAnsi="Arial" w:cs="Arial"/>
        <w:sz w:val="16"/>
        <w:szCs w:val="16"/>
      </w:rPr>
      <w:fldChar w:fldCharType="separate"/>
    </w:r>
    <w:r w:rsidR="003D27BF">
      <w:rPr>
        <w:rFonts w:ascii="Arial" w:hAnsi="Arial" w:cs="Arial"/>
        <w:noProof/>
        <w:sz w:val="16"/>
        <w:szCs w:val="16"/>
      </w:rPr>
      <w:t>15</w:t>
    </w:r>
    <w:r w:rsidR="000F1E41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E9" w:rsidRDefault="001804E9" w:rsidP="00E71A58">
      <w:r>
        <w:separator/>
      </w:r>
    </w:p>
  </w:footnote>
  <w:footnote w:type="continuationSeparator" w:id="0">
    <w:p w:rsidR="001804E9" w:rsidRDefault="001804E9" w:rsidP="00E71A58">
      <w:r>
        <w:continuationSeparator/>
      </w:r>
    </w:p>
  </w:footnote>
  <w:footnote w:id="1">
    <w:p w:rsidR="00D667A0" w:rsidRPr="003279A7" w:rsidRDefault="00D667A0" w:rsidP="00134DFD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6</w:t>
      </w:r>
      <w:r w:rsidRPr="003279A7">
        <w:rPr>
          <w:sz w:val="16"/>
          <w:szCs w:val="16"/>
        </w:rPr>
        <w:t xml:space="preserve">. </w:t>
      </w:r>
      <w:r>
        <w:rPr>
          <w:sz w:val="16"/>
          <w:szCs w:val="16"/>
        </w:rPr>
        <w:t>6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2017.</w:t>
      </w:r>
      <w:r w:rsidRPr="003279A7">
        <w:rPr>
          <w:sz w:val="16"/>
          <w:szCs w:val="16"/>
        </w:rPr>
        <w:t xml:space="preserve">  </w:t>
      </w:r>
    </w:p>
  </w:footnote>
  <w:footnote w:id="2">
    <w:p w:rsidR="00D667A0" w:rsidRDefault="00D667A0" w:rsidP="00780D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79A7">
        <w:rPr>
          <w:sz w:val="16"/>
          <w:szCs w:val="16"/>
        </w:rPr>
        <w:t xml:space="preserve">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</w:t>
      </w:r>
      <w:r>
        <w:rPr>
          <w:sz w:val="16"/>
          <w:szCs w:val="16"/>
        </w:rPr>
        <w:t xml:space="preserve"> v ocenění FOB (vývoz) a CIF (dovoz).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1C37"/>
    <w:multiLevelType w:val="hybridMultilevel"/>
    <w:tmpl w:val="DB4ECF2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  <w:num w:numId="17">
    <w:abstractNumId w:val="4"/>
  </w:num>
  <w:num w:numId="18">
    <w:abstractNumId w:val="18"/>
  </w:num>
  <w:num w:numId="19">
    <w:abstractNumId w:val="7"/>
  </w:num>
  <w:num w:numId="2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1E41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4E9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7BF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2D98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E7DB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9865404755440813E-2"/>
          <c:y val="3.3960026067356604E-2"/>
          <c:w val="0.90126857480580858"/>
          <c:h val="0.76523595142862644"/>
        </c:manualLayout>
      </c:layout>
      <c:barChart>
        <c:barDir val="col"/>
        <c:grouping val="stacked"/>
        <c:ser>
          <c:idx val="1"/>
          <c:order val="1"/>
          <c:tx>
            <c:strRef>
              <c:f>'Vnější vztahy 1'!$C$5</c:f>
              <c:strCache>
                <c:ptCount val="1"/>
                <c:pt idx="0">
                  <c:v>Saldo druhotných důchodů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val>
            <c:numRef>
              <c:f>'Vnější vztahy 1'!$C$6:$C$15</c:f>
              <c:numCache>
                <c:formatCode>0.0</c:formatCode>
                <c:ptCount val="10"/>
                <c:pt idx="0">
                  <c:v>-6.8124999999999956</c:v>
                </c:pt>
                <c:pt idx="1">
                  <c:v>-3.661</c:v>
                </c:pt>
                <c:pt idx="2">
                  <c:v>-11.331300000000001</c:v>
                </c:pt>
                <c:pt idx="3">
                  <c:v>-13.369500000000059</c:v>
                </c:pt>
                <c:pt idx="4">
                  <c:v>-18.2575</c:v>
                </c:pt>
                <c:pt idx="5">
                  <c:v>-11.2797</c:v>
                </c:pt>
                <c:pt idx="6">
                  <c:v>-16.092599999999873</c:v>
                </c:pt>
                <c:pt idx="7">
                  <c:v>14.4039</c:v>
                </c:pt>
                <c:pt idx="8">
                  <c:v>6.8327</c:v>
                </c:pt>
                <c:pt idx="9" formatCode="General">
                  <c:v>-15.028899999999998</c:v>
                </c:pt>
              </c:numCache>
            </c:numRef>
          </c:val>
        </c:ser>
        <c:ser>
          <c:idx val="2"/>
          <c:order val="2"/>
          <c:tx>
            <c:strRef>
              <c:f>'Vnější vztahy 1'!$D$5</c:f>
              <c:strCache>
                <c:ptCount val="1"/>
                <c:pt idx="0">
                  <c:v>Saldo prvotních důchodů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val>
            <c:numRef>
              <c:f>'Vnější vztahy 1'!$D$6:$D$15</c:f>
              <c:numCache>
                <c:formatCode>0.0</c:formatCode>
                <c:ptCount val="10"/>
                <c:pt idx="0">
                  <c:v>4.7927</c:v>
                </c:pt>
                <c:pt idx="1">
                  <c:v>-23.289299999999873</c:v>
                </c:pt>
                <c:pt idx="2">
                  <c:v>-11.908800000000001</c:v>
                </c:pt>
                <c:pt idx="3">
                  <c:v>2.7157999999999998</c:v>
                </c:pt>
                <c:pt idx="4">
                  <c:v>-23.082599999999832</c:v>
                </c:pt>
                <c:pt idx="5">
                  <c:v>-42.281400000000005</c:v>
                </c:pt>
                <c:pt idx="6">
                  <c:v>6.7054</c:v>
                </c:pt>
                <c:pt idx="7">
                  <c:v>-14.589</c:v>
                </c:pt>
                <c:pt idx="8">
                  <c:v>-5.1442999999999985</c:v>
                </c:pt>
                <c:pt idx="9" formatCode="General">
                  <c:v>-2.2536</c:v>
                </c:pt>
              </c:numCache>
            </c:numRef>
          </c:val>
        </c:ser>
        <c:ser>
          <c:idx val="3"/>
          <c:order val="3"/>
          <c:tx>
            <c:strRef>
              <c:f>'Vnější vztahy 1'!$E$5</c:f>
              <c:strCache>
                <c:ptCount val="1"/>
                <c:pt idx="0">
                  <c:v>Bilance zboží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val>
            <c:numRef>
              <c:f>'Vnější vztahy 1'!$E$6:$E$15</c:f>
              <c:numCache>
                <c:formatCode>0.0</c:formatCode>
                <c:ptCount val="10"/>
                <c:pt idx="0">
                  <c:v>9.2260999999999989</c:v>
                </c:pt>
                <c:pt idx="1">
                  <c:v>19.101900000000107</c:v>
                </c:pt>
                <c:pt idx="2">
                  <c:v>31.462399999999825</c:v>
                </c:pt>
                <c:pt idx="3">
                  <c:v>28.994</c:v>
                </c:pt>
                <c:pt idx="4">
                  <c:v>43.281300000000002</c:v>
                </c:pt>
                <c:pt idx="5">
                  <c:v>48.3553</c:v>
                </c:pt>
                <c:pt idx="6">
                  <c:v>71.628599999999949</c:v>
                </c:pt>
                <c:pt idx="7">
                  <c:v>74.35939999999998</c:v>
                </c:pt>
                <c:pt idx="8">
                  <c:v>83.718800000000002</c:v>
                </c:pt>
                <c:pt idx="9" formatCode="General">
                  <c:v>83.789199999999994</c:v>
                </c:pt>
              </c:numCache>
            </c:numRef>
          </c:val>
        </c:ser>
        <c:ser>
          <c:idx val="4"/>
          <c:order val="4"/>
          <c:tx>
            <c:strRef>
              <c:f>'Vnější vztahy 1'!$F$5</c:f>
              <c:strCache>
                <c:ptCount val="1"/>
                <c:pt idx="0">
                  <c:v>Bilance služeb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val>
            <c:numRef>
              <c:f>'Vnější vztahy 1'!$F$6:$F$15</c:f>
              <c:numCache>
                <c:formatCode>0.0</c:formatCode>
                <c:ptCount val="10"/>
                <c:pt idx="0">
                  <c:v>21.84559999999987</c:v>
                </c:pt>
                <c:pt idx="1">
                  <c:v>19.572299999999888</c:v>
                </c:pt>
                <c:pt idx="2">
                  <c:v>18.783499999999858</c:v>
                </c:pt>
                <c:pt idx="3">
                  <c:v>17.2395</c:v>
                </c:pt>
                <c:pt idx="4">
                  <c:v>23.478399999999869</c:v>
                </c:pt>
                <c:pt idx="5">
                  <c:v>21.701499999999989</c:v>
                </c:pt>
                <c:pt idx="6">
                  <c:v>19.636099999999999</c:v>
                </c:pt>
                <c:pt idx="7">
                  <c:v>19.192299999999989</c:v>
                </c:pt>
                <c:pt idx="8">
                  <c:v>24.493599999999866</c:v>
                </c:pt>
                <c:pt idx="9" formatCode="General">
                  <c:v>28.038700000000002</c:v>
                </c:pt>
              </c:numCache>
            </c:numRef>
          </c:val>
        </c:ser>
        <c:gapWidth val="60"/>
        <c:overlap val="100"/>
        <c:axId val="77449856"/>
        <c:axId val="77455744"/>
      </c:barChart>
      <c:lineChart>
        <c:grouping val="standard"/>
        <c:ser>
          <c:idx val="0"/>
          <c:order val="0"/>
          <c:tx>
            <c:strRef>
              <c:f>'Vnější vztahy 1'!$B$5</c:f>
              <c:strCache>
                <c:ptCount val="1"/>
                <c:pt idx="0">
                  <c:v>Běžný účet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'Vnější vztahy 1'!$A$6:$A$15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'Vnější vztahy 1'!$B$6:$B$15</c:f>
              <c:numCache>
                <c:formatCode>0.0</c:formatCode>
                <c:ptCount val="10"/>
                <c:pt idx="0">
                  <c:v>29.052</c:v>
                </c:pt>
                <c:pt idx="1">
                  <c:v>11.723899999999999</c:v>
                </c:pt>
                <c:pt idx="2">
                  <c:v>27.005800000000001</c:v>
                </c:pt>
                <c:pt idx="3">
                  <c:v>35.579700000000003</c:v>
                </c:pt>
                <c:pt idx="4">
                  <c:v>25.419599999999907</c:v>
                </c:pt>
                <c:pt idx="5">
                  <c:v>16.495699999999832</c:v>
                </c:pt>
                <c:pt idx="6">
                  <c:v>81.877499999999998</c:v>
                </c:pt>
                <c:pt idx="7">
                  <c:v>93.366500000000002</c:v>
                </c:pt>
                <c:pt idx="8">
                  <c:v>109.9008</c:v>
                </c:pt>
                <c:pt idx="9" formatCode="General">
                  <c:v>94.545299999999997</c:v>
                </c:pt>
              </c:numCache>
            </c:numRef>
          </c:val>
        </c:ser>
        <c:marker val="1"/>
        <c:axId val="77449856"/>
        <c:axId val="77455744"/>
      </c:lineChart>
      <c:catAx>
        <c:axId val="774498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7455744"/>
        <c:crosses val="autoZero"/>
        <c:auto val="1"/>
        <c:lblAlgn val="ctr"/>
        <c:lblOffset val="100"/>
      </c:catAx>
      <c:valAx>
        <c:axId val="7745574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774498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5159268884492888E-2"/>
          <c:y val="0.88053282633520458"/>
          <c:w val="0.89859169199594657"/>
          <c:h val="0.1007754440717697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3.4027723097112862E-2"/>
          <c:w val="0.92389825103638279"/>
          <c:h val="0.5755091185410337"/>
        </c:manualLayout>
      </c:layout>
      <c:barChart>
        <c:barDir val="col"/>
        <c:grouping val="clustered"/>
        <c:ser>
          <c:idx val="1"/>
          <c:order val="0"/>
          <c:tx>
            <c:strRef>
              <c:f>'Vnější vztahy 2'!$A$7</c:f>
              <c:strCache>
                <c:ptCount val="1"/>
                <c:pt idx="0">
                  <c:v>2016 Q1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-17.966999999999896</c:v>
                </c:pt>
                <c:pt idx="1">
                  <c:v>-8.266</c:v>
                </c:pt>
                <c:pt idx="2">
                  <c:v>-6.2759999999999998</c:v>
                </c:pt>
                <c:pt idx="3">
                  <c:v>-3.2680000000000002</c:v>
                </c:pt>
                <c:pt idx="4">
                  <c:v>-31.161999999999999</c:v>
                </c:pt>
                <c:pt idx="5">
                  <c:v>-11.147999999999998</c:v>
                </c:pt>
                <c:pt idx="6">
                  <c:v>5.7779999999999996</c:v>
                </c:pt>
                <c:pt idx="7">
                  <c:v>-22.982999999999873</c:v>
                </c:pt>
                <c:pt idx="8">
                  <c:v>16.143000000000001</c:v>
                </c:pt>
                <c:pt idx="9">
                  <c:v>-12.249000000000001</c:v>
                </c:pt>
                <c:pt idx="10">
                  <c:v>11.679</c:v>
                </c:pt>
                <c:pt idx="11">
                  <c:v>16.271999999999988</c:v>
                </c:pt>
                <c:pt idx="12">
                  <c:v>114.601</c:v>
                </c:pt>
              </c:numCache>
            </c:numRef>
          </c:val>
        </c:ser>
        <c:ser>
          <c:idx val="0"/>
          <c:order val="1"/>
          <c:tx>
            <c:strRef>
              <c:f>'Vnější vztahy 2'!$A$6</c:f>
              <c:strCache>
                <c:ptCount val="1"/>
                <c:pt idx="0">
                  <c:v>2017 Q1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-29.99</c:v>
                </c:pt>
                <c:pt idx="1">
                  <c:v>-8.3870000000000005</c:v>
                </c:pt>
                <c:pt idx="2">
                  <c:v>-7.2759999999999998</c:v>
                </c:pt>
                <c:pt idx="3">
                  <c:v>-1.7609999999999937</c:v>
                </c:pt>
                <c:pt idx="4">
                  <c:v>-27.157000000000096</c:v>
                </c:pt>
                <c:pt idx="5">
                  <c:v>-13.707999999999998</c:v>
                </c:pt>
                <c:pt idx="6">
                  <c:v>5.8419999999999996</c:v>
                </c:pt>
                <c:pt idx="7">
                  <c:v>-30.29</c:v>
                </c:pt>
                <c:pt idx="8">
                  <c:v>15.029</c:v>
                </c:pt>
                <c:pt idx="9">
                  <c:v>-12.46</c:v>
                </c:pt>
                <c:pt idx="10">
                  <c:v>10.26</c:v>
                </c:pt>
                <c:pt idx="11">
                  <c:v>24.501999999999999</c:v>
                </c:pt>
                <c:pt idx="12">
                  <c:v>123.94300000000032</c:v>
                </c:pt>
              </c:numCache>
            </c:numRef>
          </c:val>
        </c:ser>
        <c:gapWidth val="97"/>
        <c:axId val="77480320"/>
        <c:axId val="77481856"/>
      </c:barChart>
      <c:catAx>
        <c:axId val="7748032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77481856"/>
        <c:crosses val="autoZero"/>
        <c:auto val="1"/>
        <c:lblAlgn val="ctr"/>
        <c:lblOffset val="100"/>
      </c:catAx>
      <c:valAx>
        <c:axId val="77481856"/>
        <c:scaling>
          <c:orientation val="minMax"/>
          <c:max val="140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77480320"/>
        <c:crosses val="autoZero"/>
        <c:crossBetween val="between"/>
        <c:majorUnit val="2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178968253968256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BCD3-7B84-4EC0-8961-2318F3D88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A9B9A-8A92-4DE5-A397-FABAA422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3</Pages>
  <Words>1131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7789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2017-06-20T12:49:00Z</dcterms:created>
  <dcterms:modified xsi:type="dcterms:W3CDTF">2017-06-20T12:51:00Z</dcterms:modified>
</cp:coreProperties>
</file>