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4" w:rsidRPr="00A74192" w:rsidRDefault="00ED3A94" w:rsidP="00D94859">
      <w:pPr>
        <w:pStyle w:val="Textpoznpodarou"/>
        <w:jc w:val="both"/>
        <w:rPr>
          <w:sz w:val="2"/>
          <w:szCs w:val="2"/>
        </w:rPr>
      </w:pPr>
    </w:p>
    <w:p w:rsidR="005E4483" w:rsidRDefault="005E4483" w:rsidP="001B3BB0">
      <w:pPr>
        <w:pStyle w:val="Nadpis1"/>
        <w:numPr>
          <w:ilvl w:val="0"/>
          <w:numId w:val="20"/>
        </w:numPr>
        <w:jc w:val="both"/>
      </w:pPr>
      <w:bookmarkStart w:id="0" w:name="_Toc454185150"/>
      <w:bookmarkStart w:id="1" w:name="_Toc485271456"/>
      <w:r>
        <w:t>Výkonnost odvětví</w:t>
      </w:r>
      <w:bookmarkEnd w:id="0"/>
      <w:bookmarkEnd w:id="1"/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355CAA" w:rsidRPr="00DE32DB" w:rsidTr="008A03DE">
        <w:trPr>
          <w:trHeight w:val="145"/>
        </w:trPr>
        <w:tc>
          <w:tcPr>
            <w:tcW w:w="1016" w:type="pct"/>
          </w:tcPr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3E5346">
              <w:rPr>
                <w:spacing w:val="-2"/>
                <w:sz w:val="16"/>
                <w:szCs w:val="16"/>
              </w:rPr>
              <w:t xml:space="preserve">Tempo růstu </w:t>
            </w:r>
            <w:r>
              <w:rPr>
                <w:spacing w:val="-2"/>
                <w:sz w:val="16"/>
                <w:szCs w:val="16"/>
              </w:rPr>
              <w:t>HPH na počátku roku v</w:t>
            </w:r>
            <w:r w:rsidRPr="003E5346">
              <w:rPr>
                <w:spacing w:val="-2"/>
                <w:sz w:val="16"/>
                <w:szCs w:val="16"/>
              </w:rPr>
              <w:t> mezičtvrtletním vyjádření</w:t>
            </w:r>
            <w:r>
              <w:rPr>
                <w:spacing w:val="-2"/>
                <w:sz w:val="16"/>
                <w:szCs w:val="16"/>
              </w:rPr>
              <w:t xml:space="preserve"> výrazně zrychlilo.</w:t>
            </w:r>
          </w:p>
        </w:tc>
        <w:tc>
          <w:tcPr>
            <w:tcW w:w="144" w:type="pct"/>
          </w:tcPr>
          <w:p w:rsidR="00355CAA" w:rsidRDefault="00355CAA" w:rsidP="00A0172C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355CAA" w:rsidRPr="0038466C" w:rsidRDefault="00355CAA" w:rsidP="00A0172C">
            <w:pPr>
              <w:pStyle w:val="Textpoznpodarou"/>
              <w:jc w:val="both"/>
              <w:rPr>
                <w:spacing w:val="-8"/>
              </w:rPr>
            </w:pPr>
            <w:r>
              <w:rPr>
                <w:spacing w:val="-4"/>
              </w:rPr>
              <w:t>Hrubá přidaná hodnota (HPH)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ve všech odvětvích ekonomiky posílila </w:t>
            </w:r>
            <w:r w:rsidR="00553C88">
              <w:rPr>
                <w:spacing w:val="-4"/>
              </w:rPr>
              <w:t xml:space="preserve">v 1. čtvrtletí </w:t>
            </w:r>
            <w:r>
              <w:rPr>
                <w:spacing w:val="-4"/>
              </w:rPr>
              <w:t>meziročně 2,5 %, podobně jako v první polovině předešlého roku. V</w:t>
            </w:r>
            <w:r w:rsidRPr="00B50A6B">
              <w:rPr>
                <w:spacing w:val="-4"/>
              </w:rPr>
              <w:t> mezičtvrtletním vyjádření</w:t>
            </w:r>
            <w:r>
              <w:rPr>
                <w:spacing w:val="-4"/>
              </w:rPr>
              <w:t xml:space="preserve"> HPH zrychlila o silných 1,3 % a </w:t>
            </w:r>
            <w:r w:rsidRPr="00B50A6B">
              <w:rPr>
                <w:spacing w:val="-4"/>
              </w:rPr>
              <w:t>pokračo</w:t>
            </w:r>
            <w:r w:rsidR="002D7EF4">
              <w:rPr>
                <w:spacing w:val="-4"/>
              </w:rPr>
              <w:t>vala růstu již pošest</w:t>
            </w:r>
            <w:r>
              <w:rPr>
                <w:spacing w:val="-4"/>
              </w:rPr>
              <w:t>nácté</w:t>
            </w:r>
            <w:r w:rsidRPr="00B50A6B">
              <w:rPr>
                <w:spacing w:val="-4"/>
              </w:rPr>
              <w:t xml:space="preserve"> v</w:t>
            </w:r>
            <w:r>
              <w:rPr>
                <w:spacing w:val="-4"/>
              </w:rPr>
              <w:t> </w:t>
            </w:r>
            <w:r w:rsidRPr="00B50A6B">
              <w:rPr>
                <w:spacing w:val="-4"/>
              </w:rPr>
              <w:t>řadě</w:t>
            </w:r>
            <w:r w:rsidR="00553C88">
              <w:rPr>
                <w:spacing w:val="-4"/>
              </w:rPr>
              <w:t xml:space="preserve"> (v úhrnu za toto období vzrostl výkon všech odvětví o 12,2 %). Silnějšího výkonu</w:t>
            </w:r>
            <w:r>
              <w:rPr>
                <w:spacing w:val="-4"/>
              </w:rPr>
              <w:t xml:space="preserve"> dosáhla všechna hlavní odvětví ekonomiky vyjma stavebnictví, jehož HPH byla meziročně o 4,9 % slabší (</w:t>
            </w:r>
            <w:proofErr w:type="spellStart"/>
            <w:r>
              <w:rPr>
                <w:spacing w:val="-4"/>
              </w:rPr>
              <w:t>mezikvartálně</w:t>
            </w:r>
            <w:proofErr w:type="spellEnd"/>
            <w:r>
              <w:rPr>
                <w:spacing w:val="-4"/>
              </w:rPr>
              <w:t xml:space="preserve"> však již odvětví rostlo a nepříznivý vývoj z</w:t>
            </w:r>
            <w:r w:rsidR="00F0732D">
              <w:rPr>
                <w:spacing w:val="-4"/>
              </w:rPr>
              <w:t xml:space="preserve"> předchozích pěti čtvrtletí </w:t>
            </w:r>
            <w:r>
              <w:rPr>
                <w:spacing w:val="-4"/>
              </w:rPr>
              <w:t xml:space="preserve">tak </w:t>
            </w:r>
            <w:r w:rsidR="00F0732D">
              <w:rPr>
                <w:spacing w:val="-4"/>
              </w:rPr>
              <w:t xml:space="preserve">byl </w:t>
            </w:r>
            <w:r>
              <w:rPr>
                <w:spacing w:val="-4"/>
              </w:rPr>
              <w:t xml:space="preserve">zastaven). </w:t>
            </w:r>
            <w:r w:rsidR="004E1415">
              <w:rPr>
                <w:spacing w:val="-4"/>
              </w:rPr>
              <w:t>Nejdynamičtěji se letos stejně jako po celý loňský rok navyšovala HPH v odvětví zemědělst</w:t>
            </w:r>
            <w:r w:rsidR="00553C88">
              <w:rPr>
                <w:spacing w:val="-4"/>
              </w:rPr>
              <w:t>ví, lesnictví a rybářství (v 1. </w:t>
            </w:r>
            <w:r w:rsidR="004E1415">
              <w:rPr>
                <w:spacing w:val="-4"/>
              </w:rPr>
              <w:t>čtvrtletí o 8,1 %).</w:t>
            </w:r>
          </w:p>
          <w:p w:rsidR="00355CAA" w:rsidRPr="00102835" w:rsidRDefault="00355CAA" w:rsidP="00A0172C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355CAA" w:rsidRPr="00A74192" w:rsidTr="008A03DE">
        <w:trPr>
          <w:trHeight w:val="145"/>
        </w:trPr>
        <w:tc>
          <w:tcPr>
            <w:tcW w:w="1016" w:type="pct"/>
            <w:shd w:val="clear" w:color="auto" w:fill="auto"/>
          </w:tcPr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3E5346">
              <w:rPr>
                <w:spacing w:val="-2"/>
                <w:sz w:val="16"/>
                <w:szCs w:val="16"/>
              </w:rPr>
              <w:t xml:space="preserve">Výkon průmyslu </w:t>
            </w:r>
            <w:r w:rsidR="006B59D7">
              <w:rPr>
                <w:spacing w:val="-2"/>
                <w:sz w:val="16"/>
                <w:szCs w:val="16"/>
              </w:rPr>
              <w:t>v 1.</w:t>
            </w:r>
            <w:r w:rsidR="006B59D7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>čtvrtletí posílil</w:t>
            </w:r>
            <w:r w:rsidRPr="003E5346">
              <w:rPr>
                <w:spacing w:val="-2"/>
                <w:sz w:val="16"/>
                <w:szCs w:val="16"/>
              </w:rPr>
              <w:t>, jeho produkce vzrostla nejvíce od 3. čtvrtletí 2015</w:t>
            </w:r>
            <w:r>
              <w:rPr>
                <w:spacing w:val="-2"/>
                <w:sz w:val="16"/>
                <w:szCs w:val="16"/>
              </w:rPr>
              <w:t>.</w:t>
            </w: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3E5346">
              <w:rPr>
                <w:spacing w:val="-2"/>
                <w:sz w:val="16"/>
                <w:szCs w:val="16"/>
              </w:rPr>
              <w:t>Zatímco na počátku loňského roku rozhodovaly o kladném výsledku průmyslu prakticky jen výroba dopravních pr</w:t>
            </w:r>
            <w:r w:rsidR="003F0293">
              <w:rPr>
                <w:spacing w:val="-2"/>
                <w:sz w:val="16"/>
                <w:szCs w:val="16"/>
              </w:rPr>
              <w:t>ostředků (vč. navazujících odvětví</w:t>
            </w:r>
            <w:r w:rsidRPr="003E5346">
              <w:rPr>
                <w:spacing w:val="-2"/>
                <w:sz w:val="16"/>
                <w:szCs w:val="16"/>
              </w:rPr>
              <w:t>), letos již z růstu</w:t>
            </w:r>
            <w:r w:rsidR="003F0293">
              <w:rPr>
                <w:spacing w:val="-2"/>
                <w:sz w:val="16"/>
                <w:szCs w:val="16"/>
              </w:rPr>
              <w:t xml:space="preserve"> profitovala téměř všechna odvětví</w:t>
            </w:r>
            <w:r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355CAA" w:rsidRDefault="00355CAA" w:rsidP="00A0172C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355CAA" w:rsidRPr="00780332" w:rsidRDefault="00355CAA" w:rsidP="00A0172C">
            <w:pPr>
              <w:pStyle w:val="Textpoznpodarou"/>
              <w:spacing w:before="20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Výkon průmyslu (dle indexu průmyslové</w:t>
            </w:r>
            <w:r w:rsidRPr="008D59A9">
              <w:rPr>
                <w:color w:val="000000" w:themeColor="text1"/>
                <w:spacing w:val="-4"/>
              </w:rPr>
              <w:t xml:space="preserve"> produkce)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2"/>
            </w:r>
            <w:r w:rsidRPr="008D59A9">
              <w:rPr>
                <w:color w:val="000000" w:themeColor="text1"/>
                <w:spacing w:val="-4"/>
              </w:rPr>
              <w:t xml:space="preserve"> v 1. čtvrtletí meziročně posílil </w:t>
            </w:r>
            <w:r>
              <w:rPr>
                <w:color w:val="000000" w:themeColor="text1"/>
                <w:spacing w:val="-4"/>
              </w:rPr>
              <w:t>o</w:t>
            </w:r>
            <w:r>
              <w:rPr>
                <w:spacing w:val="-4"/>
              </w:rPr>
              <w:t> </w:t>
            </w:r>
            <w:r w:rsidR="00147E55">
              <w:rPr>
                <w:color w:val="000000" w:themeColor="text1"/>
                <w:spacing w:val="-4"/>
              </w:rPr>
              <w:t>4</w:t>
            </w:r>
            <w:r w:rsidRPr="008D59A9">
              <w:rPr>
                <w:color w:val="000000" w:themeColor="text1"/>
                <w:spacing w:val="-4"/>
              </w:rPr>
              <w:t>,</w:t>
            </w:r>
            <w:r w:rsidR="00147E55">
              <w:rPr>
                <w:color w:val="000000" w:themeColor="text1"/>
                <w:spacing w:val="-4"/>
              </w:rPr>
              <w:t>9</w:t>
            </w:r>
            <w:r w:rsidRPr="008D59A9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% (bez očištěn</w:t>
            </w:r>
            <w:r w:rsidR="00C43CB1">
              <w:rPr>
                <w:color w:val="000000" w:themeColor="text1"/>
                <w:spacing w:val="-4"/>
              </w:rPr>
              <w:t>í o kalendářní vlivy dokonce o 7,5</w:t>
            </w:r>
            <w:r>
              <w:rPr>
                <w:color w:val="000000" w:themeColor="text1"/>
                <w:spacing w:val="-4"/>
              </w:rPr>
              <w:t xml:space="preserve"> %)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3"/>
            </w:r>
            <w:r w:rsidR="00C43CB1">
              <w:rPr>
                <w:color w:val="000000" w:themeColor="text1"/>
                <w:spacing w:val="-4"/>
              </w:rPr>
              <w:t xml:space="preserve"> a vrátil se tak k</w:t>
            </w:r>
            <w:r>
              <w:rPr>
                <w:color w:val="000000" w:themeColor="text1"/>
                <w:spacing w:val="-4"/>
              </w:rPr>
              <w:t xml:space="preserve"> silné dynamice z let 2014 i 2015. V mezič</w:t>
            </w:r>
            <w:r w:rsidR="00C43CB1">
              <w:rPr>
                <w:color w:val="000000" w:themeColor="text1"/>
                <w:spacing w:val="-4"/>
              </w:rPr>
              <w:t>tvrtletním pohledu vzrostl o výrazných</w:t>
            </w:r>
            <w:r w:rsidR="008A6F21">
              <w:rPr>
                <w:color w:val="000000" w:themeColor="text1"/>
                <w:spacing w:val="-4"/>
              </w:rPr>
              <w:t xml:space="preserve"> 3,2</w:t>
            </w:r>
            <w:r>
              <w:rPr>
                <w:color w:val="000000" w:themeColor="text1"/>
                <w:spacing w:val="-4"/>
              </w:rPr>
              <w:t xml:space="preserve"> %, což bylo nejvíce od konce roku 2014. Za těmito výsledky stála dobrá ekonomická situace v hlavních exportních teritoriích doplněná i sílící tuzemskou poptávkou. Průmysl táhla vzhůru, jak již bývá v období ekonomického růstu </w:t>
            </w:r>
            <w:r w:rsidR="008A6F21">
              <w:rPr>
                <w:color w:val="000000" w:themeColor="text1"/>
                <w:spacing w:val="-4"/>
              </w:rPr>
              <w:t xml:space="preserve">v ČR </w:t>
            </w:r>
            <w:r>
              <w:rPr>
                <w:color w:val="000000" w:themeColor="text1"/>
                <w:spacing w:val="-4"/>
              </w:rPr>
              <w:t>zvykem, především výroba motorových vozidel.</w:t>
            </w:r>
            <w:r w:rsidR="00D73E6F">
              <w:rPr>
                <w:color w:val="000000" w:themeColor="text1"/>
                <w:spacing w:val="-4"/>
              </w:rPr>
              <w:t xml:space="preserve"> Ta přispěla k celkovému růstu průmyslové produkce téměř z</w:t>
            </w:r>
            <w:r w:rsidR="00FB6398">
              <w:rPr>
                <w:color w:val="000000" w:themeColor="text1"/>
                <w:spacing w:val="-4"/>
              </w:rPr>
              <w:t xml:space="preserve">e </w:t>
            </w:r>
            <w:r w:rsidR="00D73E6F">
              <w:rPr>
                <w:color w:val="000000" w:themeColor="text1"/>
                <w:spacing w:val="-4"/>
              </w:rPr>
              <w:t>40 %. Další</w:t>
            </w:r>
            <w:r w:rsidR="00FB6398">
              <w:rPr>
                <w:color w:val="000000" w:themeColor="text1"/>
                <w:spacing w:val="-4"/>
              </w:rPr>
              <w:t>ch</w:t>
            </w:r>
            <w:r w:rsidR="00D73E6F">
              <w:rPr>
                <w:color w:val="000000" w:themeColor="text1"/>
                <w:spacing w:val="-4"/>
              </w:rPr>
              <w:t xml:space="preserve"> </w:t>
            </w:r>
            <w:r w:rsidR="00A82C52">
              <w:rPr>
                <w:color w:val="000000" w:themeColor="text1"/>
                <w:spacing w:val="-4"/>
              </w:rPr>
              <w:t>bezmála 20</w:t>
            </w:r>
            <w:r w:rsidR="00D73E6F">
              <w:rPr>
                <w:color w:val="000000" w:themeColor="text1"/>
                <w:spacing w:val="-4"/>
              </w:rPr>
              <w:t xml:space="preserve"> %</w:t>
            </w:r>
            <w:r w:rsidR="00FB6398">
              <w:rPr>
                <w:color w:val="000000" w:themeColor="text1"/>
                <w:spacing w:val="-4"/>
              </w:rPr>
              <w:t xml:space="preserve"> přidaly</w:t>
            </w:r>
            <w:r>
              <w:rPr>
                <w:color w:val="000000" w:themeColor="text1"/>
                <w:spacing w:val="-4"/>
              </w:rPr>
              <w:t xml:space="preserve"> v úhrnu k růstu nejbližší subdodavatelské obory – výroba elektrických zařízení i výroba pryžových a plastových výrobků. Zatímco na počátku loňského roku stál výkon průmyslu prakticky jen na výrobě dopravních pr</w:t>
            </w:r>
            <w:r w:rsidR="003F0293">
              <w:rPr>
                <w:color w:val="000000" w:themeColor="text1"/>
                <w:spacing w:val="-4"/>
              </w:rPr>
              <w:t>ostředků (vč. navazujících odvětví</w:t>
            </w:r>
            <w:r>
              <w:rPr>
                <w:color w:val="000000" w:themeColor="text1"/>
                <w:spacing w:val="-4"/>
              </w:rPr>
              <w:t>), letošní růst produkce prostupova</w:t>
            </w:r>
            <w:r w:rsidR="003F0293">
              <w:rPr>
                <w:color w:val="000000" w:themeColor="text1"/>
                <w:spacing w:val="-4"/>
              </w:rPr>
              <w:t>l téměř všemi průmyslovými odvětvími</w:t>
            </w:r>
            <w:r>
              <w:rPr>
                <w:color w:val="000000" w:themeColor="text1"/>
                <w:spacing w:val="-4"/>
              </w:rPr>
              <w:t xml:space="preserve">. Projevil se efekt plného obnovení výrobních kapacit chemického průmyslu i energetiky. K růstu se po </w:t>
            </w:r>
            <w:r w:rsidR="00FB6398">
              <w:rPr>
                <w:color w:val="000000" w:themeColor="text1"/>
                <w:spacing w:val="-4"/>
              </w:rPr>
              <w:t>loňské stagnaci</w:t>
            </w:r>
            <w:r>
              <w:rPr>
                <w:color w:val="000000" w:themeColor="text1"/>
                <w:spacing w:val="-4"/>
              </w:rPr>
              <w:t xml:space="preserve"> vrátil také váhově významný potravinářský průmysl</w:t>
            </w:r>
            <w:r w:rsidR="00FB6398">
              <w:rPr>
                <w:color w:val="000000" w:themeColor="text1"/>
                <w:spacing w:val="-4"/>
              </w:rPr>
              <w:t xml:space="preserve"> (+2,4</w:t>
            </w:r>
            <w:r>
              <w:rPr>
                <w:color w:val="000000" w:themeColor="text1"/>
                <w:spacing w:val="-4"/>
              </w:rPr>
              <w:t xml:space="preserve"> %). Z vlny mírnéh</w:t>
            </w:r>
            <w:r w:rsidR="003F0293">
              <w:rPr>
                <w:color w:val="000000" w:themeColor="text1"/>
                <w:spacing w:val="-4"/>
              </w:rPr>
              <w:t>o celoevropského oživení v odvětví</w:t>
            </w:r>
            <w:r>
              <w:rPr>
                <w:color w:val="000000" w:themeColor="text1"/>
                <w:spacing w:val="-4"/>
              </w:rPr>
              <w:t xml:space="preserve"> profitovalo hutnictví a slévárenství</w:t>
            </w:r>
            <w:r w:rsidR="00FB6398">
              <w:rPr>
                <w:color w:val="000000" w:themeColor="text1"/>
                <w:spacing w:val="-4"/>
              </w:rPr>
              <w:t xml:space="preserve"> (+3,4</w:t>
            </w:r>
            <w:r>
              <w:rPr>
                <w:color w:val="000000" w:themeColor="text1"/>
                <w:spacing w:val="-4"/>
              </w:rPr>
              <w:t xml:space="preserve"> %). Naopak dlouhodobě nepříznivá situace nadále přetrvávala v těžbě a dobývání, byť c</w:t>
            </w:r>
            <w:r w:rsidR="008A6F21">
              <w:rPr>
                <w:color w:val="000000" w:themeColor="text1"/>
                <w:spacing w:val="-4"/>
              </w:rPr>
              <w:t>eny některých surovin (např. ko</w:t>
            </w:r>
            <w:r>
              <w:rPr>
                <w:color w:val="000000" w:themeColor="text1"/>
                <w:spacing w:val="-4"/>
              </w:rPr>
              <w:t>k</w:t>
            </w:r>
            <w:r w:rsidR="008A6F21">
              <w:rPr>
                <w:color w:val="000000" w:themeColor="text1"/>
                <w:spacing w:val="-4"/>
              </w:rPr>
              <w:t>s</w:t>
            </w:r>
            <w:r>
              <w:rPr>
                <w:color w:val="000000" w:themeColor="text1"/>
                <w:spacing w:val="-4"/>
              </w:rPr>
              <w:t>ovatelné uhlí) již přestaly klesat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4"/>
            </w:r>
            <w:r>
              <w:rPr>
                <w:color w:val="000000" w:themeColor="text1"/>
                <w:spacing w:val="-4"/>
              </w:rPr>
              <w:t>. Produkce těžebního průmyslu byla meziročně o</w:t>
            </w:r>
            <w:r>
              <w:rPr>
                <w:spacing w:val="-4"/>
              </w:rPr>
              <w:t> </w:t>
            </w:r>
            <w:r w:rsidR="00FB6398">
              <w:rPr>
                <w:color w:val="000000" w:themeColor="text1"/>
                <w:spacing w:val="-4"/>
              </w:rPr>
              <w:t>4,7</w:t>
            </w:r>
            <w:r>
              <w:rPr>
                <w:color w:val="000000" w:themeColor="text1"/>
                <w:spacing w:val="-4"/>
              </w:rPr>
              <w:t xml:space="preserve"> % nižší, v mezičtvrtletním vyjádření se však letos její pokles zastavil.</w:t>
            </w:r>
          </w:p>
          <w:p w:rsidR="00355CAA" w:rsidRPr="00102835" w:rsidRDefault="00355CAA" w:rsidP="00A0172C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355CAA" w:rsidRPr="00A74192" w:rsidTr="008A03DE">
        <w:trPr>
          <w:trHeight w:val="145"/>
        </w:trPr>
        <w:tc>
          <w:tcPr>
            <w:tcW w:w="1016" w:type="pct"/>
            <w:shd w:val="clear" w:color="auto" w:fill="auto"/>
          </w:tcPr>
          <w:p w:rsidR="00355CAA" w:rsidRPr="003E5346" w:rsidRDefault="0069789D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Rostoucí </w:t>
            </w:r>
            <w:r w:rsidR="00355CAA" w:rsidRPr="003E5346">
              <w:rPr>
                <w:spacing w:val="-2"/>
                <w:sz w:val="16"/>
                <w:szCs w:val="16"/>
              </w:rPr>
              <w:t xml:space="preserve">zahraniční </w:t>
            </w:r>
            <w:r>
              <w:rPr>
                <w:spacing w:val="-2"/>
                <w:sz w:val="16"/>
                <w:szCs w:val="16"/>
              </w:rPr>
              <w:t>i</w:t>
            </w:r>
            <w:r w:rsidRPr="003E5346">
              <w:rPr>
                <w:spacing w:val="-2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>tuzemská poptávka vedly</w:t>
            </w:r>
            <w:r w:rsidR="00355CAA" w:rsidRPr="003E5346">
              <w:rPr>
                <w:spacing w:val="-2"/>
                <w:sz w:val="16"/>
                <w:szCs w:val="16"/>
              </w:rPr>
              <w:t xml:space="preserve"> k pokoření dalšího rekordu počtu vyrobených osobních automobilů</w:t>
            </w:r>
            <w:r w:rsidR="00355CAA">
              <w:rPr>
                <w:spacing w:val="-2"/>
                <w:sz w:val="16"/>
                <w:szCs w:val="16"/>
              </w:rPr>
              <w:t>.</w:t>
            </w: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E5346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3E5346">
              <w:rPr>
                <w:spacing w:val="-2"/>
                <w:sz w:val="16"/>
                <w:szCs w:val="16"/>
              </w:rPr>
              <w:t xml:space="preserve">Po obratu na sklonku loňského roku pokračoval růst </w:t>
            </w:r>
            <w:r w:rsidR="006B59D7">
              <w:rPr>
                <w:spacing w:val="-2"/>
                <w:sz w:val="16"/>
                <w:szCs w:val="16"/>
              </w:rPr>
              <w:t>produkce v chemickém průmyslu i</w:t>
            </w:r>
            <w:r w:rsidR="006B59D7">
              <w:rPr>
                <w:spacing w:val="-4"/>
                <w:sz w:val="16"/>
                <w:szCs w:val="16"/>
              </w:rPr>
              <w:t> </w:t>
            </w:r>
            <w:r w:rsidRPr="003E5346">
              <w:rPr>
                <w:spacing w:val="-2"/>
                <w:sz w:val="16"/>
                <w:szCs w:val="16"/>
              </w:rPr>
              <w:t>energetice</w:t>
            </w:r>
            <w:r>
              <w:rPr>
                <w:spacing w:val="-2"/>
                <w:sz w:val="16"/>
                <w:szCs w:val="16"/>
              </w:rPr>
              <w:t>.</w:t>
            </w:r>
          </w:p>
          <w:p w:rsidR="00355CAA" w:rsidRPr="00DA1318" w:rsidRDefault="00355CAA" w:rsidP="00A0172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</w:tcPr>
          <w:p w:rsidR="00355CAA" w:rsidRPr="009E7B1B" w:rsidRDefault="00355CAA" w:rsidP="00A0172C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840" w:type="pct"/>
          </w:tcPr>
          <w:p w:rsidR="00355CAA" w:rsidRPr="002A5C26" w:rsidRDefault="00355CAA" w:rsidP="00A0172C">
            <w:pPr>
              <w:pStyle w:val="Textpoznpodarou"/>
              <w:jc w:val="both"/>
              <w:rPr>
                <w:spacing w:val="-4"/>
              </w:rPr>
            </w:pPr>
            <w:r w:rsidRPr="002A5C26">
              <w:rPr>
                <w:spacing w:val="-4"/>
              </w:rPr>
              <w:t>Výroba motorových vozidel</w:t>
            </w:r>
            <w:r>
              <w:rPr>
                <w:spacing w:val="-4"/>
              </w:rPr>
              <w:t>,</w:t>
            </w:r>
            <w:r w:rsidRPr="002A5C2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tvořící bezmála čtvrtinu celkové průmyslové produkce, se po mírném zvolnění růstu </w:t>
            </w:r>
            <w:r w:rsidR="00A355F2">
              <w:rPr>
                <w:spacing w:val="-4"/>
              </w:rPr>
              <w:t>v druhé polovině roku 2016 v letošním 1. čtvrtletí</w:t>
            </w:r>
            <w:r>
              <w:rPr>
                <w:spacing w:val="-4"/>
              </w:rPr>
              <w:t xml:space="preserve"> opět vrátila k dvouciferným tempům</w:t>
            </w:r>
            <w:r w:rsidR="0051507D">
              <w:rPr>
                <w:spacing w:val="-4"/>
              </w:rPr>
              <w:t xml:space="preserve"> (+10,7</w:t>
            </w:r>
            <w:r>
              <w:rPr>
                <w:spacing w:val="-4"/>
              </w:rPr>
              <w:t xml:space="preserve"> % meziročně). Souviselo to především se silným růstem tržeb z přímého vývozu (o šestinu). </w:t>
            </w:r>
            <w:r w:rsidRPr="00C00806">
              <w:rPr>
                <w:spacing w:val="-4"/>
              </w:rPr>
              <w:t>Rekordní hodnoty dosáhlo i fyzické množství vyrobených osobních automobilů</w:t>
            </w:r>
            <w:r w:rsidRPr="00C00806">
              <w:rPr>
                <w:rStyle w:val="Znakapoznpodarou"/>
                <w:spacing w:val="-4"/>
              </w:rPr>
              <w:footnoteReference w:id="5"/>
            </w:r>
            <w:r w:rsidRPr="00C00806">
              <w:rPr>
                <w:spacing w:val="-4"/>
              </w:rPr>
              <w:t>.</w:t>
            </w:r>
            <w:r>
              <w:rPr>
                <w:spacing w:val="-4"/>
              </w:rPr>
              <w:t xml:space="preserve"> Naopak produkce ve výrobě ostatních </w:t>
            </w:r>
            <w:r w:rsidR="0051507D">
              <w:rPr>
                <w:spacing w:val="-4"/>
              </w:rPr>
              <w:t>(</w:t>
            </w:r>
            <w:r>
              <w:rPr>
                <w:spacing w:val="-4"/>
              </w:rPr>
              <w:t>zejména kolejových</w:t>
            </w:r>
            <w:r w:rsidR="0051507D">
              <w:rPr>
                <w:spacing w:val="-4"/>
              </w:rPr>
              <w:t>)</w:t>
            </w:r>
            <w:r w:rsidR="00DF34B2">
              <w:rPr>
                <w:spacing w:val="-4"/>
              </w:rPr>
              <w:t xml:space="preserve"> </w:t>
            </w:r>
            <w:r>
              <w:rPr>
                <w:spacing w:val="-4"/>
              </w:rPr>
              <w:t>do</w:t>
            </w:r>
            <w:r w:rsidR="00DF34B2">
              <w:rPr>
                <w:spacing w:val="-4"/>
              </w:rPr>
              <w:t>pravních prostředků, jež má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vol</w:t>
            </w:r>
            <w:r w:rsidR="006B59D7">
              <w:rPr>
                <w:spacing w:val="-4"/>
              </w:rPr>
              <w:t>atilnější</w:t>
            </w:r>
            <w:proofErr w:type="spellEnd"/>
            <w:r w:rsidR="006B59D7">
              <w:rPr>
                <w:spacing w:val="-4"/>
              </w:rPr>
              <w:t xml:space="preserve"> charakter, oslabila o </w:t>
            </w:r>
            <w:r>
              <w:rPr>
                <w:spacing w:val="-4"/>
              </w:rPr>
              <w:t>více než osminu. Zaznamenala tak společně s předešlým čtvrtletím nejhorší výsledek od konce roku 2012. V pozadí stála silnější redukc</w:t>
            </w:r>
            <w:r w:rsidR="00F0732D">
              <w:rPr>
                <w:spacing w:val="-4"/>
              </w:rPr>
              <w:t>e tuzemské poptávky. V</w:t>
            </w:r>
            <w:r>
              <w:rPr>
                <w:spacing w:val="-4"/>
              </w:rPr>
              <w:t xml:space="preserve">ýrazně </w:t>
            </w:r>
            <w:r w:rsidR="00F0732D">
              <w:rPr>
                <w:spacing w:val="-4"/>
              </w:rPr>
              <w:t xml:space="preserve">se dařilo </w:t>
            </w:r>
            <w:r>
              <w:rPr>
                <w:spacing w:val="-4"/>
              </w:rPr>
              <w:t>proexportní tvorbě počítačů, elektronických a</w:t>
            </w:r>
            <w:r w:rsidR="0051507D">
              <w:rPr>
                <w:spacing w:val="-4"/>
              </w:rPr>
              <w:t xml:space="preserve"> optických přístrojů (+7,5 %, za celý loňský rok +3,9</w:t>
            </w:r>
            <w:r>
              <w:rPr>
                <w:spacing w:val="-4"/>
              </w:rPr>
              <w:t xml:space="preserve"> %). Zrychlil i výkon váhově významného a vnitřně diverzifikova</w:t>
            </w:r>
            <w:r w:rsidR="0051507D">
              <w:rPr>
                <w:spacing w:val="-4"/>
              </w:rPr>
              <w:t>ného odvětví strojírenství (na 5,1</w:t>
            </w:r>
            <w:r>
              <w:rPr>
                <w:spacing w:val="-4"/>
              </w:rPr>
              <w:t xml:space="preserve"> %, nejlepší výsledek v rámci 1. čtvrtletí za posledních pět let). Navýšení výrobních kapacit i relativně chladnější zima se odrazily v</w:t>
            </w:r>
            <w:r w:rsidR="0051507D">
              <w:rPr>
                <w:spacing w:val="-4"/>
              </w:rPr>
              <w:t>e vyšší produkci energetiky (o 4,3</w:t>
            </w:r>
            <w:r w:rsidR="00DF34B2">
              <w:rPr>
                <w:spacing w:val="-4"/>
              </w:rPr>
              <w:t xml:space="preserve"> %). S</w:t>
            </w:r>
            <w:r>
              <w:rPr>
                <w:spacing w:val="-4"/>
              </w:rPr>
              <w:t xml:space="preserve">polečně s předešlým čtvrtletím </w:t>
            </w:r>
            <w:r w:rsidR="0051507D">
              <w:rPr>
                <w:spacing w:val="-4"/>
              </w:rPr>
              <w:t>(+7,3 </w:t>
            </w:r>
            <w:r>
              <w:rPr>
                <w:spacing w:val="-4"/>
              </w:rPr>
              <w:t xml:space="preserve">%) šlo </w:t>
            </w:r>
            <w:r w:rsidR="00F0732D">
              <w:rPr>
                <w:spacing w:val="-4"/>
              </w:rPr>
              <w:t xml:space="preserve">o </w:t>
            </w:r>
            <w:r>
              <w:rPr>
                <w:spacing w:val="-4"/>
              </w:rPr>
              <w:t>nejlepší meziroční výsledek od 3. čtvrtletí 2010. Díky tomu se výkon energetiky letos dorovnal úrovni z konce poslední recese (1. čtvrtletí 2013)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 xml:space="preserve">. </w:t>
            </w:r>
          </w:p>
          <w:p w:rsidR="00355CAA" w:rsidRPr="00102835" w:rsidRDefault="00355CAA" w:rsidP="00A0172C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355CAA" w:rsidRPr="00A74192" w:rsidTr="008A03DE">
        <w:trPr>
          <w:trHeight w:val="145"/>
        </w:trPr>
        <w:tc>
          <w:tcPr>
            <w:tcW w:w="1016" w:type="pct"/>
            <w:shd w:val="clear" w:color="auto" w:fill="auto"/>
          </w:tcPr>
          <w:p w:rsidR="00355CAA" w:rsidRPr="003E5346" w:rsidRDefault="00355CAA" w:rsidP="00A0172C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3E5346">
              <w:rPr>
                <w:spacing w:val="-4"/>
                <w:sz w:val="16"/>
                <w:szCs w:val="16"/>
              </w:rPr>
              <w:t>Svižný růst nábytkářského průmyslu</w:t>
            </w:r>
            <w:r w:rsidR="00CB2EEA">
              <w:rPr>
                <w:spacing w:val="-4"/>
                <w:sz w:val="16"/>
                <w:szCs w:val="16"/>
              </w:rPr>
              <w:t xml:space="preserve"> trvající od konce recese</w:t>
            </w:r>
            <w:r w:rsidRPr="003E5346">
              <w:rPr>
                <w:spacing w:val="-4"/>
                <w:sz w:val="16"/>
                <w:szCs w:val="16"/>
              </w:rPr>
              <w:t xml:space="preserve"> přetrvával…</w:t>
            </w:r>
          </w:p>
          <w:p w:rsidR="00355CAA" w:rsidRPr="003E5346" w:rsidRDefault="00355CAA" w:rsidP="00A0172C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355CAA" w:rsidRPr="003C0D68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3C0D68">
              <w:rPr>
                <w:spacing w:val="-2"/>
                <w:sz w:val="16"/>
                <w:szCs w:val="16"/>
              </w:rPr>
              <w:lastRenderedPageBreak/>
              <w:t>…dařilo se i většině ostatníc</w:t>
            </w:r>
            <w:r w:rsidR="003F0293">
              <w:rPr>
                <w:spacing w:val="-2"/>
                <w:sz w:val="16"/>
                <w:szCs w:val="16"/>
              </w:rPr>
              <w:t>h menších zpracovatelských odvětví</w:t>
            </w:r>
            <w:r w:rsidRPr="003C0D68">
              <w:rPr>
                <w:spacing w:val="-2"/>
                <w:sz w:val="16"/>
                <w:szCs w:val="16"/>
              </w:rPr>
              <w:t>, vyjma oděvnictví a tiskárenství.</w:t>
            </w:r>
          </w:p>
        </w:tc>
        <w:tc>
          <w:tcPr>
            <w:tcW w:w="144" w:type="pct"/>
          </w:tcPr>
          <w:p w:rsidR="00355CAA" w:rsidRPr="005A16AE" w:rsidRDefault="00355CAA" w:rsidP="00A0172C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840" w:type="pct"/>
          </w:tcPr>
          <w:p w:rsidR="00355CAA" w:rsidRPr="003F0293" w:rsidRDefault="00355CAA" w:rsidP="00A0172C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3D61AF">
              <w:rPr>
                <w:color w:val="000000" w:themeColor="text1"/>
                <w:spacing w:val="-4"/>
              </w:rPr>
              <w:t xml:space="preserve">Produkce se navyšovala i ve většině váhově </w:t>
            </w:r>
            <w:r>
              <w:rPr>
                <w:color w:val="000000" w:themeColor="text1"/>
                <w:spacing w:val="-4"/>
              </w:rPr>
              <w:t>méně významných průmyslových</w:t>
            </w:r>
            <w:r w:rsidR="003F0293">
              <w:rPr>
                <w:color w:val="000000" w:themeColor="text1"/>
                <w:spacing w:val="-4"/>
              </w:rPr>
              <w:t xml:space="preserve"> odvětví</w:t>
            </w:r>
            <w:r w:rsidRPr="003D61AF">
              <w:rPr>
                <w:color w:val="000000" w:themeColor="text1"/>
                <w:spacing w:val="-4"/>
              </w:rPr>
              <w:t xml:space="preserve">. </w:t>
            </w:r>
            <w:r>
              <w:rPr>
                <w:color w:val="000000" w:themeColor="text1"/>
                <w:spacing w:val="-4"/>
              </w:rPr>
              <w:t>V nábytkářství vzro</w:t>
            </w:r>
            <w:r w:rsidR="00A82C52">
              <w:rPr>
                <w:color w:val="000000" w:themeColor="text1"/>
                <w:spacing w:val="-4"/>
              </w:rPr>
              <w:t>stla za poslední čtyři roky o 23</w:t>
            </w:r>
            <w:r>
              <w:rPr>
                <w:color w:val="000000" w:themeColor="text1"/>
                <w:spacing w:val="-4"/>
              </w:rPr>
              <w:t xml:space="preserve"> % (o 2 </w:t>
            </w:r>
            <w:proofErr w:type="spellStart"/>
            <w:proofErr w:type="gramStart"/>
            <w:r>
              <w:rPr>
                <w:color w:val="000000" w:themeColor="text1"/>
                <w:spacing w:val="-4"/>
              </w:rPr>
              <w:t>p.b</w:t>
            </w:r>
            <w:proofErr w:type="spellEnd"/>
            <w:r>
              <w:rPr>
                <w:color w:val="000000" w:themeColor="text1"/>
                <w:spacing w:val="-4"/>
              </w:rPr>
              <w:t>. více</w:t>
            </w:r>
            <w:proofErr w:type="gramEnd"/>
            <w:r>
              <w:rPr>
                <w:color w:val="000000" w:themeColor="text1"/>
                <w:spacing w:val="-4"/>
              </w:rPr>
              <w:t xml:space="preserve"> než v celém zpracovatelském průmyslu). Od konce poslední recese se daří </w:t>
            </w:r>
            <w:r>
              <w:rPr>
                <w:color w:val="000000" w:themeColor="text1"/>
                <w:spacing w:val="-4"/>
              </w:rPr>
              <w:lastRenderedPageBreak/>
              <w:t xml:space="preserve">i papírenskému průmyslu, podobně jako výrobcům </w:t>
            </w:r>
            <w:r w:rsidRPr="00DC5DAD">
              <w:rPr>
                <w:color w:val="000000" w:themeColor="text1"/>
                <w:spacing w:val="-4"/>
              </w:rPr>
              <w:t>textilií</w:t>
            </w:r>
            <w:r>
              <w:rPr>
                <w:color w:val="000000" w:themeColor="text1"/>
                <w:spacing w:val="-4"/>
              </w:rPr>
              <w:t>. Pokračoval naopak dlouhodobý útlum oděvního průmyslu (dočasně přerušený jen v roce 2015), jehož p</w:t>
            </w:r>
            <w:r w:rsidR="00A82C52">
              <w:rPr>
                <w:color w:val="000000" w:themeColor="text1"/>
                <w:spacing w:val="-4"/>
              </w:rPr>
              <w:t>rodukce se meziročně snížila o téměř 7</w:t>
            </w:r>
            <w:r>
              <w:rPr>
                <w:color w:val="000000" w:themeColor="text1"/>
                <w:spacing w:val="-4"/>
              </w:rPr>
              <w:t xml:space="preserve"> % (pokles váhově významnějších tržeb z přímého vývozu zastínil efekt růstu domácí poptávky). Na silný loňský růst nedokázalo zatím letos navázat tiskárenství, které je tradičně zaměřeno především na tuzemský trh.</w:t>
            </w:r>
          </w:p>
        </w:tc>
      </w:tr>
    </w:tbl>
    <w:p w:rsidR="00492991" w:rsidRDefault="00492991" w:rsidP="00492991">
      <w:pPr>
        <w:pStyle w:val="Textpoznpodarou"/>
        <w:jc w:val="both"/>
        <w:rPr>
          <w:sz w:val="18"/>
          <w:szCs w:val="18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21"/>
        <w:gridCol w:w="6379"/>
      </w:tblGrid>
      <w:tr w:rsidR="003C6DB9" w:rsidRPr="00AA4A76" w:rsidTr="00540CB3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AA4A76" w:rsidRDefault="003C6DB9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3C6DB9" w:rsidRPr="00AA4A76" w:rsidRDefault="003C6DB9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3" w:type="pct"/>
          </w:tcPr>
          <w:p w:rsidR="003C6DB9" w:rsidRPr="00540CB3" w:rsidRDefault="003C6DB9" w:rsidP="00A0172C">
            <w:pPr>
              <w:pStyle w:val="Textpoznpodarou"/>
              <w:jc w:val="both"/>
              <w:rPr>
                <w:highlight w:val="yellow"/>
              </w:rPr>
            </w:pPr>
            <w:r w:rsidRPr="00540CB3">
              <w:rPr>
                <w:color w:val="000000"/>
              </w:rPr>
              <w:t>Graf č. 5</w:t>
            </w:r>
          </w:p>
        </w:tc>
        <w:tc>
          <w:tcPr>
            <w:tcW w:w="3261" w:type="pct"/>
          </w:tcPr>
          <w:p w:rsidR="003C6DB9" w:rsidRPr="003C6DB9" w:rsidRDefault="003C6DB9" w:rsidP="00ED2B0B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>
              <w:rPr>
                <w:b/>
              </w:rPr>
              <w:t xml:space="preserve">raných zpracovatelských odvětvích </w:t>
            </w:r>
            <w:r w:rsidR="00540CB3">
              <w:t xml:space="preserve">(reálně, </w:t>
            </w:r>
            <w:r>
              <w:t>očištěno o kalendářní vlivy,</w:t>
            </w:r>
            <w:r w:rsidRPr="001D04BA">
              <w:t xml:space="preserve"> </w:t>
            </w:r>
            <w:r w:rsidR="00540CB3">
              <w:t>meziročně</w:t>
            </w:r>
            <w:r w:rsidR="00540CB3" w:rsidRPr="001D04BA">
              <w:t xml:space="preserve"> </w:t>
            </w:r>
            <w:r w:rsidRPr="001D04BA">
              <w:t>v %)</w:t>
            </w:r>
          </w:p>
        </w:tc>
      </w:tr>
      <w:tr w:rsidR="003C6DB9" w:rsidRPr="00AA4A76" w:rsidTr="00540CB3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6D3F53" w:rsidRDefault="003C6DB9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3C6DB9" w:rsidRPr="00A74192" w:rsidRDefault="003C6DB9" w:rsidP="00A0172C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3C6DB9" w:rsidRPr="00A82C52" w:rsidRDefault="00ED2B0B" w:rsidP="00A82C52">
            <w:pPr>
              <w:pStyle w:val="Textpoznpodarou"/>
              <w:ind w:left="-124"/>
              <w:jc w:val="right"/>
              <w:rPr>
                <w:sz w:val="16"/>
                <w:szCs w:val="16"/>
              </w:rPr>
            </w:pPr>
            <w:r w:rsidRPr="00ED2B0B">
              <w:rPr>
                <w:noProof/>
                <w:sz w:val="14"/>
                <w:szCs w:val="14"/>
              </w:rPr>
              <w:drawing>
                <wp:inline distT="0" distB="0" distL="0" distR="0">
                  <wp:extent cx="4769902" cy="3553200"/>
                  <wp:effectExtent l="0" t="0" r="0" b="0"/>
                  <wp:docPr id="1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3C6DB9" w:rsidRPr="00540CB3">
              <w:rPr>
                <w:sz w:val="14"/>
                <w:szCs w:val="14"/>
              </w:rPr>
              <w:t>Zdroj: ČSÚ</w:t>
            </w:r>
          </w:p>
        </w:tc>
      </w:tr>
    </w:tbl>
    <w:p w:rsidR="00355CAA" w:rsidRPr="005C40BA" w:rsidRDefault="00355CAA" w:rsidP="00492991">
      <w:pPr>
        <w:pStyle w:val="Textpoznpodarou"/>
        <w:jc w:val="both"/>
        <w:rPr>
          <w:sz w:val="18"/>
          <w:szCs w:val="18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355CAA" w:rsidRPr="00656A4E" w:rsidTr="00A0172C">
        <w:tc>
          <w:tcPr>
            <w:tcW w:w="1016" w:type="pct"/>
            <w:shd w:val="clear" w:color="auto" w:fill="auto"/>
          </w:tcPr>
          <w:p w:rsidR="00355CAA" w:rsidRPr="00F3262E" w:rsidRDefault="00355CAA" w:rsidP="00A0172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Tržby průmyslových podniků z tuzemska svými tempy doháněly tržby z přímého vývozu.</w:t>
            </w:r>
          </w:p>
        </w:tc>
        <w:tc>
          <w:tcPr>
            <w:tcW w:w="144" w:type="pct"/>
          </w:tcPr>
          <w:p w:rsidR="00355CAA" w:rsidRPr="00F3262E" w:rsidRDefault="00355CAA" w:rsidP="00A0172C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840" w:type="pct"/>
          </w:tcPr>
          <w:p w:rsidR="00355CAA" w:rsidRDefault="00355CAA" w:rsidP="00A0172C">
            <w:pPr>
              <w:pStyle w:val="Textpoznpodarou"/>
              <w:spacing w:before="20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Trendy v průmyslové produkci souvisí s vývojem tržeb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7"/>
            </w:r>
            <w:r w:rsidR="00934836">
              <w:rPr>
                <w:color w:val="000000" w:themeColor="text1"/>
                <w:spacing w:val="-4"/>
              </w:rPr>
              <w:t>. Ty letos vzrostly o 10,5</w:t>
            </w:r>
            <w:r>
              <w:rPr>
                <w:color w:val="000000" w:themeColor="text1"/>
                <w:spacing w:val="-4"/>
              </w:rPr>
              <w:t xml:space="preserve"> %. Od roku 2015 lze pozorovat sbližování meziročních temp tržeb z přímého vývozu a tržeb z tuzemska, na </w:t>
            </w:r>
            <w:r w:rsidR="00CB2EEA">
              <w:rPr>
                <w:color w:val="000000" w:themeColor="text1"/>
                <w:spacing w:val="-4"/>
              </w:rPr>
              <w:t xml:space="preserve">počátku letošního roku byly </w:t>
            </w:r>
            <w:r>
              <w:rPr>
                <w:color w:val="000000" w:themeColor="text1"/>
                <w:spacing w:val="-4"/>
              </w:rPr>
              <w:t xml:space="preserve">rozdíly mezi </w:t>
            </w:r>
            <w:proofErr w:type="gramStart"/>
            <w:r w:rsidR="00CB2EEA">
              <w:rPr>
                <w:color w:val="000000" w:themeColor="text1"/>
                <w:spacing w:val="-4"/>
              </w:rPr>
              <w:t xml:space="preserve">již </w:t>
            </w:r>
            <w:r>
              <w:rPr>
                <w:color w:val="000000" w:themeColor="text1"/>
                <w:spacing w:val="-4"/>
              </w:rPr>
              <w:t>nimi</w:t>
            </w:r>
            <w:proofErr w:type="gramEnd"/>
            <w:r>
              <w:rPr>
                <w:color w:val="000000" w:themeColor="text1"/>
                <w:spacing w:val="-4"/>
              </w:rPr>
              <w:t xml:space="preserve"> min</w:t>
            </w:r>
            <w:r w:rsidR="00934836">
              <w:rPr>
                <w:color w:val="000000" w:themeColor="text1"/>
                <w:spacing w:val="-4"/>
              </w:rPr>
              <w:t>imální. Domácí tržby rostly o 9,5</w:t>
            </w:r>
            <w:r>
              <w:rPr>
                <w:color w:val="000000" w:themeColor="text1"/>
                <w:spacing w:val="-4"/>
              </w:rPr>
              <w:t xml:space="preserve"> %, nejvíce od konce roku 2007. Přispělo k tomu jejich silné navýšení v chemickém průmyslu (meziročně o třetinu), ale i ve strojírenství či výrobě elektrických zařízení.</w:t>
            </w:r>
          </w:p>
          <w:p w:rsidR="00355CAA" w:rsidRPr="00074A81" w:rsidRDefault="00355CAA" w:rsidP="00A0172C">
            <w:pPr>
              <w:pStyle w:val="Textpoznpodarou"/>
              <w:jc w:val="both"/>
              <w:rPr>
                <w:color w:val="000000" w:themeColor="text1"/>
                <w:spacing w:val="-4"/>
                <w:sz w:val="11"/>
                <w:szCs w:val="11"/>
              </w:rPr>
            </w:pPr>
          </w:p>
        </w:tc>
      </w:tr>
      <w:tr w:rsidR="00355CAA" w:rsidRPr="00156294" w:rsidTr="00A0172C">
        <w:tc>
          <w:tcPr>
            <w:tcW w:w="1016" w:type="pct"/>
            <w:shd w:val="clear" w:color="auto" w:fill="auto"/>
          </w:tcPr>
          <w:p w:rsidR="00355CAA" w:rsidRDefault="00355CAA" w:rsidP="00A0172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nových zakázek meziročně posílila téměř ve všech sledovaných průmyslových oborech, nejvíce v chemickém průmyslu.</w:t>
            </w:r>
          </w:p>
          <w:p w:rsidR="00355CAA" w:rsidRDefault="00355CAA" w:rsidP="00A0172C">
            <w:pPr>
              <w:spacing w:line="240" w:lineRule="auto"/>
              <w:rPr>
                <w:sz w:val="16"/>
                <w:szCs w:val="16"/>
              </w:rPr>
            </w:pPr>
          </w:p>
          <w:p w:rsidR="00355CAA" w:rsidRDefault="00355CAA" w:rsidP="00A0172C">
            <w:pPr>
              <w:spacing w:line="240" w:lineRule="auto"/>
              <w:rPr>
                <w:sz w:val="16"/>
                <w:szCs w:val="16"/>
              </w:rPr>
            </w:pPr>
          </w:p>
          <w:p w:rsidR="00355CAA" w:rsidRDefault="00355CAA" w:rsidP="00A0172C">
            <w:pPr>
              <w:spacing w:line="240" w:lineRule="auto"/>
              <w:rPr>
                <w:sz w:val="16"/>
                <w:szCs w:val="16"/>
              </w:rPr>
            </w:pPr>
          </w:p>
          <w:p w:rsidR="00355CAA" w:rsidRDefault="00355CAA" w:rsidP="00A0172C">
            <w:pPr>
              <w:spacing w:line="240" w:lineRule="auto"/>
              <w:rPr>
                <w:sz w:val="16"/>
                <w:szCs w:val="16"/>
              </w:rPr>
            </w:pPr>
          </w:p>
          <w:p w:rsidR="00355CAA" w:rsidRPr="00DA1318" w:rsidRDefault="00355CAA" w:rsidP="00A0172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Nálada podnikatelů v průmyslu zůstávala přes mírné zhoršení v posledních šesti měsících stále pozitivní.</w:t>
            </w:r>
          </w:p>
        </w:tc>
        <w:tc>
          <w:tcPr>
            <w:tcW w:w="144" w:type="pct"/>
          </w:tcPr>
          <w:p w:rsidR="00355CAA" w:rsidRDefault="00355CAA" w:rsidP="00A0172C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840" w:type="pct"/>
          </w:tcPr>
          <w:p w:rsidR="00355CAA" w:rsidRPr="003F0293" w:rsidRDefault="00355CAA" w:rsidP="003F0293">
            <w:pPr>
              <w:pStyle w:val="Textpoznpodarou"/>
              <w:spacing w:before="20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Tempo přílivu nových průmyslových zakázek</w:t>
            </w:r>
            <w:r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 xml:space="preserve"> na počátku roku neoslabovalo. Hodnota zakázek byla o desetinu vyšší, částečně vlivem nižší srovnávací základny (v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>1. loňském čtvrtletí činil růst jen 1</w:t>
            </w:r>
            <w:r w:rsidR="002B6B7A">
              <w:rPr>
                <w:spacing w:val="-4"/>
              </w:rPr>
              <w:t>,7</w:t>
            </w:r>
            <w:r>
              <w:rPr>
                <w:spacing w:val="-4"/>
              </w:rPr>
              <w:t xml:space="preserve"> % a byl nejnižší po odeznění poslední recese). Svižnému letošnímu růstu zakázek napomohlo obnovení kapacit v chemickém průmyslu </w:t>
            </w:r>
            <w:r w:rsidR="002B6B7A">
              <w:rPr>
                <w:spacing w:val="-4"/>
              </w:rPr>
              <w:t>(meziroční růst o 27,2</w:t>
            </w:r>
            <w:r>
              <w:rPr>
                <w:spacing w:val="-4"/>
              </w:rPr>
              <w:t xml:space="preserve"> % plně vykompenzoval hloubku propadu na počátku loňského roku). Pozitivní vývoj však pocítily všechny sledované obory, vyjma oděvnictví.</w:t>
            </w:r>
            <w:r>
              <w:rPr>
                <w:color w:val="000000" w:themeColor="text1"/>
                <w:spacing w:val="-4"/>
              </w:rPr>
              <w:t xml:space="preserve"> Nálada podnikatelů v průmyslu (dle sezónně očištěného salda indikátoru důvěry) zůstávala nadále mírně pozitivní, avšak počínaje loňským prosincem již šestý měsíc v řadě lehce oslabovala. Růst výrobní činnosti v</w:t>
            </w:r>
            <w:r w:rsidR="00DF34B2">
              <w:rPr>
                <w:color w:val="000000" w:themeColor="text1"/>
                <w:spacing w:val="-4"/>
              </w:rPr>
              <w:t> příštích třech měsících</w:t>
            </w:r>
            <w:r>
              <w:rPr>
                <w:color w:val="000000" w:themeColor="text1"/>
                <w:spacing w:val="-4"/>
              </w:rPr>
              <w:t xml:space="preserve"> očekávala </w:t>
            </w:r>
            <w:r w:rsidR="00DF34B2">
              <w:rPr>
                <w:color w:val="000000" w:themeColor="text1"/>
                <w:spacing w:val="-4"/>
              </w:rPr>
              <w:t xml:space="preserve">dle dubnových dat </w:t>
            </w:r>
            <w:r>
              <w:rPr>
                <w:color w:val="000000" w:themeColor="text1"/>
                <w:spacing w:val="-4"/>
              </w:rPr>
              <w:t>pětina průmyslových podniků (podobně jako loni), zvýšil se však podíl podniků uvažujících ve stejném horizontu o navýšení</w:t>
            </w:r>
            <w:r w:rsidR="00DF34B2">
              <w:rPr>
                <w:color w:val="000000" w:themeColor="text1"/>
                <w:spacing w:val="-4"/>
              </w:rPr>
              <w:t xml:space="preserve"> zaměstnanosti (z </w:t>
            </w:r>
            <w:r w:rsidR="002B6B7A">
              <w:rPr>
                <w:color w:val="000000" w:themeColor="text1"/>
                <w:spacing w:val="-4"/>
              </w:rPr>
              <w:t>18 % na 22 </w:t>
            </w:r>
            <w:r>
              <w:rPr>
                <w:color w:val="000000" w:themeColor="text1"/>
                <w:spacing w:val="-4"/>
              </w:rPr>
              <w:t>%), a to především vlivem zlepšení vyhlídek v energetice. Podíl podniků považujících nedostatek pracovní síly za bariéru růstu se citelně zvyšuje již téměř dva roky. Na počátku 2. čtvrtletí 2017 šlo již bezmála o 35 % podniků, meziročně dvakrát více. Role nedostatečné poptávky nadá</w:t>
            </w:r>
            <w:r w:rsidR="00215061">
              <w:rPr>
                <w:color w:val="000000" w:themeColor="text1"/>
                <w:spacing w:val="-4"/>
              </w:rPr>
              <w:t>le mírně klesala, přesto zůstávala</w:t>
            </w:r>
            <w:r w:rsidR="005325A8">
              <w:rPr>
                <w:color w:val="000000" w:themeColor="text1"/>
                <w:spacing w:val="-4"/>
              </w:rPr>
              <w:t xml:space="preserve"> pro podniky nejvýznamn</w:t>
            </w:r>
            <w:r>
              <w:rPr>
                <w:color w:val="000000" w:themeColor="text1"/>
                <w:spacing w:val="-4"/>
              </w:rPr>
              <w:t>ější bariérou růstu (42 %).</w:t>
            </w:r>
          </w:p>
        </w:tc>
      </w:tr>
    </w:tbl>
    <w:p w:rsidR="00813CB4" w:rsidRPr="003F0293" w:rsidRDefault="00813CB4" w:rsidP="00492991">
      <w:pPr>
        <w:pStyle w:val="Textpoznpodarou"/>
        <w:jc w:val="both"/>
        <w:rPr>
          <w:sz w:val="6"/>
          <w:szCs w:val="6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980"/>
        <w:gridCol w:w="6520"/>
      </w:tblGrid>
      <w:tr w:rsidR="003C6DB9" w:rsidRPr="00AA4A76" w:rsidTr="00540CB3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AA4A76" w:rsidRDefault="003C6DB9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3C6DB9" w:rsidRPr="00AA4A76" w:rsidRDefault="003C6DB9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01" w:type="pct"/>
          </w:tcPr>
          <w:p w:rsidR="003C6DB9" w:rsidRPr="00540CB3" w:rsidRDefault="003C6DB9" w:rsidP="00A0172C">
            <w:pPr>
              <w:pStyle w:val="Textpoznpodarou"/>
              <w:jc w:val="both"/>
              <w:rPr>
                <w:spacing w:val="-4"/>
                <w:highlight w:val="yellow"/>
              </w:rPr>
            </w:pPr>
            <w:r w:rsidRPr="00540CB3">
              <w:rPr>
                <w:color w:val="000000"/>
                <w:spacing w:val="-4"/>
              </w:rPr>
              <w:t>Graf č. 6</w:t>
            </w:r>
          </w:p>
        </w:tc>
        <w:tc>
          <w:tcPr>
            <w:tcW w:w="3333" w:type="pct"/>
          </w:tcPr>
          <w:p w:rsidR="002B6B7A" w:rsidRPr="00540CB3" w:rsidRDefault="003C6DB9" w:rsidP="002B6B7A">
            <w:pPr>
              <w:pStyle w:val="Textpoznpodarou"/>
              <w:rPr>
                <w:b/>
                <w:spacing w:val="-2"/>
              </w:rPr>
            </w:pPr>
            <w:r w:rsidRPr="00540CB3">
              <w:rPr>
                <w:b/>
                <w:spacing w:val="-2"/>
              </w:rPr>
              <w:t xml:space="preserve">Nové zakázky v automobilovém průmyslu, v průmyslu celkem </w:t>
            </w:r>
          </w:p>
          <w:p w:rsidR="003C6DB9" w:rsidRPr="002B6B7A" w:rsidRDefault="00540CB3" w:rsidP="002B6B7A">
            <w:pPr>
              <w:pStyle w:val="Textpoznpodarou"/>
              <w:rPr>
                <w:bCs/>
              </w:rPr>
            </w:pPr>
            <w:r>
              <w:rPr>
                <w:bCs/>
                <w:spacing w:val="-2"/>
              </w:rPr>
              <w:t>(v běž.</w:t>
            </w:r>
            <w:r w:rsidR="002B6B7A" w:rsidRPr="00540CB3">
              <w:rPr>
                <w:bCs/>
                <w:spacing w:val="-2"/>
              </w:rPr>
              <w:t xml:space="preserve"> cenách</w:t>
            </w:r>
            <w:r w:rsidRPr="00540CB3">
              <w:rPr>
                <w:bCs/>
                <w:spacing w:val="-2"/>
              </w:rPr>
              <w:t xml:space="preserve">, </w:t>
            </w:r>
            <w:r w:rsidRPr="00540CB3">
              <w:rPr>
                <w:spacing w:val="-2"/>
              </w:rPr>
              <w:t>meziročně</w:t>
            </w:r>
            <w:r w:rsidR="003C6DB9" w:rsidRPr="00540CB3">
              <w:rPr>
                <w:bCs/>
                <w:spacing w:val="-2"/>
              </w:rPr>
              <w:t xml:space="preserve"> v %) </w:t>
            </w:r>
            <w:r w:rsidR="003C6DB9" w:rsidRPr="00540CB3">
              <w:rPr>
                <w:b/>
                <w:spacing w:val="-2"/>
              </w:rPr>
              <w:t>a saldo indikátoru důvěry v průmyslu</w:t>
            </w:r>
          </w:p>
        </w:tc>
      </w:tr>
      <w:tr w:rsidR="003C6DB9" w:rsidRPr="00AA4A76" w:rsidTr="00540CB3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6D3F53" w:rsidRDefault="003C6DB9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3C6DB9" w:rsidRPr="00A74192" w:rsidRDefault="003C6DB9" w:rsidP="00A0172C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3C6DB9" w:rsidRPr="00540CB3" w:rsidRDefault="00ED2B0B" w:rsidP="00540CB3">
            <w:pPr>
              <w:pStyle w:val="Textpoznpodarou"/>
              <w:ind w:left="-124"/>
              <w:jc w:val="right"/>
              <w:rPr>
                <w:sz w:val="16"/>
                <w:szCs w:val="16"/>
              </w:rPr>
            </w:pPr>
            <w:r w:rsidRPr="00ED2B0B">
              <w:rPr>
                <w:noProof/>
                <w:sz w:val="14"/>
                <w:szCs w:val="14"/>
              </w:rPr>
              <w:drawing>
                <wp:inline distT="0" distB="0" distL="0" distR="0">
                  <wp:extent cx="4772801" cy="3553200"/>
                  <wp:effectExtent l="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3C6DB9" w:rsidRPr="00540CB3">
              <w:rPr>
                <w:sz w:val="14"/>
                <w:szCs w:val="14"/>
              </w:rPr>
              <w:t>Zdroj: ČSÚ</w:t>
            </w:r>
          </w:p>
        </w:tc>
      </w:tr>
    </w:tbl>
    <w:p w:rsidR="00355CAA" w:rsidRPr="005C40BA" w:rsidRDefault="00355CAA" w:rsidP="00492991">
      <w:pPr>
        <w:pStyle w:val="Textpoznpodarou"/>
        <w:jc w:val="both"/>
        <w:rPr>
          <w:sz w:val="18"/>
          <w:szCs w:val="18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355CAA" w:rsidRPr="00656A4E" w:rsidTr="00A0172C">
        <w:tc>
          <w:tcPr>
            <w:tcW w:w="1016" w:type="pct"/>
            <w:shd w:val="clear" w:color="auto" w:fill="auto"/>
          </w:tcPr>
          <w:p w:rsidR="00355CAA" w:rsidRPr="003657B7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3657B7">
              <w:rPr>
                <w:spacing w:val="-2"/>
                <w:sz w:val="16"/>
                <w:szCs w:val="16"/>
              </w:rPr>
              <w:t>Pr</w:t>
            </w:r>
            <w:r w:rsidR="005325A8">
              <w:rPr>
                <w:spacing w:val="-2"/>
                <w:sz w:val="16"/>
                <w:szCs w:val="16"/>
              </w:rPr>
              <w:t>ůmyslová produkce roste v Česku</w:t>
            </w:r>
            <w:r w:rsidRPr="003657B7">
              <w:rPr>
                <w:spacing w:val="-2"/>
                <w:sz w:val="16"/>
                <w:szCs w:val="16"/>
              </w:rPr>
              <w:t xml:space="preserve"> podobně jako u většiny</w:t>
            </w:r>
            <w:r w:rsidR="005325A8">
              <w:rPr>
                <w:spacing w:val="-2"/>
                <w:sz w:val="16"/>
                <w:szCs w:val="16"/>
              </w:rPr>
              <w:t xml:space="preserve"> novějších členských států Unie</w:t>
            </w:r>
            <w:r w:rsidRPr="003657B7">
              <w:rPr>
                <w:spacing w:val="-2"/>
                <w:sz w:val="16"/>
                <w:szCs w:val="16"/>
              </w:rPr>
              <w:t xml:space="preserve"> vyššími tempy než v celé EU.</w:t>
            </w:r>
          </w:p>
          <w:p w:rsidR="00355CAA" w:rsidRPr="003657B7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657B7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355CAA" w:rsidP="00A0172C">
            <w:pPr>
              <w:spacing w:line="240" w:lineRule="auto"/>
              <w:rPr>
                <w:sz w:val="16"/>
                <w:szCs w:val="16"/>
              </w:rPr>
            </w:pPr>
            <w:r w:rsidRPr="003657B7">
              <w:rPr>
                <w:spacing w:val="-2"/>
                <w:sz w:val="16"/>
                <w:szCs w:val="16"/>
              </w:rPr>
              <w:t>Úrovně produkce z počátk</w:t>
            </w:r>
            <w:r>
              <w:rPr>
                <w:spacing w:val="-2"/>
                <w:sz w:val="16"/>
                <w:szCs w:val="16"/>
              </w:rPr>
              <w:t>u konjunkturního roku 2008 zatím</w:t>
            </w:r>
            <w:r w:rsidRPr="003657B7">
              <w:rPr>
                <w:spacing w:val="-2"/>
                <w:sz w:val="16"/>
                <w:szCs w:val="16"/>
              </w:rPr>
              <w:t xml:space="preserve"> dosáhlo jen třináct unijních členů</w:t>
            </w:r>
            <w:r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355CAA" w:rsidRPr="00636F97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355CAA" w:rsidRDefault="00355CAA" w:rsidP="00A0172C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Průmyslová produkce v ČR roste dlouhodobě vyššími tempy než v EU. Přestože letos (ani po většinu loňského roku) nepatřilo Česko do první desítky zemí s nejvyšším růstem, za nejdynamičtějšími středoevropskými státy znatelně nezaostávalo (Slovensko +7,8 %, Ma</w:t>
            </w:r>
            <w:r w:rsidR="00600712">
              <w:rPr>
                <w:spacing w:val="-4"/>
              </w:rPr>
              <w:t>ďarsko +6,3</w:t>
            </w:r>
            <w:r>
              <w:rPr>
                <w:spacing w:val="-4"/>
              </w:rPr>
              <w:t xml:space="preserve"> %</w:t>
            </w:r>
            <w:r w:rsidR="00600712">
              <w:rPr>
                <w:spacing w:val="-4"/>
              </w:rPr>
              <w:t>, Polsko +6,0</w:t>
            </w:r>
            <w:r>
              <w:rPr>
                <w:spacing w:val="-4"/>
              </w:rPr>
              <w:t xml:space="preserve"> %). Úroveň produkce z počátku konjunkturního roku 2008 dosud překonalo 13 zemí EU (ČR o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 xml:space="preserve">12,5 %), ze starých členských států šlo jen o </w:t>
            </w:r>
            <w:r w:rsidR="00C36EC3">
              <w:rPr>
                <w:spacing w:val="-4"/>
              </w:rPr>
              <w:t xml:space="preserve">Irsko, </w:t>
            </w:r>
            <w:r>
              <w:rPr>
                <w:spacing w:val="-4"/>
              </w:rPr>
              <w:t xml:space="preserve">Belgii, Rakousko, Německo. Téměř polovina zpracovatelských oborů v ČR za svou předkrizovou úrovní dosud zaostávala – o více než pětinu výroba nápojů, oděvů a průmysl skla, keramiky, porcelánu a stavebních hmot. Z větších </w:t>
            </w:r>
            <w:r w:rsidR="00203FCB">
              <w:rPr>
                <w:spacing w:val="-4"/>
              </w:rPr>
              <w:t xml:space="preserve">průmyslových </w:t>
            </w:r>
            <w:r>
              <w:rPr>
                <w:spacing w:val="-4"/>
              </w:rPr>
              <w:t>oborů šlo pak o zejména o hutnictv</w:t>
            </w:r>
            <w:r w:rsidR="00203FCB">
              <w:rPr>
                <w:spacing w:val="-4"/>
              </w:rPr>
              <w:t>í (-19 %), v menším rozsahu i o energetiku</w:t>
            </w:r>
            <w:r>
              <w:rPr>
                <w:spacing w:val="-4"/>
              </w:rPr>
              <w:t xml:space="preserve"> a chemický průmysl.</w:t>
            </w:r>
          </w:p>
          <w:p w:rsidR="00355CAA" w:rsidRPr="006C5BE9" w:rsidRDefault="00355CAA" w:rsidP="00A0172C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355CAA" w:rsidRPr="00156294" w:rsidTr="00A0172C">
        <w:tc>
          <w:tcPr>
            <w:tcW w:w="1016" w:type="pct"/>
            <w:shd w:val="clear" w:color="auto" w:fill="auto"/>
          </w:tcPr>
          <w:p w:rsidR="00355CAA" w:rsidRPr="005B2702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 odeznění mimo</w:t>
            </w:r>
            <w:r w:rsidR="006B7CCE">
              <w:rPr>
                <w:spacing w:val="-2"/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 xml:space="preserve">řádných růstových vlivů stavebnictví na výraznější impuls stále čeká, inženýrské stavitelství sráží nízký objem veřejných investic, pozemní stavitelství je </w:t>
            </w:r>
            <w:r w:rsidR="006B7CCE">
              <w:rPr>
                <w:spacing w:val="-2"/>
                <w:sz w:val="16"/>
                <w:szCs w:val="16"/>
              </w:rPr>
              <w:t>limito</w:t>
            </w:r>
            <w:r>
              <w:rPr>
                <w:spacing w:val="-2"/>
                <w:sz w:val="16"/>
                <w:szCs w:val="16"/>
              </w:rPr>
              <w:t>váno administrativní náročností</w:t>
            </w:r>
            <w:r w:rsidR="006B7CCE">
              <w:rPr>
                <w:spacing w:val="-2"/>
                <w:sz w:val="16"/>
                <w:szCs w:val="16"/>
              </w:rPr>
              <w:t xml:space="preserve"> staveb. </w:t>
            </w:r>
            <w:r>
              <w:rPr>
                <w:spacing w:val="-2"/>
                <w:sz w:val="16"/>
                <w:szCs w:val="16"/>
              </w:rPr>
              <w:t>řízení.</w:t>
            </w:r>
          </w:p>
          <w:p w:rsidR="00355CAA" w:rsidRPr="005B2702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355CAA" w:rsidRPr="005B2702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355CAA" w:rsidRDefault="00355CAA" w:rsidP="00A0172C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Po odeznění mimořádného vlivu dočerpávání prostředků z evropských fondů, které významně posílily investice</w:t>
            </w:r>
            <w:r w:rsidR="003F0293">
              <w:rPr>
                <w:spacing w:val="-4"/>
              </w:rPr>
              <w:t xml:space="preserve"> na infrastruktur</w:t>
            </w:r>
            <w:r w:rsidR="00564137">
              <w:rPr>
                <w:spacing w:val="-4"/>
              </w:rPr>
              <w:t xml:space="preserve">ní projekty </w:t>
            </w:r>
            <w:r>
              <w:rPr>
                <w:spacing w:val="-4"/>
              </w:rPr>
              <w:t>a tím podpořily stavebnictv</w:t>
            </w:r>
            <w:r w:rsidR="00564137">
              <w:rPr>
                <w:spacing w:val="-4"/>
              </w:rPr>
              <w:t>í zejména v letech 2014 a 2015,</w:t>
            </w:r>
            <w:r>
              <w:rPr>
                <w:spacing w:val="-4"/>
              </w:rPr>
              <w:t xml:space="preserve"> toto odvětví na výraznější růstový impuls stále čeká. Meziroční pokles stavební produkce pokračoval již páté čtvrtletí v řadě, v první</w:t>
            </w:r>
            <w:r w:rsidR="006B7CCE">
              <w:rPr>
                <w:spacing w:val="-4"/>
              </w:rPr>
              <w:t>ch třech měsících roku činil 2,3</w:t>
            </w:r>
            <w:r>
              <w:rPr>
                <w:spacing w:val="-4"/>
              </w:rPr>
              <w:t xml:space="preserve"> % (podobně jako na sklonku předešlého roku)</w:t>
            </w:r>
            <w:r>
              <w:rPr>
                <w:rStyle w:val="Znakapoznpodarou"/>
                <w:spacing w:val="-4"/>
              </w:rPr>
              <w:footnoteReference w:id="9"/>
            </w:r>
            <w:r>
              <w:rPr>
                <w:spacing w:val="-4"/>
              </w:rPr>
              <w:t>. Celé odvětví táhlo dolů inženýrské stavitelství, jehož výkon byl proti počátku loňského roku o téměř šestinu slabší a plně tak kompenzoval kladný příspěvek váhově významnějšího pozemního stavitelství (jež meziročně síli</w:t>
            </w:r>
            <w:r w:rsidR="003F0293">
              <w:rPr>
                <w:spacing w:val="-4"/>
              </w:rPr>
              <w:t>lo již třetí čtvrtletí v řadě).</w:t>
            </w:r>
          </w:p>
          <w:p w:rsidR="00355CAA" w:rsidRPr="006C5BE9" w:rsidRDefault="00355CAA" w:rsidP="00A0172C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355CAA" w:rsidRPr="00656A4E" w:rsidTr="00A0172C">
        <w:tc>
          <w:tcPr>
            <w:tcW w:w="1016" w:type="pct"/>
            <w:shd w:val="clear" w:color="auto" w:fill="auto"/>
          </w:tcPr>
          <w:p w:rsidR="00355CAA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Mezičtvrtletní pokles produkce stavebnictví (letos i</w:t>
            </w:r>
            <w:r w:rsidRPr="003657B7">
              <w:rPr>
                <w:spacing w:val="-2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>samotného inženýrského stavitelství) se zastavil, výkon celého odvětví byl na úrovni počátku roku 2014.</w:t>
            </w:r>
          </w:p>
          <w:p w:rsidR="00355CAA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304FAE" w:rsidRDefault="00355CAA" w:rsidP="00A0172C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304FAE">
              <w:rPr>
                <w:spacing w:val="-4"/>
                <w:sz w:val="16"/>
                <w:szCs w:val="16"/>
              </w:rPr>
              <w:t xml:space="preserve">Hodnota nových zakázek meziročně posílila již druhé čtvrtletí v řadě, zásoba </w:t>
            </w:r>
            <w:r>
              <w:rPr>
                <w:spacing w:val="-4"/>
                <w:sz w:val="16"/>
                <w:szCs w:val="16"/>
              </w:rPr>
              <w:t xml:space="preserve">všech </w:t>
            </w:r>
            <w:r w:rsidRPr="00304FAE">
              <w:rPr>
                <w:spacing w:val="-4"/>
                <w:sz w:val="16"/>
                <w:szCs w:val="16"/>
              </w:rPr>
              <w:t xml:space="preserve">dosud </w:t>
            </w:r>
            <w:r w:rsidRPr="00304FAE">
              <w:rPr>
                <w:spacing w:val="-4"/>
                <w:sz w:val="16"/>
                <w:szCs w:val="16"/>
              </w:rPr>
              <w:lastRenderedPageBreak/>
              <w:t xml:space="preserve">nerealizovaných objednávek se však </w:t>
            </w:r>
            <w:r>
              <w:rPr>
                <w:spacing w:val="-4"/>
                <w:sz w:val="16"/>
                <w:szCs w:val="16"/>
              </w:rPr>
              <w:t xml:space="preserve">meziročně </w:t>
            </w:r>
            <w:r w:rsidR="00564137">
              <w:rPr>
                <w:spacing w:val="-4"/>
                <w:sz w:val="16"/>
                <w:szCs w:val="16"/>
              </w:rPr>
              <w:t>mírně ztenčila</w:t>
            </w:r>
            <w:r w:rsidRPr="00304FAE">
              <w:rPr>
                <w:spacing w:val="-4"/>
                <w:sz w:val="16"/>
                <w:szCs w:val="16"/>
              </w:rPr>
              <w:t xml:space="preserve"> vlivem nižších veřejných </w:t>
            </w:r>
            <w:r>
              <w:rPr>
                <w:spacing w:val="-4"/>
                <w:sz w:val="16"/>
                <w:szCs w:val="16"/>
              </w:rPr>
              <w:t>zakázek i</w:t>
            </w:r>
            <w:r w:rsidRPr="00304FAE">
              <w:rPr>
                <w:spacing w:val="-4"/>
                <w:sz w:val="16"/>
                <w:szCs w:val="16"/>
              </w:rPr>
              <w:t> menšího objemu prací v</w:t>
            </w:r>
            <w:r>
              <w:rPr>
                <w:spacing w:val="-4"/>
                <w:sz w:val="16"/>
                <w:szCs w:val="16"/>
              </w:rPr>
              <w:t> </w:t>
            </w:r>
            <w:r w:rsidRPr="00304FAE">
              <w:rPr>
                <w:spacing w:val="-4"/>
                <w:sz w:val="16"/>
                <w:szCs w:val="16"/>
              </w:rPr>
              <w:t>zahraničí</w:t>
            </w:r>
            <w:r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355CAA" w:rsidRPr="005B2702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355CAA" w:rsidRPr="00535F78" w:rsidRDefault="00355CAA" w:rsidP="00A0172C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 xml:space="preserve">Stavebnictví patrně našlo své dno v polovině loňského roku, od té doby se jeho produkce v mezičtvrtletním vyjádření již nesnižovala. Výkon inženýrského stavitelství po pěti </w:t>
            </w:r>
            <w:r w:rsidR="00F47804">
              <w:rPr>
                <w:spacing w:val="-4"/>
              </w:rPr>
              <w:t xml:space="preserve">předešlých </w:t>
            </w:r>
            <w:r>
              <w:rPr>
                <w:spacing w:val="-4"/>
              </w:rPr>
              <w:t xml:space="preserve">čtvrtletích hlubokých propadů (v úhrnu o 25 %) byl </w:t>
            </w:r>
            <w:r w:rsidR="00F47804">
              <w:rPr>
                <w:spacing w:val="-4"/>
              </w:rPr>
              <w:t xml:space="preserve">již </w:t>
            </w:r>
            <w:r>
              <w:rPr>
                <w:spacing w:val="-4"/>
              </w:rPr>
              <w:t>letos op</w:t>
            </w:r>
            <w:r w:rsidR="00B13BCE">
              <w:rPr>
                <w:spacing w:val="-4"/>
              </w:rPr>
              <w:t>roti 4. </w:t>
            </w:r>
            <w:r w:rsidR="00E533B7">
              <w:rPr>
                <w:spacing w:val="-4"/>
              </w:rPr>
              <w:t xml:space="preserve">čtvrtletí 2016 </w:t>
            </w:r>
            <w:r w:rsidR="00F47804">
              <w:rPr>
                <w:spacing w:val="-4"/>
              </w:rPr>
              <w:t>o 4,4</w:t>
            </w:r>
            <w:r>
              <w:rPr>
                <w:spacing w:val="-4"/>
              </w:rPr>
              <w:t xml:space="preserve"> % vyšší. Pozvolný odraz ode dna signalizují i nové stavební zakázky. Jejich hodnota (u stavebních podniků s 50 a více zaměstnanci) převýšila loňskou nízkou </w:t>
            </w:r>
            <w:r w:rsidR="00F47804">
              <w:rPr>
                <w:spacing w:val="-4"/>
              </w:rPr>
              <w:t xml:space="preserve">úroveň jak </w:t>
            </w:r>
            <w:r w:rsidR="00AA1356">
              <w:rPr>
                <w:spacing w:val="-4"/>
              </w:rPr>
              <w:t xml:space="preserve">v </w:t>
            </w:r>
            <w:r w:rsidR="00F47804">
              <w:rPr>
                <w:spacing w:val="-4"/>
              </w:rPr>
              <w:t>pozemním (o 7</w:t>
            </w:r>
            <w:r>
              <w:rPr>
                <w:spacing w:val="-4"/>
              </w:rPr>
              <w:t xml:space="preserve"> %), tak </w:t>
            </w:r>
            <w:r w:rsidR="00F47804">
              <w:rPr>
                <w:spacing w:val="-4"/>
              </w:rPr>
              <w:t xml:space="preserve">i </w:t>
            </w:r>
            <w:r w:rsidR="00B13BCE">
              <w:rPr>
                <w:spacing w:val="-4"/>
              </w:rPr>
              <w:t>v inženýrském stavitelství (o </w:t>
            </w:r>
            <w:r w:rsidR="00F47804">
              <w:rPr>
                <w:spacing w:val="-4"/>
              </w:rPr>
              <w:t>26</w:t>
            </w:r>
            <w:r w:rsidR="00B13BCE">
              <w:rPr>
                <w:spacing w:val="-4"/>
              </w:rPr>
              <w:t> </w:t>
            </w:r>
            <w:r>
              <w:rPr>
                <w:spacing w:val="-4"/>
              </w:rPr>
              <w:t>%). Oproti celému roku 2016 letos mírně vzrostla i průměrná veli</w:t>
            </w:r>
            <w:r w:rsidR="00F47804">
              <w:rPr>
                <w:spacing w:val="-4"/>
              </w:rPr>
              <w:t>k</w:t>
            </w:r>
            <w:r w:rsidR="00CC4F3D">
              <w:rPr>
                <w:spacing w:val="-4"/>
              </w:rPr>
              <w:t>ost připadající na</w:t>
            </w:r>
            <w:r w:rsidR="00F47804">
              <w:rPr>
                <w:spacing w:val="-4"/>
              </w:rPr>
              <w:t xml:space="preserve"> </w:t>
            </w:r>
            <w:r w:rsidR="00CC4F3D">
              <w:rPr>
                <w:spacing w:val="-4"/>
              </w:rPr>
              <w:t xml:space="preserve">jednu </w:t>
            </w:r>
            <w:r w:rsidR="00B300E8">
              <w:rPr>
                <w:spacing w:val="-4"/>
              </w:rPr>
              <w:t xml:space="preserve">uzavřenou zakázku – na </w:t>
            </w:r>
            <w:r w:rsidR="00F47804">
              <w:rPr>
                <w:spacing w:val="-4"/>
              </w:rPr>
              <w:t>3,2</w:t>
            </w:r>
            <w:r w:rsidR="00B300E8">
              <w:rPr>
                <w:spacing w:val="-4"/>
              </w:rPr>
              <w:t xml:space="preserve"> mil. korun (v roce 2015 ale činila téměř 4 mil. korun)</w:t>
            </w:r>
            <w:r>
              <w:rPr>
                <w:spacing w:val="-4"/>
              </w:rPr>
              <w:t xml:space="preserve">. Celková zásoba práce ve formě dosud nerealizovaných stavebních zakázek byla na konci března meziročně o 3 % slabší (činila 136 mld. korun, srovnatelná </w:t>
            </w:r>
            <w:r>
              <w:rPr>
                <w:spacing w:val="-4"/>
              </w:rPr>
              <w:lastRenderedPageBreak/>
              <w:t>s počátkem roku 2013). Polovinu všech objednávek tvořily veřejné zakázky, jejich zásoba s</w:t>
            </w:r>
            <w:r w:rsidR="00F47804">
              <w:rPr>
                <w:spacing w:val="-4"/>
              </w:rPr>
              <w:t>e proti březnu 2015 snížila o 17,6</w:t>
            </w:r>
            <w:r>
              <w:rPr>
                <w:spacing w:val="-4"/>
              </w:rPr>
              <w:t xml:space="preserve"> mld. korun. Objem soukromých tuzemských zakázek v posledních třech letech spíše stagnoval, zahraniční zakázky se ve stejném období ale zredukovaly na polovinu (tvořily v březnu 2017 osminu zásoby celkové zásoby práce, významnější byly spíše pro větší stavební firmy). Příznivěji pro stavebnictví vyznívá jiný předstihový indikátor </w:t>
            </w:r>
            <w:r>
              <w:rPr>
                <w:color w:val="000000" w:themeColor="text1"/>
                <w:spacing w:val="-4"/>
              </w:rPr>
              <w:t>–</w:t>
            </w:r>
            <w:r>
              <w:rPr>
                <w:spacing w:val="-4"/>
              </w:rPr>
              <w:t xml:space="preserve"> orientační hodnota </w:t>
            </w:r>
            <w:r w:rsidR="003B293F">
              <w:rPr>
                <w:spacing w:val="-4"/>
              </w:rPr>
              <w:t xml:space="preserve">vydaných stavebních </w:t>
            </w:r>
            <w:r>
              <w:rPr>
                <w:spacing w:val="-4"/>
              </w:rPr>
              <w:t>povolení. Ta pokračovala v loňském růstu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>v 1. čtvrtletí meziročně posílila o ví</w:t>
            </w:r>
            <w:r w:rsidR="00564137">
              <w:rPr>
                <w:spacing w:val="-4"/>
              </w:rPr>
              <w:t>ce než 40 %. Stálo za tím její</w:t>
            </w:r>
            <w:r>
              <w:rPr>
                <w:spacing w:val="-4"/>
              </w:rPr>
              <w:t xml:space="preserve"> silné navýšení u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 xml:space="preserve">nebytových budov související s rozvojem výrobních kapacit průmyslu. </w:t>
            </w:r>
            <w:r w:rsidRPr="00D163CC">
              <w:rPr>
                <w:color w:val="000000" w:themeColor="text1"/>
                <w:spacing w:val="-4"/>
              </w:rPr>
              <w:t xml:space="preserve">Sezónně očištěné </w:t>
            </w:r>
            <w:r w:rsidRPr="00CD12E2">
              <w:rPr>
                <w:color w:val="000000" w:themeColor="text1"/>
                <w:spacing w:val="-4"/>
              </w:rPr>
              <w:t>saldo důvěry podnikatelů ve stavebnictví setrvává</w:t>
            </w:r>
            <w:r w:rsidRPr="00D163CC">
              <w:rPr>
                <w:color w:val="000000" w:themeColor="text1"/>
                <w:spacing w:val="-4"/>
              </w:rPr>
              <w:t xml:space="preserve"> dlouhodobě v negativním pásmu. Dva roky trvající tendence mírného zlepšování se </w:t>
            </w:r>
            <w:r>
              <w:rPr>
                <w:color w:val="000000" w:themeColor="text1"/>
                <w:spacing w:val="-4"/>
              </w:rPr>
              <w:t xml:space="preserve">v loňském únoru </w:t>
            </w:r>
            <w:r w:rsidRPr="00D163CC">
              <w:rPr>
                <w:color w:val="000000" w:themeColor="text1"/>
                <w:spacing w:val="-4"/>
              </w:rPr>
              <w:t>zastavil</w:t>
            </w:r>
            <w:r>
              <w:rPr>
                <w:color w:val="000000" w:themeColor="text1"/>
                <w:spacing w:val="-4"/>
              </w:rPr>
              <w:t xml:space="preserve">a, od poloviny roku 2016 pak důvěra mírně kolísá. </w:t>
            </w:r>
            <w:r w:rsidRPr="00D163CC">
              <w:rPr>
                <w:color w:val="000000" w:themeColor="text1"/>
                <w:spacing w:val="-4"/>
              </w:rPr>
              <w:t>Nedostatečnou pop</w:t>
            </w:r>
            <w:r w:rsidR="008548EA">
              <w:rPr>
                <w:color w:val="000000" w:themeColor="text1"/>
                <w:spacing w:val="-4"/>
              </w:rPr>
              <w:t>távku jako bariéru růstu uvedlo</w:t>
            </w:r>
            <w:r w:rsidRPr="00D163CC">
              <w:rPr>
                <w:color w:val="000000" w:themeColor="text1"/>
                <w:spacing w:val="-4"/>
              </w:rPr>
              <w:t xml:space="preserve"> v</w:t>
            </w:r>
            <w:r>
              <w:rPr>
                <w:color w:val="000000" w:themeColor="text1"/>
                <w:spacing w:val="-4"/>
              </w:rPr>
              <w:t> dubnu 53</w:t>
            </w:r>
            <w:r w:rsidRPr="00D163CC">
              <w:rPr>
                <w:color w:val="000000" w:themeColor="text1"/>
                <w:spacing w:val="-4"/>
              </w:rPr>
              <w:t xml:space="preserve"> % podn</w:t>
            </w:r>
            <w:r>
              <w:rPr>
                <w:color w:val="000000" w:themeColor="text1"/>
                <w:spacing w:val="-4"/>
              </w:rPr>
              <w:t>ik</w:t>
            </w:r>
            <w:r w:rsidR="00E533B7">
              <w:rPr>
                <w:color w:val="000000" w:themeColor="text1"/>
                <w:spacing w:val="-4"/>
              </w:rPr>
              <w:t xml:space="preserve">ů (před rokem 61 %), </w:t>
            </w:r>
            <w:r w:rsidR="00F47804">
              <w:rPr>
                <w:color w:val="000000" w:themeColor="text1"/>
                <w:spacing w:val="-4"/>
              </w:rPr>
              <w:t>dvojnásobně více než v</w:t>
            </w:r>
            <w:r w:rsidRPr="00D163CC">
              <w:rPr>
                <w:color w:val="000000" w:themeColor="text1"/>
                <w:spacing w:val="-4"/>
              </w:rPr>
              <w:t xml:space="preserve"> EU.</w:t>
            </w:r>
          </w:p>
        </w:tc>
      </w:tr>
    </w:tbl>
    <w:p w:rsidR="00355CAA" w:rsidRPr="00535F78" w:rsidRDefault="00355CAA" w:rsidP="00492991">
      <w:pPr>
        <w:pStyle w:val="Textpoznpodarou"/>
        <w:jc w:val="both"/>
        <w:rPr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3C6DB9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AA4A76" w:rsidRDefault="003C6DB9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3C6DB9" w:rsidRPr="00AA4A76" w:rsidRDefault="003C6DB9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3C6DB9" w:rsidRPr="00AA4A76" w:rsidRDefault="003C6DB9" w:rsidP="00A0172C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7</w:t>
            </w:r>
          </w:p>
        </w:tc>
        <w:tc>
          <w:tcPr>
            <w:tcW w:w="3262" w:type="pct"/>
          </w:tcPr>
          <w:p w:rsidR="00540CB3" w:rsidRDefault="003C6DB9" w:rsidP="00ED2B0B">
            <w:pPr>
              <w:pStyle w:val="Textpoznpodarou"/>
              <w:rPr>
                <w:bCs/>
              </w:rPr>
            </w:pPr>
            <w:r>
              <w:rPr>
                <w:b/>
              </w:rPr>
              <w:t xml:space="preserve">Stavební produkce*, hodnota nových zakázek </w:t>
            </w:r>
            <w:r w:rsidR="00540CB3">
              <w:rPr>
                <w:bCs/>
              </w:rPr>
              <w:t>(</w:t>
            </w:r>
            <w:r w:rsidR="00540CB3" w:rsidRPr="00540CB3">
              <w:rPr>
                <w:spacing w:val="-2"/>
              </w:rPr>
              <w:t>meziročně</w:t>
            </w:r>
            <w:r w:rsidR="00540CB3" w:rsidRPr="00540CB3">
              <w:rPr>
                <w:bCs/>
                <w:spacing w:val="-2"/>
              </w:rPr>
              <w:t xml:space="preserve"> v %)</w:t>
            </w:r>
            <w:r>
              <w:rPr>
                <w:bCs/>
              </w:rPr>
              <w:t xml:space="preserve"> </w:t>
            </w:r>
          </w:p>
          <w:p w:rsidR="003C6DB9" w:rsidRPr="00886A8F" w:rsidRDefault="003C6DB9" w:rsidP="00ED2B0B">
            <w:pPr>
              <w:pStyle w:val="Textpoznpodarou"/>
              <w:rPr>
                <w:spacing w:val="-2"/>
                <w:lang w:eastAsia="en-US"/>
              </w:rPr>
            </w:pPr>
            <w:r w:rsidRPr="006B4FFB">
              <w:rPr>
                <w:b/>
              </w:rPr>
              <w:t>a</w:t>
            </w:r>
            <w:r w:rsidR="00894F71">
              <w:rPr>
                <w:b/>
              </w:rPr>
              <w:t xml:space="preserve"> saldo indikátoru </w:t>
            </w:r>
            <w:r>
              <w:rPr>
                <w:b/>
              </w:rPr>
              <w:t>důvěry ve stavebnictví</w:t>
            </w:r>
          </w:p>
        </w:tc>
      </w:tr>
      <w:tr w:rsidR="003C6DB9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6D3F53" w:rsidRDefault="003C6DB9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3C6DB9" w:rsidRPr="00A74192" w:rsidRDefault="003C6DB9" w:rsidP="00A0172C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3C6DB9" w:rsidRPr="00AA4A76" w:rsidRDefault="00ED2B0B" w:rsidP="00540CB3">
            <w:pPr>
              <w:pStyle w:val="Textpoznpodarou"/>
              <w:ind w:left="-124"/>
              <w:rPr>
                <w:sz w:val="18"/>
                <w:szCs w:val="18"/>
              </w:rPr>
            </w:pPr>
            <w:r w:rsidRPr="00ED2B0B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49196" cy="3548230"/>
                  <wp:effectExtent l="19050" t="0" r="0" b="0"/>
                  <wp:docPr id="1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="00E533B7">
              <w:rPr>
                <w:rFonts w:cs="Arial"/>
                <w:sz w:val="14"/>
                <w:szCs w:val="14"/>
              </w:rPr>
              <w:t>*O</w:t>
            </w:r>
            <w:r w:rsidR="006B7CCE" w:rsidRPr="00540CB3">
              <w:rPr>
                <w:rFonts w:cs="Arial"/>
                <w:sz w:val="14"/>
                <w:szCs w:val="14"/>
              </w:rPr>
              <w:t xml:space="preserve">čištěno od vlivu počtu pracovních </w:t>
            </w:r>
            <w:r w:rsidR="00E533B7">
              <w:rPr>
                <w:rFonts w:cs="Arial"/>
                <w:sz w:val="14"/>
                <w:szCs w:val="14"/>
              </w:rPr>
              <w:t>dnů.</w:t>
            </w:r>
            <w:r w:rsidR="006B7CCE" w:rsidRPr="00540CB3">
              <w:rPr>
                <w:rFonts w:cs="Arial"/>
                <w:sz w:val="14"/>
                <w:szCs w:val="14"/>
              </w:rPr>
              <w:t xml:space="preserve">                                                           </w:t>
            </w:r>
            <w:r w:rsidR="00E533B7">
              <w:rPr>
                <w:rFonts w:cs="Arial"/>
                <w:sz w:val="14"/>
                <w:szCs w:val="14"/>
              </w:rPr>
              <w:t xml:space="preserve">                      </w:t>
            </w:r>
            <w:r w:rsidR="00540CB3">
              <w:rPr>
                <w:rFonts w:cs="Arial"/>
                <w:sz w:val="14"/>
                <w:szCs w:val="14"/>
              </w:rPr>
              <w:t xml:space="preserve">                    </w:t>
            </w:r>
            <w:r w:rsidR="006B7CCE" w:rsidRPr="00540CB3">
              <w:rPr>
                <w:rFonts w:cs="Arial"/>
                <w:sz w:val="14"/>
                <w:szCs w:val="14"/>
              </w:rPr>
              <w:t xml:space="preserve">      </w:t>
            </w:r>
            <w:r w:rsidR="003C6DB9" w:rsidRPr="00540CB3">
              <w:rPr>
                <w:sz w:val="14"/>
                <w:szCs w:val="14"/>
              </w:rPr>
              <w:t>Zdroj: ČSÚ</w:t>
            </w:r>
          </w:p>
        </w:tc>
      </w:tr>
    </w:tbl>
    <w:p w:rsidR="0069789D" w:rsidRDefault="0069789D" w:rsidP="00492991">
      <w:pPr>
        <w:pStyle w:val="Textpoznpodarou"/>
        <w:jc w:val="both"/>
        <w:rPr>
          <w:sz w:val="18"/>
          <w:szCs w:val="18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EF3CF0" w:rsidRPr="00102835" w:rsidTr="008F1638">
        <w:tc>
          <w:tcPr>
            <w:tcW w:w="1016" w:type="pct"/>
            <w:shd w:val="clear" w:color="auto" w:fill="auto"/>
          </w:tcPr>
          <w:p w:rsidR="00EF3CF0" w:rsidRPr="00EF3CF0" w:rsidRDefault="00EF3CF0" w:rsidP="00A0172C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EF3CF0">
              <w:rPr>
                <w:spacing w:val="-4"/>
                <w:sz w:val="16"/>
                <w:szCs w:val="16"/>
              </w:rPr>
              <w:t>Mírné oživení zahajované bytové výstavby na přelomu let 2016 a 2017 však zatím rostoucí napětí mezi nabídkou a</w:t>
            </w:r>
            <w:r w:rsidRPr="00304FAE">
              <w:rPr>
                <w:spacing w:val="-4"/>
                <w:sz w:val="16"/>
                <w:szCs w:val="16"/>
              </w:rPr>
              <w:t> </w:t>
            </w:r>
            <w:r w:rsidRPr="00EF3CF0">
              <w:rPr>
                <w:spacing w:val="-4"/>
                <w:sz w:val="16"/>
                <w:szCs w:val="16"/>
              </w:rPr>
              <w:t>poptávkou příliš neovlivnilo.</w:t>
            </w:r>
          </w:p>
          <w:p w:rsidR="00EF3CF0" w:rsidRPr="00EF3CF0" w:rsidRDefault="00EF3CF0" w:rsidP="00A0172C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EF3CF0" w:rsidRPr="005B2702" w:rsidRDefault="00EF3CF0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EF3CF0" w:rsidRDefault="00EF3CF0" w:rsidP="00A0172C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Počet zahájených bytů se v 1. čtvrtletí meziročně zvýšil o více než čtvrtinu (na 6,5 tis., nejvyšší hodnota za posledních pět let). Oživení se týkalo rodinných i bytových domů a dotklo se i drt</w:t>
            </w:r>
            <w:r w:rsidR="00E533B7">
              <w:rPr>
                <w:spacing w:val="-4"/>
              </w:rPr>
              <w:t xml:space="preserve">ivé většiny krajů (v Praze ale přesto </w:t>
            </w:r>
            <w:r>
              <w:rPr>
                <w:spacing w:val="-4"/>
              </w:rPr>
              <w:t>z</w:t>
            </w:r>
            <w:r w:rsidR="00E533B7">
              <w:rPr>
                <w:spacing w:val="-4"/>
              </w:rPr>
              <w:t xml:space="preserve">ůstával objem výstavby nízký: </w:t>
            </w:r>
            <w:r>
              <w:rPr>
                <w:spacing w:val="-4"/>
              </w:rPr>
              <w:t>712 bytů). Nepříznivá situace panovala v ČR u dokončených bytů (5,8 tis., v rámci 1. čtvrtletí šlo o nejnižší hodnotu od roku 2003). Tyto skutečnosti ještě více vyostřují napětí mezi nabídkou a poptávkou (posílenou rostoucími příjmy domácností i přetrváváním velmi nízkých úrokových sazeb) a přispívají k silnému růstu cen nemovitostí v Praze, ale i v ostatních regionech.</w:t>
            </w:r>
          </w:p>
          <w:p w:rsidR="00EF3CF0" w:rsidRPr="00535F78" w:rsidRDefault="00EF3CF0" w:rsidP="00A0172C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355CAA" w:rsidRPr="006C5BE9" w:rsidTr="008F1638">
        <w:tc>
          <w:tcPr>
            <w:tcW w:w="1016" w:type="pct"/>
            <w:shd w:val="clear" w:color="auto" w:fill="auto"/>
          </w:tcPr>
          <w:p w:rsidR="00355CAA" w:rsidRPr="00753032" w:rsidRDefault="00355CAA" w:rsidP="00A0172C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753032">
              <w:rPr>
                <w:spacing w:val="-4"/>
                <w:sz w:val="16"/>
                <w:szCs w:val="16"/>
              </w:rPr>
              <w:t>Stavební produkce v ČR dosahovala v posledních šesti čtvrtletích nižší</w:t>
            </w:r>
            <w:r>
              <w:rPr>
                <w:spacing w:val="-4"/>
                <w:sz w:val="16"/>
                <w:szCs w:val="16"/>
              </w:rPr>
              <w:t>ch</w:t>
            </w:r>
            <w:r w:rsidRPr="00753032">
              <w:rPr>
                <w:spacing w:val="-4"/>
                <w:sz w:val="16"/>
                <w:szCs w:val="16"/>
              </w:rPr>
              <w:t xml:space="preserve"> meziroční</w:t>
            </w:r>
            <w:r>
              <w:rPr>
                <w:spacing w:val="-4"/>
                <w:sz w:val="16"/>
                <w:szCs w:val="16"/>
              </w:rPr>
              <w:t>ch temp</w:t>
            </w:r>
            <w:r w:rsidRPr="00753032">
              <w:rPr>
                <w:spacing w:val="-4"/>
                <w:sz w:val="16"/>
                <w:szCs w:val="16"/>
              </w:rPr>
              <w:t xml:space="preserve"> než v EU, od konce poslední recese však v ú</w:t>
            </w:r>
            <w:r>
              <w:rPr>
                <w:spacing w:val="-4"/>
                <w:sz w:val="16"/>
                <w:szCs w:val="16"/>
              </w:rPr>
              <w:t>hrnu rostla srovnatelným tempem.</w:t>
            </w:r>
          </w:p>
          <w:p w:rsidR="00355CAA" w:rsidRPr="00753032" w:rsidRDefault="00355CAA" w:rsidP="00A0172C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355CAA" w:rsidRPr="005B2702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753032">
              <w:rPr>
                <w:spacing w:val="-4"/>
                <w:sz w:val="16"/>
                <w:szCs w:val="16"/>
              </w:rPr>
              <w:t>Úrovně produkce z počátku konjunkturního roku 2008 dosáhlo letos jen pět států EU</w:t>
            </w:r>
            <w:r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355CAA" w:rsidRPr="005B2702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355CAA" w:rsidRDefault="00355CAA" w:rsidP="00A0172C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Stavební produkce v EU (na rozdíl od ČR) od poloviny roku 2013 nepřetržitě rostla. V 1. čtvrtletí meziročně posílila o 2,1 %, za celý loňský rok o 1,7 %. V roce 2016 klesala převážně v novějších členských státech, které se potýkaly s nerovnoměrným čerpáním prostředků z rozpočtu EU při přechodu na nové programové obdob</w:t>
            </w:r>
            <w:r w:rsidR="00985157">
              <w:rPr>
                <w:spacing w:val="-4"/>
              </w:rPr>
              <w:t>í. V šesti zemích poklesl výkon</w:t>
            </w:r>
            <w:r>
              <w:rPr>
                <w:spacing w:val="-4"/>
              </w:rPr>
              <w:t xml:space="preserve"> stavebnictví v rozmezí 10-19 % (v Česku o 6,1 %). V 1. čtvrtletí 2017 zaznamenalo snížení produkce již jen sedm států EU (vedle ČR např. </w:t>
            </w:r>
            <w:r w:rsidRPr="008548EA">
              <w:rPr>
                <w:spacing w:val="-4"/>
              </w:rPr>
              <w:t>Sloven</w:t>
            </w:r>
            <w:r w:rsidR="0014731B" w:rsidRPr="008548EA">
              <w:rPr>
                <w:spacing w:val="-4"/>
              </w:rPr>
              <w:t>s</w:t>
            </w:r>
            <w:r w:rsidRPr="008548EA">
              <w:rPr>
                <w:spacing w:val="-4"/>
              </w:rPr>
              <w:t>ko, Rumunsko</w:t>
            </w:r>
            <w:r>
              <w:rPr>
                <w:spacing w:val="-4"/>
              </w:rPr>
              <w:t xml:space="preserve"> a Bulharsko). Úroveň produkce z počátku konjunkturního roku 2008 dosud překonalo jen pět zemí (</w:t>
            </w:r>
            <w:r w:rsidR="00985157">
              <w:rPr>
                <w:spacing w:val="-4"/>
              </w:rPr>
              <w:t>Německo, severské státy, Malta). T</w:t>
            </w:r>
            <w:r>
              <w:rPr>
                <w:spacing w:val="-4"/>
              </w:rPr>
              <w:t xml:space="preserve">éto hladině se </w:t>
            </w:r>
            <w:r w:rsidR="00985157">
              <w:rPr>
                <w:spacing w:val="-4"/>
              </w:rPr>
              <w:t>blížilo Polsko i Velká Británie,</w:t>
            </w:r>
            <w:r>
              <w:rPr>
                <w:spacing w:val="-4"/>
              </w:rPr>
              <w:t xml:space="preserve"> Česko za ní zaos</w:t>
            </w:r>
            <w:r w:rsidR="00985157">
              <w:rPr>
                <w:spacing w:val="-4"/>
              </w:rPr>
              <w:t>távalo o 30 %, Slovensko o 38 %. V</w:t>
            </w:r>
            <w:r w:rsidR="003F0293">
              <w:rPr>
                <w:spacing w:val="-4"/>
              </w:rPr>
              <w:t>e většině jihoevropských států</w:t>
            </w:r>
            <w:r>
              <w:rPr>
                <w:spacing w:val="-4"/>
              </w:rPr>
              <w:t xml:space="preserve"> však byla redukce mnohem hlubší.</w:t>
            </w:r>
          </w:p>
          <w:p w:rsidR="00355CAA" w:rsidRPr="00E971D8" w:rsidRDefault="00355CAA" w:rsidP="00A0172C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355CAA" w:rsidRPr="006C5BE9" w:rsidTr="008F1638">
        <w:tc>
          <w:tcPr>
            <w:tcW w:w="1016" w:type="pct"/>
            <w:shd w:val="clear" w:color="auto" w:fill="auto"/>
          </w:tcPr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>Tržby ve službách na počátku roku výrazně zrychlily a dosáhly nejvyššího meziročního tempa od konce roku 2007.</w:t>
            </w:r>
          </w:p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K růstu tržeb přispěly nejvíce doprava a skladování, meziročně příznivější výsledků ale dosáhla všechna hlavní odvětví služeb.</w:t>
            </w:r>
          </w:p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Pr="005B2702" w:rsidRDefault="00355CAA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355CAA" w:rsidRDefault="00B831B4" w:rsidP="00355CAA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</w:t>
            </w:r>
            <w:r w:rsidR="00355CAA">
              <w:rPr>
                <w:spacing w:val="-2"/>
                <w:sz w:val="16"/>
                <w:szCs w:val="16"/>
              </w:rPr>
              <w:t>eziroční pokles</w:t>
            </w:r>
            <w:r w:rsidR="00D81B44">
              <w:rPr>
                <w:spacing w:val="-2"/>
                <w:sz w:val="16"/>
                <w:szCs w:val="16"/>
              </w:rPr>
              <w:t xml:space="preserve"> tržeb</w:t>
            </w:r>
            <w:r w:rsidR="00355CAA">
              <w:rPr>
                <w:spacing w:val="-2"/>
                <w:sz w:val="16"/>
                <w:szCs w:val="16"/>
              </w:rPr>
              <w:t xml:space="preserve"> architektonických a</w:t>
            </w:r>
            <w:r w:rsidR="00355CAA" w:rsidRPr="00753032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 xml:space="preserve">inženýrských činností přetrvával </w:t>
            </w:r>
            <w:r w:rsidR="00D81B44">
              <w:rPr>
                <w:spacing w:val="-2"/>
                <w:sz w:val="16"/>
                <w:szCs w:val="16"/>
              </w:rPr>
              <w:t>již šesté čtvrtletí v řadě, jeho hloubka se však mírnila.</w:t>
            </w:r>
          </w:p>
          <w:p w:rsidR="00355CAA" w:rsidRPr="005B2702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355CAA" w:rsidRPr="005B2702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355CAA" w:rsidRDefault="00355CAA" w:rsidP="00A0172C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Růst tržeb</w:t>
            </w:r>
            <w:r w:rsidRPr="000B5816">
              <w:rPr>
                <w:color w:val="000000" w:themeColor="text1"/>
                <w:spacing w:val="-4"/>
              </w:rPr>
              <w:t xml:space="preserve"> ve vybraných službách</w:t>
            </w:r>
            <w:r w:rsidRPr="006046C4">
              <w:rPr>
                <w:color w:val="000000" w:themeColor="text1"/>
                <w:spacing w:val="-4"/>
                <w:vertAlign w:val="superscript"/>
              </w:rPr>
              <w:footnoteReference w:id="10"/>
            </w:r>
            <w:r>
              <w:rPr>
                <w:color w:val="000000" w:themeColor="text1"/>
                <w:spacing w:val="-4"/>
              </w:rPr>
              <w:t xml:space="preserve"> na počátku roku výrazně zrychlil z 1,5 % (ve 2.</w:t>
            </w:r>
            <w:r>
              <w:rPr>
                <w:spacing w:val="-4"/>
              </w:rPr>
              <w:t> </w:t>
            </w:r>
            <w:r w:rsidR="00357C28">
              <w:rPr>
                <w:color w:val="000000" w:themeColor="text1"/>
                <w:spacing w:val="-4"/>
              </w:rPr>
              <w:t>pololetí 2016) na 5,3</w:t>
            </w:r>
            <w:r>
              <w:rPr>
                <w:color w:val="000000" w:themeColor="text1"/>
                <w:spacing w:val="-4"/>
              </w:rPr>
              <w:t xml:space="preserve"> %. Na letošním růstu se třetinou podílelo odvětví dopravy a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skla</w:t>
            </w:r>
            <w:r w:rsidR="00357C28">
              <w:rPr>
                <w:color w:val="000000" w:themeColor="text1"/>
                <w:spacing w:val="-4"/>
              </w:rPr>
              <w:t>dování, jehož dynamika (+5</w:t>
            </w:r>
            <w:r>
              <w:rPr>
                <w:color w:val="000000" w:themeColor="text1"/>
                <w:spacing w:val="-4"/>
              </w:rPr>
              <w:t>,6 %) byla nejvyšší za posledních dvanáct čtvrtletí. Rostoucí tržby ve všech druzích dopravy (vyjma vodní) souvisely se sílícím zahraničním obchode</w:t>
            </w:r>
            <w:r w:rsidR="00357C28">
              <w:rPr>
                <w:color w:val="000000" w:themeColor="text1"/>
                <w:spacing w:val="-4"/>
              </w:rPr>
              <w:t>m, svižný růst ve skladování (+8,0</w:t>
            </w:r>
            <w:r>
              <w:rPr>
                <w:color w:val="000000" w:themeColor="text1"/>
                <w:spacing w:val="-4"/>
              </w:rPr>
              <w:t xml:space="preserve"> %) odrážel i dobré výsledky průmyslu. Téměř 1 </w:t>
            </w:r>
            <w:proofErr w:type="spellStart"/>
            <w:r>
              <w:rPr>
                <w:color w:val="000000" w:themeColor="text1"/>
                <w:spacing w:val="-4"/>
              </w:rPr>
              <w:t>p.b</w:t>
            </w:r>
            <w:proofErr w:type="spellEnd"/>
            <w:r>
              <w:rPr>
                <w:color w:val="000000" w:themeColor="text1"/>
                <w:spacing w:val="-4"/>
              </w:rPr>
              <w:t>. přispěly k růstu i administrativní a podpůrné činnosti (s</w:t>
            </w:r>
            <w:r>
              <w:rPr>
                <w:spacing w:val="-4"/>
              </w:rPr>
              <w:t> </w:t>
            </w:r>
            <w:r w:rsidR="00357C28">
              <w:rPr>
                <w:color w:val="000000" w:themeColor="text1"/>
                <w:spacing w:val="-4"/>
              </w:rPr>
              <w:t>tržbami vyššími o 9,5</w:t>
            </w:r>
            <w:r>
              <w:rPr>
                <w:color w:val="000000" w:themeColor="text1"/>
                <w:spacing w:val="-4"/>
              </w:rPr>
              <w:t xml:space="preserve"> %, za celý rok 2016 bylo jejich tempo</w:t>
            </w:r>
            <w:r w:rsidR="00357C28">
              <w:rPr>
                <w:color w:val="000000" w:themeColor="text1"/>
                <w:spacing w:val="-4"/>
              </w:rPr>
              <w:t xml:space="preserve"> 4,2 %</w:t>
            </w:r>
            <w:r>
              <w:rPr>
                <w:color w:val="000000" w:themeColor="text1"/>
                <w:spacing w:val="-4"/>
              </w:rPr>
              <w:t xml:space="preserve">). Projevila se nejen dlouhodobá expanze pracovních agentur (jejichž služeb si </w:t>
            </w:r>
            <w:r w:rsidR="00357C28">
              <w:rPr>
                <w:color w:val="000000" w:themeColor="text1"/>
                <w:spacing w:val="-4"/>
              </w:rPr>
              <w:t xml:space="preserve">zřejmě </w:t>
            </w:r>
            <w:r>
              <w:rPr>
                <w:color w:val="000000" w:themeColor="text1"/>
                <w:spacing w:val="-4"/>
              </w:rPr>
              <w:t>podniky zvykly využívat i</w:t>
            </w:r>
            <w:r w:rsidR="00357C28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v období stabilního hospodářského růstu) či dvouciferný růst tržeb za pronájmy a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leasing automobilů, ale i oživení u cestovních agentur a</w:t>
            </w:r>
            <w:r w:rsidRPr="00223004">
              <w:rPr>
                <w:color w:val="000000" w:themeColor="text1"/>
                <w:spacing w:val="-4"/>
              </w:rPr>
              <w:t xml:space="preserve"> kanceláří </w:t>
            </w:r>
            <w:r>
              <w:rPr>
                <w:color w:val="000000" w:themeColor="text1"/>
                <w:spacing w:val="-4"/>
              </w:rPr>
              <w:t xml:space="preserve">podpořené i silnějším přílivem turistů z Ruska. Delší zimní sezóna se promítla </w:t>
            </w:r>
            <w:r w:rsidR="00E62A33">
              <w:rPr>
                <w:color w:val="000000" w:themeColor="text1"/>
                <w:spacing w:val="-4"/>
              </w:rPr>
              <w:t>v počtu přenocování domácích (+11</w:t>
            </w:r>
            <w:r>
              <w:rPr>
                <w:color w:val="000000" w:themeColor="text1"/>
                <w:spacing w:val="-4"/>
              </w:rPr>
              <w:t>,3 % meziročně) i</w:t>
            </w:r>
            <w:r>
              <w:rPr>
                <w:spacing w:val="-4"/>
              </w:rPr>
              <w:t> </w:t>
            </w:r>
            <w:r w:rsidR="00E62A33">
              <w:rPr>
                <w:color w:val="000000" w:themeColor="text1"/>
                <w:spacing w:val="-4"/>
              </w:rPr>
              <w:t>zahraničních hostů (+7</w:t>
            </w:r>
            <w:r>
              <w:rPr>
                <w:color w:val="000000" w:themeColor="text1"/>
                <w:spacing w:val="-4"/>
              </w:rPr>
              <w:t>,3 %) a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p</w:t>
            </w:r>
            <w:r w:rsidR="00813DB0">
              <w:rPr>
                <w:color w:val="000000" w:themeColor="text1"/>
                <w:spacing w:val="-4"/>
              </w:rPr>
              <w:t>odpořila tržby v ubytování (+9,3</w:t>
            </w:r>
            <w:r>
              <w:rPr>
                <w:color w:val="000000" w:themeColor="text1"/>
                <w:spacing w:val="-4"/>
              </w:rPr>
              <w:t xml:space="preserve"> %) </w:t>
            </w:r>
            <w:r w:rsidR="00813DB0">
              <w:rPr>
                <w:color w:val="000000" w:themeColor="text1"/>
                <w:spacing w:val="-4"/>
              </w:rPr>
              <w:t>i stravování a pohostinství (+13,6</w:t>
            </w:r>
            <w:r>
              <w:rPr>
                <w:color w:val="000000" w:themeColor="text1"/>
                <w:spacing w:val="-4"/>
              </w:rPr>
              <w:t xml:space="preserve"> %). Mírně posílily tržby v</w:t>
            </w:r>
            <w:r w:rsidR="00813DB0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profesních, vědeckých a</w:t>
            </w:r>
            <w:r>
              <w:rPr>
                <w:spacing w:val="-4"/>
              </w:rPr>
              <w:t> </w:t>
            </w:r>
            <w:r w:rsidR="00813DB0">
              <w:rPr>
                <w:color w:val="000000" w:themeColor="text1"/>
                <w:spacing w:val="-4"/>
              </w:rPr>
              <w:t>technických činnostech (+2,3</w:t>
            </w:r>
            <w:r>
              <w:rPr>
                <w:color w:val="000000" w:themeColor="text1"/>
                <w:spacing w:val="-4"/>
              </w:rPr>
              <w:t xml:space="preserve"> %), především vliv</w:t>
            </w:r>
            <w:r w:rsidR="00813DB0">
              <w:rPr>
                <w:color w:val="000000" w:themeColor="text1"/>
                <w:spacing w:val="-4"/>
              </w:rPr>
              <w:t>em právních a účetních činností, r</w:t>
            </w:r>
            <w:r>
              <w:rPr>
                <w:color w:val="000000" w:themeColor="text1"/>
                <w:spacing w:val="-4"/>
              </w:rPr>
              <w:t xml:space="preserve">ůst ale zaznamenala </w:t>
            </w:r>
            <w:r w:rsidR="00E62A33">
              <w:rPr>
                <w:color w:val="000000" w:themeColor="text1"/>
                <w:spacing w:val="-4"/>
              </w:rPr>
              <w:t xml:space="preserve">téměř </w:t>
            </w:r>
            <w:r>
              <w:rPr>
                <w:color w:val="000000" w:themeColor="text1"/>
                <w:spacing w:val="-4"/>
              </w:rPr>
              <w:t xml:space="preserve">všechna dílčí odvětví. </w:t>
            </w:r>
            <w:r w:rsidR="00E62A33">
              <w:rPr>
                <w:color w:val="000000" w:themeColor="text1"/>
                <w:spacing w:val="-4"/>
              </w:rPr>
              <w:t>Výjimkou byly se stavebnictvím provázané</w:t>
            </w:r>
            <w:r w:rsidR="00B831B4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architektonické</w:t>
            </w:r>
            <w:r w:rsidRPr="007B2C32">
              <w:rPr>
                <w:color w:val="000000" w:themeColor="text1"/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7B2C32">
              <w:rPr>
                <w:color w:val="000000" w:themeColor="text1"/>
                <w:spacing w:val="-4"/>
              </w:rPr>
              <w:t>inženýrské činnost</w:t>
            </w:r>
            <w:r>
              <w:rPr>
                <w:color w:val="000000" w:themeColor="text1"/>
                <w:spacing w:val="-4"/>
              </w:rPr>
              <w:t>i</w:t>
            </w:r>
            <w:r w:rsidR="00E62A33">
              <w:rPr>
                <w:color w:val="000000" w:themeColor="text1"/>
                <w:spacing w:val="-4"/>
              </w:rPr>
              <w:t>, jež</w:t>
            </w:r>
            <w:r>
              <w:rPr>
                <w:color w:val="000000" w:themeColor="text1"/>
                <w:spacing w:val="-4"/>
              </w:rPr>
              <w:t xml:space="preserve"> </w:t>
            </w:r>
            <w:r w:rsidR="00B831B4">
              <w:rPr>
                <w:color w:val="000000" w:themeColor="text1"/>
                <w:spacing w:val="-4"/>
              </w:rPr>
              <w:t xml:space="preserve">pokračovaly v meziročním poklesu již šesté čtvrtletí v řadě, </w:t>
            </w:r>
            <w:r w:rsidR="00E533B7">
              <w:rPr>
                <w:color w:val="000000" w:themeColor="text1"/>
                <w:spacing w:val="-4"/>
              </w:rPr>
              <w:t>tento pokles však na počátku roku zpomalil</w:t>
            </w:r>
            <w:r w:rsidR="00B831B4">
              <w:rPr>
                <w:color w:val="000000" w:themeColor="text1"/>
                <w:spacing w:val="-4"/>
              </w:rPr>
              <w:t xml:space="preserve"> (-0,5 %). Již čtvrtý kvartál přetrvá</w:t>
            </w:r>
            <w:r>
              <w:rPr>
                <w:color w:val="000000" w:themeColor="text1"/>
                <w:spacing w:val="-4"/>
              </w:rPr>
              <w:t>val dvouciferný růst průzkumu trhu a</w:t>
            </w:r>
            <w:r w:rsidR="00B831B4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veřejného mínění, naopak tržby za reklamní činn</w:t>
            </w:r>
            <w:r w:rsidR="00B831B4">
              <w:rPr>
                <w:color w:val="000000" w:themeColor="text1"/>
                <w:spacing w:val="-4"/>
              </w:rPr>
              <w:t>osti po stagnaci</w:t>
            </w:r>
            <w:r>
              <w:rPr>
                <w:color w:val="000000" w:themeColor="text1"/>
                <w:spacing w:val="-4"/>
              </w:rPr>
              <w:t xml:space="preserve"> za celý loňsk</w:t>
            </w:r>
            <w:r w:rsidR="00B831B4">
              <w:rPr>
                <w:color w:val="000000" w:themeColor="text1"/>
                <w:spacing w:val="-4"/>
              </w:rPr>
              <w:t>ý rok letos ožily jen mírně</w:t>
            </w:r>
            <w:r>
              <w:rPr>
                <w:color w:val="000000" w:themeColor="text1"/>
                <w:spacing w:val="-4"/>
              </w:rPr>
              <w:t>. Přetrvával stabilní růst v odvětví informačních a</w:t>
            </w:r>
            <w:r w:rsidR="006B59D7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komunikačních činností</w:t>
            </w:r>
            <w:r w:rsidR="00813DB0">
              <w:rPr>
                <w:color w:val="000000" w:themeColor="text1"/>
                <w:spacing w:val="-4"/>
              </w:rPr>
              <w:t xml:space="preserve"> (+3,3 %). Podobným tempem rovněž posílily i </w:t>
            </w:r>
            <w:r w:rsidR="007142C1">
              <w:rPr>
                <w:color w:val="000000" w:themeColor="text1"/>
                <w:spacing w:val="-4"/>
              </w:rPr>
              <w:t xml:space="preserve">v období recese silně zasažené </w:t>
            </w:r>
            <w:r>
              <w:rPr>
                <w:color w:val="000000" w:themeColor="text1"/>
                <w:spacing w:val="-4"/>
              </w:rPr>
              <w:t xml:space="preserve">tržby v činnostech v oblasti nemovitostí (tažené </w:t>
            </w:r>
            <w:r w:rsidR="007142C1">
              <w:rPr>
                <w:color w:val="000000" w:themeColor="text1"/>
                <w:spacing w:val="-4"/>
              </w:rPr>
              <w:t xml:space="preserve">letos </w:t>
            </w:r>
            <w:r>
              <w:rPr>
                <w:color w:val="000000" w:themeColor="text1"/>
                <w:spacing w:val="-4"/>
              </w:rPr>
              <w:t>z</w:t>
            </w:r>
            <w:r w:rsidR="00813DB0">
              <w:rPr>
                <w:color w:val="000000" w:themeColor="text1"/>
                <w:spacing w:val="-4"/>
              </w:rPr>
              <w:t>ejména pronájmem nemovitostí) a </w:t>
            </w:r>
            <w:r w:rsidR="007142C1">
              <w:rPr>
                <w:color w:val="000000" w:themeColor="text1"/>
                <w:spacing w:val="-4"/>
              </w:rPr>
              <w:t>dosáhly nejlepšího</w:t>
            </w:r>
            <w:r>
              <w:rPr>
                <w:color w:val="000000" w:themeColor="text1"/>
                <w:spacing w:val="-4"/>
              </w:rPr>
              <w:t xml:space="preserve"> výsledku </w:t>
            </w:r>
            <w:r w:rsidR="007142C1">
              <w:rPr>
                <w:color w:val="000000" w:themeColor="text1"/>
                <w:spacing w:val="-4"/>
              </w:rPr>
              <w:t>od konce roku 2007</w:t>
            </w:r>
            <w:r>
              <w:rPr>
                <w:color w:val="000000" w:themeColor="text1"/>
                <w:spacing w:val="-4"/>
              </w:rPr>
              <w:t>.</w:t>
            </w:r>
          </w:p>
          <w:p w:rsidR="00355CAA" w:rsidRPr="006C5BE9" w:rsidRDefault="00355CAA" w:rsidP="00A0172C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355CAA" w:rsidRPr="006C5BE9" w:rsidTr="008F1638">
        <w:tc>
          <w:tcPr>
            <w:tcW w:w="1016" w:type="pct"/>
            <w:shd w:val="clear" w:color="auto" w:fill="auto"/>
          </w:tcPr>
          <w:p w:rsidR="00355CAA" w:rsidRPr="005B2702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Tržby ve službách letos poprvé dosáhly úrovně počátku kon</w:t>
            </w:r>
            <w:r w:rsidR="007279B9">
              <w:rPr>
                <w:spacing w:val="-2"/>
                <w:sz w:val="16"/>
                <w:szCs w:val="16"/>
              </w:rPr>
              <w:t>junkturního roku 2008, hlavně</w:t>
            </w:r>
            <w:r>
              <w:rPr>
                <w:spacing w:val="-2"/>
                <w:sz w:val="16"/>
                <w:szCs w:val="16"/>
              </w:rPr>
              <w:t xml:space="preserve"> zásluhou administra</w:t>
            </w:r>
            <w:r w:rsidR="006B59D7">
              <w:rPr>
                <w:spacing w:val="-2"/>
                <w:sz w:val="16"/>
                <w:szCs w:val="16"/>
              </w:rPr>
              <w:t>tivních a podpůrných činností a</w:t>
            </w:r>
            <w:r w:rsidR="006B59D7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2"/>
                <w:sz w:val="16"/>
                <w:szCs w:val="16"/>
              </w:rPr>
              <w:t>také dopravy a skladování.</w:t>
            </w:r>
          </w:p>
        </w:tc>
        <w:tc>
          <w:tcPr>
            <w:tcW w:w="144" w:type="pct"/>
          </w:tcPr>
          <w:p w:rsidR="00355CAA" w:rsidRPr="005B2702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355CAA" w:rsidRDefault="00355CAA" w:rsidP="007279B9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Tržby ve vybraných službách</w:t>
            </w:r>
            <w:r w:rsidR="007279B9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dosáhly</w:t>
            </w:r>
            <w:r w:rsidR="007279B9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letos poprvé úrovně počátku konjunkturního roku 2008. Proti konci poslední recese (1.</w:t>
            </w:r>
            <w:r w:rsidR="007279B9">
              <w:rPr>
                <w:color w:val="000000" w:themeColor="text1"/>
                <w:spacing w:val="-4"/>
              </w:rPr>
              <w:t xml:space="preserve"> čtvrtletí 2013) byly vyšší o 13,8</w:t>
            </w:r>
            <w:r>
              <w:rPr>
                <w:color w:val="000000" w:themeColor="text1"/>
                <w:spacing w:val="-4"/>
              </w:rPr>
              <w:t xml:space="preserve"> %. Dlouhodobě s</w:t>
            </w:r>
            <w:r w:rsidR="007279B9">
              <w:rPr>
                <w:color w:val="000000" w:themeColor="text1"/>
                <w:spacing w:val="-4"/>
              </w:rPr>
              <w:t xml:space="preserve">e </w:t>
            </w:r>
            <w:r w:rsidR="00DB7D77">
              <w:rPr>
                <w:color w:val="000000" w:themeColor="text1"/>
                <w:spacing w:val="-4"/>
              </w:rPr>
              <w:t>daří</w:t>
            </w:r>
            <w:r w:rsidR="007279B9">
              <w:rPr>
                <w:color w:val="000000" w:themeColor="text1"/>
                <w:spacing w:val="-4"/>
              </w:rPr>
              <w:t xml:space="preserve"> </w:t>
            </w:r>
            <w:r w:rsidR="003D59BE">
              <w:rPr>
                <w:color w:val="000000" w:themeColor="text1"/>
                <w:spacing w:val="-4"/>
              </w:rPr>
              <w:t>administrativním</w:t>
            </w:r>
            <w:r>
              <w:rPr>
                <w:color w:val="000000" w:themeColor="text1"/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="00DB7D77">
              <w:rPr>
                <w:color w:val="000000" w:themeColor="text1"/>
                <w:spacing w:val="-4"/>
              </w:rPr>
              <w:t xml:space="preserve">podpůrným činnostem, jejichž tržby se od konce recese navýšily o </w:t>
            </w:r>
            <w:r w:rsidR="00734597">
              <w:rPr>
                <w:color w:val="000000" w:themeColor="text1"/>
                <w:spacing w:val="-4"/>
              </w:rPr>
              <w:t xml:space="preserve">téměř </w:t>
            </w:r>
            <w:r w:rsidR="00DB7D77">
              <w:rPr>
                <w:color w:val="000000" w:themeColor="text1"/>
                <w:spacing w:val="-4"/>
              </w:rPr>
              <w:t>3</w:t>
            </w:r>
            <w:r w:rsidR="00734597">
              <w:rPr>
                <w:color w:val="000000" w:themeColor="text1"/>
                <w:spacing w:val="-4"/>
              </w:rPr>
              <w:t>0</w:t>
            </w:r>
            <w:r w:rsidR="00DB7D77">
              <w:rPr>
                <w:color w:val="000000" w:themeColor="text1"/>
                <w:spacing w:val="-4"/>
              </w:rPr>
              <w:t xml:space="preserve"> %, proti počátku rok</w:t>
            </w:r>
            <w:r w:rsidR="00734597">
              <w:rPr>
                <w:color w:val="000000" w:themeColor="text1"/>
                <w:spacing w:val="-4"/>
              </w:rPr>
              <w:t>u 2008 o 23</w:t>
            </w:r>
            <w:r w:rsidR="00DB7D77">
              <w:rPr>
                <w:color w:val="000000" w:themeColor="text1"/>
                <w:spacing w:val="-4"/>
              </w:rPr>
              <w:t xml:space="preserve"> %. N</w:t>
            </w:r>
            <w:r>
              <w:rPr>
                <w:color w:val="000000" w:themeColor="text1"/>
                <w:spacing w:val="-4"/>
              </w:rPr>
              <w:t xml:space="preserve">aopak </w:t>
            </w:r>
            <w:r w:rsidR="003D59BE">
              <w:rPr>
                <w:color w:val="000000" w:themeColor="text1"/>
                <w:spacing w:val="-4"/>
              </w:rPr>
              <w:t xml:space="preserve">nejvíce oproti konjunktuře </w:t>
            </w:r>
            <w:r>
              <w:rPr>
                <w:color w:val="000000" w:themeColor="text1"/>
                <w:spacing w:val="-4"/>
              </w:rPr>
              <w:t>zaostávaly profesní, věde</w:t>
            </w:r>
            <w:r w:rsidR="003D59BE">
              <w:rPr>
                <w:color w:val="000000" w:themeColor="text1"/>
                <w:spacing w:val="-4"/>
              </w:rPr>
              <w:t>cké a technické činnosti (o </w:t>
            </w:r>
            <w:r w:rsidR="007279B9">
              <w:rPr>
                <w:color w:val="000000" w:themeColor="text1"/>
                <w:spacing w:val="-4"/>
              </w:rPr>
              <w:t>22,2</w:t>
            </w:r>
            <w:r w:rsidR="007279B9">
              <w:rPr>
                <w:spacing w:val="-4"/>
              </w:rPr>
              <w:t> </w:t>
            </w:r>
            <w:r w:rsidR="00DB7D77">
              <w:rPr>
                <w:color w:val="000000" w:themeColor="text1"/>
                <w:spacing w:val="-4"/>
              </w:rPr>
              <w:t>%), kde hluboká recese postihla všechna dílčí odvětví (nejvíce architekt</w:t>
            </w:r>
            <w:r w:rsidR="00E533B7">
              <w:rPr>
                <w:color w:val="000000" w:themeColor="text1"/>
                <w:spacing w:val="-4"/>
              </w:rPr>
              <w:t xml:space="preserve">onické a inženýrské činnosti). </w:t>
            </w:r>
            <w:r w:rsidR="00DB7D77">
              <w:rPr>
                <w:color w:val="000000" w:themeColor="text1"/>
                <w:spacing w:val="-4"/>
              </w:rPr>
              <w:t>Citelně zaostávaly také</w:t>
            </w:r>
            <w:r>
              <w:rPr>
                <w:color w:val="000000" w:themeColor="text1"/>
                <w:spacing w:val="-4"/>
              </w:rPr>
              <w:t xml:space="preserve"> činnosti v obla</w:t>
            </w:r>
            <w:r w:rsidR="00734597">
              <w:rPr>
                <w:color w:val="000000" w:themeColor="text1"/>
                <w:spacing w:val="-4"/>
              </w:rPr>
              <w:t>sti nemovitostí (o 12,7</w:t>
            </w:r>
            <w:r>
              <w:rPr>
                <w:color w:val="000000" w:themeColor="text1"/>
                <w:spacing w:val="-4"/>
              </w:rPr>
              <w:t xml:space="preserve"> %).</w:t>
            </w:r>
            <w:r w:rsidR="007279B9">
              <w:rPr>
                <w:color w:val="000000" w:themeColor="text1"/>
                <w:spacing w:val="-4"/>
              </w:rPr>
              <w:t xml:space="preserve"> </w:t>
            </w:r>
          </w:p>
          <w:p w:rsidR="00DB7D77" w:rsidRPr="006C5BE9" w:rsidRDefault="00DB7D77" w:rsidP="007279B9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355CAA" w:rsidRPr="006C5BE9" w:rsidTr="008F1638">
        <w:tc>
          <w:tcPr>
            <w:tcW w:w="1016" w:type="pct"/>
            <w:shd w:val="clear" w:color="auto" w:fill="auto"/>
          </w:tcPr>
          <w:p w:rsidR="00EF3CF0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Vysoká důvěra spotřebitelů, jenž se dotýkala rekordní úrovně držela meziroční tempa růstu maloobchodních tržeb nad 5 %.</w:t>
            </w:r>
          </w:p>
          <w:p w:rsidR="00355CAA" w:rsidRPr="005B2702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355CAA" w:rsidRPr="005B2702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355CAA" w:rsidRDefault="00EF3CF0" w:rsidP="00A0172C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Příznivá situace na pracovním trhu poháněla růst disponibilních příjmů domácností a projevila se i v optimistických náladách spotřebitelů.</w:t>
            </w:r>
            <w:r w:rsidRPr="00203F25">
              <w:rPr>
                <w:color w:val="000000" w:themeColor="text1"/>
                <w:spacing w:val="-4"/>
              </w:rPr>
              <w:t xml:space="preserve"> Sezóně očištěné saldo důvěry </w:t>
            </w:r>
            <w:r>
              <w:rPr>
                <w:color w:val="000000" w:themeColor="text1"/>
                <w:spacing w:val="-4"/>
              </w:rPr>
              <w:t xml:space="preserve">atakovalo </w:t>
            </w:r>
            <w:r w:rsidRPr="00203F25">
              <w:rPr>
                <w:color w:val="000000" w:themeColor="text1"/>
                <w:spacing w:val="-4"/>
              </w:rPr>
              <w:t>na počátk</w:t>
            </w:r>
            <w:r>
              <w:rPr>
                <w:color w:val="000000" w:themeColor="text1"/>
                <w:spacing w:val="-4"/>
              </w:rPr>
              <w:t xml:space="preserve">u roku nejvyšší hodnoty </w:t>
            </w:r>
            <w:r w:rsidRPr="006B4FFB">
              <w:rPr>
                <w:color w:val="000000" w:themeColor="text1"/>
                <w:spacing w:val="-6"/>
              </w:rPr>
              <w:t>(+7,5 bodu)</w:t>
            </w:r>
            <w:r w:rsidRPr="00203F25">
              <w:rPr>
                <w:color w:val="000000" w:themeColor="text1"/>
                <w:spacing w:val="-4"/>
              </w:rPr>
              <w:t xml:space="preserve"> v historii </w:t>
            </w:r>
            <w:r>
              <w:rPr>
                <w:color w:val="000000" w:themeColor="text1"/>
                <w:spacing w:val="-4"/>
              </w:rPr>
              <w:t>sledování. Přetrvávala i vysoká tempa maloobchodních tržeb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1"/>
            </w:r>
            <w:r>
              <w:rPr>
                <w:color w:val="000000" w:themeColor="text1"/>
                <w:spacing w:val="-4"/>
              </w:rPr>
              <w:t xml:space="preserve"> – v 1. čtvrtle</w:t>
            </w:r>
            <w:r w:rsidR="006743E8">
              <w:rPr>
                <w:color w:val="000000" w:themeColor="text1"/>
                <w:spacing w:val="-4"/>
              </w:rPr>
              <w:t>tí +5,7 % meziročně (</w:t>
            </w:r>
            <w:r>
              <w:rPr>
                <w:color w:val="000000" w:themeColor="text1"/>
                <w:spacing w:val="-4"/>
              </w:rPr>
              <w:t>za celý loňský rok</w:t>
            </w:r>
            <w:r w:rsidR="00E533B7">
              <w:rPr>
                <w:color w:val="000000" w:themeColor="text1"/>
                <w:spacing w:val="-4"/>
              </w:rPr>
              <w:t xml:space="preserve"> +</w:t>
            </w:r>
            <w:r w:rsidR="006743E8">
              <w:rPr>
                <w:color w:val="000000" w:themeColor="text1"/>
                <w:spacing w:val="-4"/>
              </w:rPr>
              <w:t>5,2 %</w:t>
            </w:r>
            <w:r>
              <w:rPr>
                <w:color w:val="000000" w:themeColor="text1"/>
                <w:spacing w:val="-4"/>
              </w:rPr>
              <w:t>).</w:t>
            </w:r>
          </w:p>
          <w:p w:rsidR="00EF3CF0" w:rsidRPr="006C5BE9" w:rsidRDefault="00EF3CF0" w:rsidP="00A0172C">
            <w:pPr>
              <w:pStyle w:val="Textpoznpodarou"/>
              <w:jc w:val="both"/>
              <w:rPr>
                <w:spacing w:val="-4"/>
                <w:sz w:val="13"/>
                <w:szCs w:val="13"/>
              </w:rPr>
            </w:pPr>
          </w:p>
        </w:tc>
      </w:tr>
      <w:tr w:rsidR="00355CAA" w:rsidRPr="006C5BE9" w:rsidTr="008F1638">
        <w:tc>
          <w:tcPr>
            <w:tcW w:w="1016" w:type="pct"/>
            <w:shd w:val="clear" w:color="auto" w:fill="auto"/>
          </w:tcPr>
          <w:p w:rsidR="00EF3CF0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Tržby za nepotravi</w:t>
            </w:r>
            <w:r w:rsidR="00F91EAF">
              <w:rPr>
                <w:spacing w:val="-2"/>
                <w:sz w:val="16"/>
                <w:szCs w:val="16"/>
              </w:rPr>
              <w:t>nářské zboží posílily nejvíce od konce roku 2007</w:t>
            </w:r>
            <w:r>
              <w:rPr>
                <w:spacing w:val="-2"/>
                <w:sz w:val="16"/>
                <w:szCs w:val="16"/>
              </w:rPr>
              <w:t>, pokračoval rozmach internetového prodeje.</w:t>
            </w:r>
          </w:p>
          <w:p w:rsidR="00EF3CF0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EF3CF0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EF3CF0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EF3CF0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F91EAF" w:rsidRDefault="00F91EAF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F91EAF" w:rsidRDefault="00F91EAF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EF3CF0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EF3CF0" w:rsidRPr="005B2702" w:rsidRDefault="00EF3CF0" w:rsidP="00EF3CF0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Růst maloobch</w:t>
            </w:r>
            <w:r w:rsidR="003D2393">
              <w:rPr>
                <w:spacing w:val="-4"/>
                <w:sz w:val="16"/>
                <w:szCs w:val="16"/>
              </w:rPr>
              <w:t>odních tržeb v ČR byl letos šestý</w:t>
            </w:r>
            <w:r>
              <w:rPr>
                <w:spacing w:val="-4"/>
                <w:sz w:val="16"/>
                <w:szCs w:val="16"/>
              </w:rPr>
              <w:t xml:space="preserve"> nejvyšší ze zemí EU, dynamicky posilovaly novější členské státy, z velk</w:t>
            </w:r>
            <w:r w:rsidR="003D2393">
              <w:rPr>
                <w:spacing w:val="-4"/>
                <w:sz w:val="16"/>
                <w:szCs w:val="16"/>
              </w:rPr>
              <w:t>ých ekonomik nejvíce Francie</w:t>
            </w:r>
            <w:r>
              <w:rPr>
                <w:spacing w:val="-4"/>
                <w:sz w:val="16"/>
                <w:szCs w:val="16"/>
              </w:rPr>
              <w:t>.</w:t>
            </w:r>
          </w:p>
          <w:p w:rsidR="00355CAA" w:rsidRPr="005B2702" w:rsidRDefault="00355CAA" w:rsidP="00A0172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355CAA" w:rsidRPr="005B2702" w:rsidRDefault="00355CAA" w:rsidP="00A0172C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EF3CF0" w:rsidRPr="00DB7D77" w:rsidRDefault="00EF3CF0" w:rsidP="00A0172C">
            <w:pPr>
              <w:pStyle w:val="Textpoznpodarou"/>
              <w:jc w:val="both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Tržby za potraviny se po stagnaci ve 4. čtvrtletí 201</w:t>
            </w:r>
            <w:r w:rsidR="00541822">
              <w:rPr>
                <w:color w:val="000000" w:themeColor="text1"/>
                <w:spacing w:val="-4"/>
              </w:rPr>
              <w:t>6 vrátily k mírnému růstu (o 1,5</w:t>
            </w:r>
            <w:r>
              <w:rPr>
                <w:color w:val="000000" w:themeColor="text1"/>
                <w:spacing w:val="-4"/>
              </w:rPr>
              <w:t xml:space="preserve"> %). Jejich slabší tempa (oproti první polovině roku 2016) souvisela s nižšími tržbami za služby v nespecializovaných (zejm. velkých) prodejnách potravin. Naopak váhově méně významné tržby ve specializovaných prodejnách potravin v tempech nepolevovaly (rostly kolem 3 % meziročně již od počátku roku 2015). </w:t>
            </w:r>
            <w:r w:rsidR="00541822">
              <w:rPr>
                <w:color w:val="000000" w:themeColor="text1"/>
                <w:spacing w:val="-4"/>
              </w:rPr>
              <w:t>Velmi se d</w:t>
            </w:r>
            <w:r w:rsidR="00E62A33">
              <w:rPr>
                <w:color w:val="000000" w:themeColor="text1"/>
                <w:spacing w:val="-4"/>
              </w:rPr>
              <w:t xml:space="preserve">ařilo </w:t>
            </w:r>
            <w:r>
              <w:rPr>
                <w:color w:val="000000" w:themeColor="text1"/>
                <w:spacing w:val="-4"/>
              </w:rPr>
              <w:t xml:space="preserve">prodejcům </w:t>
            </w:r>
            <w:proofErr w:type="spellStart"/>
            <w:r>
              <w:rPr>
                <w:color w:val="000000" w:themeColor="text1"/>
                <w:spacing w:val="-4"/>
              </w:rPr>
              <w:t>nepotravinářské</w:t>
            </w:r>
            <w:r w:rsidR="004C7C50">
              <w:rPr>
                <w:color w:val="000000" w:themeColor="text1"/>
                <w:spacing w:val="-4"/>
              </w:rPr>
              <w:t>ho</w:t>
            </w:r>
            <w:proofErr w:type="spellEnd"/>
            <w:r w:rsidR="004C7C50">
              <w:rPr>
                <w:color w:val="000000" w:themeColor="text1"/>
                <w:spacing w:val="-4"/>
              </w:rPr>
              <w:t xml:space="preserve"> zboží, </w:t>
            </w:r>
            <w:r w:rsidR="00541822">
              <w:rPr>
                <w:color w:val="000000" w:themeColor="text1"/>
                <w:spacing w:val="-4"/>
              </w:rPr>
              <w:t>jejichž tempo tržeb se zvyšovalo již třetí čtvrtletí v řadě a na počátku roku vystoupalo až na 8,8 %</w:t>
            </w:r>
            <w:r>
              <w:rPr>
                <w:color w:val="000000" w:themeColor="text1"/>
                <w:spacing w:val="-4"/>
              </w:rPr>
              <w:t xml:space="preserve"> (nejvyšší meziroční te</w:t>
            </w:r>
            <w:r w:rsidR="00541822">
              <w:rPr>
                <w:color w:val="000000" w:themeColor="text1"/>
                <w:spacing w:val="-4"/>
              </w:rPr>
              <w:t>mpo od konce roku 2007</w:t>
            </w:r>
            <w:r>
              <w:rPr>
                <w:color w:val="000000" w:themeColor="text1"/>
                <w:spacing w:val="-4"/>
              </w:rPr>
              <w:t>). Dvojciferné navýšení tržeb vykázaly prodejny s výrobky pro kulturu a</w:t>
            </w:r>
            <w:r w:rsidR="006B59D7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rekreaci, podobně jako u oděvů, obuvi a koženého zboží. Příznivě se vyvíjely tržby </w:t>
            </w:r>
            <w:r w:rsidR="006B59D7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i</w:t>
            </w:r>
            <w:r w:rsidR="007B04E8">
              <w:rPr>
                <w:spacing w:val="-4"/>
              </w:rPr>
              <w:t> </w:t>
            </w:r>
            <w:r w:rsidR="007B04E8">
              <w:rPr>
                <w:color w:val="000000" w:themeColor="text1"/>
                <w:spacing w:val="-4"/>
              </w:rPr>
              <w:t>v</w:t>
            </w:r>
            <w:r w:rsidR="007B04E8"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ostatních kategoriích specializovaných prodejen, podporované i nižšími cenami (tržby v běžných cenách rostly nižším tempem než ve stálých cenách). Rozmach internetovéh</w:t>
            </w:r>
            <w:r w:rsidR="00F91EAF">
              <w:rPr>
                <w:color w:val="000000" w:themeColor="text1"/>
                <w:spacing w:val="-4"/>
              </w:rPr>
              <w:t>o prodeje nadále pokračoval (+23,8 %, resp. +21,4</w:t>
            </w:r>
            <w:r>
              <w:rPr>
                <w:color w:val="000000" w:themeColor="text1"/>
                <w:spacing w:val="-4"/>
              </w:rPr>
              <w:t xml:space="preserve"> % celý rok 2016). Tempo tržeb za prodej</w:t>
            </w:r>
            <w:r w:rsidR="00F91EAF">
              <w:rPr>
                <w:color w:val="000000" w:themeColor="text1"/>
                <w:spacing w:val="-4"/>
              </w:rPr>
              <w:t xml:space="preserve"> pohonných hmot (+3,7</w:t>
            </w:r>
            <w:r>
              <w:rPr>
                <w:color w:val="000000" w:themeColor="text1"/>
                <w:spacing w:val="-4"/>
              </w:rPr>
              <w:t xml:space="preserve"> %) se proti </w:t>
            </w:r>
            <w:r w:rsidR="00F91EAF">
              <w:rPr>
                <w:color w:val="000000" w:themeColor="text1"/>
                <w:spacing w:val="-4"/>
              </w:rPr>
              <w:t xml:space="preserve">počátku </w:t>
            </w:r>
            <w:r>
              <w:rPr>
                <w:color w:val="000000" w:themeColor="text1"/>
                <w:spacing w:val="-4"/>
              </w:rPr>
              <w:t xml:space="preserve">loňskému roku snížilo </w:t>
            </w:r>
            <w:r w:rsidR="00F91EAF">
              <w:rPr>
                <w:color w:val="000000" w:themeColor="text1"/>
                <w:spacing w:val="-4"/>
              </w:rPr>
              <w:t xml:space="preserve">téměř </w:t>
            </w:r>
            <w:r>
              <w:rPr>
                <w:color w:val="000000" w:themeColor="text1"/>
                <w:spacing w:val="-4"/>
              </w:rPr>
              <w:t xml:space="preserve">na </w:t>
            </w:r>
            <w:r w:rsidRPr="00E533B7">
              <w:rPr>
                <w:color w:val="0D0D0D" w:themeColor="text1" w:themeTint="F2"/>
                <w:spacing w:val="-4"/>
              </w:rPr>
              <w:t>polovinu, stimulační vliv nižších cen na spotřebu se oslabil (</w:t>
            </w:r>
            <w:r w:rsidR="00F91EAF" w:rsidRPr="00E533B7">
              <w:rPr>
                <w:color w:val="0D0D0D" w:themeColor="text1" w:themeTint="F2"/>
                <w:spacing w:val="-4"/>
              </w:rPr>
              <w:t xml:space="preserve">spotřebitelské </w:t>
            </w:r>
            <w:r w:rsidRPr="00E533B7">
              <w:rPr>
                <w:color w:val="0D0D0D" w:themeColor="text1" w:themeTint="F2"/>
                <w:spacing w:val="-4"/>
              </w:rPr>
              <w:t>ceny PHM byly v únoru 2017 nejvyšší za p</w:t>
            </w:r>
            <w:r w:rsidR="003D2393" w:rsidRPr="00E533B7">
              <w:rPr>
                <w:color w:val="0D0D0D" w:themeColor="text1" w:themeTint="F2"/>
                <w:spacing w:val="-4"/>
              </w:rPr>
              <w:t>osledních 18 měsíců). M</w:t>
            </w:r>
            <w:r w:rsidRPr="00E533B7">
              <w:rPr>
                <w:color w:val="0D0D0D" w:themeColor="text1" w:themeTint="F2"/>
                <w:spacing w:val="-4"/>
              </w:rPr>
              <w:t>eziroční růst maloobchodních tržeb v ČR byl letos proti EU o 3</w:t>
            </w:r>
            <w:r w:rsidR="003D2393" w:rsidRPr="00E533B7">
              <w:rPr>
                <w:color w:val="0D0D0D" w:themeColor="text1" w:themeTint="F2"/>
                <w:spacing w:val="-4"/>
              </w:rPr>
              <w:t>,5</w:t>
            </w:r>
            <w:r w:rsidRPr="00E533B7">
              <w:rPr>
                <w:color w:val="0D0D0D" w:themeColor="text1" w:themeTint="F2"/>
                <w:spacing w:val="-4"/>
              </w:rPr>
              <w:t xml:space="preserve"> </w:t>
            </w:r>
            <w:proofErr w:type="spellStart"/>
            <w:r w:rsidR="003D2393" w:rsidRPr="00E533B7">
              <w:rPr>
                <w:color w:val="0D0D0D" w:themeColor="text1" w:themeTint="F2"/>
                <w:spacing w:val="-4"/>
              </w:rPr>
              <w:t>p.b</w:t>
            </w:r>
            <w:proofErr w:type="spellEnd"/>
            <w:r w:rsidR="003D2393" w:rsidRPr="00E533B7">
              <w:rPr>
                <w:color w:val="0D0D0D" w:themeColor="text1" w:themeTint="F2"/>
                <w:spacing w:val="-4"/>
              </w:rPr>
              <w:t>. vyšší.</w:t>
            </w:r>
            <w:r w:rsidRPr="00E533B7">
              <w:rPr>
                <w:color w:val="0D0D0D" w:themeColor="text1" w:themeTint="F2"/>
                <w:spacing w:val="-4"/>
              </w:rPr>
              <w:t xml:space="preserve"> </w:t>
            </w:r>
            <w:r w:rsidR="003D2393" w:rsidRPr="00E533B7">
              <w:rPr>
                <w:color w:val="0D0D0D" w:themeColor="text1" w:themeTint="F2"/>
                <w:spacing w:val="-4"/>
              </w:rPr>
              <w:t>Česko se tak zařadilo v pořadí zemí na šesté</w:t>
            </w:r>
            <w:r w:rsidRPr="00E533B7">
              <w:rPr>
                <w:color w:val="0D0D0D" w:themeColor="text1" w:themeTint="F2"/>
                <w:spacing w:val="-4"/>
              </w:rPr>
              <w:t xml:space="preserve"> místo. Vysokých temp dosáhly až na výjimky (Lucembursko, Irsko) novější členské státy EU</w:t>
            </w:r>
            <w:r w:rsidR="003D2393" w:rsidRPr="00E533B7">
              <w:rPr>
                <w:color w:val="0D0D0D" w:themeColor="text1" w:themeTint="F2"/>
                <w:spacing w:val="-4"/>
              </w:rPr>
              <w:t xml:space="preserve"> (především Slovinsko +13,5 %).</w:t>
            </w:r>
            <w:r w:rsidRPr="00E533B7">
              <w:rPr>
                <w:color w:val="0D0D0D" w:themeColor="text1" w:themeTint="F2"/>
                <w:spacing w:val="-4"/>
              </w:rPr>
              <w:t>. V Polsku činil růst 6,7 %, na Slovensku 5,4</w:t>
            </w:r>
            <w:r w:rsidR="00E533B7" w:rsidRPr="00E533B7">
              <w:rPr>
                <w:color w:val="0D0D0D" w:themeColor="text1" w:themeTint="F2"/>
                <w:spacing w:val="-4"/>
              </w:rPr>
              <w:t xml:space="preserve"> %, ale v Německu a Rakousku</w:t>
            </w:r>
            <w:r w:rsidR="003D2393" w:rsidRPr="00E533B7">
              <w:rPr>
                <w:color w:val="0D0D0D" w:themeColor="text1" w:themeTint="F2"/>
                <w:spacing w:val="-4"/>
              </w:rPr>
              <w:t xml:space="preserve"> jen 1,5</w:t>
            </w:r>
            <w:r w:rsidRPr="00E533B7">
              <w:rPr>
                <w:color w:val="0D0D0D" w:themeColor="text1" w:themeTint="F2"/>
                <w:spacing w:val="-4"/>
              </w:rPr>
              <w:t xml:space="preserve"> %, resp. 1,6 %.</w:t>
            </w:r>
            <w:r w:rsidR="003D2393" w:rsidRPr="00E533B7">
              <w:rPr>
                <w:color w:val="0D0D0D" w:themeColor="text1" w:themeTint="F2"/>
                <w:spacing w:val="-4"/>
              </w:rPr>
              <w:t xml:space="preserve"> Z velkých ekonomik EU posilovaly tržby nejvíce ve Francii (+2,9 %), naopak v dalších dvou státech sužovaných vysokou nezaměstnaností (Itálie, Španělsko) se </w:t>
            </w:r>
            <w:r w:rsidR="00FA2A4A" w:rsidRPr="00E533B7">
              <w:rPr>
                <w:color w:val="0D0D0D" w:themeColor="text1" w:themeTint="F2"/>
                <w:spacing w:val="-4"/>
              </w:rPr>
              <w:t xml:space="preserve">v 1. čtvrtletí </w:t>
            </w:r>
            <w:r w:rsidR="003D2393" w:rsidRPr="00E533B7">
              <w:rPr>
                <w:color w:val="0D0D0D" w:themeColor="text1" w:themeTint="F2"/>
                <w:spacing w:val="-4"/>
              </w:rPr>
              <w:t>zvyšovaly o méně než 1 %.</w:t>
            </w:r>
          </w:p>
        </w:tc>
      </w:tr>
    </w:tbl>
    <w:p w:rsidR="00813CB4" w:rsidRPr="00FA2A4A" w:rsidRDefault="00813CB4" w:rsidP="00492991">
      <w:pPr>
        <w:pStyle w:val="Textpoznpodarou"/>
        <w:jc w:val="both"/>
        <w:rPr>
          <w:sz w:val="10"/>
          <w:szCs w:val="10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980"/>
        <w:gridCol w:w="6520"/>
      </w:tblGrid>
      <w:tr w:rsidR="003C6DB9" w:rsidRPr="00AA4A76" w:rsidTr="00E62A33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AA4A76" w:rsidRDefault="003C6DB9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3C6DB9" w:rsidRPr="00AA4A76" w:rsidRDefault="003C6DB9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01" w:type="pct"/>
          </w:tcPr>
          <w:p w:rsidR="003C6DB9" w:rsidRPr="00E62A33" w:rsidRDefault="003C6DB9" w:rsidP="00A0172C">
            <w:pPr>
              <w:pStyle w:val="Textpoznpodarou"/>
              <w:jc w:val="both"/>
              <w:rPr>
                <w:spacing w:val="-2"/>
                <w:highlight w:val="yellow"/>
              </w:rPr>
            </w:pPr>
            <w:r w:rsidRPr="00E62A33">
              <w:rPr>
                <w:color w:val="000000"/>
                <w:spacing w:val="-2"/>
              </w:rPr>
              <w:t>Graf č. 8</w:t>
            </w:r>
          </w:p>
        </w:tc>
        <w:tc>
          <w:tcPr>
            <w:tcW w:w="3333" w:type="pct"/>
          </w:tcPr>
          <w:p w:rsidR="003C6DB9" w:rsidRPr="00E62A33" w:rsidRDefault="003C6DB9" w:rsidP="00A0172C">
            <w:pPr>
              <w:pStyle w:val="Textpoznpodarou"/>
              <w:rPr>
                <w:spacing w:val="-2"/>
                <w:lang w:eastAsia="en-US"/>
              </w:rPr>
            </w:pPr>
            <w:r w:rsidRPr="00E62A33">
              <w:rPr>
                <w:b/>
                <w:spacing w:val="-2"/>
              </w:rPr>
              <w:t xml:space="preserve">Tržby v maloobchodu </w:t>
            </w:r>
            <w:r w:rsidRPr="00E62A33">
              <w:rPr>
                <w:bCs/>
                <w:spacing w:val="-2"/>
              </w:rPr>
              <w:t xml:space="preserve">(reálně, </w:t>
            </w:r>
            <w:r w:rsidR="00813CB4" w:rsidRPr="00E62A33">
              <w:rPr>
                <w:rFonts w:cs="Arial"/>
                <w:spacing w:val="-2"/>
              </w:rPr>
              <w:t>očištěno</w:t>
            </w:r>
            <w:r w:rsidR="00E62A33" w:rsidRPr="00E62A33">
              <w:rPr>
                <w:rFonts w:cs="Arial"/>
                <w:spacing w:val="-2"/>
              </w:rPr>
              <w:t xml:space="preserve"> od vlivu počtu pracovních dnů, </w:t>
            </w:r>
            <w:r w:rsidR="00E62A33" w:rsidRPr="00E62A33">
              <w:rPr>
                <w:spacing w:val="-2"/>
              </w:rPr>
              <w:t>meziročně</w:t>
            </w:r>
            <w:r w:rsidR="00E62A33" w:rsidRPr="00E62A33">
              <w:rPr>
                <w:bCs/>
                <w:spacing w:val="-2"/>
              </w:rPr>
              <w:t xml:space="preserve"> v %)</w:t>
            </w:r>
            <w:r w:rsidRPr="00E62A33">
              <w:rPr>
                <w:bCs/>
                <w:spacing w:val="-2"/>
              </w:rPr>
              <w:t xml:space="preserve"> </w:t>
            </w:r>
            <w:r w:rsidRPr="00E62A33">
              <w:rPr>
                <w:b/>
                <w:spacing w:val="-2"/>
              </w:rPr>
              <w:t xml:space="preserve">saldo indikátoru důvěry spotřebitelů </w:t>
            </w:r>
            <w:r w:rsidRPr="00E62A33">
              <w:rPr>
                <w:spacing w:val="-2"/>
              </w:rPr>
              <w:t>(pravá osa)</w:t>
            </w:r>
          </w:p>
        </w:tc>
      </w:tr>
      <w:tr w:rsidR="003C6DB9" w:rsidRPr="00AA4A76" w:rsidTr="00E62A33">
        <w:trPr>
          <w:trHeight w:val="145"/>
        </w:trPr>
        <w:tc>
          <w:tcPr>
            <w:tcW w:w="1021" w:type="pct"/>
            <w:shd w:val="clear" w:color="auto" w:fill="auto"/>
          </w:tcPr>
          <w:p w:rsidR="003C6DB9" w:rsidRPr="006D3F53" w:rsidRDefault="003C6DB9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3C6DB9" w:rsidRPr="00A74192" w:rsidRDefault="003C6DB9" w:rsidP="00A0172C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3C6DB9" w:rsidRPr="00E62A33" w:rsidRDefault="00ED2B0B" w:rsidP="00E62A33">
            <w:pPr>
              <w:pStyle w:val="Textpoznpodarou"/>
              <w:ind w:left="-124"/>
              <w:jc w:val="right"/>
              <w:rPr>
                <w:sz w:val="16"/>
                <w:szCs w:val="16"/>
              </w:rPr>
            </w:pPr>
            <w:r w:rsidRPr="00ED2B0B">
              <w:rPr>
                <w:noProof/>
                <w:sz w:val="14"/>
                <w:szCs w:val="14"/>
              </w:rPr>
              <w:drawing>
                <wp:inline distT="0" distB="0" distL="0" distR="0">
                  <wp:extent cx="4782518" cy="3411121"/>
                  <wp:effectExtent l="19050" t="0" r="0" b="0"/>
                  <wp:docPr id="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="003C6DB9" w:rsidRPr="00E62A33">
              <w:rPr>
                <w:sz w:val="14"/>
                <w:szCs w:val="14"/>
              </w:rPr>
              <w:t>Zdroj: ČSÚ</w:t>
            </w:r>
          </w:p>
        </w:tc>
      </w:tr>
    </w:tbl>
    <w:p w:rsidR="008A03DE" w:rsidRPr="00CE7158" w:rsidRDefault="008A03DE" w:rsidP="008A03DE">
      <w:pPr>
        <w:pStyle w:val="Textpoznpodarou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1B3BB0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24" w:rsidRDefault="00BA1124" w:rsidP="00E71A58">
      <w:r>
        <w:separator/>
      </w:r>
    </w:p>
  </w:endnote>
  <w:endnote w:type="continuationSeparator" w:id="0">
    <w:p w:rsidR="00BA1124" w:rsidRDefault="00BA112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400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775400" w:rsidRPr="005A21E0">
      <w:rPr>
        <w:rFonts w:ascii="Arial" w:hAnsi="Arial" w:cs="Arial"/>
        <w:sz w:val="16"/>
        <w:szCs w:val="16"/>
      </w:rPr>
      <w:fldChar w:fldCharType="separate"/>
    </w:r>
    <w:r w:rsidR="001B3BB0">
      <w:rPr>
        <w:rFonts w:ascii="Arial" w:hAnsi="Arial" w:cs="Arial"/>
        <w:noProof/>
        <w:sz w:val="16"/>
        <w:szCs w:val="16"/>
      </w:rPr>
      <w:t>10</w:t>
    </w:r>
    <w:r w:rsidR="00775400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667A0" w:rsidRPr="00223E0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77540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75400" w:rsidRPr="00223E00">
      <w:rPr>
        <w:rFonts w:ascii="Arial" w:hAnsi="Arial" w:cs="Arial"/>
        <w:sz w:val="16"/>
        <w:szCs w:val="16"/>
      </w:rPr>
      <w:fldChar w:fldCharType="separate"/>
    </w:r>
    <w:r w:rsidR="001B3BB0">
      <w:rPr>
        <w:rFonts w:ascii="Arial" w:hAnsi="Arial" w:cs="Arial"/>
        <w:noProof/>
        <w:sz w:val="16"/>
        <w:szCs w:val="16"/>
      </w:rPr>
      <w:t>9</w:t>
    </w:r>
    <w:r w:rsidR="0077540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24" w:rsidRDefault="00BA1124" w:rsidP="00E71A58">
      <w:r>
        <w:separator/>
      </w:r>
    </w:p>
  </w:footnote>
  <w:footnote w:type="continuationSeparator" w:id="0">
    <w:p w:rsidR="00BA1124" w:rsidRDefault="00BA1124" w:rsidP="00E71A58">
      <w:r>
        <w:continuationSeparator/>
      </w:r>
    </w:p>
  </w:footnote>
  <w:footnote w:id="1">
    <w:p w:rsidR="00D667A0" w:rsidRPr="00EC671E" w:rsidRDefault="00D667A0" w:rsidP="00A0172C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D667A0" w:rsidRPr="00EC671E" w:rsidRDefault="00D667A0" w:rsidP="00A0172C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Z</w:t>
      </w:r>
      <w:r>
        <w:rPr>
          <w:color w:val="0D0D0D" w:themeColor="text1" w:themeTint="F2"/>
          <w:sz w:val="16"/>
          <w:szCs w:val="16"/>
        </w:rPr>
        <w:t>ahrnutá odvětví: Těžba a dobývání, Zpracovatelský průmysl, Energetika</w:t>
      </w:r>
      <w:r w:rsidRPr="00EC671E">
        <w:rPr>
          <w:color w:val="0D0D0D" w:themeColor="text1" w:themeTint="F2"/>
          <w:sz w:val="16"/>
          <w:szCs w:val="16"/>
        </w:rPr>
        <w:t>.</w:t>
      </w:r>
      <w:r>
        <w:rPr>
          <w:color w:val="0D0D0D" w:themeColor="text1" w:themeTint="F2"/>
          <w:sz w:val="16"/>
          <w:szCs w:val="16"/>
        </w:rPr>
        <w:t xml:space="preserve"> Všechna m</w:t>
      </w:r>
      <w:r w:rsidRPr="00EC671E">
        <w:rPr>
          <w:color w:val="0D0D0D" w:themeColor="text1" w:themeTint="F2"/>
          <w:sz w:val="16"/>
          <w:szCs w:val="16"/>
        </w:rPr>
        <w:t xml:space="preserve">eziroční tempa produkce </w:t>
      </w:r>
      <w:r>
        <w:rPr>
          <w:color w:val="0D0D0D" w:themeColor="text1" w:themeTint="F2"/>
          <w:sz w:val="16"/>
          <w:szCs w:val="16"/>
        </w:rPr>
        <w:t xml:space="preserve">(na úrovni odvětvových sekcí i oddílů) jsou </w:t>
      </w:r>
      <w:r w:rsidRPr="00EC671E">
        <w:rPr>
          <w:color w:val="0D0D0D" w:themeColor="text1" w:themeTint="F2"/>
          <w:sz w:val="16"/>
          <w:szCs w:val="16"/>
        </w:rPr>
        <w:t>očištěna o kalendářní vlivy.</w:t>
      </w:r>
    </w:p>
  </w:footnote>
  <w:footnote w:id="3">
    <w:p w:rsidR="00D667A0" w:rsidRPr="00EC671E" w:rsidRDefault="00D667A0" w:rsidP="00A0172C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Silné tempo bylo ovlivněno vyšším počtem pracovních dní (o 3 více než ve stejném období loňského roku). Výrazný rozdíl mezi očištěnou a neočištěnou produkcí se ve stejném směru působení i s obdobnou intenzitou objevil i ve 2. čtvrtletí 2016.</w:t>
      </w:r>
    </w:p>
  </w:footnote>
  <w:footnote w:id="4">
    <w:p w:rsidR="00D667A0" w:rsidRPr="00EC671E" w:rsidRDefault="00D667A0" w:rsidP="00A0172C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O rostoucích cenách surovin vypovídají také </w:t>
      </w:r>
      <w:r>
        <w:rPr>
          <w:color w:val="0D0D0D" w:themeColor="text1" w:themeTint="F2"/>
          <w:sz w:val="16"/>
          <w:szCs w:val="16"/>
        </w:rPr>
        <w:t xml:space="preserve">nominální </w:t>
      </w:r>
      <w:r w:rsidRPr="00EC671E">
        <w:rPr>
          <w:color w:val="0D0D0D" w:themeColor="text1" w:themeTint="F2"/>
          <w:sz w:val="16"/>
          <w:szCs w:val="16"/>
        </w:rPr>
        <w:t xml:space="preserve">tržby podniků v těžbě a dobývání. Ty v 1. čtvrtletí </w:t>
      </w:r>
      <w:r>
        <w:rPr>
          <w:color w:val="0D0D0D" w:themeColor="text1" w:themeTint="F2"/>
          <w:sz w:val="16"/>
          <w:szCs w:val="16"/>
        </w:rPr>
        <w:t>2017 poprvé po dvanácti čtvrtletích</w:t>
      </w:r>
      <w:r w:rsidRPr="00EC671E">
        <w:rPr>
          <w:color w:val="0D0D0D" w:themeColor="text1" w:themeTint="F2"/>
          <w:sz w:val="16"/>
          <w:szCs w:val="16"/>
        </w:rPr>
        <w:t xml:space="preserve"> zastavily propad. Jejich meziroční tempo (+12,2 %) bylo zároveň nejvyšší od 3. čtvrtletí 2010. V naturálním vyjádření</w:t>
      </w:r>
      <w:r>
        <w:rPr>
          <w:color w:val="0D0D0D" w:themeColor="text1" w:themeTint="F2"/>
          <w:sz w:val="16"/>
          <w:szCs w:val="16"/>
        </w:rPr>
        <w:t xml:space="preserve"> však redukce těžby pokračovala.</w:t>
      </w:r>
      <w:r w:rsidRPr="00EC671E">
        <w:rPr>
          <w:color w:val="0D0D0D" w:themeColor="text1" w:themeTint="F2"/>
          <w:sz w:val="16"/>
          <w:szCs w:val="16"/>
        </w:rPr>
        <w:t xml:space="preserve"> </w:t>
      </w:r>
    </w:p>
  </w:footnote>
  <w:footnote w:id="5">
    <w:p w:rsidR="00D667A0" w:rsidRPr="00EC671E" w:rsidRDefault="00D667A0" w:rsidP="00A0172C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Podle údajů Sdružení automobilového průmyslu bylo v Česku během prvních třech měsíců roku vyrobeno 387 tis. osobních automobilů, meziročně o 10,7 % více. Dařilo se i většině výrobců ostatních druhů motorových vozidel.</w:t>
      </w:r>
    </w:p>
  </w:footnote>
  <w:footnote w:id="6">
    <w:p w:rsidR="00D667A0" w:rsidRPr="002A2EE3" w:rsidRDefault="00D667A0" w:rsidP="00A0172C">
      <w:pPr>
        <w:pStyle w:val="Textpoznpodarou"/>
        <w:jc w:val="both"/>
        <w:rPr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Obdobnou výši produkce jako na konci poslední recese letos vykázal také odvětvový oddíl Oprava a instalace strojů a zařízení. Všechny ostatní obory zpracovatelského průmyslu tuto úroveň již překonaly – nejvíce</w:t>
      </w:r>
      <w:r>
        <w:rPr>
          <w:color w:val="0D0D0D" w:themeColor="text1" w:themeTint="F2"/>
          <w:sz w:val="16"/>
          <w:szCs w:val="16"/>
        </w:rPr>
        <w:t xml:space="preserve"> Výroba motorových vozidel (o 66</w:t>
      </w:r>
      <w:r w:rsidRPr="00EC671E">
        <w:rPr>
          <w:color w:val="0D0D0D" w:themeColor="text1" w:themeTint="F2"/>
          <w:sz w:val="16"/>
          <w:szCs w:val="16"/>
        </w:rPr>
        <w:t xml:space="preserve"> %) a Výroba počítačů, elektronic</w:t>
      </w:r>
      <w:r>
        <w:rPr>
          <w:color w:val="0D0D0D" w:themeColor="text1" w:themeTint="F2"/>
          <w:sz w:val="16"/>
          <w:szCs w:val="16"/>
        </w:rPr>
        <w:t>kých a optických přístrojů (o 37</w:t>
      </w:r>
      <w:r w:rsidRPr="00EC671E">
        <w:rPr>
          <w:color w:val="0D0D0D" w:themeColor="text1" w:themeTint="F2"/>
          <w:sz w:val="16"/>
          <w:szCs w:val="16"/>
        </w:rPr>
        <w:t xml:space="preserve"> %).</w:t>
      </w:r>
      <w:r>
        <w:rPr>
          <w:sz w:val="16"/>
          <w:szCs w:val="16"/>
        </w:rPr>
        <w:t xml:space="preserve"> Z nezpracovatelských oborů výrazně zaostával těžební průmysl (-13 %). </w:t>
      </w:r>
    </w:p>
  </w:footnote>
  <w:footnote w:id="7">
    <w:p w:rsidR="00D667A0" w:rsidRPr="00EC671E" w:rsidRDefault="00D667A0" w:rsidP="00A0172C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EC671E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EC671E">
        <w:rPr>
          <w:rFonts w:cs="Arial"/>
          <w:color w:val="0D0D0D" w:themeColor="text1" w:themeTint="F2"/>
          <w:sz w:val="16"/>
          <w:szCs w:val="16"/>
        </w:rPr>
        <w:t xml:space="preserve"> </w:t>
      </w:r>
      <w:r w:rsidRPr="00EC671E">
        <w:rPr>
          <w:rFonts w:cs="Arial"/>
          <w:bCs/>
          <w:color w:val="0D0D0D" w:themeColor="text1" w:themeTint="F2"/>
          <w:sz w:val="16"/>
          <w:szCs w:val="16"/>
        </w:rPr>
        <w:t>Tržby z průmyslové činnosti</w:t>
      </w:r>
      <w:r w:rsidRPr="00EC671E">
        <w:rPr>
          <w:rFonts w:cs="Arial"/>
          <w:color w:val="0D0D0D" w:themeColor="text1" w:themeTint="F2"/>
          <w:sz w:val="16"/>
          <w:szCs w:val="16"/>
        </w:rPr>
        <w:t xml:space="preserve"> zahrnují jen tržby za výrobky a služby zařazené dle klasifikace CZ-CPA do oddílů 05-39, jde tedy o tržby očištěné od vedlejších neprůmyslových činností podniku. Na rozdíl </w:t>
      </w:r>
      <w:r>
        <w:rPr>
          <w:rFonts w:cs="Arial"/>
          <w:color w:val="0D0D0D" w:themeColor="text1" w:themeTint="F2"/>
          <w:sz w:val="16"/>
          <w:szCs w:val="16"/>
        </w:rPr>
        <w:t>od</w:t>
      </w:r>
      <w:r w:rsidRPr="00EC671E">
        <w:rPr>
          <w:rFonts w:cs="Arial"/>
          <w:color w:val="0D0D0D" w:themeColor="text1" w:themeTint="F2"/>
          <w:sz w:val="16"/>
          <w:szCs w:val="16"/>
        </w:rPr>
        <w:t xml:space="preserve"> průmyslové produkce jsou vyjádřeny v běžných cenách.</w:t>
      </w:r>
    </w:p>
  </w:footnote>
  <w:footnote w:id="8">
    <w:p w:rsidR="00D667A0" w:rsidRPr="00EC671E" w:rsidRDefault="00D667A0" w:rsidP="00A0172C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EC671E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EC671E">
        <w:rPr>
          <w:rFonts w:cs="Arial"/>
          <w:color w:val="0D0D0D" w:themeColor="text1" w:themeTint="F2"/>
          <w:sz w:val="16"/>
          <w:szCs w:val="16"/>
        </w:rPr>
        <w:t xml:space="preserve"> Průmyslové zakázky se sledují pouze ve vybraných oddílech CZ-NACE (13, 14, 17, 20 až 21, 24 až 30), které vyrábějí převážně na zakázku, s dlouhodobějším výrobním cyklem a s většími zásobami zakázek.</w:t>
      </w:r>
    </w:p>
  </w:footnote>
  <w:footnote w:id="9">
    <w:p w:rsidR="00D667A0" w:rsidRPr="00B4577F" w:rsidRDefault="00D667A0" w:rsidP="00A0172C">
      <w:pPr>
        <w:pStyle w:val="Textpoznpodarou"/>
        <w:jc w:val="both"/>
        <w:rPr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Údaje o stavební produkci jsou korigovány o kalendářní vlivy (bez tohoto očištění by stavební produkce v 1. čtvrtletí 2017 meziročně stagnovala). V samotném březnu byla očištěná </w:t>
      </w:r>
      <w:r>
        <w:rPr>
          <w:color w:val="0D0D0D" w:themeColor="text1" w:themeTint="F2"/>
          <w:sz w:val="16"/>
          <w:szCs w:val="16"/>
        </w:rPr>
        <w:t>stavební produkce o 3,1</w:t>
      </w:r>
      <w:r w:rsidRPr="00EC671E">
        <w:rPr>
          <w:color w:val="0D0D0D" w:themeColor="text1" w:themeTint="F2"/>
          <w:sz w:val="16"/>
          <w:szCs w:val="16"/>
        </w:rPr>
        <w:t xml:space="preserve"> % vyšší (loňskou úroveň přitom mírně překonala v pozemním i inženýrském stavitelství). Rozjezdu stavebních prací napomohlo i teplejší březnové počasí.</w:t>
      </w:r>
    </w:p>
  </w:footnote>
  <w:footnote w:id="10">
    <w:p w:rsidR="00D667A0" w:rsidRPr="00EC671E" w:rsidRDefault="00D667A0" w:rsidP="00355CAA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EC671E">
        <w:rPr>
          <w:color w:val="0D0D0D" w:themeColor="text1" w:themeTint="F2"/>
          <w:spacing w:val="-4"/>
          <w:sz w:val="16"/>
          <w:szCs w:val="16"/>
        </w:rPr>
        <w:t xml:space="preserve">Bez obchodu, peněžnictví, pojišťovnictví, vědy, výzkumu a veř. </w:t>
      </w:r>
      <w:proofErr w:type="gramStart"/>
      <w:r w:rsidRPr="00EC671E">
        <w:rPr>
          <w:color w:val="0D0D0D" w:themeColor="text1" w:themeTint="F2"/>
          <w:spacing w:val="-4"/>
          <w:sz w:val="16"/>
          <w:szCs w:val="16"/>
        </w:rPr>
        <w:t>služeb</w:t>
      </w:r>
      <w:proofErr w:type="gramEnd"/>
      <w:r w:rsidRPr="00EC671E">
        <w:rPr>
          <w:color w:val="0D0D0D" w:themeColor="text1" w:themeTint="F2"/>
          <w:spacing w:val="-4"/>
          <w:sz w:val="16"/>
          <w:szCs w:val="16"/>
        </w:rPr>
        <w:t>. Údaje za služby jsou očištěny o kalendářní vlivy ve stálých cenách.</w:t>
      </w:r>
    </w:p>
  </w:footnote>
  <w:footnote w:id="11">
    <w:p w:rsidR="00D667A0" w:rsidRPr="00EC671E" w:rsidRDefault="00D667A0" w:rsidP="00EF3CF0">
      <w:pPr>
        <w:pStyle w:val="Textpoznpodarou"/>
        <w:rPr>
          <w:color w:val="0D0D0D" w:themeColor="text1" w:themeTint="F2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Bez mot</w:t>
      </w:r>
      <w:r>
        <w:rPr>
          <w:color w:val="0D0D0D" w:themeColor="text1" w:themeTint="F2"/>
          <w:sz w:val="16"/>
          <w:szCs w:val="16"/>
        </w:rPr>
        <w:t>oristického segmentu. Ú</w:t>
      </w:r>
      <w:r w:rsidRPr="00EC671E">
        <w:rPr>
          <w:color w:val="0D0D0D" w:themeColor="text1" w:themeTint="F2"/>
          <w:sz w:val="16"/>
          <w:szCs w:val="16"/>
        </w:rPr>
        <w:t>daje o maloobchodních tržbách jsou očištěny o kalendářní vlivy ve stálých cenách.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C00831" w:rsidRDefault="00D667A0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30768C" w:rsidRDefault="00D667A0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945"/>
    <w:multiLevelType w:val="hybridMultilevel"/>
    <w:tmpl w:val="4AA61B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  <w:num w:numId="17">
    <w:abstractNumId w:val="4"/>
  </w:num>
  <w:num w:numId="18">
    <w:abstractNumId w:val="18"/>
  </w:num>
  <w:num w:numId="19">
    <w:abstractNumId w:val="8"/>
  </w:num>
  <w:num w:numId="2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0F7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3BB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A2C"/>
    <w:rsid w:val="002161D6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2A94"/>
    <w:rsid w:val="003035D4"/>
    <w:rsid w:val="00303A3C"/>
    <w:rsid w:val="00303DCB"/>
    <w:rsid w:val="00304771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9FC"/>
    <w:rsid w:val="003651A4"/>
    <w:rsid w:val="00365680"/>
    <w:rsid w:val="003657F3"/>
    <w:rsid w:val="00365E26"/>
    <w:rsid w:val="00366D4D"/>
    <w:rsid w:val="00366F77"/>
    <w:rsid w:val="00367038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B96"/>
    <w:rsid w:val="003C26F4"/>
    <w:rsid w:val="003C3686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0AE6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4DC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493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4F2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B4D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2D98"/>
    <w:rsid w:val="0068373D"/>
    <w:rsid w:val="00683B2A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ADE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5400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68BD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6DE2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7B8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836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0979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6CDA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3DC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1124"/>
    <w:rsid w:val="00BA56C9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6971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36EC3"/>
    <w:rsid w:val="00C40E09"/>
    <w:rsid w:val="00C40F81"/>
    <w:rsid w:val="00C41463"/>
    <w:rsid w:val="00C41A72"/>
    <w:rsid w:val="00C42D45"/>
    <w:rsid w:val="00C43CB1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2E15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7A0"/>
    <w:rsid w:val="00D66D48"/>
    <w:rsid w:val="00D7162F"/>
    <w:rsid w:val="00D72897"/>
    <w:rsid w:val="00D72948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886"/>
    <w:rsid w:val="00D868CE"/>
    <w:rsid w:val="00D86DAE"/>
    <w:rsid w:val="00D875B6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B8D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446B"/>
    <w:rsid w:val="00E04694"/>
    <w:rsid w:val="00E049F6"/>
    <w:rsid w:val="00E04CA9"/>
    <w:rsid w:val="00E05B2B"/>
    <w:rsid w:val="00E05EAD"/>
    <w:rsid w:val="00E06A2A"/>
    <w:rsid w:val="00E06E17"/>
    <w:rsid w:val="00E07F05"/>
    <w:rsid w:val="00E106A2"/>
    <w:rsid w:val="00E127E1"/>
    <w:rsid w:val="00E12BCE"/>
    <w:rsid w:val="00E144D2"/>
    <w:rsid w:val="00E144D6"/>
    <w:rsid w:val="00E15346"/>
    <w:rsid w:val="00E15B7D"/>
    <w:rsid w:val="00E16D20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77FEA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51C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60B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1F0F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4B4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493E-2"/>
          <c:y val="1.9513175616352504E-2"/>
          <c:w val="0.92433548575003055"/>
          <c:h val="0.75083417764269123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1'!$B$30</c:f>
              <c:strCache>
                <c:ptCount val="1"/>
                <c:pt idx="0">
                  <c:v>Průmysl celkem (B+C+D)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1'!$C$30:$AE$30</c:f>
              <c:numCache>
                <c:formatCode>#,##0.0</c:formatCode>
                <c:ptCount val="29"/>
                <c:pt idx="0">
                  <c:v>4.8</c:v>
                </c:pt>
                <c:pt idx="1">
                  <c:v>7.8</c:v>
                </c:pt>
                <c:pt idx="2">
                  <c:v>10.5</c:v>
                </c:pt>
                <c:pt idx="3">
                  <c:v>9.5</c:v>
                </c:pt>
                <c:pt idx="4">
                  <c:v>9.9</c:v>
                </c:pt>
                <c:pt idx="5">
                  <c:v>8.3000000000000007</c:v>
                </c:pt>
                <c:pt idx="6">
                  <c:v>2.2999999999999998</c:v>
                </c:pt>
                <c:pt idx="7">
                  <c:v>3.4</c:v>
                </c:pt>
                <c:pt idx="8">
                  <c:v>1.4</c:v>
                </c:pt>
                <c:pt idx="9">
                  <c:v>0.8</c:v>
                </c:pt>
                <c:pt idx="10">
                  <c:v>0</c:v>
                </c:pt>
                <c:pt idx="11">
                  <c:v>-5.2</c:v>
                </c:pt>
                <c:pt idx="12">
                  <c:v>-3.5</c:v>
                </c:pt>
                <c:pt idx="13">
                  <c:v>-3.1</c:v>
                </c:pt>
                <c:pt idx="14">
                  <c:v>1.2</c:v>
                </c:pt>
                <c:pt idx="15">
                  <c:v>6</c:v>
                </c:pt>
                <c:pt idx="16">
                  <c:v>6.5</c:v>
                </c:pt>
                <c:pt idx="17">
                  <c:v>6.4</c:v>
                </c:pt>
                <c:pt idx="18">
                  <c:v>3</c:v>
                </c:pt>
                <c:pt idx="19">
                  <c:v>4</c:v>
                </c:pt>
                <c:pt idx="20">
                  <c:v>5.0999999999999996</c:v>
                </c:pt>
                <c:pt idx="21">
                  <c:v>5.5</c:v>
                </c:pt>
                <c:pt idx="22">
                  <c:v>5.8</c:v>
                </c:pt>
                <c:pt idx="23">
                  <c:v>2.9</c:v>
                </c:pt>
                <c:pt idx="24">
                  <c:v>4</c:v>
                </c:pt>
                <c:pt idx="25">
                  <c:v>2.9</c:v>
                </c:pt>
                <c:pt idx="26">
                  <c:v>1.4</c:v>
                </c:pt>
                <c:pt idx="27">
                  <c:v>3.3</c:v>
                </c:pt>
                <c:pt idx="28">
                  <c:v>4.9000000000000004</c:v>
                </c:pt>
              </c:numCache>
            </c:numRef>
          </c:val>
        </c:ser>
        <c:gapWidth val="30"/>
        <c:axId val="167602432"/>
        <c:axId val="167697024"/>
      </c:barChart>
      <c:lineChart>
        <c:grouping val="standard"/>
        <c:ser>
          <c:idx val="3"/>
          <c:order val="1"/>
          <c:tx>
            <c:strRef>
              <c:f>'výkonnost odvětví 1'!$B$31</c:f>
              <c:strCache>
                <c:ptCount val="1"/>
                <c:pt idx="0">
                  <c:v>Potravinářství a výroba nápojů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1'!$C$31:$AE$31</c:f>
              <c:numCache>
                <c:formatCode>#,##0.0</c:formatCode>
                <c:ptCount val="29"/>
                <c:pt idx="0">
                  <c:v>-1.4</c:v>
                </c:pt>
                <c:pt idx="1">
                  <c:v>-4.7</c:v>
                </c:pt>
                <c:pt idx="2">
                  <c:v>-3.1</c:v>
                </c:pt>
                <c:pt idx="3">
                  <c:v>-4.0999999999999996</c:v>
                </c:pt>
                <c:pt idx="4">
                  <c:v>-0.30000000000000032</c:v>
                </c:pt>
                <c:pt idx="5">
                  <c:v>0</c:v>
                </c:pt>
                <c:pt idx="6">
                  <c:v>-4.0999999999999996</c:v>
                </c:pt>
                <c:pt idx="7">
                  <c:v>-1.7</c:v>
                </c:pt>
                <c:pt idx="8">
                  <c:v>-4.3</c:v>
                </c:pt>
                <c:pt idx="9">
                  <c:v>-1.3</c:v>
                </c:pt>
                <c:pt idx="10">
                  <c:v>0</c:v>
                </c:pt>
                <c:pt idx="11">
                  <c:v>-1.8</c:v>
                </c:pt>
                <c:pt idx="12">
                  <c:v>1</c:v>
                </c:pt>
                <c:pt idx="13">
                  <c:v>-1.4</c:v>
                </c:pt>
                <c:pt idx="14">
                  <c:v>-1</c:v>
                </c:pt>
                <c:pt idx="15">
                  <c:v>0.8</c:v>
                </c:pt>
                <c:pt idx="16">
                  <c:v>2.4</c:v>
                </c:pt>
                <c:pt idx="17">
                  <c:v>4.2</c:v>
                </c:pt>
                <c:pt idx="18">
                  <c:v>0.60000000000000064</c:v>
                </c:pt>
                <c:pt idx="19">
                  <c:v>5.7</c:v>
                </c:pt>
                <c:pt idx="20">
                  <c:v>4.4000000000000004</c:v>
                </c:pt>
                <c:pt idx="21">
                  <c:v>1.1000000000000001</c:v>
                </c:pt>
                <c:pt idx="22">
                  <c:v>8.2000000000000011</c:v>
                </c:pt>
                <c:pt idx="23">
                  <c:v>3.8</c:v>
                </c:pt>
                <c:pt idx="24">
                  <c:v>-0.8</c:v>
                </c:pt>
                <c:pt idx="25">
                  <c:v>0.8</c:v>
                </c:pt>
                <c:pt idx="26">
                  <c:v>0.5</c:v>
                </c:pt>
                <c:pt idx="27">
                  <c:v>-1.9000000000000001</c:v>
                </c:pt>
                <c:pt idx="28">
                  <c:v>2.6</c:v>
                </c:pt>
              </c:numCache>
            </c:numRef>
          </c:val>
        </c:ser>
        <c:ser>
          <c:idx val="1"/>
          <c:order val="2"/>
          <c:tx>
            <c:strRef>
              <c:f>'výkonnost odvětví 1'!$B$32</c:f>
              <c:strCache>
                <c:ptCount val="1"/>
                <c:pt idx="0">
                  <c:v>Chemický průmysl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1'!$C$32:$AE$32</c:f>
              <c:numCache>
                <c:formatCode>#,##0.0</c:formatCode>
                <c:ptCount val="29"/>
                <c:pt idx="0">
                  <c:v>0</c:v>
                </c:pt>
                <c:pt idx="1">
                  <c:v>-1.3</c:v>
                </c:pt>
                <c:pt idx="2">
                  <c:v>13.8</c:v>
                </c:pt>
                <c:pt idx="3">
                  <c:v>12.1</c:v>
                </c:pt>
                <c:pt idx="4">
                  <c:v>2.6</c:v>
                </c:pt>
                <c:pt idx="5">
                  <c:v>-4.7</c:v>
                </c:pt>
                <c:pt idx="6">
                  <c:v>-8.5</c:v>
                </c:pt>
                <c:pt idx="7">
                  <c:v>-8</c:v>
                </c:pt>
                <c:pt idx="8">
                  <c:v>3.1</c:v>
                </c:pt>
                <c:pt idx="9">
                  <c:v>0.60000000000000064</c:v>
                </c:pt>
                <c:pt idx="10">
                  <c:v>10.1</c:v>
                </c:pt>
                <c:pt idx="11">
                  <c:v>6.8</c:v>
                </c:pt>
                <c:pt idx="12">
                  <c:v>-5.0999999999999996</c:v>
                </c:pt>
                <c:pt idx="13">
                  <c:v>-0.9</c:v>
                </c:pt>
                <c:pt idx="14">
                  <c:v>-9.9</c:v>
                </c:pt>
                <c:pt idx="15">
                  <c:v>4</c:v>
                </c:pt>
                <c:pt idx="16">
                  <c:v>9</c:v>
                </c:pt>
                <c:pt idx="17">
                  <c:v>9.7000000000000011</c:v>
                </c:pt>
                <c:pt idx="18">
                  <c:v>15.8</c:v>
                </c:pt>
                <c:pt idx="19">
                  <c:v>4.0999999999999996</c:v>
                </c:pt>
                <c:pt idx="20">
                  <c:v>2.9</c:v>
                </c:pt>
                <c:pt idx="21">
                  <c:v>3.5</c:v>
                </c:pt>
                <c:pt idx="22">
                  <c:v>-7.9</c:v>
                </c:pt>
                <c:pt idx="23">
                  <c:v>-15.9</c:v>
                </c:pt>
                <c:pt idx="24">
                  <c:v>-13.8</c:v>
                </c:pt>
                <c:pt idx="25">
                  <c:v>-16.399999999999999</c:v>
                </c:pt>
                <c:pt idx="26">
                  <c:v>-5.9</c:v>
                </c:pt>
                <c:pt idx="27">
                  <c:v>10.8</c:v>
                </c:pt>
                <c:pt idx="28">
                  <c:v>17.7</c:v>
                </c:pt>
              </c:numCache>
            </c:numRef>
          </c:val>
        </c:ser>
        <c:ser>
          <c:idx val="7"/>
          <c:order val="3"/>
          <c:tx>
            <c:strRef>
              <c:f>'výkonnost odvětví 1'!$B$33</c:f>
              <c:strCache>
                <c:ptCount val="1"/>
                <c:pt idx="0">
                  <c:v>Výroba PC, elektronic.a optic.přístr.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1'!$C$33:$AE$33</c:f>
              <c:numCache>
                <c:formatCode>#,##0.0</c:formatCode>
                <c:ptCount val="29"/>
                <c:pt idx="0">
                  <c:v>13.6</c:v>
                </c:pt>
                <c:pt idx="1">
                  <c:v>36.9</c:v>
                </c:pt>
                <c:pt idx="2">
                  <c:v>39.1</c:v>
                </c:pt>
                <c:pt idx="3">
                  <c:v>27.2</c:v>
                </c:pt>
                <c:pt idx="4">
                  <c:v>12.5</c:v>
                </c:pt>
                <c:pt idx="5">
                  <c:v>6</c:v>
                </c:pt>
                <c:pt idx="6">
                  <c:v>-5.9</c:v>
                </c:pt>
                <c:pt idx="7">
                  <c:v>-18.399999999999999</c:v>
                </c:pt>
                <c:pt idx="8">
                  <c:v>-19</c:v>
                </c:pt>
                <c:pt idx="9">
                  <c:v>-22.7</c:v>
                </c:pt>
                <c:pt idx="10">
                  <c:v>-19.2</c:v>
                </c:pt>
                <c:pt idx="11">
                  <c:v>-13.5</c:v>
                </c:pt>
                <c:pt idx="12">
                  <c:v>10.6</c:v>
                </c:pt>
                <c:pt idx="13">
                  <c:v>13</c:v>
                </c:pt>
                <c:pt idx="14">
                  <c:v>18.100000000000001</c:v>
                </c:pt>
                <c:pt idx="15">
                  <c:v>22.1</c:v>
                </c:pt>
                <c:pt idx="16">
                  <c:v>18.3</c:v>
                </c:pt>
                <c:pt idx="17">
                  <c:v>19.2</c:v>
                </c:pt>
                <c:pt idx="18">
                  <c:v>14.5</c:v>
                </c:pt>
                <c:pt idx="19">
                  <c:v>21.4</c:v>
                </c:pt>
                <c:pt idx="20">
                  <c:v>7</c:v>
                </c:pt>
                <c:pt idx="21">
                  <c:v>3.5</c:v>
                </c:pt>
                <c:pt idx="22">
                  <c:v>3.1</c:v>
                </c:pt>
                <c:pt idx="23">
                  <c:v>-1.3</c:v>
                </c:pt>
                <c:pt idx="24">
                  <c:v>0.5</c:v>
                </c:pt>
                <c:pt idx="25">
                  <c:v>3.5</c:v>
                </c:pt>
                <c:pt idx="26">
                  <c:v>2.5</c:v>
                </c:pt>
                <c:pt idx="27">
                  <c:v>8.9</c:v>
                </c:pt>
                <c:pt idx="28">
                  <c:v>7.5</c:v>
                </c:pt>
              </c:numCache>
            </c:numRef>
          </c:val>
        </c:ser>
        <c:ser>
          <c:idx val="2"/>
          <c:order val="4"/>
          <c:tx>
            <c:strRef>
              <c:f>'výkonnost odvětví 1'!$B$34</c:f>
              <c:strCache>
                <c:ptCount val="1"/>
                <c:pt idx="0">
                  <c:v>Výroba motor. voz.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1'!$C$34:$AE$34</c:f>
              <c:numCache>
                <c:formatCode>#,##0.0</c:formatCode>
                <c:ptCount val="29"/>
                <c:pt idx="0">
                  <c:v>36.200000000000003</c:v>
                </c:pt>
                <c:pt idx="1">
                  <c:v>18.399999999999999</c:v>
                </c:pt>
                <c:pt idx="2">
                  <c:v>13.3</c:v>
                </c:pt>
                <c:pt idx="3">
                  <c:v>21.4</c:v>
                </c:pt>
                <c:pt idx="4">
                  <c:v>27.1</c:v>
                </c:pt>
                <c:pt idx="5">
                  <c:v>21.6</c:v>
                </c:pt>
                <c:pt idx="6">
                  <c:v>20.8</c:v>
                </c:pt>
                <c:pt idx="7">
                  <c:v>16</c:v>
                </c:pt>
                <c:pt idx="8">
                  <c:v>9.9</c:v>
                </c:pt>
                <c:pt idx="9">
                  <c:v>4.3</c:v>
                </c:pt>
                <c:pt idx="10">
                  <c:v>-2.9</c:v>
                </c:pt>
                <c:pt idx="11">
                  <c:v>-6.9</c:v>
                </c:pt>
                <c:pt idx="12">
                  <c:v>-15</c:v>
                </c:pt>
                <c:pt idx="13">
                  <c:v>-6.6</c:v>
                </c:pt>
                <c:pt idx="14">
                  <c:v>3.9</c:v>
                </c:pt>
                <c:pt idx="15">
                  <c:v>8.3000000000000007</c:v>
                </c:pt>
                <c:pt idx="16">
                  <c:v>20.7</c:v>
                </c:pt>
                <c:pt idx="17">
                  <c:v>13.6</c:v>
                </c:pt>
                <c:pt idx="18">
                  <c:v>10.6</c:v>
                </c:pt>
                <c:pt idx="19">
                  <c:v>9.1</c:v>
                </c:pt>
                <c:pt idx="20">
                  <c:v>7.6</c:v>
                </c:pt>
                <c:pt idx="21">
                  <c:v>12.2</c:v>
                </c:pt>
                <c:pt idx="22">
                  <c:v>14.1</c:v>
                </c:pt>
                <c:pt idx="23">
                  <c:v>16.100000000000001</c:v>
                </c:pt>
                <c:pt idx="24">
                  <c:v>15.7</c:v>
                </c:pt>
                <c:pt idx="25">
                  <c:v>14.8</c:v>
                </c:pt>
                <c:pt idx="26">
                  <c:v>6.4</c:v>
                </c:pt>
                <c:pt idx="27">
                  <c:v>7</c:v>
                </c:pt>
                <c:pt idx="28">
                  <c:v>10.7</c:v>
                </c:pt>
              </c:numCache>
            </c:numRef>
          </c:val>
        </c:ser>
        <c:ser>
          <c:idx val="5"/>
          <c:order val="5"/>
          <c:tx>
            <c:strRef>
              <c:f>'výkonnost odvětví 1'!$B$35</c:f>
              <c:strCache>
                <c:ptCount val="1"/>
                <c:pt idx="0">
                  <c:v>Energetika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1'!$C$28:$AE$29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1'!$C$35:$AE$35</c:f>
              <c:numCache>
                <c:formatCode>#,##0.0</c:formatCode>
                <c:ptCount val="29"/>
                <c:pt idx="0">
                  <c:v>3.3</c:v>
                </c:pt>
                <c:pt idx="1">
                  <c:v>5</c:v>
                </c:pt>
                <c:pt idx="2">
                  <c:v>8.5</c:v>
                </c:pt>
                <c:pt idx="3">
                  <c:v>2.6</c:v>
                </c:pt>
                <c:pt idx="4">
                  <c:v>-4</c:v>
                </c:pt>
                <c:pt idx="5">
                  <c:v>0.30000000000000032</c:v>
                </c:pt>
                <c:pt idx="6">
                  <c:v>-5.2</c:v>
                </c:pt>
                <c:pt idx="7">
                  <c:v>2.5</c:v>
                </c:pt>
                <c:pt idx="8">
                  <c:v>1.9000000000000001</c:v>
                </c:pt>
                <c:pt idx="9">
                  <c:v>4.5</c:v>
                </c:pt>
                <c:pt idx="10">
                  <c:v>1.1000000000000001</c:v>
                </c:pt>
                <c:pt idx="11">
                  <c:v>-7.9</c:v>
                </c:pt>
                <c:pt idx="12">
                  <c:v>-3.4</c:v>
                </c:pt>
                <c:pt idx="13">
                  <c:v>-4</c:v>
                </c:pt>
                <c:pt idx="14">
                  <c:v>-3.4</c:v>
                </c:pt>
                <c:pt idx="15">
                  <c:v>4.2</c:v>
                </c:pt>
                <c:pt idx="16">
                  <c:v>-3.4</c:v>
                </c:pt>
                <c:pt idx="17">
                  <c:v>-2.5</c:v>
                </c:pt>
                <c:pt idx="18">
                  <c:v>-2</c:v>
                </c:pt>
                <c:pt idx="19">
                  <c:v>-3.8</c:v>
                </c:pt>
                <c:pt idx="20">
                  <c:v>2.7</c:v>
                </c:pt>
                <c:pt idx="21">
                  <c:v>-1.4</c:v>
                </c:pt>
                <c:pt idx="22">
                  <c:v>-4.2</c:v>
                </c:pt>
                <c:pt idx="23">
                  <c:v>-7.9</c:v>
                </c:pt>
                <c:pt idx="24">
                  <c:v>-3.8</c:v>
                </c:pt>
                <c:pt idx="25">
                  <c:v>2.7</c:v>
                </c:pt>
                <c:pt idx="26">
                  <c:v>-2</c:v>
                </c:pt>
                <c:pt idx="27">
                  <c:v>7.3</c:v>
                </c:pt>
                <c:pt idx="28">
                  <c:v>4.3</c:v>
                </c:pt>
              </c:numCache>
            </c:numRef>
          </c:val>
        </c:ser>
        <c:marker val="1"/>
        <c:axId val="167602432"/>
        <c:axId val="167697024"/>
      </c:lineChart>
      <c:catAx>
        <c:axId val="167602432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7697024"/>
        <c:crossesAt val="0"/>
        <c:lblAlgn val="ctr"/>
        <c:lblOffset val="0"/>
        <c:tickLblSkip val="1"/>
        <c:tickMarkSkip val="4"/>
      </c:catAx>
      <c:valAx>
        <c:axId val="167697024"/>
        <c:scaling>
          <c:orientation val="minMax"/>
          <c:max val="40"/>
          <c:min val="-2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7602432"/>
        <c:crosses val="autoZero"/>
        <c:crossBetween val="between"/>
        <c:majorUnit val="5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3500827784744224E-2"/>
          <c:y val="0.86141626459042009"/>
          <c:w val="0.92419477116179871"/>
          <c:h val="0.1254474441466291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2277854581154255E-2"/>
          <c:y val="1.9008475080329108E-2"/>
          <c:w val="0.92988062751698064"/>
          <c:h val="0.74907069683665461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2'!$C$31:$AE$31</c:f>
              <c:numCache>
                <c:formatCode>#,##0__</c:formatCode>
                <c:ptCount val="29"/>
                <c:pt idx="0">
                  <c:v>12.055392746813197</c:v>
                </c:pt>
                <c:pt idx="1">
                  <c:v>18.791785748936761</c:v>
                </c:pt>
                <c:pt idx="2">
                  <c:v>17.444096590215729</c:v>
                </c:pt>
                <c:pt idx="3">
                  <c:v>13.260899648585324</c:v>
                </c:pt>
                <c:pt idx="4" formatCode="#,##0.0__">
                  <c:v>12.043109882578847</c:v>
                </c:pt>
                <c:pt idx="5" formatCode="#,##0.0__">
                  <c:v>5.329288738434343</c:v>
                </c:pt>
                <c:pt idx="6" formatCode="#,##0.0__">
                  <c:v>-1.5038252425140872</c:v>
                </c:pt>
                <c:pt idx="7" formatCode="#,##0.0__">
                  <c:v>0.49985212637597176</c:v>
                </c:pt>
                <c:pt idx="8" formatCode="#,##0.0__">
                  <c:v>7.8919813268950998</c:v>
                </c:pt>
                <c:pt idx="9" formatCode="#,##0.0__">
                  <c:v>0.24365995359797044</c:v>
                </c:pt>
                <c:pt idx="10" formatCode="#,##0.0__">
                  <c:v>2.6780171683964751</c:v>
                </c:pt>
                <c:pt idx="11" formatCode="#,##0.0__">
                  <c:v>-2.2928067612426872</c:v>
                </c:pt>
                <c:pt idx="12" formatCode="#,##0.0__">
                  <c:v>-6.7566807507372015</c:v>
                </c:pt>
                <c:pt idx="13" formatCode="#,##0.0__">
                  <c:v>-0.77743655462338046</c:v>
                </c:pt>
                <c:pt idx="14" formatCode="#,##0.0__">
                  <c:v>12.110633355214674</c:v>
                </c:pt>
                <c:pt idx="15" formatCode="#,##0.0__">
                  <c:v>12.61158784734172</c:v>
                </c:pt>
                <c:pt idx="16" formatCode="#,##0.0__">
                  <c:v>18.162563874667054</c:v>
                </c:pt>
                <c:pt idx="17" formatCode="#,##0.0__">
                  <c:v>13.48212630490808</c:v>
                </c:pt>
                <c:pt idx="18" formatCode="#,##0.0__">
                  <c:v>11.650462908552004</c:v>
                </c:pt>
                <c:pt idx="19" formatCode="#,##0.0__">
                  <c:v>7.4466461221971558</c:v>
                </c:pt>
                <c:pt idx="20" formatCode="#,##0.0__">
                  <c:v>8.6601281679304094</c:v>
                </c:pt>
                <c:pt idx="21" formatCode="#,##0.0__">
                  <c:v>7.0703444338271924</c:v>
                </c:pt>
                <c:pt idx="22" formatCode="#,##0.0__">
                  <c:v>3.8319900533634268</c:v>
                </c:pt>
                <c:pt idx="23" formatCode="#,##0.0__">
                  <c:v>6.2462982413050714</c:v>
                </c:pt>
                <c:pt idx="24" formatCode="#,##0.0__">
                  <c:v>1.7408408111983675</c:v>
                </c:pt>
                <c:pt idx="25" formatCode="#,##0.0__">
                  <c:v>10.948509388317888</c:v>
                </c:pt>
                <c:pt idx="26" formatCode="#,##0.0__">
                  <c:v>1.6291665033355542</c:v>
                </c:pt>
                <c:pt idx="27" formatCode="#,##0.0__">
                  <c:v>6.4782911884818484</c:v>
                </c:pt>
                <c:pt idx="28" formatCode="#,##0.0__">
                  <c:v>9.9432376163981502</c:v>
                </c:pt>
              </c:numCache>
            </c:numRef>
          </c:val>
        </c:ser>
        <c:gapWidth val="34"/>
        <c:overlap val="28"/>
        <c:axId val="168623104"/>
        <c:axId val="168629376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2'!$C$32:$AE$32</c:f>
              <c:numCache>
                <c:formatCode>#,##0__</c:formatCode>
                <c:ptCount val="29"/>
                <c:pt idx="0">
                  <c:v>9.3690276852933057</c:v>
                </c:pt>
                <c:pt idx="1">
                  <c:v>20.682181592692444</c:v>
                </c:pt>
                <c:pt idx="2">
                  <c:v>16.573478131898714</c:v>
                </c:pt>
                <c:pt idx="3">
                  <c:v>7.6006939720973321</c:v>
                </c:pt>
                <c:pt idx="4" formatCode="#,##0.0__">
                  <c:v>2.8145828625014992</c:v>
                </c:pt>
                <c:pt idx="5" formatCode="#,##0.0__">
                  <c:v>-0.65160236646085201</c:v>
                </c:pt>
                <c:pt idx="6" formatCode="#,##0.0__">
                  <c:v>-11.671779874966376</c:v>
                </c:pt>
                <c:pt idx="7" formatCode="#,##0.0__">
                  <c:v>-10.696553928195002</c:v>
                </c:pt>
                <c:pt idx="8" formatCode="#,##0.0__">
                  <c:v>2.6214089523072488</c:v>
                </c:pt>
                <c:pt idx="9" formatCode="#,##0.0__">
                  <c:v>-9.2467358771092982</c:v>
                </c:pt>
                <c:pt idx="10" formatCode="#,##0.0__">
                  <c:v>-2.8571327008706082</c:v>
                </c:pt>
                <c:pt idx="11" formatCode="#,##0.0__">
                  <c:v>-4.0487131301687915</c:v>
                </c:pt>
                <c:pt idx="12" formatCode="#,##0.0__">
                  <c:v>-7.1126687487238414</c:v>
                </c:pt>
                <c:pt idx="13" formatCode="#,##0.0__">
                  <c:v>-0.59564647244366165</c:v>
                </c:pt>
                <c:pt idx="14" formatCode="#,##0.0__">
                  <c:v>9.3846900381038747</c:v>
                </c:pt>
                <c:pt idx="15" formatCode="#,##0.0__">
                  <c:v>7.0781764130708815</c:v>
                </c:pt>
                <c:pt idx="16" formatCode="#,##0.0__">
                  <c:v>13.320088621608226</c:v>
                </c:pt>
                <c:pt idx="17" formatCode="#,##0.0__">
                  <c:v>7.6021800914440689</c:v>
                </c:pt>
                <c:pt idx="18" formatCode="#,##0.0__">
                  <c:v>17.491767655905477</c:v>
                </c:pt>
                <c:pt idx="19" formatCode="#,##0.0__">
                  <c:v>10.07772805392962</c:v>
                </c:pt>
                <c:pt idx="20" formatCode="#,##0.0__">
                  <c:v>5.7894297437900146</c:v>
                </c:pt>
                <c:pt idx="21" formatCode="#,##0.0__">
                  <c:v>11.162593735327277</c:v>
                </c:pt>
                <c:pt idx="22" formatCode="#,##0.0__">
                  <c:v>-4.0508483479998176</c:v>
                </c:pt>
                <c:pt idx="23" formatCode="#,##0.0__">
                  <c:v>1.8219061224914839</c:v>
                </c:pt>
                <c:pt idx="24" formatCode="#,##0.0__">
                  <c:v>1.3670231871965086</c:v>
                </c:pt>
                <c:pt idx="25" formatCode="#,##0.0__">
                  <c:v>6.1144874584533255</c:v>
                </c:pt>
                <c:pt idx="26" formatCode="#,##0.0__">
                  <c:v>-0.208282602941253</c:v>
                </c:pt>
                <c:pt idx="27" formatCode="#,##0.0__">
                  <c:v>3.0760686001194322</c:v>
                </c:pt>
                <c:pt idx="28" formatCode="#,##0.0__">
                  <c:v>10.978389781409588</c:v>
                </c:pt>
              </c:numCache>
            </c:numRef>
          </c:val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2'!$C$33:$AE$33</c:f>
              <c:numCache>
                <c:formatCode>#,##0__</c:formatCode>
                <c:ptCount val="29"/>
                <c:pt idx="0">
                  <c:v>13.967994717912196</c:v>
                </c:pt>
                <c:pt idx="1">
                  <c:v>17.501951580886207</c:v>
                </c:pt>
                <c:pt idx="2">
                  <c:v>18.066389248755808</c:v>
                </c:pt>
                <c:pt idx="3">
                  <c:v>17.763791144855006</c:v>
                </c:pt>
                <c:pt idx="4" formatCode="#,##0.0__">
                  <c:v>18.348359830124419</c:v>
                </c:pt>
                <c:pt idx="5" formatCode="#,##0.0__">
                  <c:v>9.5205485847743709</c:v>
                </c:pt>
                <c:pt idx="6" formatCode="#,##0.0__">
                  <c:v>5.6719989098307195</c:v>
                </c:pt>
                <c:pt idx="7" formatCode="#,##0.0__">
                  <c:v>8.6383086882355524</c:v>
                </c:pt>
                <c:pt idx="8" formatCode="#,##0.0__">
                  <c:v>11.020367044503203</c:v>
                </c:pt>
                <c:pt idx="9" formatCode="#,##0.0__">
                  <c:v>6.2765550752876891</c:v>
                </c:pt>
                <c:pt idx="10" formatCode="#,##0.0__">
                  <c:v>5.9432809771147106</c:v>
                </c:pt>
                <c:pt idx="11" formatCode="#,##0.0__">
                  <c:v>-1.243570707773453</c:v>
                </c:pt>
                <c:pt idx="12" formatCode="#,##0.0__">
                  <c:v>-6.5613810568299265</c:v>
                </c:pt>
                <c:pt idx="13" formatCode="#,##0.0__">
                  <c:v>-0.87612893265552327</c:v>
                </c:pt>
                <c:pt idx="14" formatCode="#,##0.0__">
                  <c:v>13.585017236629103</c:v>
                </c:pt>
                <c:pt idx="15" formatCode="#,##0.0__">
                  <c:v>15.823868051866199</c:v>
                </c:pt>
                <c:pt idx="16" formatCode="#,##0.0__">
                  <c:v>20.803737843093884</c:v>
                </c:pt>
                <c:pt idx="17" formatCode="#,##0.0__">
                  <c:v>16.683085155498308</c:v>
                </c:pt>
                <c:pt idx="18" formatCode="#,##0.0__">
                  <c:v>8.6077426037905482</c:v>
                </c:pt>
                <c:pt idx="19" formatCode="#,##0.0__">
                  <c:v>6.0345642153573777</c:v>
                </c:pt>
                <c:pt idx="20" formatCode="#,##0.0__">
                  <c:v>10.128880629251858</c:v>
                </c:pt>
                <c:pt idx="21" formatCode="#,##0.0__">
                  <c:v>5.0159759230793242</c:v>
                </c:pt>
                <c:pt idx="22" formatCode="#,##0.0__">
                  <c:v>8.2739940886640966</c:v>
                </c:pt>
                <c:pt idx="23" formatCode="#,##0.0__">
                  <c:v>8.7114357834965919</c:v>
                </c:pt>
                <c:pt idx="24" formatCode="#,##0.0__">
                  <c:v>1.9245605566923001</c:v>
                </c:pt>
                <c:pt idx="25" formatCode="#,##0.0__">
                  <c:v>13.517252250841864</c:v>
                </c:pt>
                <c:pt idx="26" formatCode="#,##0.0__">
                  <c:v>2.5467160757470992</c:v>
                </c:pt>
                <c:pt idx="27" formatCode="#,##0.0__">
                  <c:v>8.2537778544595994</c:v>
                </c:pt>
                <c:pt idx="28" formatCode="#,##0.0__">
                  <c:v>9.437275387357472</c:v>
                </c:pt>
              </c:numCache>
            </c:numRef>
          </c:val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Zahraniční zakázky ve výrobě motor. voz.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2'!$C$34:$AE$34</c:f>
              <c:numCache>
                <c:formatCode>#,##0__</c:formatCode>
                <c:ptCount val="29"/>
                <c:pt idx="0">
                  <c:v>24.008427520841689</c:v>
                </c:pt>
                <c:pt idx="1">
                  <c:v>14.674010935341046</c:v>
                </c:pt>
                <c:pt idx="2">
                  <c:v>9.7391351049218109</c:v>
                </c:pt>
                <c:pt idx="3">
                  <c:v>16.783125711775629</c:v>
                </c:pt>
                <c:pt idx="4" formatCode="#,##0.0__">
                  <c:v>15.478617181437468</c:v>
                </c:pt>
                <c:pt idx="5" formatCode="#,##0.0__">
                  <c:v>11.728214688051828</c:v>
                </c:pt>
                <c:pt idx="6" formatCode="#,##0.0__">
                  <c:v>6.5426798807743207</c:v>
                </c:pt>
                <c:pt idx="7" formatCode="#,##0.0__">
                  <c:v>6.6356960264430711</c:v>
                </c:pt>
                <c:pt idx="8" formatCode="#,##0.0__">
                  <c:v>22.670301977911127</c:v>
                </c:pt>
                <c:pt idx="9" formatCode="#,##0.0__">
                  <c:v>13.96015573008407</c:v>
                </c:pt>
                <c:pt idx="10" formatCode="#,##0.0__">
                  <c:v>3.8554465624995227</c:v>
                </c:pt>
                <c:pt idx="11" formatCode="#,##0.0__">
                  <c:v>-0.92548587727675624</c:v>
                </c:pt>
                <c:pt idx="12" formatCode="#,##0.0__">
                  <c:v>-14.839347610315926</c:v>
                </c:pt>
                <c:pt idx="13" formatCode="#,##0.0__">
                  <c:v>-5.2962975041670894</c:v>
                </c:pt>
                <c:pt idx="14" formatCode="#,##0.0__">
                  <c:v>28.544914199445543</c:v>
                </c:pt>
                <c:pt idx="15" formatCode="#,##0.0__">
                  <c:v>21.31669103822853</c:v>
                </c:pt>
                <c:pt idx="16" formatCode="#,##0.0__">
                  <c:v>35.957495888821171</c:v>
                </c:pt>
                <c:pt idx="17" formatCode="#,##0.0__">
                  <c:v>27.239841408344233</c:v>
                </c:pt>
                <c:pt idx="18" formatCode="#,##0.0__">
                  <c:v>9.2341155229135996</c:v>
                </c:pt>
                <c:pt idx="19" formatCode="#,##0.0__">
                  <c:v>6.1688216646606095</c:v>
                </c:pt>
                <c:pt idx="20" formatCode="#,##0.0__">
                  <c:v>15.591394938767356</c:v>
                </c:pt>
                <c:pt idx="21" formatCode="#,##0.0__">
                  <c:v>0.51541703808817374</c:v>
                </c:pt>
                <c:pt idx="22" formatCode="#,##0.0__">
                  <c:v>19.552829007204693</c:v>
                </c:pt>
                <c:pt idx="23" formatCode="#,##0.0__">
                  <c:v>21.966377727772329</c:v>
                </c:pt>
                <c:pt idx="24" formatCode="#,##0.0__">
                  <c:v>10.330511045843863</c:v>
                </c:pt>
                <c:pt idx="25" formatCode="#,##0.0__">
                  <c:v>38.766358848039467</c:v>
                </c:pt>
                <c:pt idx="26" formatCode="#,##0.0__">
                  <c:v>7.3137068574776265</c:v>
                </c:pt>
                <c:pt idx="27" formatCode="#,##0.0__">
                  <c:v>13.932436847203556</c:v>
                </c:pt>
                <c:pt idx="28" formatCode="#,##0.0__">
                  <c:v>7.8154936779983055</c:v>
                </c:pt>
              </c:numCache>
            </c:numRef>
          </c:val>
        </c:ser>
        <c:marker val="1"/>
        <c:axId val="168623104"/>
        <c:axId val="168629376"/>
      </c:lineChart>
      <c:lineChart>
        <c:grouping val="standard"/>
        <c:ser>
          <c:idx val="4"/>
          <c:order val="4"/>
          <c:tx>
            <c:strRef>
              <c:f>'výkonnost odvětví 2'!$B$35</c:f>
              <c:strCache>
                <c:ptCount val="1"/>
                <c:pt idx="0">
                  <c:v>Saldo souhr.indikátoru důvěry v průmyslu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2'!$C$29:$AE$30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2'!$C$35:$AE$35</c:f>
              <c:numCache>
                <c:formatCode>0.0</c:formatCode>
                <c:ptCount val="29"/>
                <c:pt idx="0">
                  <c:v>-5.4444444444444464</c:v>
                </c:pt>
                <c:pt idx="1">
                  <c:v>2.4333333333333331</c:v>
                </c:pt>
                <c:pt idx="2">
                  <c:v>5.5666666666666664</c:v>
                </c:pt>
                <c:pt idx="3">
                  <c:v>10</c:v>
                </c:pt>
                <c:pt idx="4">
                  <c:v>12.200000000000001</c:v>
                </c:pt>
                <c:pt idx="5">
                  <c:v>5.8999999999999995</c:v>
                </c:pt>
                <c:pt idx="6">
                  <c:v>2.4333333333333331</c:v>
                </c:pt>
                <c:pt idx="7">
                  <c:v>1.8</c:v>
                </c:pt>
                <c:pt idx="8">
                  <c:v>1.5666666666666667</c:v>
                </c:pt>
                <c:pt idx="9">
                  <c:v>-2.5666666666666669</c:v>
                </c:pt>
                <c:pt idx="10">
                  <c:v>-8.9</c:v>
                </c:pt>
                <c:pt idx="11">
                  <c:v>-10.200000000000001</c:v>
                </c:pt>
                <c:pt idx="12">
                  <c:v>-8.9</c:v>
                </c:pt>
                <c:pt idx="13">
                  <c:v>-10</c:v>
                </c:pt>
                <c:pt idx="14">
                  <c:v>-6.2333333333333583</c:v>
                </c:pt>
                <c:pt idx="15">
                  <c:v>1.7000000000000002</c:v>
                </c:pt>
                <c:pt idx="16">
                  <c:v>2.3333333333333335</c:v>
                </c:pt>
                <c:pt idx="17">
                  <c:v>3.6333333333333342</c:v>
                </c:pt>
                <c:pt idx="18">
                  <c:v>2.5333333333333332</c:v>
                </c:pt>
                <c:pt idx="19">
                  <c:v>2.6666666666666665</c:v>
                </c:pt>
                <c:pt idx="20">
                  <c:v>3</c:v>
                </c:pt>
                <c:pt idx="21">
                  <c:v>3.7666666666666671</c:v>
                </c:pt>
                <c:pt idx="22">
                  <c:v>3.7666666666666671</c:v>
                </c:pt>
                <c:pt idx="23">
                  <c:v>0.76666666666666661</c:v>
                </c:pt>
                <c:pt idx="24">
                  <c:v>3.5666666666666664</c:v>
                </c:pt>
                <c:pt idx="25">
                  <c:v>1.9000000000000001</c:v>
                </c:pt>
                <c:pt idx="26">
                  <c:v>3.7666666666666671</c:v>
                </c:pt>
                <c:pt idx="27">
                  <c:v>5.3333333333333526</c:v>
                </c:pt>
                <c:pt idx="28">
                  <c:v>3.3333333333333335</c:v>
                </c:pt>
              </c:numCache>
            </c:numRef>
          </c:val>
        </c:ser>
        <c:marker val="1"/>
        <c:axId val="168630912"/>
        <c:axId val="169802752"/>
      </c:lineChart>
      <c:catAx>
        <c:axId val="16862310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8629376"/>
        <c:crossesAt val="0"/>
        <c:lblAlgn val="ctr"/>
        <c:lblOffset val="0"/>
        <c:tickLblSkip val="1"/>
        <c:tickMarkSkip val="4"/>
      </c:catAx>
      <c:valAx>
        <c:axId val="168629376"/>
        <c:scaling>
          <c:orientation val="minMax"/>
          <c:max val="40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8623104"/>
        <c:crosses val="autoZero"/>
        <c:crossBetween val="between"/>
        <c:majorUnit val="5"/>
      </c:valAx>
      <c:catAx>
        <c:axId val="168630912"/>
        <c:scaling>
          <c:orientation val="minMax"/>
        </c:scaling>
        <c:delete val="1"/>
        <c:axPos val="b"/>
        <c:numFmt formatCode="General" sourceLinked="1"/>
        <c:tickLblPos val="none"/>
        <c:crossAx val="169802752"/>
        <c:crosses val="autoZero"/>
        <c:auto val="1"/>
        <c:lblAlgn val="ctr"/>
        <c:lblOffset val="100"/>
      </c:catAx>
      <c:valAx>
        <c:axId val="169802752"/>
        <c:scaling>
          <c:orientation val="minMax"/>
          <c:max val="40"/>
          <c:min val="-30"/>
        </c:scaling>
        <c:delete val="1"/>
        <c:axPos val="r"/>
        <c:numFmt formatCode="0" sourceLinked="0"/>
        <c:majorTickMark val="in"/>
        <c:tickLblPos val="none"/>
        <c:crossAx val="168630912"/>
        <c:crosses val="max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9759612109554999E-2"/>
          <c:y val="0.86466408652853433"/>
          <c:w val="0.92803398048525987"/>
          <c:h val="0.1211766188050302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6155778692800765E-2"/>
          <c:y val="2.7301010403762031E-2"/>
          <c:w val="0.92847707700101312"/>
          <c:h val="0.72816897444557371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3'!$C$10</c:f>
              <c:strCache>
                <c:ptCount val="1"/>
                <c:pt idx="0">
                  <c:v>Index stavební produkce*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3'!$A$11:$B$39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3'!$C$11:$C$39</c:f>
              <c:numCache>
                <c:formatCode>0.0</c:formatCode>
                <c:ptCount val="29"/>
                <c:pt idx="0">
                  <c:v>-22.649593434953729</c:v>
                </c:pt>
                <c:pt idx="1">
                  <c:v>-9.2053906224925459</c:v>
                </c:pt>
                <c:pt idx="2">
                  <c:v>-2.5857270294683752</c:v>
                </c:pt>
                <c:pt idx="3">
                  <c:v>-2.6458417001777152</c:v>
                </c:pt>
                <c:pt idx="4">
                  <c:v>4.8326567560768385</c:v>
                </c:pt>
                <c:pt idx="5">
                  <c:v>-5.2939362981300455</c:v>
                </c:pt>
                <c:pt idx="6">
                  <c:v>-9.1135283984783371</c:v>
                </c:pt>
                <c:pt idx="7">
                  <c:v>-0.5310761869749262</c:v>
                </c:pt>
                <c:pt idx="8">
                  <c:v>-10.313869673497654</c:v>
                </c:pt>
                <c:pt idx="9">
                  <c:v>-5.0418309453283294</c:v>
                </c:pt>
                <c:pt idx="10">
                  <c:v>-5.7589032503271369</c:v>
                </c:pt>
                <c:pt idx="11">
                  <c:v>-9.3321396912562733</c:v>
                </c:pt>
                <c:pt idx="12">
                  <c:v>-10.163714253523766</c:v>
                </c:pt>
                <c:pt idx="13">
                  <c:v>-11.698885661815398</c:v>
                </c:pt>
                <c:pt idx="14">
                  <c:v>-5.1453216072558785</c:v>
                </c:pt>
                <c:pt idx="15">
                  <c:v>-2.7444034120383551</c:v>
                </c:pt>
                <c:pt idx="16">
                  <c:v>13.259836737491025</c:v>
                </c:pt>
                <c:pt idx="17">
                  <c:v>5.5887096159495728</c:v>
                </c:pt>
                <c:pt idx="18">
                  <c:v>2.4141487680891629</c:v>
                </c:pt>
                <c:pt idx="19">
                  <c:v>1.0775910546881278</c:v>
                </c:pt>
                <c:pt idx="20">
                  <c:v>9.4925086462955193</c:v>
                </c:pt>
                <c:pt idx="21">
                  <c:v>12.221129672649255</c:v>
                </c:pt>
                <c:pt idx="22">
                  <c:v>8.3289457126413282</c:v>
                </c:pt>
                <c:pt idx="23">
                  <c:v>1.0775855534479746</c:v>
                </c:pt>
                <c:pt idx="24">
                  <c:v>-6.3839361190831596</c:v>
                </c:pt>
                <c:pt idx="25">
                  <c:v>-10.583910930698551</c:v>
                </c:pt>
                <c:pt idx="26">
                  <c:v>-6.2287021007878884</c:v>
                </c:pt>
                <c:pt idx="27">
                  <c:v>-2.0138997730674082</c:v>
                </c:pt>
                <c:pt idx="28">
                  <c:v>-2.2969901448868626</c:v>
                </c:pt>
              </c:numCache>
            </c:numRef>
          </c:val>
        </c:ser>
        <c:gapWidth val="31"/>
        <c:axId val="177447680"/>
        <c:axId val="177450368"/>
      </c:barChart>
      <c:lineChart>
        <c:grouping val="standard"/>
        <c:ser>
          <c:idx val="1"/>
          <c:order val="1"/>
          <c:tx>
            <c:strRef>
              <c:f>'výkonnost odvětví 3'!$D$10</c:f>
              <c:strCache>
                <c:ptCount val="1"/>
                <c:pt idx="0">
                  <c:v>v tom: pozemní stavitelství*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3'!$D$11:$D$39</c:f>
              <c:numCache>
                <c:formatCode>0.0</c:formatCode>
                <c:ptCount val="29"/>
                <c:pt idx="0">
                  <c:v>-27.131266574539922</c:v>
                </c:pt>
                <c:pt idx="1">
                  <c:v>-10.252619047585423</c:v>
                </c:pt>
                <c:pt idx="2">
                  <c:v>-0.59082139228969865</c:v>
                </c:pt>
                <c:pt idx="3">
                  <c:v>0.2395719363505151</c:v>
                </c:pt>
                <c:pt idx="4">
                  <c:v>8.1425598761810267</c:v>
                </c:pt>
                <c:pt idx="5">
                  <c:v>-1.6999185102964987</c:v>
                </c:pt>
                <c:pt idx="6">
                  <c:v>-6.3341277897500419</c:v>
                </c:pt>
                <c:pt idx="7">
                  <c:v>2.1871143728147326</c:v>
                </c:pt>
                <c:pt idx="8">
                  <c:v>-7.4922508268678945</c:v>
                </c:pt>
                <c:pt idx="9">
                  <c:v>-2.3117142060276032</c:v>
                </c:pt>
                <c:pt idx="10">
                  <c:v>-5.2546862532761445</c:v>
                </c:pt>
                <c:pt idx="11">
                  <c:v>-9.601655447416098</c:v>
                </c:pt>
                <c:pt idx="12">
                  <c:v>-9.3758045375607733</c:v>
                </c:pt>
                <c:pt idx="13">
                  <c:v>-11.121811858071393</c:v>
                </c:pt>
                <c:pt idx="14">
                  <c:v>-1.5438662166399326</c:v>
                </c:pt>
                <c:pt idx="15">
                  <c:v>-2.9791299002777687</c:v>
                </c:pt>
                <c:pt idx="16">
                  <c:v>16.806355856790205</c:v>
                </c:pt>
                <c:pt idx="17">
                  <c:v>5.0883856818808084</c:v>
                </c:pt>
                <c:pt idx="18">
                  <c:v>-1.0630069594621148</c:v>
                </c:pt>
                <c:pt idx="19">
                  <c:v>-0.33516798362349404</c:v>
                </c:pt>
                <c:pt idx="20">
                  <c:v>7.928440506833681</c:v>
                </c:pt>
                <c:pt idx="21">
                  <c:v>7.3319576143083234</c:v>
                </c:pt>
                <c:pt idx="22">
                  <c:v>1.3078163374722598</c:v>
                </c:pt>
                <c:pt idx="23">
                  <c:v>-2.6438551955895377</c:v>
                </c:pt>
                <c:pt idx="24">
                  <c:v>-6.6497174865349109</c:v>
                </c:pt>
                <c:pt idx="25">
                  <c:v>-7.7448071258120414</c:v>
                </c:pt>
                <c:pt idx="26">
                  <c:v>1.3190425659515137</c:v>
                </c:pt>
                <c:pt idx="27">
                  <c:v>6.0909880538835779</c:v>
                </c:pt>
                <c:pt idx="28">
                  <c:v>1.646609668878398</c:v>
                </c:pt>
              </c:numCache>
            </c:numRef>
          </c:val>
        </c:ser>
        <c:ser>
          <c:idx val="2"/>
          <c:order val="2"/>
          <c:tx>
            <c:strRef>
              <c:f>'výkonnost odvětví 3'!$E$10</c:f>
              <c:strCache>
                <c:ptCount val="1"/>
                <c:pt idx="0">
                  <c:v>v tom: inženýrské stavitelství*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3'!$E$11:$E$39</c:f>
              <c:numCache>
                <c:formatCode>0.0</c:formatCode>
                <c:ptCount val="29"/>
                <c:pt idx="0">
                  <c:v>-9.2200554563093107</c:v>
                </c:pt>
                <c:pt idx="1">
                  <c:v>-7.2569035906914374</c:v>
                </c:pt>
                <c:pt idx="2">
                  <c:v>-6.1039541913801294</c:v>
                </c:pt>
                <c:pt idx="3">
                  <c:v>-7.7848817278233176</c:v>
                </c:pt>
                <c:pt idx="4">
                  <c:v>-3.1287072809070899</c:v>
                </c:pt>
                <c:pt idx="5">
                  <c:v>-11.765012472728452</c:v>
                </c:pt>
                <c:pt idx="6">
                  <c:v>-14.303104080129884</c:v>
                </c:pt>
                <c:pt idx="7">
                  <c:v>-5.7935614912549038</c:v>
                </c:pt>
                <c:pt idx="8">
                  <c:v>-17.890430221653659</c:v>
                </c:pt>
                <c:pt idx="9">
                  <c:v>-10.518172879318271</c:v>
                </c:pt>
                <c:pt idx="10">
                  <c:v>-6.7879011145072639</c:v>
                </c:pt>
                <c:pt idx="11">
                  <c:v>-8.7661471530578829</c:v>
                </c:pt>
                <c:pt idx="12">
                  <c:v>-12.547320661363841</c:v>
                </c:pt>
                <c:pt idx="13">
                  <c:v>-12.962598345900076</c:v>
                </c:pt>
                <c:pt idx="14">
                  <c:v>-12.616007600250498</c:v>
                </c:pt>
                <c:pt idx="15">
                  <c:v>-2.2559837833539405</c:v>
                </c:pt>
                <c:pt idx="16">
                  <c:v>2.1417146651736516</c:v>
                </c:pt>
                <c:pt idx="17">
                  <c:v>6.7075227048733765</c:v>
                </c:pt>
                <c:pt idx="18">
                  <c:v>10.540909604826922</c:v>
                </c:pt>
                <c:pt idx="19">
                  <c:v>3.9955158033946012</c:v>
                </c:pt>
                <c:pt idx="20">
                  <c:v>15.099735577238365</c:v>
                </c:pt>
                <c:pt idx="21">
                  <c:v>22.988292082921205</c:v>
                </c:pt>
                <c:pt idx="22">
                  <c:v>23.01604349364073</c:v>
                </c:pt>
                <c:pt idx="23">
                  <c:v>8.4438011822430834</c:v>
                </c:pt>
                <c:pt idx="24">
                  <c:v>-5.4904690072542124</c:v>
                </c:pt>
                <c:pt idx="25">
                  <c:v>-16.040390010646327</c:v>
                </c:pt>
                <c:pt idx="26">
                  <c:v>-19.231218494116735</c:v>
                </c:pt>
                <c:pt idx="27">
                  <c:v>-16.416435569169529</c:v>
                </c:pt>
                <c:pt idx="28">
                  <c:v>-15.391429404872895</c:v>
                </c:pt>
              </c:numCache>
            </c:numRef>
          </c:val>
        </c:ser>
        <c:ser>
          <c:idx val="3"/>
          <c:order val="3"/>
          <c:tx>
            <c:strRef>
              <c:f>'výkonnost odvětví 3'!$F$10</c:f>
              <c:strCache>
                <c:ptCount val="1"/>
                <c:pt idx="0">
                  <c:v>Nové zakázky ve stavebnictví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3'!$F$11:$F$39</c:f>
              <c:numCache>
                <c:formatCode>0.0</c:formatCode>
                <c:ptCount val="29"/>
                <c:pt idx="0">
                  <c:v>0.82757088505651666</c:v>
                </c:pt>
                <c:pt idx="1">
                  <c:v>8.7687755178484537</c:v>
                </c:pt>
                <c:pt idx="2">
                  <c:v>30.894711890703729</c:v>
                </c:pt>
                <c:pt idx="3">
                  <c:v>-13.415413805192964</c:v>
                </c:pt>
                <c:pt idx="4">
                  <c:v>37.795405718063279</c:v>
                </c:pt>
                <c:pt idx="5">
                  <c:v>-23.565672566981071</c:v>
                </c:pt>
                <c:pt idx="6">
                  <c:v>-23.360716461156017</c:v>
                </c:pt>
                <c:pt idx="7">
                  <c:v>-9.1653963414634205</c:v>
                </c:pt>
                <c:pt idx="8">
                  <c:v>-46.322059646598035</c:v>
                </c:pt>
                <c:pt idx="9">
                  <c:v>-13.714800630772698</c:v>
                </c:pt>
                <c:pt idx="10">
                  <c:v>-7.6729748888363645</c:v>
                </c:pt>
                <c:pt idx="11">
                  <c:v>7.5624082232011753</c:v>
                </c:pt>
                <c:pt idx="12">
                  <c:v>-17.695687793252475</c:v>
                </c:pt>
                <c:pt idx="13">
                  <c:v>-1.584773641063137</c:v>
                </c:pt>
                <c:pt idx="14">
                  <c:v>-1.3308205951467045</c:v>
                </c:pt>
                <c:pt idx="15">
                  <c:v>16.153096050706978</c:v>
                </c:pt>
                <c:pt idx="16">
                  <c:v>67.509727626458783</c:v>
                </c:pt>
                <c:pt idx="17">
                  <c:v>18.978644382543994</c:v>
                </c:pt>
                <c:pt idx="18">
                  <c:v>34.050931384107542</c:v>
                </c:pt>
                <c:pt idx="19">
                  <c:v>-1</c:v>
                </c:pt>
                <c:pt idx="20">
                  <c:v>-3.1547956675580053</c:v>
                </c:pt>
                <c:pt idx="21">
                  <c:v>9.7504961091663684</c:v>
                </c:pt>
                <c:pt idx="22">
                  <c:v>-1.0976060227612561</c:v>
                </c:pt>
                <c:pt idx="23">
                  <c:v>-2.3987783410040464</c:v>
                </c:pt>
                <c:pt idx="24">
                  <c:v>-6.6406358945753805</c:v>
                </c:pt>
                <c:pt idx="25">
                  <c:v>-0.49977652269311085</c:v>
                </c:pt>
                <c:pt idx="26">
                  <c:v>-7.0322087253454839</c:v>
                </c:pt>
                <c:pt idx="27">
                  <c:v>10.122126124559955</c:v>
                </c:pt>
                <c:pt idx="28">
                  <c:v>16.613389896334329</c:v>
                </c:pt>
              </c:numCache>
            </c:numRef>
          </c:val>
        </c:ser>
        <c:ser>
          <c:idx val="4"/>
          <c:order val="4"/>
          <c:tx>
            <c:strRef>
              <c:f>'výkonnost odvětví 3'!$G$10</c:f>
              <c:strCache>
                <c:ptCount val="1"/>
                <c:pt idx="0">
                  <c:v>Saldo souhr.indik.důvěry ve stavebnictví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3'!$G$11:$G$39</c:f>
              <c:numCache>
                <c:formatCode>0.0</c:formatCode>
                <c:ptCount val="29"/>
                <c:pt idx="0">
                  <c:v>-32.166666666666409</c:v>
                </c:pt>
                <c:pt idx="1">
                  <c:v>-32.5</c:v>
                </c:pt>
                <c:pt idx="2">
                  <c:v>-37</c:v>
                </c:pt>
                <c:pt idx="3">
                  <c:v>-42.5</c:v>
                </c:pt>
                <c:pt idx="4">
                  <c:v>-40</c:v>
                </c:pt>
                <c:pt idx="5">
                  <c:v>-40.333333333333336</c:v>
                </c:pt>
                <c:pt idx="6">
                  <c:v>-39.166666666666409</c:v>
                </c:pt>
                <c:pt idx="7">
                  <c:v>-39.333333333333336</c:v>
                </c:pt>
                <c:pt idx="8">
                  <c:v>-46</c:v>
                </c:pt>
                <c:pt idx="9">
                  <c:v>-45.333333333333336</c:v>
                </c:pt>
                <c:pt idx="10">
                  <c:v>-43.5</c:v>
                </c:pt>
                <c:pt idx="11">
                  <c:v>-44.666666666666409</c:v>
                </c:pt>
                <c:pt idx="12">
                  <c:v>-46</c:v>
                </c:pt>
                <c:pt idx="13">
                  <c:v>-53.333333333333336</c:v>
                </c:pt>
                <c:pt idx="14">
                  <c:v>-49.5</c:v>
                </c:pt>
                <c:pt idx="15">
                  <c:v>-50.833333333333336</c:v>
                </c:pt>
                <c:pt idx="16">
                  <c:v>-45.166666666666409</c:v>
                </c:pt>
                <c:pt idx="17">
                  <c:v>-38.333333333333336</c:v>
                </c:pt>
                <c:pt idx="18">
                  <c:v>-32</c:v>
                </c:pt>
                <c:pt idx="19">
                  <c:v>-25.166666666666668</c:v>
                </c:pt>
                <c:pt idx="20">
                  <c:v>-20.833333333333211</c:v>
                </c:pt>
                <c:pt idx="21">
                  <c:v>-16.333333333333211</c:v>
                </c:pt>
                <c:pt idx="22">
                  <c:v>-18.666666666666668</c:v>
                </c:pt>
                <c:pt idx="23">
                  <c:v>-15.666666666666705</c:v>
                </c:pt>
                <c:pt idx="24">
                  <c:v>-17.166666666666668</c:v>
                </c:pt>
                <c:pt idx="25">
                  <c:v>-24</c:v>
                </c:pt>
                <c:pt idx="26">
                  <c:v>-26.666666666666668</c:v>
                </c:pt>
                <c:pt idx="27">
                  <c:v>-25.833333333333211</c:v>
                </c:pt>
                <c:pt idx="28">
                  <c:v>-24.5</c:v>
                </c:pt>
              </c:numCache>
            </c:numRef>
          </c:val>
        </c:ser>
        <c:marker val="1"/>
        <c:axId val="177447680"/>
        <c:axId val="177450368"/>
      </c:lineChart>
      <c:catAx>
        <c:axId val="17744768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7450368"/>
        <c:crossesAt val="0"/>
        <c:lblAlgn val="ctr"/>
        <c:lblOffset val="0"/>
        <c:tickLblSkip val="1"/>
        <c:tickMarkSkip val="4"/>
      </c:catAx>
      <c:valAx>
        <c:axId val="177450368"/>
        <c:scaling>
          <c:orientation val="minMax"/>
          <c:max val="50"/>
          <c:min val="-6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7447680"/>
        <c:crosses val="autoZero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756708056613347E-2"/>
          <c:y val="0.85572196258724964"/>
          <c:w val="0.92610625633232013"/>
          <c:h val="0.12897050545986719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337294494629933E-2"/>
          <c:y val="2.5454073336495381E-2"/>
          <c:w val="0.91372590696101663"/>
          <c:h val="0.72225502843009715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4'!$C$10</c:f>
              <c:strCache>
                <c:ptCount val="1"/>
                <c:pt idx="0">
                  <c:v>Maloobchod, bez motor. Segmentu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4'!$A$11:$B$39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4'!$C$11:$C$39</c:f>
              <c:numCache>
                <c:formatCode>#,##0.0</c:formatCode>
                <c:ptCount val="29"/>
                <c:pt idx="0">
                  <c:v>-1.1000000000000001</c:v>
                </c:pt>
                <c:pt idx="1">
                  <c:v>-1.2</c:v>
                </c:pt>
                <c:pt idx="2">
                  <c:v>0.4</c:v>
                </c:pt>
                <c:pt idx="3">
                  <c:v>-1.2</c:v>
                </c:pt>
                <c:pt idx="4">
                  <c:v>1.7</c:v>
                </c:pt>
                <c:pt idx="5">
                  <c:v>0.9</c:v>
                </c:pt>
                <c:pt idx="6">
                  <c:v>-1.1000000000000001</c:v>
                </c:pt>
                <c:pt idx="7">
                  <c:v>0</c:v>
                </c:pt>
                <c:pt idx="8">
                  <c:v>-1</c:v>
                </c:pt>
                <c:pt idx="9">
                  <c:v>-1.1000000000000001</c:v>
                </c:pt>
                <c:pt idx="10">
                  <c:v>-0.30000000000000032</c:v>
                </c:pt>
                <c:pt idx="11">
                  <c:v>-1</c:v>
                </c:pt>
                <c:pt idx="12">
                  <c:v>0.60000000000000064</c:v>
                </c:pt>
                <c:pt idx="13">
                  <c:v>-0.70000000000000062</c:v>
                </c:pt>
                <c:pt idx="14">
                  <c:v>-0.60000000000000064</c:v>
                </c:pt>
                <c:pt idx="15">
                  <c:v>1.4</c:v>
                </c:pt>
                <c:pt idx="16">
                  <c:v>2.8</c:v>
                </c:pt>
                <c:pt idx="17">
                  <c:v>2.7</c:v>
                </c:pt>
                <c:pt idx="18">
                  <c:v>2</c:v>
                </c:pt>
                <c:pt idx="19">
                  <c:v>3.7</c:v>
                </c:pt>
                <c:pt idx="20">
                  <c:v>6.6</c:v>
                </c:pt>
                <c:pt idx="21">
                  <c:v>6.2</c:v>
                </c:pt>
                <c:pt idx="22">
                  <c:v>6</c:v>
                </c:pt>
                <c:pt idx="23">
                  <c:v>6.8</c:v>
                </c:pt>
                <c:pt idx="24">
                  <c:v>5.6</c:v>
                </c:pt>
                <c:pt idx="25">
                  <c:v>5.7</c:v>
                </c:pt>
                <c:pt idx="26">
                  <c:v>5.3</c:v>
                </c:pt>
                <c:pt idx="27">
                  <c:v>4.4000000000000004</c:v>
                </c:pt>
                <c:pt idx="28">
                  <c:v>5.7</c:v>
                </c:pt>
              </c:numCache>
            </c:numRef>
          </c:val>
        </c:ser>
        <c:gapWidth val="31"/>
        <c:axId val="76659712"/>
        <c:axId val="76665984"/>
      </c:barChart>
      <c:lineChart>
        <c:grouping val="standard"/>
        <c:ser>
          <c:idx val="1"/>
          <c:order val="1"/>
          <c:tx>
            <c:strRef>
              <c:f>'výkonnost odvětví 4'!$D$10</c:f>
              <c:strCache>
                <c:ptCount val="1"/>
                <c:pt idx="0">
                  <c:v>Maloobchod s potravinami celkem 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4'!$D$11:$D$39</c:f>
              <c:numCache>
                <c:formatCode>#,##0.0</c:formatCode>
                <c:ptCount val="29"/>
                <c:pt idx="0">
                  <c:v>2.2000000000000002</c:v>
                </c:pt>
                <c:pt idx="1">
                  <c:v>-0.70000000000000062</c:v>
                </c:pt>
                <c:pt idx="2">
                  <c:v>1.8</c:v>
                </c:pt>
                <c:pt idx="3">
                  <c:v>-0.1</c:v>
                </c:pt>
                <c:pt idx="4">
                  <c:v>1</c:v>
                </c:pt>
                <c:pt idx="5">
                  <c:v>-0.60000000000000064</c:v>
                </c:pt>
                <c:pt idx="6">
                  <c:v>-2.2000000000000002</c:v>
                </c:pt>
                <c:pt idx="7">
                  <c:v>-2.6</c:v>
                </c:pt>
                <c:pt idx="8">
                  <c:v>-4.2</c:v>
                </c:pt>
                <c:pt idx="9">
                  <c:v>-2.5</c:v>
                </c:pt>
                <c:pt idx="10">
                  <c:v>-1.6</c:v>
                </c:pt>
                <c:pt idx="11">
                  <c:v>-2.1</c:v>
                </c:pt>
                <c:pt idx="12">
                  <c:v>-1</c:v>
                </c:pt>
                <c:pt idx="13">
                  <c:v>-2.2000000000000002</c:v>
                </c:pt>
                <c:pt idx="14">
                  <c:v>-0.70000000000000062</c:v>
                </c:pt>
                <c:pt idx="15">
                  <c:v>-0.2</c:v>
                </c:pt>
                <c:pt idx="16">
                  <c:v>0.5</c:v>
                </c:pt>
                <c:pt idx="17">
                  <c:v>2.2000000000000002</c:v>
                </c:pt>
                <c:pt idx="18">
                  <c:v>-0.9</c:v>
                </c:pt>
                <c:pt idx="19">
                  <c:v>2.9</c:v>
                </c:pt>
                <c:pt idx="20">
                  <c:v>4.7</c:v>
                </c:pt>
                <c:pt idx="21">
                  <c:v>3.4</c:v>
                </c:pt>
                <c:pt idx="22">
                  <c:v>5.2</c:v>
                </c:pt>
                <c:pt idx="23">
                  <c:v>4.4000000000000004</c:v>
                </c:pt>
                <c:pt idx="24">
                  <c:v>5.3</c:v>
                </c:pt>
                <c:pt idx="25">
                  <c:v>4.0999999999999996</c:v>
                </c:pt>
                <c:pt idx="26">
                  <c:v>2.9</c:v>
                </c:pt>
                <c:pt idx="27">
                  <c:v>-0.30000000000000032</c:v>
                </c:pt>
                <c:pt idx="28">
                  <c:v>1.5</c:v>
                </c:pt>
              </c:numCache>
            </c:numRef>
          </c:val>
        </c:ser>
        <c:ser>
          <c:idx val="2"/>
          <c:order val="2"/>
          <c:tx>
            <c:strRef>
              <c:f>'výkonnost odvětví 4'!$E$10</c:f>
              <c:strCache>
                <c:ptCount val="1"/>
                <c:pt idx="0">
                  <c:v>Mal. s potravinami ve specializ. prodej.</c:v>
                </c:pt>
              </c:strCache>
            </c:strRef>
          </c:tx>
          <c:spPr>
            <a:ln w="19050">
              <a:solidFill>
                <a:srgbClr val="48AEE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4'!$E$11:$E$39</c:f>
              <c:numCache>
                <c:formatCode>#,##0.0</c:formatCode>
                <c:ptCount val="29"/>
                <c:pt idx="0">
                  <c:v>-4.0999999999999996</c:v>
                </c:pt>
                <c:pt idx="1">
                  <c:v>-5.6</c:v>
                </c:pt>
                <c:pt idx="2">
                  <c:v>-4.5</c:v>
                </c:pt>
                <c:pt idx="3">
                  <c:v>-3.7</c:v>
                </c:pt>
                <c:pt idx="4">
                  <c:v>-2</c:v>
                </c:pt>
                <c:pt idx="5">
                  <c:v>-1.3</c:v>
                </c:pt>
                <c:pt idx="6">
                  <c:v>-1.2</c:v>
                </c:pt>
                <c:pt idx="7">
                  <c:v>-1.8</c:v>
                </c:pt>
                <c:pt idx="8">
                  <c:v>-3.5</c:v>
                </c:pt>
                <c:pt idx="9">
                  <c:v>-1.3</c:v>
                </c:pt>
                <c:pt idx="10">
                  <c:v>-4.8</c:v>
                </c:pt>
                <c:pt idx="11">
                  <c:v>-6.5</c:v>
                </c:pt>
                <c:pt idx="12">
                  <c:v>-2.1</c:v>
                </c:pt>
                <c:pt idx="13">
                  <c:v>-7.7</c:v>
                </c:pt>
                <c:pt idx="14">
                  <c:v>-5.5</c:v>
                </c:pt>
                <c:pt idx="15">
                  <c:v>-1.3</c:v>
                </c:pt>
                <c:pt idx="16">
                  <c:v>-1.9000000000000001</c:v>
                </c:pt>
                <c:pt idx="17">
                  <c:v>-0.30000000000000032</c:v>
                </c:pt>
                <c:pt idx="18">
                  <c:v>-0.2</c:v>
                </c:pt>
                <c:pt idx="19">
                  <c:v>0.70000000000000062</c:v>
                </c:pt>
                <c:pt idx="20">
                  <c:v>3.7</c:v>
                </c:pt>
                <c:pt idx="21">
                  <c:v>2.9</c:v>
                </c:pt>
                <c:pt idx="22">
                  <c:v>3.5</c:v>
                </c:pt>
                <c:pt idx="23">
                  <c:v>3</c:v>
                </c:pt>
                <c:pt idx="24">
                  <c:v>4.4000000000000004</c:v>
                </c:pt>
                <c:pt idx="25">
                  <c:v>3</c:v>
                </c:pt>
                <c:pt idx="26">
                  <c:v>4.5999999999999996</c:v>
                </c:pt>
                <c:pt idx="27">
                  <c:v>2.7</c:v>
                </c:pt>
                <c:pt idx="28">
                  <c:v>3</c:v>
                </c:pt>
              </c:numCache>
            </c:numRef>
          </c:val>
        </c:ser>
        <c:ser>
          <c:idx val="3"/>
          <c:order val="3"/>
          <c:tx>
            <c:strRef>
              <c:f>'výkonnost odvětví 4'!$F$10</c:f>
              <c:strCache>
                <c:ptCount val="1"/>
                <c:pt idx="0">
                  <c:v>Maloobchod s nepotravinářs. zbožím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'výkonnost odvětví 4'!$A$11:$B$39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4'!$F$11:$F$39</c:f>
              <c:numCache>
                <c:formatCode>#,##0.0</c:formatCode>
                <c:ptCount val="29"/>
                <c:pt idx="0">
                  <c:v>-3.2</c:v>
                </c:pt>
                <c:pt idx="1">
                  <c:v>-1.7</c:v>
                </c:pt>
                <c:pt idx="2">
                  <c:v>1.9000000000000001</c:v>
                </c:pt>
                <c:pt idx="3">
                  <c:v>0.1</c:v>
                </c:pt>
                <c:pt idx="4">
                  <c:v>4.5999999999999996</c:v>
                </c:pt>
                <c:pt idx="5">
                  <c:v>3.1</c:v>
                </c:pt>
                <c:pt idx="6">
                  <c:v>0.30000000000000032</c:v>
                </c:pt>
                <c:pt idx="7">
                  <c:v>2.6</c:v>
                </c:pt>
                <c:pt idx="8">
                  <c:v>1.5</c:v>
                </c:pt>
                <c:pt idx="9">
                  <c:v>1</c:v>
                </c:pt>
                <c:pt idx="10">
                  <c:v>1.4</c:v>
                </c:pt>
                <c:pt idx="11">
                  <c:v>0.1</c:v>
                </c:pt>
                <c:pt idx="12">
                  <c:v>1.5</c:v>
                </c:pt>
                <c:pt idx="13">
                  <c:v>0.70000000000000062</c:v>
                </c:pt>
                <c:pt idx="14">
                  <c:v>0.70000000000000062</c:v>
                </c:pt>
                <c:pt idx="15">
                  <c:v>3</c:v>
                </c:pt>
                <c:pt idx="16">
                  <c:v>5.4</c:v>
                </c:pt>
                <c:pt idx="17">
                  <c:v>3.3</c:v>
                </c:pt>
                <c:pt idx="18">
                  <c:v>4.0999999999999996</c:v>
                </c:pt>
                <c:pt idx="19">
                  <c:v>5</c:v>
                </c:pt>
                <c:pt idx="20">
                  <c:v>7.6</c:v>
                </c:pt>
                <c:pt idx="21">
                  <c:v>8.6</c:v>
                </c:pt>
                <c:pt idx="22">
                  <c:v>5.9</c:v>
                </c:pt>
                <c:pt idx="23">
                  <c:v>7.5</c:v>
                </c:pt>
                <c:pt idx="24">
                  <c:v>5.7</c:v>
                </c:pt>
                <c:pt idx="25">
                  <c:v>5.5</c:v>
                </c:pt>
                <c:pt idx="26">
                  <c:v>6.9</c:v>
                </c:pt>
                <c:pt idx="27">
                  <c:v>7.1</c:v>
                </c:pt>
                <c:pt idx="28">
                  <c:v>8.8000000000000007</c:v>
                </c:pt>
              </c:numCache>
            </c:numRef>
          </c:val>
        </c:ser>
        <c:ser>
          <c:idx val="4"/>
          <c:order val="4"/>
          <c:tx>
            <c:strRef>
              <c:f>'výkonnost odvětví 4'!$G$10</c:f>
              <c:strCache>
                <c:ptCount val="1"/>
                <c:pt idx="0">
                  <c:v>Maloobchodní prodej PHM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4'!$A$11:$B$39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4'!$G$11:$G$39</c:f>
              <c:numCache>
                <c:formatCode>#,##0.0</c:formatCode>
                <c:ptCount val="29"/>
                <c:pt idx="0">
                  <c:v>-3.6</c:v>
                </c:pt>
                <c:pt idx="1">
                  <c:v>-1.4</c:v>
                </c:pt>
                <c:pt idx="2">
                  <c:v>-8.6</c:v>
                </c:pt>
                <c:pt idx="3">
                  <c:v>-9.8000000000000007</c:v>
                </c:pt>
                <c:pt idx="4">
                  <c:v>-4.5999999999999996</c:v>
                </c:pt>
                <c:pt idx="5">
                  <c:v>-3.8</c:v>
                </c:pt>
                <c:pt idx="6">
                  <c:v>-2.2000000000000002</c:v>
                </c:pt>
                <c:pt idx="7">
                  <c:v>-3</c:v>
                </c:pt>
                <c:pt idx="8">
                  <c:v>-1.9000000000000001</c:v>
                </c:pt>
                <c:pt idx="9">
                  <c:v>-3.5</c:v>
                </c:pt>
                <c:pt idx="10">
                  <c:v>0.8</c:v>
                </c:pt>
                <c:pt idx="11">
                  <c:v>-2.1</c:v>
                </c:pt>
                <c:pt idx="12">
                  <c:v>0.5</c:v>
                </c:pt>
                <c:pt idx="13">
                  <c:v>-0.5</c:v>
                </c:pt>
                <c:pt idx="14">
                  <c:v>-5.2</c:v>
                </c:pt>
                <c:pt idx="15">
                  <c:v>-0.9</c:v>
                </c:pt>
                <c:pt idx="16">
                  <c:v>2.1</c:v>
                </c:pt>
                <c:pt idx="17">
                  <c:v>1.5</c:v>
                </c:pt>
                <c:pt idx="18">
                  <c:v>1.3</c:v>
                </c:pt>
                <c:pt idx="19">
                  <c:v>1.8</c:v>
                </c:pt>
                <c:pt idx="20">
                  <c:v>8</c:v>
                </c:pt>
                <c:pt idx="21">
                  <c:v>6.1</c:v>
                </c:pt>
                <c:pt idx="22">
                  <c:v>8</c:v>
                </c:pt>
                <c:pt idx="23">
                  <c:v>11.4</c:v>
                </c:pt>
                <c:pt idx="24">
                  <c:v>7</c:v>
                </c:pt>
                <c:pt idx="25">
                  <c:v>7.5</c:v>
                </c:pt>
                <c:pt idx="26">
                  <c:v>6.1</c:v>
                </c:pt>
                <c:pt idx="27">
                  <c:v>5.7</c:v>
                </c:pt>
                <c:pt idx="28">
                  <c:v>3.7</c:v>
                </c:pt>
              </c:numCache>
            </c:numRef>
          </c:val>
        </c:ser>
        <c:marker val="1"/>
        <c:axId val="76659712"/>
        <c:axId val="76665984"/>
      </c:lineChart>
      <c:lineChart>
        <c:grouping val="standard"/>
        <c:ser>
          <c:idx val="6"/>
          <c:order val="5"/>
          <c:tx>
            <c:strRef>
              <c:f>'výkonnost odvětví 4'!$H$10</c:f>
              <c:strCache>
                <c:ptCount val="1"/>
                <c:pt idx="0">
                  <c:v>Saldo souhr.indik.důvěry spotřebitelů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4'!$A$11:$B$39</c:f>
              <c:multiLvlStrCache>
                <c:ptCount val="2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4'!$H$11:$H$39</c:f>
              <c:numCache>
                <c:formatCode>0.0</c:formatCode>
                <c:ptCount val="29"/>
                <c:pt idx="0">
                  <c:v>-10.766666666666676</c:v>
                </c:pt>
                <c:pt idx="1">
                  <c:v>-8.1</c:v>
                </c:pt>
                <c:pt idx="2">
                  <c:v>-10.633333333333335</c:v>
                </c:pt>
                <c:pt idx="3">
                  <c:v>-11.700000000000001</c:v>
                </c:pt>
                <c:pt idx="4">
                  <c:v>-13.433333333333332</c:v>
                </c:pt>
                <c:pt idx="5">
                  <c:v>-20.099999999999987</c:v>
                </c:pt>
                <c:pt idx="6">
                  <c:v>-22.433333333333177</c:v>
                </c:pt>
                <c:pt idx="7">
                  <c:v>-26.7</c:v>
                </c:pt>
                <c:pt idx="8">
                  <c:v>-26.766666666666666</c:v>
                </c:pt>
                <c:pt idx="9">
                  <c:v>-29.5</c:v>
                </c:pt>
                <c:pt idx="10">
                  <c:v>-28.466666666666669</c:v>
                </c:pt>
                <c:pt idx="11">
                  <c:v>-26.433333333333177</c:v>
                </c:pt>
                <c:pt idx="12">
                  <c:v>-23.633333333333237</c:v>
                </c:pt>
                <c:pt idx="13">
                  <c:v>-20.866666666666667</c:v>
                </c:pt>
                <c:pt idx="14">
                  <c:v>-17.266666666666666</c:v>
                </c:pt>
                <c:pt idx="15">
                  <c:v>-10.766666666666676</c:v>
                </c:pt>
                <c:pt idx="16">
                  <c:v>-6.6000000000000005</c:v>
                </c:pt>
                <c:pt idx="17">
                  <c:v>-3.5333333333333332</c:v>
                </c:pt>
                <c:pt idx="18">
                  <c:v>-4.1333333333333506</c:v>
                </c:pt>
                <c:pt idx="19">
                  <c:v>0.69999999999999984</c:v>
                </c:pt>
                <c:pt idx="20">
                  <c:v>3.6333333333333342</c:v>
                </c:pt>
                <c:pt idx="21">
                  <c:v>1.7666666666666666</c:v>
                </c:pt>
                <c:pt idx="22">
                  <c:v>1.2</c:v>
                </c:pt>
                <c:pt idx="23">
                  <c:v>3.5</c:v>
                </c:pt>
                <c:pt idx="24">
                  <c:v>4.6000000000000005</c:v>
                </c:pt>
                <c:pt idx="25">
                  <c:v>1.8333333333333333</c:v>
                </c:pt>
                <c:pt idx="26">
                  <c:v>2</c:v>
                </c:pt>
                <c:pt idx="27">
                  <c:v>6.1000000000000005</c:v>
                </c:pt>
                <c:pt idx="28">
                  <c:v>6.5333333333333563</c:v>
                </c:pt>
              </c:numCache>
            </c:numRef>
          </c:val>
        </c:ser>
        <c:marker val="1"/>
        <c:axId val="76673408"/>
        <c:axId val="76667520"/>
      </c:lineChart>
      <c:catAx>
        <c:axId val="76659712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6665984"/>
        <c:crosses val="autoZero"/>
        <c:lblAlgn val="ctr"/>
        <c:lblOffset val="0"/>
        <c:tickLblSkip val="1"/>
        <c:tickMarkSkip val="4"/>
      </c:catAx>
      <c:valAx>
        <c:axId val="76665984"/>
        <c:scaling>
          <c:orientation val="minMax"/>
          <c:max val="15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6659712"/>
        <c:crosses val="autoZero"/>
        <c:crossBetween val="between"/>
        <c:majorUnit val="5"/>
      </c:valAx>
      <c:valAx>
        <c:axId val="76667520"/>
        <c:scaling>
          <c:orientation val="minMax"/>
          <c:max val="30"/>
          <c:min val="-30"/>
        </c:scaling>
        <c:axPos val="r"/>
        <c:numFmt formatCode="0" sourceLinked="0"/>
        <c:tickLblPos val="nextTo"/>
        <c:spPr>
          <a:ln w="9525">
            <a:solidFill>
              <a:schemeClr val="tx1"/>
            </a:solidFill>
          </a:ln>
        </c:spPr>
        <c:crossAx val="76673408"/>
        <c:crosses val="max"/>
        <c:crossBetween val="between"/>
      </c:valAx>
      <c:catAx>
        <c:axId val="76673408"/>
        <c:scaling>
          <c:orientation val="minMax"/>
        </c:scaling>
        <c:delete val="1"/>
        <c:axPos val="b"/>
        <c:numFmt formatCode="General" sourceLinked="1"/>
        <c:tickLblPos val="none"/>
        <c:crossAx val="76667520"/>
        <c:crosses val="autoZero"/>
        <c:auto val="1"/>
        <c:lblAlgn val="ctr"/>
        <c:lblOffset val="10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159200603222566E-2"/>
          <c:y val="0.85483926715618652"/>
          <c:w val="0.89381333170940258"/>
          <c:h val="0.13079630039707327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0.60342</cdr:x>
      <cdr:y>0.04202</cdr:y>
    </cdr:from>
    <cdr:to>
      <cdr:x>0.65155</cdr:x>
      <cdr:y>0.0796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865783" y="149087"/>
          <a:ext cx="228555" cy="133358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0.65435</cdr:x>
      <cdr:y>0.0635</cdr:y>
    </cdr:from>
    <cdr:to>
      <cdr:x>0.72847</cdr:x>
      <cdr:y>0.11825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107614" y="225300"/>
          <a:ext cx="352034" cy="1942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6E4A9-F79F-435B-A4C8-9ECBE6C08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1B71C-AD5F-4F73-9581-CFB2913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6</Pages>
  <Words>2750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18944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2017-06-20T12:47:00Z</dcterms:created>
  <dcterms:modified xsi:type="dcterms:W3CDTF">2017-06-20T12:49:00Z</dcterms:modified>
</cp:coreProperties>
</file>