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26" w:rsidRPr="00A74192" w:rsidRDefault="00DD0726" w:rsidP="00DD0726">
      <w:pPr>
        <w:pStyle w:val="Nadpis1"/>
        <w:numPr>
          <w:ilvl w:val="0"/>
          <w:numId w:val="12"/>
        </w:numPr>
        <w:ind w:left="709"/>
        <w:jc w:val="both"/>
      </w:pPr>
      <w:bookmarkStart w:id="0" w:name="_Toc469299935"/>
      <w:bookmarkStart w:id="1" w:name="_Toc493683639"/>
      <w:r>
        <w:t>M</w:t>
      </w:r>
      <w:r w:rsidRPr="00A74192">
        <w:t>ěnové podmínky</w:t>
      </w:r>
      <w:bookmarkEnd w:id="0"/>
      <w:bookmarkEnd w:id="1"/>
    </w:p>
    <w:tbl>
      <w:tblPr>
        <w:tblW w:w="4995" w:type="pct"/>
        <w:tblInd w:w="108" w:type="dxa"/>
        <w:tblLayout w:type="fixed"/>
        <w:tblLook w:val="00A0"/>
      </w:tblPr>
      <w:tblGrid>
        <w:gridCol w:w="2000"/>
        <w:gridCol w:w="284"/>
        <w:gridCol w:w="1118"/>
        <w:gridCol w:w="6442"/>
      </w:tblGrid>
      <w:tr w:rsidR="00DD0726" w:rsidRPr="00A74192" w:rsidTr="008C0F87">
        <w:trPr>
          <w:trHeight w:val="145"/>
        </w:trPr>
        <w:tc>
          <w:tcPr>
            <w:tcW w:w="1016" w:type="pct"/>
          </w:tcPr>
          <w:p w:rsidR="00DD0726" w:rsidRPr="006D5608" w:rsidRDefault="00DD0726" w:rsidP="008C0F87">
            <w:pPr>
              <w:spacing w:line="240" w:lineRule="auto"/>
              <w:rPr>
                <w:color w:val="000000" w:themeColor="text1"/>
                <w:sz w:val="16"/>
                <w:szCs w:val="16"/>
                <w:highlight w:val="yellow"/>
              </w:rPr>
            </w:pPr>
            <w:r w:rsidRPr="005D2208">
              <w:rPr>
                <w:color w:val="000000" w:themeColor="text1"/>
                <w:sz w:val="16"/>
                <w:szCs w:val="16"/>
              </w:rPr>
              <w:t>Nejdůležitější změnou v oblasti měnové politiky ve 2. čtvrtletí bylo ukončení kurzového závazku.</w:t>
            </w:r>
          </w:p>
        </w:tc>
        <w:tc>
          <w:tcPr>
            <w:tcW w:w="144" w:type="pct"/>
          </w:tcPr>
          <w:p w:rsidR="00DD0726" w:rsidRPr="003E6E0D" w:rsidRDefault="00DD0726" w:rsidP="008C0F87">
            <w:pPr>
              <w:pStyle w:val="Textpoznpodarou"/>
              <w:jc w:val="both"/>
            </w:pPr>
          </w:p>
        </w:tc>
        <w:tc>
          <w:tcPr>
            <w:tcW w:w="3840" w:type="pct"/>
            <w:gridSpan w:val="2"/>
          </w:tcPr>
          <w:p w:rsidR="00DD0726" w:rsidRDefault="00DD0726" w:rsidP="008C0F87">
            <w:pPr>
              <w:pStyle w:val="Textpoznpodarou"/>
              <w:jc w:val="both"/>
              <w:rPr>
                <w:sz w:val="16"/>
                <w:szCs w:val="16"/>
              </w:rPr>
            </w:pPr>
            <w:r>
              <w:t>Nejdůležitější událostí ve vztahu k měnové politice ve 2. čtvrtletí 2017 bylo ukončení režimu kurzových intervencí ČNB, ke kterému došlo 6. dubna. Po období tlaku na prolomení závazku (hodnota kurzu se držela na 27,02</w:t>
            </w:r>
            <w:r>
              <w:rPr>
                <w:rStyle w:val="Znakapoznpodarou"/>
              </w:rPr>
              <w:footnoteReference w:id="1"/>
            </w:r>
            <w:r>
              <w:t xml:space="preserve"> korun za euro každý den od 1. 1. 2017) koruna mírně oslabila v prvních dubnových dnech. Po ukončení závazku okamžitě posílila a kurz vůči euru do 10. dubna klesl na 26,53. Tuto hodnotu si však koruna neudržela a v druhé půli dubna se držela na průměrné hodnotě 26,86 korun za euro. Následně začala stabilně posilovat. S výjimkou krátkého oslabení 18. května kurz posiloval během celého května a první poloviny června. Minima za 2. čtvrtletí dosáhl 13. června (26,15). Do konce čtvrtletí již jen osciloval v úzkém pásmu mezi 26,20 a 26,30.</w:t>
            </w:r>
          </w:p>
          <w:p w:rsidR="00DD0726" w:rsidRPr="003C20C4" w:rsidRDefault="00DD0726" w:rsidP="008C0F87">
            <w:pPr>
              <w:pStyle w:val="Textpoznpodarou"/>
              <w:jc w:val="both"/>
            </w:pPr>
            <w:r>
              <w:t xml:space="preserve">    </w:t>
            </w:r>
          </w:p>
        </w:tc>
      </w:tr>
      <w:tr w:rsidR="00DD0726" w:rsidRPr="00A74192" w:rsidTr="008C0F87">
        <w:trPr>
          <w:trHeight w:val="145"/>
        </w:trPr>
        <w:tc>
          <w:tcPr>
            <w:tcW w:w="1016" w:type="pct"/>
            <w:shd w:val="clear" w:color="auto" w:fill="auto"/>
          </w:tcPr>
          <w:p w:rsidR="00DD0726" w:rsidRPr="006D5608" w:rsidRDefault="00DD0726" w:rsidP="008C0F87">
            <w:pPr>
              <w:spacing w:line="240" w:lineRule="auto"/>
              <w:rPr>
                <w:color w:val="000000" w:themeColor="text1"/>
                <w:sz w:val="16"/>
                <w:szCs w:val="16"/>
                <w:highlight w:val="yellow"/>
              </w:rPr>
            </w:pPr>
            <w:r w:rsidRPr="005D2208">
              <w:rPr>
                <w:color w:val="000000" w:themeColor="text1"/>
                <w:sz w:val="16"/>
                <w:szCs w:val="16"/>
              </w:rPr>
              <w:t>Ukončení kurzového závazku znamenalo i zastavení nákupů cizích měn.</w:t>
            </w:r>
          </w:p>
        </w:tc>
        <w:tc>
          <w:tcPr>
            <w:tcW w:w="144" w:type="pct"/>
          </w:tcPr>
          <w:p w:rsidR="00DD0726" w:rsidRPr="003E6E0D" w:rsidRDefault="00DD0726" w:rsidP="008C0F87">
            <w:pPr>
              <w:pStyle w:val="Textpoznpodarou"/>
              <w:jc w:val="both"/>
            </w:pPr>
          </w:p>
        </w:tc>
        <w:tc>
          <w:tcPr>
            <w:tcW w:w="3840" w:type="pct"/>
            <w:gridSpan w:val="2"/>
          </w:tcPr>
          <w:p w:rsidR="00DD0726" w:rsidRDefault="00DD0726" w:rsidP="008C0F87">
            <w:pPr>
              <w:pStyle w:val="Textpoznpodarou"/>
              <w:jc w:val="both"/>
              <w:rPr>
                <w:sz w:val="16"/>
                <w:szCs w:val="16"/>
              </w:rPr>
            </w:pPr>
            <w:r>
              <w:t xml:space="preserve">Kurzový závazek vyžadující nákup deviz trval ještě do 5. dubna. Za tu dobu ČNB nakoupila devizy v hodnotě 0,7 mld. eur. To je jen malý zlomek v porovnání s předchozím měsícem, kdy nákupy cizí měny dosáhly 19,3 mld. eur. </w:t>
            </w:r>
            <w:proofErr w:type="spellStart"/>
            <w:r>
              <w:t>Měnověpolitické</w:t>
            </w:r>
            <w:proofErr w:type="spellEnd"/>
            <w:r>
              <w:t xml:space="preserve"> sazby, které </w:t>
            </w:r>
            <w:proofErr w:type="gramStart"/>
            <w:r>
              <w:t>jsou</w:t>
            </w:r>
            <w:proofErr w:type="gramEnd"/>
            <w:r>
              <w:t xml:space="preserve"> hlavním nástrojem vykonávání měnové politiky se ve 2. čtvrtletí </w:t>
            </w:r>
            <w:proofErr w:type="gramStart"/>
            <w:r>
              <w:t>neměnily</w:t>
            </w:r>
            <w:proofErr w:type="gramEnd"/>
            <w:r>
              <w:t xml:space="preserve"> a zůstaly na tzv. technické nule.</w:t>
            </w:r>
          </w:p>
          <w:p w:rsidR="00DD0726" w:rsidRPr="00A119E4" w:rsidRDefault="00DD0726" w:rsidP="008C0F87">
            <w:pPr>
              <w:pStyle w:val="Textpoznpodarou"/>
              <w:jc w:val="both"/>
              <w:rPr>
                <w:sz w:val="16"/>
                <w:szCs w:val="16"/>
              </w:rPr>
            </w:pPr>
          </w:p>
        </w:tc>
      </w:tr>
      <w:tr w:rsidR="00DD0726" w:rsidRPr="00A74192" w:rsidTr="008C0F87">
        <w:trPr>
          <w:trHeight w:val="145"/>
        </w:trPr>
        <w:tc>
          <w:tcPr>
            <w:tcW w:w="1016" w:type="pct"/>
            <w:shd w:val="clear" w:color="auto" w:fill="auto"/>
          </w:tcPr>
          <w:p w:rsidR="00DD0726" w:rsidRPr="006D5608" w:rsidRDefault="00DD0726" w:rsidP="008C0F87">
            <w:pPr>
              <w:spacing w:line="240" w:lineRule="auto"/>
              <w:rPr>
                <w:color w:val="000000" w:themeColor="text1"/>
                <w:sz w:val="16"/>
                <w:szCs w:val="16"/>
                <w:highlight w:val="yellow"/>
              </w:rPr>
            </w:pPr>
            <w:r w:rsidRPr="005D2208">
              <w:rPr>
                <w:color w:val="000000" w:themeColor="text1"/>
                <w:sz w:val="16"/>
                <w:szCs w:val="16"/>
              </w:rPr>
              <w:t>Mezibankovní sazby již dále neklesaly.</w:t>
            </w:r>
          </w:p>
        </w:tc>
        <w:tc>
          <w:tcPr>
            <w:tcW w:w="144" w:type="pct"/>
          </w:tcPr>
          <w:p w:rsidR="00DD0726" w:rsidRPr="003E6E0D" w:rsidRDefault="00DD0726" w:rsidP="008C0F87">
            <w:pPr>
              <w:pStyle w:val="Textpoznpodarou"/>
              <w:jc w:val="both"/>
              <w:rPr>
                <w:highlight w:val="yellow"/>
              </w:rPr>
            </w:pPr>
          </w:p>
        </w:tc>
        <w:tc>
          <w:tcPr>
            <w:tcW w:w="3840" w:type="pct"/>
            <w:gridSpan w:val="2"/>
          </w:tcPr>
          <w:p w:rsidR="00DD0726" w:rsidRPr="0036710C" w:rsidRDefault="00DD0726" w:rsidP="008C0F87">
            <w:pPr>
              <w:pStyle w:val="Textpoznpodarou"/>
              <w:jc w:val="both"/>
              <w:rPr>
                <w:spacing w:val="-2"/>
                <w:sz w:val="16"/>
                <w:szCs w:val="16"/>
              </w:rPr>
            </w:pPr>
            <w:r w:rsidRPr="0036710C">
              <w:rPr>
                <w:spacing w:val="-2"/>
              </w:rPr>
              <w:t xml:space="preserve">Navzdory neměnným </w:t>
            </w:r>
            <w:proofErr w:type="spellStart"/>
            <w:r w:rsidRPr="0036710C">
              <w:rPr>
                <w:spacing w:val="-2"/>
              </w:rPr>
              <w:t>měnověpolitickým</w:t>
            </w:r>
            <w:proofErr w:type="spellEnd"/>
            <w:r w:rsidRPr="0036710C">
              <w:rPr>
                <w:spacing w:val="-2"/>
              </w:rPr>
              <w:t xml:space="preserve"> sazbám (českým i evropským) došlo ke změně trendu u mezibankovních úrokových sazeb, které začaly po více než čtyřletém období poklesu mírně růst. Tříměsíční sazba PRIBOR se v dubnu zvýšila o</w:t>
            </w:r>
            <w:r>
              <w:rPr>
                <w:spacing w:val="-2"/>
              </w:rPr>
              <w:t> </w:t>
            </w:r>
            <w:r w:rsidRPr="0036710C">
              <w:rPr>
                <w:spacing w:val="-2"/>
              </w:rPr>
              <w:t xml:space="preserve">0,01 </w:t>
            </w:r>
            <w:proofErr w:type="spellStart"/>
            <w:r w:rsidRPr="0036710C">
              <w:rPr>
                <w:spacing w:val="-2"/>
              </w:rPr>
              <w:t>p.b</w:t>
            </w:r>
            <w:proofErr w:type="spellEnd"/>
            <w:r w:rsidRPr="0036710C">
              <w:rPr>
                <w:spacing w:val="-2"/>
              </w:rPr>
              <w:t>. na 0,29 % a následně v květnu na hodnotu 0,30 %, kde setrvala. Roční PRIBOR se zvýšil z březnových 0,44 % na 0,45 % a pak na 0,46 %. Výnosy státních dluhopisů, které mírně rostly během 1. čtvrtletí, se ještě v dubnu mírně zvýšily, dále však klesaly (střednědobé a krátkodobé dluhopisy) nebo zůstaly téměř neměnné (krátkodobé dluhopisy). Výnos dvouletých dluhopisů zůstává nadále záporný, u</w:t>
            </w:r>
            <w:r>
              <w:t> </w:t>
            </w:r>
            <w:r w:rsidRPr="0036710C">
              <w:rPr>
                <w:spacing w:val="-2"/>
              </w:rPr>
              <w:t>střednědobých se úroková sazba v červnu opět dostala těsně pod nulu.</w:t>
            </w:r>
          </w:p>
          <w:p w:rsidR="00DD0726" w:rsidRPr="00B07108" w:rsidRDefault="00DD0726" w:rsidP="008C0F87">
            <w:pPr>
              <w:pStyle w:val="Textpoznpodarou"/>
              <w:jc w:val="both"/>
              <w:rPr>
                <w:sz w:val="16"/>
                <w:szCs w:val="16"/>
              </w:rPr>
            </w:pPr>
          </w:p>
        </w:tc>
      </w:tr>
      <w:tr w:rsidR="00DD0726" w:rsidRPr="00A74192" w:rsidTr="008C0F87">
        <w:trPr>
          <w:trHeight w:val="145"/>
        </w:trPr>
        <w:tc>
          <w:tcPr>
            <w:tcW w:w="1016" w:type="pct"/>
            <w:shd w:val="clear" w:color="auto" w:fill="auto"/>
          </w:tcPr>
          <w:p w:rsidR="00DD0726" w:rsidRPr="005D2208" w:rsidRDefault="00DD0726" w:rsidP="008C0F87">
            <w:pPr>
              <w:spacing w:line="240" w:lineRule="auto"/>
              <w:rPr>
                <w:color w:val="000000" w:themeColor="text1"/>
                <w:sz w:val="16"/>
                <w:szCs w:val="16"/>
              </w:rPr>
            </w:pPr>
          </w:p>
        </w:tc>
        <w:tc>
          <w:tcPr>
            <w:tcW w:w="144" w:type="pct"/>
          </w:tcPr>
          <w:p w:rsidR="00DD0726" w:rsidRPr="003E6E0D" w:rsidRDefault="00DD0726" w:rsidP="008C0F87">
            <w:pPr>
              <w:pStyle w:val="Textpoznpodarou"/>
              <w:jc w:val="both"/>
            </w:pPr>
          </w:p>
        </w:tc>
        <w:tc>
          <w:tcPr>
            <w:tcW w:w="568" w:type="pct"/>
          </w:tcPr>
          <w:p w:rsidR="00DD0726" w:rsidRDefault="00DD0726" w:rsidP="008C0F87">
            <w:pPr>
              <w:pStyle w:val="Textpoznpodarou"/>
              <w:jc w:val="both"/>
            </w:pPr>
            <w:r>
              <w:t>Graf č. 18</w:t>
            </w:r>
          </w:p>
        </w:tc>
        <w:tc>
          <w:tcPr>
            <w:tcW w:w="3272" w:type="pct"/>
          </w:tcPr>
          <w:p w:rsidR="00DD0726" w:rsidRDefault="00DD0726" w:rsidP="008C0F87">
            <w:pPr>
              <w:pStyle w:val="Textpoznpodarou"/>
              <w:jc w:val="both"/>
            </w:pPr>
            <w:r w:rsidRPr="00AA4A76">
              <w:rPr>
                <w:b/>
              </w:rPr>
              <w:t xml:space="preserve">Tržní úrokové sazby </w:t>
            </w:r>
            <w:r w:rsidRPr="00AA4A76">
              <w:t>(v %)</w:t>
            </w:r>
          </w:p>
        </w:tc>
      </w:tr>
      <w:tr w:rsidR="00DD0726" w:rsidRPr="00A74192" w:rsidTr="008C0F87">
        <w:trPr>
          <w:trHeight w:val="145"/>
        </w:trPr>
        <w:tc>
          <w:tcPr>
            <w:tcW w:w="1016" w:type="pct"/>
            <w:shd w:val="clear" w:color="auto" w:fill="auto"/>
          </w:tcPr>
          <w:p w:rsidR="00DD0726" w:rsidRPr="005D2208" w:rsidRDefault="00DD0726" w:rsidP="008C0F87">
            <w:pPr>
              <w:spacing w:line="240" w:lineRule="auto"/>
              <w:rPr>
                <w:color w:val="000000" w:themeColor="text1"/>
                <w:sz w:val="16"/>
                <w:szCs w:val="16"/>
              </w:rPr>
            </w:pPr>
          </w:p>
        </w:tc>
        <w:tc>
          <w:tcPr>
            <w:tcW w:w="144" w:type="pct"/>
          </w:tcPr>
          <w:p w:rsidR="00DD0726" w:rsidRPr="003E6E0D" w:rsidRDefault="00DD0726" w:rsidP="008C0F87">
            <w:pPr>
              <w:pStyle w:val="Textpoznpodarou"/>
              <w:jc w:val="both"/>
            </w:pPr>
          </w:p>
        </w:tc>
        <w:tc>
          <w:tcPr>
            <w:tcW w:w="3840" w:type="pct"/>
            <w:gridSpan w:val="2"/>
          </w:tcPr>
          <w:p w:rsidR="00DD0726" w:rsidRDefault="00DD0726" w:rsidP="008C0F87">
            <w:pPr>
              <w:pStyle w:val="Textpoznpodarou"/>
              <w:jc w:val="right"/>
              <w:rPr>
                <w:sz w:val="14"/>
                <w:szCs w:val="14"/>
              </w:rPr>
            </w:pPr>
            <w:r w:rsidRPr="00351222">
              <w:rPr>
                <w:noProof/>
              </w:rPr>
              <w:drawing>
                <wp:inline distT="0" distB="0" distL="0" distR="0">
                  <wp:extent cx="4737600" cy="3553200"/>
                  <wp:effectExtent l="0" t="0" r="0" b="0"/>
                  <wp:docPr id="3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E1460">
              <w:rPr>
                <w:sz w:val="14"/>
                <w:szCs w:val="14"/>
              </w:rPr>
              <w:t xml:space="preserve"> Zdroj: ČNB</w:t>
            </w:r>
          </w:p>
          <w:p w:rsidR="00DD0726" w:rsidRPr="00351222" w:rsidRDefault="00DD0726" w:rsidP="008C0F87">
            <w:pPr>
              <w:pStyle w:val="Textpoznpodarou"/>
              <w:jc w:val="right"/>
              <w:rPr>
                <w:sz w:val="14"/>
                <w:szCs w:val="14"/>
              </w:rPr>
            </w:pPr>
          </w:p>
        </w:tc>
      </w:tr>
      <w:tr w:rsidR="00DD0726" w:rsidRPr="00A74192" w:rsidTr="008C0F87">
        <w:trPr>
          <w:trHeight w:val="145"/>
        </w:trPr>
        <w:tc>
          <w:tcPr>
            <w:tcW w:w="1016" w:type="pct"/>
            <w:shd w:val="clear" w:color="auto" w:fill="auto"/>
          </w:tcPr>
          <w:p w:rsidR="00DD0726" w:rsidRPr="005D2208" w:rsidRDefault="00DD0726" w:rsidP="008C0F87">
            <w:pPr>
              <w:spacing w:line="240" w:lineRule="auto"/>
              <w:rPr>
                <w:color w:val="000000" w:themeColor="text1"/>
                <w:sz w:val="16"/>
                <w:szCs w:val="16"/>
              </w:rPr>
            </w:pPr>
            <w:r w:rsidRPr="005D2208">
              <w:rPr>
                <w:color w:val="000000" w:themeColor="text1"/>
                <w:sz w:val="16"/>
                <w:szCs w:val="16"/>
              </w:rPr>
              <w:t>Růst množství peněz v ekonomice zrychlil.</w:t>
            </w:r>
          </w:p>
        </w:tc>
        <w:tc>
          <w:tcPr>
            <w:tcW w:w="144" w:type="pct"/>
          </w:tcPr>
          <w:p w:rsidR="00DD0726" w:rsidRPr="003E6E0D" w:rsidRDefault="00DD0726" w:rsidP="008C0F87">
            <w:pPr>
              <w:pStyle w:val="Textpoznpodarou"/>
              <w:jc w:val="both"/>
              <w:rPr>
                <w:highlight w:val="yellow"/>
              </w:rPr>
            </w:pPr>
          </w:p>
        </w:tc>
        <w:tc>
          <w:tcPr>
            <w:tcW w:w="3840" w:type="pct"/>
            <w:gridSpan w:val="2"/>
          </w:tcPr>
          <w:p w:rsidR="00DD0726" w:rsidRDefault="00DD0726" w:rsidP="008C0F87">
            <w:pPr>
              <w:pStyle w:val="Textpoznpodarou"/>
              <w:jc w:val="both"/>
              <w:rPr>
                <w:sz w:val="16"/>
                <w:szCs w:val="16"/>
              </w:rPr>
            </w:pPr>
            <w:r>
              <w:t xml:space="preserve">Meziroční růst množství peněz v ekonomice během první poloviny zrychlil a překročil 10,0 %. Ve 2. čtvrtletí vzrostla peněžní zásoba meziročně o 12,5 %. Hlavním faktorem růstu byly jednodenní vklady, které vzrostly o 14,7 %. Prudce </w:t>
            </w:r>
            <w:r>
              <w:lastRenderedPageBreak/>
              <w:t xml:space="preserve">vzrostl objem </w:t>
            </w:r>
            <w:proofErr w:type="spellStart"/>
            <w:r>
              <w:t>repo</w:t>
            </w:r>
            <w:proofErr w:type="spellEnd"/>
            <w:r>
              <w:t xml:space="preserve"> operací a podílových listů, které však tvoří jen malý zlomek celkového objemu peněz. Naopak mírně oslabil pokles objemu vkladů se splatností, kterých výrazně ubývalo v roce 2016.</w:t>
            </w:r>
          </w:p>
          <w:p w:rsidR="00DD0726" w:rsidRPr="0060217B" w:rsidRDefault="00DD0726" w:rsidP="008C0F87">
            <w:pPr>
              <w:pStyle w:val="Textpoznpodarou"/>
              <w:jc w:val="both"/>
              <w:rPr>
                <w:sz w:val="16"/>
                <w:szCs w:val="16"/>
              </w:rPr>
            </w:pPr>
          </w:p>
        </w:tc>
      </w:tr>
      <w:tr w:rsidR="00DD0726" w:rsidRPr="00A74192" w:rsidTr="008C0F87">
        <w:trPr>
          <w:trHeight w:val="145"/>
        </w:trPr>
        <w:tc>
          <w:tcPr>
            <w:tcW w:w="1016" w:type="pct"/>
            <w:shd w:val="clear" w:color="auto" w:fill="auto"/>
          </w:tcPr>
          <w:p w:rsidR="00DD0726" w:rsidRPr="006D5608" w:rsidRDefault="00DD0726" w:rsidP="008C0F87">
            <w:pPr>
              <w:spacing w:line="240" w:lineRule="auto"/>
              <w:rPr>
                <w:color w:val="000000" w:themeColor="text1"/>
                <w:sz w:val="16"/>
                <w:szCs w:val="16"/>
                <w:highlight w:val="yellow"/>
              </w:rPr>
            </w:pPr>
            <w:r w:rsidRPr="005D2208">
              <w:rPr>
                <w:color w:val="000000" w:themeColor="text1"/>
                <w:sz w:val="16"/>
                <w:szCs w:val="16"/>
              </w:rPr>
              <w:lastRenderedPageBreak/>
              <w:t>Úrokové sazby na vkladech zůstávají velmi nízké.</w:t>
            </w:r>
          </w:p>
        </w:tc>
        <w:tc>
          <w:tcPr>
            <w:tcW w:w="144" w:type="pct"/>
          </w:tcPr>
          <w:p w:rsidR="00DD0726" w:rsidRPr="003E6E0D" w:rsidRDefault="00DD0726" w:rsidP="008C0F87">
            <w:pPr>
              <w:pStyle w:val="Textpoznpodarou"/>
              <w:jc w:val="both"/>
            </w:pPr>
          </w:p>
        </w:tc>
        <w:tc>
          <w:tcPr>
            <w:tcW w:w="3840" w:type="pct"/>
            <w:gridSpan w:val="2"/>
          </w:tcPr>
          <w:p w:rsidR="00DD0726" w:rsidRDefault="00DD0726" w:rsidP="008C0F87">
            <w:pPr>
              <w:pStyle w:val="Textpoznpodarou"/>
              <w:jc w:val="both"/>
              <w:rPr>
                <w:sz w:val="16"/>
                <w:szCs w:val="16"/>
              </w:rPr>
            </w:pPr>
            <w:r>
              <w:t xml:space="preserve">Situace se prakticky neměnila u úvěrových sazeb na vkladech. Běžné účty domácností měly téměř nulové úročení – průměrná sazba v květnu a červnu činila 0,04 %. Krátkodobý výkyv u vkladů s dohodnutou splatností v únoru až dubnu, kdy úročení rostlo, se vrátil k dlouhodobému trendu – průměrné sazby od dubna do června klesly o 0,34 </w:t>
            </w:r>
            <w:proofErr w:type="spellStart"/>
            <w:r>
              <w:t>p.b</w:t>
            </w:r>
            <w:proofErr w:type="spellEnd"/>
            <w:r>
              <w:t xml:space="preserve">. a skončily na 0,64 %. Na rozdíl od předchozích dvou let však nízké úročení nebylo doprovázeno téměř nulovým cenovým růstem. Vklady tak ztrácí na reálné hodnotě. Ani podnikatelé neměli mnoho možností, jak zachovat hodnotu svých peněz. Sazby na všech typech účtů se téměř sjednotily a pohybovaly se mezi 0,03 % a 0,05 %. </w:t>
            </w:r>
          </w:p>
          <w:p w:rsidR="00DD0726" w:rsidRPr="004E081E" w:rsidRDefault="00DD0726" w:rsidP="008C0F87">
            <w:pPr>
              <w:pStyle w:val="Textpoznpodarou"/>
              <w:jc w:val="both"/>
              <w:rPr>
                <w:sz w:val="16"/>
                <w:szCs w:val="16"/>
              </w:rPr>
            </w:pPr>
            <w:r>
              <w:t xml:space="preserve"> </w:t>
            </w:r>
          </w:p>
        </w:tc>
      </w:tr>
      <w:tr w:rsidR="00DD0726" w:rsidRPr="00A74192" w:rsidTr="008C0F87">
        <w:trPr>
          <w:trHeight w:val="145"/>
        </w:trPr>
        <w:tc>
          <w:tcPr>
            <w:tcW w:w="1016" w:type="pct"/>
            <w:shd w:val="clear" w:color="auto" w:fill="auto"/>
          </w:tcPr>
          <w:p w:rsidR="00DD0726" w:rsidRPr="00846B45" w:rsidRDefault="00DD0726" w:rsidP="008C0F87">
            <w:pPr>
              <w:spacing w:line="240" w:lineRule="auto"/>
              <w:rPr>
                <w:color w:val="000000" w:themeColor="text1"/>
                <w:sz w:val="16"/>
                <w:szCs w:val="16"/>
              </w:rPr>
            </w:pPr>
            <w:r w:rsidRPr="00846B45">
              <w:rPr>
                <w:color w:val="000000" w:themeColor="text1"/>
                <w:sz w:val="16"/>
                <w:szCs w:val="16"/>
              </w:rPr>
              <w:t>Trvajících nízkých sazeb na úvěrech využívaly domácnosti i firmy</w:t>
            </w:r>
            <w:r>
              <w:rPr>
                <w:color w:val="000000" w:themeColor="text1"/>
                <w:sz w:val="16"/>
                <w:szCs w:val="16"/>
              </w:rPr>
              <w:t>…</w:t>
            </w:r>
          </w:p>
        </w:tc>
        <w:tc>
          <w:tcPr>
            <w:tcW w:w="144" w:type="pct"/>
          </w:tcPr>
          <w:p w:rsidR="00DD0726" w:rsidRPr="00846B45" w:rsidRDefault="00DD0726" w:rsidP="008C0F87">
            <w:pPr>
              <w:pStyle w:val="Textpoznpodarou"/>
              <w:jc w:val="both"/>
            </w:pPr>
          </w:p>
        </w:tc>
        <w:tc>
          <w:tcPr>
            <w:tcW w:w="3840" w:type="pct"/>
            <w:gridSpan w:val="2"/>
          </w:tcPr>
          <w:p w:rsidR="00DD0726" w:rsidRDefault="00DD0726" w:rsidP="008C0F87">
            <w:pPr>
              <w:pStyle w:val="Textpoznpodarou"/>
              <w:jc w:val="both"/>
              <w:rPr>
                <w:sz w:val="16"/>
                <w:szCs w:val="16"/>
              </w:rPr>
            </w:pPr>
            <w:r>
              <w:t xml:space="preserve">Sazby na úvěrech domácnostem se v závislosti na typu a době fixace vyvíjely různě, v průměru se však na přelomu let 2016 a 2017 zastavil několik let trvající pokles a sazby spíše stagnovaly. Mírný pokles pokračoval u úroků na spotřebních úvěrech, které v minulém čtvrtletí poprvé klesly průměrně pod 10,0 %. V červnu 2017 jejich průměrné úročení dosahovalo 9,32 %. U ostře sledovaných úvěrů na bydlení sazby začaly mírně růst již v prosinci minulého roku. Velmi mírné zvyšování pokračovalo i letos. Sazby na úvěrech s fixací mezi 1 a 5 lety vzrostly z 2,18 % v březnu na 2,22 % v červnu 2017. U fixace mezi 5 a 10 lety se za stejné období zvýšily z 2,11 % na 2,18 %. Úrokové sazby na úvěrech nefinančním podnikům už také neklesaly, ale kolísaly mírně nad úrovní konce roku 2016. </w:t>
            </w:r>
          </w:p>
          <w:p w:rsidR="00DD0726" w:rsidRPr="00F45A12" w:rsidRDefault="00DD0726" w:rsidP="008C0F87">
            <w:pPr>
              <w:pStyle w:val="Textpoznpodarou"/>
              <w:jc w:val="both"/>
              <w:rPr>
                <w:sz w:val="16"/>
                <w:szCs w:val="16"/>
              </w:rPr>
            </w:pPr>
          </w:p>
        </w:tc>
      </w:tr>
      <w:tr w:rsidR="00DD0726" w:rsidRPr="00A74192" w:rsidTr="008C0F87">
        <w:trPr>
          <w:trHeight w:val="145"/>
        </w:trPr>
        <w:tc>
          <w:tcPr>
            <w:tcW w:w="1016" w:type="pct"/>
            <w:shd w:val="clear" w:color="auto" w:fill="auto"/>
          </w:tcPr>
          <w:p w:rsidR="00DD0726" w:rsidRPr="006D5608" w:rsidRDefault="00DD0726" w:rsidP="008C0F87">
            <w:pPr>
              <w:spacing w:line="240" w:lineRule="auto"/>
              <w:rPr>
                <w:color w:val="000000" w:themeColor="text1"/>
                <w:sz w:val="16"/>
                <w:szCs w:val="16"/>
                <w:highlight w:val="yellow"/>
              </w:rPr>
            </w:pPr>
            <w:r w:rsidRPr="00846B45">
              <w:rPr>
                <w:color w:val="000000" w:themeColor="text1"/>
                <w:sz w:val="16"/>
                <w:szCs w:val="16"/>
              </w:rPr>
              <w:t>…zvýšil se objem poskytnutých hypotečních úvěrů i půjček nefinančním podnikům.</w:t>
            </w:r>
          </w:p>
        </w:tc>
        <w:tc>
          <w:tcPr>
            <w:tcW w:w="144" w:type="pct"/>
          </w:tcPr>
          <w:p w:rsidR="00DD0726" w:rsidRPr="003E6E0D" w:rsidRDefault="00DD0726" w:rsidP="008C0F87">
            <w:pPr>
              <w:pStyle w:val="Textpoznpodarou"/>
              <w:jc w:val="both"/>
              <w:rPr>
                <w:highlight w:val="yellow"/>
              </w:rPr>
            </w:pPr>
          </w:p>
        </w:tc>
        <w:tc>
          <w:tcPr>
            <w:tcW w:w="3840" w:type="pct"/>
            <w:gridSpan w:val="2"/>
          </w:tcPr>
          <w:p w:rsidR="00DD0726" w:rsidRDefault="00DD0726" w:rsidP="008C0F87">
            <w:pPr>
              <w:pStyle w:val="Textpoznpodarou"/>
              <w:jc w:val="both"/>
              <w:rPr>
                <w:sz w:val="16"/>
                <w:szCs w:val="16"/>
              </w:rPr>
            </w:pPr>
            <w:r>
              <w:t>Objem úvěrů poskytnutých domácnostem během 2. čtvrtletí vzrostl o 32,4 mld. korun. Většinu z tohoto nárůstu tvořily úvěry na bydlení. Objem poskytnutých hypotečních úvěrů se zvýšil o 25,7 mld. a navázal tak na mimořádně silný nárůst z předchozího kvartálu. U nefinančních podniků objem úvěrů a pohledávek během 2. čtvrtletí vzrostl o 17,9 mld. Zastavil se přitom nárůst objemu úvěrů poskytnutých v cizí měně, který se zrychloval v druhé polovině minulého roku a v 1. čtvrtletí 2017. Ještě v dubnu objem těchto úvěrů vzrostl, v květnu i v červnu však klesal.</w:t>
            </w:r>
          </w:p>
          <w:p w:rsidR="00DD0726" w:rsidRPr="007F4D45" w:rsidRDefault="00DD0726" w:rsidP="008C0F87">
            <w:pPr>
              <w:pStyle w:val="Textpoznpodarou"/>
              <w:jc w:val="both"/>
              <w:rPr>
                <w:sz w:val="16"/>
                <w:szCs w:val="16"/>
              </w:rPr>
            </w:pPr>
          </w:p>
        </w:tc>
      </w:tr>
      <w:tr w:rsidR="00DD0726" w:rsidRPr="00AA4A76" w:rsidTr="008C0F87">
        <w:trPr>
          <w:trHeight w:val="145"/>
        </w:trPr>
        <w:tc>
          <w:tcPr>
            <w:tcW w:w="1016" w:type="pct"/>
            <w:shd w:val="clear" w:color="auto" w:fill="auto"/>
          </w:tcPr>
          <w:p w:rsidR="00DD0726" w:rsidRPr="00AA4A76" w:rsidRDefault="00DD0726" w:rsidP="008C0F87">
            <w:pPr>
              <w:spacing w:line="240" w:lineRule="auto"/>
              <w:jc w:val="center"/>
              <w:rPr>
                <w:color w:val="000000"/>
                <w:szCs w:val="20"/>
              </w:rPr>
            </w:pPr>
          </w:p>
        </w:tc>
        <w:tc>
          <w:tcPr>
            <w:tcW w:w="144" w:type="pct"/>
          </w:tcPr>
          <w:p w:rsidR="00DD0726" w:rsidRPr="00AA4A76" w:rsidRDefault="00DD0726" w:rsidP="008C0F87">
            <w:pPr>
              <w:pStyle w:val="Textpoznpodarou"/>
              <w:jc w:val="both"/>
              <w:rPr>
                <w:highlight w:val="yellow"/>
              </w:rPr>
            </w:pPr>
          </w:p>
        </w:tc>
        <w:tc>
          <w:tcPr>
            <w:tcW w:w="568" w:type="pct"/>
          </w:tcPr>
          <w:p w:rsidR="00DD0726" w:rsidRPr="00AA4A76" w:rsidRDefault="00DD0726" w:rsidP="008C0F87">
            <w:pPr>
              <w:pStyle w:val="Textpoznpodarou"/>
              <w:jc w:val="both"/>
              <w:rPr>
                <w:highlight w:val="yellow"/>
              </w:rPr>
            </w:pPr>
            <w:r w:rsidRPr="00AA4A76">
              <w:rPr>
                <w:color w:val="000000"/>
              </w:rPr>
              <w:t>Graf č. 1</w:t>
            </w:r>
            <w:r>
              <w:rPr>
                <w:color w:val="000000"/>
              </w:rPr>
              <w:t>9</w:t>
            </w:r>
          </w:p>
        </w:tc>
        <w:tc>
          <w:tcPr>
            <w:tcW w:w="3272" w:type="pct"/>
          </w:tcPr>
          <w:p w:rsidR="00DD0726" w:rsidRPr="00AA4A76" w:rsidRDefault="00DD0726" w:rsidP="008C0F87">
            <w:pPr>
              <w:pStyle w:val="Textpoznpodarou"/>
              <w:jc w:val="both"/>
              <w:rPr>
                <w:highlight w:val="yellow"/>
              </w:rPr>
            </w:pPr>
            <w:r>
              <w:rPr>
                <w:b/>
                <w:color w:val="000000" w:themeColor="text1"/>
              </w:rPr>
              <w:t>Úvěry poskytnuté domácnostem</w:t>
            </w:r>
            <w:r w:rsidRPr="00AA4A76">
              <w:rPr>
                <w:b/>
                <w:color w:val="000000" w:themeColor="text1"/>
              </w:rPr>
              <w:t xml:space="preserve"> </w:t>
            </w:r>
            <w:r w:rsidRPr="00AA4A76">
              <w:rPr>
                <w:color w:val="000000" w:themeColor="text1"/>
              </w:rPr>
              <w:t>(</w:t>
            </w:r>
            <w:r>
              <w:rPr>
                <w:color w:val="000000" w:themeColor="text1"/>
              </w:rPr>
              <w:t>meziroční růst, v %</w:t>
            </w:r>
            <w:r w:rsidRPr="00AA4A76">
              <w:rPr>
                <w:color w:val="000000" w:themeColor="text1"/>
              </w:rPr>
              <w:t>)</w:t>
            </w:r>
          </w:p>
        </w:tc>
      </w:tr>
      <w:tr w:rsidR="00DD0726" w:rsidRPr="00A74192" w:rsidTr="008C0F87">
        <w:trPr>
          <w:trHeight w:val="145"/>
        </w:trPr>
        <w:tc>
          <w:tcPr>
            <w:tcW w:w="1016" w:type="pct"/>
            <w:shd w:val="clear" w:color="auto" w:fill="auto"/>
          </w:tcPr>
          <w:p w:rsidR="00DD0726" w:rsidRPr="006D3F53" w:rsidRDefault="00DD0726" w:rsidP="008C0F87">
            <w:pPr>
              <w:spacing w:line="240" w:lineRule="auto"/>
              <w:rPr>
                <w:color w:val="000000"/>
                <w:sz w:val="16"/>
                <w:szCs w:val="16"/>
                <w:highlight w:val="yellow"/>
              </w:rPr>
            </w:pPr>
          </w:p>
        </w:tc>
        <w:tc>
          <w:tcPr>
            <w:tcW w:w="144" w:type="pct"/>
          </w:tcPr>
          <w:p w:rsidR="00DD0726" w:rsidRPr="00A74192" w:rsidRDefault="00DD0726" w:rsidP="008C0F87">
            <w:pPr>
              <w:pStyle w:val="Textpoznpodarou"/>
              <w:jc w:val="both"/>
            </w:pPr>
          </w:p>
        </w:tc>
        <w:tc>
          <w:tcPr>
            <w:tcW w:w="3840" w:type="pct"/>
            <w:gridSpan w:val="2"/>
          </w:tcPr>
          <w:p w:rsidR="00DD0726" w:rsidRDefault="00DD0726" w:rsidP="008C0F87">
            <w:pPr>
              <w:pStyle w:val="Textpoznpodarou"/>
              <w:ind w:left="-124"/>
              <w:jc w:val="both"/>
              <w:rPr>
                <w:sz w:val="16"/>
                <w:szCs w:val="16"/>
              </w:rPr>
            </w:pPr>
            <w:r w:rsidRPr="002A0D0C">
              <w:rPr>
                <w:noProof/>
                <w:sz w:val="16"/>
                <w:szCs w:val="16"/>
              </w:rPr>
              <w:drawing>
                <wp:inline distT="0" distB="0" distL="0" distR="0">
                  <wp:extent cx="4737600" cy="3553200"/>
                  <wp:effectExtent l="0" t="0" r="5850" b="0"/>
                  <wp:docPr id="3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0726" w:rsidRDefault="00DD0726" w:rsidP="008C0F87">
            <w:pPr>
              <w:pStyle w:val="Textpoznpodarou"/>
              <w:ind w:left="-124"/>
              <w:jc w:val="right"/>
              <w:rPr>
                <w:sz w:val="14"/>
                <w:szCs w:val="14"/>
              </w:rPr>
            </w:pPr>
            <w:r w:rsidRPr="00DE1460">
              <w:rPr>
                <w:sz w:val="14"/>
                <w:szCs w:val="14"/>
              </w:rPr>
              <w:t>Zdroj: ČNB</w:t>
            </w:r>
          </w:p>
          <w:p w:rsidR="00DD0726" w:rsidRPr="003C20C4" w:rsidRDefault="00DD0726" w:rsidP="008C0F87">
            <w:pPr>
              <w:pStyle w:val="Textpoznpodarou"/>
              <w:ind w:left="-124"/>
              <w:jc w:val="right"/>
              <w:rPr>
                <w:sz w:val="14"/>
                <w:szCs w:val="14"/>
              </w:rPr>
            </w:pPr>
          </w:p>
        </w:tc>
      </w:tr>
    </w:tbl>
    <w:p w:rsidR="008A03DE" w:rsidRPr="00CE7158" w:rsidRDefault="008A03DE" w:rsidP="00590320">
      <w:pPr>
        <w:pStyle w:val="Nadpis1"/>
        <w:ind w:left="709"/>
        <w:jc w:val="both"/>
        <w:rPr>
          <w:rFonts w:cs="Arial"/>
          <w:color w:val="000000"/>
          <w:sz w:val="10"/>
          <w:szCs w:val="10"/>
        </w:rPr>
      </w:pPr>
    </w:p>
    <w:sectPr w:rsidR="008A03DE" w:rsidRPr="00CE7158" w:rsidSect="00796BEE">
      <w:headerReference w:type="even" r:id="rId11"/>
      <w:headerReference w:type="default" r:id="rId12"/>
      <w:footerReference w:type="even" r:id="rId13"/>
      <w:footerReference w:type="default" r:id="rId14"/>
      <w:type w:val="continuous"/>
      <w:pgSz w:w="11906" w:h="16838" w:code="9"/>
      <w:pgMar w:top="1134" w:right="1134" w:bottom="1418" w:left="1134" w:header="680" w:footer="680"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04" w:rsidRDefault="00C51F04" w:rsidP="00E71A58">
      <w:r>
        <w:separator/>
      </w:r>
    </w:p>
  </w:endnote>
  <w:endnote w:type="continuationSeparator" w:id="0">
    <w:p w:rsidR="00C51F04" w:rsidRDefault="00C51F04"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6C" w:rsidRDefault="00F23F6C"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7151C1" w:rsidRPr="005A21E0">
      <w:rPr>
        <w:rFonts w:ascii="Arial" w:hAnsi="Arial" w:cs="Arial"/>
        <w:sz w:val="16"/>
        <w:szCs w:val="16"/>
      </w:rPr>
      <w:fldChar w:fldCharType="begin"/>
    </w:r>
    <w:r w:rsidRPr="005A21E0">
      <w:rPr>
        <w:rFonts w:ascii="Arial" w:hAnsi="Arial" w:cs="Arial"/>
        <w:sz w:val="16"/>
        <w:szCs w:val="16"/>
      </w:rPr>
      <w:instrText>PAGE   \* MERGEFORMAT</w:instrText>
    </w:r>
    <w:r w:rsidR="007151C1" w:rsidRPr="005A21E0">
      <w:rPr>
        <w:rFonts w:ascii="Arial" w:hAnsi="Arial" w:cs="Arial"/>
        <w:sz w:val="16"/>
        <w:szCs w:val="16"/>
      </w:rPr>
      <w:fldChar w:fldCharType="separate"/>
    </w:r>
    <w:r w:rsidR="00590320">
      <w:rPr>
        <w:rFonts w:ascii="Arial" w:hAnsi="Arial" w:cs="Arial"/>
        <w:noProof/>
        <w:sz w:val="16"/>
        <w:szCs w:val="16"/>
      </w:rPr>
      <w:t>24</w:t>
    </w:r>
    <w:r w:rsidR="007151C1"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6C" w:rsidRDefault="00F23F6C"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F23F6C" w:rsidRPr="00223E00" w:rsidRDefault="00F23F6C"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7151C1"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151C1" w:rsidRPr="00223E00">
      <w:rPr>
        <w:rFonts w:ascii="Arial" w:hAnsi="Arial" w:cs="Arial"/>
        <w:sz w:val="16"/>
        <w:szCs w:val="16"/>
      </w:rPr>
      <w:fldChar w:fldCharType="separate"/>
    </w:r>
    <w:r w:rsidR="00590320">
      <w:rPr>
        <w:rFonts w:ascii="Arial" w:hAnsi="Arial" w:cs="Arial"/>
        <w:noProof/>
        <w:sz w:val="16"/>
        <w:szCs w:val="16"/>
      </w:rPr>
      <w:t>23</w:t>
    </w:r>
    <w:r w:rsidR="007151C1"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04" w:rsidRDefault="00C51F04" w:rsidP="00E71A58">
      <w:r>
        <w:separator/>
      </w:r>
    </w:p>
  </w:footnote>
  <w:footnote w:type="continuationSeparator" w:id="0">
    <w:p w:rsidR="00C51F04" w:rsidRDefault="00C51F04" w:rsidP="00E71A58">
      <w:r>
        <w:continuationSeparator/>
      </w:r>
    </w:p>
  </w:footnote>
  <w:footnote w:id="1">
    <w:p w:rsidR="00DD0726" w:rsidRPr="007E12C1" w:rsidRDefault="00DD0726" w:rsidP="00DD0726">
      <w:pPr>
        <w:pStyle w:val="Textpoznpodarou"/>
        <w:rPr>
          <w:sz w:val="16"/>
          <w:szCs w:val="16"/>
        </w:rPr>
      </w:pPr>
      <w:r w:rsidRPr="007E12C1">
        <w:rPr>
          <w:rStyle w:val="Znakapoznpodarou"/>
          <w:sz w:val="16"/>
          <w:szCs w:val="16"/>
        </w:rPr>
        <w:footnoteRef/>
      </w:r>
      <w:r w:rsidRPr="007E12C1">
        <w:rPr>
          <w:sz w:val="16"/>
          <w:szCs w:val="16"/>
        </w:rPr>
        <w:t xml:space="preserve"> Údaje ČNB. Není-li uvedeno jinak, jsou veškeré údaje v této kapitole převzaty z databáze ARAD České národní banky.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6C" w:rsidRPr="00C00831" w:rsidRDefault="00F23F6C" w:rsidP="00D766EF">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pololetí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6C" w:rsidRPr="0030768C" w:rsidRDefault="00F23F6C" w:rsidP="0030768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pololetí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E458A34C"/>
    <w:lvl w:ilvl="0" w:tplc="B0F887A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6"/>
  </w:num>
  <w:num w:numId="2">
    <w:abstractNumId w:val="22"/>
  </w:num>
  <w:num w:numId="3">
    <w:abstractNumId w:val="12"/>
  </w:num>
  <w:num w:numId="4">
    <w:abstractNumId w:val="20"/>
  </w:num>
  <w:num w:numId="5">
    <w:abstractNumId w:val="14"/>
  </w:num>
  <w:num w:numId="6">
    <w:abstractNumId w:val="17"/>
  </w:num>
  <w:num w:numId="7">
    <w:abstractNumId w:val="5"/>
  </w:num>
  <w:num w:numId="8">
    <w:abstractNumId w:val="10"/>
  </w:num>
  <w:num w:numId="9">
    <w:abstractNumId w:val="19"/>
  </w:num>
  <w:num w:numId="10">
    <w:abstractNumId w:val="4"/>
  </w:num>
  <w:num w:numId="11">
    <w:abstractNumId w:val="8"/>
  </w:num>
  <w:num w:numId="12">
    <w:abstractNumId w:val="2"/>
  </w:num>
  <w:num w:numId="13">
    <w:abstractNumId w:val="7"/>
  </w:num>
  <w:num w:numId="14">
    <w:abstractNumId w:val="0"/>
  </w:num>
  <w:num w:numId="15">
    <w:abstractNumId w:val="18"/>
  </w:num>
  <w:num w:numId="16">
    <w:abstractNumId w:val="15"/>
  </w:num>
  <w:num w:numId="17">
    <w:abstractNumId w:val="6"/>
  </w:num>
  <w:num w:numId="18">
    <w:abstractNumId w:val="21"/>
  </w:num>
  <w:num w:numId="19">
    <w:abstractNumId w:val="9"/>
  </w:num>
  <w:num w:numId="20">
    <w:abstractNumId w:val="1"/>
  </w:num>
  <w:num w:numId="21">
    <w:abstractNumId w:val="11"/>
  </w:num>
  <w:num w:numId="22">
    <w:abstractNumId w:val="13"/>
  </w:num>
  <w:num w:numId="2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9B70BD"/>
    <w:rsid w:val="00000FA7"/>
    <w:rsid w:val="00001EFF"/>
    <w:rsid w:val="00003687"/>
    <w:rsid w:val="00003C43"/>
    <w:rsid w:val="00004C5D"/>
    <w:rsid w:val="00004EB0"/>
    <w:rsid w:val="00007498"/>
    <w:rsid w:val="0000767A"/>
    <w:rsid w:val="000101F5"/>
    <w:rsid w:val="000104B9"/>
    <w:rsid w:val="00010702"/>
    <w:rsid w:val="00010770"/>
    <w:rsid w:val="00010982"/>
    <w:rsid w:val="00011191"/>
    <w:rsid w:val="0001159B"/>
    <w:rsid w:val="000117CA"/>
    <w:rsid w:val="00012986"/>
    <w:rsid w:val="00014028"/>
    <w:rsid w:val="00015195"/>
    <w:rsid w:val="0001519F"/>
    <w:rsid w:val="0001572B"/>
    <w:rsid w:val="0001573E"/>
    <w:rsid w:val="000157DA"/>
    <w:rsid w:val="0001589D"/>
    <w:rsid w:val="00016033"/>
    <w:rsid w:val="000162DB"/>
    <w:rsid w:val="00017F05"/>
    <w:rsid w:val="000202C6"/>
    <w:rsid w:val="00020315"/>
    <w:rsid w:val="000208B1"/>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5CCF"/>
    <w:rsid w:val="00035FC6"/>
    <w:rsid w:val="0003705E"/>
    <w:rsid w:val="00037667"/>
    <w:rsid w:val="0003780E"/>
    <w:rsid w:val="0004075D"/>
    <w:rsid w:val="000411E1"/>
    <w:rsid w:val="00041E9C"/>
    <w:rsid w:val="00042EC6"/>
    <w:rsid w:val="00043C68"/>
    <w:rsid w:val="00043E05"/>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4256"/>
    <w:rsid w:val="000706A4"/>
    <w:rsid w:val="00070A0C"/>
    <w:rsid w:val="00071F80"/>
    <w:rsid w:val="00072118"/>
    <w:rsid w:val="00073173"/>
    <w:rsid w:val="0007324C"/>
    <w:rsid w:val="000779AC"/>
    <w:rsid w:val="00080A41"/>
    <w:rsid w:val="00080AA8"/>
    <w:rsid w:val="00081851"/>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73B6"/>
    <w:rsid w:val="00097BFC"/>
    <w:rsid w:val="00097D02"/>
    <w:rsid w:val="000A1183"/>
    <w:rsid w:val="000A2121"/>
    <w:rsid w:val="000A2484"/>
    <w:rsid w:val="000A2929"/>
    <w:rsid w:val="000A36CE"/>
    <w:rsid w:val="000A59BF"/>
    <w:rsid w:val="000A66C2"/>
    <w:rsid w:val="000A68A7"/>
    <w:rsid w:val="000B1CFE"/>
    <w:rsid w:val="000B210A"/>
    <w:rsid w:val="000B249B"/>
    <w:rsid w:val="000B2ADE"/>
    <w:rsid w:val="000B3B01"/>
    <w:rsid w:val="000B3DB9"/>
    <w:rsid w:val="000B3F02"/>
    <w:rsid w:val="000B48A2"/>
    <w:rsid w:val="000B48E7"/>
    <w:rsid w:val="000B4F41"/>
    <w:rsid w:val="000B7663"/>
    <w:rsid w:val="000C1106"/>
    <w:rsid w:val="000C11D3"/>
    <w:rsid w:val="000C12F5"/>
    <w:rsid w:val="000C3408"/>
    <w:rsid w:val="000C54AF"/>
    <w:rsid w:val="000C57C5"/>
    <w:rsid w:val="000C5C0F"/>
    <w:rsid w:val="000C5D56"/>
    <w:rsid w:val="000C60D8"/>
    <w:rsid w:val="000C6498"/>
    <w:rsid w:val="000D0B22"/>
    <w:rsid w:val="000D0D51"/>
    <w:rsid w:val="000D14B3"/>
    <w:rsid w:val="000D1BFB"/>
    <w:rsid w:val="000D1F52"/>
    <w:rsid w:val="000D208B"/>
    <w:rsid w:val="000D263E"/>
    <w:rsid w:val="000D2B8D"/>
    <w:rsid w:val="000D2E41"/>
    <w:rsid w:val="000D342A"/>
    <w:rsid w:val="000D43CB"/>
    <w:rsid w:val="000D5E7A"/>
    <w:rsid w:val="000D5FAA"/>
    <w:rsid w:val="000D65A4"/>
    <w:rsid w:val="000D6AEF"/>
    <w:rsid w:val="000D7414"/>
    <w:rsid w:val="000E025B"/>
    <w:rsid w:val="000E0ECB"/>
    <w:rsid w:val="000E153A"/>
    <w:rsid w:val="000E19A8"/>
    <w:rsid w:val="000E1EEA"/>
    <w:rsid w:val="000E4241"/>
    <w:rsid w:val="000E4A42"/>
    <w:rsid w:val="000E6184"/>
    <w:rsid w:val="000E6476"/>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8CF"/>
    <w:rsid w:val="00102CB8"/>
    <w:rsid w:val="00102F02"/>
    <w:rsid w:val="0010385D"/>
    <w:rsid w:val="00103E41"/>
    <w:rsid w:val="001041B6"/>
    <w:rsid w:val="001070EA"/>
    <w:rsid w:val="0011002A"/>
    <w:rsid w:val="001107CE"/>
    <w:rsid w:val="001109F0"/>
    <w:rsid w:val="0011110A"/>
    <w:rsid w:val="001118AF"/>
    <w:rsid w:val="00111CA5"/>
    <w:rsid w:val="0011256E"/>
    <w:rsid w:val="0011352E"/>
    <w:rsid w:val="0011365A"/>
    <w:rsid w:val="00114FC0"/>
    <w:rsid w:val="00115496"/>
    <w:rsid w:val="00116DB9"/>
    <w:rsid w:val="00116F28"/>
    <w:rsid w:val="00117CE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4DFD"/>
    <w:rsid w:val="00136561"/>
    <w:rsid w:val="00136AE8"/>
    <w:rsid w:val="001400E1"/>
    <w:rsid w:val="001405FA"/>
    <w:rsid w:val="001413B3"/>
    <w:rsid w:val="001425C3"/>
    <w:rsid w:val="00142F16"/>
    <w:rsid w:val="00143E03"/>
    <w:rsid w:val="00143E93"/>
    <w:rsid w:val="00143FA3"/>
    <w:rsid w:val="0014428D"/>
    <w:rsid w:val="0014731B"/>
    <w:rsid w:val="00147E55"/>
    <w:rsid w:val="001500FC"/>
    <w:rsid w:val="00151AC0"/>
    <w:rsid w:val="00151B27"/>
    <w:rsid w:val="00152046"/>
    <w:rsid w:val="00152488"/>
    <w:rsid w:val="00152E53"/>
    <w:rsid w:val="00154147"/>
    <w:rsid w:val="001550F3"/>
    <w:rsid w:val="00155746"/>
    <w:rsid w:val="00156318"/>
    <w:rsid w:val="0015639A"/>
    <w:rsid w:val="0016081D"/>
    <w:rsid w:val="00160CF3"/>
    <w:rsid w:val="00160E61"/>
    <w:rsid w:val="00161300"/>
    <w:rsid w:val="001620FA"/>
    <w:rsid w:val="00162853"/>
    <w:rsid w:val="00163793"/>
    <w:rsid w:val="00167FB2"/>
    <w:rsid w:val="001707DE"/>
    <w:rsid w:val="00170B04"/>
    <w:rsid w:val="00170F47"/>
    <w:rsid w:val="001711F2"/>
    <w:rsid w:val="001714F2"/>
    <w:rsid w:val="001718C2"/>
    <w:rsid w:val="00173642"/>
    <w:rsid w:val="00173AF4"/>
    <w:rsid w:val="00173CB0"/>
    <w:rsid w:val="00174CE8"/>
    <w:rsid w:val="00174E7D"/>
    <w:rsid w:val="001752CB"/>
    <w:rsid w:val="00175351"/>
    <w:rsid w:val="00175F60"/>
    <w:rsid w:val="00176050"/>
    <w:rsid w:val="001764D8"/>
    <w:rsid w:val="00176A8F"/>
    <w:rsid w:val="00180D58"/>
    <w:rsid w:val="00181938"/>
    <w:rsid w:val="00182981"/>
    <w:rsid w:val="00184CF9"/>
    <w:rsid w:val="00185010"/>
    <w:rsid w:val="001852EC"/>
    <w:rsid w:val="00186447"/>
    <w:rsid w:val="001874CF"/>
    <w:rsid w:val="00190214"/>
    <w:rsid w:val="00190D9B"/>
    <w:rsid w:val="00191BAE"/>
    <w:rsid w:val="00193432"/>
    <w:rsid w:val="0019346C"/>
    <w:rsid w:val="00194AE3"/>
    <w:rsid w:val="00195335"/>
    <w:rsid w:val="00195444"/>
    <w:rsid w:val="0019579E"/>
    <w:rsid w:val="00197806"/>
    <w:rsid w:val="001A199D"/>
    <w:rsid w:val="001A2855"/>
    <w:rsid w:val="001A2BDB"/>
    <w:rsid w:val="001A30F4"/>
    <w:rsid w:val="001A47AB"/>
    <w:rsid w:val="001A4C0D"/>
    <w:rsid w:val="001A552F"/>
    <w:rsid w:val="001A56F3"/>
    <w:rsid w:val="001A737B"/>
    <w:rsid w:val="001A750C"/>
    <w:rsid w:val="001B1D89"/>
    <w:rsid w:val="001B2143"/>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E0E"/>
    <w:rsid w:val="001C0E66"/>
    <w:rsid w:val="001C0EB9"/>
    <w:rsid w:val="001C1219"/>
    <w:rsid w:val="001C357A"/>
    <w:rsid w:val="001C3961"/>
    <w:rsid w:val="001C3A37"/>
    <w:rsid w:val="001C4384"/>
    <w:rsid w:val="001C55F5"/>
    <w:rsid w:val="001C65FF"/>
    <w:rsid w:val="001C6747"/>
    <w:rsid w:val="001D3787"/>
    <w:rsid w:val="001D47E5"/>
    <w:rsid w:val="001D584C"/>
    <w:rsid w:val="001D5E1B"/>
    <w:rsid w:val="001D66C1"/>
    <w:rsid w:val="001D6EF6"/>
    <w:rsid w:val="001D7C6F"/>
    <w:rsid w:val="001E0024"/>
    <w:rsid w:val="001E0C65"/>
    <w:rsid w:val="001E23E3"/>
    <w:rsid w:val="001E29AF"/>
    <w:rsid w:val="001E387A"/>
    <w:rsid w:val="001E3DA4"/>
    <w:rsid w:val="001E5469"/>
    <w:rsid w:val="001E5830"/>
    <w:rsid w:val="001E684C"/>
    <w:rsid w:val="001E701C"/>
    <w:rsid w:val="001E7552"/>
    <w:rsid w:val="001E7C03"/>
    <w:rsid w:val="001F02AF"/>
    <w:rsid w:val="001F0649"/>
    <w:rsid w:val="001F28F4"/>
    <w:rsid w:val="001F2902"/>
    <w:rsid w:val="001F2CC6"/>
    <w:rsid w:val="001F3055"/>
    <w:rsid w:val="001F31BC"/>
    <w:rsid w:val="001F378E"/>
    <w:rsid w:val="001F3C79"/>
    <w:rsid w:val="001F3E68"/>
    <w:rsid w:val="001F4597"/>
    <w:rsid w:val="001F56A9"/>
    <w:rsid w:val="001F5C6A"/>
    <w:rsid w:val="001F63A7"/>
    <w:rsid w:val="001F670A"/>
    <w:rsid w:val="00200D15"/>
    <w:rsid w:val="0020223B"/>
    <w:rsid w:val="0020294A"/>
    <w:rsid w:val="00203074"/>
    <w:rsid w:val="00203B09"/>
    <w:rsid w:val="00203B46"/>
    <w:rsid w:val="00203FCB"/>
    <w:rsid w:val="002048E1"/>
    <w:rsid w:val="002070AB"/>
    <w:rsid w:val="00207DB6"/>
    <w:rsid w:val="00210278"/>
    <w:rsid w:val="00210CC2"/>
    <w:rsid w:val="00210F5B"/>
    <w:rsid w:val="00210FFA"/>
    <w:rsid w:val="00211262"/>
    <w:rsid w:val="0021139C"/>
    <w:rsid w:val="002115F5"/>
    <w:rsid w:val="00211AC9"/>
    <w:rsid w:val="0021329E"/>
    <w:rsid w:val="0021355B"/>
    <w:rsid w:val="00215061"/>
    <w:rsid w:val="0021507A"/>
    <w:rsid w:val="0021552C"/>
    <w:rsid w:val="00215A2C"/>
    <w:rsid w:val="00216351"/>
    <w:rsid w:val="00217980"/>
    <w:rsid w:val="002179F9"/>
    <w:rsid w:val="002205F2"/>
    <w:rsid w:val="0022080E"/>
    <w:rsid w:val="00220895"/>
    <w:rsid w:val="00220B20"/>
    <w:rsid w:val="0022139E"/>
    <w:rsid w:val="0022272B"/>
    <w:rsid w:val="00222A99"/>
    <w:rsid w:val="00223678"/>
    <w:rsid w:val="002236F7"/>
    <w:rsid w:val="00223E00"/>
    <w:rsid w:val="002252E0"/>
    <w:rsid w:val="002255F6"/>
    <w:rsid w:val="00225F36"/>
    <w:rsid w:val="00226466"/>
    <w:rsid w:val="002266D0"/>
    <w:rsid w:val="00226887"/>
    <w:rsid w:val="00227991"/>
    <w:rsid w:val="00230DAD"/>
    <w:rsid w:val="0023229C"/>
    <w:rsid w:val="0023301B"/>
    <w:rsid w:val="002334DF"/>
    <w:rsid w:val="0023355C"/>
    <w:rsid w:val="00234280"/>
    <w:rsid w:val="00234DD5"/>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609"/>
    <w:rsid w:val="00252FDC"/>
    <w:rsid w:val="002532E2"/>
    <w:rsid w:val="00253E11"/>
    <w:rsid w:val="00254B3B"/>
    <w:rsid w:val="002550D8"/>
    <w:rsid w:val="00257613"/>
    <w:rsid w:val="00261A0F"/>
    <w:rsid w:val="00261E5B"/>
    <w:rsid w:val="00262F34"/>
    <w:rsid w:val="002633E5"/>
    <w:rsid w:val="00263470"/>
    <w:rsid w:val="00263733"/>
    <w:rsid w:val="00264676"/>
    <w:rsid w:val="00265536"/>
    <w:rsid w:val="00265E54"/>
    <w:rsid w:val="00266F3E"/>
    <w:rsid w:val="00270785"/>
    <w:rsid w:val="00272464"/>
    <w:rsid w:val="00272B0B"/>
    <w:rsid w:val="00272CC5"/>
    <w:rsid w:val="00273C60"/>
    <w:rsid w:val="00273DCD"/>
    <w:rsid w:val="00274291"/>
    <w:rsid w:val="00276C09"/>
    <w:rsid w:val="00276CFE"/>
    <w:rsid w:val="00277071"/>
    <w:rsid w:val="0027786C"/>
    <w:rsid w:val="00277BF7"/>
    <w:rsid w:val="00281416"/>
    <w:rsid w:val="00282084"/>
    <w:rsid w:val="00283C61"/>
    <w:rsid w:val="00284C6F"/>
    <w:rsid w:val="00285CD3"/>
    <w:rsid w:val="0028633E"/>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DA"/>
    <w:rsid w:val="002A7F47"/>
    <w:rsid w:val="002B1544"/>
    <w:rsid w:val="002B1DC1"/>
    <w:rsid w:val="002B36C8"/>
    <w:rsid w:val="002B385B"/>
    <w:rsid w:val="002B6B7A"/>
    <w:rsid w:val="002B71B4"/>
    <w:rsid w:val="002B7240"/>
    <w:rsid w:val="002B7937"/>
    <w:rsid w:val="002C0FF4"/>
    <w:rsid w:val="002C125A"/>
    <w:rsid w:val="002C2668"/>
    <w:rsid w:val="002C43BD"/>
    <w:rsid w:val="002C493D"/>
    <w:rsid w:val="002C5261"/>
    <w:rsid w:val="002C6091"/>
    <w:rsid w:val="002C63C1"/>
    <w:rsid w:val="002D0562"/>
    <w:rsid w:val="002D1B5A"/>
    <w:rsid w:val="002D2500"/>
    <w:rsid w:val="002D338A"/>
    <w:rsid w:val="002D3F00"/>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4217"/>
    <w:rsid w:val="002E435E"/>
    <w:rsid w:val="002E73F2"/>
    <w:rsid w:val="002F33FB"/>
    <w:rsid w:val="002F663A"/>
    <w:rsid w:val="002F68A4"/>
    <w:rsid w:val="002F7594"/>
    <w:rsid w:val="002F7902"/>
    <w:rsid w:val="003003E7"/>
    <w:rsid w:val="00300D6F"/>
    <w:rsid w:val="00301357"/>
    <w:rsid w:val="0030192C"/>
    <w:rsid w:val="00301D04"/>
    <w:rsid w:val="003035D4"/>
    <w:rsid w:val="00303A3C"/>
    <w:rsid w:val="00303DCB"/>
    <w:rsid w:val="00304771"/>
    <w:rsid w:val="00304E6C"/>
    <w:rsid w:val="00305736"/>
    <w:rsid w:val="00305C33"/>
    <w:rsid w:val="00306C5B"/>
    <w:rsid w:val="00306E3B"/>
    <w:rsid w:val="0030768C"/>
    <w:rsid w:val="00310AD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6D1"/>
    <w:rsid w:val="00327DEE"/>
    <w:rsid w:val="003302DA"/>
    <w:rsid w:val="00330EB0"/>
    <w:rsid w:val="00331574"/>
    <w:rsid w:val="0033229B"/>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482"/>
    <w:rsid w:val="00352E57"/>
    <w:rsid w:val="003541B0"/>
    <w:rsid w:val="0035457E"/>
    <w:rsid w:val="00355885"/>
    <w:rsid w:val="00355CAA"/>
    <w:rsid w:val="0035605E"/>
    <w:rsid w:val="00356244"/>
    <w:rsid w:val="00357449"/>
    <w:rsid w:val="00357C28"/>
    <w:rsid w:val="00361F76"/>
    <w:rsid w:val="0036238B"/>
    <w:rsid w:val="00362408"/>
    <w:rsid w:val="003630B0"/>
    <w:rsid w:val="00364087"/>
    <w:rsid w:val="003649FC"/>
    <w:rsid w:val="003651A4"/>
    <w:rsid w:val="00365680"/>
    <w:rsid w:val="003657F3"/>
    <w:rsid w:val="00366D4D"/>
    <w:rsid w:val="00366F77"/>
    <w:rsid w:val="00367038"/>
    <w:rsid w:val="003670FE"/>
    <w:rsid w:val="0036710C"/>
    <w:rsid w:val="00370963"/>
    <w:rsid w:val="0037144E"/>
    <w:rsid w:val="00372272"/>
    <w:rsid w:val="0037290D"/>
    <w:rsid w:val="003736B5"/>
    <w:rsid w:val="00374F1E"/>
    <w:rsid w:val="003750CF"/>
    <w:rsid w:val="003769F0"/>
    <w:rsid w:val="00376DEC"/>
    <w:rsid w:val="00377200"/>
    <w:rsid w:val="00377666"/>
    <w:rsid w:val="0038034A"/>
    <w:rsid w:val="00380E04"/>
    <w:rsid w:val="00380E6C"/>
    <w:rsid w:val="00383227"/>
    <w:rsid w:val="003839C9"/>
    <w:rsid w:val="0038422D"/>
    <w:rsid w:val="00384D8F"/>
    <w:rsid w:val="003857A2"/>
    <w:rsid w:val="00385D98"/>
    <w:rsid w:val="00385EC5"/>
    <w:rsid w:val="0038658E"/>
    <w:rsid w:val="003875C2"/>
    <w:rsid w:val="0039066E"/>
    <w:rsid w:val="00391C95"/>
    <w:rsid w:val="00392110"/>
    <w:rsid w:val="00393D74"/>
    <w:rsid w:val="003948D7"/>
    <w:rsid w:val="00394D49"/>
    <w:rsid w:val="00396DAC"/>
    <w:rsid w:val="003971D0"/>
    <w:rsid w:val="003A0214"/>
    <w:rsid w:val="003A027D"/>
    <w:rsid w:val="003A1D74"/>
    <w:rsid w:val="003A2B4D"/>
    <w:rsid w:val="003A2D2B"/>
    <w:rsid w:val="003A2DD4"/>
    <w:rsid w:val="003A3982"/>
    <w:rsid w:val="003A3B1C"/>
    <w:rsid w:val="003A4088"/>
    <w:rsid w:val="003A478C"/>
    <w:rsid w:val="003A4F82"/>
    <w:rsid w:val="003A5525"/>
    <w:rsid w:val="003A6B38"/>
    <w:rsid w:val="003B2142"/>
    <w:rsid w:val="003B2580"/>
    <w:rsid w:val="003B293F"/>
    <w:rsid w:val="003B2E63"/>
    <w:rsid w:val="003B3189"/>
    <w:rsid w:val="003B3A9D"/>
    <w:rsid w:val="003B3DDD"/>
    <w:rsid w:val="003B5031"/>
    <w:rsid w:val="003B5A32"/>
    <w:rsid w:val="003B6105"/>
    <w:rsid w:val="003C03CC"/>
    <w:rsid w:val="003C04C4"/>
    <w:rsid w:val="003C08E2"/>
    <w:rsid w:val="003C0B96"/>
    <w:rsid w:val="003C26F4"/>
    <w:rsid w:val="003C3686"/>
    <w:rsid w:val="003C3E2C"/>
    <w:rsid w:val="003C4852"/>
    <w:rsid w:val="003C5BC7"/>
    <w:rsid w:val="003C601E"/>
    <w:rsid w:val="003C66C4"/>
    <w:rsid w:val="003C6DB9"/>
    <w:rsid w:val="003D2393"/>
    <w:rsid w:val="003D2C4E"/>
    <w:rsid w:val="003D3600"/>
    <w:rsid w:val="003D3825"/>
    <w:rsid w:val="003D3EC4"/>
    <w:rsid w:val="003D44E2"/>
    <w:rsid w:val="003D4760"/>
    <w:rsid w:val="003D49DC"/>
    <w:rsid w:val="003D4DD9"/>
    <w:rsid w:val="003D4FB5"/>
    <w:rsid w:val="003D59BE"/>
    <w:rsid w:val="003D5D7A"/>
    <w:rsid w:val="003D5E4B"/>
    <w:rsid w:val="003D653F"/>
    <w:rsid w:val="003D6B55"/>
    <w:rsid w:val="003E0663"/>
    <w:rsid w:val="003E133F"/>
    <w:rsid w:val="003E49F6"/>
    <w:rsid w:val="003E699C"/>
    <w:rsid w:val="003E69F3"/>
    <w:rsid w:val="003E782E"/>
    <w:rsid w:val="003E7A0B"/>
    <w:rsid w:val="003E7B2B"/>
    <w:rsid w:val="003F0293"/>
    <w:rsid w:val="003F116D"/>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D19"/>
    <w:rsid w:val="004000D5"/>
    <w:rsid w:val="00400244"/>
    <w:rsid w:val="004005C1"/>
    <w:rsid w:val="00400BBD"/>
    <w:rsid w:val="00401716"/>
    <w:rsid w:val="004018F7"/>
    <w:rsid w:val="00401A09"/>
    <w:rsid w:val="0040273A"/>
    <w:rsid w:val="00402C25"/>
    <w:rsid w:val="004036FB"/>
    <w:rsid w:val="004050D7"/>
    <w:rsid w:val="004078BD"/>
    <w:rsid w:val="00410132"/>
    <w:rsid w:val="004104E4"/>
    <w:rsid w:val="00410A97"/>
    <w:rsid w:val="00410BCD"/>
    <w:rsid w:val="00410DE5"/>
    <w:rsid w:val="0041175D"/>
    <w:rsid w:val="004117CE"/>
    <w:rsid w:val="004123BE"/>
    <w:rsid w:val="00414CE5"/>
    <w:rsid w:val="00416673"/>
    <w:rsid w:val="0042160D"/>
    <w:rsid w:val="00423A3C"/>
    <w:rsid w:val="00423C04"/>
    <w:rsid w:val="00424D9B"/>
    <w:rsid w:val="0042681B"/>
    <w:rsid w:val="00427193"/>
    <w:rsid w:val="0043068A"/>
    <w:rsid w:val="004306E0"/>
    <w:rsid w:val="00431D54"/>
    <w:rsid w:val="00431F98"/>
    <w:rsid w:val="004329BE"/>
    <w:rsid w:val="00432C38"/>
    <w:rsid w:val="004342EC"/>
    <w:rsid w:val="00437C76"/>
    <w:rsid w:val="00437F4A"/>
    <w:rsid w:val="0044105C"/>
    <w:rsid w:val="00442197"/>
    <w:rsid w:val="00443E95"/>
    <w:rsid w:val="004441A0"/>
    <w:rsid w:val="00444268"/>
    <w:rsid w:val="00444326"/>
    <w:rsid w:val="004443BF"/>
    <w:rsid w:val="00444C19"/>
    <w:rsid w:val="00445218"/>
    <w:rsid w:val="00445CDD"/>
    <w:rsid w:val="00446892"/>
    <w:rsid w:val="00447267"/>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0C7"/>
    <w:rsid w:val="004629FD"/>
    <w:rsid w:val="00462AD2"/>
    <w:rsid w:val="00463B4B"/>
    <w:rsid w:val="00463F4D"/>
    <w:rsid w:val="00464658"/>
    <w:rsid w:val="0046471F"/>
    <w:rsid w:val="00464BE8"/>
    <w:rsid w:val="00465019"/>
    <w:rsid w:val="00465FA4"/>
    <w:rsid w:val="0046613F"/>
    <w:rsid w:val="0046655D"/>
    <w:rsid w:val="00466808"/>
    <w:rsid w:val="00466AAE"/>
    <w:rsid w:val="0046765E"/>
    <w:rsid w:val="004676E2"/>
    <w:rsid w:val="00471EDD"/>
    <w:rsid w:val="00473E94"/>
    <w:rsid w:val="0047400C"/>
    <w:rsid w:val="00474471"/>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F81"/>
    <w:rsid w:val="00490082"/>
    <w:rsid w:val="00490247"/>
    <w:rsid w:val="0049104F"/>
    <w:rsid w:val="00491218"/>
    <w:rsid w:val="00491CFD"/>
    <w:rsid w:val="00492991"/>
    <w:rsid w:val="00493362"/>
    <w:rsid w:val="00494343"/>
    <w:rsid w:val="00494AAB"/>
    <w:rsid w:val="00496C2F"/>
    <w:rsid w:val="0049740D"/>
    <w:rsid w:val="004978D3"/>
    <w:rsid w:val="004A06A6"/>
    <w:rsid w:val="004A11F8"/>
    <w:rsid w:val="004A22BD"/>
    <w:rsid w:val="004A22FA"/>
    <w:rsid w:val="004A269A"/>
    <w:rsid w:val="004A26AF"/>
    <w:rsid w:val="004A26DB"/>
    <w:rsid w:val="004A30FB"/>
    <w:rsid w:val="004A35DD"/>
    <w:rsid w:val="004A37D3"/>
    <w:rsid w:val="004A3AD6"/>
    <w:rsid w:val="004A3BCE"/>
    <w:rsid w:val="004A5865"/>
    <w:rsid w:val="004A7670"/>
    <w:rsid w:val="004A77DF"/>
    <w:rsid w:val="004B0295"/>
    <w:rsid w:val="004B0803"/>
    <w:rsid w:val="004B10A8"/>
    <w:rsid w:val="004B1F58"/>
    <w:rsid w:val="004B1F9D"/>
    <w:rsid w:val="004B22DA"/>
    <w:rsid w:val="004B3CB7"/>
    <w:rsid w:val="004B3D55"/>
    <w:rsid w:val="004B55B7"/>
    <w:rsid w:val="004B5836"/>
    <w:rsid w:val="004B5F05"/>
    <w:rsid w:val="004C00A6"/>
    <w:rsid w:val="004C0243"/>
    <w:rsid w:val="004C0BBB"/>
    <w:rsid w:val="004C1AD6"/>
    <w:rsid w:val="004C1B86"/>
    <w:rsid w:val="004C1DEE"/>
    <w:rsid w:val="004C3382"/>
    <w:rsid w:val="004C3867"/>
    <w:rsid w:val="004C4AB7"/>
    <w:rsid w:val="004C4B88"/>
    <w:rsid w:val="004C4CD0"/>
    <w:rsid w:val="004C57B5"/>
    <w:rsid w:val="004C5C25"/>
    <w:rsid w:val="004C6717"/>
    <w:rsid w:val="004C6CFF"/>
    <w:rsid w:val="004C70DC"/>
    <w:rsid w:val="004C7268"/>
    <w:rsid w:val="004C7C50"/>
    <w:rsid w:val="004D0211"/>
    <w:rsid w:val="004D1C9C"/>
    <w:rsid w:val="004D2A0E"/>
    <w:rsid w:val="004D458D"/>
    <w:rsid w:val="004D4F13"/>
    <w:rsid w:val="004D504B"/>
    <w:rsid w:val="004D536E"/>
    <w:rsid w:val="004D58CE"/>
    <w:rsid w:val="004D70B1"/>
    <w:rsid w:val="004D76CC"/>
    <w:rsid w:val="004E1415"/>
    <w:rsid w:val="004E1839"/>
    <w:rsid w:val="004E4A75"/>
    <w:rsid w:val="004E541A"/>
    <w:rsid w:val="004E5A5C"/>
    <w:rsid w:val="004E7007"/>
    <w:rsid w:val="004E76D6"/>
    <w:rsid w:val="004E7F57"/>
    <w:rsid w:val="004F06F5"/>
    <w:rsid w:val="004F191F"/>
    <w:rsid w:val="004F2A4D"/>
    <w:rsid w:val="004F2A73"/>
    <w:rsid w:val="004F33A0"/>
    <w:rsid w:val="004F353A"/>
    <w:rsid w:val="004F4353"/>
    <w:rsid w:val="004F447D"/>
    <w:rsid w:val="004F4C28"/>
    <w:rsid w:val="004F4E82"/>
    <w:rsid w:val="004F5470"/>
    <w:rsid w:val="004F5CC5"/>
    <w:rsid w:val="004F6350"/>
    <w:rsid w:val="004F7170"/>
    <w:rsid w:val="005028E1"/>
    <w:rsid w:val="00505989"/>
    <w:rsid w:val="00506309"/>
    <w:rsid w:val="0050692E"/>
    <w:rsid w:val="00507040"/>
    <w:rsid w:val="005079F8"/>
    <w:rsid w:val="00510189"/>
    <w:rsid w:val="005108C0"/>
    <w:rsid w:val="00511873"/>
    <w:rsid w:val="00512603"/>
    <w:rsid w:val="00512CC5"/>
    <w:rsid w:val="0051367B"/>
    <w:rsid w:val="00513A89"/>
    <w:rsid w:val="00513B7E"/>
    <w:rsid w:val="005140DE"/>
    <w:rsid w:val="00514474"/>
    <w:rsid w:val="005147E9"/>
    <w:rsid w:val="0051507D"/>
    <w:rsid w:val="0051593C"/>
    <w:rsid w:val="00517567"/>
    <w:rsid w:val="0051778E"/>
    <w:rsid w:val="005215EF"/>
    <w:rsid w:val="00524637"/>
    <w:rsid w:val="00524FDD"/>
    <w:rsid w:val="00525137"/>
    <w:rsid w:val="005251DD"/>
    <w:rsid w:val="00526DB6"/>
    <w:rsid w:val="0053017A"/>
    <w:rsid w:val="00530492"/>
    <w:rsid w:val="005308E4"/>
    <w:rsid w:val="005325A8"/>
    <w:rsid w:val="00532854"/>
    <w:rsid w:val="005350F2"/>
    <w:rsid w:val="00535152"/>
    <w:rsid w:val="00535359"/>
    <w:rsid w:val="005357A2"/>
    <w:rsid w:val="005359E3"/>
    <w:rsid w:val="00535D87"/>
    <w:rsid w:val="00535EF0"/>
    <w:rsid w:val="00535F78"/>
    <w:rsid w:val="005363DF"/>
    <w:rsid w:val="0053734B"/>
    <w:rsid w:val="005375B1"/>
    <w:rsid w:val="00537AFD"/>
    <w:rsid w:val="00537CB4"/>
    <w:rsid w:val="00540CB3"/>
    <w:rsid w:val="00540D25"/>
    <w:rsid w:val="00541822"/>
    <w:rsid w:val="00542D19"/>
    <w:rsid w:val="0054516B"/>
    <w:rsid w:val="0054559E"/>
    <w:rsid w:val="005459BD"/>
    <w:rsid w:val="00546833"/>
    <w:rsid w:val="0054787A"/>
    <w:rsid w:val="005513D5"/>
    <w:rsid w:val="005523B9"/>
    <w:rsid w:val="00553C88"/>
    <w:rsid w:val="005545E0"/>
    <w:rsid w:val="00554865"/>
    <w:rsid w:val="00554E57"/>
    <w:rsid w:val="00557E6A"/>
    <w:rsid w:val="00562749"/>
    <w:rsid w:val="00562DE9"/>
    <w:rsid w:val="005638A5"/>
    <w:rsid w:val="00564137"/>
    <w:rsid w:val="00566381"/>
    <w:rsid w:val="00566A03"/>
    <w:rsid w:val="00571932"/>
    <w:rsid w:val="00573C97"/>
    <w:rsid w:val="00574240"/>
    <w:rsid w:val="0057454C"/>
    <w:rsid w:val="005752EB"/>
    <w:rsid w:val="005755FE"/>
    <w:rsid w:val="00575CDC"/>
    <w:rsid w:val="005765D5"/>
    <w:rsid w:val="00576A3E"/>
    <w:rsid w:val="0057703D"/>
    <w:rsid w:val="00581892"/>
    <w:rsid w:val="0058366F"/>
    <w:rsid w:val="00583D5B"/>
    <w:rsid w:val="00583FFD"/>
    <w:rsid w:val="00587CCD"/>
    <w:rsid w:val="00590320"/>
    <w:rsid w:val="005908AE"/>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54EE"/>
    <w:rsid w:val="005A563B"/>
    <w:rsid w:val="005A5F82"/>
    <w:rsid w:val="005A61D1"/>
    <w:rsid w:val="005A6E85"/>
    <w:rsid w:val="005A7500"/>
    <w:rsid w:val="005A77E4"/>
    <w:rsid w:val="005A77F6"/>
    <w:rsid w:val="005B0262"/>
    <w:rsid w:val="005B0B8F"/>
    <w:rsid w:val="005B1BDB"/>
    <w:rsid w:val="005B22A7"/>
    <w:rsid w:val="005B2BAA"/>
    <w:rsid w:val="005B2D53"/>
    <w:rsid w:val="005B3247"/>
    <w:rsid w:val="005B3409"/>
    <w:rsid w:val="005B498A"/>
    <w:rsid w:val="005B7B12"/>
    <w:rsid w:val="005C16CB"/>
    <w:rsid w:val="005C21D6"/>
    <w:rsid w:val="005C3F9F"/>
    <w:rsid w:val="005C406F"/>
    <w:rsid w:val="005C40BA"/>
    <w:rsid w:val="005C4A23"/>
    <w:rsid w:val="005C562C"/>
    <w:rsid w:val="005C5812"/>
    <w:rsid w:val="005C6400"/>
    <w:rsid w:val="005C7F1E"/>
    <w:rsid w:val="005D073B"/>
    <w:rsid w:val="005D25B4"/>
    <w:rsid w:val="005D374F"/>
    <w:rsid w:val="005D5802"/>
    <w:rsid w:val="005D6CFC"/>
    <w:rsid w:val="005D73E2"/>
    <w:rsid w:val="005D757A"/>
    <w:rsid w:val="005D7C4B"/>
    <w:rsid w:val="005E1871"/>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3F04"/>
    <w:rsid w:val="005F4057"/>
    <w:rsid w:val="005F4088"/>
    <w:rsid w:val="005F42F4"/>
    <w:rsid w:val="005F4C83"/>
    <w:rsid w:val="005F5628"/>
    <w:rsid w:val="005F5916"/>
    <w:rsid w:val="005F601D"/>
    <w:rsid w:val="005F6119"/>
    <w:rsid w:val="005F7940"/>
    <w:rsid w:val="00600712"/>
    <w:rsid w:val="0060107A"/>
    <w:rsid w:val="00601AFF"/>
    <w:rsid w:val="00602D1D"/>
    <w:rsid w:val="00604307"/>
    <w:rsid w:val="0060487F"/>
    <w:rsid w:val="00605814"/>
    <w:rsid w:val="00606B93"/>
    <w:rsid w:val="00607727"/>
    <w:rsid w:val="00607934"/>
    <w:rsid w:val="00610BD5"/>
    <w:rsid w:val="00611363"/>
    <w:rsid w:val="00611531"/>
    <w:rsid w:val="006118AA"/>
    <w:rsid w:val="00611C28"/>
    <w:rsid w:val="00612E84"/>
    <w:rsid w:val="006139C7"/>
    <w:rsid w:val="006150EA"/>
    <w:rsid w:val="006153E3"/>
    <w:rsid w:val="006167AB"/>
    <w:rsid w:val="0061718A"/>
    <w:rsid w:val="00617D2D"/>
    <w:rsid w:val="00617D83"/>
    <w:rsid w:val="00620430"/>
    <w:rsid w:val="00620AC5"/>
    <w:rsid w:val="00621575"/>
    <w:rsid w:val="006215FC"/>
    <w:rsid w:val="00624093"/>
    <w:rsid w:val="006260B8"/>
    <w:rsid w:val="00630F66"/>
    <w:rsid w:val="00631FC2"/>
    <w:rsid w:val="00632171"/>
    <w:rsid w:val="0063332A"/>
    <w:rsid w:val="006347F9"/>
    <w:rsid w:val="0063494E"/>
    <w:rsid w:val="00634C90"/>
    <w:rsid w:val="00635818"/>
    <w:rsid w:val="00635E79"/>
    <w:rsid w:val="00636E5E"/>
    <w:rsid w:val="006379E0"/>
    <w:rsid w:val="00637D0E"/>
    <w:rsid w:val="006404A7"/>
    <w:rsid w:val="006407F3"/>
    <w:rsid w:val="006408EC"/>
    <w:rsid w:val="0064129B"/>
    <w:rsid w:val="00641DF7"/>
    <w:rsid w:val="00643497"/>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4093"/>
    <w:rsid w:val="00656716"/>
    <w:rsid w:val="006572ED"/>
    <w:rsid w:val="00657E87"/>
    <w:rsid w:val="0066026B"/>
    <w:rsid w:val="00660457"/>
    <w:rsid w:val="00660CB4"/>
    <w:rsid w:val="00660E1E"/>
    <w:rsid w:val="006637B1"/>
    <w:rsid w:val="00663CFD"/>
    <w:rsid w:val="006647AD"/>
    <w:rsid w:val="00664B64"/>
    <w:rsid w:val="00665691"/>
    <w:rsid w:val="00665D67"/>
    <w:rsid w:val="00665D77"/>
    <w:rsid w:val="006660CD"/>
    <w:rsid w:val="00666883"/>
    <w:rsid w:val="00666B1D"/>
    <w:rsid w:val="00666EC8"/>
    <w:rsid w:val="00666F4B"/>
    <w:rsid w:val="006676D0"/>
    <w:rsid w:val="0066796E"/>
    <w:rsid w:val="00670FAC"/>
    <w:rsid w:val="006710C9"/>
    <w:rsid w:val="006716A5"/>
    <w:rsid w:val="006717CC"/>
    <w:rsid w:val="006743E8"/>
    <w:rsid w:val="00675E37"/>
    <w:rsid w:val="00675F0F"/>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3FB"/>
    <w:rsid w:val="00696AA5"/>
    <w:rsid w:val="006977F6"/>
    <w:rsid w:val="0069789D"/>
    <w:rsid w:val="00697A13"/>
    <w:rsid w:val="006A109C"/>
    <w:rsid w:val="006A18AE"/>
    <w:rsid w:val="006A2EE8"/>
    <w:rsid w:val="006A3CF3"/>
    <w:rsid w:val="006A568F"/>
    <w:rsid w:val="006A65EF"/>
    <w:rsid w:val="006A672B"/>
    <w:rsid w:val="006B1781"/>
    <w:rsid w:val="006B23A9"/>
    <w:rsid w:val="006B23D8"/>
    <w:rsid w:val="006B281D"/>
    <w:rsid w:val="006B3F8A"/>
    <w:rsid w:val="006B59D7"/>
    <w:rsid w:val="006B5CA3"/>
    <w:rsid w:val="006B6B3B"/>
    <w:rsid w:val="006B7248"/>
    <w:rsid w:val="006B7714"/>
    <w:rsid w:val="006B78D8"/>
    <w:rsid w:val="006B7CCE"/>
    <w:rsid w:val="006C090F"/>
    <w:rsid w:val="006C0935"/>
    <w:rsid w:val="006C0BCE"/>
    <w:rsid w:val="006C113F"/>
    <w:rsid w:val="006C2AED"/>
    <w:rsid w:val="006C38DD"/>
    <w:rsid w:val="006C457F"/>
    <w:rsid w:val="006C53C7"/>
    <w:rsid w:val="006C5577"/>
    <w:rsid w:val="006C559A"/>
    <w:rsid w:val="006C58FA"/>
    <w:rsid w:val="006C6197"/>
    <w:rsid w:val="006D004F"/>
    <w:rsid w:val="006D042D"/>
    <w:rsid w:val="006D06EF"/>
    <w:rsid w:val="006D142E"/>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4A1B"/>
    <w:rsid w:val="006E59FC"/>
    <w:rsid w:val="006E5CFD"/>
    <w:rsid w:val="006E7E2C"/>
    <w:rsid w:val="006F1326"/>
    <w:rsid w:val="006F2280"/>
    <w:rsid w:val="006F2BEE"/>
    <w:rsid w:val="006F3708"/>
    <w:rsid w:val="006F376C"/>
    <w:rsid w:val="006F3A90"/>
    <w:rsid w:val="006F3E6B"/>
    <w:rsid w:val="006F4619"/>
    <w:rsid w:val="006F4A59"/>
    <w:rsid w:val="006F6968"/>
    <w:rsid w:val="00700232"/>
    <w:rsid w:val="00701382"/>
    <w:rsid w:val="007014C7"/>
    <w:rsid w:val="00702100"/>
    <w:rsid w:val="00702D6F"/>
    <w:rsid w:val="007031C6"/>
    <w:rsid w:val="00703B6C"/>
    <w:rsid w:val="00703C6B"/>
    <w:rsid w:val="007047D5"/>
    <w:rsid w:val="00705D98"/>
    <w:rsid w:val="00707891"/>
    <w:rsid w:val="00707D43"/>
    <w:rsid w:val="00710F7C"/>
    <w:rsid w:val="00711EF1"/>
    <w:rsid w:val="0071229A"/>
    <w:rsid w:val="00712572"/>
    <w:rsid w:val="00713495"/>
    <w:rsid w:val="00713EEB"/>
    <w:rsid w:val="007142C1"/>
    <w:rsid w:val="007151C1"/>
    <w:rsid w:val="00715487"/>
    <w:rsid w:val="007159D2"/>
    <w:rsid w:val="00716DCC"/>
    <w:rsid w:val="00717726"/>
    <w:rsid w:val="0072050E"/>
    <w:rsid w:val="00720958"/>
    <w:rsid w:val="00720FA2"/>
    <w:rsid w:val="007211F5"/>
    <w:rsid w:val="007240C5"/>
    <w:rsid w:val="00724666"/>
    <w:rsid w:val="00724E80"/>
    <w:rsid w:val="00725492"/>
    <w:rsid w:val="007256B7"/>
    <w:rsid w:val="00726043"/>
    <w:rsid w:val="0072704A"/>
    <w:rsid w:val="007279B9"/>
    <w:rsid w:val="00730AE8"/>
    <w:rsid w:val="007315DA"/>
    <w:rsid w:val="00731963"/>
    <w:rsid w:val="00732706"/>
    <w:rsid w:val="0073325D"/>
    <w:rsid w:val="00734321"/>
    <w:rsid w:val="00734597"/>
    <w:rsid w:val="00735044"/>
    <w:rsid w:val="0073532E"/>
    <w:rsid w:val="00735B01"/>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F3C"/>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A13"/>
    <w:rsid w:val="00763D86"/>
    <w:rsid w:val="0077058D"/>
    <w:rsid w:val="00770931"/>
    <w:rsid w:val="00772536"/>
    <w:rsid w:val="00773613"/>
    <w:rsid w:val="0077430F"/>
    <w:rsid w:val="00774782"/>
    <w:rsid w:val="00776476"/>
    <w:rsid w:val="00776527"/>
    <w:rsid w:val="00777DB1"/>
    <w:rsid w:val="007805E1"/>
    <w:rsid w:val="00780DDF"/>
    <w:rsid w:val="0078113E"/>
    <w:rsid w:val="00781834"/>
    <w:rsid w:val="007821DB"/>
    <w:rsid w:val="00782818"/>
    <w:rsid w:val="007838F1"/>
    <w:rsid w:val="007841BB"/>
    <w:rsid w:val="00784C4A"/>
    <w:rsid w:val="00787432"/>
    <w:rsid w:val="00787507"/>
    <w:rsid w:val="0078778C"/>
    <w:rsid w:val="007879F2"/>
    <w:rsid w:val="00790393"/>
    <w:rsid w:val="00791804"/>
    <w:rsid w:val="0079197F"/>
    <w:rsid w:val="00791CF8"/>
    <w:rsid w:val="00791EF9"/>
    <w:rsid w:val="00792262"/>
    <w:rsid w:val="00793387"/>
    <w:rsid w:val="00793BAE"/>
    <w:rsid w:val="007941C3"/>
    <w:rsid w:val="00794870"/>
    <w:rsid w:val="00794E0A"/>
    <w:rsid w:val="00795B04"/>
    <w:rsid w:val="00796642"/>
    <w:rsid w:val="00796BEE"/>
    <w:rsid w:val="007A11D9"/>
    <w:rsid w:val="007A327B"/>
    <w:rsid w:val="007A4048"/>
    <w:rsid w:val="007A45B1"/>
    <w:rsid w:val="007A4606"/>
    <w:rsid w:val="007A4D58"/>
    <w:rsid w:val="007A5039"/>
    <w:rsid w:val="007B04E8"/>
    <w:rsid w:val="007B0D67"/>
    <w:rsid w:val="007B0F90"/>
    <w:rsid w:val="007B1966"/>
    <w:rsid w:val="007B2257"/>
    <w:rsid w:val="007B2779"/>
    <w:rsid w:val="007B2AF7"/>
    <w:rsid w:val="007B3DCC"/>
    <w:rsid w:val="007B4518"/>
    <w:rsid w:val="007B5031"/>
    <w:rsid w:val="007B573F"/>
    <w:rsid w:val="007B72AC"/>
    <w:rsid w:val="007B78F8"/>
    <w:rsid w:val="007C0065"/>
    <w:rsid w:val="007C010B"/>
    <w:rsid w:val="007C32B6"/>
    <w:rsid w:val="007C3AE3"/>
    <w:rsid w:val="007C605B"/>
    <w:rsid w:val="007C6EBA"/>
    <w:rsid w:val="007C7BAC"/>
    <w:rsid w:val="007C7CC5"/>
    <w:rsid w:val="007D2A5A"/>
    <w:rsid w:val="007D2AD8"/>
    <w:rsid w:val="007D2C47"/>
    <w:rsid w:val="007D2C61"/>
    <w:rsid w:val="007D2DA3"/>
    <w:rsid w:val="007D2F81"/>
    <w:rsid w:val="007D3167"/>
    <w:rsid w:val="007D3CF7"/>
    <w:rsid w:val="007D4128"/>
    <w:rsid w:val="007D4281"/>
    <w:rsid w:val="007D42F5"/>
    <w:rsid w:val="007D44C3"/>
    <w:rsid w:val="007D5947"/>
    <w:rsid w:val="007D65C1"/>
    <w:rsid w:val="007E030F"/>
    <w:rsid w:val="007E0D49"/>
    <w:rsid w:val="007E0E59"/>
    <w:rsid w:val="007E0F4B"/>
    <w:rsid w:val="007E12C1"/>
    <w:rsid w:val="007E1EF7"/>
    <w:rsid w:val="007E3715"/>
    <w:rsid w:val="007E5880"/>
    <w:rsid w:val="007E5F3D"/>
    <w:rsid w:val="007E6588"/>
    <w:rsid w:val="007E7063"/>
    <w:rsid w:val="007E7E61"/>
    <w:rsid w:val="007F0316"/>
    <w:rsid w:val="007F0845"/>
    <w:rsid w:val="007F0DF6"/>
    <w:rsid w:val="007F1092"/>
    <w:rsid w:val="007F16F9"/>
    <w:rsid w:val="007F2801"/>
    <w:rsid w:val="007F3E3E"/>
    <w:rsid w:val="007F42E0"/>
    <w:rsid w:val="007F500D"/>
    <w:rsid w:val="007F5F14"/>
    <w:rsid w:val="007F7B54"/>
    <w:rsid w:val="007F7C60"/>
    <w:rsid w:val="00800073"/>
    <w:rsid w:val="008005D7"/>
    <w:rsid w:val="00801FDD"/>
    <w:rsid w:val="008020C2"/>
    <w:rsid w:val="0080255C"/>
    <w:rsid w:val="008054FB"/>
    <w:rsid w:val="00806088"/>
    <w:rsid w:val="00806D07"/>
    <w:rsid w:val="0081019B"/>
    <w:rsid w:val="0081187C"/>
    <w:rsid w:val="00811E24"/>
    <w:rsid w:val="008120C5"/>
    <w:rsid w:val="00812386"/>
    <w:rsid w:val="00812E2B"/>
    <w:rsid w:val="00813A70"/>
    <w:rsid w:val="00813CB4"/>
    <w:rsid w:val="00813DB0"/>
    <w:rsid w:val="00813FE6"/>
    <w:rsid w:val="00815B82"/>
    <w:rsid w:val="00815C6E"/>
    <w:rsid w:val="00815DD0"/>
    <w:rsid w:val="00815F10"/>
    <w:rsid w:val="0081645F"/>
    <w:rsid w:val="00816A28"/>
    <w:rsid w:val="008174A3"/>
    <w:rsid w:val="00817755"/>
    <w:rsid w:val="008178C2"/>
    <w:rsid w:val="008178CF"/>
    <w:rsid w:val="00817C98"/>
    <w:rsid w:val="00820C9F"/>
    <w:rsid w:val="00821AAE"/>
    <w:rsid w:val="00821FF6"/>
    <w:rsid w:val="00823AAF"/>
    <w:rsid w:val="00824081"/>
    <w:rsid w:val="0082409A"/>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4C3"/>
    <w:rsid w:val="008336D8"/>
    <w:rsid w:val="008339C4"/>
    <w:rsid w:val="00834F0A"/>
    <w:rsid w:val="00834FAA"/>
    <w:rsid w:val="00835181"/>
    <w:rsid w:val="00835991"/>
    <w:rsid w:val="00836086"/>
    <w:rsid w:val="00840699"/>
    <w:rsid w:val="00841D9F"/>
    <w:rsid w:val="00842078"/>
    <w:rsid w:val="00842604"/>
    <w:rsid w:val="00843ECF"/>
    <w:rsid w:val="00845AB1"/>
    <w:rsid w:val="00846673"/>
    <w:rsid w:val="008508A9"/>
    <w:rsid w:val="0085188D"/>
    <w:rsid w:val="008518D8"/>
    <w:rsid w:val="008525F9"/>
    <w:rsid w:val="0085281A"/>
    <w:rsid w:val="00853C0F"/>
    <w:rsid w:val="00853F33"/>
    <w:rsid w:val="008548EA"/>
    <w:rsid w:val="008550EA"/>
    <w:rsid w:val="008559FE"/>
    <w:rsid w:val="0085686D"/>
    <w:rsid w:val="00857339"/>
    <w:rsid w:val="00860706"/>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F2B"/>
    <w:rsid w:val="00873B2E"/>
    <w:rsid w:val="00874097"/>
    <w:rsid w:val="008746E6"/>
    <w:rsid w:val="0087515D"/>
    <w:rsid w:val="00875740"/>
    <w:rsid w:val="0087594C"/>
    <w:rsid w:val="00876086"/>
    <w:rsid w:val="008765FA"/>
    <w:rsid w:val="008768D6"/>
    <w:rsid w:val="008775D1"/>
    <w:rsid w:val="008777BB"/>
    <w:rsid w:val="00877D68"/>
    <w:rsid w:val="00877E5D"/>
    <w:rsid w:val="00880150"/>
    <w:rsid w:val="00880ABA"/>
    <w:rsid w:val="00880F23"/>
    <w:rsid w:val="00883A67"/>
    <w:rsid w:val="00883D45"/>
    <w:rsid w:val="00884D69"/>
    <w:rsid w:val="0088503D"/>
    <w:rsid w:val="00885EC6"/>
    <w:rsid w:val="008869D2"/>
    <w:rsid w:val="00886A8F"/>
    <w:rsid w:val="0088733A"/>
    <w:rsid w:val="008901CC"/>
    <w:rsid w:val="00891BE0"/>
    <w:rsid w:val="00893302"/>
    <w:rsid w:val="00893648"/>
    <w:rsid w:val="00893D83"/>
    <w:rsid w:val="00893F0C"/>
    <w:rsid w:val="00893F3C"/>
    <w:rsid w:val="008945A1"/>
    <w:rsid w:val="00894A63"/>
    <w:rsid w:val="00894F71"/>
    <w:rsid w:val="00895A54"/>
    <w:rsid w:val="00896776"/>
    <w:rsid w:val="00896916"/>
    <w:rsid w:val="00896BDE"/>
    <w:rsid w:val="0089763E"/>
    <w:rsid w:val="008A03DE"/>
    <w:rsid w:val="008A0861"/>
    <w:rsid w:val="008A0BB2"/>
    <w:rsid w:val="008A1AB3"/>
    <w:rsid w:val="008A1D5C"/>
    <w:rsid w:val="008A3292"/>
    <w:rsid w:val="008A3A85"/>
    <w:rsid w:val="008A43E9"/>
    <w:rsid w:val="008A4CB1"/>
    <w:rsid w:val="008A615E"/>
    <w:rsid w:val="008A632B"/>
    <w:rsid w:val="008A6BFE"/>
    <w:rsid w:val="008A6F21"/>
    <w:rsid w:val="008A73DA"/>
    <w:rsid w:val="008B00C2"/>
    <w:rsid w:val="008B04A0"/>
    <w:rsid w:val="008B05E8"/>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E88"/>
    <w:rsid w:val="008C1399"/>
    <w:rsid w:val="008C18A5"/>
    <w:rsid w:val="008C1AA8"/>
    <w:rsid w:val="008C22A8"/>
    <w:rsid w:val="008C5B43"/>
    <w:rsid w:val="008C63FD"/>
    <w:rsid w:val="008C6CB8"/>
    <w:rsid w:val="008C6D92"/>
    <w:rsid w:val="008C777A"/>
    <w:rsid w:val="008C7815"/>
    <w:rsid w:val="008C7A07"/>
    <w:rsid w:val="008C7E90"/>
    <w:rsid w:val="008C7EB3"/>
    <w:rsid w:val="008D0171"/>
    <w:rsid w:val="008D0632"/>
    <w:rsid w:val="008D0E3B"/>
    <w:rsid w:val="008D13EA"/>
    <w:rsid w:val="008D2671"/>
    <w:rsid w:val="008D2A16"/>
    <w:rsid w:val="008D2ECF"/>
    <w:rsid w:val="008D347D"/>
    <w:rsid w:val="008D3F3D"/>
    <w:rsid w:val="008D4376"/>
    <w:rsid w:val="008E0367"/>
    <w:rsid w:val="008E2DCD"/>
    <w:rsid w:val="008E308D"/>
    <w:rsid w:val="008E31FF"/>
    <w:rsid w:val="008E46A3"/>
    <w:rsid w:val="008E5DE6"/>
    <w:rsid w:val="008E6113"/>
    <w:rsid w:val="008E6AB3"/>
    <w:rsid w:val="008E6AD3"/>
    <w:rsid w:val="008E6EBD"/>
    <w:rsid w:val="008E71A6"/>
    <w:rsid w:val="008E77B6"/>
    <w:rsid w:val="008E7C55"/>
    <w:rsid w:val="008F032E"/>
    <w:rsid w:val="008F0F14"/>
    <w:rsid w:val="008F1638"/>
    <w:rsid w:val="008F2097"/>
    <w:rsid w:val="008F2F44"/>
    <w:rsid w:val="008F4FCE"/>
    <w:rsid w:val="008F5301"/>
    <w:rsid w:val="008F6967"/>
    <w:rsid w:val="008F6A0C"/>
    <w:rsid w:val="008F6F38"/>
    <w:rsid w:val="008F7721"/>
    <w:rsid w:val="008F7D28"/>
    <w:rsid w:val="009003A8"/>
    <w:rsid w:val="009010A7"/>
    <w:rsid w:val="009010E3"/>
    <w:rsid w:val="00901703"/>
    <w:rsid w:val="00901AF3"/>
    <w:rsid w:val="00902CBE"/>
    <w:rsid w:val="00902D74"/>
    <w:rsid w:val="00902EFF"/>
    <w:rsid w:val="00902FAC"/>
    <w:rsid w:val="00903E06"/>
    <w:rsid w:val="009045D1"/>
    <w:rsid w:val="00904B9D"/>
    <w:rsid w:val="00905A11"/>
    <w:rsid w:val="00905FE8"/>
    <w:rsid w:val="009066E1"/>
    <w:rsid w:val="00906F67"/>
    <w:rsid w:val="00907A41"/>
    <w:rsid w:val="009102BD"/>
    <w:rsid w:val="00910F93"/>
    <w:rsid w:val="00910FBC"/>
    <w:rsid w:val="0091255A"/>
    <w:rsid w:val="00914426"/>
    <w:rsid w:val="0091675F"/>
    <w:rsid w:val="00917709"/>
    <w:rsid w:val="00917918"/>
    <w:rsid w:val="00920874"/>
    <w:rsid w:val="00921F14"/>
    <w:rsid w:val="009227C6"/>
    <w:rsid w:val="00923750"/>
    <w:rsid w:val="009243A5"/>
    <w:rsid w:val="0092500F"/>
    <w:rsid w:val="009250D2"/>
    <w:rsid w:val="0092519D"/>
    <w:rsid w:val="0092540B"/>
    <w:rsid w:val="009256C5"/>
    <w:rsid w:val="00925A21"/>
    <w:rsid w:val="00926283"/>
    <w:rsid w:val="009306BE"/>
    <w:rsid w:val="0093161F"/>
    <w:rsid w:val="00934836"/>
    <w:rsid w:val="00934963"/>
    <w:rsid w:val="00936ECA"/>
    <w:rsid w:val="00937B11"/>
    <w:rsid w:val="00940F1F"/>
    <w:rsid w:val="00941250"/>
    <w:rsid w:val="00941339"/>
    <w:rsid w:val="0094396E"/>
    <w:rsid w:val="0094427A"/>
    <w:rsid w:val="00944380"/>
    <w:rsid w:val="009459C5"/>
    <w:rsid w:val="00945E5E"/>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AE"/>
    <w:rsid w:val="009742F7"/>
    <w:rsid w:val="0097476C"/>
    <w:rsid w:val="00974923"/>
    <w:rsid w:val="00974D48"/>
    <w:rsid w:val="00974D5F"/>
    <w:rsid w:val="00975017"/>
    <w:rsid w:val="009759DF"/>
    <w:rsid w:val="00977A4D"/>
    <w:rsid w:val="00980373"/>
    <w:rsid w:val="00980621"/>
    <w:rsid w:val="0098095B"/>
    <w:rsid w:val="00982072"/>
    <w:rsid w:val="009833FA"/>
    <w:rsid w:val="00983DBB"/>
    <w:rsid w:val="00983ECF"/>
    <w:rsid w:val="00985157"/>
    <w:rsid w:val="00986745"/>
    <w:rsid w:val="009867BC"/>
    <w:rsid w:val="00987109"/>
    <w:rsid w:val="00987309"/>
    <w:rsid w:val="00987351"/>
    <w:rsid w:val="0099012D"/>
    <w:rsid w:val="00990363"/>
    <w:rsid w:val="00991266"/>
    <w:rsid w:val="009928AE"/>
    <w:rsid w:val="00993BE6"/>
    <w:rsid w:val="00993D9C"/>
    <w:rsid w:val="00993F56"/>
    <w:rsid w:val="009954FF"/>
    <w:rsid w:val="0099571E"/>
    <w:rsid w:val="00995E2F"/>
    <w:rsid w:val="009961BC"/>
    <w:rsid w:val="00996355"/>
    <w:rsid w:val="0099788F"/>
    <w:rsid w:val="00997ADD"/>
    <w:rsid w:val="009A05A2"/>
    <w:rsid w:val="009A1374"/>
    <w:rsid w:val="009A13FA"/>
    <w:rsid w:val="009A2014"/>
    <w:rsid w:val="009A2030"/>
    <w:rsid w:val="009A3A87"/>
    <w:rsid w:val="009A4E12"/>
    <w:rsid w:val="009A5C68"/>
    <w:rsid w:val="009A5DE2"/>
    <w:rsid w:val="009A6EF7"/>
    <w:rsid w:val="009B04D0"/>
    <w:rsid w:val="009B052C"/>
    <w:rsid w:val="009B0975"/>
    <w:rsid w:val="009B0EF2"/>
    <w:rsid w:val="009B23A3"/>
    <w:rsid w:val="009B2C0E"/>
    <w:rsid w:val="009B4925"/>
    <w:rsid w:val="009B4B4B"/>
    <w:rsid w:val="009B4CE3"/>
    <w:rsid w:val="009B6FD3"/>
    <w:rsid w:val="009B70BD"/>
    <w:rsid w:val="009C07A5"/>
    <w:rsid w:val="009C24A3"/>
    <w:rsid w:val="009C3705"/>
    <w:rsid w:val="009C6215"/>
    <w:rsid w:val="009C7388"/>
    <w:rsid w:val="009C74C2"/>
    <w:rsid w:val="009D0CFF"/>
    <w:rsid w:val="009D1551"/>
    <w:rsid w:val="009D2859"/>
    <w:rsid w:val="009D36EC"/>
    <w:rsid w:val="009D3CD0"/>
    <w:rsid w:val="009D4173"/>
    <w:rsid w:val="009D51CA"/>
    <w:rsid w:val="009D6095"/>
    <w:rsid w:val="009D6306"/>
    <w:rsid w:val="009E048A"/>
    <w:rsid w:val="009E1124"/>
    <w:rsid w:val="009E1FBA"/>
    <w:rsid w:val="009E2C54"/>
    <w:rsid w:val="009E3710"/>
    <w:rsid w:val="009E6F65"/>
    <w:rsid w:val="009E7340"/>
    <w:rsid w:val="009E7B1F"/>
    <w:rsid w:val="009F346F"/>
    <w:rsid w:val="009F371A"/>
    <w:rsid w:val="009F3F25"/>
    <w:rsid w:val="009F3FC3"/>
    <w:rsid w:val="009F41C4"/>
    <w:rsid w:val="009F5846"/>
    <w:rsid w:val="009F63D2"/>
    <w:rsid w:val="009F777A"/>
    <w:rsid w:val="009F7B52"/>
    <w:rsid w:val="009F7D77"/>
    <w:rsid w:val="00A004D2"/>
    <w:rsid w:val="00A015EA"/>
    <w:rsid w:val="00A0172C"/>
    <w:rsid w:val="00A05B91"/>
    <w:rsid w:val="00A10D66"/>
    <w:rsid w:val="00A12BA8"/>
    <w:rsid w:val="00A133F2"/>
    <w:rsid w:val="00A13993"/>
    <w:rsid w:val="00A1420C"/>
    <w:rsid w:val="00A1456C"/>
    <w:rsid w:val="00A14821"/>
    <w:rsid w:val="00A14C9D"/>
    <w:rsid w:val="00A17754"/>
    <w:rsid w:val="00A2055B"/>
    <w:rsid w:val="00A20E22"/>
    <w:rsid w:val="00A219FE"/>
    <w:rsid w:val="00A2253C"/>
    <w:rsid w:val="00A23545"/>
    <w:rsid w:val="00A23A55"/>
    <w:rsid w:val="00A23E43"/>
    <w:rsid w:val="00A23EF0"/>
    <w:rsid w:val="00A24F8C"/>
    <w:rsid w:val="00A262BF"/>
    <w:rsid w:val="00A271AD"/>
    <w:rsid w:val="00A276D5"/>
    <w:rsid w:val="00A30336"/>
    <w:rsid w:val="00A30BB5"/>
    <w:rsid w:val="00A3128F"/>
    <w:rsid w:val="00A326D0"/>
    <w:rsid w:val="00A35287"/>
    <w:rsid w:val="00A355F2"/>
    <w:rsid w:val="00A378F8"/>
    <w:rsid w:val="00A40965"/>
    <w:rsid w:val="00A40B19"/>
    <w:rsid w:val="00A40F56"/>
    <w:rsid w:val="00A41D07"/>
    <w:rsid w:val="00A424F8"/>
    <w:rsid w:val="00A42883"/>
    <w:rsid w:val="00A437B7"/>
    <w:rsid w:val="00A43EA2"/>
    <w:rsid w:val="00A46C70"/>
    <w:rsid w:val="00A46D48"/>
    <w:rsid w:val="00A46DE0"/>
    <w:rsid w:val="00A4778A"/>
    <w:rsid w:val="00A47C94"/>
    <w:rsid w:val="00A504C0"/>
    <w:rsid w:val="00A5067F"/>
    <w:rsid w:val="00A517C1"/>
    <w:rsid w:val="00A518E0"/>
    <w:rsid w:val="00A5408A"/>
    <w:rsid w:val="00A55301"/>
    <w:rsid w:val="00A572FB"/>
    <w:rsid w:val="00A57B3C"/>
    <w:rsid w:val="00A57F1B"/>
    <w:rsid w:val="00A600D2"/>
    <w:rsid w:val="00A6128E"/>
    <w:rsid w:val="00A6298A"/>
    <w:rsid w:val="00A62CE1"/>
    <w:rsid w:val="00A631FA"/>
    <w:rsid w:val="00A64203"/>
    <w:rsid w:val="00A64348"/>
    <w:rsid w:val="00A644E1"/>
    <w:rsid w:val="00A6766C"/>
    <w:rsid w:val="00A711B0"/>
    <w:rsid w:val="00A71279"/>
    <w:rsid w:val="00A721FB"/>
    <w:rsid w:val="00A727BA"/>
    <w:rsid w:val="00A72D4B"/>
    <w:rsid w:val="00A732AE"/>
    <w:rsid w:val="00A74192"/>
    <w:rsid w:val="00A75837"/>
    <w:rsid w:val="00A75E40"/>
    <w:rsid w:val="00A76B12"/>
    <w:rsid w:val="00A76EF2"/>
    <w:rsid w:val="00A7727E"/>
    <w:rsid w:val="00A77EB2"/>
    <w:rsid w:val="00A81094"/>
    <w:rsid w:val="00A82B66"/>
    <w:rsid w:val="00A82C52"/>
    <w:rsid w:val="00A83B58"/>
    <w:rsid w:val="00A84D7D"/>
    <w:rsid w:val="00A84FAF"/>
    <w:rsid w:val="00A851B6"/>
    <w:rsid w:val="00A85729"/>
    <w:rsid w:val="00A8574B"/>
    <w:rsid w:val="00A857C0"/>
    <w:rsid w:val="00A85F5E"/>
    <w:rsid w:val="00A90343"/>
    <w:rsid w:val="00A91336"/>
    <w:rsid w:val="00A9221C"/>
    <w:rsid w:val="00A92277"/>
    <w:rsid w:val="00A92916"/>
    <w:rsid w:val="00A929D1"/>
    <w:rsid w:val="00A94628"/>
    <w:rsid w:val="00A94954"/>
    <w:rsid w:val="00A9497A"/>
    <w:rsid w:val="00A949A6"/>
    <w:rsid w:val="00A96241"/>
    <w:rsid w:val="00A96463"/>
    <w:rsid w:val="00A97E3F"/>
    <w:rsid w:val="00AA09D3"/>
    <w:rsid w:val="00AA1356"/>
    <w:rsid w:val="00AA220F"/>
    <w:rsid w:val="00AA23FB"/>
    <w:rsid w:val="00AA34FE"/>
    <w:rsid w:val="00AA42AB"/>
    <w:rsid w:val="00AA4A76"/>
    <w:rsid w:val="00AA559A"/>
    <w:rsid w:val="00AA57A4"/>
    <w:rsid w:val="00AA5F10"/>
    <w:rsid w:val="00AB0BB9"/>
    <w:rsid w:val="00AB104D"/>
    <w:rsid w:val="00AB1441"/>
    <w:rsid w:val="00AB1653"/>
    <w:rsid w:val="00AB2AF1"/>
    <w:rsid w:val="00AB440B"/>
    <w:rsid w:val="00AB47E3"/>
    <w:rsid w:val="00AB74C5"/>
    <w:rsid w:val="00AB7BEE"/>
    <w:rsid w:val="00AB7DF2"/>
    <w:rsid w:val="00AC1E3F"/>
    <w:rsid w:val="00AC219A"/>
    <w:rsid w:val="00AC3D02"/>
    <w:rsid w:val="00AC4F18"/>
    <w:rsid w:val="00AC69CA"/>
    <w:rsid w:val="00AD0B46"/>
    <w:rsid w:val="00AD1094"/>
    <w:rsid w:val="00AD2565"/>
    <w:rsid w:val="00AD2862"/>
    <w:rsid w:val="00AD306C"/>
    <w:rsid w:val="00AD3424"/>
    <w:rsid w:val="00AD3E3F"/>
    <w:rsid w:val="00AD4FEF"/>
    <w:rsid w:val="00AD50D1"/>
    <w:rsid w:val="00AD59BB"/>
    <w:rsid w:val="00AD5D68"/>
    <w:rsid w:val="00AD6C73"/>
    <w:rsid w:val="00AD7D49"/>
    <w:rsid w:val="00AE06D0"/>
    <w:rsid w:val="00AE1B8A"/>
    <w:rsid w:val="00AE39DC"/>
    <w:rsid w:val="00AE3CDA"/>
    <w:rsid w:val="00AE481D"/>
    <w:rsid w:val="00AE608F"/>
    <w:rsid w:val="00AE6734"/>
    <w:rsid w:val="00AE7968"/>
    <w:rsid w:val="00AE7B2B"/>
    <w:rsid w:val="00AE7DFF"/>
    <w:rsid w:val="00AF128B"/>
    <w:rsid w:val="00AF1AEA"/>
    <w:rsid w:val="00AF2536"/>
    <w:rsid w:val="00AF2852"/>
    <w:rsid w:val="00AF3225"/>
    <w:rsid w:val="00AF4983"/>
    <w:rsid w:val="00AF4CA7"/>
    <w:rsid w:val="00AF518B"/>
    <w:rsid w:val="00AF5275"/>
    <w:rsid w:val="00AF5D62"/>
    <w:rsid w:val="00AF6367"/>
    <w:rsid w:val="00AF6A79"/>
    <w:rsid w:val="00AF6B7C"/>
    <w:rsid w:val="00AF724E"/>
    <w:rsid w:val="00AF73A9"/>
    <w:rsid w:val="00B01436"/>
    <w:rsid w:val="00B01C2C"/>
    <w:rsid w:val="00B0231C"/>
    <w:rsid w:val="00B07372"/>
    <w:rsid w:val="00B07C2A"/>
    <w:rsid w:val="00B10100"/>
    <w:rsid w:val="00B128E5"/>
    <w:rsid w:val="00B13681"/>
    <w:rsid w:val="00B13BCE"/>
    <w:rsid w:val="00B15DCD"/>
    <w:rsid w:val="00B16201"/>
    <w:rsid w:val="00B17E71"/>
    <w:rsid w:val="00B17FDE"/>
    <w:rsid w:val="00B208FC"/>
    <w:rsid w:val="00B20C65"/>
    <w:rsid w:val="00B22E17"/>
    <w:rsid w:val="00B25567"/>
    <w:rsid w:val="00B25E31"/>
    <w:rsid w:val="00B266C5"/>
    <w:rsid w:val="00B27293"/>
    <w:rsid w:val="00B300E8"/>
    <w:rsid w:val="00B301BB"/>
    <w:rsid w:val="00B321E3"/>
    <w:rsid w:val="00B3229E"/>
    <w:rsid w:val="00B32DDB"/>
    <w:rsid w:val="00B3447A"/>
    <w:rsid w:val="00B3448C"/>
    <w:rsid w:val="00B34931"/>
    <w:rsid w:val="00B35174"/>
    <w:rsid w:val="00B35BEA"/>
    <w:rsid w:val="00B365CB"/>
    <w:rsid w:val="00B37915"/>
    <w:rsid w:val="00B3793D"/>
    <w:rsid w:val="00B41BE6"/>
    <w:rsid w:val="00B42831"/>
    <w:rsid w:val="00B428A4"/>
    <w:rsid w:val="00B457E7"/>
    <w:rsid w:val="00B45D1B"/>
    <w:rsid w:val="00B45DE5"/>
    <w:rsid w:val="00B46D25"/>
    <w:rsid w:val="00B47430"/>
    <w:rsid w:val="00B47AC6"/>
    <w:rsid w:val="00B52D2D"/>
    <w:rsid w:val="00B534EF"/>
    <w:rsid w:val="00B548DA"/>
    <w:rsid w:val="00B55BA8"/>
    <w:rsid w:val="00B55F15"/>
    <w:rsid w:val="00B561A6"/>
    <w:rsid w:val="00B57CC4"/>
    <w:rsid w:val="00B60062"/>
    <w:rsid w:val="00B62960"/>
    <w:rsid w:val="00B63A11"/>
    <w:rsid w:val="00B63FD0"/>
    <w:rsid w:val="00B6493D"/>
    <w:rsid w:val="00B6553E"/>
    <w:rsid w:val="00B65C84"/>
    <w:rsid w:val="00B6608F"/>
    <w:rsid w:val="00B73180"/>
    <w:rsid w:val="00B74317"/>
    <w:rsid w:val="00B75700"/>
    <w:rsid w:val="00B760C1"/>
    <w:rsid w:val="00B76D1E"/>
    <w:rsid w:val="00B77BC8"/>
    <w:rsid w:val="00B77FB7"/>
    <w:rsid w:val="00B800EB"/>
    <w:rsid w:val="00B822D2"/>
    <w:rsid w:val="00B823F1"/>
    <w:rsid w:val="00B831B4"/>
    <w:rsid w:val="00B83D46"/>
    <w:rsid w:val="00B848B8"/>
    <w:rsid w:val="00B84A41"/>
    <w:rsid w:val="00B84D57"/>
    <w:rsid w:val="00B8504B"/>
    <w:rsid w:val="00B853C2"/>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979A0"/>
    <w:rsid w:val="00BA094F"/>
    <w:rsid w:val="00BA0DED"/>
    <w:rsid w:val="00BA0F99"/>
    <w:rsid w:val="00BA6D2C"/>
    <w:rsid w:val="00BB0274"/>
    <w:rsid w:val="00BB0B13"/>
    <w:rsid w:val="00BB1CFD"/>
    <w:rsid w:val="00BB2C53"/>
    <w:rsid w:val="00BB32DA"/>
    <w:rsid w:val="00BB3A54"/>
    <w:rsid w:val="00BB462A"/>
    <w:rsid w:val="00BB4D26"/>
    <w:rsid w:val="00BB4E21"/>
    <w:rsid w:val="00BB7746"/>
    <w:rsid w:val="00BC22EB"/>
    <w:rsid w:val="00BC682B"/>
    <w:rsid w:val="00BC68BA"/>
    <w:rsid w:val="00BC6B04"/>
    <w:rsid w:val="00BC6D27"/>
    <w:rsid w:val="00BD059A"/>
    <w:rsid w:val="00BD0CBB"/>
    <w:rsid w:val="00BD186B"/>
    <w:rsid w:val="00BD1EAC"/>
    <w:rsid w:val="00BD254C"/>
    <w:rsid w:val="00BD3428"/>
    <w:rsid w:val="00BD366B"/>
    <w:rsid w:val="00BD5298"/>
    <w:rsid w:val="00BD534C"/>
    <w:rsid w:val="00BD557B"/>
    <w:rsid w:val="00BD55A9"/>
    <w:rsid w:val="00BD56BC"/>
    <w:rsid w:val="00BD5D91"/>
    <w:rsid w:val="00BD6445"/>
    <w:rsid w:val="00BD6615"/>
    <w:rsid w:val="00BD6D50"/>
    <w:rsid w:val="00BE0D79"/>
    <w:rsid w:val="00BE0DB0"/>
    <w:rsid w:val="00BE15B9"/>
    <w:rsid w:val="00BE2C15"/>
    <w:rsid w:val="00BE3381"/>
    <w:rsid w:val="00BE3F09"/>
    <w:rsid w:val="00BE670A"/>
    <w:rsid w:val="00BE6906"/>
    <w:rsid w:val="00BF18F4"/>
    <w:rsid w:val="00BF1A69"/>
    <w:rsid w:val="00BF3BC8"/>
    <w:rsid w:val="00BF3DF1"/>
    <w:rsid w:val="00BF4C31"/>
    <w:rsid w:val="00BF4E57"/>
    <w:rsid w:val="00BF53B8"/>
    <w:rsid w:val="00BF786A"/>
    <w:rsid w:val="00BF7CB8"/>
    <w:rsid w:val="00BF7F08"/>
    <w:rsid w:val="00C00831"/>
    <w:rsid w:val="00C00F20"/>
    <w:rsid w:val="00C01354"/>
    <w:rsid w:val="00C01700"/>
    <w:rsid w:val="00C01B84"/>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711F"/>
    <w:rsid w:val="00C17E38"/>
    <w:rsid w:val="00C2038A"/>
    <w:rsid w:val="00C205BF"/>
    <w:rsid w:val="00C20744"/>
    <w:rsid w:val="00C20B1C"/>
    <w:rsid w:val="00C20C4D"/>
    <w:rsid w:val="00C21D46"/>
    <w:rsid w:val="00C21F94"/>
    <w:rsid w:val="00C222A1"/>
    <w:rsid w:val="00C22C59"/>
    <w:rsid w:val="00C23371"/>
    <w:rsid w:val="00C23CBD"/>
    <w:rsid w:val="00C23D22"/>
    <w:rsid w:val="00C2463B"/>
    <w:rsid w:val="00C24E77"/>
    <w:rsid w:val="00C2732D"/>
    <w:rsid w:val="00C273C6"/>
    <w:rsid w:val="00C27913"/>
    <w:rsid w:val="00C3004E"/>
    <w:rsid w:val="00C300C6"/>
    <w:rsid w:val="00C30828"/>
    <w:rsid w:val="00C30924"/>
    <w:rsid w:val="00C31DD8"/>
    <w:rsid w:val="00C3271C"/>
    <w:rsid w:val="00C32A35"/>
    <w:rsid w:val="00C34FDE"/>
    <w:rsid w:val="00C35C16"/>
    <w:rsid w:val="00C36EC3"/>
    <w:rsid w:val="00C40E09"/>
    <w:rsid w:val="00C40F81"/>
    <w:rsid w:val="00C41463"/>
    <w:rsid w:val="00C41A06"/>
    <w:rsid w:val="00C41A72"/>
    <w:rsid w:val="00C42D45"/>
    <w:rsid w:val="00C43CB1"/>
    <w:rsid w:val="00C4422D"/>
    <w:rsid w:val="00C466D1"/>
    <w:rsid w:val="00C476C5"/>
    <w:rsid w:val="00C503B0"/>
    <w:rsid w:val="00C511C2"/>
    <w:rsid w:val="00C51F04"/>
    <w:rsid w:val="00C527C6"/>
    <w:rsid w:val="00C538FC"/>
    <w:rsid w:val="00C53CDB"/>
    <w:rsid w:val="00C53D82"/>
    <w:rsid w:val="00C54748"/>
    <w:rsid w:val="00C574CF"/>
    <w:rsid w:val="00C575FB"/>
    <w:rsid w:val="00C60696"/>
    <w:rsid w:val="00C60943"/>
    <w:rsid w:val="00C60EEF"/>
    <w:rsid w:val="00C610C5"/>
    <w:rsid w:val="00C6121D"/>
    <w:rsid w:val="00C615F1"/>
    <w:rsid w:val="00C61627"/>
    <w:rsid w:val="00C63B1A"/>
    <w:rsid w:val="00C64E60"/>
    <w:rsid w:val="00C657A4"/>
    <w:rsid w:val="00C66589"/>
    <w:rsid w:val="00C6736C"/>
    <w:rsid w:val="00C7179C"/>
    <w:rsid w:val="00C71A1D"/>
    <w:rsid w:val="00C71EC4"/>
    <w:rsid w:val="00C7410A"/>
    <w:rsid w:val="00C74791"/>
    <w:rsid w:val="00C7591E"/>
    <w:rsid w:val="00C75C7E"/>
    <w:rsid w:val="00C75C9B"/>
    <w:rsid w:val="00C76D8E"/>
    <w:rsid w:val="00C77833"/>
    <w:rsid w:val="00C80953"/>
    <w:rsid w:val="00C80C9B"/>
    <w:rsid w:val="00C8180B"/>
    <w:rsid w:val="00C8335E"/>
    <w:rsid w:val="00C83F9C"/>
    <w:rsid w:val="00C84CE3"/>
    <w:rsid w:val="00C85614"/>
    <w:rsid w:val="00C86127"/>
    <w:rsid w:val="00C9003C"/>
    <w:rsid w:val="00C90CF4"/>
    <w:rsid w:val="00C91C19"/>
    <w:rsid w:val="00C929A0"/>
    <w:rsid w:val="00C930FB"/>
    <w:rsid w:val="00C93389"/>
    <w:rsid w:val="00C937DB"/>
    <w:rsid w:val="00C94519"/>
    <w:rsid w:val="00C94E11"/>
    <w:rsid w:val="00C94E83"/>
    <w:rsid w:val="00C9567E"/>
    <w:rsid w:val="00C97038"/>
    <w:rsid w:val="00C97D46"/>
    <w:rsid w:val="00CA02B2"/>
    <w:rsid w:val="00CA0883"/>
    <w:rsid w:val="00CA1085"/>
    <w:rsid w:val="00CA140F"/>
    <w:rsid w:val="00CA25C2"/>
    <w:rsid w:val="00CA37BB"/>
    <w:rsid w:val="00CA37CA"/>
    <w:rsid w:val="00CA39E1"/>
    <w:rsid w:val="00CA5016"/>
    <w:rsid w:val="00CA5724"/>
    <w:rsid w:val="00CA6508"/>
    <w:rsid w:val="00CA6BA1"/>
    <w:rsid w:val="00CA6CD5"/>
    <w:rsid w:val="00CA6D0B"/>
    <w:rsid w:val="00CB1910"/>
    <w:rsid w:val="00CB2150"/>
    <w:rsid w:val="00CB28EE"/>
    <w:rsid w:val="00CB2B15"/>
    <w:rsid w:val="00CB2EEA"/>
    <w:rsid w:val="00CB39FE"/>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4F3D"/>
    <w:rsid w:val="00CC62AD"/>
    <w:rsid w:val="00CC6CA2"/>
    <w:rsid w:val="00CC7086"/>
    <w:rsid w:val="00CC7B80"/>
    <w:rsid w:val="00CD0080"/>
    <w:rsid w:val="00CD0779"/>
    <w:rsid w:val="00CD2B3C"/>
    <w:rsid w:val="00CD30F6"/>
    <w:rsid w:val="00CD4B29"/>
    <w:rsid w:val="00CD5493"/>
    <w:rsid w:val="00CD67CA"/>
    <w:rsid w:val="00CD6954"/>
    <w:rsid w:val="00CD6DA3"/>
    <w:rsid w:val="00CD6EF1"/>
    <w:rsid w:val="00CD7E35"/>
    <w:rsid w:val="00CE21C7"/>
    <w:rsid w:val="00CE2682"/>
    <w:rsid w:val="00CE2756"/>
    <w:rsid w:val="00CE442A"/>
    <w:rsid w:val="00CE4DEB"/>
    <w:rsid w:val="00CE57D8"/>
    <w:rsid w:val="00CE5F03"/>
    <w:rsid w:val="00CE617A"/>
    <w:rsid w:val="00CE6E3C"/>
    <w:rsid w:val="00CE7158"/>
    <w:rsid w:val="00CE797F"/>
    <w:rsid w:val="00CF107E"/>
    <w:rsid w:val="00CF15BF"/>
    <w:rsid w:val="00CF25D2"/>
    <w:rsid w:val="00CF28C2"/>
    <w:rsid w:val="00CF3D3A"/>
    <w:rsid w:val="00CF42BD"/>
    <w:rsid w:val="00CF51EC"/>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299"/>
    <w:rsid w:val="00D245BA"/>
    <w:rsid w:val="00D26923"/>
    <w:rsid w:val="00D27856"/>
    <w:rsid w:val="00D27D34"/>
    <w:rsid w:val="00D3006B"/>
    <w:rsid w:val="00D301CA"/>
    <w:rsid w:val="00D30740"/>
    <w:rsid w:val="00D31075"/>
    <w:rsid w:val="00D31445"/>
    <w:rsid w:val="00D31932"/>
    <w:rsid w:val="00D32AE0"/>
    <w:rsid w:val="00D360DA"/>
    <w:rsid w:val="00D374B3"/>
    <w:rsid w:val="00D37689"/>
    <w:rsid w:val="00D378CC"/>
    <w:rsid w:val="00D4042C"/>
    <w:rsid w:val="00D40B9E"/>
    <w:rsid w:val="00D41281"/>
    <w:rsid w:val="00D42312"/>
    <w:rsid w:val="00D433F5"/>
    <w:rsid w:val="00D43998"/>
    <w:rsid w:val="00D439C2"/>
    <w:rsid w:val="00D451E0"/>
    <w:rsid w:val="00D45A1D"/>
    <w:rsid w:val="00D4615E"/>
    <w:rsid w:val="00D4651F"/>
    <w:rsid w:val="00D478E2"/>
    <w:rsid w:val="00D5264C"/>
    <w:rsid w:val="00D547BA"/>
    <w:rsid w:val="00D55626"/>
    <w:rsid w:val="00D556BC"/>
    <w:rsid w:val="00D5626D"/>
    <w:rsid w:val="00D56631"/>
    <w:rsid w:val="00D577A4"/>
    <w:rsid w:val="00D57E4B"/>
    <w:rsid w:val="00D60277"/>
    <w:rsid w:val="00D60336"/>
    <w:rsid w:val="00D61B06"/>
    <w:rsid w:val="00D61F88"/>
    <w:rsid w:val="00D62688"/>
    <w:rsid w:val="00D62901"/>
    <w:rsid w:val="00D6345E"/>
    <w:rsid w:val="00D6470C"/>
    <w:rsid w:val="00D64853"/>
    <w:rsid w:val="00D64CB5"/>
    <w:rsid w:val="00D66D48"/>
    <w:rsid w:val="00D7162F"/>
    <w:rsid w:val="00D72897"/>
    <w:rsid w:val="00D73256"/>
    <w:rsid w:val="00D73A30"/>
    <w:rsid w:val="00D73E6F"/>
    <w:rsid w:val="00D74ABF"/>
    <w:rsid w:val="00D74C65"/>
    <w:rsid w:val="00D74E97"/>
    <w:rsid w:val="00D74F21"/>
    <w:rsid w:val="00D758D0"/>
    <w:rsid w:val="00D75DC2"/>
    <w:rsid w:val="00D75DC3"/>
    <w:rsid w:val="00D766EF"/>
    <w:rsid w:val="00D76C03"/>
    <w:rsid w:val="00D77F8D"/>
    <w:rsid w:val="00D80E07"/>
    <w:rsid w:val="00D8119B"/>
    <w:rsid w:val="00D81B44"/>
    <w:rsid w:val="00D82462"/>
    <w:rsid w:val="00D831C6"/>
    <w:rsid w:val="00D83EF3"/>
    <w:rsid w:val="00D84BD1"/>
    <w:rsid w:val="00D85773"/>
    <w:rsid w:val="00D85886"/>
    <w:rsid w:val="00D868CE"/>
    <w:rsid w:val="00D86DAE"/>
    <w:rsid w:val="00D90116"/>
    <w:rsid w:val="00D90C1E"/>
    <w:rsid w:val="00D91BDF"/>
    <w:rsid w:val="00D91F2C"/>
    <w:rsid w:val="00D9266B"/>
    <w:rsid w:val="00D93F09"/>
    <w:rsid w:val="00D94859"/>
    <w:rsid w:val="00D954C2"/>
    <w:rsid w:val="00D9640A"/>
    <w:rsid w:val="00D97BB8"/>
    <w:rsid w:val="00DA1318"/>
    <w:rsid w:val="00DA1382"/>
    <w:rsid w:val="00DA28B7"/>
    <w:rsid w:val="00DA2FE8"/>
    <w:rsid w:val="00DA4AF6"/>
    <w:rsid w:val="00DA7AB2"/>
    <w:rsid w:val="00DB016E"/>
    <w:rsid w:val="00DB06E9"/>
    <w:rsid w:val="00DB0BF3"/>
    <w:rsid w:val="00DB19BD"/>
    <w:rsid w:val="00DB1D55"/>
    <w:rsid w:val="00DB378E"/>
    <w:rsid w:val="00DB3C0D"/>
    <w:rsid w:val="00DB3E9D"/>
    <w:rsid w:val="00DB47B9"/>
    <w:rsid w:val="00DB4FB8"/>
    <w:rsid w:val="00DB53CE"/>
    <w:rsid w:val="00DB549D"/>
    <w:rsid w:val="00DB5792"/>
    <w:rsid w:val="00DB6A88"/>
    <w:rsid w:val="00DB7BA4"/>
    <w:rsid w:val="00DB7D77"/>
    <w:rsid w:val="00DC08D7"/>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D0726"/>
    <w:rsid w:val="00DD0821"/>
    <w:rsid w:val="00DD0E32"/>
    <w:rsid w:val="00DD1878"/>
    <w:rsid w:val="00DD1DC1"/>
    <w:rsid w:val="00DD2872"/>
    <w:rsid w:val="00DD2A62"/>
    <w:rsid w:val="00DD2BD0"/>
    <w:rsid w:val="00DD2BFE"/>
    <w:rsid w:val="00DD373E"/>
    <w:rsid w:val="00DD3867"/>
    <w:rsid w:val="00DD57AD"/>
    <w:rsid w:val="00DD7435"/>
    <w:rsid w:val="00DD7C6D"/>
    <w:rsid w:val="00DE009B"/>
    <w:rsid w:val="00DE08F8"/>
    <w:rsid w:val="00DE0C31"/>
    <w:rsid w:val="00DE0E40"/>
    <w:rsid w:val="00DE1460"/>
    <w:rsid w:val="00DE2ED9"/>
    <w:rsid w:val="00DE319A"/>
    <w:rsid w:val="00DF0615"/>
    <w:rsid w:val="00DF0DC3"/>
    <w:rsid w:val="00DF21FD"/>
    <w:rsid w:val="00DF2873"/>
    <w:rsid w:val="00DF293C"/>
    <w:rsid w:val="00DF34B2"/>
    <w:rsid w:val="00DF4C74"/>
    <w:rsid w:val="00DF5578"/>
    <w:rsid w:val="00DF6CF8"/>
    <w:rsid w:val="00DF78DD"/>
    <w:rsid w:val="00DF7FEC"/>
    <w:rsid w:val="00E01B16"/>
    <w:rsid w:val="00E01C0E"/>
    <w:rsid w:val="00E02086"/>
    <w:rsid w:val="00E023BE"/>
    <w:rsid w:val="00E02740"/>
    <w:rsid w:val="00E03B27"/>
    <w:rsid w:val="00E03B58"/>
    <w:rsid w:val="00E04694"/>
    <w:rsid w:val="00E049F6"/>
    <w:rsid w:val="00E04CA9"/>
    <w:rsid w:val="00E05B2B"/>
    <w:rsid w:val="00E05EAD"/>
    <w:rsid w:val="00E06A2A"/>
    <w:rsid w:val="00E07F05"/>
    <w:rsid w:val="00E106A2"/>
    <w:rsid w:val="00E127E1"/>
    <w:rsid w:val="00E12BCE"/>
    <w:rsid w:val="00E144D2"/>
    <w:rsid w:val="00E144D6"/>
    <w:rsid w:val="00E15346"/>
    <w:rsid w:val="00E15B7D"/>
    <w:rsid w:val="00E17C5F"/>
    <w:rsid w:val="00E2097E"/>
    <w:rsid w:val="00E215EA"/>
    <w:rsid w:val="00E21CAB"/>
    <w:rsid w:val="00E221FC"/>
    <w:rsid w:val="00E22E78"/>
    <w:rsid w:val="00E24619"/>
    <w:rsid w:val="00E25223"/>
    <w:rsid w:val="00E25999"/>
    <w:rsid w:val="00E263A8"/>
    <w:rsid w:val="00E30BEA"/>
    <w:rsid w:val="00E31764"/>
    <w:rsid w:val="00E3288A"/>
    <w:rsid w:val="00E32BC2"/>
    <w:rsid w:val="00E33313"/>
    <w:rsid w:val="00E34985"/>
    <w:rsid w:val="00E34E4A"/>
    <w:rsid w:val="00E365B3"/>
    <w:rsid w:val="00E366BB"/>
    <w:rsid w:val="00E372FD"/>
    <w:rsid w:val="00E37C45"/>
    <w:rsid w:val="00E40AAA"/>
    <w:rsid w:val="00E41A59"/>
    <w:rsid w:val="00E42444"/>
    <w:rsid w:val="00E438CF"/>
    <w:rsid w:val="00E43B06"/>
    <w:rsid w:val="00E43C41"/>
    <w:rsid w:val="00E4500E"/>
    <w:rsid w:val="00E450CE"/>
    <w:rsid w:val="00E45703"/>
    <w:rsid w:val="00E45A00"/>
    <w:rsid w:val="00E45CE7"/>
    <w:rsid w:val="00E4631F"/>
    <w:rsid w:val="00E46A4A"/>
    <w:rsid w:val="00E4793B"/>
    <w:rsid w:val="00E47CB8"/>
    <w:rsid w:val="00E522BB"/>
    <w:rsid w:val="00E52A3D"/>
    <w:rsid w:val="00E533B7"/>
    <w:rsid w:val="00E539E4"/>
    <w:rsid w:val="00E53C14"/>
    <w:rsid w:val="00E569C7"/>
    <w:rsid w:val="00E571F2"/>
    <w:rsid w:val="00E57429"/>
    <w:rsid w:val="00E60FCE"/>
    <w:rsid w:val="00E61EA8"/>
    <w:rsid w:val="00E62A33"/>
    <w:rsid w:val="00E63221"/>
    <w:rsid w:val="00E63EC6"/>
    <w:rsid w:val="00E64AE4"/>
    <w:rsid w:val="00E64CFF"/>
    <w:rsid w:val="00E64EA1"/>
    <w:rsid w:val="00E6582D"/>
    <w:rsid w:val="00E669C7"/>
    <w:rsid w:val="00E67611"/>
    <w:rsid w:val="00E70510"/>
    <w:rsid w:val="00E71262"/>
    <w:rsid w:val="00E71A58"/>
    <w:rsid w:val="00E737F6"/>
    <w:rsid w:val="00E7568F"/>
    <w:rsid w:val="00E764AE"/>
    <w:rsid w:val="00E7724B"/>
    <w:rsid w:val="00E80E31"/>
    <w:rsid w:val="00E81130"/>
    <w:rsid w:val="00E83DAB"/>
    <w:rsid w:val="00E84F21"/>
    <w:rsid w:val="00E8618A"/>
    <w:rsid w:val="00E90A4B"/>
    <w:rsid w:val="00E90D67"/>
    <w:rsid w:val="00E90F73"/>
    <w:rsid w:val="00E910A7"/>
    <w:rsid w:val="00E91607"/>
    <w:rsid w:val="00E921C7"/>
    <w:rsid w:val="00E92995"/>
    <w:rsid w:val="00E9446C"/>
    <w:rsid w:val="00E94612"/>
    <w:rsid w:val="00E95797"/>
    <w:rsid w:val="00E9682F"/>
    <w:rsid w:val="00E96A8D"/>
    <w:rsid w:val="00E972BA"/>
    <w:rsid w:val="00E97FA2"/>
    <w:rsid w:val="00EA06CB"/>
    <w:rsid w:val="00EA0AF3"/>
    <w:rsid w:val="00EA0C68"/>
    <w:rsid w:val="00EA19E2"/>
    <w:rsid w:val="00EA1CFB"/>
    <w:rsid w:val="00EA2169"/>
    <w:rsid w:val="00EA3EBE"/>
    <w:rsid w:val="00EA3FAC"/>
    <w:rsid w:val="00EA4153"/>
    <w:rsid w:val="00EA421A"/>
    <w:rsid w:val="00EA5CD6"/>
    <w:rsid w:val="00EA76FD"/>
    <w:rsid w:val="00EA77CA"/>
    <w:rsid w:val="00EA78FE"/>
    <w:rsid w:val="00EB03D4"/>
    <w:rsid w:val="00EB0555"/>
    <w:rsid w:val="00EB20A0"/>
    <w:rsid w:val="00EB2CE9"/>
    <w:rsid w:val="00EB30B6"/>
    <w:rsid w:val="00EB4FA4"/>
    <w:rsid w:val="00EB5146"/>
    <w:rsid w:val="00EB522B"/>
    <w:rsid w:val="00EB55E9"/>
    <w:rsid w:val="00EB5641"/>
    <w:rsid w:val="00EB5CA9"/>
    <w:rsid w:val="00EB5ED4"/>
    <w:rsid w:val="00EB6537"/>
    <w:rsid w:val="00EB70E1"/>
    <w:rsid w:val="00EB7EB5"/>
    <w:rsid w:val="00EC0860"/>
    <w:rsid w:val="00EC0EC1"/>
    <w:rsid w:val="00EC424C"/>
    <w:rsid w:val="00EC454B"/>
    <w:rsid w:val="00EC4941"/>
    <w:rsid w:val="00EC6153"/>
    <w:rsid w:val="00EC7F92"/>
    <w:rsid w:val="00ED00A8"/>
    <w:rsid w:val="00ED0A79"/>
    <w:rsid w:val="00ED2989"/>
    <w:rsid w:val="00ED2B0B"/>
    <w:rsid w:val="00ED2CA5"/>
    <w:rsid w:val="00ED336F"/>
    <w:rsid w:val="00ED3A94"/>
    <w:rsid w:val="00ED40F0"/>
    <w:rsid w:val="00ED4AC0"/>
    <w:rsid w:val="00ED54D6"/>
    <w:rsid w:val="00ED5726"/>
    <w:rsid w:val="00ED7C3C"/>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E75"/>
    <w:rsid w:val="00EF1D92"/>
    <w:rsid w:val="00EF1F5A"/>
    <w:rsid w:val="00EF3486"/>
    <w:rsid w:val="00EF3CF0"/>
    <w:rsid w:val="00EF4685"/>
    <w:rsid w:val="00EF5397"/>
    <w:rsid w:val="00EF6BE3"/>
    <w:rsid w:val="00F00D0E"/>
    <w:rsid w:val="00F00D3C"/>
    <w:rsid w:val="00F020EA"/>
    <w:rsid w:val="00F02A72"/>
    <w:rsid w:val="00F04811"/>
    <w:rsid w:val="00F0488C"/>
    <w:rsid w:val="00F0496E"/>
    <w:rsid w:val="00F04D10"/>
    <w:rsid w:val="00F053EA"/>
    <w:rsid w:val="00F0625B"/>
    <w:rsid w:val="00F068A8"/>
    <w:rsid w:val="00F06944"/>
    <w:rsid w:val="00F06C6F"/>
    <w:rsid w:val="00F0732D"/>
    <w:rsid w:val="00F101FF"/>
    <w:rsid w:val="00F104DF"/>
    <w:rsid w:val="00F10A33"/>
    <w:rsid w:val="00F10B64"/>
    <w:rsid w:val="00F1186C"/>
    <w:rsid w:val="00F11AD5"/>
    <w:rsid w:val="00F126D0"/>
    <w:rsid w:val="00F12A83"/>
    <w:rsid w:val="00F14ACD"/>
    <w:rsid w:val="00F15309"/>
    <w:rsid w:val="00F15BEF"/>
    <w:rsid w:val="00F160EC"/>
    <w:rsid w:val="00F172BE"/>
    <w:rsid w:val="00F1776C"/>
    <w:rsid w:val="00F2037E"/>
    <w:rsid w:val="00F20D17"/>
    <w:rsid w:val="00F2103E"/>
    <w:rsid w:val="00F214FC"/>
    <w:rsid w:val="00F21C31"/>
    <w:rsid w:val="00F23825"/>
    <w:rsid w:val="00F2389A"/>
    <w:rsid w:val="00F23F6C"/>
    <w:rsid w:val="00F23FFF"/>
    <w:rsid w:val="00F2441D"/>
    <w:rsid w:val="00F2490D"/>
    <w:rsid w:val="00F24FAA"/>
    <w:rsid w:val="00F2522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3921"/>
    <w:rsid w:val="00F44E1B"/>
    <w:rsid w:val="00F4524F"/>
    <w:rsid w:val="00F45530"/>
    <w:rsid w:val="00F4591F"/>
    <w:rsid w:val="00F47321"/>
    <w:rsid w:val="00F4736B"/>
    <w:rsid w:val="00F47804"/>
    <w:rsid w:val="00F47997"/>
    <w:rsid w:val="00F47D05"/>
    <w:rsid w:val="00F50030"/>
    <w:rsid w:val="00F502F5"/>
    <w:rsid w:val="00F50B9D"/>
    <w:rsid w:val="00F51FC9"/>
    <w:rsid w:val="00F529EE"/>
    <w:rsid w:val="00F52AE1"/>
    <w:rsid w:val="00F53243"/>
    <w:rsid w:val="00F541ED"/>
    <w:rsid w:val="00F54B31"/>
    <w:rsid w:val="00F54FD3"/>
    <w:rsid w:val="00F554F9"/>
    <w:rsid w:val="00F55605"/>
    <w:rsid w:val="00F56375"/>
    <w:rsid w:val="00F57CD7"/>
    <w:rsid w:val="00F6080A"/>
    <w:rsid w:val="00F61BFE"/>
    <w:rsid w:val="00F62F02"/>
    <w:rsid w:val="00F6339F"/>
    <w:rsid w:val="00F63DDE"/>
    <w:rsid w:val="00F63FB7"/>
    <w:rsid w:val="00F64726"/>
    <w:rsid w:val="00F64F44"/>
    <w:rsid w:val="00F6561A"/>
    <w:rsid w:val="00F66243"/>
    <w:rsid w:val="00F67BDA"/>
    <w:rsid w:val="00F70309"/>
    <w:rsid w:val="00F7078A"/>
    <w:rsid w:val="00F70E45"/>
    <w:rsid w:val="00F727D5"/>
    <w:rsid w:val="00F72F44"/>
    <w:rsid w:val="00F73A0C"/>
    <w:rsid w:val="00F7593B"/>
    <w:rsid w:val="00F759DC"/>
    <w:rsid w:val="00F76563"/>
    <w:rsid w:val="00F7717C"/>
    <w:rsid w:val="00F771A5"/>
    <w:rsid w:val="00F80D1E"/>
    <w:rsid w:val="00F817A4"/>
    <w:rsid w:val="00F81C3A"/>
    <w:rsid w:val="00F83573"/>
    <w:rsid w:val="00F835E1"/>
    <w:rsid w:val="00F835FC"/>
    <w:rsid w:val="00F8373A"/>
    <w:rsid w:val="00F83E21"/>
    <w:rsid w:val="00F83FA4"/>
    <w:rsid w:val="00F8410C"/>
    <w:rsid w:val="00F84E18"/>
    <w:rsid w:val="00F852E5"/>
    <w:rsid w:val="00F853A5"/>
    <w:rsid w:val="00F90350"/>
    <w:rsid w:val="00F91EAF"/>
    <w:rsid w:val="00F9310A"/>
    <w:rsid w:val="00F94681"/>
    <w:rsid w:val="00F95117"/>
    <w:rsid w:val="00F97ED2"/>
    <w:rsid w:val="00FA05D7"/>
    <w:rsid w:val="00FA16BD"/>
    <w:rsid w:val="00FA1992"/>
    <w:rsid w:val="00FA1C6C"/>
    <w:rsid w:val="00FA2447"/>
    <w:rsid w:val="00FA2A4A"/>
    <w:rsid w:val="00FA2BDE"/>
    <w:rsid w:val="00FA2C2A"/>
    <w:rsid w:val="00FA309A"/>
    <w:rsid w:val="00FA6B3F"/>
    <w:rsid w:val="00FA7644"/>
    <w:rsid w:val="00FB0A9A"/>
    <w:rsid w:val="00FB16AD"/>
    <w:rsid w:val="00FB1F21"/>
    <w:rsid w:val="00FB332E"/>
    <w:rsid w:val="00FB3763"/>
    <w:rsid w:val="00FB483B"/>
    <w:rsid w:val="00FB56F1"/>
    <w:rsid w:val="00FB5FD4"/>
    <w:rsid w:val="00FB6398"/>
    <w:rsid w:val="00FB67F3"/>
    <w:rsid w:val="00FB6AF4"/>
    <w:rsid w:val="00FC0D8A"/>
    <w:rsid w:val="00FC0E5F"/>
    <w:rsid w:val="00FC135D"/>
    <w:rsid w:val="00FC26FB"/>
    <w:rsid w:val="00FC2CF4"/>
    <w:rsid w:val="00FC3C84"/>
    <w:rsid w:val="00FC4660"/>
    <w:rsid w:val="00FC56DE"/>
    <w:rsid w:val="00FC5E01"/>
    <w:rsid w:val="00FC6140"/>
    <w:rsid w:val="00FC6DB5"/>
    <w:rsid w:val="00FD1261"/>
    <w:rsid w:val="00FD1627"/>
    <w:rsid w:val="00FD1BBD"/>
    <w:rsid w:val="00FD38B2"/>
    <w:rsid w:val="00FD43A0"/>
    <w:rsid w:val="00FD473D"/>
    <w:rsid w:val="00FD55B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8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s>
</file>

<file path=word/webSettings.xml><?xml version="1.0" encoding="utf-8"?>
<w:webSettings xmlns:r="http://schemas.openxmlformats.org/officeDocument/2006/relationships" xmlns:w="http://schemas.openxmlformats.org/wordprocessingml/2006/main">
  <w:divs>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Desktop\Anal&#253;za\2017Q2\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557159743329959E-2"/>
          <c:y val="2.1711264016309895E-2"/>
          <c:w val="0.93757303275920301"/>
          <c:h val="0.73130361364404695"/>
        </c:manualLayout>
      </c:layout>
      <c:barChart>
        <c:barDir val="col"/>
        <c:grouping val="clustered"/>
        <c:ser>
          <c:idx val="0"/>
          <c:order val="0"/>
          <c:tx>
            <c:strRef>
              <c:f>'Měnové podmínky 1'!$C$5</c:f>
              <c:strCache>
                <c:ptCount val="1"/>
                <c:pt idx="0">
                  <c:v>2T repo sazba</c:v>
                </c:pt>
              </c:strCache>
            </c:strRef>
          </c:tx>
          <c:spPr>
            <a:solidFill>
              <a:schemeClr val="bg1">
                <a:lumMod val="65000"/>
              </a:schemeClr>
            </a:solidFill>
          </c:spP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1'!$C$18:$C$71</c:f>
              <c:numCache>
                <c:formatCode>0.00</c:formatCode>
                <c:ptCount val="54"/>
                <c:pt idx="0">
                  <c:v>5.0000000000000017E-2</c:v>
                </c:pt>
                <c:pt idx="1">
                  <c:v>5.0000000000000017E-2</c:v>
                </c:pt>
                <c:pt idx="2">
                  <c:v>5.0000000000000017E-2</c:v>
                </c:pt>
                <c:pt idx="3">
                  <c:v>5.0000000000000017E-2</c:v>
                </c:pt>
                <c:pt idx="4">
                  <c:v>5.0000000000000017E-2</c:v>
                </c:pt>
                <c:pt idx="5">
                  <c:v>5.0000000000000017E-2</c:v>
                </c:pt>
                <c:pt idx="6">
                  <c:v>5.0000000000000017E-2</c:v>
                </c:pt>
                <c:pt idx="7">
                  <c:v>5.0000000000000017E-2</c:v>
                </c:pt>
                <c:pt idx="8">
                  <c:v>5.0000000000000017E-2</c:v>
                </c:pt>
                <c:pt idx="9">
                  <c:v>5.0000000000000017E-2</c:v>
                </c:pt>
                <c:pt idx="10">
                  <c:v>5.0000000000000017E-2</c:v>
                </c:pt>
                <c:pt idx="11">
                  <c:v>5.0000000000000017E-2</c:v>
                </c:pt>
                <c:pt idx="12">
                  <c:v>5.0000000000000017E-2</c:v>
                </c:pt>
                <c:pt idx="13">
                  <c:v>5.0000000000000017E-2</c:v>
                </c:pt>
                <c:pt idx="14">
                  <c:v>5.0000000000000017E-2</c:v>
                </c:pt>
                <c:pt idx="15">
                  <c:v>5.0000000000000017E-2</c:v>
                </c:pt>
                <c:pt idx="16">
                  <c:v>5.0000000000000017E-2</c:v>
                </c:pt>
                <c:pt idx="17">
                  <c:v>5.0000000000000017E-2</c:v>
                </c:pt>
                <c:pt idx="18">
                  <c:v>5.0000000000000017E-2</c:v>
                </c:pt>
                <c:pt idx="19">
                  <c:v>5.0000000000000017E-2</c:v>
                </c:pt>
                <c:pt idx="20">
                  <c:v>5.0000000000000017E-2</c:v>
                </c:pt>
                <c:pt idx="21">
                  <c:v>5.0000000000000017E-2</c:v>
                </c:pt>
                <c:pt idx="22">
                  <c:v>5.0000000000000017E-2</c:v>
                </c:pt>
                <c:pt idx="23">
                  <c:v>5.0000000000000017E-2</c:v>
                </c:pt>
                <c:pt idx="24">
                  <c:v>5.0000000000000017E-2</c:v>
                </c:pt>
                <c:pt idx="25">
                  <c:v>5.0000000000000017E-2</c:v>
                </c:pt>
                <c:pt idx="26">
                  <c:v>5.0000000000000017E-2</c:v>
                </c:pt>
                <c:pt idx="27">
                  <c:v>5.0000000000000017E-2</c:v>
                </c:pt>
                <c:pt idx="28">
                  <c:v>5.0000000000000017E-2</c:v>
                </c:pt>
                <c:pt idx="29">
                  <c:v>5.0000000000000017E-2</c:v>
                </c:pt>
                <c:pt idx="30">
                  <c:v>5.0000000000000017E-2</c:v>
                </c:pt>
                <c:pt idx="31">
                  <c:v>5.0000000000000017E-2</c:v>
                </c:pt>
                <c:pt idx="32">
                  <c:v>5.0000000000000017E-2</c:v>
                </c:pt>
                <c:pt idx="33">
                  <c:v>5.0000000000000017E-2</c:v>
                </c:pt>
                <c:pt idx="34">
                  <c:v>5.0000000000000017E-2</c:v>
                </c:pt>
                <c:pt idx="35">
                  <c:v>5.0000000000000017E-2</c:v>
                </c:pt>
                <c:pt idx="36">
                  <c:v>5.0000000000000017E-2</c:v>
                </c:pt>
                <c:pt idx="37">
                  <c:v>5.0000000000000017E-2</c:v>
                </c:pt>
                <c:pt idx="38">
                  <c:v>5.0000000000000017E-2</c:v>
                </c:pt>
                <c:pt idx="39">
                  <c:v>5.0000000000000017E-2</c:v>
                </c:pt>
                <c:pt idx="40">
                  <c:v>5.0000000000000017E-2</c:v>
                </c:pt>
                <c:pt idx="41">
                  <c:v>5.0000000000000017E-2</c:v>
                </c:pt>
                <c:pt idx="42">
                  <c:v>5.0000000000000017E-2</c:v>
                </c:pt>
                <c:pt idx="43">
                  <c:v>5.0000000000000017E-2</c:v>
                </c:pt>
                <c:pt idx="44">
                  <c:v>5.0000000000000017E-2</c:v>
                </c:pt>
                <c:pt idx="45">
                  <c:v>5.0000000000000017E-2</c:v>
                </c:pt>
                <c:pt idx="46">
                  <c:v>5.0000000000000017E-2</c:v>
                </c:pt>
                <c:pt idx="47">
                  <c:v>5.0000000000000017E-2</c:v>
                </c:pt>
                <c:pt idx="48" formatCode="General">
                  <c:v>5.0000000000000017E-2</c:v>
                </c:pt>
                <c:pt idx="49" formatCode="General">
                  <c:v>5.0000000000000017E-2</c:v>
                </c:pt>
                <c:pt idx="50" formatCode="General">
                  <c:v>5.0000000000000017E-2</c:v>
                </c:pt>
                <c:pt idx="51" formatCode="General">
                  <c:v>5.0000000000000017E-2</c:v>
                </c:pt>
                <c:pt idx="52" formatCode="General">
                  <c:v>5.0000000000000017E-2</c:v>
                </c:pt>
                <c:pt idx="53" formatCode="General">
                  <c:v>5.0000000000000017E-2</c:v>
                </c:pt>
              </c:numCache>
            </c:numRef>
          </c:val>
        </c:ser>
        <c:gapWidth val="31"/>
        <c:axId val="86073728"/>
        <c:axId val="86075264"/>
      </c:barChart>
      <c:lineChart>
        <c:grouping val="standard"/>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1'!$F$18:$F$71</c:f>
              <c:numCache>
                <c:formatCode>0.00</c:formatCode>
                <c:ptCount val="54"/>
                <c:pt idx="0">
                  <c:v>0.30000000000000027</c:v>
                </c:pt>
                <c:pt idx="1">
                  <c:v>0.36000000000000026</c:v>
                </c:pt>
                <c:pt idx="2">
                  <c:v>0.31000000000000028</c:v>
                </c:pt>
                <c:pt idx="3">
                  <c:v>0.30000000000000027</c:v>
                </c:pt>
                <c:pt idx="4">
                  <c:v>0.29000000000000026</c:v>
                </c:pt>
                <c:pt idx="5">
                  <c:v>0.43000000000000027</c:v>
                </c:pt>
                <c:pt idx="6">
                  <c:v>0.41000000000000025</c:v>
                </c:pt>
                <c:pt idx="7">
                  <c:v>0.4</c:v>
                </c:pt>
                <c:pt idx="8">
                  <c:v>0.37000000000000027</c:v>
                </c:pt>
                <c:pt idx="9">
                  <c:v>0.3300000000000004</c:v>
                </c:pt>
                <c:pt idx="10">
                  <c:v>0.2</c:v>
                </c:pt>
                <c:pt idx="11">
                  <c:v>0.19000000000000003</c:v>
                </c:pt>
                <c:pt idx="12">
                  <c:v>0.23</c:v>
                </c:pt>
                <c:pt idx="13">
                  <c:v>0.28000000000000008</c:v>
                </c:pt>
                <c:pt idx="14">
                  <c:v>0.26</c:v>
                </c:pt>
                <c:pt idx="15">
                  <c:v>0.23</c:v>
                </c:pt>
                <c:pt idx="16">
                  <c:v>0.21000000000000013</c:v>
                </c:pt>
                <c:pt idx="17">
                  <c:v>0.24000000000000013</c:v>
                </c:pt>
                <c:pt idx="18">
                  <c:v>0.23</c:v>
                </c:pt>
                <c:pt idx="19">
                  <c:v>0.18000000000000013</c:v>
                </c:pt>
                <c:pt idx="20">
                  <c:v>0.14000000000000001</c:v>
                </c:pt>
                <c:pt idx="21">
                  <c:v>0.1</c:v>
                </c:pt>
                <c:pt idx="22">
                  <c:v>0.12000000000000002</c:v>
                </c:pt>
                <c:pt idx="23">
                  <c:v>0.13</c:v>
                </c:pt>
                <c:pt idx="24">
                  <c:v>9.0000000000000052E-2</c:v>
                </c:pt>
                <c:pt idx="25">
                  <c:v>6.0000000000000039E-2</c:v>
                </c:pt>
                <c:pt idx="26">
                  <c:v>4.0000000000000029E-2</c:v>
                </c:pt>
                <c:pt idx="27">
                  <c:v>-3.0000000000000009E-2</c:v>
                </c:pt>
                <c:pt idx="28">
                  <c:v>4.0000000000000029E-2</c:v>
                </c:pt>
                <c:pt idx="29">
                  <c:v>0.11000000000000001</c:v>
                </c:pt>
                <c:pt idx="30">
                  <c:v>2.0000000000000014E-2</c:v>
                </c:pt>
                <c:pt idx="31">
                  <c:v>-7.0000000000000034E-2</c:v>
                </c:pt>
                <c:pt idx="32">
                  <c:v>-0.30000000000000027</c:v>
                </c:pt>
                <c:pt idx="33">
                  <c:v>-0.28000000000000008</c:v>
                </c:pt>
                <c:pt idx="34">
                  <c:v>-0.3300000000000004</c:v>
                </c:pt>
                <c:pt idx="35">
                  <c:v>-0.38000000000000034</c:v>
                </c:pt>
                <c:pt idx="36" formatCode="General">
                  <c:v>-0.21000000000000013</c:v>
                </c:pt>
                <c:pt idx="37" formatCode="General">
                  <c:v>-0.18000000000000013</c:v>
                </c:pt>
                <c:pt idx="38" formatCode="General">
                  <c:v>-0.17</c:v>
                </c:pt>
                <c:pt idx="39" formatCode="General">
                  <c:v>-8.0000000000000057E-2</c:v>
                </c:pt>
                <c:pt idx="40" formatCode="General">
                  <c:v>-4.0000000000000029E-2</c:v>
                </c:pt>
                <c:pt idx="41" formatCode="General">
                  <c:v>-5.0000000000000017E-2</c:v>
                </c:pt>
                <c:pt idx="42" formatCode="General">
                  <c:v>-0.13</c:v>
                </c:pt>
                <c:pt idx="43" formatCode="General">
                  <c:v>-0.22000000000000003</c:v>
                </c:pt>
                <c:pt idx="44" formatCode="General">
                  <c:v>-0.5</c:v>
                </c:pt>
                <c:pt idx="45" formatCode="General">
                  <c:v>-0.74000000000000055</c:v>
                </c:pt>
                <c:pt idx="46" formatCode="General">
                  <c:v>-0.73000000000000054</c:v>
                </c:pt>
                <c:pt idx="47" formatCode="General">
                  <c:v>-0.81</c:v>
                </c:pt>
                <c:pt idx="48" formatCode="General">
                  <c:v>-0.88000000000000012</c:v>
                </c:pt>
                <c:pt idx="49" formatCode="General">
                  <c:v>-0.53</c:v>
                </c:pt>
                <c:pt idx="50" formatCode="General">
                  <c:v>-0.44000000000000006</c:v>
                </c:pt>
                <c:pt idx="51" formatCode="General">
                  <c:v>-0.23</c:v>
                </c:pt>
                <c:pt idx="52" formatCode="General">
                  <c:v>-0.24000000000000013</c:v>
                </c:pt>
                <c:pt idx="53" formatCode="General">
                  <c:v>-0.25</c:v>
                </c:pt>
              </c:numCache>
            </c:numRef>
          </c:val>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1'!$D$18:$D$71</c:f>
              <c:numCache>
                <c:formatCode>0.00</c:formatCode>
                <c:ptCount val="54"/>
                <c:pt idx="0">
                  <c:v>0.5</c:v>
                </c:pt>
                <c:pt idx="1">
                  <c:v>0.5</c:v>
                </c:pt>
                <c:pt idx="2">
                  <c:v>0.49000000000000027</c:v>
                </c:pt>
                <c:pt idx="3">
                  <c:v>0.47000000000000008</c:v>
                </c:pt>
                <c:pt idx="4">
                  <c:v>0.46</c:v>
                </c:pt>
                <c:pt idx="5">
                  <c:v>0.46</c:v>
                </c:pt>
                <c:pt idx="6">
                  <c:v>0.46</c:v>
                </c:pt>
                <c:pt idx="7">
                  <c:v>0.46</c:v>
                </c:pt>
                <c:pt idx="8">
                  <c:v>0.45</c:v>
                </c:pt>
                <c:pt idx="9">
                  <c:v>0.45</c:v>
                </c:pt>
                <c:pt idx="10">
                  <c:v>0.4</c:v>
                </c:pt>
                <c:pt idx="11">
                  <c:v>0.38000000000000034</c:v>
                </c:pt>
                <c:pt idx="12">
                  <c:v>0.37000000000000027</c:v>
                </c:pt>
                <c:pt idx="13">
                  <c:v>0.37000000000000027</c:v>
                </c:pt>
                <c:pt idx="14">
                  <c:v>0.37000000000000027</c:v>
                </c:pt>
                <c:pt idx="15">
                  <c:v>0.37000000000000027</c:v>
                </c:pt>
                <c:pt idx="16">
                  <c:v>0.37000000000000027</c:v>
                </c:pt>
                <c:pt idx="17">
                  <c:v>0.35000000000000026</c:v>
                </c:pt>
                <c:pt idx="18">
                  <c:v>0.35000000000000026</c:v>
                </c:pt>
                <c:pt idx="19">
                  <c:v>0.35000000000000026</c:v>
                </c:pt>
                <c:pt idx="20">
                  <c:v>0.35000000000000026</c:v>
                </c:pt>
                <c:pt idx="21">
                  <c:v>0.35000000000000026</c:v>
                </c:pt>
                <c:pt idx="22">
                  <c:v>0.34000000000000008</c:v>
                </c:pt>
                <c:pt idx="23">
                  <c:v>0.34000000000000008</c:v>
                </c:pt>
                <c:pt idx="24">
                  <c:v>0.3300000000000004</c:v>
                </c:pt>
                <c:pt idx="25">
                  <c:v>0.3300000000000004</c:v>
                </c:pt>
                <c:pt idx="26">
                  <c:v>0.32000000000000034</c:v>
                </c:pt>
                <c:pt idx="27">
                  <c:v>0.31000000000000028</c:v>
                </c:pt>
                <c:pt idx="28">
                  <c:v>0.31000000000000028</c:v>
                </c:pt>
                <c:pt idx="29">
                  <c:v>0.31000000000000028</c:v>
                </c:pt>
                <c:pt idx="30">
                  <c:v>0.31000000000000028</c:v>
                </c:pt>
                <c:pt idx="31">
                  <c:v>0.31000000000000028</c:v>
                </c:pt>
                <c:pt idx="32">
                  <c:v>0.30000000000000027</c:v>
                </c:pt>
                <c:pt idx="33">
                  <c:v>0.29000000000000026</c:v>
                </c:pt>
                <c:pt idx="34">
                  <c:v>0.29000000000000026</c:v>
                </c:pt>
                <c:pt idx="35">
                  <c:v>0.29000000000000026</c:v>
                </c:pt>
                <c:pt idx="36">
                  <c:v>0.29000000000000026</c:v>
                </c:pt>
                <c:pt idx="37">
                  <c:v>0.28000000000000008</c:v>
                </c:pt>
                <c:pt idx="38">
                  <c:v>0.29000000000000026</c:v>
                </c:pt>
                <c:pt idx="39">
                  <c:v>0.29000000000000026</c:v>
                </c:pt>
                <c:pt idx="40">
                  <c:v>0.29000000000000026</c:v>
                </c:pt>
                <c:pt idx="41">
                  <c:v>0.29000000000000026</c:v>
                </c:pt>
                <c:pt idx="42">
                  <c:v>0.29000000000000026</c:v>
                </c:pt>
                <c:pt idx="43">
                  <c:v>0.29000000000000026</c:v>
                </c:pt>
                <c:pt idx="44">
                  <c:v>0.29000000000000026</c:v>
                </c:pt>
                <c:pt idx="45">
                  <c:v>0.29000000000000026</c:v>
                </c:pt>
                <c:pt idx="46">
                  <c:v>0.29000000000000026</c:v>
                </c:pt>
                <c:pt idx="47">
                  <c:v>0.29000000000000026</c:v>
                </c:pt>
                <c:pt idx="48" formatCode="General">
                  <c:v>0.28000000000000008</c:v>
                </c:pt>
                <c:pt idx="49" formatCode="General">
                  <c:v>0.28000000000000008</c:v>
                </c:pt>
                <c:pt idx="50" formatCode="General">
                  <c:v>0.28000000000000008</c:v>
                </c:pt>
                <c:pt idx="51" formatCode="General">
                  <c:v>0.29000000000000026</c:v>
                </c:pt>
                <c:pt idx="52" formatCode="General">
                  <c:v>0.30000000000000027</c:v>
                </c:pt>
                <c:pt idx="53" formatCode="General">
                  <c:v>0.30000000000000027</c:v>
                </c:pt>
              </c:numCache>
            </c:numRef>
          </c:val>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1'!$G$18:$G$71</c:f>
              <c:numCache>
                <c:formatCode>0.00</c:formatCode>
                <c:ptCount val="54"/>
                <c:pt idx="0">
                  <c:v>0.98</c:v>
                </c:pt>
                <c:pt idx="1">
                  <c:v>0.99</c:v>
                </c:pt>
                <c:pt idx="2">
                  <c:v>1.08</c:v>
                </c:pt>
                <c:pt idx="3">
                  <c:v>0.98</c:v>
                </c:pt>
                <c:pt idx="4">
                  <c:v>0.9</c:v>
                </c:pt>
                <c:pt idx="5">
                  <c:v>1.23</c:v>
                </c:pt>
                <c:pt idx="6">
                  <c:v>1.3900000000000001</c:v>
                </c:pt>
                <c:pt idx="7">
                  <c:v>1.3900000000000001</c:v>
                </c:pt>
                <c:pt idx="8">
                  <c:v>1.23</c:v>
                </c:pt>
                <c:pt idx="9">
                  <c:v>1.25</c:v>
                </c:pt>
                <c:pt idx="10">
                  <c:v>1.03</c:v>
                </c:pt>
                <c:pt idx="11">
                  <c:v>0.97000000000000042</c:v>
                </c:pt>
                <c:pt idx="12">
                  <c:v>1.0900000000000001</c:v>
                </c:pt>
                <c:pt idx="13">
                  <c:v>1.2</c:v>
                </c:pt>
                <c:pt idx="14">
                  <c:v>1.1399999999999988</c:v>
                </c:pt>
                <c:pt idx="15">
                  <c:v>0.99</c:v>
                </c:pt>
                <c:pt idx="16">
                  <c:v>0.8</c:v>
                </c:pt>
                <c:pt idx="17">
                  <c:v>0.68000000000000027</c:v>
                </c:pt>
                <c:pt idx="18">
                  <c:v>0.6500000000000008</c:v>
                </c:pt>
                <c:pt idx="19">
                  <c:v>0.62000000000000055</c:v>
                </c:pt>
                <c:pt idx="20">
                  <c:v>0.51</c:v>
                </c:pt>
                <c:pt idx="21">
                  <c:v>0.37000000000000027</c:v>
                </c:pt>
                <c:pt idx="22">
                  <c:v>0.24000000000000013</c:v>
                </c:pt>
                <c:pt idx="23">
                  <c:v>0.22000000000000003</c:v>
                </c:pt>
                <c:pt idx="24">
                  <c:v>0.13</c:v>
                </c:pt>
                <c:pt idx="25">
                  <c:v>0.17</c:v>
                </c:pt>
                <c:pt idx="26">
                  <c:v>0.14000000000000001</c:v>
                </c:pt>
                <c:pt idx="27">
                  <c:v>5.0000000000000017E-2</c:v>
                </c:pt>
                <c:pt idx="28">
                  <c:v>0.22000000000000003</c:v>
                </c:pt>
                <c:pt idx="29">
                  <c:v>0.43000000000000027</c:v>
                </c:pt>
                <c:pt idx="30">
                  <c:v>0.35000000000000026</c:v>
                </c:pt>
                <c:pt idx="31">
                  <c:v>0.2</c:v>
                </c:pt>
                <c:pt idx="32">
                  <c:v>6.0000000000000039E-2</c:v>
                </c:pt>
                <c:pt idx="33">
                  <c:v>-5.0000000000000017E-2</c:v>
                </c:pt>
                <c:pt idx="34">
                  <c:v>-5.0000000000000017E-2</c:v>
                </c:pt>
                <c:pt idx="35">
                  <c:v>-0.11000000000000001</c:v>
                </c:pt>
                <c:pt idx="36" formatCode="General">
                  <c:v>4.0000000000000029E-2</c:v>
                </c:pt>
                <c:pt idx="37" formatCode="General">
                  <c:v>-8.0000000000000057E-2</c:v>
                </c:pt>
                <c:pt idx="38" formatCode="General">
                  <c:v>-0.1</c:v>
                </c:pt>
                <c:pt idx="39" formatCode="General">
                  <c:v>4.0000000000000029E-2</c:v>
                </c:pt>
                <c:pt idx="40" formatCode="General">
                  <c:v>7.0000000000000034E-2</c:v>
                </c:pt>
                <c:pt idx="41" formatCode="General">
                  <c:v>5.0000000000000017E-2</c:v>
                </c:pt>
                <c:pt idx="42" formatCode="General">
                  <c:v>-2.0000000000000014E-2</c:v>
                </c:pt>
                <c:pt idx="43" formatCode="General">
                  <c:v>-9.0000000000000052E-2</c:v>
                </c:pt>
                <c:pt idx="44" formatCode="General">
                  <c:v>-0.19000000000000003</c:v>
                </c:pt>
                <c:pt idx="45" formatCode="General">
                  <c:v>-0.17</c:v>
                </c:pt>
                <c:pt idx="46" formatCode="General">
                  <c:v>-0.17</c:v>
                </c:pt>
                <c:pt idx="47" formatCode="General">
                  <c:v>-0.21000000000000013</c:v>
                </c:pt>
                <c:pt idx="48" formatCode="General">
                  <c:v>-0.22000000000000003</c:v>
                </c:pt>
                <c:pt idx="49" formatCode="General">
                  <c:v>9.0000000000000052E-2</c:v>
                </c:pt>
                <c:pt idx="50" formatCode="General">
                  <c:v>0.1</c:v>
                </c:pt>
                <c:pt idx="51" formatCode="General">
                  <c:v>0.16000000000000003</c:v>
                </c:pt>
                <c:pt idx="52" formatCode="General">
                  <c:v>4.0000000000000029E-2</c:v>
                </c:pt>
                <c:pt idx="53" formatCode="General">
                  <c:v>-3.0000000000000009E-2</c:v>
                </c:pt>
              </c:numCache>
            </c:numRef>
          </c:val>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1'!$E$18:$E$71</c:f>
              <c:numCache>
                <c:formatCode>0.00</c:formatCode>
                <c:ptCount val="54"/>
                <c:pt idx="0">
                  <c:v>0.86000000000000054</c:v>
                </c:pt>
                <c:pt idx="1">
                  <c:v>0.83000000000000052</c:v>
                </c:pt>
                <c:pt idx="2">
                  <c:v>0.78</c:v>
                </c:pt>
                <c:pt idx="3">
                  <c:v>0.76000000000000056</c:v>
                </c:pt>
                <c:pt idx="4">
                  <c:v>0.76000000000000056</c:v>
                </c:pt>
                <c:pt idx="5">
                  <c:v>0.76000000000000056</c:v>
                </c:pt>
                <c:pt idx="6">
                  <c:v>0.75000000000000056</c:v>
                </c:pt>
                <c:pt idx="7">
                  <c:v>0.75000000000000056</c:v>
                </c:pt>
                <c:pt idx="8">
                  <c:v>0.74000000000000055</c:v>
                </c:pt>
                <c:pt idx="9">
                  <c:v>0.73000000000000054</c:v>
                </c:pt>
                <c:pt idx="10">
                  <c:v>0.6500000000000008</c:v>
                </c:pt>
                <c:pt idx="11">
                  <c:v>0.61000000000000054</c:v>
                </c:pt>
                <c:pt idx="12">
                  <c:v>0.58000000000000018</c:v>
                </c:pt>
                <c:pt idx="13">
                  <c:v>0.55000000000000004</c:v>
                </c:pt>
                <c:pt idx="14">
                  <c:v>0.55000000000000004</c:v>
                </c:pt>
                <c:pt idx="15">
                  <c:v>0.55000000000000004</c:v>
                </c:pt>
                <c:pt idx="16">
                  <c:v>0.54</c:v>
                </c:pt>
                <c:pt idx="17">
                  <c:v>0.53</c:v>
                </c:pt>
                <c:pt idx="18">
                  <c:v>0.52</c:v>
                </c:pt>
                <c:pt idx="19">
                  <c:v>0.52</c:v>
                </c:pt>
                <c:pt idx="20">
                  <c:v>0.52</c:v>
                </c:pt>
                <c:pt idx="21">
                  <c:v>0.52</c:v>
                </c:pt>
                <c:pt idx="22">
                  <c:v>0.51</c:v>
                </c:pt>
                <c:pt idx="23">
                  <c:v>0.51</c:v>
                </c:pt>
                <c:pt idx="24">
                  <c:v>0.51</c:v>
                </c:pt>
                <c:pt idx="25">
                  <c:v>0.51</c:v>
                </c:pt>
                <c:pt idx="26">
                  <c:v>0.49000000000000027</c:v>
                </c:pt>
                <c:pt idx="27">
                  <c:v>0.48000000000000026</c:v>
                </c:pt>
                <c:pt idx="28">
                  <c:v>0.48000000000000026</c:v>
                </c:pt>
                <c:pt idx="29">
                  <c:v>0.48000000000000026</c:v>
                </c:pt>
                <c:pt idx="30">
                  <c:v>0.48000000000000026</c:v>
                </c:pt>
                <c:pt idx="31">
                  <c:v>0.48000000000000026</c:v>
                </c:pt>
                <c:pt idx="32">
                  <c:v>0.47000000000000008</c:v>
                </c:pt>
                <c:pt idx="33">
                  <c:v>0.46</c:v>
                </c:pt>
                <c:pt idx="34">
                  <c:v>0.46</c:v>
                </c:pt>
                <c:pt idx="35">
                  <c:v>0.46</c:v>
                </c:pt>
                <c:pt idx="36">
                  <c:v>0.45</c:v>
                </c:pt>
                <c:pt idx="37">
                  <c:v>0.45</c:v>
                </c:pt>
                <c:pt idx="38">
                  <c:v>0.45</c:v>
                </c:pt>
                <c:pt idx="39">
                  <c:v>0.45</c:v>
                </c:pt>
                <c:pt idx="40">
                  <c:v>0.45</c:v>
                </c:pt>
                <c:pt idx="41">
                  <c:v>0.45</c:v>
                </c:pt>
                <c:pt idx="42">
                  <c:v>0.45</c:v>
                </c:pt>
                <c:pt idx="43">
                  <c:v>0.45</c:v>
                </c:pt>
                <c:pt idx="44">
                  <c:v>0.45</c:v>
                </c:pt>
                <c:pt idx="45">
                  <c:v>0.45</c:v>
                </c:pt>
                <c:pt idx="46">
                  <c:v>0.45</c:v>
                </c:pt>
                <c:pt idx="47">
                  <c:v>0.45</c:v>
                </c:pt>
                <c:pt idx="48" formatCode="General">
                  <c:v>0.44000000000000006</c:v>
                </c:pt>
                <c:pt idx="49" formatCode="General">
                  <c:v>0.44000000000000006</c:v>
                </c:pt>
                <c:pt idx="50" formatCode="General">
                  <c:v>0.44000000000000006</c:v>
                </c:pt>
                <c:pt idx="51" formatCode="General">
                  <c:v>0.45</c:v>
                </c:pt>
                <c:pt idx="52" formatCode="General">
                  <c:v>0.46</c:v>
                </c:pt>
                <c:pt idx="53" formatCode="General">
                  <c:v>0.46</c:v>
                </c:pt>
              </c:numCache>
            </c:numRef>
          </c:val>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1'!$A$18:$B$71</c:f>
              <c:multiLvlStrCache>
                <c:ptCount val="54"/>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lvl>
                <c:lvl>
                  <c:pt idx="0">
                    <c:v>2013</c:v>
                  </c:pt>
                  <c:pt idx="12">
                    <c:v>2014</c:v>
                  </c:pt>
                  <c:pt idx="24">
                    <c:v>2015</c:v>
                  </c:pt>
                  <c:pt idx="36">
                    <c:v>2016</c:v>
                  </c:pt>
                  <c:pt idx="48">
                    <c:v>2017</c:v>
                  </c:pt>
                </c:lvl>
              </c:multiLvlStrCache>
            </c:multiLvlStrRef>
          </c:cat>
          <c:val>
            <c:numRef>
              <c:f>'Měnové podmínky 1'!$H$18:$H$71</c:f>
              <c:numCache>
                <c:formatCode>0.00</c:formatCode>
                <c:ptCount val="54"/>
                <c:pt idx="0">
                  <c:v>1.9600000000000009</c:v>
                </c:pt>
                <c:pt idx="1">
                  <c:v>2.0099999999999998</c:v>
                </c:pt>
                <c:pt idx="2">
                  <c:v>1.9800000000000009</c:v>
                </c:pt>
                <c:pt idx="3">
                  <c:v>1.82</c:v>
                </c:pt>
                <c:pt idx="4">
                  <c:v>1.670000000000001</c:v>
                </c:pt>
                <c:pt idx="5">
                  <c:v>2.14</c:v>
                </c:pt>
                <c:pt idx="6">
                  <c:v>2.23</c:v>
                </c:pt>
                <c:pt idx="7">
                  <c:v>2.4</c:v>
                </c:pt>
                <c:pt idx="8">
                  <c:v>2.42</c:v>
                </c:pt>
                <c:pt idx="9">
                  <c:v>2.3299999999999987</c:v>
                </c:pt>
                <c:pt idx="10">
                  <c:v>2.1800000000000002</c:v>
                </c:pt>
                <c:pt idx="11">
                  <c:v>2.2000000000000002</c:v>
                </c:pt>
                <c:pt idx="12">
                  <c:v>2.4299999999999997</c:v>
                </c:pt>
                <c:pt idx="13">
                  <c:v>2.2799999999999998</c:v>
                </c:pt>
                <c:pt idx="14">
                  <c:v>2.2000000000000002</c:v>
                </c:pt>
                <c:pt idx="15">
                  <c:v>2</c:v>
                </c:pt>
                <c:pt idx="16">
                  <c:v>1.7300000000000002</c:v>
                </c:pt>
                <c:pt idx="17">
                  <c:v>1.55</c:v>
                </c:pt>
                <c:pt idx="18">
                  <c:v>1.49</c:v>
                </c:pt>
                <c:pt idx="19">
                  <c:v>1.3800000000000001</c:v>
                </c:pt>
                <c:pt idx="20">
                  <c:v>1.21</c:v>
                </c:pt>
                <c:pt idx="21">
                  <c:v>1.1000000000000001</c:v>
                </c:pt>
                <c:pt idx="22">
                  <c:v>0.87000000000000055</c:v>
                </c:pt>
                <c:pt idx="23">
                  <c:v>0.67000000000000082</c:v>
                </c:pt>
                <c:pt idx="24">
                  <c:v>0.35000000000000026</c:v>
                </c:pt>
                <c:pt idx="25">
                  <c:v>0.4</c:v>
                </c:pt>
                <c:pt idx="26">
                  <c:v>0.35000000000000026</c:v>
                </c:pt>
                <c:pt idx="27">
                  <c:v>0.26</c:v>
                </c:pt>
                <c:pt idx="28">
                  <c:v>0.60000000000000053</c:v>
                </c:pt>
                <c:pt idx="29">
                  <c:v>1.01</c:v>
                </c:pt>
                <c:pt idx="30">
                  <c:v>0.97000000000000042</c:v>
                </c:pt>
                <c:pt idx="31">
                  <c:v>0.74000000000000055</c:v>
                </c:pt>
                <c:pt idx="32">
                  <c:v>0.68000000000000027</c:v>
                </c:pt>
                <c:pt idx="33">
                  <c:v>0.56000000000000005</c:v>
                </c:pt>
                <c:pt idx="34">
                  <c:v>0.49000000000000027</c:v>
                </c:pt>
                <c:pt idx="35">
                  <c:v>0.49000000000000027</c:v>
                </c:pt>
                <c:pt idx="36" formatCode="General">
                  <c:v>0.62000000000000055</c:v>
                </c:pt>
                <c:pt idx="37" formatCode="General">
                  <c:v>0.46</c:v>
                </c:pt>
                <c:pt idx="38" formatCode="General">
                  <c:v>0.35000000000000026</c:v>
                </c:pt>
                <c:pt idx="39" formatCode="General">
                  <c:v>0.43000000000000027</c:v>
                </c:pt>
                <c:pt idx="40" formatCode="General">
                  <c:v>0.46</c:v>
                </c:pt>
                <c:pt idx="41" formatCode="General">
                  <c:v>0.45</c:v>
                </c:pt>
                <c:pt idx="42" formatCode="General">
                  <c:v>0.37000000000000027</c:v>
                </c:pt>
                <c:pt idx="43" formatCode="General">
                  <c:v>0.29000000000000026</c:v>
                </c:pt>
                <c:pt idx="44" formatCode="General">
                  <c:v>0.25</c:v>
                </c:pt>
                <c:pt idx="45" formatCode="General">
                  <c:v>0.37000000000000027</c:v>
                </c:pt>
                <c:pt idx="46" formatCode="General">
                  <c:v>0.55000000000000004</c:v>
                </c:pt>
                <c:pt idx="47" formatCode="General">
                  <c:v>0.53</c:v>
                </c:pt>
                <c:pt idx="48" formatCode="General">
                  <c:v>0.47000000000000008</c:v>
                </c:pt>
                <c:pt idx="49" formatCode="General">
                  <c:v>0.63000000000000056</c:v>
                </c:pt>
                <c:pt idx="50" formatCode="General">
                  <c:v>0.87000000000000055</c:v>
                </c:pt>
                <c:pt idx="51" formatCode="General">
                  <c:v>0.96000000000000052</c:v>
                </c:pt>
                <c:pt idx="52" formatCode="General">
                  <c:v>0.74000000000000055</c:v>
                </c:pt>
                <c:pt idx="53" formatCode="General">
                  <c:v>0.77000000000000046</c:v>
                </c:pt>
              </c:numCache>
            </c:numRef>
          </c:val>
        </c:ser>
        <c:marker val="1"/>
        <c:axId val="86073728"/>
        <c:axId val="86075264"/>
      </c:lineChart>
      <c:catAx>
        <c:axId val="86073728"/>
        <c:scaling>
          <c:orientation val="minMax"/>
        </c:scaling>
        <c:axPos val="b"/>
        <c:tickLblPos val="low"/>
        <c:spPr>
          <a:ln>
            <a:solidFill>
              <a:schemeClr val="tx1"/>
            </a:solidFill>
          </a:ln>
        </c:spPr>
        <c:crossAx val="86075264"/>
        <c:crosses val="autoZero"/>
        <c:auto val="1"/>
        <c:lblAlgn val="ctr"/>
        <c:lblOffset val="100"/>
      </c:catAx>
      <c:valAx>
        <c:axId val="86075264"/>
        <c:scaling>
          <c:orientation val="minMax"/>
          <c:min val="-1"/>
        </c:scaling>
        <c:axPos val="l"/>
        <c:majorGridlines>
          <c:spPr>
            <a:ln w="6350">
              <a:solidFill>
                <a:schemeClr val="bg1">
                  <a:lumMod val="75000"/>
                </a:schemeClr>
              </a:solidFill>
            </a:ln>
          </c:spPr>
        </c:majorGridlines>
        <c:numFmt formatCode="0" sourceLinked="0"/>
        <c:tickLblPos val="nextTo"/>
        <c:spPr>
          <a:ln>
            <a:solidFill>
              <a:schemeClr val="tx1"/>
            </a:solidFill>
          </a:ln>
        </c:spPr>
        <c:crossAx val="86073728"/>
        <c:crosses val="autoZero"/>
        <c:crossBetween val="between"/>
        <c:majorUnit val="1"/>
      </c:valAx>
      <c:spPr>
        <a:ln>
          <a:solidFill>
            <a:schemeClr val="tx1"/>
          </a:solidFill>
        </a:ln>
      </c:spPr>
    </c:plotArea>
    <c:legend>
      <c:legendPos val="b"/>
      <c:layout>
        <c:manualLayout>
          <c:xMode val="edge"/>
          <c:yMode val="edge"/>
          <c:x val="4.2139690982776555E-2"/>
          <c:y val="0.87558269120103249"/>
          <c:w val="0.93886651469098281"/>
          <c:h val="0.1101570592445996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324299223235513E-2"/>
          <c:y val="2.8593943487560648E-2"/>
          <c:w val="0.94514902060114991"/>
          <c:h val="0.69645164921760649"/>
        </c:manualLayout>
      </c:layout>
      <c:lineChart>
        <c:grouping val="standard"/>
        <c:ser>
          <c:idx val="5"/>
          <c:order val="0"/>
          <c:tx>
            <c:strRef>
              <c:f>List1!$G$112</c:f>
              <c:strCache>
                <c:ptCount val="1"/>
                <c:pt idx="0">
                  <c:v>Úvěry poskytnuté domácnostem, celkem</c:v>
                </c:pt>
              </c:strCache>
            </c:strRef>
          </c:tx>
          <c:spPr>
            <a:ln>
              <a:solidFill>
                <a:schemeClr val="accent2"/>
              </a:solidFill>
            </a:ln>
          </c:spPr>
          <c:marker>
            <c:symbol val="none"/>
          </c:marker>
          <c:cat>
            <c:numRef>
              <c:f>List1!$A$113:$A$166</c:f>
              <c:numCache>
                <c:formatCode>d/m/yyyy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List1!$G$113:$G$166</c:f>
              <c:numCache>
                <c:formatCode>General</c:formatCode>
                <c:ptCount val="54"/>
                <c:pt idx="0">
                  <c:v>3.0877531589829359</c:v>
                </c:pt>
                <c:pt idx="1">
                  <c:v>2.9278034685920482</c:v>
                </c:pt>
                <c:pt idx="2">
                  <c:v>2.9903796480566442</c:v>
                </c:pt>
                <c:pt idx="3">
                  <c:v>3.0491710862186787</c:v>
                </c:pt>
                <c:pt idx="4">
                  <c:v>3.2681836889522247</c:v>
                </c:pt>
                <c:pt idx="5">
                  <c:v>3.2598708501961191</c:v>
                </c:pt>
                <c:pt idx="6">
                  <c:v>3.344199810319167</c:v>
                </c:pt>
                <c:pt idx="7">
                  <c:v>3.3966244329424837</c:v>
                </c:pt>
                <c:pt idx="8">
                  <c:v>3.64823783217444</c:v>
                </c:pt>
                <c:pt idx="9">
                  <c:v>3.7730480658831635</c:v>
                </c:pt>
                <c:pt idx="10">
                  <c:v>4.1470926324128712</c:v>
                </c:pt>
                <c:pt idx="11">
                  <c:v>4.2553330267144327</c:v>
                </c:pt>
                <c:pt idx="12">
                  <c:v>4.385947087867895</c:v>
                </c:pt>
                <c:pt idx="13">
                  <c:v>4.523376320619855</c:v>
                </c:pt>
                <c:pt idx="14">
                  <c:v>4.5787788541473873</c:v>
                </c:pt>
                <c:pt idx="15">
                  <c:v>4.6195922264676392</c:v>
                </c:pt>
                <c:pt idx="16">
                  <c:v>4.4666038944024775</c:v>
                </c:pt>
                <c:pt idx="17">
                  <c:v>4.5705616558670474</c:v>
                </c:pt>
                <c:pt idx="18">
                  <c:v>4.639428729321792</c:v>
                </c:pt>
                <c:pt idx="19">
                  <c:v>4.5792909559207065</c:v>
                </c:pt>
                <c:pt idx="20">
                  <c:v>4.6786005512983788</c:v>
                </c:pt>
                <c:pt idx="21">
                  <c:v>4.5573555013270992</c:v>
                </c:pt>
                <c:pt idx="22">
                  <c:v>4.201757946353287</c:v>
                </c:pt>
                <c:pt idx="23">
                  <c:v>4.0257950102231943</c:v>
                </c:pt>
                <c:pt idx="24">
                  <c:v>4.2393015171592854</c:v>
                </c:pt>
                <c:pt idx="25">
                  <c:v>4.2894597932710523</c:v>
                </c:pt>
                <c:pt idx="26">
                  <c:v>4.4648739564675655</c:v>
                </c:pt>
                <c:pt idx="27">
                  <c:v>4.6448907312726915</c:v>
                </c:pt>
                <c:pt idx="28">
                  <c:v>4.8200618655221303</c:v>
                </c:pt>
                <c:pt idx="29">
                  <c:v>6.6747817845361119</c:v>
                </c:pt>
                <c:pt idx="30">
                  <c:v>6.8504415341803977</c:v>
                </c:pt>
                <c:pt idx="31">
                  <c:v>6.9640912326651288</c:v>
                </c:pt>
                <c:pt idx="32">
                  <c:v>7.0196065423020144</c:v>
                </c:pt>
                <c:pt idx="33">
                  <c:v>7.1686339200419296</c:v>
                </c:pt>
                <c:pt idx="34">
                  <c:v>7.341832287265504</c:v>
                </c:pt>
                <c:pt idx="35">
                  <c:v>7.5776913826795331</c:v>
                </c:pt>
                <c:pt idx="36">
                  <c:v>7.067812170330944</c:v>
                </c:pt>
                <c:pt idx="37">
                  <c:v>7.4950875729483855</c:v>
                </c:pt>
                <c:pt idx="38">
                  <c:v>7.3168827874998454</c:v>
                </c:pt>
                <c:pt idx="39">
                  <c:v>7.5495713120857744</c:v>
                </c:pt>
                <c:pt idx="40">
                  <c:v>7.7297908124461694</c:v>
                </c:pt>
                <c:pt idx="41">
                  <c:v>6.2057314743048861</c:v>
                </c:pt>
                <c:pt idx="42">
                  <c:v>6.1984185695713299</c:v>
                </c:pt>
                <c:pt idx="43">
                  <c:v>6.5369772527276995</c:v>
                </c:pt>
                <c:pt idx="44">
                  <c:v>6.7135942644571305</c:v>
                </c:pt>
                <c:pt idx="45">
                  <c:v>7.0064612623712383</c:v>
                </c:pt>
                <c:pt idx="46">
                  <c:v>7.3214465009951715</c:v>
                </c:pt>
                <c:pt idx="47">
                  <c:v>7.0472108710942374</c:v>
                </c:pt>
                <c:pt idx="48">
                  <c:v>7.8299596627664068</c:v>
                </c:pt>
                <c:pt idx="49">
                  <c:v>7.7234451145493033</c:v>
                </c:pt>
                <c:pt idx="50">
                  <c:v>8.151635168774563</c:v>
                </c:pt>
                <c:pt idx="51">
                  <c:v>8.1117916123093003</c:v>
                </c:pt>
                <c:pt idx="52">
                  <c:v>8.2506757293459945</c:v>
                </c:pt>
                <c:pt idx="53">
                  <c:v>8.2739760406758673</c:v>
                </c:pt>
              </c:numCache>
            </c:numRef>
          </c:val>
        </c:ser>
        <c:ser>
          <c:idx val="3"/>
          <c:order val="1"/>
          <c:tx>
            <c:strRef>
              <c:f>List1!$E$112</c:f>
              <c:strCache>
                <c:ptCount val="1"/>
                <c:pt idx="0">
                  <c:v>Hypoteční úvěry</c:v>
                </c:pt>
              </c:strCache>
            </c:strRef>
          </c:tx>
          <c:spPr>
            <a:ln>
              <a:solidFill>
                <a:schemeClr val="tx2"/>
              </a:solidFill>
            </a:ln>
          </c:spPr>
          <c:marker>
            <c:symbol val="none"/>
          </c:marker>
          <c:cat>
            <c:numRef>
              <c:f>List1!$A$113:$A$166</c:f>
              <c:numCache>
                <c:formatCode>d/m/yyyy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List1!$E$113:$E$166</c:f>
              <c:numCache>
                <c:formatCode>General</c:formatCode>
                <c:ptCount val="54"/>
                <c:pt idx="0">
                  <c:v>6.2659736689504051</c:v>
                </c:pt>
                <c:pt idx="1">
                  <c:v>6.2647145285310133</c:v>
                </c:pt>
                <c:pt idx="2">
                  <c:v>6.2873648583460255</c:v>
                </c:pt>
                <c:pt idx="3">
                  <c:v>6.3598141546146127</c:v>
                </c:pt>
                <c:pt idx="4">
                  <c:v>6.3147119881366365</c:v>
                </c:pt>
                <c:pt idx="5">
                  <c:v>6.0275332348596775</c:v>
                </c:pt>
                <c:pt idx="6">
                  <c:v>6.3073525993761006</c:v>
                </c:pt>
                <c:pt idx="7">
                  <c:v>6.1541788048702761</c:v>
                </c:pt>
                <c:pt idx="8">
                  <c:v>6.4269032318838324</c:v>
                </c:pt>
                <c:pt idx="9">
                  <c:v>6.5725403255923593</c:v>
                </c:pt>
                <c:pt idx="10">
                  <c:v>6.5902633224374272</c:v>
                </c:pt>
                <c:pt idx="11">
                  <c:v>6.5837930483635434</c:v>
                </c:pt>
                <c:pt idx="12">
                  <c:v>6.6657491153861699</c:v>
                </c:pt>
                <c:pt idx="13">
                  <c:v>6.6271385083303302</c:v>
                </c:pt>
                <c:pt idx="14">
                  <c:v>6.6523157014405445</c:v>
                </c:pt>
                <c:pt idx="15">
                  <c:v>6.84692629086745</c:v>
                </c:pt>
                <c:pt idx="16">
                  <c:v>6.9247409315900263</c:v>
                </c:pt>
                <c:pt idx="17">
                  <c:v>7.0418709000086928</c:v>
                </c:pt>
                <c:pt idx="18">
                  <c:v>7.0931229496983326</c:v>
                </c:pt>
                <c:pt idx="19">
                  <c:v>6.9754005631693854</c:v>
                </c:pt>
                <c:pt idx="20">
                  <c:v>7.0577653257563284</c:v>
                </c:pt>
                <c:pt idx="21">
                  <c:v>6.9749589172601389</c:v>
                </c:pt>
                <c:pt idx="22">
                  <c:v>6.8848210515174069</c:v>
                </c:pt>
                <c:pt idx="23">
                  <c:v>6.734158667143479</c:v>
                </c:pt>
                <c:pt idx="24">
                  <c:v>6.7538184794027556</c:v>
                </c:pt>
                <c:pt idx="25">
                  <c:v>6.8192119643676969</c:v>
                </c:pt>
                <c:pt idx="26">
                  <c:v>6.931613707882069</c:v>
                </c:pt>
                <c:pt idx="27">
                  <c:v>6.992923516825968</c:v>
                </c:pt>
                <c:pt idx="28">
                  <c:v>7.2077782386553153</c:v>
                </c:pt>
                <c:pt idx="29">
                  <c:v>7.5191311706305966</c:v>
                </c:pt>
                <c:pt idx="30">
                  <c:v>7.7787091171226344</c:v>
                </c:pt>
                <c:pt idx="31">
                  <c:v>8.0645924907376472</c:v>
                </c:pt>
                <c:pt idx="32">
                  <c:v>8.1119422991750572</c:v>
                </c:pt>
                <c:pt idx="33">
                  <c:v>8.2444676425619683</c:v>
                </c:pt>
                <c:pt idx="34">
                  <c:v>8.5039301453452705</c:v>
                </c:pt>
                <c:pt idx="35">
                  <c:v>8.8021391300397767</c:v>
                </c:pt>
                <c:pt idx="36">
                  <c:v>8.2433204519407468</c:v>
                </c:pt>
                <c:pt idx="37">
                  <c:v>8.5537639741768956</c:v>
                </c:pt>
                <c:pt idx="38">
                  <c:v>8.4512781832215786</c:v>
                </c:pt>
                <c:pt idx="39">
                  <c:v>8.5388339561371289</c:v>
                </c:pt>
                <c:pt idx="40">
                  <c:v>8.5177496194520028</c:v>
                </c:pt>
                <c:pt idx="41">
                  <c:v>8.4668106074260567</c:v>
                </c:pt>
                <c:pt idx="42">
                  <c:v>8.2610326083827061</c:v>
                </c:pt>
                <c:pt idx="43">
                  <c:v>8.4220596847293248</c:v>
                </c:pt>
                <c:pt idx="44">
                  <c:v>8.5729843606208025</c:v>
                </c:pt>
                <c:pt idx="45">
                  <c:v>8.7715129103853968</c:v>
                </c:pt>
                <c:pt idx="46">
                  <c:v>9.0166696797666717</c:v>
                </c:pt>
                <c:pt idx="47">
                  <c:v>8.8500296876362547</c:v>
                </c:pt>
                <c:pt idx="48">
                  <c:v>9.6135419108468518</c:v>
                </c:pt>
                <c:pt idx="49">
                  <c:v>9.5803089393486527</c:v>
                </c:pt>
                <c:pt idx="50">
                  <c:v>10.048271879958047</c:v>
                </c:pt>
                <c:pt idx="51">
                  <c:v>10.026850666229175</c:v>
                </c:pt>
                <c:pt idx="52">
                  <c:v>10.245735949958217</c:v>
                </c:pt>
                <c:pt idx="53">
                  <c:v>10.300393885099821</c:v>
                </c:pt>
              </c:numCache>
            </c:numRef>
          </c:val>
        </c:ser>
        <c:ser>
          <c:idx val="4"/>
          <c:order val="2"/>
          <c:tx>
            <c:strRef>
              <c:f>List1!$F$112</c:f>
              <c:strCache>
                <c:ptCount val="1"/>
                <c:pt idx="0">
                  <c:v>Spotřebitelské úvěry</c:v>
                </c:pt>
              </c:strCache>
            </c:strRef>
          </c:tx>
          <c:spPr>
            <a:ln>
              <a:solidFill>
                <a:schemeClr val="accent3"/>
              </a:solidFill>
            </a:ln>
          </c:spPr>
          <c:marker>
            <c:symbol val="none"/>
          </c:marker>
          <c:cat>
            <c:numRef>
              <c:f>List1!$A$113:$A$166</c:f>
              <c:numCache>
                <c:formatCode>d/m/yyyy</c:formatCode>
                <c:ptCount val="54"/>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numCache>
            </c:numRef>
          </c:cat>
          <c:val>
            <c:numRef>
              <c:f>List1!$F$113:$F$166</c:f>
              <c:numCache>
                <c:formatCode>General</c:formatCode>
                <c:ptCount val="54"/>
                <c:pt idx="0">
                  <c:v>-1.6990520590717841</c:v>
                </c:pt>
                <c:pt idx="1">
                  <c:v>-1.8432599648818084</c:v>
                </c:pt>
                <c:pt idx="2">
                  <c:v>-1.7366525799200041</c:v>
                </c:pt>
                <c:pt idx="3">
                  <c:v>-1.1546640615192025</c:v>
                </c:pt>
                <c:pt idx="4">
                  <c:v>-0.92880417177445751</c:v>
                </c:pt>
                <c:pt idx="5">
                  <c:v>-1.1105780686565683</c:v>
                </c:pt>
                <c:pt idx="6">
                  <c:v>-0.36473133413138936</c:v>
                </c:pt>
                <c:pt idx="7">
                  <c:v>-0.12333482057492509</c:v>
                </c:pt>
                <c:pt idx="8">
                  <c:v>0.34049795114384984</c:v>
                </c:pt>
                <c:pt idx="9">
                  <c:v>0.62765881476797813</c:v>
                </c:pt>
                <c:pt idx="10">
                  <c:v>1.275342024704478</c:v>
                </c:pt>
                <c:pt idx="11">
                  <c:v>1.6804009179801986</c:v>
                </c:pt>
                <c:pt idx="12">
                  <c:v>1.9649039512889603</c:v>
                </c:pt>
                <c:pt idx="13">
                  <c:v>2.425614321429038</c:v>
                </c:pt>
                <c:pt idx="14">
                  <c:v>2.5340782816284677</c:v>
                </c:pt>
                <c:pt idx="15">
                  <c:v>1.4152701146683297</c:v>
                </c:pt>
                <c:pt idx="16">
                  <c:v>1.149210106381275</c:v>
                </c:pt>
                <c:pt idx="17">
                  <c:v>1.680463304883316</c:v>
                </c:pt>
                <c:pt idx="18">
                  <c:v>1.6263793068151648</c:v>
                </c:pt>
                <c:pt idx="19">
                  <c:v>1.507946890964375</c:v>
                </c:pt>
                <c:pt idx="20">
                  <c:v>1.1772730798033337</c:v>
                </c:pt>
                <c:pt idx="21">
                  <c:v>1.1884334930921678</c:v>
                </c:pt>
                <c:pt idx="22">
                  <c:v>1.3026792855574989</c:v>
                </c:pt>
                <c:pt idx="23">
                  <c:v>0.79115539184119787</c:v>
                </c:pt>
                <c:pt idx="24">
                  <c:v>1.175582651077435</c:v>
                </c:pt>
                <c:pt idx="25">
                  <c:v>-0.48835516693426301</c:v>
                </c:pt>
                <c:pt idx="26">
                  <c:v>-0.46004360232359676</c:v>
                </c:pt>
                <c:pt idx="27">
                  <c:v>0.65656559235211565</c:v>
                </c:pt>
                <c:pt idx="28">
                  <c:v>0.83457354160380004</c:v>
                </c:pt>
                <c:pt idx="29">
                  <c:v>6.6907643211475785</c:v>
                </c:pt>
                <c:pt idx="30">
                  <c:v>6.5743966419183604</c:v>
                </c:pt>
                <c:pt idx="31">
                  <c:v>6.5695582908020516</c:v>
                </c:pt>
                <c:pt idx="32">
                  <c:v>6.8487478645179056</c:v>
                </c:pt>
                <c:pt idx="33">
                  <c:v>6.5554225256861871</c:v>
                </c:pt>
                <c:pt idx="34">
                  <c:v>6.0691780821917884</c:v>
                </c:pt>
                <c:pt idx="35">
                  <c:v>6.7782485893366022</c:v>
                </c:pt>
                <c:pt idx="36">
                  <c:v>6.9299575737301105</c:v>
                </c:pt>
                <c:pt idx="37">
                  <c:v>10.610990094731683</c:v>
                </c:pt>
                <c:pt idx="38">
                  <c:v>9.6909346444927991</c:v>
                </c:pt>
                <c:pt idx="39">
                  <c:v>10.26732989676397</c:v>
                </c:pt>
                <c:pt idx="40">
                  <c:v>10.895937352084642</c:v>
                </c:pt>
                <c:pt idx="41">
                  <c:v>5.4234129861022264</c:v>
                </c:pt>
                <c:pt idx="42">
                  <c:v>5.7879621633562879</c:v>
                </c:pt>
                <c:pt idx="43">
                  <c:v>6.3311129976066294</c:v>
                </c:pt>
                <c:pt idx="44">
                  <c:v>6.7165403457560959</c:v>
                </c:pt>
                <c:pt idx="45">
                  <c:v>7.641791290366549</c:v>
                </c:pt>
                <c:pt idx="46">
                  <c:v>8.4129404022727599</c:v>
                </c:pt>
                <c:pt idx="47">
                  <c:v>8.5540802340946573</c:v>
                </c:pt>
                <c:pt idx="48">
                  <c:v>8.537359830463279</c:v>
                </c:pt>
                <c:pt idx="49">
                  <c:v>7.3542506609432765</c:v>
                </c:pt>
                <c:pt idx="50">
                  <c:v>8.1221782554393709</c:v>
                </c:pt>
                <c:pt idx="51">
                  <c:v>8.0579931280216588</c:v>
                </c:pt>
                <c:pt idx="52">
                  <c:v>8.0074345396605295</c:v>
                </c:pt>
                <c:pt idx="53">
                  <c:v>7.8367070380073418</c:v>
                </c:pt>
              </c:numCache>
            </c:numRef>
          </c:val>
        </c:ser>
        <c:marker val="1"/>
        <c:axId val="86121088"/>
        <c:axId val="86126976"/>
      </c:lineChart>
      <c:dateAx>
        <c:axId val="86121088"/>
        <c:scaling>
          <c:orientation val="minMax"/>
        </c:scaling>
        <c:axPos val="b"/>
        <c:numFmt formatCode="d/m/yyyy" sourceLinked="1"/>
        <c:tickLblPos val="low"/>
        <c:crossAx val="86126976"/>
        <c:crosses val="autoZero"/>
        <c:auto val="1"/>
        <c:lblOffset val="100"/>
      </c:dateAx>
      <c:valAx>
        <c:axId val="86126976"/>
        <c:scaling>
          <c:orientation val="minMax"/>
        </c:scaling>
        <c:axPos val="l"/>
        <c:majorGridlines/>
        <c:numFmt formatCode="General" sourceLinked="1"/>
        <c:tickLblPos val="nextTo"/>
        <c:crossAx val="86121088"/>
        <c:crosses val="autoZero"/>
        <c:crossBetween val="between"/>
      </c:valAx>
      <c:spPr>
        <a:ln>
          <a:solidFill>
            <a:sysClr val="windowText" lastClr="000000"/>
          </a:solidFill>
        </a:ln>
      </c:spPr>
    </c:plotArea>
    <c:legend>
      <c:legendPos val="r"/>
      <c:layout>
        <c:manualLayout>
          <c:xMode val="edge"/>
          <c:yMode val="edge"/>
          <c:x val="4.577085444106721E-2"/>
          <c:y val="0.88026258020938697"/>
          <c:w val="0.94618709895305642"/>
          <c:h val="0.11159011595181828"/>
        </c:manualLayout>
      </c:layout>
      <c:overlay val="1"/>
      <c:spPr>
        <a:ln>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E2376-70F9-4AC1-A7A4-C16642A299FB}">
  <ds:schemaRefs>
    <ds:schemaRef ds:uri="http://schemas.openxmlformats.org/officeDocument/2006/bibliography"/>
  </ds:schemaRefs>
</ds:datastoreItem>
</file>

<file path=customXml/itemProps2.xml><?xml version="1.0" encoding="utf-8"?>
<ds:datastoreItem xmlns:ds="http://schemas.openxmlformats.org/officeDocument/2006/customXml" ds:itemID="{83F5E66F-79E6-4BD6-9D23-223656D2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4</TotalTime>
  <Pages>1</Pages>
  <Words>703</Words>
  <Characters>4154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4848</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Ing. Karolína Súkupová</cp:lastModifiedBy>
  <cp:revision>5</cp:revision>
  <cp:lastPrinted>2017-03-16T10:07:00Z</cp:lastPrinted>
  <dcterms:created xsi:type="dcterms:W3CDTF">2017-09-20T13:13:00Z</dcterms:created>
  <dcterms:modified xsi:type="dcterms:W3CDTF">2017-09-20T13:35:00Z</dcterms:modified>
</cp:coreProperties>
</file>