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D1" w:rsidRDefault="00D84BD1" w:rsidP="00DD0726">
      <w:pPr>
        <w:pStyle w:val="Nadpis1"/>
        <w:numPr>
          <w:ilvl w:val="0"/>
          <w:numId w:val="12"/>
        </w:numPr>
        <w:ind w:left="709"/>
      </w:pPr>
      <w:bookmarkStart w:id="0" w:name="_Toc454185153"/>
      <w:bookmarkStart w:id="1" w:name="_Toc493683638"/>
      <w:r w:rsidRPr="0051593C">
        <w:t>Trh práce</w:t>
      </w:r>
      <w:bookmarkEnd w:id="0"/>
      <w:bookmarkEnd w:id="1"/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36710C" w:rsidRPr="00F06A1D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3804E1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Tempo růstu celkové zaměstnanosti výrazněji nepolevovalo. Práci mělo ve 2. 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č</w:t>
            </w:r>
            <w:r w:rsidRPr="003804E1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tvrtletí nejvíce lidí v 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historii</w:t>
            </w:r>
            <w:r w:rsidRPr="003804E1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 xml:space="preserve"> samostatné ČR.</w:t>
            </w: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36710C" w:rsidRPr="003804E1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Svižný růst zaměstnanosti byl letos patrný i v EU, jakož i ve všech státech sousedících s ČR.</w:t>
            </w:r>
          </w:p>
          <w:p w:rsidR="0036710C" w:rsidRPr="000C7A77" w:rsidRDefault="0036710C" w:rsidP="00853C0F">
            <w:pPr>
              <w:spacing w:line="240" w:lineRule="auto"/>
              <w:rPr>
                <w:rFonts w:cs="Arial"/>
                <w:color w:val="0D0D0D" w:themeColor="text1" w:themeTint="F2"/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36710C" w:rsidRPr="00A90EFD" w:rsidRDefault="0036710C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36710C" w:rsidRPr="00174670" w:rsidRDefault="0036710C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 w:rsidRPr="00174670">
              <w:rPr>
                <w:rFonts w:cs="Arial"/>
                <w:color w:val="0D0D0D" w:themeColor="text1" w:themeTint="F2"/>
                <w:spacing w:val="-2"/>
              </w:rPr>
              <w:t>Více než čtyři roky trvající hospodářský růst se plně promítal i do pracovního trhu. Tempo růstu celkové zaměstnanosti</w:t>
            </w:r>
            <w:r w:rsidRPr="00174670">
              <w:rPr>
                <w:rStyle w:val="Znakapoznpodarou"/>
                <w:color w:val="0D0D0D" w:themeColor="text1" w:themeTint="F2"/>
                <w:spacing w:val="-2"/>
              </w:rPr>
              <w:footnoteReference w:id="1"/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 xml:space="preserve">  nepolevovalo, me</w:t>
            </w:r>
            <w:r>
              <w:rPr>
                <w:rFonts w:cs="Arial"/>
                <w:color w:val="0D0D0D" w:themeColor="text1" w:themeTint="F2"/>
                <w:spacing w:val="-2"/>
              </w:rPr>
              <w:t>ziročně se v 1. pololetí zvýšilo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 xml:space="preserve"> o 1,4 % (obdobným tempem jako z</w:t>
            </w:r>
            <w:r>
              <w:rPr>
                <w:rFonts w:cs="Arial"/>
                <w:color w:val="0D0D0D" w:themeColor="text1" w:themeTint="F2"/>
                <w:spacing w:val="-2"/>
              </w:rPr>
              <w:t>a celý rok 2015 i 2016). Ve 2. č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 xml:space="preserve">tvrtletí 2017 se počet pracovníků v ekonomice </w:t>
            </w:r>
            <w:proofErr w:type="spellStart"/>
            <w:r>
              <w:rPr>
                <w:rFonts w:cs="Arial"/>
                <w:color w:val="0D0D0D" w:themeColor="text1" w:themeTint="F2"/>
                <w:spacing w:val="-2"/>
              </w:rPr>
              <w:t>mezikvartálně</w:t>
            </w:r>
            <w:proofErr w:type="spellEnd"/>
            <w:r>
              <w:rPr>
                <w:rFonts w:cs="Arial"/>
                <w:color w:val="0D0D0D" w:themeColor="text1" w:themeTint="F2"/>
                <w:spacing w:val="-2"/>
              </w:rPr>
              <w:t xml:space="preserve"> 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>navýšil o 0,4 %. Práci tak mělo 5,32 mil. lidí, nejvíce v historii samostatné ČR. Tempo růstu zaměstnanosti však nebylo v evropském kontextu nikterak ojedinělé. Počet pracovníků v EU se v 1. p</w:t>
            </w:r>
            <w:r w:rsidR="00E45703">
              <w:rPr>
                <w:rFonts w:cs="Arial"/>
                <w:color w:val="0D0D0D" w:themeColor="text1" w:themeTint="F2"/>
                <w:spacing w:val="-2"/>
              </w:rPr>
              <w:t>ololetí meziročně zvýšil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 xml:space="preserve"> o 1,5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%. M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 xml:space="preserve">írně vyšší tempa než ČR </w:t>
            </w:r>
            <w:r w:rsidR="00E45703">
              <w:rPr>
                <w:rFonts w:cs="Arial"/>
                <w:color w:val="0D0D0D" w:themeColor="text1" w:themeTint="F2"/>
                <w:spacing w:val="-2"/>
              </w:rPr>
              <w:t xml:space="preserve">ale 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 xml:space="preserve">vykazovaly i všechny sousední státy (nejvíce Slovensko +2,2 %). </w:t>
            </w:r>
            <w:r>
              <w:rPr>
                <w:rFonts w:cs="Arial"/>
                <w:color w:val="0D0D0D" w:themeColor="text1" w:themeTint="F2"/>
                <w:spacing w:val="-2"/>
              </w:rPr>
              <w:t>Výrazně příznivější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 xml:space="preserve"> postavení </w:t>
            </w:r>
            <w:r w:rsidR="00E45703">
              <w:rPr>
                <w:rFonts w:cs="Arial"/>
                <w:color w:val="0D0D0D" w:themeColor="text1" w:themeTint="F2"/>
                <w:spacing w:val="-2"/>
              </w:rPr>
              <w:t xml:space="preserve">v EU 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>mělo Česko</w:t>
            </w:r>
            <w:r w:rsidR="00E45703">
              <w:rPr>
                <w:rFonts w:cs="Arial"/>
                <w:color w:val="0D0D0D" w:themeColor="text1" w:themeTint="F2"/>
                <w:spacing w:val="-2"/>
              </w:rPr>
              <w:t xml:space="preserve"> díky vysoké míře zaměstnanosti. Zasloužily se o zejména muži, jejichž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 xml:space="preserve"> </w:t>
            </w:r>
            <w:r w:rsidR="00E45703">
              <w:rPr>
                <w:rFonts w:cs="Arial"/>
                <w:color w:val="0D0D0D" w:themeColor="text1" w:themeTint="F2"/>
                <w:spacing w:val="-2"/>
              </w:rPr>
              <w:t>míra zaměstnanosti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dosahovala na počátku roku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 xml:space="preserve"> </w:t>
            </w:r>
            <w:r w:rsidR="00A40F56">
              <w:rPr>
                <w:rFonts w:cs="Arial"/>
                <w:color w:val="0D0D0D" w:themeColor="text1" w:themeTint="F2"/>
                <w:spacing w:val="-2"/>
              </w:rPr>
              <w:t>nejvyšší hodnoty mezi státy Unie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. 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>Ze všech osob ve věku 15 –64 let jich ve 2. čtvrtletí 2017 pracovalo 73,3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%, meziročně o 1,6 </w:t>
            </w:r>
            <w:proofErr w:type="spellStart"/>
            <w:proofErr w:type="gramStart"/>
            <w:r>
              <w:rPr>
                <w:rFonts w:cs="Arial"/>
                <w:color w:val="0D0D0D" w:themeColor="text1" w:themeTint="F2"/>
                <w:spacing w:val="-2"/>
              </w:rPr>
              <w:t>p.b</w:t>
            </w:r>
            <w:proofErr w:type="spellEnd"/>
            <w:r>
              <w:rPr>
                <w:rFonts w:cs="Arial"/>
                <w:color w:val="0D0D0D" w:themeColor="text1" w:themeTint="F2"/>
                <w:spacing w:val="-2"/>
              </w:rPr>
              <w:t>. více</w:t>
            </w:r>
            <w:proofErr w:type="gramEnd"/>
            <w:r>
              <w:rPr>
                <w:rFonts w:cs="Arial"/>
                <w:color w:val="0D0D0D" w:themeColor="text1" w:themeTint="F2"/>
                <w:spacing w:val="-2"/>
              </w:rPr>
              <w:t xml:space="preserve"> – bez větších rozdílů mezi pohlavími. V dlouhodobějším pohledu však rostla míra zaměstnanosti žen dynamičtěji než v případě mužů – částečně vlivem rychlejšího posouvání hranice důchodového věku.</w:t>
            </w:r>
          </w:p>
          <w:p w:rsidR="0036710C" w:rsidRPr="00607C08" w:rsidRDefault="0036710C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3"/>
                <w:sz w:val="15"/>
                <w:szCs w:val="15"/>
              </w:rPr>
            </w:pPr>
          </w:p>
        </w:tc>
      </w:tr>
      <w:tr w:rsidR="0036710C" w:rsidRPr="0094422D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36710C" w:rsidRPr="000C7A77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0C7A77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Těžiště tvorby nových pracovních míst se postupně přesunulo ze zpracovatelského průmyslu do sektoru služeb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.</w:t>
            </w:r>
          </w:p>
          <w:p w:rsidR="0036710C" w:rsidRDefault="0036710C" w:rsidP="00853C0F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36710C" w:rsidRPr="001C4DD3" w:rsidRDefault="0036710C" w:rsidP="00853C0F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K meziročně vyšší zaměstnanosti přispívaly pátým čtvrtletím v řadě i</w:t>
            </w:r>
            <w:r w:rsidRPr="003804E1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 </w:t>
            </w:r>
            <w:proofErr w:type="spellStart"/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>sebezaměstnaní</w:t>
            </w:r>
            <w:proofErr w:type="spellEnd"/>
            <w:r>
              <w:rPr>
                <w:rFonts w:cs="Arial"/>
                <w:color w:val="0D0D0D" w:themeColor="text1" w:themeTint="F2"/>
                <w:spacing w:val="-2"/>
                <w:sz w:val="16"/>
                <w:szCs w:val="16"/>
              </w:rPr>
              <w:t xml:space="preserve">. </w:t>
            </w:r>
          </w:p>
        </w:tc>
        <w:tc>
          <w:tcPr>
            <w:tcW w:w="144" w:type="pct"/>
          </w:tcPr>
          <w:p w:rsidR="0036710C" w:rsidRPr="00A90EFD" w:rsidRDefault="0036710C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36710C" w:rsidRPr="00FF5A0D" w:rsidRDefault="0036710C" w:rsidP="00853C0F">
            <w:pPr>
              <w:pStyle w:val="Textpoznpodarou"/>
              <w:jc w:val="both"/>
              <w:rPr>
                <w:rFonts w:cs="Arial"/>
                <w:color w:val="000000" w:themeColor="text1"/>
                <w:spacing w:val="-4"/>
              </w:rPr>
            </w:pPr>
            <w:r>
              <w:rPr>
                <w:rFonts w:cs="Arial"/>
                <w:color w:val="000000" w:themeColor="text1"/>
                <w:spacing w:val="-4"/>
              </w:rPr>
              <w:t>K meziročnímu růstu celkové zaměstnanosti přispěli nejen zaměstnanci, ale i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> </w:t>
            </w:r>
            <w:proofErr w:type="spellStart"/>
            <w:r>
              <w:rPr>
                <w:rFonts w:cs="Arial"/>
                <w:color w:val="000000" w:themeColor="text1"/>
                <w:spacing w:val="-4"/>
              </w:rPr>
              <w:t>sebezaměstnaní</w:t>
            </w:r>
            <w:proofErr w:type="spellEnd"/>
            <w:r>
              <w:rPr>
                <w:rFonts w:cs="Arial"/>
                <w:color w:val="000000" w:themeColor="text1"/>
                <w:spacing w:val="-4"/>
              </w:rPr>
              <w:t>, jejichž stavy se navyšovaly již páté čtvrtletí v řadě. Z pohledu odvětví platilo, že těžiště růstu zaměstnanosti se stále více posouvalo do služeb. Tato tendence byla patrná již v roce 2016. Slábnoucí růstová tempa zaměstnanosti ve zpracovatelském průmyslu nenaznačují horší ekonomické vyhlídky tohoto odvětví, ale spíše vypovídají o sílících obtížích při hledání kvalifikovaných zaměstnanců. Nové pracovní pozice v terciárním sektoru vytvářely hlavně p</w:t>
            </w:r>
            <w:r w:rsidRPr="004C1899">
              <w:rPr>
                <w:rFonts w:cs="Arial"/>
                <w:color w:val="000000" w:themeColor="text1"/>
                <w:spacing w:val="-4"/>
              </w:rPr>
              <w:t>rofesní, vědecké, technické a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> </w:t>
            </w:r>
            <w:r w:rsidRPr="004C1899">
              <w:rPr>
                <w:rFonts w:cs="Arial"/>
                <w:color w:val="000000" w:themeColor="text1"/>
                <w:spacing w:val="-4"/>
              </w:rPr>
              <w:t>administrativní činnosti</w:t>
            </w:r>
            <w:r>
              <w:rPr>
                <w:rFonts w:cs="Arial"/>
                <w:color w:val="000000" w:themeColor="text1"/>
                <w:spacing w:val="-4"/>
              </w:rPr>
              <w:t>, v nichž v 1. pololetí růst zaměstnanosti zrychlil na 5,1 % (z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loňských 3,2 %). V podobném rozsahu přispělo k vyšší zaměstnanosti v celé ekonomice také váhově dominantní odvětví služeb – o</w:t>
            </w:r>
            <w:r w:rsidRPr="00D11EC7">
              <w:rPr>
                <w:rFonts w:cs="Arial"/>
                <w:color w:val="000000" w:themeColor="text1"/>
                <w:spacing w:val="-4"/>
              </w:rPr>
              <w:t>bchod, doprava, ubytování a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> </w:t>
            </w:r>
            <w:r w:rsidRPr="00D11EC7">
              <w:rPr>
                <w:rFonts w:cs="Arial"/>
                <w:color w:val="000000" w:themeColor="text1"/>
                <w:spacing w:val="-4"/>
              </w:rPr>
              <w:t>pohostinství</w:t>
            </w:r>
            <w:r>
              <w:rPr>
                <w:rFonts w:cs="Arial"/>
                <w:color w:val="000000" w:themeColor="text1"/>
                <w:spacing w:val="-4"/>
              </w:rPr>
              <w:t>, kde pracovalo o 1,9 % lidí více. Přetrvávala dlouhodobá poptávka po pracovnících v informačních a komunikačních činnostech, jejich počty se za posledních pět let navýšily o téměř 15 %. Naopak zaměstnanost v peněžnictví a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>pojišťovnictví se za stejné období významně nezměnila a proti první polovině roku</w:t>
            </w:r>
            <w:r w:rsidRPr="00174670">
              <w:rPr>
                <w:rFonts w:cs="Arial"/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00000" w:themeColor="text1"/>
                <w:spacing w:val="-4"/>
              </w:rPr>
              <w:t xml:space="preserve">2016 dokonce o 1,3 % poklesla (hlavně vlivem úbytku </w:t>
            </w:r>
            <w:proofErr w:type="spellStart"/>
            <w:r>
              <w:rPr>
                <w:rFonts w:cs="Arial"/>
                <w:color w:val="000000" w:themeColor="text1"/>
                <w:spacing w:val="-4"/>
              </w:rPr>
              <w:t>sebezaměstnaných</w:t>
            </w:r>
            <w:proofErr w:type="spellEnd"/>
            <w:r>
              <w:rPr>
                <w:rFonts w:cs="Arial"/>
                <w:color w:val="000000" w:themeColor="text1"/>
                <w:spacing w:val="-4"/>
              </w:rPr>
              <w:t xml:space="preserve">). </w:t>
            </w:r>
          </w:p>
        </w:tc>
      </w:tr>
    </w:tbl>
    <w:p w:rsidR="0036710C" w:rsidRPr="0036710C" w:rsidRDefault="0036710C" w:rsidP="0036710C">
      <w:pPr>
        <w:rPr>
          <w:sz w:val="15"/>
          <w:szCs w:val="15"/>
          <w:lang w:eastAsia="ar-SA"/>
        </w:rPr>
      </w:pPr>
    </w:p>
    <w:tbl>
      <w:tblPr>
        <w:tblW w:w="4977" w:type="pct"/>
        <w:tblInd w:w="80" w:type="dxa"/>
        <w:tblLayout w:type="fixed"/>
        <w:tblLook w:val="00A0"/>
      </w:tblPr>
      <w:tblGrid>
        <w:gridCol w:w="27"/>
        <w:gridCol w:w="1997"/>
        <w:gridCol w:w="20"/>
        <w:gridCol w:w="265"/>
        <w:gridCol w:w="10"/>
        <w:gridCol w:w="1108"/>
        <w:gridCol w:w="6266"/>
        <w:gridCol w:w="116"/>
      </w:tblGrid>
      <w:tr w:rsidR="0036710C" w:rsidRPr="00AA4A76" w:rsidTr="00853C0F">
        <w:trPr>
          <w:gridBefore w:val="1"/>
          <w:wBefore w:w="14" w:type="pct"/>
          <w:trHeight w:val="145"/>
        </w:trPr>
        <w:tc>
          <w:tcPr>
            <w:tcW w:w="1018" w:type="pct"/>
            <w:shd w:val="clear" w:color="auto" w:fill="auto"/>
          </w:tcPr>
          <w:p w:rsidR="0036710C" w:rsidRPr="00AA4A76" w:rsidRDefault="0036710C" w:rsidP="00853C0F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  <w:gridSpan w:val="2"/>
          </w:tcPr>
          <w:p w:rsidR="0036710C" w:rsidRPr="00AA4A76" w:rsidRDefault="0036710C" w:rsidP="00853C0F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0" w:type="pct"/>
            <w:gridSpan w:val="2"/>
          </w:tcPr>
          <w:p w:rsidR="0036710C" w:rsidRPr="00AA4A76" w:rsidRDefault="0036710C" w:rsidP="00853C0F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15</w:t>
            </w:r>
          </w:p>
        </w:tc>
        <w:tc>
          <w:tcPr>
            <w:tcW w:w="3253" w:type="pct"/>
            <w:gridSpan w:val="2"/>
          </w:tcPr>
          <w:p w:rsidR="0036710C" w:rsidRPr="000117D0" w:rsidRDefault="00E45703" w:rsidP="00853C0F">
            <w:pPr>
              <w:pStyle w:val="Textpoznpodarou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pracovníci</w:t>
            </w:r>
            <w:r w:rsidR="0036710C">
              <w:rPr>
                <w:b/>
                <w:lang w:eastAsia="en-US"/>
              </w:rPr>
              <w:t xml:space="preserve"> ve vybraných odvětvích </w:t>
            </w:r>
            <w:r w:rsidR="0036710C" w:rsidRPr="00886A8F">
              <w:rPr>
                <w:b/>
                <w:lang w:eastAsia="en-US"/>
              </w:rPr>
              <w:t xml:space="preserve">a </w:t>
            </w:r>
            <w:r w:rsidR="0036710C">
              <w:rPr>
                <w:b/>
                <w:lang w:eastAsia="en-US"/>
              </w:rPr>
              <w:t xml:space="preserve">celkový počet </w:t>
            </w:r>
            <w:r w:rsidR="0036710C" w:rsidRPr="00886A8F">
              <w:rPr>
                <w:b/>
                <w:lang w:eastAsia="en-US"/>
              </w:rPr>
              <w:t xml:space="preserve">zaměstnanců </w:t>
            </w:r>
            <w:r w:rsidR="0036710C">
              <w:rPr>
                <w:spacing w:val="-4"/>
                <w:lang w:eastAsia="en-US"/>
              </w:rPr>
              <w:t>(</w:t>
            </w:r>
            <w:r w:rsidR="0036710C" w:rsidRPr="00582DA0">
              <w:rPr>
                <w:spacing w:val="-4"/>
                <w:lang w:eastAsia="en-US"/>
              </w:rPr>
              <w:t>dle</w:t>
            </w:r>
            <w:r w:rsidR="0036710C">
              <w:rPr>
                <w:spacing w:val="-4"/>
                <w:lang w:eastAsia="en-US"/>
              </w:rPr>
              <w:t xml:space="preserve"> národních účtů</w:t>
            </w:r>
            <w:r w:rsidR="0036710C" w:rsidRPr="00582DA0">
              <w:rPr>
                <w:spacing w:val="-4"/>
                <w:lang w:eastAsia="en-US"/>
              </w:rPr>
              <w:t xml:space="preserve">, </w:t>
            </w:r>
            <w:r w:rsidR="0036710C">
              <w:rPr>
                <w:spacing w:val="-4"/>
                <w:lang w:eastAsia="en-US"/>
              </w:rPr>
              <w:t xml:space="preserve">sezónně očištěno, </w:t>
            </w:r>
            <w:r w:rsidR="0036710C" w:rsidRPr="00E62A33">
              <w:rPr>
                <w:spacing w:val="-2"/>
              </w:rPr>
              <w:t>meziročně</w:t>
            </w:r>
            <w:r w:rsidR="0036710C" w:rsidRPr="00E62A33">
              <w:rPr>
                <w:bCs/>
                <w:spacing w:val="-2"/>
              </w:rPr>
              <w:t xml:space="preserve"> v %)</w:t>
            </w:r>
          </w:p>
        </w:tc>
      </w:tr>
      <w:tr w:rsidR="0036710C" w:rsidRPr="00AA4A76" w:rsidTr="00853C0F">
        <w:trPr>
          <w:gridBefore w:val="1"/>
          <w:wBefore w:w="14" w:type="pct"/>
          <w:trHeight w:val="145"/>
        </w:trPr>
        <w:tc>
          <w:tcPr>
            <w:tcW w:w="1018" w:type="pct"/>
            <w:shd w:val="clear" w:color="auto" w:fill="auto"/>
          </w:tcPr>
          <w:p w:rsidR="0036710C" w:rsidRPr="006D3F53" w:rsidRDefault="0036710C" w:rsidP="00853C0F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  <w:gridSpan w:val="2"/>
          </w:tcPr>
          <w:p w:rsidR="0036710C" w:rsidRPr="00A74192" w:rsidRDefault="0036710C" w:rsidP="00853C0F">
            <w:pPr>
              <w:pStyle w:val="Textpoznpodarou"/>
              <w:jc w:val="both"/>
            </w:pPr>
          </w:p>
        </w:tc>
        <w:tc>
          <w:tcPr>
            <w:tcW w:w="3823" w:type="pct"/>
            <w:gridSpan w:val="4"/>
          </w:tcPr>
          <w:p w:rsidR="0036710C" w:rsidRDefault="0036710C" w:rsidP="00853C0F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BB0C95">
              <w:rPr>
                <w:noProof/>
                <w:sz w:val="16"/>
                <w:szCs w:val="16"/>
              </w:rPr>
              <w:drawing>
                <wp:inline distT="0" distB="0" distL="0" distR="0">
                  <wp:extent cx="4754880" cy="3482035"/>
                  <wp:effectExtent l="0" t="0" r="0" b="0"/>
                  <wp:docPr id="3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36710C" w:rsidRPr="00535F78" w:rsidRDefault="0036710C" w:rsidP="00853C0F">
            <w:pPr>
              <w:pStyle w:val="Textpoznpodarou"/>
              <w:ind w:left="-124"/>
              <w:jc w:val="right"/>
              <w:rPr>
                <w:sz w:val="14"/>
                <w:szCs w:val="1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  <w:tr w:rsidR="0036710C" w:rsidTr="00853C0F">
        <w:tblPrEx>
          <w:tblCellMar>
            <w:left w:w="28" w:type="dxa"/>
            <w:right w:w="28" w:type="dxa"/>
          </w:tblCellMar>
          <w:tblLook w:val="04A0"/>
        </w:tblPrEx>
        <w:trPr>
          <w:gridAfter w:val="1"/>
          <w:wAfter w:w="59" w:type="pct"/>
        </w:trPr>
        <w:tc>
          <w:tcPr>
            <w:tcW w:w="1042" w:type="pct"/>
            <w:gridSpan w:val="3"/>
          </w:tcPr>
          <w:p w:rsidR="0036710C" w:rsidRPr="003A34E8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lastRenderedPageBreak/>
              <w:t>Vyšší počty podnikajících osob přispěly ke stabilizaci celkové zaměstnanosti ve stavebnictví.</w:t>
            </w:r>
          </w:p>
        </w:tc>
        <w:tc>
          <w:tcPr>
            <w:tcW w:w="140" w:type="pct"/>
            <w:gridSpan w:val="2"/>
          </w:tcPr>
          <w:p w:rsidR="0036710C" w:rsidRPr="009720D9" w:rsidRDefault="0036710C" w:rsidP="00853C0F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759" w:type="pct"/>
            <w:gridSpan w:val="2"/>
          </w:tcPr>
          <w:p w:rsidR="0036710C" w:rsidRPr="00F033DF" w:rsidRDefault="0036710C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7F2FF0">
              <w:rPr>
                <w:rFonts w:cs="Arial"/>
                <w:color w:val="0D0D0D" w:themeColor="text1" w:themeTint="F2"/>
                <w:spacing w:val="-4"/>
              </w:rPr>
              <w:t xml:space="preserve">Relativně </w:t>
            </w:r>
            <w:r>
              <w:rPr>
                <w:rFonts w:cs="Arial"/>
                <w:color w:val="0D0D0D" w:themeColor="text1" w:themeTint="F2"/>
                <w:spacing w:val="-4"/>
              </w:rPr>
              <w:t>střídmě se v 1. pololetí zvyšovala zaměstnanost v odvětvích s dominancí stát</w:t>
            </w:r>
            <w:r w:rsidR="00352482">
              <w:rPr>
                <w:rFonts w:cs="Arial"/>
                <w:color w:val="0D0D0D" w:themeColor="text1" w:themeTint="F2"/>
                <w:spacing w:val="-4"/>
              </w:rPr>
              <w:t>u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"/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(+0,8 % meziročně), tento stav však přetrvával již pátým rokem v řadě. Počet pracovníků ve stavebnictví přestal od poloviny roku 2016 klesat. Zasloužil se o to vyšších počet podnikajících osob. Naopak zaměstnanců ve stavebních podnicích nadále ubývalo (proti 1. pololetí 2009 jich bylo o 18 % méně). Počty podnikajících osob rostly při současné redukci stavů zaměstnanců také v primárním sektoru.</w:t>
            </w:r>
          </w:p>
        </w:tc>
      </w:tr>
    </w:tbl>
    <w:p w:rsidR="0036710C" w:rsidRPr="00FF5A0D" w:rsidRDefault="0036710C" w:rsidP="0036710C">
      <w:pPr>
        <w:pStyle w:val="Textpoznpodarou"/>
        <w:jc w:val="both"/>
        <w:rPr>
          <w:rFonts w:cs="Arial"/>
          <w:color w:val="000000"/>
          <w:spacing w:val="-2"/>
          <w:sz w:val="14"/>
          <w:szCs w:val="14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36710C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36710C" w:rsidRPr="00AA4A76" w:rsidRDefault="0036710C" w:rsidP="00853C0F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36710C" w:rsidRPr="00AA4A76" w:rsidRDefault="0036710C" w:rsidP="00853C0F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36710C" w:rsidRPr="00AA4A76" w:rsidRDefault="0036710C" w:rsidP="00853C0F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16</w:t>
            </w:r>
          </w:p>
        </w:tc>
        <w:tc>
          <w:tcPr>
            <w:tcW w:w="3262" w:type="pct"/>
          </w:tcPr>
          <w:p w:rsidR="0036710C" w:rsidRPr="0006150D" w:rsidRDefault="0036710C" w:rsidP="00853C0F">
            <w:pPr>
              <w:spacing w:line="240" w:lineRule="auto"/>
              <w:rPr>
                <w:rFonts w:cs="Arial"/>
                <w:b/>
                <w:bCs/>
                <w:spacing w:val="-2"/>
              </w:rPr>
            </w:pPr>
            <w:r w:rsidRPr="0006150D">
              <w:rPr>
                <w:rFonts w:cs="Arial"/>
                <w:b/>
                <w:bCs/>
                <w:spacing w:val="-2"/>
              </w:rPr>
              <w:t xml:space="preserve">Obecná míra nezaměstnanosti mužů a žen </w:t>
            </w:r>
            <w:r w:rsidRPr="0006150D">
              <w:rPr>
                <w:rFonts w:cs="Arial"/>
                <w:bCs/>
                <w:spacing w:val="-2"/>
              </w:rPr>
              <w:t>(v %, sezónně očištěno</w:t>
            </w:r>
            <w:r w:rsidR="00925A21">
              <w:rPr>
                <w:rFonts w:cs="Arial"/>
                <w:bCs/>
                <w:spacing w:val="-2"/>
              </w:rPr>
              <w:t>, pravá osa</w:t>
            </w:r>
            <w:r w:rsidRPr="0006150D">
              <w:rPr>
                <w:rFonts w:cs="Arial"/>
                <w:bCs/>
                <w:spacing w:val="-2"/>
              </w:rPr>
              <w:t>)</w:t>
            </w:r>
            <w:r w:rsidRPr="0006150D">
              <w:rPr>
                <w:rFonts w:cs="Arial"/>
                <w:b/>
                <w:bCs/>
                <w:spacing w:val="-2"/>
              </w:rPr>
              <w:t xml:space="preserve"> a vybrané skupiny nezaměstnaných </w:t>
            </w:r>
            <w:r w:rsidR="00925A21">
              <w:rPr>
                <w:rFonts w:cs="Arial"/>
                <w:bCs/>
                <w:spacing w:val="-2"/>
              </w:rPr>
              <w:t>(meziročně</w:t>
            </w:r>
            <w:r w:rsidRPr="0006150D">
              <w:rPr>
                <w:rFonts w:cs="Arial"/>
                <w:bCs/>
                <w:spacing w:val="-2"/>
              </w:rPr>
              <w:t>, v %)</w:t>
            </w:r>
          </w:p>
        </w:tc>
      </w:tr>
      <w:tr w:rsidR="0036710C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36710C" w:rsidRPr="006D3F53" w:rsidRDefault="0036710C" w:rsidP="00853C0F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36710C" w:rsidRPr="00A74192" w:rsidRDefault="0036710C" w:rsidP="00853C0F">
            <w:pPr>
              <w:pStyle w:val="Textpoznpodarou"/>
              <w:jc w:val="both"/>
            </w:pPr>
          </w:p>
        </w:tc>
        <w:tc>
          <w:tcPr>
            <w:tcW w:w="3833" w:type="pct"/>
            <w:gridSpan w:val="2"/>
          </w:tcPr>
          <w:p w:rsidR="0036710C" w:rsidRPr="007E5880" w:rsidRDefault="0036710C" w:rsidP="00853C0F">
            <w:pPr>
              <w:pStyle w:val="Textpoznpodarou"/>
              <w:rPr>
                <w:sz w:val="14"/>
                <w:szCs w:val="14"/>
              </w:rPr>
            </w:pPr>
            <w:r w:rsidRPr="002B4E91">
              <w:rPr>
                <w:noProof/>
                <w:sz w:val="14"/>
                <w:szCs w:val="14"/>
              </w:rPr>
              <w:drawing>
                <wp:inline distT="0" distB="0" distL="0" distR="0">
                  <wp:extent cx="4728809" cy="3449729"/>
                  <wp:effectExtent l="19050" t="0" r="0" b="0"/>
                  <wp:docPr id="3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36710C" w:rsidRPr="007E5880" w:rsidRDefault="0036710C" w:rsidP="00853C0F">
            <w:pPr>
              <w:pStyle w:val="Textpoznpodarou"/>
              <w:jc w:val="right"/>
              <w:rPr>
                <w:sz w:val="14"/>
                <w:szCs w:val="14"/>
              </w:rPr>
            </w:pP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</w:tbl>
    <w:p w:rsidR="0036710C" w:rsidRPr="002D3A9D" w:rsidRDefault="0036710C" w:rsidP="0036710C">
      <w:pPr>
        <w:pStyle w:val="Textpoznpodarou"/>
        <w:jc w:val="both"/>
        <w:rPr>
          <w:rFonts w:cs="Arial"/>
          <w:color w:val="000000"/>
          <w:spacing w:val="-2"/>
          <w:sz w:val="15"/>
          <w:szCs w:val="15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36710C" w:rsidRPr="00F06A1D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36710C" w:rsidRPr="003804E1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 w:rsidRPr="003804E1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Obecná míra ne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zaměstnanosti nadále klesa</w:t>
            </w:r>
            <w:r w:rsidRPr="003804E1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la na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až </w:t>
            </w:r>
            <w:r w:rsidRPr="003804E1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nové absolutní minimum, volných pracovních míst přibylo v rámci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1. pololetí</w:t>
            </w:r>
            <w:r w:rsidRPr="003804E1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nejvíce v historii ČR.</w:t>
            </w:r>
          </w:p>
          <w:p w:rsidR="0036710C" w:rsidRPr="003804E1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Na jedno pracovní místo připadalo nejméně uchazečů od poloviny 90. let. V téměř 30 % okresů převažovala nabídka míst nad počty uchazečů o</w:t>
            </w:r>
            <w:r w:rsidRPr="003804E1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práci.</w:t>
            </w: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36710C" w:rsidRPr="003804E1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36710C" w:rsidRPr="003804E1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36710C" w:rsidRPr="003804E1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 w:rsidRPr="003804E1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Téměř tři čtvrtiny 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z</w:t>
            </w:r>
            <w:r w:rsidRPr="003804E1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 meziročního přírůstku volných míst tvořily pozice s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 velmi </w:t>
            </w:r>
            <w:r w:rsidRPr="003804E1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nízkými nároky na kvalifikaci.</w:t>
            </w:r>
          </w:p>
          <w:p w:rsidR="0036710C" w:rsidRPr="00A7478D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</w:tc>
        <w:tc>
          <w:tcPr>
            <w:tcW w:w="144" w:type="pct"/>
          </w:tcPr>
          <w:p w:rsidR="0036710C" w:rsidRPr="00A90EFD" w:rsidRDefault="0036710C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36710C" w:rsidRPr="005A0ABB" w:rsidRDefault="0036710C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A02F1E">
              <w:rPr>
                <w:rFonts w:cs="Arial"/>
                <w:color w:val="0D0D0D" w:themeColor="text1" w:themeTint="F2"/>
                <w:spacing w:val="-4"/>
              </w:rPr>
              <w:t>Obecná míra nezaměstnanosti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od počátku roku nadále klesala a v červnu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2017 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 xml:space="preserve">dosáhla dle sezónně očištěných údajů </w:t>
            </w:r>
            <w:r>
              <w:rPr>
                <w:rFonts w:cs="Arial"/>
                <w:color w:val="0D0D0D" w:themeColor="text1" w:themeTint="F2"/>
                <w:spacing w:val="-4"/>
              </w:rPr>
              <w:t>dosud rekordní hodnoty v historii ČR: 2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>,4 %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(u mužů), resp. 3,5 % (u žen). Počet všech nezaměstnaných se meziročně snížil o téměř čtvrtinu a ve 2. čtvrtletí čítal 159 tis. osob. Tento pozitivní vývoj letos (podobě jako vloni) souvisel s redukcí počtu nezaměstnaných, kteří byli bez práce déle než rok. Oproti 2. čtvrtletí 2017 </w:t>
            </w:r>
            <w:r w:rsidR="00352482">
              <w:rPr>
                <w:rFonts w:cs="Arial"/>
                <w:color w:val="0D0D0D" w:themeColor="text1" w:themeTint="F2"/>
                <w:spacing w:val="-4"/>
              </w:rPr>
              <w:t xml:space="preserve">se </w:t>
            </w:r>
            <w:r>
              <w:rPr>
                <w:rFonts w:cs="Arial"/>
                <w:color w:val="0D0D0D" w:themeColor="text1" w:themeTint="F2"/>
                <w:spacing w:val="-4"/>
              </w:rPr>
              <w:t>jejich stavy o třetinu zmenšily (absolutně o 32 tis. osob). Míra nezaměstnanosti poklesla ve všech hlavních vzdělanostních skupinách. Podstatně se zlepšila situace sice v nepočetné, ale všeobecně znevýhodněné skupině osob s maximálně základním vzděláním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3"/>
            </w:r>
            <w:r>
              <w:rPr>
                <w:rFonts w:cs="Arial"/>
                <w:color w:val="0D0D0D" w:themeColor="text1" w:themeTint="F2"/>
                <w:spacing w:val="-4"/>
              </w:rPr>
              <w:t>.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Redukci nezaměstnanosti doprovázela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 xml:space="preserve"> neustále se rozšiřující </w:t>
            </w:r>
            <w:r>
              <w:rPr>
                <w:rFonts w:cs="Arial"/>
                <w:color w:val="0D0D0D" w:themeColor="text1" w:themeTint="F2"/>
                <w:spacing w:val="-4"/>
              </w:rPr>
              <w:t>nabídka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neobsazených 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 xml:space="preserve">pracovních míst. </w:t>
            </w:r>
            <w:r>
              <w:rPr>
                <w:rFonts w:cs="Arial"/>
                <w:color w:val="0D0D0D" w:themeColor="text1" w:themeTint="F2"/>
                <w:spacing w:val="-4"/>
              </w:rPr>
              <w:t>Jejich počet v evidenci úřadů práce (ÚP)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 xml:space="preserve"> na počátku 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roku výrazně 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>zrychlil. Letošní navýšení v</w:t>
            </w:r>
            <w:r>
              <w:rPr>
                <w:rFonts w:cs="Arial"/>
                <w:color w:val="0D0D0D" w:themeColor="text1" w:themeTint="F2"/>
                <w:spacing w:val="-4"/>
              </w:rPr>
              <w:t>olných míst bylo v rámci prvních pololetí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 xml:space="preserve"> nejvyšší od doby sledování</w:t>
            </w:r>
            <w:r>
              <w:rPr>
                <w:rFonts w:cs="Arial"/>
                <w:color w:val="0D0D0D" w:themeColor="text1" w:themeTint="F2"/>
                <w:spacing w:val="-4"/>
              </w:rPr>
              <w:t>. Na konci června bylo v nabídce 183,5 tis. volných pozic. Na jedno volné místo tak připadalo 1,6 uchazeče, nejméně od poloviny 90. let. Šance na pracovní uplatnění se meziročně v průměru téměř zdvojnásobila. Ve více než čtvrtině okresů dokonce převažovala nabídka míst nad počtem registrovaných uchazečů o práci. Naopak více než tři uchazeči připadali na místo jen ve dvanácti okresech (a v krajích Ústeckém a Moravskoslezském). Téměř tři čtvrtiny z meziročního přírůstku míst (50 tis.) zahrnovaly práce s minimální kvalifikací (na které postačovalo základní vzdělání). Ty tvořily v červnu 2017 již mírně nadpoloviční podíl z celkové nabídky míst. Nadále platilo, že nejlépe se uplatňovali kvalifikovaní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 xml:space="preserve"> manuální pracovníci – řemeslníci a opraváři </w:t>
            </w:r>
            <w:r>
              <w:rPr>
                <w:rFonts w:cs="Arial"/>
                <w:color w:val="0D0D0D" w:themeColor="text1" w:themeTint="F2"/>
                <w:spacing w:val="-4"/>
              </w:rPr>
              <w:t>a montéři a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> osoby obsluhující stroje a zařízení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Pr="001639F9">
              <w:rPr>
                <w:rFonts w:cs="Arial"/>
                <w:color w:val="0D0D0D" w:themeColor="text1" w:themeTint="F2"/>
                <w:spacing w:val="-4"/>
              </w:rPr>
              <w:t>–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u kterých již docházelo k převisu nabídky míst nad poptávkou. Naopak pro uchazeče s vysokoškolským vzděláním bylo vhodných jen 9,1 tis. volných míst z nabídky ÚP. Počet těchto míst proti loňskému červnu vzrostl jen o 2,5 tis. </w:t>
            </w:r>
          </w:p>
        </w:tc>
      </w:tr>
      <w:tr w:rsidR="0036710C" w:rsidRPr="0094422D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36710C" w:rsidRPr="00D02B7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4" w:type="pct"/>
          </w:tcPr>
          <w:p w:rsidR="0036710C" w:rsidRPr="00A90EFD" w:rsidRDefault="0036710C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3840" w:type="pct"/>
          </w:tcPr>
          <w:p w:rsidR="0036710C" w:rsidRPr="00751FC1" w:rsidRDefault="0036710C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 w:rsidRPr="00E61FDD">
              <w:rPr>
                <w:rFonts w:cs="Arial"/>
                <w:color w:val="0D0D0D" w:themeColor="text1" w:themeTint="F2"/>
                <w:spacing w:val="-4"/>
              </w:rPr>
              <w:t xml:space="preserve">Pokračující pokles nezaměstnanosti dále redukoval </w:t>
            </w:r>
            <w:r>
              <w:rPr>
                <w:rFonts w:cs="Arial"/>
                <w:color w:val="0D0D0D" w:themeColor="text1" w:themeTint="F2"/>
                <w:spacing w:val="-4"/>
              </w:rPr>
              <w:t>zdroje využitelné pracovní síly. M</w:t>
            </w:r>
            <w:r w:rsidRPr="00E61FDD">
              <w:rPr>
                <w:rFonts w:cs="Arial"/>
                <w:color w:val="0D0D0D" w:themeColor="text1" w:themeTint="F2"/>
                <w:spacing w:val="-4"/>
              </w:rPr>
              <w:t>eziročně se snížil i počet neaktivních osob, které uváděly, že by chtěly pracovat</w:t>
            </w:r>
            <w:r>
              <w:rPr>
                <w:rFonts w:cs="Arial"/>
                <w:color w:val="0D0D0D" w:themeColor="text1" w:themeTint="F2"/>
                <w:spacing w:val="-4"/>
              </w:rPr>
              <w:t>, ale práci aktivně nehledaly (na 120 tis. osob ve 2. čtvrtletí)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4"/>
            </w:r>
            <w:r w:rsidRPr="00E61FDD">
              <w:rPr>
                <w:rFonts w:cs="Arial"/>
                <w:color w:val="0D0D0D" w:themeColor="text1" w:themeTint="F2"/>
                <w:spacing w:val="-4"/>
              </w:rPr>
              <w:t xml:space="preserve">. Podniky tak </w:t>
            </w:r>
            <w:r>
              <w:rPr>
                <w:rFonts w:cs="Arial"/>
                <w:color w:val="0D0D0D" w:themeColor="text1" w:themeTint="F2"/>
                <w:spacing w:val="-4"/>
              </w:rPr>
              <w:t>své potřeby dalších lidských zdrojů</w:t>
            </w:r>
            <w:r w:rsidRPr="00E61FDD">
              <w:rPr>
                <w:rFonts w:cs="Arial"/>
                <w:color w:val="0D0D0D" w:themeColor="text1" w:themeTint="F2"/>
                <w:spacing w:val="-4"/>
              </w:rPr>
              <w:t xml:space="preserve"> musely stále častěji řešit přetahováním stávajících zaměstnanců na pracovním trhu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. To se muselo odrazit v častějším využití náborových příspěvků, pracovních </w:t>
            </w:r>
            <w:proofErr w:type="spellStart"/>
            <w:r>
              <w:rPr>
                <w:rFonts w:cs="Arial"/>
                <w:color w:val="0D0D0D" w:themeColor="text1" w:themeTint="F2"/>
                <w:spacing w:val="-4"/>
              </w:rPr>
              <w:t>benefitů</w:t>
            </w:r>
            <w:proofErr w:type="spellEnd"/>
            <w:r>
              <w:rPr>
                <w:rFonts w:cs="Arial"/>
                <w:color w:val="0D0D0D" w:themeColor="text1" w:themeTint="F2"/>
                <w:spacing w:val="-4"/>
              </w:rPr>
              <w:t xml:space="preserve">, ale zejména růstem průměrných výdělků. </w:t>
            </w:r>
          </w:p>
        </w:tc>
      </w:tr>
    </w:tbl>
    <w:p w:rsidR="0036710C" w:rsidRPr="00814E7D" w:rsidRDefault="0036710C" w:rsidP="0036710C">
      <w:pPr>
        <w:pStyle w:val="Textpoznpodarou"/>
        <w:jc w:val="both"/>
        <w:rPr>
          <w:rFonts w:cs="Arial"/>
          <w:color w:val="000000"/>
          <w:spacing w:val="-2"/>
          <w:sz w:val="15"/>
          <w:szCs w:val="15"/>
        </w:rPr>
      </w:pPr>
    </w:p>
    <w:tbl>
      <w:tblPr>
        <w:tblW w:w="4963" w:type="pct"/>
        <w:tblInd w:w="108" w:type="dxa"/>
        <w:tblLayout w:type="fixed"/>
        <w:tblLook w:val="00A0"/>
      </w:tblPr>
      <w:tblGrid>
        <w:gridCol w:w="1997"/>
        <w:gridCol w:w="284"/>
        <w:gridCol w:w="1119"/>
        <w:gridCol w:w="6381"/>
      </w:tblGrid>
      <w:tr w:rsidR="0036710C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36710C" w:rsidRPr="00AA4A76" w:rsidRDefault="0036710C" w:rsidP="00853C0F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5" w:type="pct"/>
          </w:tcPr>
          <w:p w:rsidR="0036710C" w:rsidRPr="00AA4A76" w:rsidRDefault="0036710C" w:rsidP="00853C0F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72" w:type="pct"/>
          </w:tcPr>
          <w:p w:rsidR="0036710C" w:rsidRPr="00AA4A76" w:rsidRDefault="0036710C" w:rsidP="00853C0F">
            <w:pPr>
              <w:pStyle w:val="Textpoznpodarou"/>
              <w:jc w:val="both"/>
              <w:rPr>
                <w:highlight w:val="yellow"/>
              </w:rPr>
            </w:pPr>
            <w:r>
              <w:rPr>
                <w:color w:val="000000"/>
              </w:rPr>
              <w:t>Graf č. 17</w:t>
            </w:r>
          </w:p>
        </w:tc>
        <w:tc>
          <w:tcPr>
            <w:tcW w:w="3262" w:type="pct"/>
          </w:tcPr>
          <w:p w:rsidR="0036710C" w:rsidRDefault="002633E5" w:rsidP="00853C0F">
            <w:pPr>
              <w:pStyle w:val="Textpoznpodarou"/>
              <w:rPr>
                <w:b/>
                <w:spacing w:val="-2"/>
                <w:lang w:eastAsia="en-US"/>
              </w:rPr>
            </w:pPr>
            <w:r>
              <w:rPr>
                <w:b/>
                <w:spacing w:val="-2"/>
                <w:lang w:eastAsia="en-US"/>
              </w:rPr>
              <w:t>Průměrná h</w:t>
            </w:r>
            <w:r w:rsidR="0036710C">
              <w:rPr>
                <w:b/>
                <w:spacing w:val="-2"/>
                <w:lang w:eastAsia="en-US"/>
              </w:rPr>
              <w:t xml:space="preserve">rubá měsíční mzda </w:t>
            </w:r>
            <w:r>
              <w:rPr>
                <w:b/>
                <w:spacing w:val="-2"/>
                <w:lang w:eastAsia="en-US"/>
              </w:rPr>
              <w:t xml:space="preserve">a </w:t>
            </w:r>
            <w:r w:rsidR="0036710C">
              <w:rPr>
                <w:b/>
                <w:spacing w:val="-2"/>
                <w:lang w:eastAsia="en-US"/>
              </w:rPr>
              <w:t>mzdový medián</w:t>
            </w:r>
          </w:p>
          <w:p w:rsidR="0036710C" w:rsidRPr="00886A8F" w:rsidRDefault="0036710C" w:rsidP="00853C0F">
            <w:pPr>
              <w:pStyle w:val="Textpoznpodarou"/>
              <w:rPr>
                <w:spacing w:val="-2"/>
                <w:lang w:eastAsia="en-US"/>
              </w:rPr>
            </w:pPr>
            <w:r w:rsidRPr="00582DA0">
              <w:rPr>
                <w:spacing w:val="-6"/>
                <w:lang w:eastAsia="en-US"/>
              </w:rPr>
              <w:t>(</w:t>
            </w:r>
            <w:r>
              <w:rPr>
                <w:spacing w:val="-6"/>
                <w:lang w:eastAsia="en-US"/>
              </w:rPr>
              <w:t xml:space="preserve">na </w:t>
            </w:r>
            <w:r w:rsidRPr="00582DA0">
              <w:rPr>
                <w:spacing w:val="-6"/>
                <w:lang w:eastAsia="en-US"/>
              </w:rPr>
              <w:t>přepo</w:t>
            </w:r>
            <w:r>
              <w:rPr>
                <w:spacing w:val="-6"/>
                <w:lang w:eastAsia="en-US"/>
              </w:rPr>
              <w:t xml:space="preserve">čtené počty zaměstnanců, </w:t>
            </w:r>
            <w:r w:rsidRPr="00E62A33">
              <w:rPr>
                <w:spacing w:val="-2"/>
              </w:rPr>
              <w:t>meziročně</w:t>
            </w:r>
            <w:r w:rsidRPr="00E62A33">
              <w:rPr>
                <w:bCs/>
                <w:spacing w:val="-2"/>
              </w:rPr>
              <w:t xml:space="preserve"> v %)</w:t>
            </w:r>
          </w:p>
        </w:tc>
      </w:tr>
      <w:tr w:rsidR="0036710C" w:rsidRPr="00AA4A76" w:rsidTr="00853C0F">
        <w:trPr>
          <w:trHeight w:val="145"/>
        </w:trPr>
        <w:tc>
          <w:tcPr>
            <w:tcW w:w="1021" w:type="pct"/>
            <w:shd w:val="clear" w:color="auto" w:fill="auto"/>
          </w:tcPr>
          <w:p w:rsidR="0036710C" w:rsidRPr="006D3F53" w:rsidRDefault="0036710C" w:rsidP="00853C0F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" w:type="pct"/>
          </w:tcPr>
          <w:p w:rsidR="0036710C" w:rsidRPr="00A74192" w:rsidRDefault="0036710C" w:rsidP="00853C0F">
            <w:pPr>
              <w:pStyle w:val="Textpoznpodarou"/>
              <w:jc w:val="both"/>
            </w:pPr>
          </w:p>
        </w:tc>
        <w:tc>
          <w:tcPr>
            <w:tcW w:w="3834" w:type="pct"/>
            <w:gridSpan w:val="2"/>
          </w:tcPr>
          <w:p w:rsidR="0036710C" w:rsidRDefault="0036710C" w:rsidP="00853C0F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702AD8">
              <w:rPr>
                <w:noProof/>
                <w:sz w:val="16"/>
                <w:szCs w:val="16"/>
              </w:rPr>
              <w:drawing>
                <wp:inline distT="0" distB="0" distL="0" distR="0">
                  <wp:extent cx="4735830" cy="3460089"/>
                  <wp:effectExtent l="0" t="0" r="0" b="0"/>
                  <wp:docPr id="3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36710C" w:rsidRPr="00535F78" w:rsidRDefault="0036710C" w:rsidP="00853C0F">
            <w:pPr>
              <w:pStyle w:val="Textpoznpodarou"/>
              <w:ind w:left="-124"/>
              <w:jc w:val="right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535F78">
              <w:rPr>
                <w:rFonts w:cs="Arial"/>
                <w:sz w:val="14"/>
                <w:szCs w:val="14"/>
              </w:rPr>
              <w:t xml:space="preserve">Zdroj: </w:t>
            </w:r>
            <w:r>
              <w:rPr>
                <w:rFonts w:cs="Arial"/>
                <w:sz w:val="14"/>
                <w:szCs w:val="14"/>
              </w:rPr>
              <w:t>ČSÚ</w:t>
            </w:r>
          </w:p>
        </w:tc>
      </w:tr>
    </w:tbl>
    <w:p w:rsidR="0036710C" w:rsidRPr="0074690B" w:rsidRDefault="0036710C" w:rsidP="0036710C">
      <w:pPr>
        <w:pStyle w:val="Textpoznpodarou"/>
        <w:jc w:val="both"/>
        <w:rPr>
          <w:rFonts w:cs="Arial"/>
          <w:color w:val="000000"/>
          <w:spacing w:val="-2"/>
          <w:sz w:val="16"/>
          <w:szCs w:val="16"/>
        </w:rPr>
      </w:pPr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7560"/>
      </w:tblGrid>
      <w:tr w:rsidR="0036710C" w:rsidRPr="00AD0FC0" w:rsidTr="00853C0F">
        <w:trPr>
          <w:trHeight w:val="145"/>
        </w:trPr>
        <w:tc>
          <w:tcPr>
            <w:tcW w:w="1016" w:type="pct"/>
            <w:shd w:val="clear" w:color="auto" w:fill="auto"/>
          </w:tcPr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Meziroční růst průměrných nominálních mezd během první poloviny roku akceleroval a přiblížil se tempům z let 2007 – 2008.</w:t>
            </w: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Meziodvětvové rozdíly ve výši mezd se mírně snížily. Relativně nejrychleji rostly průměrné výdělky v odvětvích s dlouhodobě nejnižší úrovní mezd.</w:t>
            </w: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36710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36710C" w:rsidRPr="00F4351C" w:rsidRDefault="0036710C" w:rsidP="00853C0F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Navzdory sílící inflaci kupní síla mezd ve 2.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čtvrtletí vzrostla nejvíce od počátku roku 2007.</w:t>
            </w:r>
          </w:p>
        </w:tc>
        <w:tc>
          <w:tcPr>
            <w:tcW w:w="144" w:type="pct"/>
          </w:tcPr>
          <w:p w:rsidR="0036710C" w:rsidRPr="00807B25" w:rsidRDefault="0036710C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</w:p>
        </w:tc>
        <w:tc>
          <w:tcPr>
            <w:tcW w:w="3840" w:type="pct"/>
          </w:tcPr>
          <w:p w:rsidR="0036710C" w:rsidRPr="00F416CD" w:rsidRDefault="00352482" w:rsidP="00853C0F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>
              <w:rPr>
                <w:rFonts w:cs="Arial"/>
                <w:color w:val="0D0D0D" w:themeColor="text1" w:themeTint="F2"/>
                <w:spacing w:val="-4"/>
              </w:rPr>
              <w:t>M</w:t>
            </w:r>
            <w:r w:rsidR="0036710C" w:rsidRPr="009262A9">
              <w:rPr>
                <w:rFonts w:cs="Arial"/>
                <w:color w:val="0D0D0D" w:themeColor="text1" w:themeTint="F2"/>
                <w:spacing w:val="-4"/>
              </w:rPr>
              <w:t>eziroční tempo růstu průměrných nominálních mezd během loňsk</w:t>
            </w:r>
            <w:r w:rsidR="0036710C">
              <w:rPr>
                <w:rFonts w:cs="Arial"/>
                <w:color w:val="0D0D0D" w:themeColor="text1" w:themeTint="F2"/>
                <w:spacing w:val="-4"/>
              </w:rPr>
              <w:t>ého roku kolísalo těsně pod 4 %. V</w:t>
            </w:r>
            <w:r w:rsidR="0036710C" w:rsidRPr="009262A9">
              <w:rPr>
                <w:rFonts w:cs="Arial"/>
                <w:color w:val="0D0D0D" w:themeColor="text1" w:themeTint="F2"/>
                <w:spacing w:val="-4"/>
              </w:rPr>
              <w:t> následujících dvou čtvrtletích postupně akcelerovalo (až na 7,6 %</w:t>
            </w:r>
            <w:r w:rsidR="0036710C" w:rsidRPr="009262A9">
              <w:rPr>
                <w:rStyle w:val="Znakapoznpodarou"/>
                <w:color w:val="0D0D0D" w:themeColor="text1" w:themeTint="F2"/>
                <w:spacing w:val="-4"/>
              </w:rPr>
              <w:footnoteReference w:id="5"/>
            </w:r>
            <w:r w:rsidR="0036710C" w:rsidRPr="009262A9">
              <w:rPr>
                <w:rFonts w:cs="Arial"/>
                <w:color w:val="0D0D0D" w:themeColor="text1" w:themeTint="F2"/>
                <w:spacing w:val="-4"/>
              </w:rPr>
              <w:t xml:space="preserve"> ve 2. čtvrtletí 2017) a přiblížilo se tak dynamice obvyklé v letech 2007 a 2008. V úhrnu za celé pololetí se mzdy zvýšily o 6,5 % a rostly ve všech odvětvových sekcích. Ve váhově dominantním zpracovatelském průmyslu posílily o 7,1 %. I přes to zůstala výše mezd v tomto odvětví jen nepatrně nad úrovní národního hospodářství. Nejvyšší růst byl dosažen v relativně malých odvětvích s nízkou mzdovou úrovní – ubytování, stravování a pohostinství (+13,8 %) a administrativní podpůrné činnosti (+8,7 %). Vysoká </w:t>
            </w:r>
            <w:r w:rsidR="0036710C">
              <w:rPr>
                <w:rFonts w:cs="Arial"/>
                <w:color w:val="0D0D0D" w:themeColor="text1" w:themeTint="F2"/>
                <w:spacing w:val="-4"/>
              </w:rPr>
              <w:t xml:space="preserve">růstová </w:t>
            </w:r>
            <w:r w:rsidR="0036710C" w:rsidRPr="009262A9">
              <w:rPr>
                <w:rFonts w:cs="Arial"/>
                <w:color w:val="0D0D0D" w:themeColor="text1" w:themeTint="F2"/>
                <w:spacing w:val="-4"/>
              </w:rPr>
              <w:t>tempa v obou odvětvích reflektovala lednové navýšení minimální mzdy v ekonomice (z 9 900 na 11 000. korun). Pozice odvětví s nejvyšší úrovní mezd si i díky tradiční výplatě pololetn</w:t>
            </w:r>
            <w:r w:rsidR="0036710C">
              <w:rPr>
                <w:rFonts w:cs="Arial"/>
                <w:color w:val="0D0D0D" w:themeColor="text1" w:themeTint="F2"/>
                <w:spacing w:val="-4"/>
              </w:rPr>
              <w:t>ích odměn udrželo peněžnictví a</w:t>
            </w:r>
            <w:r w:rsidR="0036710C" w:rsidRPr="009262A9">
              <w:rPr>
                <w:rFonts w:cs="Arial"/>
                <w:color w:val="0D0D0D" w:themeColor="text1" w:themeTint="F2"/>
                <w:spacing w:val="-4"/>
              </w:rPr>
              <w:t> pojišťovnictví, proti loňskému 1. pololetí zde však mzdy rostly jen o 3,7 %</w:t>
            </w:r>
            <w:r w:rsidR="0036710C">
              <w:rPr>
                <w:rStyle w:val="Znakapoznpodarou"/>
                <w:color w:val="0D0D0D" w:themeColor="text1" w:themeTint="F2"/>
                <w:spacing w:val="-4"/>
              </w:rPr>
              <w:footnoteReference w:id="6"/>
            </w:r>
            <w:r w:rsidR="0036710C" w:rsidRPr="009262A9">
              <w:rPr>
                <w:rFonts w:cs="Arial"/>
                <w:color w:val="0D0D0D" w:themeColor="text1" w:themeTint="F2"/>
                <w:spacing w:val="-4"/>
              </w:rPr>
              <w:t xml:space="preserve">. </w:t>
            </w:r>
            <w:r w:rsidR="0036710C">
              <w:rPr>
                <w:rFonts w:cs="Arial"/>
                <w:color w:val="0D0D0D" w:themeColor="text1" w:themeTint="F2"/>
                <w:spacing w:val="-4"/>
              </w:rPr>
              <w:t>Absolutně i relativně v</w:t>
            </w:r>
            <w:r w:rsidR="0036710C" w:rsidRPr="009262A9">
              <w:rPr>
                <w:rFonts w:cs="Arial"/>
                <w:color w:val="0D0D0D" w:themeColor="text1" w:themeTint="F2"/>
                <w:spacing w:val="-4"/>
              </w:rPr>
              <w:t>íce si polepšili pracovníci v energetice a informačních a komunikačních činnostech. Objem vyplacených mezd</w:t>
            </w:r>
            <w:r w:rsidR="0036710C">
              <w:rPr>
                <w:rFonts w:cs="Arial"/>
                <w:color w:val="0D0D0D" w:themeColor="text1" w:themeTint="F2"/>
                <w:spacing w:val="-4"/>
              </w:rPr>
              <w:t xml:space="preserve"> byl v těchto odvětvích proti finančnímu sektoru více než dvojnásobný (především díky svižnému růstu zaměstnanosti). Mzdové tempo (+4,0 %) mírně zaostalo za růstem evidenčního počtu zaměstnanců také v profesních, vědeckých a technických činnostech. V odvětvích s dominancí státu se platy zvyšovaly nejvíce ve</w:t>
            </w:r>
            <w:r w:rsidR="0036710C" w:rsidRPr="00E61FDD">
              <w:rPr>
                <w:rFonts w:cs="Arial"/>
                <w:color w:val="0D0D0D" w:themeColor="text1" w:themeTint="F2"/>
                <w:spacing w:val="-4"/>
              </w:rPr>
              <w:t xml:space="preserve"> z</w:t>
            </w:r>
            <w:r w:rsidR="0036710C">
              <w:rPr>
                <w:rFonts w:cs="Arial"/>
                <w:color w:val="0D0D0D" w:themeColor="text1" w:themeTint="F2"/>
                <w:spacing w:val="-4"/>
              </w:rPr>
              <w:t>dravotnictví a sociální péči (+7,5 %). I</w:t>
            </w:r>
            <w:r w:rsidR="0036710C" w:rsidRPr="009262A9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="0036710C">
              <w:rPr>
                <w:rFonts w:cs="Arial"/>
                <w:color w:val="0D0D0D" w:themeColor="text1" w:themeTint="F2"/>
                <w:spacing w:val="-4"/>
              </w:rPr>
              <w:t>přes výrazné zrychlení tempa (z</w:t>
            </w:r>
            <w:r w:rsidR="0036710C" w:rsidRPr="009262A9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="0036710C" w:rsidRPr="00E61FDD">
              <w:rPr>
                <w:rFonts w:cs="Arial"/>
                <w:color w:val="0D0D0D" w:themeColor="text1" w:themeTint="F2"/>
                <w:spacing w:val="-4"/>
              </w:rPr>
              <w:t>lo</w:t>
            </w:r>
            <w:r w:rsidR="0036710C">
              <w:rPr>
                <w:rFonts w:cs="Arial"/>
                <w:color w:val="0D0D0D" w:themeColor="text1" w:themeTint="F2"/>
                <w:spacing w:val="-4"/>
              </w:rPr>
              <w:t>ňských +2,0 % na 5,1</w:t>
            </w:r>
            <w:r w:rsidR="0036710C" w:rsidRPr="00E61FDD">
              <w:rPr>
                <w:rFonts w:cs="Arial"/>
                <w:color w:val="0D0D0D" w:themeColor="text1" w:themeTint="F2"/>
                <w:spacing w:val="-4"/>
              </w:rPr>
              <w:t> %), zůstával i letos růst plat</w:t>
            </w:r>
            <w:r w:rsidR="0036710C">
              <w:rPr>
                <w:rFonts w:cs="Arial"/>
                <w:color w:val="0D0D0D" w:themeColor="text1" w:themeTint="F2"/>
                <w:spacing w:val="-4"/>
              </w:rPr>
              <w:t>ů ve vzdělávání pod úrovní celé</w:t>
            </w:r>
            <w:r w:rsidR="0036710C" w:rsidRPr="009262A9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="0036710C" w:rsidRPr="00E61FDD">
              <w:rPr>
                <w:rFonts w:cs="Arial"/>
                <w:color w:val="0D0D0D" w:themeColor="text1" w:themeTint="F2"/>
                <w:spacing w:val="-4"/>
              </w:rPr>
              <w:t>ekonomiky.</w:t>
            </w:r>
            <w:r w:rsidR="0036710C">
              <w:rPr>
                <w:rFonts w:cs="Arial"/>
                <w:color w:val="0D0D0D" w:themeColor="text1" w:themeTint="F2"/>
                <w:spacing w:val="-4"/>
              </w:rPr>
              <w:t xml:space="preserve"> Navzdory sílícímu růstu spotřebitelských cen se reálné mzdy v celé ekonomice v 1. pololetí navýšily o významných 4,1 %, ve 2.</w:t>
            </w:r>
            <w:r w:rsidR="0036710C" w:rsidRPr="009262A9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="0036710C">
              <w:rPr>
                <w:rFonts w:cs="Arial"/>
                <w:color w:val="0D0D0D" w:themeColor="text1" w:themeTint="F2"/>
                <w:spacing w:val="-4"/>
              </w:rPr>
              <w:t>čtvrtletí dokonce o 5,3 % (nejvyšší meziroční tempo od 1.</w:t>
            </w:r>
            <w:r w:rsidR="0036710C" w:rsidRPr="009262A9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="0036710C">
              <w:rPr>
                <w:rFonts w:cs="Arial"/>
                <w:color w:val="0D0D0D" w:themeColor="text1" w:themeTint="F2"/>
                <w:spacing w:val="-4"/>
              </w:rPr>
              <w:t>čtvrtletí 2007).</w:t>
            </w:r>
          </w:p>
        </w:tc>
      </w:tr>
    </w:tbl>
    <w:p w:rsidR="0036710C" w:rsidRPr="0036710C" w:rsidRDefault="0036710C" w:rsidP="00D94859">
      <w:pPr>
        <w:rPr>
          <w:sz w:val="2"/>
          <w:szCs w:val="2"/>
          <w:lang w:eastAsia="ar-SA"/>
        </w:rPr>
      </w:pPr>
    </w:p>
    <w:sectPr w:rsidR="0036710C" w:rsidRPr="0036710C" w:rsidSect="0093616E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9E" w:rsidRDefault="009B1B9E" w:rsidP="00E71A58">
      <w:r>
        <w:separator/>
      </w:r>
    </w:p>
  </w:endnote>
  <w:endnote w:type="continuationSeparator" w:id="0">
    <w:p w:rsidR="009B1B9E" w:rsidRDefault="009B1B9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Default="00F23F6C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52B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15252B" w:rsidRPr="005A21E0">
      <w:rPr>
        <w:rFonts w:ascii="Arial" w:hAnsi="Arial" w:cs="Arial"/>
        <w:sz w:val="16"/>
        <w:szCs w:val="16"/>
      </w:rPr>
      <w:fldChar w:fldCharType="separate"/>
    </w:r>
    <w:r w:rsidR="0093616E">
      <w:rPr>
        <w:rFonts w:ascii="Arial" w:hAnsi="Arial" w:cs="Arial"/>
        <w:noProof/>
        <w:sz w:val="16"/>
        <w:szCs w:val="16"/>
      </w:rPr>
      <w:t>20</w:t>
    </w:r>
    <w:r w:rsidR="0015252B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Default="00F23F6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F23F6C" w:rsidRPr="00223E00" w:rsidRDefault="00F23F6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15252B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15252B" w:rsidRPr="00223E00">
      <w:rPr>
        <w:rFonts w:ascii="Arial" w:hAnsi="Arial" w:cs="Arial"/>
        <w:sz w:val="16"/>
        <w:szCs w:val="16"/>
      </w:rPr>
      <w:fldChar w:fldCharType="separate"/>
    </w:r>
    <w:r w:rsidR="0093616E">
      <w:rPr>
        <w:rFonts w:ascii="Arial" w:hAnsi="Arial" w:cs="Arial"/>
        <w:noProof/>
        <w:sz w:val="16"/>
        <w:szCs w:val="16"/>
      </w:rPr>
      <w:t>21</w:t>
    </w:r>
    <w:r w:rsidR="0015252B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9E" w:rsidRDefault="009B1B9E" w:rsidP="00E71A58">
      <w:r>
        <w:separator/>
      </w:r>
    </w:p>
  </w:footnote>
  <w:footnote w:type="continuationSeparator" w:id="0">
    <w:p w:rsidR="009B1B9E" w:rsidRDefault="009B1B9E" w:rsidP="00E71A58">
      <w:r>
        <w:continuationSeparator/>
      </w:r>
    </w:p>
  </w:footnote>
  <w:footnote w:id="1">
    <w:p w:rsidR="00F23F6C" w:rsidRPr="00B4223A" w:rsidRDefault="00F23F6C" w:rsidP="0036710C">
      <w:pPr>
        <w:pStyle w:val="Textpoznpodarou"/>
        <w:jc w:val="both"/>
        <w:rPr>
          <w:sz w:val="16"/>
          <w:szCs w:val="16"/>
        </w:rPr>
      </w:pPr>
      <w:r w:rsidRPr="00B4223A">
        <w:rPr>
          <w:rStyle w:val="Znakapoznpodarou"/>
          <w:sz w:val="16"/>
          <w:szCs w:val="16"/>
        </w:rPr>
        <w:footnoteRef/>
      </w:r>
      <w:r w:rsidRPr="00B4223A">
        <w:rPr>
          <w:sz w:val="16"/>
          <w:szCs w:val="16"/>
        </w:rPr>
        <w:t xml:space="preserve"> Pok</w:t>
      </w:r>
      <w:r>
        <w:rPr>
          <w:sz w:val="16"/>
          <w:szCs w:val="16"/>
        </w:rPr>
        <w:t xml:space="preserve">ud není uvedeno jinak, jsou </w:t>
      </w:r>
      <w:r w:rsidRPr="00B4223A">
        <w:rPr>
          <w:sz w:val="16"/>
          <w:szCs w:val="16"/>
        </w:rPr>
        <w:t xml:space="preserve">v této kapitole </w:t>
      </w:r>
      <w:r>
        <w:rPr>
          <w:sz w:val="16"/>
          <w:szCs w:val="16"/>
        </w:rPr>
        <w:t>údaje o zaměstnanosti</w:t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uvedeny </w:t>
      </w:r>
      <w:r w:rsidRPr="00B4223A">
        <w:rPr>
          <w:sz w:val="16"/>
          <w:szCs w:val="16"/>
        </w:rPr>
        <w:t>v pojetí národních účtů v očištění o sezónní vlivy.</w:t>
      </w:r>
    </w:p>
  </w:footnote>
  <w:footnote w:id="2">
    <w:p w:rsidR="00F23F6C" w:rsidRPr="00352482" w:rsidRDefault="00F23F6C" w:rsidP="0036710C">
      <w:pPr>
        <w:pStyle w:val="Textpoznpodarou"/>
        <w:jc w:val="both"/>
        <w:rPr>
          <w:spacing w:val="-4"/>
          <w:sz w:val="16"/>
          <w:szCs w:val="16"/>
        </w:rPr>
      </w:pPr>
      <w:r w:rsidRPr="00352482">
        <w:rPr>
          <w:rStyle w:val="Znakapoznpodarou"/>
          <w:spacing w:val="-4"/>
          <w:sz w:val="16"/>
          <w:szCs w:val="16"/>
        </w:rPr>
        <w:footnoteRef/>
      </w:r>
      <w:r w:rsidRPr="00352482">
        <w:rPr>
          <w:spacing w:val="-4"/>
          <w:sz w:val="16"/>
          <w:szCs w:val="16"/>
        </w:rPr>
        <w:t xml:space="preserve"> Zahrnuje odvětví: Veřejná správa a obrana, vzdělávání, zdravotní a sociální péče.</w:t>
      </w:r>
    </w:p>
  </w:footnote>
  <w:footnote w:id="3">
    <w:p w:rsidR="00F23F6C" w:rsidRPr="003161CA" w:rsidRDefault="00F23F6C" w:rsidP="0036710C">
      <w:pPr>
        <w:pStyle w:val="Textpoznpodarou"/>
        <w:jc w:val="both"/>
        <w:rPr>
          <w:sz w:val="16"/>
          <w:szCs w:val="16"/>
        </w:rPr>
      </w:pPr>
      <w:r w:rsidRPr="00352482">
        <w:rPr>
          <w:rStyle w:val="Znakapoznpodarou"/>
          <w:spacing w:val="-4"/>
          <w:sz w:val="16"/>
          <w:szCs w:val="16"/>
        </w:rPr>
        <w:footnoteRef/>
      </w:r>
      <w:r w:rsidRPr="00352482">
        <w:rPr>
          <w:spacing w:val="-4"/>
          <w:sz w:val="16"/>
          <w:szCs w:val="16"/>
        </w:rPr>
        <w:t xml:space="preserve"> Míra nezaměstnanosti v této skupině ve 2. čtvrtletí 2017 činila 14,4 %, o rok dříve 21,4 %. Zastoupení osob s maximálně základním vzděláním mezi </w:t>
      </w:r>
      <w:r w:rsidR="00352482" w:rsidRPr="00352482">
        <w:rPr>
          <w:spacing w:val="-4"/>
          <w:sz w:val="16"/>
          <w:szCs w:val="16"/>
        </w:rPr>
        <w:t xml:space="preserve">ekonomicky aktivními ve věku 15 – </w:t>
      </w:r>
      <w:r w:rsidRPr="00352482">
        <w:rPr>
          <w:spacing w:val="-4"/>
          <w:sz w:val="16"/>
          <w:szCs w:val="16"/>
        </w:rPr>
        <w:t>64 let dosahovalo v ČR necelých 5 %. Jednalo se o druhý nejnižší podíl ze všech států EU.</w:t>
      </w:r>
    </w:p>
  </w:footnote>
  <w:footnote w:id="4">
    <w:p w:rsidR="00F23F6C" w:rsidRPr="00431E19" w:rsidRDefault="00F23F6C" w:rsidP="0036710C">
      <w:pPr>
        <w:pStyle w:val="Textpoznpodarou"/>
        <w:jc w:val="both"/>
        <w:rPr>
          <w:sz w:val="16"/>
          <w:szCs w:val="16"/>
        </w:rPr>
      </w:pPr>
      <w:r w:rsidRPr="00431E19">
        <w:rPr>
          <w:rStyle w:val="Znakapoznpodarou"/>
          <w:sz w:val="16"/>
          <w:szCs w:val="16"/>
        </w:rPr>
        <w:footnoteRef/>
      </w:r>
      <w:r w:rsidRPr="00431E19">
        <w:rPr>
          <w:sz w:val="16"/>
          <w:szCs w:val="16"/>
        </w:rPr>
        <w:t xml:space="preserve"> Většinou však šlo o osoby, které z různých důvodů do zaměstnání okamžitě nastoupit nemohly. Do dvou týdnů mohlo nastoupit do práce pouze 35 tis. osob. Podobně nízké počty byly naposledy vykázány v konjunkturním období minulé dekády.</w:t>
      </w:r>
    </w:p>
  </w:footnote>
  <w:footnote w:id="5">
    <w:p w:rsidR="00F23F6C" w:rsidRPr="00431E19" w:rsidRDefault="00F23F6C" w:rsidP="0036710C">
      <w:pPr>
        <w:pStyle w:val="Textpoznpodarou"/>
        <w:jc w:val="both"/>
        <w:rPr>
          <w:sz w:val="16"/>
          <w:szCs w:val="16"/>
        </w:rPr>
      </w:pPr>
      <w:r w:rsidRPr="00431E19">
        <w:rPr>
          <w:rStyle w:val="Znakapoznpodarou"/>
          <w:sz w:val="16"/>
          <w:szCs w:val="16"/>
        </w:rPr>
        <w:footnoteRef/>
      </w:r>
      <w:r w:rsidRPr="00431E19">
        <w:rPr>
          <w:sz w:val="16"/>
          <w:szCs w:val="16"/>
        </w:rPr>
        <w:t xml:space="preserve"> Efekt mzdové akcelerace byl ještě umocněn skutečností, že ve 2. čtv</w:t>
      </w:r>
      <w:r>
        <w:rPr>
          <w:sz w:val="16"/>
          <w:szCs w:val="16"/>
        </w:rPr>
        <w:t>rtletí 2017 bylo meziročně</w:t>
      </w:r>
      <w:r w:rsidRPr="00431E19">
        <w:rPr>
          <w:sz w:val="16"/>
          <w:szCs w:val="16"/>
        </w:rPr>
        <w:t xml:space="preserve"> o čtyři pracovní dny méně.</w:t>
      </w:r>
      <w:r>
        <w:rPr>
          <w:sz w:val="16"/>
          <w:szCs w:val="16"/>
        </w:rPr>
        <w:t xml:space="preserve"> To se odrazilo v</w:t>
      </w:r>
      <w:r w:rsidRPr="00431E19">
        <w:rPr>
          <w:sz w:val="16"/>
          <w:szCs w:val="16"/>
        </w:rPr>
        <w:t xml:space="preserve"> nižším počtu odpracovaných hodin (u zaměstnanců šlo dle údajů národních účtů o redukci ve výši 2,8 %).</w:t>
      </w:r>
    </w:p>
  </w:footnote>
  <w:footnote w:id="6">
    <w:p w:rsidR="00F23F6C" w:rsidRPr="00431E19" w:rsidRDefault="00F23F6C" w:rsidP="0036710C">
      <w:pPr>
        <w:pStyle w:val="Textpoznpodarou"/>
        <w:rPr>
          <w:sz w:val="15"/>
          <w:szCs w:val="15"/>
        </w:rPr>
      </w:pPr>
      <w:r w:rsidRPr="00431E19">
        <w:rPr>
          <w:rStyle w:val="Znakapoznpodarou"/>
          <w:sz w:val="16"/>
          <w:szCs w:val="16"/>
        </w:rPr>
        <w:footnoteRef/>
      </w:r>
      <w:r w:rsidRPr="00431E19">
        <w:rPr>
          <w:sz w:val="16"/>
          <w:szCs w:val="16"/>
        </w:rPr>
        <w:t xml:space="preserve"> Šlo o jediný případ v rámci všech devatenácti odvětvových sekcí ekonomiky, kdy letošní meziroční růst průměrných mezd </w:t>
      </w:r>
      <w:r>
        <w:rPr>
          <w:sz w:val="16"/>
          <w:szCs w:val="16"/>
        </w:rPr>
        <w:t xml:space="preserve">(+3,7 %) </w:t>
      </w:r>
      <w:r w:rsidRPr="00431E19">
        <w:rPr>
          <w:sz w:val="16"/>
          <w:szCs w:val="16"/>
        </w:rPr>
        <w:t xml:space="preserve">za obdobným tempem z 1. pololetí 2016 </w:t>
      </w:r>
      <w:r>
        <w:rPr>
          <w:sz w:val="16"/>
          <w:szCs w:val="16"/>
        </w:rPr>
        <w:t xml:space="preserve">(+4,0 %) </w:t>
      </w:r>
      <w:r w:rsidRPr="00431E19">
        <w:rPr>
          <w:sz w:val="16"/>
          <w:szCs w:val="16"/>
        </w:rPr>
        <w:t>zaostal.</w:t>
      </w:r>
      <w:r w:rsidRPr="00431E19">
        <w:rPr>
          <w:sz w:val="15"/>
          <w:szCs w:val="15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Pr="00C00831" w:rsidRDefault="00F23F6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Pr="0030768C" w:rsidRDefault="00F23F6C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5F5EF288"/>
    <w:lvl w:ilvl="0" w:tplc="0C823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20"/>
  </w:num>
  <w:num w:numId="5">
    <w:abstractNumId w:val="14"/>
  </w:num>
  <w:num w:numId="6">
    <w:abstractNumId w:val="17"/>
  </w:num>
  <w:num w:numId="7">
    <w:abstractNumId w:val="5"/>
  </w:num>
  <w:num w:numId="8">
    <w:abstractNumId w:val="10"/>
  </w:num>
  <w:num w:numId="9">
    <w:abstractNumId w:val="19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8"/>
  </w:num>
  <w:num w:numId="16">
    <w:abstractNumId w:val="15"/>
  </w:num>
  <w:num w:numId="17">
    <w:abstractNumId w:val="6"/>
  </w:num>
  <w:num w:numId="18">
    <w:abstractNumId w:val="21"/>
  </w:num>
  <w:num w:numId="19">
    <w:abstractNumId w:val="9"/>
  </w:num>
  <w:num w:numId="20">
    <w:abstractNumId w:val="1"/>
  </w:num>
  <w:num w:numId="21">
    <w:abstractNumId w:val="11"/>
  </w:num>
  <w:num w:numId="22">
    <w:abstractNumId w:val="13"/>
  </w:num>
  <w:num w:numId="2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324C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6DB9"/>
    <w:rsid w:val="00116F28"/>
    <w:rsid w:val="00117CE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4DFD"/>
    <w:rsid w:val="00136561"/>
    <w:rsid w:val="00136AE8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FC"/>
    <w:rsid w:val="00151AC0"/>
    <w:rsid w:val="00151B27"/>
    <w:rsid w:val="00152046"/>
    <w:rsid w:val="00152488"/>
    <w:rsid w:val="0015252B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961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B3B"/>
    <w:rsid w:val="002550D8"/>
    <w:rsid w:val="00257613"/>
    <w:rsid w:val="00261A0F"/>
    <w:rsid w:val="00261E5B"/>
    <w:rsid w:val="00262F34"/>
    <w:rsid w:val="002633E5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2084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937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7449"/>
    <w:rsid w:val="00357C28"/>
    <w:rsid w:val="00361F76"/>
    <w:rsid w:val="0036238B"/>
    <w:rsid w:val="00362408"/>
    <w:rsid w:val="003630B0"/>
    <w:rsid w:val="00364087"/>
    <w:rsid w:val="003649FC"/>
    <w:rsid w:val="003651A4"/>
    <w:rsid w:val="00365680"/>
    <w:rsid w:val="003657F3"/>
    <w:rsid w:val="00366D4D"/>
    <w:rsid w:val="00366F77"/>
    <w:rsid w:val="00367038"/>
    <w:rsid w:val="003670FE"/>
    <w:rsid w:val="0036710C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69A"/>
    <w:rsid w:val="004A26AF"/>
    <w:rsid w:val="004A26DB"/>
    <w:rsid w:val="004A30FB"/>
    <w:rsid w:val="004A35DD"/>
    <w:rsid w:val="004A37D3"/>
    <w:rsid w:val="004A3AD6"/>
    <w:rsid w:val="004A3BCE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628"/>
    <w:rsid w:val="005F5916"/>
    <w:rsid w:val="005F601D"/>
    <w:rsid w:val="005F6119"/>
    <w:rsid w:val="005F7940"/>
    <w:rsid w:val="00600712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C6197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40C5"/>
    <w:rsid w:val="00724666"/>
    <w:rsid w:val="00724E80"/>
    <w:rsid w:val="00725492"/>
    <w:rsid w:val="007256B7"/>
    <w:rsid w:val="00726043"/>
    <w:rsid w:val="0072704A"/>
    <w:rsid w:val="007279B9"/>
    <w:rsid w:val="00730AE8"/>
    <w:rsid w:val="007315DA"/>
    <w:rsid w:val="00731963"/>
    <w:rsid w:val="00732706"/>
    <w:rsid w:val="0073325D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C7BAC"/>
    <w:rsid w:val="007C7CC5"/>
    <w:rsid w:val="007D2A5A"/>
    <w:rsid w:val="007D2AD8"/>
    <w:rsid w:val="007D2C47"/>
    <w:rsid w:val="007D2C61"/>
    <w:rsid w:val="007D2DA3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18D8"/>
    <w:rsid w:val="008525F9"/>
    <w:rsid w:val="0085281A"/>
    <w:rsid w:val="00853C0F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EC6"/>
    <w:rsid w:val="008869D2"/>
    <w:rsid w:val="00886A8F"/>
    <w:rsid w:val="0088733A"/>
    <w:rsid w:val="008901C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0FBC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500F"/>
    <w:rsid w:val="009250D2"/>
    <w:rsid w:val="0092519D"/>
    <w:rsid w:val="0092540B"/>
    <w:rsid w:val="009256C5"/>
    <w:rsid w:val="00925A21"/>
    <w:rsid w:val="00926283"/>
    <w:rsid w:val="009306BE"/>
    <w:rsid w:val="0093161F"/>
    <w:rsid w:val="00934836"/>
    <w:rsid w:val="00934963"/>
    <w:rsid w:val="0093616E"/>
    <w:rsid w:val="00936ECA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A4D"/>
    <w:rsid w:val="00980373"/>
    <w:rsid w:val="00980621"/>
    <w:rsid w:val="0098095B"/>
    <w:rsid w:val="00982072"/>
    <w:rsid w:val="009833FA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1B9E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621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7754"/>
    <w:rsid w:val="00A2055B"/>
    <w:rsid w:val="00A20E22"/>
    <w:rsid w:val="00A219FE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766C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C69CA"/>
    <w:rsid w:val="00AD0B46"/>
    <w:rsid w:val="00AD1094"/>
    <w:rsid w:val="00AD2565"/>
    <w:rsid w:val="00AD2862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08F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493D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6D2C"/>
    <w:rsid w:val="00BB0274"/>
    <w:rsid w:val="00BB0B13"/>
    <w:rsid w:val="00BB1CFD"/>
    <w:rsid w:val="00BB2C53"/>
    <w:rsid w:val="00BB32DA"/>
    <w:rsid w:val="00BB3A54"/>
    <w:rsid w:val="00BB462A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7B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FDE"/>
    <w:rsid w:val="00C35C16"/>
    <w:rsid w:val="00C36EC3"/>
    <w:rsid w:val="00C40E09"/>
    <w:rsid w:val="00C40F81"/>
    <w:rsid w:val="00C41463"/>
    <w:rsid w:val="00C41A06"/>
    <w:rsid w:val="00C41A72"/>
    <w:rsid w:val="00C42D45"/>
    <w:rsid w:val="00C43CB1"/>
    <w:rsid w:val="00C4422D"/>
    <w:rsid w:val="00C466D1"/>
    <w:rsid w:val="00C476C5"/>
    <w:rsid w:val="00C503B0"/>
    <w:rsid w:val="00C511C2"/>
    <w:rsid w:val="00C527C6"/>
    <w:rsid w:val="00C538FC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953"/>
    <w:rsid w:val="00C80C9B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97D46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39F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62AD"/>
    <w:rsid w:val="00CC6CA2"/>
    <w:rsid w:val="00CC7086"/>
    <w:rsid w:val="00CC7B80"/>
    <w:rsid w:val="00CD0080"/>
    <w:rsid w:val="00CD0779"/>
    <w:rsid w:val="00CD2B3C"/>
    <w:rsid w:val="00CD30F6"/>
    <w:rsid w:val="00CD4B29"/>
    <w:rsid w:val="00CD5493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4DEB"/>
    <w:rsid w:val="00CE57D8"/>
    <w:rsid w:val="00CE5F03"/>
    <w:rsid w:val="00CE617A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773"/>
    <w:rsid w:val="00D85886"/>
    <w:rsid w:val="00D868CE"/>
    <w:rsid w:val="00D86DAE"/>
    <w:rsid w:val="00D90116"/>
    <w:rsid w:val="00D90C1E"/>
    <w:rsid w:val="00D91BDF"/>
    <w:rsid w:val="00D91F2C"/>
    <w:rsid w:val="00D9266B"/>
    <w:rsid w:val="00D93F09"/>
    <w:rsid w:val="00D94859"/>
    <w:rsid w:val="00D954C2"/>
    <w:rsid w:val="00D9640A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21FD"/>
    <w:rsid w:val="00DF2873"/>
    <w:rsid w:val="00DF293C"/>
    <w:rsid w:val="00DF34B2"/>
    <w:rsid w:val="00DF4C74"/>
    <w:rsid w:val="00DF5578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69C7"/>
    <w:rsid w:val="00E571F2"/>
    <w:rsid w:val="00E57429"/>
    <w:rsid w:val="00E60FCE"/>
    <w:rsid w:val="00E61EA8"/>
    <w:rsid w:val="00E62A33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1130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CE9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F5A"/>
    <w:rsid w:val="00EF3486"/>
    <w:rsid w:val="00EF3CF0"/>
    <w:rsid w:val="00EF4685"/>
    <w:rsid w:val="00EF5397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60EC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6C"/>
    <w:rsid w:val="00F23FFF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93B"/>
    <w:rsid w:val="00F759DC"/>
    <w:rsid w:val="00F76563"/>
    <w:rsid w:val="00F7717C"/>
    <w:rsid w:val="00F771A5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1.pololet&#237;\Trh%20pr&#225;ce\Grafy-trh%20pr&#225;ce-2q-2017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7\QMakro\1.pololet&#237;\Trh%20pr&#225;ce\Grafy-trh%20pr&#225;ce-2q-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7\QMakro\1.pololet&#237;\Trh%20pr&#225;ce\Grafy-trh%20pr&#225;ce-2q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306663279993532E-2"/>
          <c:y val="1.6549886621315305E-2"/>
          <c:w val="0.92698007507126057"/>
          <c:h val="0.74952806122449289"/>
        </c:manualLayout>
      </c:layout>
      <c:barChart>
        <c:barDir val="col"/>
        <c:grouping val="clustered"/>
        <c:ser>
          <c:idx val="0"/>
          <c:order val="0"/>
          <c:tx>
            <c:strRef>
              <c:f>'Trh práce 1'!$C$7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multiLvlStrRef>
              <c:f>'Trh práce 1'!$A$8:$B$37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1'!$C$8:$C$37</c:f>
              <c:numCache>
                <c:formatCode>#,##0.0</c:formatCode>
                <c:ptCount val="30"/>
                <c:pt idx="0" formatCode="0.0">
                  <c:v>-2.7493629357650775</c:v>
                </c:pt>
                <c:pt idx="1">
                  <c:v>-1.231355670101081</c:v>
                </c:pt>
                <c:pt idx="2">
                  <c:v>-0.18766026442571621</c:v>
                </c:pt>
                <c:pt idx="3">
                  <c:v>6.7316120287756867E-2</c:v>
                </c:pt>
                <c:pt idx="4" formatCode="0.0">
                  <c:v>0.10338579028356776</c:v>
                </c:pt>
                <c:pt idx="5">
                  <c:v>2.018958815014571E-3</c:v>
                </c:pt>
                <c:pt idx="6">
                  <c:v>-0.44357673893365884</c:v>
                </c:pt>
                <c:pt idx="7">
                  <c:v>-0.74967660526091662</c:v>
                </c:pt>
                <c:pt idx="8" formatCode="0.0">
                  <c:v>-6.4487376943205596E-2</c:v>
                </c:pt>
                <c:pt idx="9">
                  <c:v>0.15991018585724409</c:v>
                </c:pt>
                <c:pt idx="10">
                  <c:v>0.67126249823633088</c:v>
                </c:pt>
                <c:pt idx="11">
                  <c:v>0.91419179797142669</c:v>
                </c:pt>
                <c:pt idx="12" formatCode="0.0">
                  <c:v>0.44342336418017692</c:v>
                </c:pt>
                <c:pt idx="13">
                  <c:v>0.67770819458962983</c:v>
                </c:pt>
                <c:pt idx="14">
                  <c:v>0.12895197144355511</c:v>
                </c:pt>
                <c:pt idx="15">
                  <c:v>4.0322580645167333E-2</c:v>
                </c:pt>
                <c:pt idx="16" formatCode="0.0">
                  <c:v>0.57697146908899044</c:v>
                </c:pt>
                <c:pt idx="17">
                  <c:v>8.0399106188068226E-2</c:v>
                </c:pt>
                <c:pt idx="18">
                  <c:v>0.61322218939174689</c:v>
                </c:pt>
                <c:pt idx="19">
                  <c:v>0.93792373035558163</c:v>
                </c:pt>
                <c:pt idx="20" formatCode="0.0">
                  <c:v>1.2656993874037656</c:v>
                </c:pt>
                <c:pt idx="21">
                  <c:v>1.7613382287180177</c:v>
                </c:pt>
                <c:pt idx="22">
                  <c:v>1.3482013235820041</c:v>
                </c:pt>
                <c:pt idx="23">
                  <c:v>1.3363413079349578</c:v>
                </c:pt>
                <c:pt idx="24" formatCode="0.0">
                  <c:v>1.25558572910262</c:v>
                </c:pt>
                <c:pt idx="25">
                  <c:v>1.1507983544329499</c:v>
                </c:pt>
                <c:pt idx="26">
                  <c:v>1.2387481612437401</c:v>
                </c:pt>
                <c:pt idx="27">
                  <c:v>1.4978787727267502</c:v>
                </c:pt>
                <c:pt idx="28" formatCode="0.0">
                  <c:v>1.4614799115755517</c:v>
                </c:pt>
                <c:pt idx="29">
                  <c:v>1.3044868387106021</c:v>
                </c:pt>
              </c:numCache>
            </c:numRef>
          </c:val>
        </c:ser>
        <c:ser>
          <c:idx val="1"/>
          <c:order val="1"/>
          <c:tx>
            <c:strRef>
              <c:f>'Trh práce 1'!$D$7</c:f>
              <c:strCache>
                <c:ptCount val="1"/>
                <c:pt idx="0">
                  <c:v>z toho zaměstnanci</c:v>
                </c:pt>
              </c:strCache>
            </c:strRef>
          </c:tx>
          <c:spPr>
            <a:solidFill>
              <a:srgbClr val="B4B4B4"/>
            </a:solidFill>
          </c:spPr>
          <c:cat>
            <c:multiLvlStrRef>
              <c:f>'Trh práce 1'!$A$8:$B$37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1'!$D$8:$D$37</c:f>
              <c:numCache>
                <c:formatCode>#,##0.0</c:formatCode>
                <c:ptCount val="30"/>
                <c:pt idx="0" formatCode="0.0">
                  <c:v>-3.7183457539311604</c:v>
                </c:pt>
                <c:pt idx="1">
                  <c:v>-2.2037535918506852</c:v>
                </c:pt>
                <c:pt idx="2">
                  <c:v>-0.95031718324349868</c:v>
                </c:pt>
                <c:pt idx="3">
                  <c:v>-0.89602372013739251</c:v>
                </c:pt>
                <c:pt idx="4" formatCode="0.0">
                  <c:v>-0.12541420529301206</c:v>
                </c:pt>
                <c:pt idx="5">
                  <c:v>-0.18074186061507191</c:v>
                </c:pt>
                <c:pt idx="6">
                  <c:v>-0.68532067485385584</c:v>
                </c:pt>
                <c:pt idx="7">
                  <c:v>-1.0055124180924468</c:v>
                </c:pt>
                <c:pt idx="8" formatCode="0.0">
                  <c:v>-0.30649126299194185</c:v>
                </c:pt>
                <c:pt idx="9">
                  <c:v>8.2306292576589724E-2</c:v>
                </c:pt>
                <c:pt idx="10">
                  <c:v>1.1363397269730244</c:v>
                </c:pt>
                <c:pt idx="11">
                  <c:v>1.4752985788288413</c:v>
                </c:pt>
                <c:pt idx="12" formatCode="0.0">
                  <c:v>1.3546733566221858</c:v>
                </c:pt>
                <c:pt idx="13">
                  <c:v>1.6154432368700355</c:v>
                </c:pt>
                <c:pt idx="14">
                  <c:v>0.36949059992726291</c:v>
                </c:pt>
                <c:pt idx="15">
                  <c:v>0.47903550287971086</c:v>
                </c:pt>
                <c:pt idx="16" formatCode="0.0">
                  <c:v>0.66378516215239614</c:v>
                </c:pt>
                <c:pt idx="17">
                  <c:v>0.18975134112584247</c:v>
                </c:pt>
                <c:pt idx="18">
                  <c:v>1.2672516726795198</c:v>
                </c:pt>
                <c:pt idx="19">
                  <c:v>1.4210854345550401</c:v>
                </c:pt>
                <c:pt idx="20" formatCode="0.0">
                  <c:v>1.7902796675032424</c:v>
                </c:pt>
                <c:pt idx="21">
                  <c:v>2.2018522696376976</c:v>
                </c:pt>
                <c:pt idx="22">
                  <c:v>1.7829147341944758</c:v>
                </c:pt>
                <c:pt idx="23">
                  <c:v>2.023636901433207</c:v>
                </c:pt>
                <c:pt idx="24" formatCode="0.0">
                  <c:v>1.7634904453369258</c:v>
                </c:pt>
                <c:pt idx="25">
                  <c:v>1.2273587505034556</c:v>
                </c:pt>
                <c:pt idx="26">
                  <c:v>1.1016541871874308</c:v>
                </c:pt>
                <c:pt idx="27">
                  <c:v>0.89889101162970431</c:v>
                </c:pt>
                <c:pt idx="28" formatCode="0.0">
                  <c:v>0.87734573109716563</c:v>
                </c:pt>
                <c:pt idx="29">
                  <c:v>1.2321816539755162</c:v>
                </c:pt>
              </c:numCache>
            </c:numRef>
          </c:val>
        </c:ser>
        <c:gapWidth val="68"/>
        <c:axId val="127502592"/>
        <c:axId val="127524864"/>
      </c:barChart>
      <c:lineChart>
        <c:grouping val="standard"/>
        <c:ser>
          <c:idx val="2"/>
          <c:order val="2"/>
          <c:tx>
            <c:strRef>
              <c:f>'Trh práce 1'!$E$7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'Trh práce 1'!$A$8:$B$37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1'!$E$8:$E$37</c:f>
              <c:numCache>
                <c:formatCode>#,##0.0</c:formatCode>
                <c:ptCount val="30"/>
                <c:pt idx="0" formatCode="0.0">
                  <c:v>-7.1328240218293359</c:v>
                </c:pt>
                <c:pt idx="1">
                  <c:v>-3.3483416585653849</c:v>
                </c:pt>
                <c:pt idx="2">
                  <c:v>-1.2053324012494882</c:v>
                </c:pt>
                <c:pt idx="3">
                  <c:v>-0.57131663484785888</c:v>
                </c:pt>
                <c:pt idx="4" formatCode="0.0">
                  <c:v>3.9594013882738377</c:v>
                </c:pt>
                <c:pt idx="5">
                  <c:v>4.29177691707892</c:v>
                </c:pt>
                <c:pt idx="6">
                  <c:v>3.8641041434753802</c:v>
                </c:pt>
                <c:pt idx="7">
                  <c:v>2.3282676220815119</c:v>
                </c:pt>
                <c:pt idx="8" formatCode="0.0">
                  <c:v>0.60345793922903113</c:v>
                </c:pt>
                <c:pt idx="9">
                  <c:v>0.50872672006472897</c:v>
                </c:pt>
                <c:pt idx="10">
                  <c:v>1.2032645570921594</c:v>
                </c:pt>
                <c:pt idx="11">
                  <c:v>1.6438966600367309</c:v>
                </c:pt>
                <c:pt idx="12" formatCode="0.0">
                  <c:v>-0.17866048437355175</c:v>
                </c:pt>
                <c:pt idx="13">
                  <c:v>0.16028267064615417</c:v>
                </c:pt>
                <c:pt idx="14">
                  <c:v>-0.40170171733359439</c:v>
                </c:pt>
                <c:pt idx="15">
                  <c:v>-0.21424103300076169</c:v>
                </c:pt>
                <c:pt idx="16" formatCode="0.0">
                  <c:v>0.79613495033972015</c:v>
                </c:pt>
                <c:pt idx="17">
                  <c:v>0.76079016253729304</c:v>
                </c:pt>
                <c:pt idx="18">
                  <c:v>1.537859661648028</c:v>
                </c:pt>
                <c:pt idx="19">
                  <c:v>2.0804183493204675</c:v>
                </c:pt>
                <c:pt idx="20" formatCode="0.0">
                  <c:v>3.4953504286037127</c:v>
                </c:pt>
                <c:pt idx="21">
                  <c:v>3.6840014560195882</c:v>
                </c:pt>
                <c:pt idx="22">
                  <c:v>3.1112916815337428</c:v>
                </c:pt>
                <c:pt idx="23">
                  <c:v>3.7794080596979152</c:v>
                </c:pt>
                <c:pt idx="24" formatCode="0.0">
                  <c:v>2.431344478594383</c:v>
                </c:pt>
                <c:pt idx="25">
                  <c:v>1.5761795854152467</c:v>
                </c:pt>
                <c:pt idx="26">
                  <c:v>1.831630983970058</c:v>
                </c:pt>
                <c:pt idx="27">
                  <c:v>1.3319586258319731</c:v>
                </c:pt>
                <c:pt idx="28" formatCode="0.0">
                  <c:v>1.0374019421035999E-2</c:v>
                </c:pt>
                <c:pt idx="29">
                  <c:v>0.44909578511092735</c:v>
                </c:pt>
              </c:numCache>
            </c:numRef>
          </c:val>
        </c:ser>
        <c:ser>
          <c:idx val="3"/>
          <c:order val="3"/>
          <c:tx>
            <c:strRef>
              <c:f>'Trh práce 1'!$F$7</c:f>
              <c:strCache>
                <c:ptCount val="1"/>
                <c:pt idx="0">
                  <c:v>Stavebnictví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'Trh práce 1'!$A$8:$B$37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1'!$F$8:$F$37</c:f>
              <c:numCache>
                <c:formatCode>#,##0.0</c:formatCode>
                <c:ptCount val="30"/>
                <c:pt idx="0" formatCode="0.0">
                  <c:v>0.96973743053816375</c:v>
                </c:pt>
                <c:pt idx="1">
                  <c:v>1.5766212487064548</c:v>
                </c:pt>
                <c:pt idx="2">
                  <c:v>2.0505826231116777</c:v>
                </c:pt>
                <c:pt idx="3">
                  <c:v>2.0975017349063116</c:v>
                </c:pt>
                <c:pt idx="4" formatCode="0.0">
                  <c:v>-5.0057748344370765</c:v>
                </c:pt>
                <c:pt idx="5">
                  <c:v>-4.9400088718526733</c:v>
                </c:pt>
                <c:pt idx="6">
                  <c:v>-5.3825592625853345</c:v>
                </c:pt>
                <c:pt idx="7">
                  <c:v>-5.2114309503984755</c:v>
                </c:pt>
                <c:pt idx="8" formatCode="0.0">
                  <c:v>-1.0125955373515865</c:v>
                </c:pt>
                <c:pt idx="9">
                  <c:v>-0.65129343258656025</c:v>
                </c:pt>
                <c:pt idx="10">
                  <c:v>-1.6486726674023942</c:v>
                </c:pt>
                <c:pt idx="11">
                  <c:v>-1.8238369370116339</c:v>
                </c:pt>
                <c:pt idx="12" formatCode="0.0">
                  <c:v>-2.4231770393157888</c:v>
                </c:pt>
                <c:pt idx="13">
                  <c:v>-3.6906605297992368</c:v>
                </c:pt>
                <c:pt idx="14">
                  <c:v>-2.201849061585321</c:v>
                </c:pt>
                <c:pt idx="15">
                  <c:v>-1.0882912822572832</c:v>
                </c:pt>
                <c:pt idx="16" formatCode="0.0">
                  <c:v>-5.0648669747761375</c:v>
                </c:pt>
                <c:pt idx="17">
                  <c:v>-3.6538098049419152</c:v>
                </c:pt>
                <c:pt idx="18">
                  <c:v>-4.2712784278679123</c:v>
                </c:pt>
                <c:pt idx="19">
                  <c:v>-5.2428752740279032</c:v>
                </c:pt>
                <c:pt idx="20" formatCode="0.0">
                  <c:v>-0.17200523557662101</c:v>
                </c:pt>
                <c:pt idx="21">
                  <c:v>-9.2520605210694745E-2</c:v>
                </c:pt>
                <c:pt idx="22">
                  <c:v>-0.60778302632186865</c:v>
                </c:pt>
                <c:pt idx="23">
                  <c:v>-0.98361054964323058</c:v>
                </c:pt>
                <c:pt idx="24" formatCode="0.0">
                  <c:v>-0.86955038298722576</c:v>
                </c:pt>
                <c:pt idx="25">
                  <c:v>-1.263275789759486</c:v>
                </c:pt>
                <c:pt idx="26">
                  <c:v>0.19494607796374913</c:v>
                </c:pt>
                <c:pt idx="27">
                  <c:v>0.47566227486591234</c:v>
                </c:pt>
                <c:pt idx="28" formatCode="0.0">
                  <c:v>0.87939049904241562</c:v>
                </c:pt>
                <c:pt idx="29">
                  <c:v>0.62240969535069945</c:v>
                </c:pt>
              </c:numCache>
            </c:numRef>
          </c:val>
        </c:ser>
        <c:ser>
          <c:idx val="4"/>
          <c:order val="4"/>
          <c:tx>
            <c:strRef>
              <c:f>'Trh práce 1'!$G$7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'Trh práce 1'!$A$8:$B$37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1'!$G$8:$G$37</c:f>
              <c:numCache>
                <c:formatCode>#,##0.0</c:formatCode>
                <c:ptCount val="30"/>
                <c:pt idx="0" formatCode="0.0">
                  <c:v>-1.4811264631436956</c:v>
                </c:pt>
                <c:pt idx="1">
                  <c:v>-0.55415302001367195</c:v>
                </c:pt>
                <c:pt idx="2">
                  <c:v>0.60230497012719364</c:v>
                </c:pt>
                <c:pt idx="3">
                  <c:v>1.1873384060302081</c:v>
                </c:pt>
                <c:pt idx="4" formatCode="0.0">
                  <c:v>-0.26525714239460285</c:v>
                </c:pt>
                <c:pt idx="5">
                  <c:v>-0.33716708681508689</c:v>
                </c:pt>
                <c:pt idx="6">
                  <c:v>-0.36196666950499656</c:v>
                </c:pt>
                <c:pt idx="7">
                  <c:v>-0.6159301049051038</c:v>
                </c:pt>
                <c:pt idx="8" formatCode="0.0">
                  <c:v>-0.54434279555370324</c:v>
                </c:pt>
                <c:pt idx="9">
                  <c:v>-0.40514396083042931</c:v>
                </c:pt>
                <c:pt idx="10">
                  <c:v>-0.37311748202134282</c:v>
                </c:pt>
                <c:pt idx="11">
                  <c:v>-0.76815794371515267</c:v>
                </c:pt>
                <c:pt idx="12" formatCode="0.0">
                  <c:v>0.77369328581768571</c:v>
                </c:pt>
                <c:pt idx="13">
                  <c:v>0.60429784295405464</c:v>
                </c:pt>
                <c:pt idx="14">
                  <c:v>7.7201205439365581E-2</c:v>
                </c:pt>
                <c:pt idx="15">
                  <c:v>0.17659710770475101</c:v>
                </c:pt>
                <c:pt idx="16" formatCode="0.0">
                  <c:v>-0.27532549141551532</c:v>
                </c:pt>
                <c:pt idx="17">
                  <c:v>-1.0247212280180378</c:v>
                </c:pt>
                <c:pt idx="18">
                  <c:v>-0.43357812735003343</c:v>
                </c:pt>
                <c:pt idx="19">
                  <c:v>0.64735384894699166</c:v>
                </c:pt>
                <c:pt idx="20" formatCode="0.0">
                  <c:v>0.50702313110330977</c:v>
                </c:pt>
                <c:pt idx="21">
                  <c:v>1.5961990830606112</c:v>
                </c:pt>
                <c:pt idx="22">
                  <c:v>0.93704012916178669</c:v>
                </c:pt>
                <c:pt idx="23">
                  <c:v>0.33427848272518301</c:v>
                </c:pt>
                <c:pt idx="24" formatCode="0.0">
                  <c:v>1.0009323399146552</c:v>
                </c:pt>
                <c:pt idx="25">
                  <c:v>1.7066855557750675</c:v>
                </c:pt>
                <c:pt idx="26">
                  <c:v>0.78520382793907162</c:v>
                </c:pt>
                <c:pt idx="27">
                  <c:v>1.1320860722512593</c:v>
                </c:pt>
                <c:pt idx="28" formatCode="0.0">
                  <c:v>2.236638443048137</c:v>
                </c:pt>
                <c:pt idx="29">
                  <c:v>1.5495734803732972</c:v>
                </c:pt>
              </c:numCache>
            </c:numRef>
          </c:val>
        </c:ser>
        <c:ser>
          <c:idx val="5"/>
          <c:order val="5"/>
          <c:tx>
            <c:strRef>
              <c:f>'Trh práce 1'!$H$7</c:f>
              <c:strCache>
                <c:ptCount val="1"/>
                <c:pt idx="0">
                  <c:v>Veř.spr.,obrana,vzděl.,zdrav.,soc.péče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'Trh práce 1'!$A$8:$B$37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1'!$H$8:$H$37</c:f>
              <c:numCache>
                <c:formatCode>#,##0.0</c:formatCode>
                <c:ptCount val="30"/>
                <c:pt idx="0" formatCode="0.0">
                  <c:v>-1.855806077102784E-2</c:v>
                </c:pt>
                <c:pt idx="1">
                  <c:v>-0.2268975752819245</c:v>
                </c:pt>
                <c:pt idx="2">
                  <c:v>-0.29433275456824531</c:v>
                </c:pt>
                <c:pt idx="3">
                  <c:v>-0.22704563055180049</c:v>
                </c:pt>
                <c:pt idx="4" formatCode="0.0">
                  <c:v>-0.47110868534822864</c:v>
                </c:pt>
                <c:pt idx="5">
                  <c:v>-0.76334858695398333</c:v>
                </c:pt>
                <c:pt idx="6">
                  <c:v>-1.0474282405825992</c:v>
                </c:pt>
                <c:pt idx="7">
                  <c:v>-0.76086919786541785</c:v>
                </c:pt>
                <c:pt idx="8" formatCode="0.0">
                  <c:v>-2.535425466372863</c:v>
                </c:pt>
                <c:pt idx="9">
                  <c:v>-1.902141619073888</c:v>
                </c:pt>
                <c:pt idx="10">
                  <c:v>-0.31903720704937688</c:v>
                </c:pt>
                <c:pt idx="11">
                  <c:v>0.36291810220055437</c:v>
                </c:pt>
                <c:pt idx="12" formatCode="0.0">
                  <c:v>0.82471995854189406</c:v>
                </c:pt>
                <c:pt idx="13">
                  <c:v>2.1008576235233787</c:v>
                </c:pt>
                <c:pt idx="14">
                  <c:v>1.1395620003701339</c:v>
                </c:pt>
                <c:pt idx="15">
                  <c:v>0.93291347702553662</c:v>
                </c:pt>
                <c:pt idx="16" formatCode="0.0">
                  <c:v>1.5775454229154633</c:v>
                </c:pt>
                <c:pt idx="17">
                  <c:v>0.97071946520879004</c:v>
                </c:pt>
                <c:pt idx="18">
                  <c:v>2.0062549533348095</c:v>
                </c:pt>
                <c:pt idx="19">
                  <c:v>1.909431171276182</c:v>
                </c:pt>
                <c:pt idx="20" formatCode="0.0">
                  <c:v>1.5186815850960897</c:v>
                </c:pt>
                <c:pt idx="21">
                  <c:v>1.3439686041484278</c:v>
                </c:pt>
                <c:pt idx="22">
                  <c:v>0.58259948981276088</c:v>
                </c:pt>
                <c:pt idx="23">
                  <c:v>0.49868099701011376</c:v>
                </c:pt>
                <c:pt idx="24" formatCode="0.0">
                  <c:v>0.63503922301082394</c:v>
                </c:pt>
                <c:pt idx="25">
                  <c:v>0.46250463543849207</c:v>
                </c:pt>
                <c:pt idx="26">
                  <c:v>0.92616906278036026</c:v>
                </c:pt>
                <c:pt idx="27">
                  <c:v>1.4567791547310804</c:v>
                </c:pt>
                <c:pt idx="28" formatCode="0.0">
                  <c:v>0.68284686073320722</c:v>
                </c:pt>
                <c:pt idx="29">
                  <c:v>0.93457943925233167</c:v>
                </c:pt>
              </c:numCache>
            </c:numRef>
          </c:val>
        </c:ser>
        <c:marker val="1"/>
        <c:axId val="127502592"/>
        <c:axId val="127524864"/>
      </c:lineChart>
      <c:catAx>
        <c:axId val="127502592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crossAx val="127524864"/>
        <c:crosses val="autoZero"/>
        <c:auto val="1"/>
        <c:lblAlgn val="ctr"/>
        <c:lblOffset val="10"/>
      </c:catAx>
      <c:valAx>
        <c:axId val="127524864"/>
        <c:scaling>
          <c:orientation val="minMax"/>
          <c:max val="5"/>
          <c:min val="-7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7502592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392487973751833E-2"/>
          <c:y val="0.87056150793650788"/>
          <c:w val="0.92505743233709214"/>
          <c:h val="0.1186221655328803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364838092894683E-2"/>
          <c:y val="1.643251153889452E-2"/>
          <c:w val="0.8844876162264117"/>
          <c:h val="0.75762726757370236"/>
        </c:manualLayout>
      </c:layout>
      <c:barChart>
        <c:barDir val="col"/>
        <c:grouping val="clustered"/>
        <c:ser>
          <c:idx val="0"/>
          <c:order val="0"/>
          <c:tx>
            <c:strRef>
              <c:f>'Trh práce-2'!$A$32</c:f>
              <c:strCache>
                <c:ptCount val="1"/>
                <c:pt idx="0">
                  <c:v>Míra nezaměstn. mužů (pravá osa)</c:v>
                </c:pt>
              </c:strCache>
            </c:strRef>
          </c:tx>
          <c:spPr>
            <a:solidFill>
              <a:srgbClr val="BCBCBC"/>
            </a:solidFill>
          </c:spPr>
          <c:cat>
            <c:multiLvlStrRef>
              <c:f>'Trh práce-2'!$B$30:$AE$31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práce-2'!$B$32:$AE$32</c:f>
              <c:numCache>
                <c:formatCode>#,##0.0</c:formatCode>
                <c:ptCount val="30"/>
                <c:pt idx="0">
                  <c:v>7.2</c:v>
                </c:pt>
                <c:pt idx="1">
                  <c:v>6.4</c:v>
                </c:pt>
                <c:pt idx="2">
                  <c:v>6.1</c:v>
                </c:pt>
                <c:pt idx="3">
                  <c:v>6</c:v>
                </c:pt>
                <c:pt idx="4">
                  <c:v>6</c:v>
                </c:pt>
                <c:pt idx="5">
                  <c:v>5.9</c:v>
                </c:pt>
                <c:pt idx="6">
                  <c:v>5.7</c:v>
                </c:pt>
                <c:pt idx="7">
                  <c:v>5.6</c:v>
                </c:pt>
                <c:pt idx="8">
                  <c:v>6</c:v>
                </c:pt>
                <c:pt idx="9">
                  <c:v>5.9</c:v>
                </c:pt>
                <c:pt idx="10">
                  <c:v>6</c:v>
                </c:pt>
                <c:pt idx="11">
                  <c:v>6.2</c:v>
                </c:pt>
                <c:pt idx="12">
                  <c:v>6.3</c:v>
                </c:pt>
                <c:pt idx="13">
                  <c:v>5.9</c:v>
                </c:pt>
                <c:pt idx="14">
                  <c:v>5.8</c:v>
                </c:pt>
                <c:pt idx="15">
                  <c:v>5.7</c:v>
                </c:pt>
                <c:pt idx="16">
                  <c:v>5.5</c:v>
                </c:pt>
                <c:pt idx="17">
                  <c:v>5.0999999999999996</c:v>
                </c:pt>
                <c:pt idx="18">
                  <c:v>4.9000000000000004</c:v>
                </c:pt>
                <c:pt idx="19">
                  <c:v>5</c:v>
                </c:pt>
                <c:pt idx="20">
                  <c:v>5</c:v>
                </c:pt>
                <c:pt idx="21">
                  <c:v>4.3</c:v>
                </c:pt>
                <c:pt idx="22">
                  <c:v>4</c:v>
                </c:pt>
                <c:pt idx="23">
                  <c:v>3.8</c:v>
                </c:pt>
                <c:pt idx="24">
                  <c:v>3.5</c:v>
                </c:pt>
                <c:pt idx="25">
                  <c:v>3.5</c:v>
                </c:pt>
                <c:pt idx="26">
                  <c:v>3.4</c:v>
                </c:pt>
                <c:pt idx="27">
                  <c:v>3.1</c:v>
                </c:pt>
                <c:pt idx="28">
                  <c:v>2.5</c:v>
                </c:pt>
                <c:pt idx="29">
                  <c:v>2.4</c:v>
                </c:pt>
              </c:numCache>
            </c:numRef>
          </c:val>
        </c:ser>
        <c:ser>
          <c:idx val="1"/>
          <c:order val="1"/>
          <c:tx>
            <c:strRef>
              <c:f>'Trh práce-2'!$A$33</c:f>
              <c:strCache>
                <c:ptCount val="1"/>
                <c:pt idx="0">
                  <c:v>Míra nezaměstn. žen (pravá osa)</c:v>
                </c:pt>
              </c:strCache>
            </c:strRef>
          </c:tx>
          <c:spPr>
            <a:solidFill>
              <a:srgbClr val="DBDBDB"/>
            </a:solidFill>
          </c:spPr>
          <c:cat>
            <c:multiLvlStrRef>
              <c:f>'Trh práce-2'!$B$30:$AE$31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práce-2'!$B$33:$AE$33</c:f>
              <c:numCache>
                <c:formatCode>#,##0.0</c:formatCode>
                <c:ptCount val="30"/>
                <c:pt idx="0">
                  <c:v>8.7000000000000011</c:v>
                </c:pt>
                <c:pt idx="1">
                  <c:v>8.5</c:v>
                </c:pt>
                <c:pt idx="2">
                  <c:v>8.4</c:v>
                </c:pt>
                <c:pt idx="3">
                  <c:v>8.2000000000000011</c:v>
                </c:pt>
                <c:pt idx="4">
                  <c:v>8.1</c:v>
                </c:pt>
                <c:pt idx="5">
                  <c:v>8.1</c:v>
                </c:pt>
                <c:pt idx="6">
                  <c:v>7.7</c:v>
                </c:pt>
                <c:pt idx="7">
                  <c:v>7.6</c:v>
                </c:pt>
                <c:pt idx="8">
                  <c:v>8</c:v>
                </c:pt>
                <c:pt idx="9">
                  <c:v>8.2000000000000011</c:v>
                </c:pt>
                <c:pt idx="10">
                  <c:v>8.2000000000000011</c:v>
                </c:pt>
                <c:pt idx="11">
                  <c:v>8.5</c:v>
                </c:pt>
                <c:pt idx="12">
                  <c:v>8.4</c:v>
                </c:pt>
                <c:pt idx="13">
                  <c:v>8.3000000000000007</c:v>
                </c:pt>
                <c:pt idx="14">
                  <c:v>8.3000000000000007</c:v>
                </c:pt>
                <c:pt idx="15">
                  <c:v>8.1</c:v>
                </c:pt>
                <c:pt idx="16">
                  <c:v>7.9</c:v>
                </c:pt>
                <c:pt idx="17">
                  <c:v>7.6</c:v>
                </c:pt>
                <c:pt idx="18">
                  <c:v>7.2</c:v>
                </c:pt>
                <c:pt idx="19">
                  <c:v>6.9</c:v>
                </c:pt>
                <c:pt idx="20">
                  <c:v>6.8</c:v>
                </c:pt>
                <c:pt idx="21">
                  <c:v>6.2</c:v>
                </c:pt>
                <c:pt idx="22">
                  <c:v>5.8</c:v>
                </c:pt>
                <c:pt idx="23">
                  <c:v>5.5</c:v>
                </c:pt>
                <c:pt idx="24">
                  <c:v>5</c:v>
                </c:pt>
                <c:pt idx="25">
                  <c:v>4.7</c:v>
                </c:pt>
                <c:pt idx="26">
                  <c:v>4.7</c:v>
                </c:pt>
                <c:pt idx="27">
                  <c:v>4.3</c:v>
                </c:pt>
                <c:pt idx="28">
                  <c:v>4.3</c:v>
                </c:pt>
                <c:pt idx="29">
                  <c:v>3.8</c:v>
                </c:pt>
              </c:numCache>
            </c:numRef>
          </c:val>
        </c:ser>
        <c:gapWidth val="68"/>
        <c:axId val="127591552"/>
        <c:axId val="127577472"/>
      </c:barChart>
      <c:lineChart>
        <c:grouping val="standard"/>
        <c:ser>
          <c:idx val="2"/>
          <c:order val="2"/>
          <c:tx>
            <c:strRef>
              <c:f>'Trh práce-2'!$A$34</c:f>
              <c:strCache>
                <c:ptCount val="1"/>
                <c:pt idx="0">
                  <c:v>Nezaměstnaní s max. základ. vzděl.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'Trh práce-2'!$B$30:$AE$31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práce-2'!$B$34:$AE$34</c:f>
              <c:numCache>
                <c:formatCode>0</c:formatCode>
                <c:ptCount val="30"/>
                <c:pt idx="0">
                  <c:v>21.714768670214291</c:v>
                </c:pt>
                <c:pt idx="1">
                  <c:v>-1.21634331078873</c:v>
                </c:pt>
                <c:pt idx="2">
                  <c:v>-16.17582875054989</c:v>
                </c:pt>
                <c:pt idx="3">
                  <c:v>-17.326849096450193</c:v>
                </c:pt>
                <c:pt idx="4">
                  <c:v>-20.685159269353587</c:v>
                </c:pt>
                <c:pt idx="5">
                  <c:v>-13.109667018498932</c:v>
                </c:pt>
                <c:pt idx="6">
                  <c:v>-3.4347558981075395</c:v>
                </c:pt>
                <c:pt idx="7">
                  <c:v>-1.2914192636035153</c:v>
                </c:pt>
                <c:pt idx="8">
                  <c:v>15.116142329292568</c:v>
                </c:pt>
                <c:pt idx="9">
                  <c:v>20.56425220833211</c:v>
                </c:pt>
                <c:pt idx="10">
                  <c:v>17.300096375591313</c:v>
                </c:pt>
                <c:pt idx="11">
                  <c:v>21.054278842458295</c:v>
                </c:pt>
                <c:pt idx="12">
                  <c:v>1.5586037838760241</c:v>
                </c:pt>
                <c:pt idx="13">
                  <c:v>-14.506006075302331</c:v>
                </c:pt>
                <c:pt idx="14">
                  <c:v>-19.243419598176885</c:v>
                </c:pt>
                <c:pt idx="15">
                  <c:v>-25.150929504907829</c:v>
                </c:pt>
                <c:pt idx="16">
                  <c:v>-25.77535118359669</c:v>
                </c:pt>
                <c:pt idx="17">
                  <c:v>-22.26063113150288</c:v>
                </c:pt>
                <c:pt idx="18">
                  <c:v>-14.590196785136953</c:v>
                </c:pt>
                <c:pt idx="19">
                  <c:v>-9.444471544328108</c:v>
                </c:pt>
                <c:pt idx="20">
                  <c:v>-1.188370832677478</c:v>
                </c:pt>
                <c:pt idx="21">
                  <c:v>2.1795435785889632</c:v>
                </c:pt>
                <c:pt idx="22">
                  <c:v>-0.63856381013110364</c:v>
                </c:pt>
                <c:pt idx="23">
                  <c:v>4.3365931482174886</c:v>
                </c:pt>
                <c:pt idx="24">
                  <c:v>-7.709666780676506</c:v>
                </c:pt>
                <c:pt idx="25">
                  <c:v>-3.4192888313452316</c:v>
                </c:pt>
                <c:pt idx="26">
                  <c:v>-5.2224150656789945</c:v>
                </c:pt>
                <c:pt idx="27">
                  <c:v>-15.506068308866634</c:v>
                </c:pt>
                <c:pt idx="28">
                  <c:v>-27.918696562118029</c:v>
                </c:pt>
                <c:pt idx="29">
                  <c:v>-33.149695304122517</c:v>
                </c:pt>
              </c:numCache>
            </c:numRef>
          </c:val>
        </c:ser>
        <c:ser>
          <c:idx val="3"/>
          <c:order val="3"/>
          <c:tx>
            <c:strRef>
              <c:f>'Trh práce-2'!$A$35</c:f>
              <c:strCache>
                <c:ptCount val="1"/>
                <c:pt idx="0">
                  <c:v>Nezaměstn. se střed.vzděl.bez mat.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'Trh práce-2'!$B$30:$AE$31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práce-2'!$B$35:$AE$35</c:f>
              <c:numCache>
                <c:formatCode>0</c:formatCode>
                <c:ptCount val="30"/>
                <c:pt idx="0">
                  <c:v>49.784188022706395</c:v>
                </c:pt>
                <c:pt idx="1">
                  <c:v>13.867544627418576</c:v>
                </c:pt>
                <c:pt idx="2">
                  <c:v>-3.4814801600927581</c:v>
                </c:pt>
                <c:pt idx="3">
                  <c:v>-3.5322380372063265</c:v>
                </c:pt>
                <c:pt idx="4">
                  <c:v>-11.579352488945252</c:v>
                </c:pt>
                <c:pt idx="5">
                  <c:v>-8.4345228185388521</c:v>
                </c:pt>
                <c:pt idx="6">
                  <c:v>-7.4278516415523796</c:v>
                </c:pt>
                <c:pt idx="7">
                  <c:v>-11.39844334476407</c:v>
                </c:pt>
                <c:pt idx="8">
                  <c:v>-6.9967808393978146</c:v>
                </c:pt>
                <c:pt idx="9">
                  <c:v>-4.6316506832057804</c:v>
                </c:pt>
                <c:pt idx="10">
                  <c:v>1.5130013110978626</c:v>
                </c:pt>
                <c:pt idx="11">
                  <c:v>15.444727754266269</c:v>
                </c:pt>
                <c:pt idx="12">
                  <c:v>11.295553399301248</c:v>
                </c:pt>
                <c:pt idx="13">
                  <c:v>11.135950773644549</c:v>
                </c:pt>
                <c:pt idx="14">
                  <c:v>2.1227982768583051</c:v>
                </c:pt>
                <c:pt idx="15">
                  <c:v>-8.1974891991531127</c:v>
                </c:pt>
                <c:pt idx="16">
                  <c:v>-9.6245134843654316</c:v>
                </c:pt>
                <c:pt idx="17">
                  <c:v>-16.231929719850797</c:v>
                </c:pt>
                <c:pt idx="18">
                  <c:v>-19.827481877336286</c:v>
                </c:pt>
                <c:pt idx="19">
                  <c:v>-16.693209567708788</c:v>
                </c:pt>
                <c:pt idx="20">
                  <c:v>-16.454778753219017</c:v>
                </c:pt>
                <c:pt idx="21">
                  <c:v>-22.216756280012163</c:v>
                </c:pt>
                <c:pt idx="22">
                  <c:v>-16.999907523882399</c:v>
                </c:pt>
                <c:pt idx="23">
                  <c:v>-31.51468178405301</c:v>
                </c:pt>
                <c:pt idx="24">
                  <c:v>-32.064032560839479</c:v>
                </c:pt>
                <c:pt idx="25">
                  <c:v>-26.106419495499964</c:v>
                </c:pt>
                <c:pt idx="26">
                  <c:v>-25.857804572569627</c:v>
                </c:pt>
                <c:pt idx="27">
                  <c:v>-16.010888695992456</c:v>
                </c:pt>
                <c:pt idx="28">
                  <c:v>-18.906457523972289</c:v>
                </c:pt>
                <c:pt idx="29">
                  <c:v>-22.835039924764516</c:v>
                </c:pt>
              </c:numCache>
            </c:numRef>
          </c:val>
        </c:ser>
        <c:ser>
          <c:idx val="4"/>
          <c:order val="4"/>
          <c:tx>
            <c:strRef>
              <c:f>'Trh práce-2'!$A$36</c:f>
              <c:strCache>
                <c:ptCount val="1"/>
                <c:pt idx="0">
                  <c:v>Nezaměstnaní ve věku 50-64 let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multiLvlStrRef>
              <c:f>'Trh práce-2'!$B$30:$AE$31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práce-2'!$B$36:$AE$36</c:f>
              <c:numCache>
                <c:formatCode>0</c:formatCode>
                <c:ptCount val="30"/>
                <c:pt idx="0">
                  <c:v>39.438700147710506</c:v>
                </c:pt>
                <c:pt idx="1">
                  <c:v>16.64464993394968</c:v>
                </c:pt>
                <c:pt idx="2">
                  <c:v>3.0878859857481977</c:v>
                </c:pt>
                <c:pt idx="3">
                  <c:v>3.9473684210526585</c:v>
                </c:pt>
                <c:pt idx="4">
                  <c:v>-3.8135593220339103</c:v>
                </c:pt>
                <c:pt idx="5">
                  <c:v>-9.0600226500566237</c:v>
                </c:pt>
                <c:pt idx="6">
                  <c:v>-10.944700460829495</c:v>
                </c:pt>
                <c:pt idx="7">
                  <c:v>-13.463751438435002</c:v>
                </c:pt>
                <c:pt idx="8" formatCode="#,##0">
                  <c:v>-9.2511013215858569</c:v>
                </c:pt>
                <c:pt idx="9" formatCode="#,##0">
                  <c:v>-2.3661270236612637</c:v>
                </c:pt>
                <c:pt idx="10" formatCode="#,##0">
                  <c:v>-3.6222509702457781</c:v>
                </c:pt>
                <c:pt idx="11" formatCode="#,##0">
                  <c:v>16.622340425531849</c:v>
                </c:pt>
                <c:pt idx="12" formatCode="#,##0">
                  <c:v>7.7669902912621334</c:v>
                </c:pt>
                <c:pt idx="13" formatCode="#,##0">
                  <c:v>1.6581632653061291</c:v>
                </c:pt>
                <c:pt idx="14" formatCode="#,##0">
                  <c:v>3.0872483221476443</c:v>
                </c:pt>
                <c:pt idx="15" formatCode="#,##0">
                  <c:v>-11.516533637400292</c:v>
                </c:pt>
                <c:pt idx="16" formatCode="#,##0">
                  <c:v>-8.3333333333333286</c:v>
                </c:pt>
                <c:pt idx="17" formatCode="#,##0">
                  <c:v>-15.056461731493101</c:v>
                </c:pt>
                <c:pt idx="18" formatCode="#,##0">
                  <c:v>-11.328125</c:v>
                </c:pt>
                <c:pt idx="19" formatCode="#,##0">
                  <c:v>-18.170103092783492</c:v>
                </c:pt>
                <c:pt idx="20" formatCode="#,##0">
                  <c:v>-11.425061425061418</c:v>
                </c:pt>
                <c:pt idx="21" formatCode="#,##0">
                  <c:v>-9.0103397341211178</c:v>
                </c:pt>
                <c:pt idx="22" formatCode="#,##0">
                  <c:v>-16.299559471365537</c:v>
                </c:pt>
                <c:pt idx="23" formatCode="#,##0">
                  <c:v>-12.125984251968557</c:v>
                </c:pt>
                <c:pt idx="24" formatCode="#,##0">
                  <c:v>-10.818307905686538</c:v>
                </c:pt>
                <c:pt idx="25" formatCode="#,##0">
                  <c:v>-12.337662337662373</c:v>
                </c:pt>
                <c:pt idx="26" formatCode="#,##0">
                  <c:v>-16.491228070175335</c:v>
                </c:pt>
                <c:pt idx="27" formatCode="#,##0">
                  <c:v>-16.308243727598565</c:v>
                </c:pt>
                <c:pt idx="28" formatCode="#,##0">
                  <c:v>-26.283048211508529</c:v>
                </c:pt>
              </c:numCache>
            </c:numRef>
          </c:val>
        </c:ser>
        <c:ser>
          <c:idx val="5"/>
          <c:order val="5"/>
          <c:tx>
            <c:strRef>
              <c:f>'Trh práce-2'!$A$37</c:f>
              <c:strCache>
                <c:ptCount val="1"/>
                <c:pt idx="0">
                  <c:v>Dlouhodobě nezaměstnaní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multiLvlStrRef>
              <c:f>'Trh práce-2'!$B$30:$AE$31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práce-2'!$B$37:$AE$37</c:f>
              <c:numCache>
                <c:formatCode>0</c:formatCode>
                <c:ptCount val="30"/>
                <c:pt idx="0">
                  <c:v>44.412607449856573</c:v>
                </c:pt>
                <c:pt idx="1">
                  <c:v>60</c:v>
                </c:pt>
                <c:pt idx="2">
                  <c:v>47.702205882352963</c:v>
                </c:pt>
                <c:pt idx="3">
                  <c:v>40.757042253521149</c:v>
                </c:pt>
                <c:pt idx="4">
                  <c:v>-1.4550264550264627</c:v>
                </c:pt>
                <c:pt idx="5">
                  <c:v>-11.639871382636613</c:v>
                </c:pt>
                <c:pt idx="6">
                  <c:v>-14.18792781580585</c:v>
                </c:pt>
                <c:pt idx="7">
                  <c:v>-10.318949343339597</c:v>
                </c:pt>
                <c:pt idx="8">
                  <c:v>6.3758389261745085</c:v>
                </c:pt>
                <c:pt idx="9">
                  <c:v>12.590975254730694</c:v>
                </c:pt>
                <c:pt idx="10">
                  <c:v>15.155910079768004</c:v>
                </c:pt>
                <c:pt idx="11">
                  <c:v>12.482566248256688</c:v>
                </c:pt>
                <c:pt idx="12">
                  <c:v>6.6876971608832889</c:v>
                </c:pt>
                <c:pt idx="13">
                  <c:v>2.2624434389140187</c:v>
                </c:pt>
                <c:pt idx="14">
                  <c:v>1.4483627204030121</c:v>
                </c:pt>
                <c:pt idx="15">
                  <c:v>-7.1915685058896734</c:v>
                </c:pt>
                <c:pt idx="16">
                  <c:v>-13.18746303962152</c:v>
                </c:pt>
                <c:pt idx="17">
                  <c:v>-13.211125158027798</c:v>
                </c:pt>
                <c:pt idx="18">
                  <c:v>-14.959652389820038</c:v>
                </c:pt>
                <c:pt idx="19">
                  <c:v>-5.8116232464929851</c:v>
                </c:pt>
                <c:pt idx="20">
                  <c:v>-1.8392370572207284</c:v>
                </c:pt>
                <c:pt idx="21">
                  <c:v>-11.070648215586358</c:v>
                </c:pt>
                <c:pt idx="22">
                  <c:v>-9.1240875912408779</c:v>
                </c:pt>
                <c:pt idx="23">
                  <c:v>-18.581560283687889</c:v>
                </c:pt>
                <c:pt idx="24">
                  <c:v>-26.578764746703669</c:v>
                </c:pt>
                <c:pt idx="25">
                  <c:v>-25.389025389025317</c:v>
                </c:pt>
                <c:pt idx="26">
                  <c:v>-33.092369477911646</c:v>
                </c:pt>
                <c:pt idx="27">
                  <c:v>-35.017421602787223</c:v>
                </c:pt>
                <c:pt idx="28">
                  <c:v>-35.727788279773165</c:v>
                </c:pt>
                <c:pt idx="29">
                  <c:v>-35.016465422612221</c:v>
                </c:pt>
              </c:numCache>
            </c:numRef>
          </c:val>
        </c:ser>
        <c:marker val="1"/>
        <c:axId val="127574400"/>
        <c:axId val="127575936"/>
      </c:lineChart>
      <c:catAx>
        <c:axId val="127574400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crossAx val="127575936"/>
        <c:crossesAt val="-40"/>
        <c:auto val="1"/>
        <c:lblAlgn val="ctr"/>
        <c:lblOffset val="0"/>
      </c:catAx>
      <c:valAx>
        <c:axId val="127575936"/>
        <c:scaling>
          <c:orientation val="minMax"/>
          <c:max val="60"/>
          <c:min val="-4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7574400"/>
        <c:crosses val="autoZero"/>
        <c:crossBetween val="between"/>
        <c:majorUnit val="10"/>
      </c:valAx>
      <c:valAx>
        <c:axId val="127577472"/>
        <c:scaling>
          <c:orientation val="minMax"/>
        </c:scaling>
        <c:axPos val="r"/>
        <c:numFmt formatCode="#,##0" sourceLinked="0"/>
        <c:tickLblPos val="nextTo"/>
        <c:crossAx val="127591552"/>
        <c:crosses val="max"/>
        <c:crossBetween val="between"/>
      </c:valAx>
      <c:catAx>
        <c:axId val="127591552"/>
        <c:scaling>
          <c:orientation val="minMax"/>
        </c:scaling>
        <c:delete val="1"/>
        <c:axPos val="b"/>
        <c:tickLblPos val="none"/>
        <c:crossAx val="127577472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9958329787081639E-2"/>
          <c:y val="0.86998849777404264"/>
          <c:w val="0.88690640708897361"/>
          <c:h val="0.1121402318784866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4.0091348527306885E-2"/>
          <c:y val="2.4094443232317627E-2"/>
          <c:w val="0.94100987714831374"/>
          <c:h val="0.77475149161320234"/>
        </c:manualLayout>
      </c:layout>
      <c:barChart>
        <c:barDir val="col"/>
        <c:grouping val="clustered"/>
        <c:ser>
          <c:idx val="2"/>
          <c:order val="2"/>
          <c:tx>
            <c:strRef>
              <c:f>'Trh práce 3'!$E$8</c:f>
              <c:strCache>
                <c:ptCount val="1"/>
                <c:pt idx="0">
                  <c:v>Průměrná mzda (reálně)</c:v>
                </c:pt>
              </c:strCache>
            </c:strRef>
          </c:tx>
          <c:spPr>
            <a:solidFill>
              <a:srgbClr val="A6A6A6"/>
            </a:solidFill>
            <a:ln w="19050">
              <a:noFill/>
            </a:ln>
          </c:spPr>
          <c:cat>
            <c:multiLvlStrRef>
              <c:f>'Trh práce 3'!$A$9:$B$38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3'!$E$9:$E$38</c:f>
              <c:numCache>
                <c:formatCode>#,##0.0</c:formatCode>
                <c:ptCount val="30"/>
                <c:pt idx="0">
                  <c:v>2.0999999999999943</c:v>
                </c:pt>
                <c:pt idx="1">
                  <c:v>1.9000000000000061</c:v>
                </c:pt>
                <c:pt idx="2">
                  <c:v>0.29999999999999916</c:v>
                </c:pt>
                <c:pt idx="3">
                  <c:v>-1.4000000000000057</c:v>
                </c:pt>
                <c:pt idx="4">
                  <c:v>1.0999999999999888</c:v>
                </c:pt>
                <c:pt idx="5">
                  <c:v>0.7999999999999976</c:v>
                </c:pt>
                <c:pt idx="6">
                  <c:v>0.29999999999999916</c:v>
                </c:pt>
                <c:pt idx="7">
                  <c:v>0</c:v>
                </c:pt>
                <c:pt idx="8">
                  <c:v>-0.5</c:v>
                </c:pt>
                <c:pt idx="9">
                  <c:v>-1.2999999999999905</c:v>
                </c:pt>
                <c:pt idx="10">
                  <c:v>-1.7999999999999905</c:v>
                </c:pt>
                <c:pt idx="11">
                  <c:v>0.40000000000000568</c:v>
                </c:pt>
                <c:pt idx="12">
                  <c:v>-2.4000000000000057</c:v>
                </c:pt>
                <c:pt idx="13">
                  <c:v>-0.5</c:v>
                </c:pt>
                <c:pt idx="14">
                  <c:v>0</c:v>
                </c:pt>
                <c:pt idx="15">
                  <c:v>-3.0999999999999943</c:v>
                </c:pt>
                <c:pt idx="16">
                  <c:v>3.7000000000000042</c:v>
                </c:pt>
                <c:pt idx="17">
                  <c:v>2.5999999999999943</c:v>
                </c:pt>
                <c:pt idx="18">
                  <c:v>1.5999999999999888</c:v>
                </c:pt>
                <c:pt idx="19">
                  <c:v>2.2999999999999972</c:v>
                </c:pt>
                <c:pt idx="20">
                  <c:v>2.2000000000000042</c:v>
                </c:pt>
                <c:pt idx="21">
                  <c:v>2.5999999999999943</c:v>
                </c:pt>
                <c:pt idx="22">
                  <c:v>3.0999999999999943</c:v>
                </c:pt>
                <c:pt idx="23">
                  <c:v>3.5999999999999943</c:v>
                </c:pt>
                <c:pt idx="24">
                  <c:v>3.2999999999999972</c:v>
                </c:pt>
                <c:pt idx="25">
                  <c:v>3.0999999999999943</c:v>
                </c:pt>
                <c:pt idx="26">
                  <c:v>3.5</c:v>
                </c:pt>
                <c:pt idx="27">
                  <c:v>2.2999999999999972</c:v>
                </c:pt>
                <c:pt idx="28">
                  <c:v>2.9000000000000057</c:v>
                </c:pt>
                <c:pt idx="29">
                  <c:v>5.2999999999999972</c:v>
                </c:pt>
              </c:numCache>
            </c:numRef>
          </c:val>
        </c:ser>
        <c:gapWidth val="78"/>
        <c:axId val="127637760"/>
        <c:axId val="127713280"/>
      </c:barChart>
      <c:lineChart>
        <c:grouping val="standard"/>
        <c:ser>
          <c:idx val="0"/>
          <c:order val="0"/>
          <c:tx>
            <c:strRef>
              <c:f>'Trh práce 3'!$C$8</c:f>
              <c:strCache>
                <c:ptCount val="1"/>
                <c:pt idx="0">
                  <c:v>Průměrná mzda (nominálně)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'Trh práce 3'!$A$9:$B$38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3'!$C$9:$C$38</c:f>
              <c:numCache>
                <c:formatCode>0.0</c:formatCode>
                <c:ptCount val="30"/>
                <c:pt idx="0">
                  <c:v>2.7999999999999972</c:v>
                </c:pt>
                <c:pt idx="1">
                  <c:v>3.0999999999999943</c:v>
                </c:pt>
                <c:pt idx="2">
                  <c:v>2.2000000000000042</c:v>
                </c:pt>
                <c:pt idx="3">
                  <c:v>0.70000000000000284</c:v>
                </c:pt>
                <c:pt idx="4">
                  <c:v>2.7999999999999972</c:v>
                </c:pt>
                <c:pt idx="5">
                  <c:v>2.5999999999999943</c:v>
                </c:pt>
                <c:pt idx="6">
                  <c:v>2.0999999999999943</c:v>
                </c:pt>
                <c:pt idx="7">
                  <c:v>2.4000000000000057</c:v>
                </c:pt>
                <c:pt idx="8">
                  <c:v>3.2000000000000042</c:v>
                </c:pt>
                <c:pt idx="9">
                  <c:v>2.0999999999999943</c:v>
                </c:pt>
                <c:pt idx="10">
                  <c:v>1.4000000000000057</c:v>
                </c:pt>
                <c:pt idx="11">
                  <c:v>3.2000000000000042</c:v>
                </c:pt>
                <c:pt idx="12">
                  <c:v>-0.59999999999999432</c:v>
                </c:pt>
                <c:pt idx="13">
                  <c:v>1</c:v>
                </c:pt>
                <c:pt idx="14">
                  <c:v>1.2000000000000028</c:v>
                </c:pt>
                <c:pt idx="15">
                  <c:v>-2</c:v>
                </c:pt>
                <c:pt idx="16">
                  <c:v>3.9000000000000057</c:v>
                </c:pt>
                <c:pt idx="17">
                  <c:v>2.7999999999999972</c:v>
                </c:pt>
                <c:pt idx="18">
                  <c:v>2.2000000000000042</c:v>
                </c:pt>
                <c:pt idx="19">
                  <c:v>2.7999999999999972</c:v>
                </c:pt>
                <c:pt idx="20">
                  <c:v>2.2999999999999972</c:v>
                </c:pt>
                <c:pt idx="21">
                  <c:v>3.2999999999999972</c:v>
                </c:pt>
                <c:pt idx="22">
                  <c:v>3.5</c:v>
                </c:pt>
                <c:pt idx="23">
                  <c:v>3.7000000000000042</c:v>
                </c:pt>
                <c:pt idx="24">
                  <c:v>3.7999999999999972</c:v>
                </c:pt>
                <c:pt idx="25">
                  <c:v>3.2999999999999972</c:v>
                </c:pt>
                <c:pt idx="26">
                  <c:v>4</c:v>
                </c:pt>
                <c:pt idx="27">
                  <c:v>3.7000000000000042</c:v>
                </c:pt>
                <c:pt idx="28">
                  <c:v>5.4000000000000083</c:v>
                </c:pt>
                <c:pt idx="29">
                  <c:v>7.5999999999999943</c:v>
                </c:pt>
              </c:numCache>
            </c:numRef>
          </c:val>
        </c:ser>
        <c:ser>
          <c:idx val="1"/>
          <c:order val="1"/>
          <c:tx>
            <c:strRef>
              <c:f>'Trh práce 3'!$D$8</c:f>
              <c:strCache>
                <c:ptCount val="1"/>
                <c:pt idx="0">
                  <c:v>Mediánová mzda (nominálně)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'Trh práce 3'!$A$9:$B$38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</c:lvl>
              </c:multiLvlStrCache>
            </c:multiLvlStrRef>
          </c:cat>
          <c:val>
            <c:numRef>
              <c:f>'Trh práce 3'!$D$9:$D$38</c:f>
              <c:numCache>
                <c:formatCode>0.0</c:formatCode>
                <c:ptCount val="30"/>
                <c:pt idx="0">
                  <c:v>3.2000000000000042</c:v>
                </c:pt>
                <c:pt idx="1">
                  <c:v>2.5999999999999943</c:v>
                </c:pt>
                <c:pt idx="2">
                  <c:v>2.7999999999999972</c:v>
                </c:pt>
                <c:pt idx="3">
                  <c:v>1.7999999999999905</c:v>
                </c:pt>
                <c:pt idx="4">
                  <c:v>2.7999999999999972</c:v>
                </c:pt>
                <c:pt idx="5">
                  <c:v>2.2000000000000042</c:v>
                </c:pt>
                <c:pt idx="6">
                  <c:v>1.7000000000000028</c:v>
                </c:pt>
                <c:pt idx="7">
                  <c:v>2.2000000000000042</c:v>
                </c:pt>
                <c:pt idx="8">
                  <c:v>1.4000000000000057</c:v>
                </c:pt>
                <c:pt idx="9">
                  <c:v>1.2999999999999905</c:v>
                </c:pt>
                <c:pt idx="10">
                  <c:v>-0.40000000000000568</c:v>
                </c:pt>
                <c:pt idx="11">
                  <c:v>-0.59999999999999432</c:v>
                </c:pt>
                <c:pt idx="12">
                  <c:v>0.59999999999999432</c:v>
                </c:pt>
                <c:pt idx="13">
                  <c:v>1.4000000000000057</c:v>
                </c:pt>
                <c:pt idx="14">
                  <c:v>2.2999999999999972</c:v>
                </c:pt>
                <c:pt idx="15">
                  <c:v>1.2000000000000028</c:v>
                </c:pt>
                <c:pt idx="16">
                  <c:v>4.7000000000000028</c:v>
                </c:pt>
                <c:pt idx="17">
                  <c:v>3.2999999999999972</c:v>
                </c:pt>
                <c:pt idx="18">
                  <c:v>2.5999999999999943</c:v>
                </c:pt>
                <c:pt idx="19">
                  <c:v>2.2999999999999972</c:v>
                </c:pt>
                <c:pt idx="20">
                  <c:v>0.70000000000000284</c:v>
                </c:pt>
                <c:pt idx="21">
                  <c:v>2.2999999999999972</c:v>
                </c:pt>
                <c:pt idx="22">
                  <c:v>3.7999999999999972</c:v>
                </c:pt>
                <c:pt idx="23">
                  <c:v>4.7000000000000028</c:v>
                </c:pt>
                <c:pt idx="24">
                  <c:v>5.7999999999999972</c:v>
                </c:pt>
                <c:pt idx="25">
                  <c:v>3.7999999999999972</c:v>
                </c:pt>
                <c:pt idx="26">
                  <c:v>4.5999999999999943</c:v>
                </c:pt>
                <c:pt idx="27">
                  <c:v>5.5999999999999943</c:v>
                </c:pt>
                <c:pt idx="28">
                  <c:v>5.2000000000000028</c:v>
                </c:pt>
                <c:pt idx="29">
                  <c:v>8.2000000000000011</c:v>
                </c:pt>
              </c:numCache>
            </c:numRef>
          </c:val>
        </c:ser>
        <c:marker val="1"/>
        <c:axId val="127637760"/>
        <c:axId val="127713280"/>
      </c:lineChart>
      <c:catAx>
        <c:axId val="127637760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7713280"/>
        <c:crosses val="autoZero"/>
        <c:auto val="1"/>
        <c:lblAlgn val="ctr"/>
        <c:lblOffset val="0"/>
        <c:tickMarkSkip val="4"/>
      </c:catAx>
      <c:valAx>
        <c:axId val="127713280"/>
        <c:scaling>
          <c:orientation val="minMax"/>
          <c:max val="9"/>
          <c:min val="-4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2763776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6639920249480401E-2"/>
          <c:y val="0.90458000219214907"/>
          <c:w val="0.94428176235089412"/>
          <c:h val="8.4934011564721731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0.0503</cdr:x>
      <cdr:y>0.46992</cdr:y>
    </cdr:from>
    <cdr:to>
      <cdr:x>0.95484</cdr:x>
      <cdr:y>0.47106</cdr:y>
    </cdr:to>
    <cdr:sp macro="" textlink="">
      <cdr:nvSpPr>
        <cdr:cNvPr id="3" name="Přímá spojovací čára 2"/>
        <cdr:cNvSpPr/>
      </cdr:nvSpPr>
      <cdr:spPr bwMode="auto">
        <a:xfrm xmlns:a="http://schemas.openxmlformats.org/drawingml/2006/main">
          <a:off x="237418" y="1630178"/>
          <a:ext cx="4269628" cy="3953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8A290-9A48-43A8-BFEA-1B2C13CCC8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F86691-6262-460F-B7C3-B8C8C522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4</TotalTime>
  <Pages>3</Pages>
  <Words>1275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8786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Karolína Súkupová</cp:lastModifiedBy>
  <cp:revision>3</cp:revision>
  <cp:lastPrinted>2017-03-16T10:07:00Z</cp:lastPrinted>
  <dcterms:created xsi:type="dcterms:W3CDTF">2017-09-20T13:13:00Z</dcterms:created>
  <dcterms:modified xsi:type="dcterms:W3CDTF">2017-09-20T13:31:00Z</dcterms:modified>
</cp:coreProperties>
</file>