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DD0726">
      <w:pPr>
        <w:pStyle w:val="Nadpis1"/>
        <w:numPr>
          <w:ilvl w:val="0"/>
          <w:numId w:val="12"/>
        </w:numPr>
        <w:ind w:left="709"/>
        <w:jc w:val="both"/>
      </w:pPr>
      <w:bookmarkStart w:id="0" w:name="_Toc493683637"/>
      <w:bookmarkStart w:id="1" w:name="_Toc454185153"/>
      <w:r w:rsidRPr="00A74192">
        <w:t>Ceny</w:t>
      </w:r>
      <w:bookmarkEnd w:id="0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6379"/>
      </w:tblGrid>
      <w:tr w:rsidR="00DD0726" w:rsidRPr="00A74192" w:rsidTr="008C0F87">
        <w:tc>
          <w:tcPr>
            <w:tcW w:w="1015" w:type="pct"/>
          </w:tcPr>
          <w:p w:rsidR="00DD0726" w:rsidRPr="00A74192" w:rsidRDefault="00DD0726" w:rsidP="008C0F87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hladina se zvýšila.</w:t>
            </w:r>
          </w:p>
        </w:tc>
        <w:tc>
          <w:tcPr>
            <w:tcW w:w="144" w:type="pct"/>
          </w:tcPr>
          <w:p w:rsidR="00DD0726" w:rsidRPr="00A74192" w:rsidRDefault="00DD0726" w:rsidP="008C0F87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>Celková cenová hladina měřená deflátorem HDP se ve 2. čtvrtletí meziročně zvýšila o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1,0 %. To je o 0,5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 více</w:t>
            </w:r>
            <w:proofErr w:type="gramEnd"/>
            <w:r w:rsidRPr="00B6271C">
              <w:rPr>
                <w:spacing w:val="-5"/>
              </w:rPr>
              <w:t xml:space="preserve"> než v 1. čtvrtletí, ale stále pod úrovní roku 2016. Na zpomalení cenového růstu měly hlavní podíl záporné směnné relace (98,3 %). Ceny statků spotřebovávaných domácnostmi vzrostly o 2,4 %, stejně jako v předchozím čtvrtletí. Růst cen kapitálových statků dosáhl 1,6 %.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spotřebitelských cen překročil 2% hranici, ale dále již nezrychloval.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Spotřebitelské ceny v první polovině roku 2017 meziročně vzrostly o 2,3 %. Mírně rychlejší dynamiku měl cenový růst v 1. čtvrtletí, kdy dosáhl 2,4 %. Ve 2. čtvrtletí činil meziroční přírůstek spotřebitelských cen 2,2 %. Zrychlování cenového růstu, které bylo v 1. čtvrtletím spojeno s meziročním nárůstem cen dopravy, se ve druhém čtvrtletí zastavilo a spotřebitelská inflace jen mírně překonávala 2% inflační cíl. Těžiště cenového růstu se přesunulo do položky potravin a nealkoholických nápojů. Na mírném zpomalení dynamiky se podepsala i stagnace cen alkoholických nápojů, které působily </w:t>
            </w:r>
            <w:proofErr w:type="spellStart"/>
            <w:r w:rsidRPr="00B6271C">
              <w:rPr>
                <w:spacing w:val="-5"/>
              </w:rPr>
              <w:t>proinflačně</w:t>
            </w:r>
            <w:proofErr w:type="spellEnd"/>
            <w:r w:rsidRPr="00B6271C">
              <w:rPr>
                <w:spacing w:val="-5"/>
              </w:rPr>
              <w:t xml:space="preserve"> v předchozích dvou letech.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Jedním z důvodů byla i meziroční dynamika cen ropy. Ceny dopravy ve 2. čtvrtletí nerostly tak rychle jako v předchozím kvartálu.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Ceny ropy prudce poklesly na přelomu let 2015 a 2016 (ze 44,3 dolarů za barel v listopadu 2015 na 30,7 v lednu 2016) a zpátky nad úroveň 45 dolarů za barel se vrátily již v dubnu 2016. Tyto posuny se následně promítly do meziroční dynamiky cen ropy a dopravy v první polovině roku 2017. V 1. čtvrtletí dosáhla průměrná cena ropy 53,7 dolarů za barel, což bylo o 59,3 % více než ve stejném období předchozího roku. Na zvýšení cen ropy se podepsalo i oslabení kurzu koruny vůči dolaru. Ceny dopravy tak v 1. čtvrtletí meziročně vzrostly o 6,0 % (z toho ceny provozu osobních dopravních prostředků o 10,7 %). Ve druhém kvartálu se nepodařilo udržet mírný cenový růst započatý na podzim 2016 a průměrná cena za barel ropy se mírně snížila na 49,7 dolarů, což znamenalo meziroční nárůst o 9,1 %. I proto se růst cen dopravy zpomalil na 3,9 % (z toho růst nákladů na provoz dopravních prostředků činil 5,8 %). Navzdory zpomalení růstu však ceny dopravy přispěly k celkové inflaci spotřebitelských cen ve 2. čtvrtletí 0,4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</w:t>
            </w:r>
          </w:p>
          <w:p w:rsidR="00DD0726" w:rsidRPr="00B6271C" w:rsidRDefault="00DD0726" w:rsidP="008C0F87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11</w:t>
            </w:r>
          </w:p>
        </w:tc>
        <w:tc>
          <w:tcPr>
            <w:tcW w:w="3261" w:type="pct"/>
          </w:tcPr>
          <w:p w:rsidR="00DD0726" w:rsidRPr="00F81A26" w:rsidRDefault="00DD0726" w:rsidP="008C0F87">
            <w:pPr>
              <w:pStyle w:val="Textpoznpodarou"/>
              <w:rPr>
                <w:spacing w:val="-4"/>
              </w:rPr>
            </w:pPr>
            <w:r w:rsidRPr="00F81A26">
              <w:rPr>
                <w:b/>
                <w:spacing w:val="-4"/>
              </w:rPr>
              <w:t>Ceny ve vybraných oddílech indexu spotřebitelských cen</w:t>
            </w:r>
            <w:r w:rsidRPr="00F81A26">
              <w:rPr>
                <w:spacing w:val="-4"/>
              </w:rPr>
              <w:t xml:space="preserve"> (meziroční změna, v %)</w:t>
            </w: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DD0726" w:rsidP="008C0F87">
            <w:pPr>
              <w:pStyle w:val="Textpoznpodarou"/>
              <w:ind w:left="-54"/>
              <w:jc w:val="both"/>
              <w:rPr>
                <w:spacing w:val="-4"/>
              </w:rPr>
            </w:pPr>
            <w:r w:rsidRPr="00F81A26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1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Pr="00F81A26" w:rsidRDefault="00DD0726" w:rsidP="008C0F87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8C0F87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Ceny potravin dále silně rostly.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Ceny potravin a nealkoholických nápojů se ve druhém čtvrtletí meziročně zvýšily o 4,5 % a oproti předchozímu kvartálu mírně zrychlily. K celkovému růstu spotřebitelských cen přispěly 0,8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Nejrychleji rostly ceny olejů a tuků (11,0 %), </w:t>
            </w:r>
            <w:r w:rsidRPr="00B6271C">
              <w:rPr>
                <w:spacing w:val="-5"/>
              </w:rPr>
              <w:lastRenderedPageBreak/>
              <w:t>do kterých patří máslo, jehož cena se meziročně zvýšila o 21,7 %, a mléka, sýrů a vajec (9,8 %). U obou položek se cenový růst oproti předchozímu čtvrtletí zrychloval. Zrychlil i meziroční růst cen pekárenských výrobků (ze 3,5 % na 5,2 %) a masa (</w:t>
            </w:r>
            <w:proofErr w:type="gramStart"/>
            <w:r w:rsidRPr="00B6271C">
              <w:rPr>
                <w:spacing w:val="-5"/>
              </w:rPr>
              <w:t>ze</w:t>
            </w:r>
            <w:proofErr w:type="gramEnd"/>
            <w:r w:rsidRPr="00B6271C">
              <w:rPr>
                <w:spacing w:val="-5"/>
              </w:rPr>
              <w:t> 2,2 % na 5,1 %). Jediným produktem, který ve druhém čtvrtletí meziročně zlevňoval, byla zelenina (o 4,8 %). Nealkoholické nápoje zdražily o mírných 1,1 %. Za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zmínku stojí i vývoj ceny kávy, která meziročně zdražila o 5,4 % (přitom ceny čaje stagnovaly). Zde je možné vidět souvislost se zprávami o nedostatku kávových zrn vlivem neúrody v hlavních pěstitelských destinacích i možný úbytek kávy vlivem globální změny klimatu.</w:t>
            </w:r>
          </w:p>
          <w:p w:rsidR="00DD0726" w:rsidRPr="00B6271C" w:rsidRDefault="00DD0726" w:rsidP="008C0F87">
            <w:pPr>
              <w:pStyle w:val="Textpoznpodarou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Zrychlil se i růst cen bydlení a energií.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Nejvýznamnější položkou v českém spotřebním koši je bydlení, voda, energie a paliva, jejichž cenový růst především v květnu a červnu výrazně zrychlil oproti předchozímu období. Celkově náklady na bydlení a energie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 xml:space="preserve">. čtvrtletí meziročně zdražily o 1,5 %, což je o 0,7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 více</w:t>
            </w:r>
            <w:proofErr w:type="gramEnd"/>
            <w:r w:rsidRPr="00B6271C">
              <w:rPr>
                <w:spacing w:val="-5"/>
              </w:rPr>
              <w:t xml:space="preserve"> než v předchozím kvartálu. Tento pohyb ovlivnily ceny imputovaného nájemného, které zrychlovaly svůj růst od začátku roku a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>. čtvrtletí vzrostly o 3,9 %. Mírně zrychlil růst cen nájemného z bytů, které se zvýšilo o 2,1 %. Naopak stále zlevňovala (v menší míře než dřív) elektrická a tepelná energie, plyn a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ostatní paliva (o 0,7 %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>. čtvrtletí).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 w:rsidRPr="00F81A26">
              <w:rPr>
                <w:spacing w:val="-4"/>
                <w:sz w:val="16"/>
                <w:szCs w:val="16"/>
              </w:rPr>
              <w:t>Nemovitosti stále zdražují a nárůst jejich cen zrychluje.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>Růst nabídkových cen nemovitostí v ČR ve 2. čtvrtletí proti stejnému období předchozího roku dosáhl 9,5 % a oproti předchozímu čtvrtletí se nezměnil. Opět však zrychlil růst nabídkových cen v Praze (z 13,6 % na 14,6 %). Naopak růst nabídkových cen nemovitostí mimo Prahu se ve 2. čtvrtletí snížil na 3,6 %. Realizované ceny starších bytů svůj růst ve 2. čtvrtletí zrychlily poměrně výrazně. V celé ČR se meziročně zvýšily o 18,7 %, v Praze o 18,0 %.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pStyle w:val="Textpoznpodarou"/>
              <w:jc w:val="center"/>
              <w:rPr>
                <w:spacing w:val="-4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8C0F87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12</w:t>
            </w:r>
          </w:p>
        </w:tc>
        <w:tc>
          <w:tcPr>
            <w:tcW w:w="3261" w:type="pct"/>
          </w:tcPr>
          <w:p w:rsidR="00DD0726" w:rsidRPr="00F81A26" w:rsidRDefault="00DD0726" w:rsidP="008C0F87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 xml:space="preserve">Ceny nemovitostí </w:t>
            </w:r>
            <w:r w:rsidRPr="00F81A26">
              <w:rPr>
                <w:spacing w:val="-4"/>
                <w:lang w:eastAsia="en-US"/>
              </w:rPr>
              <w:t>(meziroční změna, v %)</w:t>
            </w: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DD0726" w:rsidP="008C0F87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977A4D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19050" t="0" r="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D0726" w:rsidRPr="00F81A26" w:rsidRDefault="00DD0726" w:rsidP="008C0F87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8C0F87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Zmírnění meziročního růstu spotřebitelských cen bylo společné většině EU. 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</w:rPr>
            </w:pPr>
            <w:r w:rsidRPr="00B6271C">
              <w:rPr>
                <w:spacing w:val="-5"/>
              </w:rPr>
              <w:t>Zrychlení meziročního cenového růstu v EU, ke kterému došlo v 1. čtvrtletí roku (meziroční nárůst harmonizovaného indexu spotřebních cen o 1,8 %) se neudrželo a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meziroční růst ve 2. čtvrtletí zpomalil na 1,6 %. Uvedené zpomalení bylo společné většině států Unie, nepřekročilo však 0,6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Nejrychleji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 xml:space="preserve">. čtvrtletí rostly spotřebitelské ceny v Estonsku (3,4 %), Litvě (3,4 %) a Lotyšsku (3,0 %). Česká republika se v tomto ohledu rovněž umístila mezi zeměmi s nejrychlejším cenovým růstem. Růst spotřebitelských cen se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>. čtvrtletí zastavil v Irsku a pod jedním procentem se držel v Rumunsku (0,6 %, došlo však ke zrychlení oproti předchozímu kvartálu), Dánsku (0,7 %) a Finsku (0,9 %).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Ceny průmyslových výrobců ve 2. čtvrtletí meziročně rostly.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>Meziroční růst cen průmyslových výrobců, který se obnovil v 1. čtvrtletí (2,7 %), po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dubnovém vrcholu opět zpomaloval. Ve 2. čtvrtletí </w:t>
            </w:r>
            <w:r>
              <w:rPr>
                <w:spacing w:val="-5"/>
              </w:rPr>
              <w:t xml:space="preserve">tak </w:t>
            </w:r>
            <w:r w:rsidRPr="00B6271C">
              <w:rPr>
                <w:spacing w:val="-5"/>
              </w:rPr>
              <w:t>ceny průmyslových výrobců vzrostly oproti stejnému období minulého roku o 2,3 %. Popsanou dynamiku výrazně ovlivnil vývoj cen koksu a rafinovaných ropných produktů. Ty výrazně rostly v 1. čtvrtletí a následně se růst zpomalil. Od začátku roku stabilně rostly ceny těžby a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dobývání (meziroční růst ve 2. čtvrtletí činil 4,9 %). U váhově nejvýznamnějšího zpracovatelského průmyslu meziroční cenový růst zpomalil a dosáhl 2,8 % ve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2.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čtvrtletí (o 0,6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 méně</w:t>
            </w:r>
            <w:proofErr w:type="gramEnd"/>
            <w:r w:rsidRPr="00B6271C">
              <w:rPr>
                <w:spacing w:val="-5"/>
              </w:rPr>
              <w:t xml:space="preserve"> než v předchozím kvartálu). Rostly ceny potravinářských výrobků, nápojů a tabáku o 3,3 % (zrychlení o 2,4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.).</w:t>
            </w:r>
            <w:proofErr w:type="gramEnd"/>
            <w:r w:rsidRPr="00B6271C">
              <w:rPr>
                <w:spacing w:val="-5"/>
              </w:rPr>
              <w:t xml:space="preserve"> Z ostatních váhově významných sekcí mírně rostly ceny pryžových a plastových výrobků a ostatních nekovových minerálních výrobků (0,8 %) a na 7,1 % zrychlil meziroční nárůst cen obecných kovů a kovodělných výrobků. Mírně klesaly ceny dopravních prostředků (o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1,8 %). Výrazně rostly ceny chemických látek a výrobků (5,3 %, mírné zpomalení oproti předchozímu čtvrtletí). Stále klesají ceny elektřiny, plynu, páry a klimatizovaného vzduchu (o 1,3 % ve 2. čtvrtletí), v porovnání s předchozím rokem se však pokles zmírnil.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cen výrobců v EU byl rychlejší než v Česku.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Ceny průmyslových výrobců v EU meziročně rostly rychlejším tempem než v Česku (3,7 %), i zde však došlo ke zpomalení o 1,0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 oproti</w:t>
            </w:r>
            <w:proofErr w:type="gramEnd"/>
            <w:r w:rsidRPr="00B6271C">
              <w:rPr>
                <w:spacing w:val="-5"/>
              </w:rPr>
              <w:t xml:space="preserve"> předchozímu čtvrtletí. S výjimkou Lucemburska, kde ceny průmyslových výrobců </w:t>
            </w:r>
            <w:r>
              <w:rPr>
                <w:spacing w:val="-5"/>
              </w:rPr>
              <w:t>ve 2</w:t>
            </w:r>
            <w:r w:rsidRPr="00B6271C">
              <w:rPr>
                <w:spacing w:val="-5"/>
              </w:rPr>
              <w:t>. čtvrtletí meziročně klesly o 2,9 %, v jednotlivých zemích EU ceny alespoň mírně rostly. Česko se v tomto ohledu umístilo v pásmu mírnější dynamiky. Pomaleji než u nás rostly ceny jen v Rakousku (1,9 %), Chorvatsku (1,9 %), Slovinsku (1,4 %) a na Maltě (0,8 %). Velmi silný růst cen průmyslových výrobců pokračoval v Belgii (9,3 %), za ní se umístila Velká Británie (6,0 %) a Nizozemí (5,5 %).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8C0F87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13</w:t>
            </w:r>
          </w:p>
        </w:tc>
        <w:tc>
          <w:tcPr>
            <w:tcW w:w="3261" w:type="pct"/>
          </w:tcPr>
          <w:p w:rsidR="00DD0726" w:rsidRPr="00F81A26" w:rsidRDefault="00DD0726" w:rsidP="008C0F87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Ceny hlavních skupin průmyslových výrobců</w:t>
            </w:r>
            <w:r w:rsidRPr="00F81A26">
              <w:rPr>
                <w:spacing w:val="-4"/>
                <w:lang w:eastAsia="en-US"/>
              </w:rPr>
              <w:t xml:space="preserve"> (meziroční změna, v %, podle klasifikace CPA)</w:t>
            </w: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DD0726" w:rsidP="008C0F87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F81A26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D0726" w:rsidRPr="00F81A26" w:rsidRDefault="00DD0726" w:rsidP="008C0F87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8C0F87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Poprvé od roku 2013 meziročně vzrostly ceny zemědělských výrobců.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Ceny zemědělské výroby (vč. ryb) ve 2. čtvrtletí poprvé od 3. čtvrtletí roku 2013 (s výjimkou 4. čtvrtletí roku 2015) meziročně vzrostly, a to o 11,3 %. K růstu celkového indexu přispěla především živočišná výroba, jejíž ceny se zvýšily o 16,9 %, po více než roce se však navýšily i ceny rostlinné výroby (6,7 %). Zde se promítlo zvýšení cen obilovin (2,6 %, první růst od 4. čtvrtletí 2015), především pšenice (5,3 %). Jedním z důvodů může být i odhadované snížení výnosů ve srovnání s nadprůměrným rokem 2016. Další významnou skupinou plodin, jejíž ceny rostly, byly průmyslové plodiny (7,2 %), hlavně olejniny, u nichž má nejvyšší váhu řepka (meziroční nárůst 10,2 %). Nezanedbatelný podíl mělo i meziroční zvýšení cen zeleniny a zahradnických produktů </w:t>
            </w:r>
            <w:r w:rsidRPr="00B6271C">
              <w:rPr>
                <w:spacing w:val="-5"/>
              </w:rPr>
              <w:lastRenderedPageBreak/>
              <w:t>o 23,7 %. Ceny živočišné výroby rostly již druhé čtvrtletí (16,9 %). Zvyšovaly se ceny hospodářských zvířat (10,5 %, hlavní vliv měly ceny prasat, jejichž růst zrychluje již rok a ve 2. čtvrtletí dosáhl 27,6 %). Zmíněný růst zmírňovala drůbež, jejíž ceny klesly o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5,1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%. Zrychlil se i růst cen mléka (26,1 %), které má nejvyšší váhu mezi živočišnými výrobky, které zdražily o 24,5 %.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Zrychlil i dlouhodobě stagnující růst cen tržních služeb.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631F78" w:rsidRDefault="00DD0726" w:rsidP="008C0F87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 w:rsidRPr="00631F78">
              <w:rPr>
                <w:spacing w:val="-4"/>
              </w:rPr>
              <w:t>Ceny tržních služeb svou dynamikou navázaly na předchozí čtvrtletí a jejich meziroční růst zrychlil na 1,0 %. Růst celkového indexu podpořil především oddíl pojištění, zajištění a penzijní financování, jehož ceny vzrostly o 5,3 % a dále reklamní služby a průzkum trhu, které zdražily o 2,0 %. Pokračoval i silný růst cen poštovních a kurýrních služeb (4,5 %). Obnovil se mírný růst (0,4 %) dvou váhově nejvýznamnějších položek, tedy pozemní a potrubní dopravy a architektonických a inženýrských služeb. Obě služby obnovily svůj cenový růst po období mírných poklesů.</w:t>
            </w:r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Vývoj cen zahraničního obchodu byl výrazně ovlivněn uvolněním kurzového závazku a posílením koruny vůči euru. </w:t>
            </w: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 w:rsidRPr="00B6271C">
              <w:rPr>
                <w:spacing w:val="-5"/>
              </w:rPr>
              <w:t xml:space="preserve">Po zrychlení meziroční dynamiky v první čtvrtině roku růst cen vývozu a dovozu ve 2. čtvrtletí 2017 opět zpomaloval. Během 2. čtvrtletí se ceny vývozu zvýšily o 1,0 % (zpomalení oproti 1. čtvrtletí o 1,2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.) a ceny</w:t>
            </w:r>
            <w:proofErr w:type="gramEnd"/>
            <w:r w:rsidRPr="00B6271C">
              <w:rPr>
                <w:spacing w:val="-5"/>
              </w:rPr>
              <w:t xml:space="preserve"> dovozu se zvýšily o 2,9 % (zpomalení o 2,2 </w:t>
            </w:r>
            <w:proofErr w:type="spell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 xml:space="preserve">.). Růst cen vývozu ve 2. čtvrtletí podpořila minerální paliva a polotovary shodně o 0,5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Nezanedbatelný byl i příspěvek ostatních surovin 0,3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V opačném směru působily stroje a dopravní prostředky, jejichž ceny se snížily o 1,3 %. Jejich vliv na celkový index dosáhl -0,7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Růst cen dovozu byl podpořen podobnými faktory jako export. Minerální paliva mají vyšší váhu v dovozu než ve vývozu. I proto dosáhl jejich příspěvek k růstu cen importu 1,2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Stejnou hodnotu měl příspěvek polotovarů. Ostatní suroviny k růstu přispěly 0,5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Stejně jako u cen vývozu, negativní vliv měly stroje a dopravní prostředky (-0,6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.).</w:t>
            </w:r>
            <w:proofErr w:type="gramEnd"/>
            <w:r w:rsidRPr="00B6271C">
              <w:rPr>
                <w:spacing w:val="-5"/>
              </w:rPr>
              <w:t xml:space="preserve">  Směnné relace byly ve 2. čtvrtletí negativní, v porovnání s předchozím obdobím se však zmírnily o 1,0 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 a dosáhly</w:t>
            </w:r>
            <w:proofErr w:type="gramEnd"/>
            <w:r w:rsidRPr="00B6271C">
              <w:rPr>
                <w:spacing w:val="-5"/>
              </w:rPr>
              <w:t xml:space="preserve"> 98,2 %. Podíl na tom měla minerální paliva, u kterých se negativní směnné relace zmírňovaly po celé čtvrtletí. Podobně se vyvíjely směnné relace u strojů a zařízení i průmyslového spotřebního zboží. Koruna posílila vůči euru i dolaru a tak tlumila růst cen zahraničního obchodu. Vzhledem k teritoriální a věcné struktuře zahraničního obchodu se posílení koruny vůči euru více projevovalo u vývozu, kterému dominují stroje a dopravní prostředky. V jejich případě bylo posílení kurzu důvodem poklesu jejich ceny. Ve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>2.</w:t>
            </w:r>
            <w:r>
              <w:rPr>
                <w:spacing w:val="-5"/>
              </w:rPr>
              <w:t> </w:t>
            </w:r>
            <w:r w:rsidRPr="00B6271C">
              <w:rPr>
                <w:spacing w:val="-5"/>
              </w:rPr>
              <w:t xml:space="preserve">čtvrtletí dosáhl rozdíl mezi publikovanou a očištěnou hodnotou inflace cen vývozu 1,3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  <w:r w:rsidRPr="00B6271C">
              <w:rPr>
                <w:spacing w:val="-5"/>
              </w:rPr>
              <w:t xml:space="preserve"> Rozdíl mezi publikovanou a očištěnou hodnotou cen dovozu činil 1,0 </w:t>
            </w:r>
            <w:proofErr w:type="spellStart"/>
            <w:proofErr w:type="gramStart"/>
            <w:r w:rsidRPr="00B6271C">
              <w:rPr>
                <w:spacing w:val="-5"/>
              </w:rPr>
              <w:t>p.b</w:t>
            </w:r>
            <w:proofErr w:type="spellEnd"/>
            <w:r w:rsidRPr="00B6271C">
              <w:rPr>
                <w:spacing w:val="-5"/>
              </w:rPr>
              <w:t>.</w:t>
            </w:r>
            <w:proofErr w:type="gramEnd"/>
          </w:p>
          <w:p w:rsidR="00DD0726" w:rsidRPr="00B6271C" w:rsidRDefault="00DD0726" w:rsidP="008C0F87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8C0F87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14</w:t>
            </w:r>
          </w:p>
        </w:tc>
        <w:tc>
          <w:tcPr>
            <w:tcW w:w="3261" w:type="pct"/>
          </w:tcPr>
          <w:p w:rsidR="00DD0726" w:rsidRPr="00F81A26" w:rsidRDefault="00DD0726" w:rsidP="008C0F87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Deflátory</w:t>
            </w:r>
            <w:r w:rsidRPr="00F81A26">
              <w:rPr>
                <w:spacing w:val="-4"/>
                <w:lang w:eastAsia="en-US"/>
              </w:rPr>
              <w:t xml:space="preserve"> (očištěno o </w:t>
            </w:r>
            <w:proofErr w:type="spellStart"/>
            <w:r w:rsidRPr="00F81A26">
              <w:rPr>
                <w:spacing w:val="-4"/>
                <w:lang w:eastAsia="en-US"/>
              </w:rPr>
              <w:t>sez</w:t>
            </w:r>
            <w:proofErr w:type="spellEnd"/>
            <w:r w:rsidRPr="00F81A26">
              <w:rPr>
                <w:spacing w:val="-4"/>
                <w:lang w:eastAsia="en-US"/>
              </w:rPr>
              <w:t>. a kalendářní vlivy, meziroční změna, v %)</w:t>
            </w:r>
          </w:p>
        </w:tc>
      </w:tr>
      <w:tr w:rsidR="00DD0726" w:rsidRPr="00F81A26" w:rsidTr="008C0F87">
        <w:tc>
          <w:tcPr>
            <w:tcW w:w="1015" w:type="pct"/>
          </w:tcPr>
          <w:p w:rsidR="00DD0726" w:rsidRPr="00F81A26" w:rsidRDefault="00DD0726" w:rsidP="008C0F87">
            <w:pPr>
              <w:spacing w:line="240" w:lineRule="auto"/>
              <w:ind w:right="-19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8C0F8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DD0726" w:rsidP="008C0F87">
            <w:pPr>
              <w:pStyle w:val="Textpoznpodarou"/>
              <w:ind w:left="-54" w:right="-35"/>
              <w:jc w:val="both"/>
              <w:rPr>
                <w:spacing w:val="-4"/>
                <w:sz w:val="14"/>
                <w:szCs w:val="14"/>
              </w:rPr>
            </w:pPr>
            <w:r w:rsidRPr="009935AD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3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Pr="00F81A26" w:rsidRDefault="00DD0726" w:rsidP="008C0F87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</w:tc>
      </w:tr>
      <w:bookmarkEnd w:id="1"/>
    </w:tbl>
    <w:p w:rsidR="008A03DE" w:rsidRPr="00CE7158" w:rsidRDefault="008A03DE" w:rsidP="00B713C5">
      <w:pPr>
        <w:pStyle w:val="Nadpis1"/>
        <w:ind w:left="709"/>
        <w:rPr>
          <w:rFonts w:cs="Arial"/>
          <w:color w:val="000000"/>
          <w:sz w:val="10"/>
          <w:szCs w:val="10"/>
        </w:rPr>
      </w:pPr>
    </w:p>
    <w:sectPr w:rsidR="008A03DE" w:rsidRPr="00CE7158" w:rsidSect="00B4063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FA" w:rsidRDefault="00AA56FA" w:rsidP="00E71A58">
      <w:r>
        <w:separator/>
      </w:r>
    </w:p>
  </w:endnote>
  <w:endnote w:type="continuationSeparator" w:id="0">
    <w:p w:rsidR="00AA56FA" w:rsidRDefault="00AA56F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6F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8776FF" w:rsidRPr="005A21E0">
      <w:rPr>
        <w:rFonts w:ascii="Arial" w:hAnsi="Arial" w:cs="Arial"/>
        <w:sz w:val="16"/>
        <w:szCs w:val="16"/>
      </w:rPr>
      <w:fldChar w:fldCharType="separate"/>
    </w:r>
    <w:r w:rsidR="00B713C5">
      <w:rPr>
        <w:rFonts w:ascii="Arial" w:hAnsi="Arial" w:cs="Arial"/>
        <w:noProof/>
        <w:sz w:val="16"/>
        <w:szCs w:val="16"/>
      </w:rPr>
      <w:t>18</w:t>
    </w:r>
    <w:r w:rsidR="008776F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8776F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8776FF" w:rsidRPr="00223E00">
      <w:rPr>
        <w:rFonts w:ascii="Arial" w:hAnsi="Arial" w:cs="Arial"/>
        <w:sz w:val="16"/>
        <w:szCs w:val="16"/>
      </w:rPr>
      <w:fldChar w:fldCharType="separate"/>
    </w:r>
    <w:r w:rsidR="00B713C5">
      <w:rPr>
        <w:rFonts w:ascii="Arial" w:hAnsi="Arial" w:cs="Arial"/>
        <w:noProof/>
        <w:sz w:val="16"/>
        <w:szCs w:val="16"/>
      </w:rPr>
      <w:t>19</w:t>
    </w:r>
    <w:r w:rsidR="008776F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FA" w:rsidRDefault="00AA56FA" w:rsidP="00E71A58">
      <w:r>
        <w:separator/>
      </w:r>
    </w:p>
  </w:footnote>
  <w:footnote w:type="continuationSeparator" w:id="0">
    <w:p w:rsidR="00AA56FA" w:rsidRDefault="00AA56F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A44A215A"/>
    <w:lvl w:ilvl="0" w:tplc="1FA0AC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462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6FF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6F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0636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13C5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49B0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07E-2"/>
          <c:w val="0.92237743255066085"/>
          <c:h val="0.73318107621299622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2'!$C$10:$C$27</c:f>
              <c:numCache>
                <c:formatCode>0.0</c:formatCode>
                <c:ptCount val="18"/>
                <c:pt idx="0">
                  <c:v>1.7999999999999954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1.099999999999993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0.59999999999999432</c:v>
                </c:pt>
                <c:pt idx="7">
                  <c:v>0.5</c:v>
                </c:pt>
                <c:pt idx="8">
                  <c:v>9.9999999999994454E-2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9.9999999999994454E-2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  <c:pt idx="17" formatCode="General">
                  <c:v>2.2000000000000042</c:v>
                </c:pt>
              </c:numCache>
            </c:numRef>
          </c:val>
        </c:ser>
        <c:gapWidth val="95"/>
        <c:axId val="122751232"/>
        <c:axId val="122757120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2'!$D$10:$D$27</c:f>
              <c:numCache>
                <c:formatCode>0.0</c:formatCode>
                <c:ptCount val="18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-1.599999999999993</c:v>
                </c:pt>
                <c:pt idx="9">
                  <c:v>-9.9999999999994454E-2</c:v>
                </c:pt>
                <c:pt idx="10">
                  <c:v>-0.90000000000000568</c:v>
                </c:pt>
                <c:pt idx="11">
                  <c:v>-1.599999999999993</c:v>
                </c:pt>
                <c:pt idx="12">
                  <c:v>-1.7000000000000028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  <c:pt idx="17" formatCode="General">
                  <c:v>4.5</c:v>
                </c:pt>
              </c:numCache>
            </c:numRef>
          </c:val>
        </c:ser>
        <c:ser>
          <c:idx val="2"/>
          <c:order val="2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2'!$E$10:$E$27</c:f>
              <c:numCache>
                <c:formatCode>0.0</c:formatCode>
                <c:ptCount val="18"/>
                <c:pt idx="0">
                  <c:v>3.5999999999999943</c:v>
                </c:pt>
                <c:pt idx="1">
                  <c:v>4.2000000000000028</c:v>
                </c:pt>
                <c:pt idx="2">
                  <c:v>3.4000000000000057</c:v>
                </c:pt>
                <c:pt idx="3">
                  <c:v>3.2000000000000042</c:v>
                </c:pt>
                <c:pt idx="4">
                  <c:v>4.0999999999999943</c:v>
                </c:pt>
                <c:pt idx="5">
                  <c:v>2.9000000000000057</c:v>
                </c:pt>
                <c:pt idx="6">
                  <c:v>2.7000000000000042</c:v>
                </c:pt>
                <c:pt idx="7">
                  <c:v>1.4000000000000057</c:v>
                </c:pt>
                <c:pt idx="8">
                  <c:v>3.4000000000000057</c:v>
                </c:pt>
                <c:pt idx="9">
                  <c:v>5.4000000000000083</c:v>
                </c:pt>
                <c:pt idx="10">
                  <c:v>5.2000000000000028</c:v>
                </c:pt>
                <c:pt idx="11">
                  <c:v>4.7000000000000028</c:v>
                </c:pt>
                <c:pt idx="12">
                  <c:v>3.5</c:v>
                </c:pt>
                <c:pt idx="13">
                  <c:v>4.4000000000000083</c:v>
                </c:pt>
                <c:pt idx="14">
                  <c:v>4.5</c:v>
                </c:pt>
                <c:pt idx="15">
                  <c:v>5.2000000000000028</c:v>
                </c:pt>
                <c:pt idx="16" formatCode="General">
                  <c:v>3.4000000000000057</c:v>
                </c:pt>
                <c:pt idx="17" formatCode="General">
                  <c:v>0.7999999999999976</c:v>
                </c:pt>
              </c:numCache>
            </c:numRef>
          </c:val>
        </c:ser>
        <c:ser>
          <c:idx val="3"/>
          <c:order val="3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2'!$F$10:$F$27</c:f>
              <c:numCache>
                <c:formatCode>0.0</c:formatCode>
                <c:ptCount val="18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-1.7000000000000028</c:v>
                </c:pt>
                <c:pt idx="6">
                  <c:v>-0.70000000000000284</c:v>
                </c:pt>
                <c:pt idx="7">
                  <c:v>-0.59999999999999432</c:v>
                </c:pt>
                <c:pt idx="8">
                  <c:v>1.099999999999993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0.59999999999999432</c:v>
                </c:pt>
                <c:pt idx="16" formatCode="General">
                  <c:v>0.7999999999999976</c:v>
                </c:pt>
                <c:pt idx="17" formatCode="General">
                  <c:v>1.5</c:v>
                </c:pt>
              </c:numCache>
            </c:numRef>
          </c:val>
        </c:ser>
        <c:ser>
          <c:idx val="4"/>
          <c:order val="4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2'!$G$10:$G$27</c:f>
              <c:numCache>
                <c:formatCode>General</c:formatCode>
                <c:ptCount val="18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9.9999999999994454E-2</c:v>
                </c:pt>
                <c:pt idx="5">
                  <c:v>0.29999999999999766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1.099999999999993</c:v>
                </c:pt>
                <c:pt idx="16">
                  <c:v>6</c:v>
                </c:pt>
                <c:pt idx="17">
                  <c:v>3.9000000000000057</c:v>
                </c:pt>
              </c:numCache>
            </c:numRef>
          </c:val>
        </c:ser>
        <c:marker val="1"/>
        <c:axId val="122751232"/>
        <c:axId val="122757120"/>
      </c:lineChart>
      <c:catAx>
        <c:axId val="12275123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2757120"/>
        <c:crosses val="autoZero"/>
        <c:auto val="1"/>
        <c:lblAlgn val="ctr"/>
        <c:lblOffset val="100"/>
      </c:catAx>
      <c:valAx>
        <c:axId val="12275712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275123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49997"/>
          <c:w val="0.92162152703885725"/>
          <c:h val="0.105509962850388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1'!$C$10:$C$27</c:f>
              <c:numCache>
                <c:formatCode>General</c:formatCode>
                <c:ptCount val="18"/>
                <c:pt idx="0">
                  <c:v>-5.0999999999999943</c:v>
                </c:pt>
                <c:pt idx="1">
                  <c:v>-3.5999999999999943</c:v>
                </c:pt>
                <c:pt idx="2">
                  <c:v>-2.5</c:v>
                </c:pt>
                <c:pt idx="3">
                  <c:v>-1.7000000000000028</c:v>
                </c:pt>
                <c:pt idx="4">
                  <c:v>1.2000000000000028</c:v>
                </c:pt>
                <c:pt idx="5">
                  <c:v>2.5</c:v>
                </c:pt>
                <c:pt idx="6">
                  <c:v>4.5</c:v>
                </c:pt>
                <c:pt idx="7">
                  <c:v>5.7000000000000028</c:v>
                </c:pt>
                <c:pt idx="8">
                  <c:v>4.2999999999999972</c:v>
                </c:pt>
                <c:pt idx="9">
                  <c:v>4.9000000000000083</c:v>
                </c:pt>
                <c:pt idx="10">
                  <c:v>6</c:v>
                </c:pt>
                <c:pt idx="11">
                  <c:v>6.7999999999999972</c:v>
                </c:pt>
                <c:pt idx="12">
                  <c:v>8.9000000000000057</c:v>
                </c:pt>
                <c:pt idx="13">
                  <c:v>10.3</c:v>
                </c:pt>
                <c:pt idx="14">
                  <c:v>12.3</c:v>
                </c:pt>
                <c:pt idx="15">
                  <c:v>14.600000000000001</c:v>
                </c:pt>
                <c:pt idx="16">
                  <c:v>17.200000000000003</c:v>
                </c:pt>
                <c:pt idx="17">
                  <c:v>18.700000000000003</c:v>
                </c:pt>
              </c:numCache>
            </c:numRef>
          </c:val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1'!$D$10:$D$27</c:f>
              <c:numCache>
                <c:formatCode>General</c:formatCode>
                <c:ptCount val="18"/>
                <c:pt idx="0">
                  <c:v>0</c:v>
                </c:pt>
                <c:pt idx="1">
                  <c:v>0.70000000000000284</c:v>
                </c:pt>
                <c:pt idx="2">
                  <c:v>2.0999999999999943</c:v>
                </c:pt>
                <c:pt idx="3">
                  <c:v>0.5</c:v>
                </c:pt>
                <c:pt idx="4">
                  <c:v>2</c:v>
                </c:pt>
                <c:pt idx="5">
                  <c:v>2.0999999999999943</c:v>
                </c:pt>
                <c:pt idx="6">
                  <c:v>3.2000000000000042</c:v>
                </c:pt>
                <c:pt idx="7">
                  <c:v>5.2000000000000028</c:v>
                </c:pt>
                <c:pt idx="8">
                  <c:v>5</c:v>
                </c:pt>
                <c:pt idx="9">
                  <c:v>5.9000000000000083</c:v>
                </c:pt>
                <c:pt idx="10">
                  <c:v>5.5999999999999943</c:v>
                </c:pt>
                <c:pt idx="11">
                  <c:v>4.5999999999999943</c:v>
                </c:pt>
                <c:pt idx="12">
                  <c:v>5.7999999999999972</c:v>
                </c:pt>
                <c:pt idx="13">
                  <c:v>7.5</c:v>
                </c:pt>
                <c:pt idx="14">
                  <c:v>9.4000000000000057</c:v>
                </c:pt>
                <c:pt idx="15">
                  <c:v>13.900000000000006</c:v>
                </c:pt>
                <c:pt idx="16">
                  <c:v>16.200000000000003</c:v>
                </c:pt>
                <c:pt idx="17">
                  <c:v>18</c:v>
                </c:pt>
              </c:numCache>
            </c:numRef>
          </c:val>
        </c:ser>
        <c:gapWidth val="95"/>
        <c:axId val="122775424"/>
        <c:axId val="122776960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1'!$E$10:$E$27</c:f>
              <c:numCache>
                <c:formatCode>0.0</c:formatCode>
                <c:ptCount val="18"/>
                <c:pt idx="0">
                  <c:v>1.5806111696522667</c:v>
                </c:pt>
                <c:pt idx="1">
                  <c:v>-0.20661157024793683</c:v>
                </c:pt>
                <c:pt idx="2">
                  <c:v>1.4583333333333393</c:v>
                </c:pt>
                <c:pt idx="3">
                  <c:v>1.9668737060041468</c:v>
                </c:pt>
                <c:pt idx="4">
                  <c:v>3.0082987551867153</c:v>
                </c:pt>
                <c:pt idx="5">
                  <c:v>4.1407867494823973</c:v>
                </c:pt>
                <c:pt idx="6">
                  <c:v>4.6201232032854147</c:v>
                </c:pt>
                <c:pt idx="7">
                  <c:v>2.7411167512690415</c:v>
                </c:pt>
                <c:pt idx="8">
                  <c:v>3.6253776435045406</c:v>
                </c:pt>
                <c:pt idx="9">
                  <c:v>4.9701789264413518</c:v>
                </c:pt>
                <c:pt idx="10">
                  <c:v>6.0843964671246233</c:v>
                </c:pt>
                <c:pt idx="11">
                  <c:v>9.5849802371541557</c:v>
                </c:pt>
                <c:pt idx="12">
                  <c:v>10.20408163265305</c:v>
                </c:pt>
                <c:pt idx="13">
                  <c:v>10.321969696969704</c:v>
                </c:pt>
                <c:pt idx="14">
                  <c:v>9.8982423681776162</c:v>
                </c:pt>
                <c:pt idx="15">
                  <c:v>9.9188458070333638</c:v>
                </c:pt>
                <c:pt idx="16">
                  <c:v>9.5238095238095202</c:v>
                </c:pt>
                <c:pt idx="17" formatCode="General">
                  <c:v>9.5278969957081507</c:v>
                </c:pt>
              </c:numCache>
            </c:numRef>
          </c:val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1'!$F$10:$F$27</c:f>
              <c:numCache>
                <c:formatCode>0.0</c:formatCode>
                <c:ptCount val="18"/>
                <c:pt idx="0">
                  <c:v>6.1522419186652666</c:v>
                </c:pt>
                <c:pt idx="1">
                  <c:v>1.8924302788844536</c:v>
                </c:pt>
                <c:pt idx="2">
                  <c:v>2.6812313803376417</c:v>
                </c:pt>
                <c:pt idx="3">
                  <c:v>3.4482758620689653</c:v>
                </c:pt>
                <c:pt idx="4">
                  <c:v>3.8310412573673953</c:v>
                </c:pt>
                <c:pt idx="5">
                  <c:v>5.2785923753665784</c:v>
                </c:pt>
                <c:pt idx="6">
                  <c:v>6.6731141199226212</c:v>
                </c:pt>
                <c:pt idx="7">
                  <c:v>5.1428571428571486</c:v>
                </c:pt>
                <c:pt idx="8">
                  <c:v>5.7710501419110702</c:v>
                </c:pt>
                <c:pt idx="9">
                  <c:v>6.4995357474466076</c:v>
                </c:pt>
                <c:pt idx="10">
                  <c:v>6.7089755213055309</c:v>
                </c:pt>
                <c:pt idx="11">
                  <c:v>8.7862318840579601</c:v>
                </c:pt>
                <c:pt idx="12">
                  <c:v>10.196779964221831</c:v>
                </c:pt>
                <c:pt idx="13">
                  <c:v>10.549258936355701</c:v>
                </c:pt>
                <c:pt idx="14">
                  <c:v>9.7706032285471505</c:v>
                </c:pt>
                <c:pt idx="15">
                  <c:v>11.323896752706082</c:v>
                </c:pt>
                <c:pt idx="16">
                  <c:v>13.636363636363633</c:v>
                </c:pt>
                <c:pt idx="17" formatCode="General">
                  <c:v>14.589905362776037</c:v>
                </c:pt>
              </c:numCache>
            </c:numRef>
          </c:val>
        </c:ser>
        <c:marker val="1"/>
        <c:axId val="122775424"/>
        <c:axId val="122776960"/>
      </c:lineChart>
      <c:catAx>
        <c:axId val="12277542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2776960"/>
        <c:crosses val="autoZero"/>
        <c:auto val="1"/>
        <c:lblAlgn val="ctr"/>
        <c:lblOffset val="100"/>
      </c:catAx>
      <c:valAx>
        <c:axId val="122776960"/>
        <c:scaling>
          <c:orientation val="minMax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277542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524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181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4'!$A$6:$B$59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4'!$C$6:$C$59</c:f>
              <c:numCache>
                <c:formatCode>0.0</c:formatCode>
                <c:ptCount val="54"/>
                <c:pt idx="0">
                  <c:v>1.4000000000000057</c:v>
                </c:pt>
                <c:pt idx="1">
                  <c:v>1.2999999999999954</c:v>
                </c:pt>
                <c:pt idx="2">
                  <c:v>1</c:v>
                </c:pt>
                <c:pt idx="3">
                  <c:v>0.5</c:v>
                </c:pt>
                <c:pt idx="4">
                  <c:v>0.29999999999999766</c:v>
                </c:pt>
                <c:pt idx="5">
                  <c:v>0.70000000000000284</c:v>
                </c:pt>
                <c:pt idx="6">
                  <c:v>1.099999999999993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-0.29999999999999766</c:v>
                </c:pt>
                <c:pt idx="16">
                  <c:v>-9.9999999999994454E-2</c:v>
                </c:pt>
                <c:pt idx="17">
                  <c:v>-0.20000000000000284</c:v>
                </c:pt>
                <c:pt idx="18">
                  <c:v>-9.9999999999994454E-2</c:v>
                </c:pt>
                <c:pt idx="19">
                  <c:v>0</c:v>
                </c:pt>
                <c:pt idx="20">
                  <c:v>-0.29999999999999766</c:v>
                </c:pt>
                <c:pt idx="21">
                  <c:v>-0.29999999999999766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-1.2999999999999954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  <c:pt idx="51">
                  <c:v>3.2000000000000042</c:v>
                </c:pt>
                <c:pt idx="52" formatCode="General">
                  <c:v>2.2999999999999972</c:v>
                </c:pt>
                <c:pt idx="53" formatCode="General">
                  <c:v>1.2999999999999954</c:v>
                </c:pt>
              </c:numCache>
            </c:numRef>
          </c:val>
        </c:ser>
        <c:gapWidth val="96"/>
        <c:axId val="122902784"/>
        <c:axId val="122941440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4'!$A$6:$B$59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4'!$D$6:$D$59</c:f>
              <c:numCache>
                <c:formatCode>0.0</c:formatCode>
                <c:ptCount val="54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-1.2999999999999954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0.29999999999999766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0.29999999999999766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-0.29999999999999766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6.2000000000000028</c:v>
                </c:pt>
                <c:pt idx="51">
                  <c:v>6.4000000000000083</c:v>
                </c:pt>
                <c:pt idx="52" formatCode="General">
                  <c:v>4.2999999999999972</c:v>
                </c:pt>
                <c:pt idx="53" formatCode="General">
                  <c:v>4.0999999999999943</c:v>
                </c:pt>
              </c:numCache>
            </c:numRef>
          </c:val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4'!$A$6:$B$59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4'!$E$6:$E$59</c:f>
              <c:numCache>
                <c:formatCode>0.0</c:formatCode>
                <c:ptCount val="54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-0.29999999999999766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-0.29999999999999766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1.2999999999999954</c:v>
                </c:pt>
                <c:pt idx="12">
                  <c:v>1.099999999999993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1.599999999999993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1.7999999999999954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-9.9999999999994454E-2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-1.099999999999993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3.7999999999999972</c:v>
                </c:pt>
                <c:pt idx="51">
                  <c:v>4</c:v>
                </c:pt>
                <c:pt idx="52" formatCode="General">
                  <c:v>2.7999999999999972</c:v>
                </c:pt>
                <c:pt idx="53" formatCode="General">
                  <c:v>1.5</c:v>
                </c:pt>
              </c:numCache>
            </c:numRef>
          </c:val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4'!$A$6:$B$59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4'!$F$6:$F$59</c:f>
              <c:numCache>
                <c:formatCode>0.0</c:formatCode>
                <c:ptCount val="54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-1.099999999999993</c:v>
                </c:pt>
                <c:pt idx="49" formatCode="General">
                  <c:v>-1.2000000000000028</c:v>
                </c:pt>
                <c:pt idx="50">
                  <c:v>-1.2000000000000028</c:v>
                </c:pt>
                <c:pt idx="51">
                  <c:v>-1.4000000000000057</c:v>
                </c:pt>
                <c:pt idx="52" formatCode="General">
                  <c:v>-1.2999999999999954</c:v>
                </c:pt>
                <c:pt idx="53" formatCode="General">
                  <c:v>-1.099999999999993</c:v>
                </c:pt>
              </c:numCache>
            </c:numRef>
          </c:val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4'!$A$6:$B$59</c:f>
              <c:multiLvlStrCache>
                <c:ptCount val="5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4'!$G$6:$G$59</c:f>
              <c:numCache>
                <c:formatCode>General</c:formatCode>
                <c:ptCount val="54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1.599999999999993</c:v>
                </c:pt>
                <c:pt idx="40">
                  <c:v>1.599999999999993</c:v>
                </c:pt>
                <c:pt idx="41">
                  <c:v>1.599999999999993</c:v>
                </c:pt>
                <c:pt idx="42">
                  <c:v>1.599999999999993</c:v>
                </c:pt>
                <c:pt idx="43">
                  <c:v>1.599999999999993</c:v>
                </c:pt>
                <c:pt idx="44">
                  <c:v>1.599999999999993</c:v>
                </c:pt>
                <c:pt idx="45">
                  <c:v>1.599999999999993</c:v>
                </c:pt>
                <c:pt idx="46">
                  <c:v>1.599999999999993</c:v>
                </c:pt>
                <c:pt idx="47">
                  <c:v>1.599999999999993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2.0999999999999943</c:v>
                </c:pt>
                <c:pt idx="51" formatCode="0.0">
                  <c:v>1</c:v>
                </c:pt>
                <c:pt idx="52">
                  <c:v>1</c:v>
                </c:pt>
                <c:pt idx="53">
                  <c:v>1</c:v>
                </c:pt>
              </c:numCache>
            </c:numRef>
          </c:val>
        </c:ser>
        <c:marker val="1"/>
        <c:axId val="122902784"/>
        <c:axId val="122941440"/>
      </c:lineChart>
      <c:catAx>
        <c:axId val="12290278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22941440"/>
        <c:crosses val="autoZero"/>
        <c:auto val="1"/>
        <c:lblAlgn val="ctr"/>
        <c:lblOffset val="100"/>
      </c:catAx>
      <c:valAx>
        <c:axId val="12294144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290278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362E-2"/>
          <c:y val="0.86223931272106069"/>
          <c:w val="0.89560705842620769"/>
          <c:h val="0.1210940242576516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0808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3'!$H$10:$H$27</c:f>
              <c:numCache>
                <c:formatCode>0.0</c:formatCode>
                <c:ptCount val="18"/>
                <c:pt idx="0">
                  <c:v>0.72086874091794972</c:v>
                </c:pt>
                <c:pt idx="1">
                  <c:v>0.66492115250875505</c:v>
                </c:pt>
                <c:pt idx="2">
                  <c:v>1.3267678006503587</c:v>
                </c:pt>
                <c:pt idx="3">
                  <c:v>1.2283581212725792</c:v>
                </c:pt>
                <c:pt idx="4">
                  <c:v>1.7793365680396958</c:v>
                </c:pt>
                <c:pt idx="5">
                  <c:v>2.1121774956172437</c:v>
                </c:pt>
                <c:pt idx="6">
                  <c:v>1.6039707571559472</c:v>
                </c:pt>
                <c:pt idx="7">
                  <c:v>0.65769164867339402</c:v>
                </c:pt>
                <c:pt idx="8">
                  <c:v>0.6687514491261779</c:v>
                </c:pt>
                <c:pt idx="9">
                  <c:v>-5.2195141937815513E-2</c:v>
                </c:pt>
                <c:pt idx="10">
                  <c:v>0.25811822159073472</c:v>
                </c:pt>
                <c:pt idx="11">
                  <c:v>0.70048196058132817</c:v>
                </c:pt>
                <c:pt idx="12">
                  <c:v>1.5034457920506399</c:v>
                </c:pt>
                <c:pt idx="13">
                  <c:v>1.5316445359934219</c:v>
                </c:pt>
                <c:pt idx="14">
                  <c:v>1.1309975684205693</c:v>
                </c:pt>
                <c:pt idx="15">
                  <c:v>6.2910265216473304E-2</c:v>
                </c:pt>
                <c:pt idx="16">
                  <c:v>-1.8857390401630312</c:v>
                </c:pt>
                <c:pt idx="17">
                  <c:v>-1.6543501748548288</c:v>
                </c:pt>
              </c:numCache>
            </c:numRef>
          </c:val>
        </c:ser>
        <c:gapWidth val="95"/>
        <c:axId val="122959744"/>
        <c:axId val="122961280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3'!$A$10:$B$26</c:f>
              <c:multiLvlStrCache>
                <c:ptCount val="1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3'!$E$10:$E$27</c:f>
              <c:numCache>
                <c:formatCode>#,##0.0</c:formatCode>
                <c:ptCount val="18"/>
                <c:pt idx="0">
                  <c:v>1.2999708970934856</c:v>
                </c:pt>
                <c:pt idx="1">
                  <c:v>1.1220533709485931</c:v>
                </c:pt>
                <c:pt idx="2">
                  <c:v>1.3013982471865535</c:v>
                </c:pt>
                <c:pt idx="3">
                  <c:v>1.9705982643273221</c:v>
                </c:pt>
                <c:pt idx="4">
                  <c:v>2.3138763904869237</c:v>
                </c:pt>
                <c:pt idx="5">
                  <c:v>2.7748292282439451</c:v>
                </c:pt>
                <c:pt idx="6">
                  <c:v>2.7588595129771818</c:v>
                </c:pt>
                <c:pt idx="7">
                  <c:v>2.0601986396608538</c:v>
                </c:pt>
                <c:pt idx="8">
                  <c:v>1.5369337674784158</c:v>
                </c:pt>
                <c:pt idx="9">
                  <c:v>1.344899624212232</c:v>
                </c:pt>
                <c:pt idx="10">
                  <c:v>1.039416613657933</c:v>
                </c:pt>
                <c:pt idx="11">
                  <c:v>0.76946574896925257</c:v>
                </c:pt>
                <c:pt idx="12">
                  <c:v>1.4770885012742809</c:v>
                </c:pt>
                <c:pt idx="13">
                  <c:v>1.0859617317946533</c:v>
                </c:pt>
                <c:pt idx="14">
                  <c:v>1.2927847129702457</c:v>
                </c:pt>
                <c:pt idx="15">
                  <c:v>1.1135418002644417</c:v>
                </c:pt>
                <c:pt idx="16" formatCode="General">
                  <c:v>0.53721988241845564</c:v>
                </c:pt>
                <c:pt idx="17" formatCode="General">
                  <c:v>0.9988124786041368</c:v>
                </c:pt>
              </c:numCache>
            </c:numRef>
          </c:val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3'!$C$10:$C$27</c:f>
              <c:numCache>
                <c:formatCode>0.0</c:formatCode>
                <c:ptCount val="18"/>
                <c:pt idx="0">
                  <c:v>0.70393081077897135</c:v>
                </c:pt>
                <c:pt idx="1">
                  <c:v>0.6460903683416036</c:v>
                </c:pt>
                <c:pt idx="2">
                  <c:v>0.5078022322107647</c:v>
                </c:pt>
                <c:pt idx="3">
                  <c:v>0.76412283599242414</c:v>
                </c:pt>
                <c:pt idx="4">
                  <c:v>0.58981800757618463</c:v>
                </c:pt>
                <c:pt idx="5">
                  <c:v>0.73002869006748561</c:v>
                </c:pt>
                <c:pt idx="6">
                  <c:v>0.9627234351177667</c:v>
                </c:pt>
                <c:pt idx="7">
                  <c:v>1.371359354161328</c:v>
                </c:pt>
                <c:pt idx="8">
                  <c:v>0.68976772600146319</c:v>
                </c:pt>
                <c:pt idx="9">
                  <c:v>0.98805285803847254</c:v>
                </c:pt>
                <c:pt idx="10">
                  <c:v>0.80963604805681655</c:v>
                </c:pt>
                <c:pt idx="11">
                  <c:v>0.11766427409598648</c:v>
                </c:pt>
                <c:pt idx="12">
                  <c:v>0.59228639059519139</c:v>
                </c:pt>
                <c:pt idx="13">
                  <c:v>0.57477319622762479</c:v>
                </c:pt>
                <c:pt idx="14">
                  <c:v>0.959214673279704</c:v>
                </c:pt>
                <c:pt idx="15">
                  <c:v>1.4791806391940838</c:v>
                </c:pt>
                <c:pt idx="16" formatCode="General">
                  <c:v>2.4150093648891562</c:v>
                </c:pt>
                <c:pt idx="17" formatCode="General">
                  <c:v>2.703394316174101</c:v>
                </c:pt>
              </c:numCache>
            </c:numRef>
          </c:val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3'!$A$10:$B$27</c:f>
              <c:multiLvlStrCache>
                <c:ptCount val="1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3'!$D$10:$D$27</c:f>
              <c:numCache>
                <c:formatCode>0.0</c:formatCode>
                <c:ptCount val="18"/>
                <c:pt idx="0">
                  <c:v>0.93237675467136649</c:v>
                </c:pt>
                <c:pt idx="1">
                  <c:v>0.55587160422214765</c:v>
                </c:pt>
                <c:pt idx="2">
                  <c:v>-0.14502990088750792</c:v>
                </c:pt>
                <c:pt idx="3">
                  <c:v>1.3523234836422091</c:v>
                </c:pt>
                <c:pt idx="4">
                  <c:v>1.1262607990310585</c:v>
                </c:pt>
                <c:pt idx="5">
                  <c:v>1.6967817745947553</c:v>
                </c:pt>
                <c:pt idx="6">
                  <c:v>2.2944262174508632</c:v>
                </c:pt>
                <c:pt idx="7">
                  <c:v>1.7668000014469527</c:v>
                </c:pt>
                <c:pt idx="8">
                  <c:v>2.1227689478053282</c:v>
                </c:pt>
                <c:pt idx="9">
                  <c:v>2.5283893947638467</c:v>
                </c:pt>
                <c:pt idx="10">
                  <c:v>1.5895921078529938</c:v>
                </c:pt>
                <c:pt idx="11">
                  <c:v>1.3230345075879755</c:v>
                </c:pt>
                <c:pt idx="12">
                  <c:v>0.68131620837630158</c:v>
                </c:pt>
                <c:pt idx="13">
                  <c:v>-0.47030660907466948</c:v>
                </c:pt>
                <c:pt idx="14">
                  <c:v>-3.1665506301493451E-2</c:v>
                </c:pt>
                <c:pt idx="15">
                  <c:v>0.48648204884011648</c:v>
                </c:pt>
                <c:pt idx="16" formatCode="General">
                  <c:v>0.99259795512071458</c:v>
                </c:pt>
                <c:pt idx="17" formatCode="General">
                  <c:v>1.6498395161239898</c:v>
                </c:pt>
              </c:numCache>
            </c:numRef>
          </c:val>
        </c:ser>
        <c:marker val="1"/>
        <c:axId val="122959744"/>
        <c:axId val="122961280"/>
      </c:lineChart>
      <c:catAx>
        <c:axId val="12295974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2961280"/>
        <c:crossesAt val="0"/>
        <c:auto val="1"/>
        <c:lblAlgn val="ctr"/>
        <c:lblOffset val="100"/>
      </c:catAx>
      <c:valAx>
        <c:axId val="12296128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2959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65ED-E798-4AF6-869D-0609764ED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CF3BF-83D1-47F9-8A50-2B58A85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4</TotalTime>
  <Pages>4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11176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4</cp:revision>
  <cp:lastPrinted>2017-03-16T10:07:00Z</cp:lastPrinted>
  <dcterms:created xsi:type="dcterms:W3CDTF">2017-09-20T13:13:00Z</dcterms:created>
  <dcterms:modified xsi:type="dcterms:W3CDTF">2017-09-20T13:34:00Z</dcterms:modified>
</cp:coreProperties>
</file>