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83" w:rsidRDefault="005E4483" w:rsidP="00DD0726">
      <w:pPr>
        <w:pStyle w:val="Nadpis1"/>
        <w:numPr>
          <w:ilvl w:val="0"/>
          <w:numId w:val="12"/>
        </w:numPr>
        <w:ind w:left="709"/>
        <w:jc w:val="both"/>
      </w:pPr>
      <w:bookmarkStart w:id="0" w:name="_Toc454185150"/>
      <w:bookmarkStart w:id="1" w:name="_Toc493683635"/>
      <w:r>
        <w:t>Výkonnost odvětví</w:t>
      </w:r>
      <w:bookmarkEnd w:id="0"/>
      <w:bookmarkEnd w:id="1"/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654093" w:rsidRPr="00DE32DB" w:rsidTr="00853C0F">
        <w:trPr>
          <w:trHeight w:val="145"/>
        </w:trPr>
        <w:tc>
          <w:tcPr>
            <w:tcW w:w="1016" w:type="pct"/>
          </w:tcPr>
          <w:p w:rsidR="00654093" w:rsidRPr="003E5346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3E5346">
              <w:rPr>
                <w:spacing w:val="-2"/>
                <w:sz w:val="16"/>
                <w:szCs w:val="16"/>
              </w:rPr>
              <w:t xml:space="preserve">Tempo růstu </w:t>
            </w:r>
            <w:r>
              <w:rPr>
                <w:spacing w:val="-2"/>
                <w:sz w:val="16"/>
                <w:szCs w:val="16"/>
              </w:rPr>
              <w:t>HPH v první polovině roku výrazně zrychlilo. Dařilo se všem hlavním odvětvím – nejvíce zemědělství, lesnictví rybářství a také zpracovatelskému průmyslu.</w:t>
            </w:r>
          </w:p>
        </w:tc>
        <w:tc>
          <w:tcPr>
            <w:tcW w:w="144" w:type="pct"/>
          </w:tcPr>
          <w:p w:rsidR="00654093" w:rsidRDefault="00654093" w:rsidP="00853C0F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654093" w:rsidRPr="00C63A47" w:rsidRDefault="00654093" w:rsidP="00853C0F">
            <w:pPr>
              <w:pStyle w:val="Textpoznpodarou"/>
              <w:jc w:val="both"/>
              <w:rPr>
                <w:spacing w:val="-8"/>
              </w:rPr>
            </w:pPr>
            <w:r>
              <w:rPr>
                <w:spacing w:val="-4"/>
              </w:rPr>
              <w:t>Hrubá přidaná hodnota (HPH)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ve všech odvětvích ekonomiky v 1. pololetí posílila meziročně </w:t>
            </w:r>
            <w:r w:rsidR="000C57C5">
              <w:rPr>
                <w:spacing w:val="-4"/>
              </w:rPr>
              <w:t xml:space="preserve">o </w:t>
            </w:r>
            <w:r>
              <w:rPr>
                <w:spacing w:val="-4"/>
              </w:rPr>
              <w:t xml:space="preserve">3,8 %. Zrychlení výkonu ilustrovala </w:t>
            </w:r>
            <w:proofErr w:type="spellStart"/>
            <w:r>
              <w:rPr>
                <w:spacing w:val="-4"/>
              </w:rPr>
              <w:t>mezikvartální</w:t>
            </w:r>
            <w:proofErr w:type="spellEnd"/>
            <w:r>
              <w:rPr>
                <w:spacing w:val="-4"/>
              </w:rPr>
              <w:t xml:space="preserve"> tempa. Zatímco na sklonku loňského roku byl vykázán růst 0,5 %, v 1. čtvrtletí 2017 pak 1,6 % a v následujících třech měsících již 2,3 % (nejsilnější </w:t>
            </w:r>
            <w:proofErr w:type="spellStart"/>
            <w:r>
              <w:rPr>
                <w:spacing w:val="-4"/>
              </w:rPr>
              <w:t>mezičtvrtletní</w:t>
            </w:r>
            <w:proofErr w:type="spellEnd"/>
            <w:r>
              <w:rPr>
                <w:spacing w:val="-4"/>
              </w:rPr>
              <w:t xml:space="preserve"> přírůstek ve více než dvacetileté historii sledování). HPH se navyšovala již sedmnácté čtvrtletí v řadě – v úhrnu se tak výkon všech odvětví posílil o celou šestinu. O meziroční růst HPH se v 1. pololetí zasloužilo všech deset hlavních odvětvových uskupení. Největší měrou přispěl tradičně zpracovatelský průmysl (2,0 </w:t>
            </w:r>
            <w:proofErr w:type="spellStart"/>
            <w:proofErr w:type="gramStart"/>
            <w:r>
              <w:rPr>
                <w:spacing w:val="-4"/>
              </w:rPr>
              <w:t>p.b</w:t>
            </w:r>
            <w:proofErr w:type="spellEnd"/>
            <w:r>
              <w:rPr>
                <w:spacing w:val="-4"/>
              </w:rPr>
              <w:t>.).</w:t>
            </w:r>
            <w:proofErr w:type="gramEnd"/>
            <w:r>
              <w:rPr>
                <w:spacing w:val="-4"/>
              </w:rPr>
              <w:t xml:space="preserve"> Nejdynamičtěji se letos</w:t>
            </w:r>
            <w:r w:rsidR="000C57C5">
              <w:rPr>
                <w:spacing w:val="-4"/>
              </w:rPr>
              <w:t>,</w:t>
            </w:r>
            <w:r>
              <w:rPr>
                <w:spacing w:val="-4"/>
              </w:rPr>
              <w:t xml:space="preserve"> stejně jako po celý loňský rok</w:t>
            </w:r>
            <w:r w:rsidR="000C57C5">
              <w:rPr>
                <w:spacing w:val="-4"/>
              </w:rPr>
              <w:t>,</w:t>
            </w:r>
            <w:r>
              <w:rPr>
                <w:spacing w:val="-4"/>
              </w:rPr>
              <w:t xml:space="preserve"> navyšovala HPH v odvětví zemědělství, lesnictví a rybářství (v 1. pololetí o </w:t>
            </w:r>
            <w:r w:rsidR="002B7937">
              <w:rPr>
                <w:spacing w:val="-4"/>
              </w:rPr>
              <w:t>+7,9 %</w:t>
            </w:r>
            <w:r>
              <w:rPr>
                <w:spacing w:val="-4"/>
              </w:rPr>
              <w:t xml:space="preserve"> </w:t>
            </w:r>
            <w:r w:rsidR="002B7937">
              <w:rPr>
                <w:spacing w:val="-4"/>
              </w:rPr>
              <w:t xml:space="preserve">meziročně, </w:t>
            </w:r>
            <w:r>
              <w:rPr>
                <w:spacing w:val="-4"/>
              </w:rPr>
              <w:t xml:space="preserve">za poslední čtyři roky v úhrnu dokonce o 31 %). </w:t>
            </w:r>
          </w:p>
          <w:p w:rsidR="00654093" w:rsidRPr="00BF7175" w:rsidRDefault="00654093" w:rsidP="00853C0F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654093" w:rsidRPr="00A74192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654093" w:rsidRPr="003E5346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Příznivá ekonomická situace v hlavních exportních teritoriích společně se sílící tuzemskou poptávkou přispěly </w:t>
            </w:r>
            <w:proofErr w:type="gramStart"/>
            <w:r>
              <w:rPr>
                <w:spacing w:val="-2"/>
                <w:sz w:val="16"/>
                <w:szCs w:val="16"/>
              </w:rPr>
              <w:t>ve 2.čtvrtletí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k téměř 7% růstu průmyslové produkce. </w:t>
            </w:r>
          </w:p>
        </w:tc>
        <w:tc>
          <w:tcPr>
            <w:tcW w:w="144" w:type="pct"/>
          </w:tcPr>
          <w:p w:rsidR="00654093" w:rsidRDefault="00654093" w:rsidP="00853C0F">
            <w:pPr>
              <w:pStyle w:val="Textpoznpodarou"/>
              <w:jc w:val="both"/>
            </w:pPr>
          </w:p>
        </w:tc>
        <w:tc>
          <w:tcPr>
            <w:tcW w:w="3840" w:type="pct"/>
          </w:tcPr>
          <w:p w:rsidR="00654093" w:rsidRDefault="00654093" w:rsidP="00853C0F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Velmi dobrou kondici průmyslu dokládají podrobnější údaje z podnikových statistik. Jeho </w:t>
            </w:r>
            <w:r>
              <w:rPr>
                <w:color w:val="000000" w:themeColor="text1"/>
                <w:spacing w:val="-4"/>
              </w:rPr>
              <w:t>výkon (dle indexu průmyslové</w:t>
            </w:r>
            <w:r w:rsidRPr="008D59A9">
              <w:rPr>
                <w:color w:val="000000" w:themeColor="text1"/>
                <w:spacing w:val="-4"/>
              </w:rPr>
              <w:t xml:space="preserve"> produkce)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2"/>
            </w:r>
            <w:r w:rsidRPr="008D59A9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 xml:space="preserve">po silném </w:t>
            </w:r>
            <w:proofErr w:type="spellStart"/>
            <w:r>
              <w:rPr>
                <w:color w:val="000000" w:themeColor="text1"/>
                <w:spacing w:val="-4"/>
              </w:rPr>
              <w:t>mezikvartá</w:t>
            </w:r>
            <w:r w:rsidR="00B77FB7">
              <w:rPr>
                <w:color w:val="000000" w:themeColor="text1"/>
                <w:spacing w:val="-4"/>
              </w:rPr>
              <w:t>lním</w:t>
            </w:r>
            <w:proofErr w:type="spellEnd"/>
            <w:r w:rsidR="00B77FB7">
              <w:rPr>
                <w:color w:val="000000" w:themeColor="text1"/>
                <w:spacing w:val="-4"/>
              </w:rPr>
              <w:t xml:space="preserve"> růstu na počátku roku (+3,4</w:t>
            </w:r>
            <w:r>
              <w:rPr>
                <w:color w:val="000000" w:themeColor="text1"/>
                <w:spacing w:val="-4"/>
              </w:rPr>
              <w:t xml:space="preserve"> %, nejvyšším od konce roku 2014) posílil během 2. čtvrtletí o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dalších 1,8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%. Rostl tak téměř dvojnásobným tempem než v EU a mírně předčil i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sílící průmysl v Německu (+1,7 %). Meziroční výkon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3"/>
            </w:r>
            <w:r>
              <w:rPr>
                <w:color w:val="000000" w:themeColor="text1"/>
                <w:spacing w:val="-4"/>
              </w:rPr>
              <w:t xml:space="preserve"> průmyslu v Česku </w:t>
            </w:r>
            <w:proofErr w:type="gramStart"/>
            <w:r>
              <w:rPr>
                <w:color w:val="000000" w:themeColor="text1"/>
                <w:spacing w:val="-4"/>
              </w:rPr>
              <w:t>vystoupal z 4,9</w:t>
            </w:r>
            <w:proofErr w:type="gramEnd"/>
            <w:r>
              <w:rPr>
                <w:color w:val="000000" w:themeColor="text1"/>
                <w:spacing w:val="-4"/>
              </w:rPr>
              <w:t xml:space="preserve"> % v 1. čtvrtletí na 6,8 % v následujícím kvartále</w:t>
            </w:r>
            <w:r w:rsidR="00F2490D">
              <w:rPr>
                <w:color w:val="000000" w:themeColor="text1"/>
                <w:spacing w:val="-4"/>
              </w:rPr>
              <w:t>,</w:t>
            </w:r>
            <w:r>
              <w:rPr>
                <w:color w:val="000000" w:themeColor="text1"/>
                <w:spacing w:val="-4"/>
              </w:rPr>
              <w:t xml:space="preserve"> a dosáhl tak nejlepšího tempa od pol</w:t>
            </w:r>
            <w:r w:rsidR="000C57C5">
              <w:rPr>
                <w:color w:val="000000" w:themeColor="text1"/>
                <w:spacing w:val="-4"/>
              </w:rPr>
              <w:t>oviny roku 2011, kdy se „</w:t>
            </w:r>
            <w:r>
              <w:rPr>
                <w:color w:val="000000" w:themeColor="text1"/>
                <w:spacing w:val="-4"/>
              </w:rPr>
              <w:t>vzpamatovával</w:t>
            </w:r>
            <w:r w:rsidR="000C57C5">
              <w:rPr>
                <w:color w:val="000000" w:themeColor="text1"/>
                <w:spacing w:val="-4"/>
              </w:rPr>
              <w:t>“</w:t>
            </w:r>
            <w:r>
              <w:rPr>
                <w:color w:val="000000" w:themeColor="text1"/>
                <w:spacing w:val="-4"/>
              </w:rPr>
              <w:t xml:space="preserve"> z důsledků hluboké recese. Za těmito výsledky stála dobrá ekonomická situace v hlavních exportních teritoriích, ale i sílící tuzemská poptávka. </w:t>
            </w:r>
          </w:p>
          <w:p w:rsidR="00654093" w:rsidRPr="001D1E02" w:rsidRDefault="00654093" w:rsidP="00853C0F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654093" w:rsidRPr="00A74192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654093" w:rsidRPr="00DA1318" w:rsidRDefault="00654093" w:rsidP="00853C0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Přetrvával silný růst automobilového průmyslu i jeho hlavních subdodavatelů.</w:t>
            </w:r>
          </w:p>
        </w:tc>
        <w:tc>
          <w:tcPr>
            <w:tcW w:w="144" w:type="pct"/>
          </w:tcPr>
          <w:p w:rsidR="00654093" w:rsidRPr="009E7B1B" w:rsidRDefault="00654093" w:rsidP="00853C0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840" w:type="pct"/>
          </w:tcPr>
          <w:p w:rsidR="00654093" w:rsidRDefault="00654093" w:rsidP="00853C0F">
            <w:pPr>
              <w:pStyle w:val="Textpoznpodarou"/>
              <w:jc w:val="both"/>
              <w:rPr>
                <w:spacing w:val="-4"/>
              </w:rPr>
            </w:pPr>
            <w:r w:rsidRPr="00593922">
              <w:rPr>
                <w:spacing w:val="-4"/>
              </w:rPr>
              <w:t>Klíčovou roli</w:t>
            </w:r>
            <w:r>
              <w:rPr>
                <w:spacing w:val="-4"/>
              </w:rPr>
              <w:t xml:space="preserve"> si nadále udržovala tradiční „hnací odvětví“ českého průmyslu – výroba motorových vozidel spolu s nejbližšími návaznými obory. Produkce v automobilovém průmyslu byla v obou letošních čtvrtletích meziročně o desetinu vyšší. Na základě údajů o tržbách i zakázkách lze soudit, že rychleji rostla zahraniční poptávka. Pokračoval</w:t>
            </w:r>
            <w:r w:rsidRPr="00C00806">
              <w:rPr>
                <w:spacing w:val="-4"/>
              </w:rPr>
              <w:t xml:space="preserve"> i </w:t>
            </w:r>
            <w:r>
              <w:rPr>
                <w:spacing w:val="-4"/>
              </w:rPr>
              <w:t xml:space="preserve">další růst </w:t>
            </w:r>
            <w:r w:rsidRPr="00C00806">
              <w:rPr>
                <w:spacing w:val="-4"/>
              </w:rPr>
              <w:t>fyzické</w:t>
            </w:r>
            <w:r>
              <w:rPr>
                <w:spacing w:val="-4"/>
              </w:rPr>
              <w:t>ho</w:t>
            </w:r>
            <w:r w:rsidRPr="00C00806">
              <w:rPr>
                <w:spacing w:val="-4"/>
              </w:rPr>
              <w:t xml:space="preserve"> množství vyrobených osobních automobilů</w:t>
            </w:r>
            <w:r w:rsidRPr="00C00806"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. Na vlně rozvoje automobilového průmyslu se v 1. pololetí vezla výroba elektrických zařízení (+8,4 %), jakož i </w:t>
            </w:r>
            <w:proofErr w:type="spellStart"/>
            <w:r>
              <w:rPr>
                <w:spacing w:val="-4"/>
              </w:rPr>
              <w:t>plastikářství</w:t>
            </w:r>
            <w:proofErr w:type="spellEnd"/>
            <w:r>
              <w:rPr>
                <w:spacing w:val="-4"/>
              </w:rPr>
              <w:t xml:space="preserve"> a gumárenství (+9,2 %). Výrazně zrychlilo tempo produkce ve výrobě počítačů, elektronických a optických přístrojů (ze 7,5 % z počátku roku na 18,1 % v následujícím čtvrtletí). Přispělo k tomu i oživení domácí poptávky (hodnota tuzemských zakázek vzrostla ve 2. čtvrtletí meziročně o 22 %).</w:t>
            </w:r>
          </w:p>
          <w:p w:rsidR="00654093" w:rsidRPr="00593922" w:rsidRDefault="00654093" w:rsidP="00853C0F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654093" w:rsidRPr="00A74192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654093" w:rsidRPr="003C0D68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Strojírenská produkce zrychlila</w:t>
            </w:r>
            <w:r w:rsidR="00F2490D">
              <w:rPr>
                <w:spacing w:val="-2"/>
                <w:sz w:val="16"/>
                <w:szCs w:val="16"/>
              </w:rPr>
              <w:t xml:space="preserve"> na nejvyšší tempo</w:t>
            </w:r>
            <w:r>
              <w:rPr>
                <w:spacing w:val="-2"/>
                <w:sz w:val="16"/>
                <w:szCs w:val="16"/>
              </w:rPr>
              <w:t xml:space="preserve"> za posledních šest let. Plně obnovené kapacity chemického průmyslu umožnily překonat úroveň produkce před haváriemi.</w:t>
            </w:r>
          </w:p>
        </w:tc>
        <w:tc>
          <w:tcPr>
            <w:tcW w:w="144" w:type="pct"/>
          </w:tcPr>
          <w:p w:rsidR="00654093" w:rsidRPr="005A16AE" w:rsidRDefault="00654093" w:rsidP="00853C0F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840" w:type="pct"/>
          </w:tcPr>
          <w:p w:rsidR="00654093" w:rsidRPr="008537CE" w:rsidRDefault="00654093" w:rsidP="00853C0F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Pro celou ekonomiku bylo příznivé, že v letošním roce ožily významné průmyslové obory, které jsou ve větší míře navázány i na domácí poptávku. Strojírenská produkce vzrostla v 1. pololetí nejvyšší</w:t>
            </w:r>
            <w:r w:rsidR="00F2490D">
              <w:rPr>
                <w:spacing w:val="-4"/>
              </w:rPr>
              <w:t>m</w:t>
            </w:r>
            <w:r>
              <w:rPr>
                <w:spacing w:val="-4"/>
              </w:rPr>
              <w:t xml:space="preserve"> tempem (7,7 %) za posledních šest let. Podstatné bylo i plné obnovení výrobních kapacit v chemickém průmyslu, jež se projevilo jak v zakázkách (+25 %), tak i navýšením produkce (21 %), která již překonala úroveň před haváriemi (2. čtvrtletí 2015). Navýšení dočasně omezených výrobních kapacit i relativně chladnější zima se odrazily ve </w:t>
            </w:r>
            <w:r w:rsidR="00B77FB7">
              <w:rPr>
                <w:spacing w:val="-4"/>
              </w:rPr>
              <w:t>vyšší produkci energetiky (o 2,6</w:t>
            </w:r>
            <w:r>
              <w:rPr>
                <w:spacing w:val="-4"/>
              </w:rPr>
              <w:t xml:space="preserve"> %). Z hlediska váhy produkce druhý nejvýznamnější zpracova</w:t>
            </w:r>
            <w:r w:rsidR="00F23F6C">
              <w:rPr>
                <w:spacing w:val="-4"/>
              </w:rPr>
              <w:t xml:space="preserve">telský obor – </w:t>
            </w:r>
            <w:proofErr w:type="gramStart"/>
            <w:r w:rsidR="00F23F6C">
              <w:rPr>
                <w:spacing w:val="-4"/>
              </w:rPr>
              <w:t>kovovýroba –rostl</w:t>
            </w:r>
            <w:proofErr w:type="gramEnd"/>
            <w:r w:rsidR="00B77FB7">
              <w:rPr>
                <w:spacing w:val="-4"/>
              </w:rPr>
              <w:t xml:space="preserve"> letos o 5,4</w:t>
            </w:r>
            <w:r>
              <w:rPr>
                <w:spacing w:val="-4"/>
              </w:rPr>
              <w:t xml:space="preserve"> % (v samotném 2. čtvrtletí se produkce navýšila o více než 8 %). Z malých oborů se dařilo zejména exportně zaměřenému farmaceutickému průmyslu, jehož produkce stoupla meziročně o desetinu a za čtyři roky o více než čtvrtinu. Od poslední recese plynule roste také papírenský, nábytkářský a textilní průmysl.</w:t>
            </w:r>
          </w:p>
          <w:p w:rsidR="00654093" w:rsidRPr="009E121A" w:rsidRDefault="00654093" w:rsidP="00853C0F">
            <w:pPr>
              <w:pStyle w:val="Textpoznpodarou"/>
              <w:jc w:val="both"/>
              <w:rPr>
                <w:color w:val="000000" w:themeColor="text1"/>
                <w:spacing w:val="-4"/>
                <w:sz w:val="15"/>
                <w:szCs w:val="15"/>
              </w:rPr>
            </w:pPr>
          </w:p>
        </w:tc>
      </w:tr>
      <w:tr w:rsidR="00654093" w:rsidRPr="003F0293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654093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Produkce v těžebním průmyslu </w:t>
            </w:r>
            <w:proofErr w:type="spellStart"/>
            <w:r>
              <w:rPr>
                <w:spacing w:val="-2"/>
                <w:sz w:val="16"/>
                <w:szCs w:val="16"/>
              </w:rPr>
              <w:t>mezičtvrtletně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klesala již posedmé v řadě, po loňském oživení se snížil výkon v hutnictví a slévárenství.</w:t>
            </w:r>
          </w:p>
          <w:p w:rsidR="00654093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654093" w:rsidRPr="003C0D68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lastRenderedPageBreak/>
              <w:t>Pokles objemu tuzemských zakázek se podepsal na nižších výkonech výrobců ostatních (především kolejových) dopravních prostředků.</w:t>
            </w:r>
          </w:p>
        </w:tc>
        <w:tc>
          <w:tcPr>
            <w:tcW w:w="144" w:type="pct"/>
          </w:tcPr>
          <w:p w:rsidR="00654093" w:rsidRPr="005A16AE" w:rsidRDefault="00654093" w:rsidP="00853C0F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840" w:type="pct"/>
          </w:tcPr>
          <w:p w:rsidR="00654093" w:rsidRPr="003F0293" w:rsidRDefault="00654093" w:rsidP="00F23F6C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I přes příznivý vývoj průmyslu jako celku však </w:t>
            </w:r>
            <w:r w:rsidR="00F23F6C">
              <w:rPr>
                <w:color w:val="000000" w:themeColor="text1"/>
                <w:spacing w:val="-4"/>
              </w:rPr>
              <w:t xml:space="preserve">nadále existovaly </w:t>
            </w:r>
            <w:r>
              <w:rPr>
                <w:color w:val="000000" w:themeColor="text1"/>
                <w:spacing w:val="-4"/>
              </w:rPr>
              <w:t>obory</w:t>
            </w:r>
            <w:r w:rsidR="00F23F6C">
              <w:rPr>
                <w:color w:val="000000" w:themeColor="text1"/>
                <w:spacing w:val="-4"/>
              </w:rPr>
              <w:t>, u nichž se projevovaly negativní tendence.</w:t>
            </w:r>
            <w:r>
              <w:rPr>
                <w:color w:val="000000" w:themeColor="text1"/>
                <w:spacing w:val="-4"/>
              </w:rPr>
              <w:t xml:space="preserve"> V tě</w:t>
            </w:r>
            <w:r w:rsidR="00F23F6C">
              <w:rPr>
                <w:color w:val="000000" w:themeColor="text1"/>
                <w:spacing w:val="-4"/>
              </w:rPr>
              <w:t>žebním průmyslu poznamenaném útlu</w:t>
            </w:r>
            <w:r>
              <w:rPr>
                <w:color w:val="000000" w:themeColor="text1"/>
                <w:spacing w:val="-4"/>
              </w:rPr>
              <w:t>mem těžby černého uhlí se produkce v </w:t>
            </w:r>
            <w:proofErr w:type="spellStart"/>
            <w:r>
              <w:rPr>
                <w:color w:val="000000" w:themeColor="text1"/>
                <w:spacing w:val="-4"/>
              </w:rPr>
              <w:t>mezičtvrtletním</w:t>
            </w:r>
            <w:proofErr w:type="spellEnd"/>
            <w:r>
              <w:rPr>
                <w:color w:val="000000" w:themeColor="text1"/>
                <w:spacing w:val="-4"/>
              </w:rPr>
              <w:t xml:space="preserve"> vyjádření snižovala již posedmé v řadě. V úhrnu se tak za necelé dva roky zredukoval</w:t>
            </w:r>
            <w:r w:rsidR="00F23F6C">
              <w:rPr>
                <w:color w:val="000000" w:themeColor="text1"/>
                <w:spacing w:val="-4"/>
              </w:rPr>
              <w:t>a o bezmála 20 %. V hutnictví a </w:t>
            </w:r>
            <w:r>
              <w:rPr>
                <w:color w:val="000000" w:themeColor="text1"/>
                <w:spacing w:val="-4"/>
              </w:rPr>
              <w:t xml:space="preserve">slévárenství došlo během loňského roku k částečně stabilizaci (i vlivem zavedení antidumpingových cel na dovozu některých výrobků z oceli z Číny do EU). V letošním roce se však produkce v tomto odvětví v Česku (na rozdíl od EU) opět </w:t>
            </w:r>
            <w:proofErr w:type="spellStart"/>
            <w:r>
              <w:rPr>
                <w:color w:val="000000" w:themeColor="text1"/>
                <w:spacing w:val="-4"/>
              </w:rPr>
              <w:t>mezičtvrtletně</w:t>
            </w:r>
            <w:proofErr w:type="spellEnd"/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lastRenderedPageBreak/>
              <w:t>snižovala, nadále se mírné redukovala rovněž zaměstnanost. Po krátkodobém oživení v letech 2015 a 2016 produkce v oděvním prů</w:t>
            </w:r>
            <w:r w:rsidR="00B77FB7">
              <w:rPr>
                <w:color w:val="000000" w:themeColor="text1"/>
                <w:spacing w:val="-4"/>
              </w:rPr>
              <w:t>myslu letos opět poklesla (o 4,5</w:t>
            </w:r>
            <w:r>
              <w:rPr>
                <w:color w:val="000000" w:themeColor="text1"/>
                <w:spacing w:val="-4"/>
              </w:rPr>
              <w:t xml:space="preserve"> % meziročně). Zatímco domácí poptávka nadále rostla, objem zahraničních zakázek, jakož i tržby z přímého vývozu oděvním podnikům</w:t>
            </w:r>
            <w:r w:rsidR="00F2490D">
              <w:rPr>
                <w:color w:val="000000" w:themeColor="text1"/>
                <w:spacing w:val="-4"/>
              </w:rPr>
              <w:t>,</w:t>
            </w:r>
            <w:r>
              <w:rPr>
                <w:color w:val="000000" w:themeColor="text1"/>
                <w:spacing w:val="-4"/>
              </w:rPr>
              <w:t xml:space="preserve"> kles</w:t>
            </w:r>
            <w:r w:rsidR="00F2490D">
              <w:rPr>
                <w:color w:val="000000" w:themeColor="text1"/>
                <w:spacing w:val="-4"/>
              </w:rPr>
              <w:t>al</w:t>
            </w:r>
            <w:r>
              <w:rPr>
                <w:color w:val="000000" w:themeColor="text1"/>
                <w:spacing w:val="-4"/>
              </w:rPr>
              <w:t xml:space="preserve">. O více než 7 % nižší výkon zaznamenala oprava a instalace strojů a zařízení. Šlo zároveň o jediný zpracovatelský obor, jehož letošní produkce byla oproti konci poslední recese (1. pololetí 2013) nižší. O desetinu se letos snížil výkon i ve výrobě ostatních (zejména kolejových) dopravních prostředků. Ten je však tradičně vzhledem k charakteru zakázek značně </w:t>
            </w:r>
            <w:proofErr w:type="spellStart"/>
            <w:r>
              <w:rPr>
                <w:color w:val="000000" w:themeColor="text1"/>
                <w:spacing w:val="-4"/>
              </w:rPr>
              <w:t>volatilní</w:t>
            </w:r>
            <w:proofErr w:type="spellEnd"/>
            <w:r>
              <w:rPr>
                <w:color w:val="000000" w:themeColor="text1"/>
                <w:spacing w:val="-4"/>
              </w:rPr>
              <w:t>. Na výsledku se podepsal nižší objem tuzemských objednávek.</w:t>
            </w:r>
          </w:p>
        </w:tc>
      </w:tr>
    </w:tbl>
    <w:p w:rsidR="00654093" w:rsidRPr="006B2F92" w:rsidRDefault="00654093" w:rsidP="00654093">
      <w:pPr>
        <w:pStyle w:val="Textpoznpodarou"/>
        <w:jc w:val="both"/>
        <w:rPr>
          <w:sz w:val="15"/>
          <w:szCs w:val="15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21"/>
        <w:gridCol w:w="6379"/>
      </w:tblGrid>
      <w:tr w:rsidR="00654093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654093" w:rsidRPr="00AA4A76" w:rsidRDefault="00654093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654093" w:rsidRPr="00AA4A76" w:rsidRDefault="00654093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3" w:type="pct"/>
          </w:tcPr>
          <w:p w:rsidR="00654093" w:rsidRPr="00540CB3" w:rsidRDefault="00654093" w:rsidP="00853C0F">
            <w:pPr>
              <w:pStyle w:val="Textpoznpodarou"/>
              <w:jc w:val="both"/>
              <w:rPr>
                <w:highlight w:val="yellow"/>
              </w:rPr>
            </w:pPr>
            <w:r w:rsidRPr="00540CB3">
              <w:rPr>
                <w:color w:val="000000"/>
              </w:rPr>
              <w:t>Graf č. 5</w:t>
            </w:r>
          </w:p>
        </w:tc>
        <w:tc>
          <w:tcPr>
            <w:tcW w:w="3261" w:type="pct"/>
          </w:tcPr>
          <w:p w:rsidR="00654093" w:rsidRPr="003C6DB9" w:rsidRDefault="00654093" w:rsidP="00853C0F">
            <w:pPr>
              <w:pStyle w:val="Textpoznpodarou"/>
              <w:rPr>
                <w:b/>
              </w:rPr>
            </w:pPr>
            <w:r w:rsidRPr="001D04BA">
              <w:rPr>
                <w:b/>
              </w:rPr>
              <w:t>Produkce v průmyslu a</w:t>
            </w:r>
            <w:r>
              <w:rPr>
                <w:b/>
              </w:rPr>
              <w:t xml:space="preserve"> ve</w:t>
            </w:r>
            <w:r w:rsidRPr="001D04BA">
              <w:rPr>
                <w:b/>
              </w:rPr>
              <w:t xml:space="preserve"> vyb</w:t>
            </w:r>
            <w:r>
              <w:rPr>
                <w:b/>
              </w:rPr>
              <w:t xml:space="preserve">raných zpracovatelských odvětvích </w:t>
            </w:r>
            <w:r>
              <w:t>(reálně, očištěno o kalendářní vlivy,</w:t>
            </w:r>
            <w:r w:rsidRPr="001D04BA">
              <w:t xml:space="preserve"> </w:t>
            </w:r>
            <w:r>
              <w:t>meziročně</w:t>
            </w:r>
            <w:r w:rsidRPr="001D04BA">
              <w:t xml:space="preserve"> v %)</w:t>
            </w:r>
          </w:p>
        </w:tc>
      </w:tr>
      <w:tr w:rsidR="00654093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654093" w:rsidRPr="006D3F53" w:rsidRDefault="00654093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654093" w:rsidRPr="00A74192" w:rsidRDefault="00654093" w:rsidP="00853C0F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654093" w:rsidRPr="00A82C52" w:rsidRDefault="00F2490D" w:rsidP="00853C0F">
            <w:pPr>
              <w:pStyle w:val="Textpoznpodarou"/>
              <w:ind w:left="-124"/>
              <w:jc w:val="right"/>
              <w:rPr>
                <w:sz w:val="16"/>
                <w:szCs w:val="16"/>
              </w:rPr>
            </w:pPr>
            <w:r w:rsidRPr="00F2490D">
              <w:rPr>
                <w:noProof/>
                <w:sz w:val="14"/>
                <w:szCs w:val="14"/>
              </w:rPr>
              <w:drawing>
                <wp:inline distT="0" distB="0" distL="0" distR="0">
                  <wp:extent cx="4769902" cy="3553200"/>
                  <wp:effectExtent l="0" t="0" r="0" b="0"/>
                  <wp:docPr id="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654093" w:rsidRPr="00540CB3">
              <w:rPr>
                <w:sz w:val="14"/>
                <w:szCs w:val="14"/>
              </w:rPr>
              <w:t>Zdroj: ČSÚ</w:t>
            </w:r>
          </w:p>
        </w:tc>
      </w:tr>
    </w:tbl>
    <w:p w:rsidR="00654093" w:rsidRPr="006B2F92" w:rsidRDefault="00654093" w:rsidP="00654093">
      <w:pPr>
        <w:pStyle w:val="Textpoznpodarou"/>
        <w:jc w:val="both"/>
        <w:rPr>
          <w:sz w:val="15"/>
          <w:szCs w:val="15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654093" w:rsidRPr="00A74192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654093" w:rsidRPr="003E5346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Růst objemu nových zakázek ve většině sledovaných průmyslových odvětví pokračoval. Projevil se efekt obnovení výrobních kapacit v chemickém průmyslu.</w:t>
            </w:r>
          </w:p>
          <w:p w:rsidR="00654093" w:rsidRPr="00DA1318" w:rsidRDefault="00654093" w:rsidP="00853C0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</w:tcPr>
          <w:p w:rsidR="00654093" w:rsidRPr="009E7B1B" w:rsidRDefault="00654093" w:rsidP="00853C0F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840" w:type="pct"/>
          </w:tcPr>
          <w:p w:rsidR="00654093" w:rsidRDefault="00654093" w:rsidP="00853C0F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Zásoba práce v podobě nových průmyslových zakázek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 xml:space="preserve"> nadále rostla. Její meziroční dynamika byla v úhrnu za celé pololetí srovnatelná s tempem dosaženým v první polovině roku 2016. Zatímco na počátku letošního roku přibylo zakázek o desetinu, v následujícím čtvrtletí o 3,6 %. V obou čtvrtletích zaznamenala meziroční růst většina z dvanácti sledovaných odvětví. Horší výsledky pocítil textilní průmysl a také výrobci dopravních prostředků. Mírný pokles v automobilovém průmyslu ve 2. čtv</w:t>
            </w:r>
            <w:r w:rsidR="00F23F6C">
              <w:rPr>
                <w:spacing w:val="-4"/>
              </w:rPr>
              <w:t>rtletí (o 2 %) souvisel s velmi</w:t>
            </w:r>
            <w:r>
              <w:rPr>
                <w:spacing w:val="-4"/>
              </w:rPr>
              <w:t xml:space="preserve"> vysokou loňskou základnou (růst o 32 %). Tempo růstu tuzemských zakázek převýšilo v obou letošních čtvrtletích obdobná tempa u zahraniční poptávky. Projevil se zde efekt plného obnovení výrobních kapacit chemického průmyslu, který mohl opět ve větší míře akceptovat rostoucí poptávku tuzemských podniků.</w:t>
            </w:r>
          </w:p>
          <w:p w:rsidR="00654093" w:rsidRPr="001D0A06" w:rsidRDefault="00654093" w:rsidP="00853C0F">
            <w:pPr>
              <w:pStyle w:val="Textpoznpodarou"/>
              <w:jc w:val="both"/>
              <w:rPr>
                <w:spacing w:val="-4"/>
                <w:sz w:val="15"/>
                <w:szCs w:val="15"/>
              </w:rPr>
            </w:pPr>
          </w:p>
        </w:tc>
      </w:tr>
      <w:tr w:rsidR="00654093" w:rsidRPr="000B2BE9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654093" w:rsidRPr="000B2BE9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0B2BE9">
              <w:rPr>
                <w:sz w:val="16"/>
                <w:szCs w:val="16"/>
              </w:rPr>
              <w:t>Nálada podnikatelů v průmyslu zůstávala přes mírné zhoršení v posledních šesti měsících stále pozitivní.</w:t>
            </w:r>
          </w:p>
        </w:tc>
        <w:tc>
          <w:tcPr>
            <w:tcW w:w="144" w:type="pct"/>
          </w:tcPr>
          <w:p w:rsidR="00654093" w:rsidRPr="000B2BE9" w:rsidRDefault="00654093" w:rsidP="00853C0F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840" w:type="pct"/>
          </w:tcPr>
          <w:p w:rsidR="00654093" w:rsidRPr="000B2BE9" w:rsidRDefault="00654093" w:rsidP="00853C0F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0B2BE9">
              <w:rPr>
                <w:spacing w:val="-4"/>
              </w:rPr>
              <w:t>N</w:t>
            </w:r>
            <w:r w:rsidRPr="000B2BE9">
              <w:rPr>
                <w:color w:val="000000" w:themeColor="text1"/>
                <w:spacing w:val="-4"/>
              </w:rPr>
              <w:t>álada podnikatelů v průmyslu (dle sezónně očištěného salda indikátoru důvěry) zůstávala nadále mírně pozitivní. V průběhu roku 2017 však mírně oslabovala a</w:t>
            </w:r>
            <w:r w:rsidRPr="000B2BE9">
              <w:rPr>
                <w:spacing w:val="-4"/>
              </w:rPr>
              <w:t> </w:t>
            </w:r>
            <w:r w:rsidR="00F2490D">
              <w:rPr>
                <w:spacing w:val="-4"/>
              </w:rPr>
              <w:t>v</w:t>
            </w:r>
            <w:r w:rsidR="00F2490D" w:rsidRPr="000B2BE9">
              <w:rPr>
                <w:spacing w:val="-4"/>
              </w:rPr>
              <w:t> </w:t>
            </w:r>
            <w:r w:rsidRPr="000B2BE9">
              <w:rPr>
                <w:color w:val="000000" w:themeColor="text1"/>
                <w:spacing w:val="-4"/>
              </w:rPr>
              <w:t>květnu dosáhla nejnižší hodnoty za posledních devatenáct měsíců. Růst výrobní činnosti v příštích třech měsících očekávalo v průběhu srpna 24 % průmyslových podniků (v samotné energetice 40 %). Meziročně se mírně zvýšil podíl podniků uvažujících ve stejném horizontu o navýšení zaměstnanosti (z 16 %</w:t>
            </w:r>
            <w:r>
              <w:rPr>
                <w:color w:val="000000" w:themeColor="text1"/>
                <w:spacing w:val="-4"/>
              </w:rPr>
              <w:t xml:space="preserve"> na 20 %), a to především ve zpracovatelském</w:t>
            </w:r>
            <w:r w:rsidR="00F23F6C">
              <w:rPr>
                <w:color w:val="000000" w:themeColor="text1"/>
                <w:spacing w:val="-4"/>
              </w:rPr>
              <w:t xml:space="preserve"> prů</w:t>
            </w:r>
            <w:r w:rsidRPr="000B2BE9">
              <w:rPr>
                <w:color w:val="000000" w:themeColor="text1"/>
                <w:spacing w:val="-4"/>
              </w:rPr>
              <w:t>myslu. Podniky v těžebním průmyslu ve větší míř</w:t>
            </w:r>
            <w:r w:rsidR="00F23F6C">
              <w:rPr>
                <w:color w:val="000000" w:themeColor="text1"/>
                <w:spacing w:val="-4"/>
              </w:rPr>
              <w:t>e naznačovaly možnou stabilizaci</w:t>
            </w:r>
            <w:r w:rsidRPr="000B2BE9">
              <w:rPr>
                <w:color w:val="000000" w:themeColor="text1"/>
                <w:spacing w:val="-4"/>
              </w:rPr>
              <w:t xml:space="preserve"> zaměstnanosti. Podíl podniků považujících nedostatek pracovní síly za bariéru růstu se na počátku 3. čtvrtletí vyšplhal na rekordních 41 %. Poprvé od 1. čtvrtletí 2008 předčil vliv nedostatečné poptávky</w:t>
            </w:r>
            <w:r w:rsidR="00F2490D">
              <w:rPr>
                <w:color w:val="000000" w:themeColor="text1"/>
                <w:spacing w:val="-4"/>
              </w:rPr>
              <w:t>,</w:t>
            </w:r>
            <w:r w:rsidRPr="000B2BE9">
              <w:rPr>
                <w:color w:val="000000" w:themeColor="text1"/>
                <w:spacing w:val="-4"/>
              </w:rPr>
              <w:t xml:space="preserve"> a stal se tak nejvýznamnějším limitujícím faktorem dalšího rozvoje průmyslových podniků</w:t>
            </w:r>
            <w:r>
              <w:rPr>
                <w:color w:val="000000" w:themeColor="text1"/>
                <w:spacing w:val="-4"/>
              </w:rPr>
              <w:t>.</w:t>
            </w:r>
          </w:p>
        </w:tc>
      </w:tr>
    </w:tbl>
    <w:p w:rsidR="00654093" w:rsidRPr="000B2BE9" w:rsidRDefault="00654093" w:rsidP="00654093">
      <w:pPr>
        <w:pStyle w:val="Textpoznpodarou"/>
        <w:jc w:val="both"/>
        <w:rPr>
          <w:sz w:val="4"/>
          <w:szCs w:val="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980"/>
        <w:gridCol w:w="6520"/>
      </w:tblGrid>
      <w:tr w:rsidR="00654093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654093" w:rsidRPr="00AA4A76" w:rsidRDefault="00654093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654093" w:rsidRPr="00AA4A76" w:rsidRDefault="00654093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01" w:type="pct"/>
          </w:tcPr>
          <w:p w:rsidR="00654093" w:rsidRPr="00540CB3" w:rsidRDefault="00654093" w:rsidP="00853C0F">
            <w:pPr>
              <w:pStyle w:val="Textpoznpodarou"/>
              <w:jc w:val="both"/>
              <w:rPr>
                <w:spacing w:val="-4"/>
                <w:highlight w:val="yellow"/>
              </w:rPr>
            </w:pPr>
            <w:r w:rsidRPr="00540CB3">
              <w:rPr>
                <w:color w:val="000000"/>
                <w:spacing w:val="-4"/>
              </w:rPr>
              <w:t>Graf č. 6</w:t>
            </w:r>
          </w:p>
        </w:tc>
        <w:tc>
          <w:tcPr>
            <w:tcW w:w="3333" w:type="pct"/>
          </w:tcPr>
          <w:p w:rsidR="00654093" w:rsidRPr="00540CB3" w:rsidRDefault="00654093" w:rsidP="00853C0F">
            <w:pPr>
              <w:pStyle w:val="Textpoznpodarou"/>
              <w:rPr>
                <w:b/>
                <w:spacing w:val="-2"/>
              </w:rPr>
            </w:pPr>
            <w:r w:rsidRPr="00540CB3">
              <w:rPr>
                <w:b/>
                <w:spacing w:val="-2"/>
              </w:rPr>
              <w:t xml:space="preserve">Nové zakázky v automobilovém průmyslu, v průmyslu celkem </w:t>
            </w:r>
          </w:p>
          <w:p w:rsidR="00654093" w:rsidRPr="002B6B7A" w:rsidRDefault="00654093" w:rsidP="00853C0F">
            <w:pPr>
              <w:pStyle w:val="Textpoznpodarou"/>
              <w:rPr>
                <w:bCs/>
              </w:rPr>
            </w:pPr>
            <w:r>
              <w:rPr>
                <w:bCs/>
                <w:spacing w:val="-2"/>
              </w:rPr>
              <w:t>(v běž.</w:t>
            </w:r>
            <w:r w:rsidRPr="00540CB3">
              <w:rPr>
                <w:bCs/>
                <w:spacing w:val="-2"/>
              </w:rPr>
              <w:t xml:space="preserve"> </w:t>
            </w:r>
            <w:proofErr w:type="gramStart"/>
            <w:r w:rsidRPr="00540CB3">
              <w:rPr>
                <w:bCs/>
                <w:spacing w:val="-2"/>
              </w:rPr>
              <w:t>cenách</w:t>
            </w:r>
            <w:proofErr w:type="gramEnd"/>
            <w:r w:rsidRPr="00540CB3">
              <w:rPr>
                <w:bCs/>
                <w:spacing w:val="-2"/>
              </w:rPr>
              <w:t xml:space="preserve">, </w:t>
            </w:r>
            <w:r w:rsidRPr="00540CB3">
              <w:rPr>
                <w:spacing w:val="-2"/>
              </w:rPr>
              <w:t>meziročně</w:t>
            </w:r>
            <w:r w:rsidRPr="00540CB3">
              <w:rPr>
                <w:bCs/>
                <w:spacing w:val="-2"/>
              </w:rPr>
              <w:t xml:space="preserve"> v %) </w:t>
            </w:r>
            <w:r w:rsidRPr="00540CB3">
              <w:rPr>
                <w:b/>
                <w:spacing w:val="-2"/>
              </w:rPr>
              <w:t>a saldo indikátoru důvěry v</w:t>
            </w:r>
            <w:r>
              <w:rPr>
                <w:b/>
                <w:spacing w:val="-2"/>
              </w:rPr>
              <w:t> </w:t>
            </w:r>
            <w:r w:rsidRPr="00540CB3">
              <w:rPr>
                <w:b/>
                <w:spacing w:val="-2"/>
              </w:rPr>
              <w:t>průmyslu</w:t>
            </w:r>
          </w:p>
        </w:tc>
      </w:tr>
      <w:tr w:rsidR="00654093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654093" w:rsidRPr="006D3F53" w:rsidRDefault="00654093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654093" w:rsidRPr="00A74192" w:rsidRDefault="00654093" w:rsidP="00853C0F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654093" w:rsidRPr="00540CB3" w:rsidRDefault="00F2490D" w:rsidP="00853C0F">
            <w:pPr>
              <w:pStyle w:val="Textpoznpodarou"/>
              <w:ind w:left="-124"/>
              <w:jc w:val="right"/>
              <w:rPr>
                <w:sz w:val="16"/>
                <w:szCs w:val="16"/>
              </w:rPr>
            </w:pPr>
            <w:r w:rsidRPr="00F2490D">
              <w:rPr>
                <w:noProof/>
                <w:sz w:val="14"/>
                <w:szCs w:val="14"/>
              </w:rPr>
              <w:drawing>
                <wp:inline distT="0" distB="0" distL="0" distR="0">
                  <wp:extent cx="4770234" cy="3476530"/>
                  <wp:effectExtent l="0" t="0" r="0" b="0"/>
                  <wp:docPr id="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Pr="00F2490D">
              <w:rPr>
                <w:sz w:val="14"/>
                <w:szCs w:val="14"/>
              </w:rPr>
              <w:t xml:space="preserve"> </w:t>
            </w:r>
            <w:r w:rsidR="00654093" w:rsidRPr="00540CB3">
              <w:rPr>
                <w:sz w:val="14"/>
                <w:szCs w:val="14"/>
              </w:rPr>
              <w:t>Zdroj: ČSÚ</w:t>
            </w:r>
          </w:p>
        </w:tc>
      </w:tr>
    </w:tbl>
    <w:p w:rsidR="00654093" w:rsidRPr="00FF58EC" w:rsidRDefault="00654093" w:rsidP="00654093">
      <w:pPr>
        <w:pStyle w:val="Textpoznpodarou"/>
        <w:jc w:val="both"/>
        <w:rPr>
          <w:sz w:val="14"/>
          <w:szCs w:val="14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654093" w:rsidRPr="00656A4E" w:rsidTr="00853C0F">
        <w:tc>
          <w:tcPr>
            <w:tcW w:w="1016" w:type="pct"/>
            <w:shd w:val="clear" w:color="auto" w:fill="auto"/>
          </w:tcPr>
          <w:p w:rsidR="00654093" w:rsidRPr="00A51051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 w:rsidRPr="00A51051">
              <w:rPr>
                <w:color w:val="0D0D0D" w:themeColor="text1" w:themeTint="F2"/>
                <w:spacing w:val="-2"/>
                <w:sz w:val="16"/>
                <w:szCs w:val="16"/>
              </w:rPr>
              <w:t>Stavební produkce ve 2.</w:t>
            </w:r>
            <w:r w:rsidRPr="00A51051">
              <w:rPr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 w:rsidRPr="00A51051">
              <w:rPr>
                <w:color w:val="0D0D0D" w:themeColor="text1" w:themeTint="F2"/>
                <w:spacing w:val="-2"/>
                <w:sz w:val="16"/>
                <w:szCs w:val="16"/>
              </w:rPr>
              <w:t>čtvrtletí ožila. Mezi</w:t>
            </w:r>
            <w:r>
              <w:rPr>
                <w:color w:val="0D0D0D" w:themeColor="text1" w:themeTint="F2"/>
                <w:spacing w:val="-2"/>
                <w:sz w:val="16"/>
                <w:szCs w:val="16"/>
              </w:rPr>
              <w:t>-</w:t>
            </w:r>
            <w:r w:rsidRPr="00A51051">
              <w:rPr>
                <w:color w:val="0D0D0D" w:themeColor="text1" w:themeTint="F2"/>
                <w:spacing w:val="-2"/>
                <w:sz w:val="16"/>
                <w:szCs w:val="16"/>
              </w:rPr>
              <w:t xml:space="preserve">čtvrtletně posílila nejvíce od počátku roku 2015. </w:t>
            </w:r>
          </w:p>
          <w:p w:rsidR="00654093" w:rsidRPr="00DE2D00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Pr="00DE2D00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Pr="00DE2D00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 w:rsidRPr="00DE2D00">
              <w:rPr>
                <w:color w:val="0D0D0D" w:themeColor="text1" w:themeTint="F2"/>
                <w:spacing w:val="-2"/>
                <w:sz w:val="16"/>
                <w:szCs w:val="16"/>
              </w:rPr>
              <w:t>Inženýrské stavitelství zatím k oživení stavebnictví nepřispělo. Jeho výkon limituje nízký objem veřejných investic.</w:t>
            </w:r>
          </w:p>
          <w:p w:rsidR="00654093" w:rsidRPr="00DE2D00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Pr="00DE2D00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Pr="00DE2D00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Pr="00DE2D00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  <w:r w:rsidRPr="00DE2D00">
              <w:rPr>
                <w:color w:val="0D0D0D" w:themeColor="text1" w:themeTint="F2"/>
                <w:spacing w:val="-4"/>
                <w:sz w:val="16"/>
                <w:szCs w:val="16"/>
              </w:rPr>
              <w:t>Mírné oživení zahajované bytové výstavby na přelomu let 2016 a 2017 však zatím rostoucí napětí mezi nabídkou a poptávkou příliš neovlivnilo.</w:t>
            </w:r>
          </w:p>
          <w:p w:rsidR="00654093" w:rsidRPr="00DE2D00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654093" w:rsidRPr="00636F97" w:rsidRDefault="00654093" w:rsidP="00853C0F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654093" w:rsidRDefault="00654093" w:rsidP="00853C0F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Výkon stavebnictví se po silném loňském poklesu způsobeném výpadkem mimořádných růstových faktorů v první polovině roku 2017 mírně zlepšil. Stavební produkce v </w:t>
            </w:r>
            <w:proofErr w:type="spellStart"/>
            <w:r>
              <w:rPr>
                <w:spacing w:val="-4"/>
              </w:rPr>
              <w:t>mezikvartálním</w:t>
            </w:r>
            <w:proofErr w:type="spellEnd"/>
            <w:r>
              <w:rPr>
                <w:spacing w:val="-4"/>
              </w:rPr>
              <w:t xml:space="preserve"> vyjádření na počátku roku sice stagnovala, ve 2. čtvrtletí již ale posílila o 3,6 % (nejvíce od začátku roku 2015). Po pěti čtvrtletích se zastavil meziroční pokles produkce, jejíž tempo ve 2. čtvrtletí vzrostlo o 7,7 %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>. Přispělo k tomu však pouze váhově významnější pozemní stavitelství (s růstem o 13,4 %), neboť výkon inženýrské</w:t>
            </w:r>
            <w:r w:rsidR="00F23F6C">
              <w:rPr>
                <w:spacing w:val="-4"/>
              </w:rPr>
              <w:t>ho</w:t>
            </w:r>
            <w:r>
              <w:rPr>
                <w:spacing w:val="-4"/>
              </w:rPr>
              <w:t xml:space="preserve"> stavitelství nadále klesal (-4,5 %). Oproti 2. čtvrtletí 2013, kdy celé stavebnictví dosáhlo nejnižšího výkonu od vstupu ČR do EU, byla letošní produkce o 14</w:t>
            </w:r>
            <w:r w:rsidR="00AC69CA">
              <w:rPr>
                <w:spacing w:val="-4"/>
              </w:rPr>
              <w:t>,1</w:t>
            </w:r>
            <w:r>
              <w:rPr>
                <w:spacing w:val="-4"/>
              </w:rPr>
              <w:t xml:space="preserve"> % vyšší. Za absolutním vrcholem (4. čtvrtletí</w:t>
            </w:r>
            <w:r w:rsidR="00AC69CA">
              <w:rPr>
                <w:spacing w:val="-4"/>
              </w:rPr>
              <w:t xml:space="preserve"> 200</w:t>
            </w:r>
            <w:r w:rsidR="00F23F6C">
              <w:rPr>
                <w:spacing w:val="-4"/>
              </w:rPr>
              <w:t>7) však stále o bezmála o pětinu</w:t>
            </w:r>
            <w:r>
              <w:rPr>
                <w:spacing w:val="-4"/>
              </w:rPr>
              <w:t xml:space="preserve"> zaostávala. Příznivějším výsledkům pozemního stavitelství pomáhalo v první polovině roku i oživení bytové výstavby. Počet zahájených bytů meziročně stoupl o pětinu, na čemž se nejvíce podílely rodinné domy (+1,3 tis.). Proti velmi nízké loňské základně výrazněji přibylo i </w:t>
            </w:r>
            <w:r w:rsidR="007F0DF6">
              <w:rPr>
                <w:spacing w:val="-4"/>
              </w:rPr>
              <w:t xml:space="preserve">bytů v </w:t>
            </w:r>
            <w:r>
              <w:rPr>
                <w:spacing w:val="-4"/>
              </w:rPr>
              <w:t>bytových dom</w:t>
            </w:r>
            <w:r w:rsidR="007F0DF6">
              <w:rPr>
                <w:spacing w:val="-4"/>
              </w:rPr>
              <w:t>ech (BD). Jejich počet (3,6 </w:t>
            </w:r>
            <w:r>
              <w:rPr>
                <w:spacing w:val="-4"/>
              </w:rPr>
              <w:t>tis.) se však oproti 1. pololetím let 2014 i 2015 prakticky nelišil a v relaci s </w:t>
            </w:r>
            <w:r w:rsidRPr="007F0DF6">
              <w:rPr>
                <w:color w:val="0D0D0D" w:themeColor="text1" w:themeTint="F2"/>
                <w:spacing w:val="-4"/>
              </w:rPr>
              <w:t>dosud rekordní hladinou (1. pololetí 2008) nedosahoval ani poloviny. Na meziročně vyšším počtu BD se podílela především výstavba v Olomouckém kraji a</w:t>
            </w:r>
            <w:r w:rsidR="007F0DF6" w:rsidRPr="007F0DF6">
              <w:rPr>
                <w:color w:val="0D0D0D" w:themeColor="text1" w:themeTint="F2"/>
                <w:spacing w:val="-4"/>
              </w:rPr>
              <w:t xml:space="preserve"> také Praze, ve které počet BD narostl z 522 na 1022 (přesto šlo v tomto období roku o druhý nejnižší počet zahájených bytů po roce 2001).</w:t>
            </w:r>
            <w:r w:rsidRPr="007F0DF6">
              <w:rPr>
                <w:color w:val="0D0D0D" w:themeColor="text1" w:themeTint="F2"/>
                <w:spacing w:val="-4"/>
              </w:rPr>
              <w:t xml:space="preserve"> Přetrvávající</w:t>
            </w:r>
            <w:r>
              <w:rPr>
                <w:spacing w:val="-4"/>
              </w:rPr>
              <w:t xml:space="preserve"> nízký objem výstavby ještě více vyostřoval napětí mezi nabídkou a poptávkou (posílenou rostoucími příjmy domácností i stále nízkými úrokovými sazbami hypoték) a přispíval k silnému růstu cen rezidenčních nemovitostí v Praze, ale i v ostatních regionech.</w:t>
            </w:r>
          </w:p>
          <w:p w:rsidR="00654093" w:rsidRPr="00FF58EC" w:rsidRDefault="00654093" w:rsidP="00853C0F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654093" w:rsidRPr="00156294" w:rsidTr="00853C0F">
        <w:tc>
          <w:tcPr>
            <w:tcW w:w="1016" w:type="pct"/>
            <w:shd w:val="clear" w:color="auto" w:fill="auto"/>
          </w:tcPr>
          <w:p w:rsidR="00654093" w:rsidRPr="002A564C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  <w:r w:rsidRPr="002A564C">
              <w:rPr>
                <w:color w:val="0D0D0D" w:themeColor="text1" w:themeTint="F2"/>
                <w:spacing w:val="-4"/>
                <w:sz w:val="16"/>
                <w:szCs w:val="16"/>
              </w:rPr>
              <w:t xml:space="preserve">Hodnota nových tuzemských zakázek meziročně posílila již třetí čtvrtletí v řadě. Přispělo k tomu i inženýrské stavitelství. </w:t>
            </w:r>
          </w:p>
          <w:p w:rsidR="00654093" w:rsidRPr="002A564C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654093" w:rsidRPr="002A564C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  <w:r w:rsidRPr="002A564C">
              <w:rPr>
                <w:color w:val="0D0D0D" w:themeColor="text1" w:themeTint="F2"/>
                <w:spacing w:val="-4"/>
                <w:sz w:val="16"/>
                <w:szCs w:val="16"/>
              </w:rPr>
              <w:t xml:space="preserve">Větší zakázky </w:t>
            </w:r>
            <w:r>
              <w:rPr>
                <w:color w:val="0D0D0D" w:themeColor="text1" w:themeTint="F2"/>
                <w:spacing w:val="-4"/>
                <w:sz w:val="16"/>
                <w:szCs w:val="16"/>
              </w:rPr>
              <w:t>však stavebnictví nadále scházely.</w:t>
            </w: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color w:val="0D0D0D" w:themeColor="text1" w:themeTint="F2"/>
                <w:spacing w:val="-4"/>
                <w:sz w:val="16"/>
                <w:szCs w:val="16"/>
              </w:rPr>
              <w:lastRenderedPageBreak/>
              <w:t>Důvěra podnikatelů ve stavebnictví se od konce roku 2016 mírně zvyšovala, nadále však zůstávala hluboce v negativním pásmu.</w:t>
            </w: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654093" w:rsidRPr="002D2E79" w:rsidRDefault="00654093" w:rsidP="00853C0F">
            <w:pPr>
              <w:spacing w:line="240" w:lineRule="auto"/>
              <w:rPr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color w:val="0D0D0D" w:themeColor="text1" w:themeTint="F2"/>
                <w:spacing w:val="-4"/>
                <w:sz w:val="16"/>
                <w:szCs w:val="16"/>
              </w:rPr>
              <w:t>Vnímání nedostatečné poptávky jako bariéry růstu se za poslední rok snížilo. Faktor nedostatku zaměstnanců naopak posílil trojnásobně.</w:t>
            </w:r>
          </w:p>
          <w:p w:rsidR="00654093" w:rsidRPr="002D2E79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654093" w:rsidRPr="005B2702" w:rsidRDefault="00654093" w:rsidP="00853C0F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654093" w:rsidRPr="009860EC" w:rsidRDefault="00654093" w:rsidP="00853C0F">
            <w:pPr>
              <w:pStyle w:val="Textpoznpodarou"/>
              <w:spacing w:before="20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>Poptávka po stavebních pracích ožila. Hodnota nových tuzemských zakázek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 xml:space="preserve"> se navyšovala již třetí čtvrtletí v řadě. V úhrnu za 1. pololetí 2017 meziročně posílila o osminu. Důležité bylo, že pozitivní vývoj signalizovalo jak pozemní (+5,3 %), tak i inženýrské stavitelství (+18,9 %). Pololetní růst byl v obou hlavních stavebních oborech naposledy zaznamenán v roce 2014. I přes dílčí oživení nadále stavebnictví scházely větší stavby. Průměrná hodnota nově uzav</w:t>
            </w:r>
            <w:r w:rsidR="007F0DF6">
              <w:rPr>
                <w:spacing w:val="-4"/>
              </w:rPr>
              <w:t>řené zakázky sice proti velmi</w:t>
            </w:r>
            <w:r>
              <w:rPr>
                <w:spacing w:val="-4"/>
              </w:rPr>
              <w:t xml:space="preserve"> nízké loňské úrovni o dese</w:t>
            </w:r>
            <w:r w:rsidR="00F23F6C">
              <w:rPr>
                <w:spacing w:val="-4"/>
              </w:rPr>
              <w:t>tinu vzrostla na 3,2 mil. korun</w:t>
            </w:r>
            <w:r>
              <w:rPr>
                <w:spacing w:val="-4"/>
              </w:rPr>
              <w:t xml:space="preserve"> </w:t>
            </w:r>
            <w:r w:rsidR="00F23F6C">
              <w:rPr>
                <w:spacing w:val="-4"/>
              </w:rPr>
              <w:t>(</w:t>
            </w:r>
            <w:r>
              <w:rPr>
                <w:spacing w:val="-4"/>
              </w:rPr>
              <w:t>v roce 2014 se však blížila 4 mil</w:t>
            </w:r>
            <w:r w:rsidR="00F23F6C">
              <w:rPr>
                <w:spacing w:val="-4"/>
              </w:rPr>
              <w:t>)</w:t>
            </w:r>
            <w:r>
              <w:rPr>
                <w:spacing w:val="-4"/>
              </w:rPr>
              <w:t xml:space="preserve">. Celková zásoba práce zahrnující všechny dosud nerealizované zakázky </w:t>
            </w:r>
            <w:r w:rsidR="00AC69CA">
              <w:rPr>
                <w:spacing w:val="-4"/>
              </w:rPr>
              <w:t>činila na konci 2. čtvrtletí 142</w:t>
            </w:r>
            <w:r>
              <w:rPr>
                <w:spacing w:val="-4"/>
              </w:rPr>
              <w:t xml:space="preserve"> mld. korun. Její mezir</w:t>
            </w:r>
            <w:r w:rsidR="00AC69CA">
              <w:rPr>
                <w:spacing w:val="-4"/>
              </w:rPr>
              <w:t>oční pokles (o 3,6</w:t>
            </w:r>
            <w:r>
              <w:rPr>
                <w:spacing w:val="-4"/>
              </w:rPr>
              <w:t xml:space="preserve"> %) byl téměř výhradně</w:t>
            </w:r>
            <w:r w:rsidR="00AC69CA">
              <w:rPr>
                <w:spacing w:val="-4"/>
              </w:rPr>
              <w:t xml:space="preserve"> ovlivněn zakázkami v zahraničí</w:t>
            </w:r>
            <w:r>
              <w:rPr>
                <w:spacing w:val="-4"/>
              </w:rPr>
              <w:t xml:space="preserve">, jejichž váha na celkové zásobě práce stavebních </w:t>
            </w:r>
            <w:r>
              <w:rPr>
                <w:spacing w:val="-4"/>
              </w:rPr>
              <w:lastRenderedPageBreak/>
              <w:t xml:space="preserve">podniků v průběhu roku 2017 poklesla na nižší hodnotu (12,4 %) za poslední čtyři roky. Již </w:t>
            </w:r>
            <w:r w:rsidRPr="00143F22">
              <w:rPr>
                <w:spacing w:val="-4"/>
              </w:rPr>
              <w:t>čtyři pololetí v řadě pokračoval růst orientační hodnoty vydaných stavebních povolení</w:t>
            </w:r>
            <w:r>
              <w:rPr>
                <w:spacing w:val="-4"/>
              </w:rPr>
              <w:t xml:space="preserve"> – nejvyšších temp dosáhla letos</w:t>
            </w:r>
            <w:r w:rsidR="00F23F6C">
              <w:rPr>
                <w:spacing w:val="-4"/>
              </w:rPr>
              <w:t>,</w:t>
            </w:r>
            <w:r>
              <w:rPr>
                <w:spacing w:val="-4"/>
              </w:rPr>
              <w:t xml:space="preserve"> podobně jako vloni</w:t>
            </w:r>
            <w:r w:rsidR="00F23F6C">
              <w:rPr>
                <w:spacing w:val="-4"/>
              </w:rPr>
              <w:t>,</w:t>
            </w:r>
            <w:r>
              <w:rPr>
                <w:spacing w:val="-4"/>
              </w:rPr>
              <w:t xml:space="preserve"> nová výstavba nebytových budov. </w:t>
            </w:r>
            <w:r w:rsidRPr="00D163CC">
              <w:rPr>
                <w:color w:val="000000" w:themeColor="text1"/>
                <w:spacing w:val="-4"/>
              </w:rPr>
              <w:t xml:space="preserve">Sezónně očištěné </w:t>
            </w:r>
            <w:r w:rsidRPr="005F1091">
              <w:rPr>
                <w:color w:val="000000" w:themeColor="text1"/>
                <w:spacing w:val="-4"/>
              </w:rPr>
              <w:t>saldo důvěry podnikatelů</w:t>
            </w:r>
            <w:r w:rsidRPr="00CD12E2">
              <w:rPr>
                <w:color w:val="000000" w:themeColor="text1"/>
                <w:spacing w:val="-4"/>
              </w:rPr>
              <w:t xml:space="preserve"> ve stavebnictví</w:t>
            </w:r>
            <w:r>
              <w:rPr>
                <w:color w:val="000000" w:themeColor="text1"/>
                <w:spacing w:val="-4"/>
              </w:rPr>
              <w:t xml:space="preserve"> se během první poloviny roku mírně zlepšovalo a v červnu dosáhlo nejlepšího výsledku od února 2016, kdy ještě dozníval mimořádný vliv dočerpávání evropských fondů na infrastrukturní projekty. I nadále však zůstávalo saldo důvěry v hluboce negativním pásmu. Dle nejaktuálnějších srpnových údajů očekávala v příštích třech měsících růst výrobní činnosti necelá šestina pod</w:t>
            </w:r>
            <w:r w:rsidR="00B6493D">
              <w:rPr>
                <w:color w:val="000000" w:themeColor="text1"/>
                <w:spacing w:val="-4"/>
              </w:rPr>
              <w:t>niků a jen o málo menší podíl pr</w:t>
            </w:r>
            <w:r>
              <w:rPr>
                <w:color w:val="000000" w:themeColor="text1"/>
                <w:spacing w:val="-4"/>
              </w:rPr>
              <w:t xml:space="preserve">edikoval pokles. Přibírat zaměstnance plánovala desetina podniků. Očekávání celkové poptávky, stavební činnosti i zaměstnanosti se ve srovnání s loňským srpnem významně nezměnilo. Nedostatečnou poptávku indikovala jako bariéru růstu polovina stavebních podniků (nejméně od dubna 2009). Na druhou stranu faktor nedostatku zaměstnanců byl </w:t>
            </w:r>
            <w:r w:rsidR="00B6493D">
              <w:rPr>
                <w:color w:val="000000" w:themeColor="text1"/>
                <w:spacing w:val="-4"/>
              </w:rPr>
              <w:t xml:space="preserve">v </w:t>
            </w:r>
            <w:r>
              <w:rPr>
                <w:color w:val="000000" w:themeColor="text1"/>
                <w:spacing w:val="-4"/>
              </w:rPr>
              <w:t>srpnu 2017 zmiňován třikrát častěji než o rok dříve (8 %).</w:t>
            </w:r>
          </w:p>
        </w:tc>
      </w:tr>
    </w:tbl>
    <w:p w:rsidR="00654093" w:rsidRPr="00A61C04" w:rsidRDefault="00654093" w:rsidP="00654093">
      <w:pPr>
        <w:pStyle w:val="Textpoznpodarou"/>
        <w:jc w:val="both"/>
        <w:rPr>
          <w:sz w:val="15"/>
          <w:szCs w:val="15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654093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654093" w:rsidRPr="00AA4A76" w:rsidRDefault="00654093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654093" w:rsidRPr="00AA4A76" w:rsidRDefault="00654093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654093" w:rsidRPr="00AA4A76" w:rsidRDefault="00654093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7</w:t>
            </w:r>
          </w:p>
        </w:tc>
        <w:tc>
          <w:tcPr>
            <w:tcW w:w="3262" w:type="pct"/>
          </w:tcPr>
          <w:p w:rsidR="00654093" w:rsidRDefault="00654093" w:rsidP="00853C0F">
            <w:pPr>
              <w:pStyle w:val="Textpoznpodarou"/>
              <w:rPr>
                <w:bCs/>
              </w:rPr>
            </w:pPr>
            <w:r>
              <w:rPr>
                <w:b/>
              </w:rPr>
              <w:t xml:space="preserve">Stavební produkce*, hodnota nových zakázek </w:t>
            </w:r>
            <w:r>
              <w:rPr>
                <w:bCs/>
              </w:rPr>
              <w:t>(</w:t>
            </w:r>
            <w:r w:rsidRPr="00540CB3">
              <w:rPr>
                <w:spacing w:val="-2"/>
              </w:rPr>
              <w:t>meziročně</w:t>
            </w:r>
            <w:r w:rsidRPr="00540CB3">
              <w:rPr>
                <w:bCs/>
                <w:spacing w:val="-2"/>
              </w:rPr>
              <w:t xml:space="preserve"> v %)</w:t>
            </w:r>
            <w:r>
              <w:rPr>
                <w:bCs/>
              </w:rPr>
              <w:t xml:space="preserve"> </w:t>
            </w:r>
          </w:p>
          <w:p w:rsidR="00654093" w:rsidRPr="00886A8F" w:rsidRDefault="00654093" w:rsidP="00853C0F">
            <w:pPr>
              <w:pStyle w:val="Textpoznpodarou"/>
              <w:rPr>
                <w:spacing w:val="-2"/>
                <w:lang w:eastAsia="en-US"/>
              </w:rPr>
            </w:pP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důvěry ve stavebnictví</w:t>
            </w:r>
          </w:p>
        </w:tc>
      </w:tr>
      <w:tr w:rsidR="00654093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654093" w:rsidRPr="006D3F53" w:rsidRDefault="00654093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654093" w:rsidRPr="00A74192" w:rsidRDefault="00654093" w:rsidP="00853C0F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654093" w:rsidRPr="00AA4A76" w:rsidRDefault="00B6493D" w:rsidP="00853C0F">
            <w:pPr>
              <w:pStyle w:val="Textpoznpodarou"/>
              <w:ind w:left="-124"/>
              <w:rPr>
                <w:sz w:val="18"/>
                <w:szCs w:val="18"/>
              </w:rPr>
            </w:pPr>
            <w:r w:rsidRPr="00B6493D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49196" cy="3548230"/>
                  <wp:effectExtent l="19050" t="0" r="0" b="0"/>
                  <wp:docPr id="1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B6493D">
              <w:rPr>
                <w:rFonts w:cs="Arial"/>
                <w:sz w:val="14"/>
                <w:szCs w:val="14"/>
              </w:rPr>
              <w:t xml:space="preserve"> </w:t>
            </w:r>
            <w:r w:rsidR="00654093">
              <w:rPr>
                <w:rFonts w:cs="Arial"/>
                <w:sz w:val="14"/>
                <w:szCs w:val="14"/>
              </w:rPr>
              <w:t>*O</w:t>
            </w:r>
            <w:r w:rsidR="00654093" w:rsidRPr="00540CB3">
              <w:rPr>
                <w:rFonts w:cs="Arial"/>
                <w:sz w:val="14"/>
                <w:szCs w:val="14"/>
              </w:rPr>
              <w:t xml:space="preserve">čištěno od vlivu počtu pracovních </w:t>
            </w:r>
            <w:r w:rsidR="00654093">
              <w:rPr>
                <w:rFonts w:cs="Arial"/>
                <w:sz w:val="14"/>
                <w:szCs w:val="14"/>
              </w:rPr>
              <w:t>dnů.</w:t>
            </w:r>
            <w:r w:rsidR="00654093" w:rsidRPr="00540CB3">
              <w:rPr>
                <w:rFonts w:cs="Arial"/>
                <w:sz w:val="14"/>
                <w:szCs w:val="14"/>
              </w:rPr>
              <w:t xml:space="preserve">                                                           </w:t>
            </w:r>
            <w:r w:rsidR="00654093">
              <w:rPr>
                <w:rFonts w:cs="Arial"/>
                <w:sz w:val="14"/>
                <w:szCs w:val="14"/>
              </w:rPr>
              <w:t xml:space="preserve">      </w:t>
            </w:r>
            <w:r>
              <w:rPr>
                <w:rFonts w:cs="Arial"/>
                <w:sz w:val="14"/>
                <w:szCs w:val="14"/>
              </w:rPr>
              <w:t xml:space="preserve">                               </w:t>
            </w:r>
            <w:r w:rsidR="00654093">
              <w:rPr>
                <w:rFonts w:cs="Arial"/>
                <w:sz w:val="14"/>
                <w:szCs w:val="14"/>
              </w:rPr>
              <w:t xml:space="preserve">    </w:t>
            </w:r>
            <w:r w:rsidR="00654093" w:rsidRPr="00540CB3">
              <w:rPr>
                <w:rFonts w:cs="Arial"/>
                <w:sz w:val="14"/>
                <w:szCs w:val="14"/>
              </w:rPr>
              <w:t xml:space="preserve">      </w:t>
            </w:r>
            <w:r w:rsidR="00654093" w:rsidRPr="00540CB3">
              <w:rPr>
                <w:sz w:val="14"/>
                <w:szCs w:val="14"/>
              </w:rPr>
              <w:t>Zdroj: ČSÚ</w:t>
            </w:r>
          </w:p>
        </w:tc>
      </w:tr>
    </w:tbl>
    <w:p w:rsidR="00654093" w:rsidRPr="00654093" w:rsidRDefault="00654093" w:rsidP="00654093">
      <w:pPr>
        <w:pStyle w:val="Textpoznpodarou"/>
        <w:jc w:val="both"/>
        <w:rPr>
          <w:sz w:val="14"/>
          <w:szCs w:val="14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654093" w:rsidRPr="00656A4E" w:rsidTr="00853C0F">
        <w:tc>
          <w:tcPr>
            <w:tcW w:w="1016" w:type="pct"/>
            <w:shd w:val="clear" w:color="auto" w:fill="auto"/>
          </w:tcPr>
          <w:p w:rsidR="00654093" w:rsidRDefault="00654093" w:rsidP="00853C0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Růst tržeb ve vybraných službách výrazně zrychlil. Dařilo se všem hlavním odvětvím.</w:t>
            </w:r>
          </w:p>
        </w:tc>
        <w:tc>
          <w:tcPr>
            <w:tcW w:w="144" w:type="pct"/>
          </w:tcPr>
          <w:p w:rsidR="00654093" w:rsidRPr="00636F97" w:rsidRDefault="00654093" w:rsidP="00853C0F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654093" w:rsidRPr="00B6493D" w:rsidRDefault="00654093" w:rsidP="00853C0F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B6493D">
              <w:rPr>
                <w:color w:val="000000" w:themeColor="text1"/>
                <w:spacing w:val="-4"/>
              </w:rPr>
              <w:t>Růst tržeb ve vybraných službách</w:t>
            </w:r>
            <w:r w:rsidRPr="00B6493D">
              <w:rPr>
                <w:color w:val="000000" w:themeColor="text1"/>
                <w:spacing w:val="-4"/>
                <w:vertAlign w:val="superscript"/>
              </w:rPr>
              <w:footnoteReference w:id="8"/>
            </w:r>
            <w:r w:rsidRPr="00B6493D">
              <w:rPr>
                <w:color w:val="000000" w:themeColor="text1"/>
                <w:spacing w:val="-4"/>
              </w:rPr>
              <w:t xml:space="preserve"> na počátku roku výrazně zrychlil. Zatímco v poslední čtvrtině loňského roku činil meziroční růst tržeb „jen“ 1,6 %, na počátku roku 2017 vystoupal na 5,3 % (nejvíce od konce roku 2007). Následující čtvrtletí tento pozitivní vývoj potvrdilo (+5,7 %). V obou letošních čtvrtletích přispívaly k růstu všechny sledované o</w:t>
            </w:r>
            <w:r w:rsidR="00B6493D">
              <w:rPr>
                <w:color w:val="000000" w:themeColor="text1"/>
                <w:spacing w:val="-4"/>
              </w:rPr>
              <w:t>dvětvové sekce služeb. N</w:t>
            </w:r>
            <w:r w:rsidRPr="00B6493D">
              <w:rPr>
                <w:color w:val="000000" w:themeColor="text1"/>
                <w:spacing w:val="-4"/>
              </w:rPr>
              <w:t>a počátku r</w:t>
            </w:r>
            <w:r w:rsidR="00D9266B" w:rsidRPr="00B6493D">
              <w:rPr>
                <w:color w:val="000000" w:themeColor="text1"/>
                <w:spacing w:val="-4"/>
              </w:rPr>
              <w:t>oku byly služby taženy hlavně</w:t>
            </w:r>
            <w:r w:rsidRPr="00B6493D">
              <w:rPr>
                <w:color w:val="000000" w:themeColor="text1"/>
                <w:spacing w:val="-4"/>
              </w:rPr>
              <w:t xml:space="preserve"> váhově nejsilněj</w:t>
            </w:r>
            <w:r w:rsidR="00D9266B" w:rsidRPr="00B6493D">
              <w:rPr>
                <w:color w:val="000000" w:themeColor="text1"/>
                <w:spacing w:val="-4"/>
              </w:rPr>
              <w:t>ším odvětvím</w:t>
            </w:r>
            <w:r w:rsidRPr="00B6493D">
              <w:rPr>
                <w:color w:val="000000" w:themeColor="text1"/>
                <w:spacing w:val="-4"/>
              </w:rPr>
              <w:t xml:space="preserve"> – dopravou a skladováním (s téměř třetinový</w:t>
            </w:r>
            <w:r w:rsidR="00B6493D">
              <w:rPr>
                <w:color w:val="000000" w:themeColor="text1"/>
                <w:spacing w:val="-4"/>
              </w:rPr>
              <w:t>m příspěvkem k celkovému růstu).</w:t>
            </w:r>
            <w:r w:rsidRPr="00B6493D">
              <w:rPr>
                <w:color w:val="000000" w:themeColor="text1"/>
                <w:spacing w:val="-4"/>
              </w:rPr>
              <w:t xml:space="preserve"> </w:t>
            </w:r>
            <w:r w:rsidR="00B6493D">
              <w:rPr>
                <w:color w:val="000000" w:themeColor="text1"/>
                <w:spacing w:val="-4"/>
              </w:rPr>
              <w:t>V</w:t>
            </w:r>
            <w:r w:rsidR="00D9266B" w:rsidRPr="00B6493D">
              <w:rPr>
                <w:color w:val="000000" w:themeColor="text1"/>
                <w:spacing w:val="-4"/>
              </w:rPr>
              <w:t>e 2. čtvrtletí role tohoto odvětví oslabila ve prospěch</w:t>
            </w:r>
            <w:r w:rsidRPr="00B6493D">
              <w:rPr>
                <w:color w:val="000000" w:themeColor="text1"/>
                <w:spacing w:val="-4"/>
              </w:rPr>
              <w:t xml:space="preserve"> inform</w:t>
            </w:r>
            <w:r w:rsidR="00D9266B" w:rsidRPr="00B6493D">
              <w:rPr>
                <w:color w:val="000000" w:themeColor="text1"/>
                <w:spacing w:val="-4"/>
              </w:rPr>
              <w:t>ačních a komunikačních činností a též ubytování, stravování a pohostinství.</w:t>
            </w:r>
            <w:r w:rsidRPr="00B6493D">
              <w:rPr>
                <w:color w:val="000000" w:themeColor="text1"/>
                <w:spacing w:val="-4"/>
              </w:rPr>
              <w:t xml:space="preserve"> </w:t>
            </w:r>
          </w:p>
          <w:p w:rsidR="00654093" w:rsidRPr="00654093" w:rsidRDefault="00654093" w:rsidP="00853C0F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654093" w:rsidRPr="00156294" w:rsidTr="00853C0F">
        <w:tc>
          <w:tcPr>
            <w:tcW w:w="1016" w:type="pct"/>
            <w:shd w:val="clear" w:color="auto" w:fill="auto"/>
          </w:tcPr>
          <w:p w:rsidR="00654093" w:rsidRPr="00FB051E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 w:rsidRPr="00FB051E">
              <w:rPr>
                <w:color w:val="0D0D0D" w:themeColor="text1" w:themeTint="F2"/>
                <w:spacing w:val="-2"/>
                <w:sz w:val="16"/>
                <w:szCs w:val="16"/>
              </w:rPr>
              <w:t>Tržby v letecké dopravě výrazně ožily, rostly nejvyšším tempem po roce 2005.</w:t>
            </w:r>
          </w:p>
          <w:p w:rsidR="00654093" w:rsidRPr="00FB051E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color w:val="0D0D0D" w:themeColor="text1" w:themeTint="F2"/>
                <w:spacing w:val="-2"/>
                <w:sz w:val="16"/>
                <w:szCs w:val="16"/>
              </w:rPr>
              <w:t>Rozvoj</w:t>
            </w:r>
            <w:r w:rsidRPr="00FB051E">
              <w:rPr>
                <w:color w:val="0D0D0D" w:themeColor="text1" w:themeTint="F2"/>
                <w:spacing w:val="-2"/>
                <w:sz w:val="16"/>
                <w:szCs w:val="16"/>
              </w:rPr>
              <w:t xml:space="preserve"> cestovního ruchu se odrazil také ve vysokém růstu tržeb v ubytování, stravování a pohostinství.</w:t>
            </w:r>
          </w:p>
          <w:p w:rsidR="00654093" w:rsidRPr="00FB051E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color w:val="0D0D0D" w:themeColor="text1" w:themeTint="F2"/>
                <w:spacing w:val="-2"/>
                <w:sz w:val="16"/>
                <w:szCs w:val="16"/>
              </w:rPr>
              <w:lastRenderedPageBreak/>
              <w:t>Sílila poptávka po informačních a</w:t>
            </w:r>
            <w:r w:rsidRPr="00FB051E">
              <w:rPr>
                <w:color w:val="0D0D0D" w:themeColor="text1" w:themeTint="F2"/>
                <w:spacing w:val="-2"/>
                <w:sz w:val="16"/>
                <w:szCs w:val="16"/>
              </w:rPr>
              <w:t> </w:t>
            </w:r>
            <w:r>
              <w:rPr>
                <w:color w:val="0D0D0D" w:themeColor="text1" w:themeTint="F2"/>
                <w:spacing w:val="-2"/>
                <w:sz w:val="16"/>
                <w:szCs w:val="16"/>
              </w:rPr>
              <w:t>komunikačních činnostech. Dlouhodobě se dařilo i pracovním agenturám.</w:t>
            </w: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Pr="00932899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Pr="00932899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color w:val="0D0D0D" w:themeColor="text1" w:themeTint="F2"/>
                <w:spacing w:val="-2"/>
                <w:sz w:val="16"/>
                <w:szCs w:val="16"/>
              </w:rPr>
              <w:t>Růst zakázek ve stavebnictví se projevil také vyšší poptávkou po projektových činnostech.  Tržby architektonických a</w:t>
            </w:r>
            <w:r w:rsidRPr="00FB051E">
              <w:rPr>
                <w:color w:val="0D0D0D" w:themeColor="text1" w:themeTint="F2"/>
                <w:spacing w:val="-2"/>
                <w:sz w:val="16"/>
                <w:szCs w:val="16"/>
              </w:rPr>
              <w:t> </w:t>
            </w:r>
            <w:r>
              <w:rPr>
                <w:color w:val="0D0D0D" w:themeColor="text1" w:themeTint="F2"/>
                <w:spacing w:val="-2"/>
                <w:sz w:val="16"/>
                <w:szCs w:val="16"/>
              </w:rPr>
              <w:t>inženýrských činností po šesti čtvrtletích opět vzrostly.</w:t>
            </w:r>
          </w:p>
          <w:p w:rsidR="00654093" w:rsidRPr="005B2702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654093" w:rsidRPr="005B2702" w:rsidRDefault="00654093" w:rsidP="00853C0F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654093" w:rsidRPr="00787688" w:rsidRDefault="00654093" w:rsidP="00853C0F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 xml:space="preserve">Tržby v dopravě a skladování rostly letos oproti 1. pololetí 2016 o 4,6 %. Příznivějšího výsledku dosáhly všechny druhy dopravy. Z nich vyčnívala především vleklou recesí silně zasažená letecká doprava, jež zaznamenala nejlepší výsledek (+14,9 %) po roce 2005. Dařilo se i skladování a vedlejším činnostem v dopravě (+5,3 %), které díky úzké vazbě na průmysl patří dlouhodobě k nejdynamičtější oblasti služeb. Silný růst vykázalo také ubytování (+11,9 %) spolu se stravováním a pohostinstvím (13,2 %). Obě odvětví těžila z rostoucí spotřeby domácností doplněné rozvojem příjezdového cestovního ruchu. V samotném 2. čtvrtletí vzrostl počet přenocování nerezidentů </w:t>
            </w:r>
            <w:r>
              <w:rPr>
                <w:spacing w:val="-4"/>
              </w:rPr>
              <w:lastRenderedPageBreak/>
              <w:t>v hromadných ubytovacích zařízeních o 15,6 %. O 4,4 % posílily v 1. pololetí také informační a komunikační činnosti, kde dlouhodobě roste poptávka zejména po zpracování</w:t>
            </w:r>
            <w:r w:rsidRPr="00B24AF0">
              <w:rPr>
                <w:spacing w:val="-4"/>
              </w:rPr>
              <w:t xml:space="preserve"> dat</w:t>
            </w:r>
            <w:r>
              <w:rPr>
                <w:spacing w:val="-4"/>
              </w:rPr>
              <w:t xml:space="preserve">, webových portálech a </w:t>
            </w:r>
            <w:proofErr w:type="spellStart"/>
            <w:r>
              <w:rPr>
                <w:spacing w:val="-4"/>
              </w:rPr>
              <w:t>hostingu</w:t>
            </w:r>
            <w:proofErr w:type="spellEnd"/>
            <w:r>
              <w:rPr>
                <w:spacing w:val="-4"/>
              </w:rPr>
              <w:t>, programování a poradenství v oblasti IT. Opačně na tom byl filmový a hudební průmysl, ve kterém se letos tržby o osminu snížily. V odvětví profesní, vědecké a technické činnosti tržby posílily o 3,2 % a zazna</w:t>
            </w:r>
            <w:r w:rsidR="004A26AF">
              <w:rPr>
                <w:spacing w:val="-4"/>
              </w:rPr>
              <w:t>menaly také v rámci prvních pololetí</w:t>
            </w:r>
            <w:r>
              <w:rPr>
                <w:spacing w:val="-4"/>
              </w:rPr>
              <w:t xml:space="preserve"> teprve druhý meziroční růst po roce 2008. K letošnímu růstu v tomto odvětví přispěly se stavebnictvím silně provázané </w:t>
            </w:r>
            <w:r>
              <w:rPr>
                <w:color w:val="000000" w:themeColor="text1"/>
                <w:spacing w:val="-4"/>
              </w:rPr>
              <w:t>architektonické</w:t>
            </w:r>
            <w:r w:rsidRPr="007B2C32">
              <w:rPr>
                <w:color w:val="000000" w:themeColor="text1"/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Pr="007B2C32">
              <w:rPr>
                <w:color w:val="000000" w:themeColor="text1"/>
                <w:spacing w:val="-4"/>
              </w:rPr>
              <w:t>inženýrské činnost</w:t>
            </w:r>
            <w:r>
              <w:rPr>
                <w:color w:val="000000" w:themeColor="text1"/>
                <w:spacing w:val="-4"/>
              </w:rPr>
              <w:t>i, které ožily po šesti čtvrtletích nepříznivého vývoje. V 1. pololetí výrazně vzrostla poptávka také po fotografických, návrhářských, překladatelských činnostech (+8,5 %). Pokračoval dynamický růst tržeb za průzkum tr</w:t>
            </w:r>
            <w:r w:rsidR="00D9640A">
              <w:rPr>
                <w:color w:val="000000" w:themeColor="text1"/>
                <w:spacing w:val="-4"/>
              </w:rPr>
              <w:t>hu a veřejného mínění, naopak</w:t>
            </w:r>
            <w:r>
              <w:rPr>
                <w:color w:val="000000" w:themeColor="text1"/>
                <w:spacing w:val="-4"/>
              </w:rPr>
              <w:t xml:space="preserve"> reklamní činnosti spíše stagnovaly. O téměř desetinu letos vzrostly tržby v odvětví administrativní a podpůrné činnosti, kde se tradičně dařilo zejména pracovním agenturám (+17,3 %). Výrazně ožily cestovní agentury, kanceláře</w:t>
            </w:r>
            <w:r w:rsidRPr="004825E9">
              <w:rPr>
                <w:color w:val="000000" w:themeColor="text1"/>
                <w:spacing w:val="-4"/>
              </w:rPr>
              <w:t xml:space="preserve"> a jiné rezervační a související činnosti</w:t>
            </w:r>
            <w:r>
              <w:rPr>
                <w:color w:val="000000" w:themeColor="text1"/>
                <w:spacing w:val="-4"/>
              </w:rPr>
              <w:t xml:space="preserve">, které dosáhly nejlepšího výsledku (13,2 %) za posledních deset let. Proti vrcholu konjunktury (1. pololetí 2008) byly však jejich letošní tržby stále o více než čtvrtinu slabší. </w:t>
            </w:r>
          </w:p>
        </w:tc>
      </w:tr>
    </w:tbl>
    <w:p w:rsidR="00654093" w:rsidRPr="00535F78" w:rsidRDefault="00654093" w:rsidP="00654093">
      <w:pPr>
        <w:pStyle w:val="Textpoznpodarou"/>
        <w:jc w:val="both"/>
        <w:rPr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980"/>
        <w:gridCol w:w="6520"/>
      </w:tblGrid>
      <w:tr w:rsidR="00654093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654093" w:rsidRPr="00AA4A76" w:rsidRDefault="00654093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654093" w:rsidRPr="00AA4A76" w:rsidRDefault="00654093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01" w:type="pct"/>
          </w:tcPr>
          <w:p w:rsidR="00654093" w:rsidRPr="00E62A33" w:rsidRDefault="00654093" w:rsidP="00853C0F">
            <w:pPr>
              <w:pStyle w:val="Textpoznpodarou"/>
              <w:jc w:val="both"/>
              <w:rPr>
                <w:spacing w:val="-2"/>
                <w:highlight w:val="yellow"/>
              </w:rPr>
            </w:pPr>
            <w:r w:rsidRPr="00E62A33">
              <w:rPr>
                <w:color w:val="000000"/>
                <w:spacing w:val="-2"/>
              </w:rPr>
              <w:t>Graf č. 8</w:t>
            </w:r>
          </w:p>
        </w:tc>
        <w:tc>
          <w:tcPr>
            <w:tcW w:w="3333" w:type="pct"/>
          </w:tcPr>
          <w:p w:rsidR="00654093" w:rsidRDefault="00654093" w:rsidP="00853C0F">
            <w:pPr>
              <w:pStyle w:val="Textpoznpodarou"/>
              <w:rPr>
                <w:b/>
                <w:spacing w:val="-2"/>
              </w:rPr>
            </w:pPr>
            <w:r>
              <w:rPr>
                <w:b/>
                <w:spacing w:val="-2"/>
              </w:rPr>
              <w:t>Tržby ve službách* a jejich vybraných odvětvových sekcích</w:t>
            </w:r>
            <w:r w:rsidRPr="00E62A33">
              <w:rPr>
                <w:b/>
                <w:spacing w:val="-2"/>
              </w:rPr>
              <w:t xml:space="preserve"> </w:t>
            </w:r>
          </w:p>
          <w:p w:rsidR="00654093" w:rsidRPr="00E62A33" w:rsidRDefault="00654093" w:rsidP="00853C0F">
            <w:pPr>
              <w:pStyle w:val="Textpoznpodarou"/>
              <w:rPr>
                <w:spacing w:val="-2"/>
                <w:lang w:eastAsia="en-US"/>
              </w:rPr>
            </w:pPr>
            <w:r w:rsidRPr="00E62A33">
              <w:rPr>
                <w:bCs/>
                <w:spacing w:val="-2"/>
              </w:rPr>
              <w:t xml:space="preserve">(reálně, </w:t>
            </w:r>
            <w:r w:rsidRPr="00E62A33">
              <w:rPr>
                <w:rFonts w:cs="Arial"/>
                <w:spacing w:val="-2"/>
              </w:rPr>
              <w:t xml:space="preserve">očištěno od vlivu počtu pracovních dnů,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 %)</w:t>
            </w:r>
          </w:p>
        </w:tc>
      </w:tr>
      <w:tr w:rsidR="00654093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654093" w:rsidRPr="006D3F53" w:rsidRDefault="00654093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654093" w:rsidRPr="00A74192" w:rsidRDefault="00654093" w:rsidP="00853C0F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654093" w:rsidRPr="00E62A33" w:rsidRDefault="00654093" w:rsidP="00853C0F">
            <w:pPr>
              <w:pStyle w:val="Textpoznpodarou"/>
              <w:ind w:left="-124"/>
              <w:rPr>
                <w:sz w:val="16"/>
                <w:szCs w:val="16"/>
              </w:rPr>
            </w:pPr>
            <w:r w:rsidRPr="00A84D8E">
              <w:rPr>
                <w:noProof/>
                <w:color w:val="0D0D0D" w:themeColor="text1" w:themeTint="F2"/>
                <w:spacing w:val="-4"/>
                <w:sz w:val="14"/>
                <w:szCs w:val="14"/>
              </w:rPr>
              <w:drawing>
                <wp:inline distT="0" distB="0" distL="0" distR="0">
                  <wp:extent cx="4785863" cy="3459192"/>
                  <wp:effectExtent l="19050" t="0" r="0" b="0"/>
                  <wp:docPr id="2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Pr="00612A06">
              <w:rPr>
                <w:color w:val="0D0D0D" w:themeColor="text1" w:themeTint="F2"/>
                <w:spacing w:val="-4"/>
                <w:sz w:val="14"/>
                <w:szCs w:val="14"/>
              </w:rPr>
              <w:t>*Bez obchodu, peněžnictví, poji</w:t>
            </w:r>
            <w:r>
              <w:rPr>
                <w:color w:val="0D0D0D" w:themeColor="text1" w:themeTint="F2"/>
                <w:spacing w:val="-4"/>
                <w:sz w:val="14"/>
                <w:szCs w:val="14"/>
              </w:rPr>
              <w:t>šťovnictví, vědy, výzkumu a veřejných</w:t>
            </w:r>
            <w:r w:rsidRPr="00612A06">
              <w:rPr>
                <w:color w:val="0D0D0D" w:themeColor="text1" w:themeTint="F2"/>
                <w:spacing w:val="-4"/>
                <w:sz w:val="14"/>
                <w:szCs w:val="14"/>
              </w:rPr>
              <w:t xml:space="preserve"> služeb.      </w:t>
            </w:r>
            <w:r>
              <w:rPr>
                <w:color w:val="0D0D0D" w:themeColor="text1" w:themeTint="F2"/>
                <w:spacing w:val="-4"/>
                <w:sz w:val="14"/>
                <w:szCs w:val="14"/>
              </w:rPr>
              <w:t xml:space="preserve">                                                </w:t>
            </w:r>
            <w:r w:rsidRPr="00612A06">
              <w:rPr>
                <w:color w:val="0D0D0D" w:themeColor="text1" w:themeTint="F2"/>
                <w:spacing w:val="-4"/>
                <w:sz w:val="14"/>
                <w:szCs w:val="14"/>
              </w:rPr>
              <w:t xml:space="preserve">         </w:t>
            </w:r>
            <w:r w:rsidRPr="00E62A33">
              <w:rPr>
                <w:sz w:val="14"/>
                <w:szCs w:val="14"/>
              </w:rPr>
              <w:t>Zdroj: ČSÚ</w:t>
            </w:r>
          </w:p>
        </w:tc>
      </w:tr>
    </w:tbl>
    <w:p w:rsidR="00654093" w:rsidRPr="00787688" w:rsidRDefault="00654093" w:rsidP="00654093">
      <w:pPr>
        <w:pStyle w:val="Textpoznpodarou"/>
        <w:jc w:val="both"/>
        <w:rPr>
          <w:sz w:val="15"/>
          <w:szCs w:val="15"/>
        </w:rPr>
      </w:pPr>
    </w:p>
    <w:tbl>
      <w:tblPr>
        <w:tblW w:w="4986" w:type="pct"/>
        <w:tblInd w:w="107" w:type="dxa"/>
        <w:tblLayout w:type="fixed"/>
        <w:tblLook w:val="00A0"/>
      </w:tblPr>
      <w:tblGrid>
        <w:gridCol w:w="1997"/>
        <w:gridCol w:w="283"/>
        <w:gridCol w:w="7546"/>
      </w:tblGrid>
      <w:tr w:rsidR="00654093" w:rsidRPr="006C5BE9" w:rsidTr="00853C0F">
        <w:tc>
          <w:tcPr>
            <w:tcW w:w="1016" w:type="pct"/>
            <w:shd w:val="clear" w:color="auto" w:fill="auto"/>
          </w:tcPr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 w:rsidRPr="00424344">
              <w:rPr>
                <w:color w:val="0D0D0D" w:themeColor="text1" w:themeTint="F2"/>
                <w:spacing w:val="-2"/>
                <w:sz w:val="16"/>
                <w:szCs w:val="16"/>
              </w:rPr>
              <w:t xml:space="preserve">Růst maloobchodních tržeb byl v posledních </w:t>
            </w:r>
            <w:r>
              <w:rPr>
                <w:color w:val="0D0D0D" w:themeColor="text1" w:themeTint="F2"/>
                <w:spacing w:val="-2"/>
                <w:sz w:val="16"/>
                <w:szCs w:val="16"/>
              </w:rPr>
              <w:t xml:space="preserve">dvou a půl letech </w:t>
            </w:r>
            <w:r w:rsidRPr="00424344">
              <w:rPr>
                <w:color w:val="0D0D0D" w:themeColor="text1" w:themeTint="F2"/>
                <w:spacing w:val="-2"/>
                <w:sz w:val="16"/>
                <w:szCs w:val="16"/>
              </w:rPr>
              <w:t>stabilní, mírně kolísal těsně p</w:t>
            </w:r>
            <w:r>
              <w:rPr>
                <w:color w:val="0D0D0D" w:themeColor="text1" w:themeTint="F2"/>
                <w:spacing w:val="-2"/>
                <w:sz w:val="16"/>
                <w:szCs w:val="16"/>
              </w:rPr>
              <w:t>o</w:t>
            </w:r>
            <w:r w:rsidRPr="00424344">
              <w:rPr>
                <w:color w:val="0D0D0D" w:themeColor="text1" w:themeTint="F2"/>
                <w:spacing w:val="-2"/>
                <w:sz w:val="16"/>
                <w:szCs w:val="16"/>
              </w:rPr>
              <w:t>d 6% hranicí.</w:t>
            </w: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654093" w:rsidRPr="00424344" w:rsidRDefault="00654093" w:rsidP="00853C0F">
            <w:pPr>
              <w:spacing w:line="240" w:lineRule="auto"/>
              <w:rPr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color w:val="0D0D0D" w:themeColor="text1" w:themeTint="F2"/>
                <w:spacing w:val="-2"/>
                <w:sz w:val="16"/>
                <w:szCs w:val="16"/>
              </w:rPr>
              <w:t xml:space="preserve">Tempo růstu tržeb za </w:t>
            </w:r>
            <w:proofErr w:type="spellStart"/>
            <w:r>
              <w:rPr>
                <w:color w:val="0D0D0D" w:themeColor="text1" w:themeTint="F2"/>
                <w:spacing w:val="-2"/>
                <w:sz w:val="16"/>
                <w:szCs w:val="16"/>
              </w:rPr>
              <w:t>nepotravinářské</w:t>
            </w:r>
            <w:proofErr w:type="spellEnd"/>
            <w:r>
              <w:rPr>
                <w:color w:val="0D0D0D" w:themeColor="text1" w:themeTint="F2"/>
                <w:spacing w:val="-2"/>
                <w:sz w:val="16"/>
                <w:szCs w:val="16"/>
              </w:rPr>
              <w:t xml:space="preserve"> zboží vystoupalo nejvýše za posledních deset let. Pokračoval i dynamický růst internetového prodeje.</w:t>
            </w:r>
          </w:p>
          <w:p w:rsidR="00654093" w:rsidRPr="005B2702" w:rsidRDefault="00654093" w:rsidP="00853C0F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654093" w:rsidRPr="005B2702" w:rsidRDefault="00654093" w:rsidP="00853C0F">
            <w:pPr>
              <w:rPr>
                <w:spacing w:val="-4"/>
                <w:szCs w:val="20"/>
              </w:rPr>
            </w:pPr>
          </w:p>
        </w:tc>
        <w:tc>
          <w:tcPr>
            <w:tcW w:w="3840" w:type="pct"/>
          </w:tcPr>
          <w:p w:rsidR="00654093" w:rsidRPr="005F5129" w:rsidRDefault="00654093" w:rsidP="004A26AF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 xml:space="preserve">Z pohledu zaměstnanců </w:t>
            </w:r>
            <w:r w:rsidR="00D9640A">
              <w:rPr>
                <w:spacing w:val="-4"/>
              </w:rPr>
              <w:t xml:space="preserve">se </w:t>
            </w:r>
            <w:r>
              <w:rPr>
                <w:spacing w:val="-4"/>
              </w:rPr>
              <w:t>velmi přízni</w:t>
            </w:r>
            <w:r w:rsidR="00D9640A">
              <w:rPr>
                <w:spacing w:val="-4"/>
              </w:rPr>
              <w:t xml:space="preserve">vá situace na pracovním trhu </w:t>
            </w:r>
            <w:r>
              <w:rPr>
                <w:spacing w:val="-4"/>
              </w:rPr>
              <w:t xml:space="preserve">odrážela ve svižném růstu disponibilních příjmů domácností. Tento faktor společně s více než dva roky trvajícím optimistickým naladěním spotřebitelů vyústil </w:t>
            </w:r>
            <w:r w:rsidR="00B77FB7">
              <w:rPr>
                <w:spacing w:val="-4"/>
              </w:rPr>
              <w:t>ve vysokých tempech</w:t>
            </w:r>
            <w:r>
              <w:rPr>
                <w:spacing w:val="-4"/>
              </w:rPr>
              <w:t xml:space="preserve"> růstu maloobchodních tržeb. Ty v 1. čtvrtletí meziročně vzrostly o 5,7 %, ve 2. čtvrtletí o 6,5 %</w:t>
            </w:r>
            <w:r>
              <w:rPr>
                <w:rStyle w:val="Znakapoznpodarou"/>
                <w:spacing w:val="-4"/>
              </w:rPr>
              <w:footnoteReference w:id="9"/>
            </w:r>
            <w:r>
              <w:rPr>
                <w:spacing w:val="-4"/>
              </w:rPr>
              <w:t xml:space="preserve">. </w:t>
            </w:r>
            <w:r w:rsidR="004A26AF">
              <w:rPr>
                <w:spacing w:val="-4"/>
              </w:rPr>
              <w:t xml:space="preserve">O téměř čtvrtinu více stržili internetoví prodejci. </w:t>
            </w:r>
            <w:r>
              <w:rPr>
                <w:spacing w:val="-4"/>
              </w:rPr>
              <w:t xml:space="preserve">Maloobchod tradičně táhly váhově nejvýznamnější tržby za </w:t>
            </w:r>
            <w:proofErr w:type="spellStart"/>
            <w:r>
              <w:rPr>
                <w:spacing w:val="-4"/>
              </w:rPr>
              <w:t>nepotravinářské</w:t>
            </w:r>
            <w:proofErr w:type="spellEnd"/>
            <w:r>
              <w:rPr>
                <w:spacing w:val="-4"/>
              </w:rPr>
              <w:t xml:space="preserve"> zboží, jejichž růst se během roku vyšplhal až na 9,4 % (ve 2. čtvrtletí) a dosáhl nejvyššího tempa od konce roku 2007. V 1. pololetí se dařilo hlavně prodeji počítačového a komunikačního zařízení, výrobkům</w:t>
            </w:r>
            <w:r w:rsidRPr="00C20A0D">
              <w:rPr>
                <w:spacing w:val="-4"/>
              </w:rPr>
              <w:t xml:space="preserve"> pro kulturu a rekreaci</w:t>
            </w:r>
            <w:r w:rsidR="00BA6D2C">
              <w:rPr>
                <w:spacing w:val="-4"/>
              </w:rPr>
              <w:t>. Výrazně</w:t>
            </w:r>
            <w:r>
              <w:rPr>
                <w:spacing w:val="-4"/>
              </w:rPr>
              <w:t xml:space="preserve"> ožil také maloobchod s </w:t>
            </w:r>
            <w:r w:rsidRPr="00C20A0D">
              <w:rPr>
                <w:spacing w:val="-4"/>
              </w:rPr>
              <w:t>odě</w:t>
            </w:r>
            <w:r w:rsidR="00BA6D2C">
              <w:rPr>
                <w:spacing w:val="-4"/>
              </w:rPr>
              <w:t>vy, obuví a </w:t>
            </w:r>
            <w:r w:rsidRPr="00C20A0D">
              <w:rPr>
                <w:spacing w:val="-4"/>
              </w:rPr>
              <w:t>koženým zbožím</w:t>
            </w:r>
            <w:r>
              <w:rPr>
                <w:spacing w:val="-4"/>
              </w:rPr>
              <w:t xml:space="preserve"> (10,6 %). </w:t>
            </w:r>
            <w:r w:rsidRPr="009034AA">
              <w:rPr>
                <w:color w:val="000000" w:themeColor="text1"/>
                <w:spacing w:val="-4"/>
              </w:rPr>
              <w:t xml:space="preserve">Tržby za potraviny </w:t>
            </w:r>
            <w:r>
              <w:rPr>
                <w:color w:val="000000" w:themeColor="text1"/>
                <w:spacing w:val="-4"/>
              </w:rPr>
              <w:t>proti tempům z první poloviny loňského roku letos ubraly (na +2,4 %), totéž platilo i pro prodejce pohonných hmot (+4,8 %, z loňských +7,2 %). Celkové maloobchodní tržby rostly v ČR v 1. pololetí víc</w:t>
            </w:r>
            <w:r w:rsidR="00D9640A">
              <w:rPr>
                <w:color w:val="000000" w:themeColor="text1"/>
                <w:spacing w:val="-4"/>
              </w:rPr>
              <w:t xml:space="preserve">e než dvojnásobným tempem k </w:t>
            </w:r>
            <w:r>
              <w:rPr>
                <w:color w:val="000000" w:themeColor="text1"/>
                <w:spacing w:val="-4"/>
              </w:rPr>
              <w:t xml:space="preserve">EU (+2,7 %). </w:t>
            </w:r>
            <w:r w:rsidRPr="00E533B7">
              <w:rPr>
                <w:color w:val="0D0D0D" w:themeColor="text1" w:themeTint="F2"/>
                <w:spacing w:val="-4"/>
              </w:rPr>
              <w:t>Česko se tak zařadilo v pořadí zemí na šesté místo</w:t>
            </w:r>
            <w:r>
              <w:rPr>
                <w:color w:val="0D0D0D" w:themeColor="text1" w:themeTint="F2"/>
                <w:spacing w:val="-4"/>
              </w:rPr>
              <w:t xml:space="preserve"> (u </w:t>
            </w:r>
            <w:proofErr w:type="spellStart"/>
            <w:r>
              <w:rPr>
                <w:color w:val="0D0D0D" w:themeColor="text1" w:themeTint="F2"/>
                <w:spacing w:val="-4"/>
              </w:rPr>
              <w:t>nepotravinářského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zboží na čtvrté). Těžiště růstu v EU bylo soustředěno v zemích střední a východní Evropy. V Německu i Francii maloobchod rostl mírně přes 3 %, růst pod 1,5 % zaznamenaly Belgie, Dánsko, Itálie a Španělsko.</w:t>
            </w:r>
          </w:p>
        </w:tc>
      </w:tr>
    </w:tbl>
    <w:p w:rsidR="00813CB4" w:rsidRPr="00654093" w:rsidRDefault="00813CB4" w:rsidP="00492991">
      <w:pPr>
        <w:pStyle w:val="Textpoznpodarou"/>
        <w:jc w:val="both"/>
        <w:rPr>
          <w:sz w:val="2"/>
          <w:szCs w:val="2"/>
        </w:rPr>
      </w:pPr>
    </w:p>
    <w:sectPr w:rsidR="00813CB4" w:rsidRPr="00654093" w:rsidSect="00A655B3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8F" w:rsidRDefault="00C2348F" w:rsidP="00E71A58">
      <w:r>
        <w:separator/>
      </w:r>
    </w:p>
  </w:endnote>
  <w:endnote w:type="continuationSeparator" w:id="0">
    <w:p w:rsidR="00C2348F" w:rsidRDefault="00C2348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050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3F6050" w:rsidRPr="005A21E0">
      <w:rPr>
        <w:rFonts w:ascii="Arial" w:hAnsi="Arial" w:cs="Arial"/>
        <w:sz w:val="16"/>
        <w:szCs w:val="16"/>
      </w:rPr>
      <w:fldChar w:fldCharType="separate"/>
    </w:r>
    <w:r w:rsidR="00A655B3">
      <w:rPr>
        <w:rFonts w:ascii="Arial" w:hAnsi="Arial" w:cs="Arial"/>
        <w:noProof/>
        <w:sz w:val="16"/>
        <w:szCs w:val="16"/>
      </w:rPr>
      <w:t>12</w:t>
    </w:r>
    <w:r w:rsidR="003F6050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23F6C" w:rsidRPr="00223E00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3F6050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3F6050" w:rsidRPr="00223E00">
      <w:rPr>
        <w:rFonts w:ascii="Arial" w:hAnsi="Arial" w:cs="Arial"/>
        <w:sz w:val="16"/>
        <w:szCs w:val="16"/>
      </w:rPr>
      <w:fldChar w:fldCharType="separate"/>
    </w:r>
    <w:r w:rsidR="00A655B3">
      <w:rPr>
        <w:rFonts w:ascii="Arial" w:hAnsi="Arial" w:cs="Arial"/>
        <w:noProof/>
        <w:sz w:val="16"/>
        <w:szCs w:val="16"/>
      </w:rPr>
      <w:t>13</w:t>
    </w:r>
    <w:r w:rsidR="003F6050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8F" w:rsidRDefault="00C2348F" w:rsidP="00E71A58">
      <w:r>
        <w:separator/>
      </w:r>
    </w:p>
  </w:footnote>
  <w:footnote w:type="continuationSeparator" w:id="0">
    <w:p w:rsidR="00C2348F" w:rsidRDefault="00C2348F" w:rsidP="00E71A58">
      <w:r>
        <w:continuationSeparator/>
      </w:r>
    </w:p>
  </w:footnote>
  <w:footnote w:id="1">
    <w:p w:rsidR="00F23F6C" w:rsidRPr="00670182" w:rsidRDefault="00F23F6C" w:rsidP="00654093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67018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670182">
        <w:rPr>
          <w:color w:val="0D0D0D" w:themeColor="text1" w:themeTint="F2"/>
          <w:spacing w:val="-2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2">
    <w:p w:rsidR="00F23F6C" w:rsidRPr="00670182" w:rsidRDefault="00F23F6C" w:rsidP="00654093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67018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670182">
        <w:rPr>
          <w:color w:val="0D0D0D" w:themeColor="text1" w:themeTint="F2"/>
          <w:spacing w:val="-2"/>
          <w:sz w:val="16"/>
          <w:szCs w:val="16"/>
        </w:rPr>
        <w:t xml:space="preserve"> Zahrnutá odvětví: Těžba a dobývání, Zpracovatelský průmysl, Energetika. Všechna meziroční tempa produkce (na úrovni odvětvových sekcí i oddílů) jsou očištěna o kalendářní vlivy.</w:t>
      </w:r>
    </w:p>
  </w:footnote>
  <w:footnote w:id="3">
    <w:p w:rsidR="00F23F6C" w:rsidRPr="00342F9F" w:rsidRDefault="00F23F6C" w:rsidP="00654093">
      <w:pPr>
        <w:pStyle w:val="Textpoznpodarou"/>
        <w:jc w:val="both"/>
        <w:rPr>
          <w:sz w:val="16"/>
          <w:szCs w:val="16"/>
        </w:rPr>
      </w:pPr>
      <w:r w:rsidRPr="00670182">
        <w:rPr>
          <w:rStyle w:val="Znakapoznpodarou"/>
          <w:spacing w:val="-2"/>
          <w:sz w:val="16"/>
          <w:szCs w:val="16"/>
        </w:rPr>
        <w:footnoteRef/>
      </w:r>
      <w:r w:rsidRPr="00670182">
        <w:rPr>
          <w:spacing w:val="-2"/>
          <w:sz w:val="16"/>
          <w:szCs w:val="16"/>
        </w:rPr>
        <w:t xml:space="preserve"> V obou letošních čtvrtletích se do výkonu průmyslu výrazně promítaly kalendářní vlivy. V 1. čtvrtletí bylo meziročně o tři pracovní dny více, ve 2. čtvrtletí naopak o čtyři dny méně. Bez očištění o tyto vlivy činil na počátku roku 2017 růst průmyslu 7,5 %, v následujícím čtvrtletí jen 3,2 %. Rozdíl mezi očištěnou a neočištěnou produkcí byl ve 2. čtvrtletí (3,6 </w:t>
      </w:r>
      <w:proofErr w:type="spellStart"/>
      <w:proofErr w:type="gramStart"/>
      <w:r w:rsidRPr="00670182">
        <w:rPr>
          <w:spacing w:val="-2"/>
          <w:sz w:val="16"/>
          <w:szCs w:val="16"/>
        </w:rPr>
        <w:t>p.b</w:t>
      </w:r>
      <w:proofErr w:type="spellEnd"/>
      <w:r w:rsidRPr="00670182">
        <w:rPr>
          <w:spacing w:val="-2"/>
          <w:sz w:val="16"/>
          <w:szCs w:val="16"/>
        </w:rPr>
        <w:t>.) nejv</w:t>
      </w:r>
      <w:r>
        <w:rPr>
          <w:spacing w:val="-2"/>
          <w:sz w:val="16"/>
          <w:szCs w:val="16"/>
        </w:rPr>
        <w:t>yšší</w:t>
      </w:r>
      <w:proofErr w:type="gramEnd"/>
      <w:r>
        <w:rPr>
          <w:spacing w:val="-2"/>
          <w:sz w:val="16"/>
          <w:szCs w:val="16"/>
        </w:rPr>
        <w:t xml:space="preserve"> v historii sledování (od ro</w:t>
      </w:r>
      <w:r w:rsidRPr="00670182">
        <w:rPr>
          <w:spacing w:val="-2"/>
          <w:sz w:val="16"/>
          <w:szCs w:val="16"/>
        </w:rPr>
        <w:t>ku 2001).</w:t>
      </w:r>
    </w:p>
  </w:footnote>
  <w:footnote w:id="4">
    <w:p w:rsidR="00F23F6C" w:rsidRPr="00EC671E" w:rsidRDefault="00F23F6C" w:rsidP="00654093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EC671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C671E">
        <w:rPr>
          <w:color w:val="0D0D0D" w:themeColor="text1" w:themeTint="F2"/>
          <w:sz w:val="16"/>
          <w:szCs w:val="16"/>
        </w:rPr>
        <w:t xml:space="preserve"> Podle údajů Sdružení automobilového průmyslu bylo v Česku</w:t>
      </w:r>
      <w:r>
        <w:rPr>
          <w:color w:val="0D0D0D" w:themeColor="text1" w:themeTint="F2"/>
          <w:sz w:val="16"/>
          <w:szCs w:val="16"/>
        </w:rPr>
        <w:t xml:space="preserve"> za prvních sedm měsíců roku 2017 vyrobeno 823</w:t>
      </w:r>
      <w:r w:rsidRPr="00EC671E">
        <w:rPr>
          <w:color w:val="0D0D0D" w:themeColor="text1" w:themeTint="F2"/>
          <w:sz w:val="16"/>
          <w:szCs w:val="16"/>
        </w:rPr>
        <w:t xml:space="preserve"> tis. oso</w:t>
      </w:r>
      <w:r>
        <w:rPr>
          <w:color w:val="0D0D0D" w:themeColor="text1" w:themeTint="F2"/>
          <w:sz w:val="16"/>
          <w:szCs w:val="16"/>
        </w:rPr>
        <w:t>bních automobilů, meziročně o 6,2 % více. Růst zaznamenala i většina</w:t>
      </w:r>
      <w:r w:rsidRPr="00EC671E">
        <w:rPr>
          <w:color w:val="0D0D0D" w:themeColor="text1" w:themeTint="F2"/>
          <w:sz w:val="16"/>
          <w:szCs w:val="16"/>
        </w:rPr>
        <w:t xml:space="preserve"> výrobců ostatních druhů motorových vozidel.</w:t>
      </w:r>
    </w:p>
  </w:footnote>
  <w:footnote w:id="5">
    <w:p w:rsidR="00F23F6C" w:rsidRPr="00EC671E" w:rsidRDefault="00F23F6C" w:rsidP="00654093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EC671E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EC671E">
        <w:rPr>
          <w:rFonts w:cs="Arial"/>
          <w:color w:val="0D0D0D" w:themeColor="text1" w:themeTint="F2"/>
          <w:sz w:val="16"/>
          <w:szCs w:val="16"/>
        </w:rPr>
        <w:t xml:space="preserve"> Průmyslové zakázky se sledují pouze ve vybraných oddílech CZ-NACE (13, 14, 17, 20 až 21, 24 až 30), které vyrábějí převážně na zakázku, s dlouhodobějším výrobním cyklem a s většími zásobami zakázek.</w:t>
      </w:r>
    </w:p>
  </w:footnote>
  <w:footnote w:id="6">
    <w:p w:rsidR="00F23F6C" w:rsidRPr="00D85B50" w:rsidRDefault="00F23F6C" w:rsidP="00654093">
      <w:pPr>
        <w:pStyle w:val="Textpoznpodarou"/>
        <w:jc w:val="both"/>
        <w:rPr>
          <w:spacing w:val="-4"/>
          <w:sz w:val="16"/>
          <w:szCs w:val="16"/>
        </w:rPr>
      </w:pPr>
      <w:r w:rsidRPr="00D85B50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D85B50">
        <w:rPr>
          <w:color w:val="0D0D0D" w:themeColor="text1" w:themeTint="F2"/>
          <w:spacing w:val="-4"/>
          <w:sz w:val="16"/>
          <w:szCs w:val="16"/>
        </w:rPr>
        <w:t xml:space="preserve"> Meziroční údaje o stavební produkci jsou korigovány o kalendářní vlivy. Bez tohoto očištění by produkce ve 2. čtvrtletí 2017 rostla jen o 5,4 %.</w:t>
      </w:r>
    </w:p>
  </w:footnote>
  <w:footnote w:id="7">
    <w:p w:rsidR="00F23F6C" w:rsidRPr="00A41E54" w:rsidRDefault="00F23F6C" w:rsidP="00654093">
      <w:pPr>
        <w:pStyle w:val="Textpoznpodarou"/>
        <w:rPr>
          <w:sz w:val="16"/>
          <w:szCs w:val="16"/>
        </w:rPr>
      </w:pPr>
      <w:r w:rsidRPr="00A41E54">
        <w:rPr>
          <w:rStyle w:val="Znakapoznpodarou"/>
          <w:sz w:val="16"/>
          <w:szCs w:val="16"/>
        </w:rPr>
        <w:footnoteRef/>
      </w:r>
      <w:r w:rsidRPr="00A41E54">
        <w:rPr>
          <w:sz w:val="16"/>
          <w:szCs w:val="16"/>
        </w:rPr>
        <w:t xml:space="preserve"> Údaj zahrnuje pouze stavební podniky s 50 a více zaměstnanci.</w:t>
      </w:r>
    </w:p>
  </w:footnote>
  <w:footnote w:id="8">
    <w:p w:rsidR="00F23F6C" w:rsidRPr="004A26AF" w:rsidRDefault="00F23F6C" w:rsidP="00654093">
      <w:pPr>
        <w:pStyle w:val="Textpoznpodarou"/>
        <w:rPr>
          <w:color w:val="0D0D0D" w:themeColor="text1" w:themeTint="F2"/>
          <w:sz w:val="16"/>
          <w:szCs w:val="16"/>
        </w:rPr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 w:rsidR="004A26AF">
        <w:rPr>
          <w:color w:val="0D0D0D" w:themeColor="text1" w:themeTint="F2"/>
          <w:sz w:val="16"/>
          <w:szCs w:val="16"/>
        </w:rPr>
        <w:t>šťovnictví, vědy, výzkumu a 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očištěny o kalendářní vlivy ve stálých cenách.</w:t>
      </w:r>
    </w:p>
  </w:footnote>
  <w:footnote w:id="9">
    <w:p w:rsidR="00F23F6C" w:rsidRPr="00544A98" w:rsidRDefault="00F23F6C" w:rsidP="00654093">
      <w:pPr>
        <w:pStyle w:val="Textpoznpodarou"/>
        <w:rPr>
          <w:sz w:val="16"/>
          <w:szCs w:val="16"/>
        </w:rPr>
      </w:pPr>
      <w:r w:rsidRPr="00544A98">
        <w:rPr>
          <w:rStyle w:val="Znakapoznpodarou"/>
          <w:sz w:val="16"/>
          <w:szCs w:val="16"/>
        </w:rPr>
        <w:footnoteRef/>
      </w:r>
      <w:r w:rsidRPr="00544A98">
        <w:rPr>
          <w:sz w:val="16"/>
          <w:szCs w:val="16"/>
        </w:rPr>
        <w:t xml:space="preserve"> </w:t>
      </w:r>
      <w:r>
        <w:rPr>
          <w:sz w:val="16"/>
          <w:szCs w:val="16"/>
        </w:rPr>
        <w:t>Data nezahrnují motoristický segment</w:t>
      </w:r>
      <w:r w:rsidRPr="00544A98">
        <w:rPr>
          <w:sz w:val="16"/>
          <w:szCs w:val="16"/>
        </w:rPr>
        <w:t>. Údaje o maloobchodu jsou očištěny o kalendářní vlivy ve stálých cenách.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C00831" w:rsidRDefault="00F23F6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30768C" w:rsidRDefault="00F23F6C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E45A7A"/>
    <w:lvl w:ilvl="0" w:tplc="1A7A08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B3B"/>
    <w:rsid w:val="002550D8"/>
    <w:rsid w:val="00257613"/>
    <w:rsid w:val="00261A0F"/>
    <w:rsid w:val="00261E5B"/>
    <w:rsid w:val="00262F34"/>
    <w:rsid w:val="002633E5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050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AF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A4D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55B3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93D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48F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-aktual\Odv&#283;tv&#237;\Odv&#283;tv&#237;%20grafy-2q-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-aktual\Odv&#283;tv&#237;\Odv&#283;tv&#237;%20grafy-2q-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7\QMakro\1.pololet&#237;-aktual\Odv&#283;tv&#237;\Odv&#283;tv&#237;%20grafy-2q-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\Odv&#283;tv&#237;\Odv&#283;tv&#237;%20grafy-2q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493E-2"/>
          <c:y val="1.9513175616352442E-2"/>
          <c:w val="0.92433548575003144"/>
          <c:h val="0.75083417764269023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1'!$B$30</c:f>
              <c:strCache>
                <c:ptCount val="1"/>
                <c:pt idx="0">
                  <c:v>Průmysl celkem (B+C+D)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1'!$C$28:$AF$29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1'!$C$30:$AF$30</c:f>
              <c:numCache>
                <c:formatCode>#,##0.0</c:formatCode>
                <c:ptCount val="30"/>
                <c:pt idx="0">
                  <c:v>4.8</c:v>
                </c:pt>
                <c:pt idx="1">
                  <c:v>7.8</c:v>
                </c:pt>
                <c:pt idx="2">
                  <c:v>10.5</c:v>
                </c:pt>
                <c:pt idx="3">
                  <c:v>9.5</c:v>
                </c:pt>
                <c:pt idx="4">
                  <c:v>9.9</c:v>
                </c:pt>
                <c:pt idx="5">
                  <c:v>8.3000000000000007</c:v>
                </c:pt>
                <c:pt idx="6">
                  <c:v>2.2999999999999998</c:v>
                </c:pt>
                <c:pt idx="7">
                  <c:v>3.4</c:v>
                </c:pt>
                <c:pt idx="8">
                  <c:v>1.4</c:v>
                </c:pt>
                <c:pt idx="9">
                  <c:v>0.8</c:v>
                </c:pt>
                <c:pt idx="10">
                  <c:v>0</c:v>
                </c:pt>
                <c:pt idx="11">
                  <c:v>-5.2</c:v>
                </c:pt>
                <c:pt idx="12">
                  <c:v>-3.5</c:v>
                </c:pt>
                <c:pt idx="13">
                  <c:v>-3.1</c:v>
                </c:pt>
                <c:pt idx="14">
                  <c:v>1.2</c:v>
                </c:pt>
                <c:pt idx="15">
                  <c:v>6</c:v>
                </c:pt>
                <c:pt idx="16">
                  <c:v>6.5</c:v>
                </c:pt>
                <c:pt idx="17">
                  <c:v>6.4</c:v>
                </c:pt>
                <c:pt idx="18">
                  <c:v>3</c:v>
                </c:pt>
                <c:pt idx="19">
                  <c:v>4</c:v>
                </c:pt>
                <c:pt idx="20">
                  <c:v>5.0999999999999996</c:v>
                </c:pt>
                <c:pt idx="21">
                  <c:v>5.5</c:v>
                </c:pt>
                <c:pt idx="22">
                  <c:v>5.8</c:v>
                </c:pt>
                <c:pt idx="23">
                  <c:v>2.9</c:v>
                </c:pt>
                <c:pt idx="24">
                  <c:v>4</c:v>
                </c:pt>
                <c:pt idx="25">
                  <c:v>2.9</c:v>
                </c:pt>
                <c:pt idx="26">
                  <c:v>1.4</c:v>
                </c:pt>
                <c:pt idx="27">
                  <c:v>3.3</c:v>
                </c:pt>
                <c:pt idx="28">
                  <c:v>4.9000000000000004</c:v>
                </c:pt>
                <c:pt idx="29">
                  <c:v>6.8</c:v>
                </c:pt>
              </c:numCache>
            </c:numRef>
          </c:val>
        </c:ser>
        <c:gapWidth val="30"/>
        <c:axId val="83389440"/>
        <c:axId val="83564032"/>
      </c:barChart>
      <c:lineChart>
        <c:grouping val="standard"/>
        <c:ser>
          <c:idx val="3"/>
          <c:order val="1"/>
          <c:tx>
            <c:strRef>
              <c:f>'výkonnost odvětví 1'!$B$31</c:f>
              <c:strCache>
                <c:ptCount val="1"/>
                <c:pt idx="0">
                  <c:v>Potravinářství a výroba nápojů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1'!$C$28:$AF$29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1'!$C$31:$AF$31</c:f>
              <c:numCache>
                <c:formatCode>#,##0.0</c:formatCode>
                <c:ptCount val="30"/>
                <c:pt idx="0">
                  <c:v>-1.4</c:v>
                </c:pt>
                <c:pt idx="1">
                  <c:v>-4.7</c:v>
                </c:pt>
                <c:pt idx="2">
                  <c:v>-3.1</c:v>
                </c:pt>
                <c:pt idx="3">
                  <c:v>-4.0999999999999996</c:v>
                </c:pt>
                <c:pt idx="4">
                  <c:v>-0.30000000000000032</c:v>
                </c:pt>
                <c:pt idx="5">
                  <c:v>0</c:v>
                </c:pt>
                <c:pt idx="6">
                  <c:v>-4.0999999999999996</c:v>
                </c:pt>
                <c:pt idx="7">
                  <c:v>-1.7</c:v>
                </c:pt>
                <c:pt idx="8">
                  <c:v>-4.3</c:v>
                </c:pt>
                <c:pt idx="9">
                  <c:v>-1.3</c:v>
                </c:pt>
                <c:pt idx="10">
                  <c:v>0</c:v>
                </c:pt>
                <c:pt idx="11">
                  <c:v>-1.8</c:v>
                </c:pt>
                <c:pt idx="12">
                  <c:v>1</c:v>
                </c:pt>
                <c:pt idx="13">
                  <c:v>-1.4</c:v>
                </c:pt>
                <c:pt idx="14">
                  <c:v>-1</c:v>
                </c:pt>
                <c:pt idx="15">
                  <c:v>0.8</c:v>
                </c:pt>
                <c:pt idx="16">
                  <c:v>2.4</c:v>
                </c:pt>
                <c:pt idx="17">
                  <c:v>4.2</c:v>
                </c:pt>
                <c:pt idx="18">
                  <c:v>0.60000000000000064</c:v>
                </c:pt>
                <c:pt idx="19">
                  <c:v>5.7</c:v>
                </c:pt>
                <c:pt idx="20">
                  <c:v>4.4000000000000004</c:v>
                </c:pt>
                <c:pt idx="21">
                  <c:v>1.1000000000000001</c:v>
                </c:pt>
                <c:pt idx="22">
                  <c:v>8.2000000000000011</c:v>
                </c:pt>
                <c:pt idx="23">
                  <c:v>3.8</c:v>
                </c:pt>
                <c:pt idx="24">
                  <c:v>-0.8</c:v>
                </c:pt>
                <c:pt idx="25">
                  <c:v>0.8</c:v>
                </c:pt>
                <c:pt idx="26">
                  <c:v>0.60000000000000064</c:v>
                </c:pt>
                <c:pt idx="27">
                  <c:v>-1.9000000000000001</c:v>
                </c:pt>
                <c:pt idx="28">
                  <c:v>2.6</c:v>
                </c:pt>
                <c:pt idx="29">
                  <c:v>5</c:v>
                </c:pt>
              </c:numCache>
            </c:numRef>
          </c:val>
        </c:ser>
        <c:ser>
          <c:idx val="1"/>
          <c:order val="2"/>
          <c:tx>
            <c:strRef>
              <c:f>'výkonnost odvětví 1'!$B$32</c:f>
              <c:strCache>
                <c:ptCount val="1"/>
                <c:pt idx="0">
                  <c:v>Chemický průmysl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'výkonnost odvětví 1'!$C$28:$AF$29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1'!$C$32:$AF$32</c:f>
              <c:numCache>
                <c:formatCode>#,##0.0</c:formatCode>
                <c:ptCount val="30"/>
                <c:pt idx="0">
                  <c:v>0</c:v>
                </c:pt>
                <c:pt idx="1">
                  <c:v>-1.3</c:v>
                </c:pt>
                <c:pt idx="2">
                  <c:v>13.8</c:v>
                </c:pt>
                <c:pt idx="3">
                  <c:v>12.1</c:v>
                </c:pt>
                <c:pt idx="4">
                  <c:v>2.6</c:v>
                </c:pt>
                <c:pt idx="5">
                  <c:v>-4.7</c:v>
                </c:pt>
                <c:pt idx="6">
                  <c:v>-8.5</c:v>
                </c:pt>
                <c:pt idx="7">
                  <c:v>-8</c:v>
                </c:pt>
                <c:pt idx="8">
                  <c:v>3.1</c:v>
                </c:pt>
                <c:pt idx="9">
                  <c:v>0.60000000000000064</c:v>
                </c:pt>
                <c:pt idx="10">
                  <c:v>10.1</c:v>
                </c:pt>
                <c:pt idx="11">
                  <c:v>6.8</c:v>
                </c:pt>
                <c:pt idx="12">
                  <c:v>-5.0999999999999996</c:v>
                </c:pt>
                <c:pt idx="13">
                  <c:v>-0.9</c:v>
                </c:pt>
                <c:pt idx="14">
                  <c:v>-9.9</c:v>
                </c:pt>
                <c:pt idx="15">
                  <c:v>4</c:v>
                </c:pt>
                <c:pt idx="16">
                  <c:v>9</c:v>
                </c:pt>
                <c:pt idx="17">
                  <c:v>9.7000000000000011</c:v>
                </c:pt>
                <c:pt idx="18">
                  <c:v>15.8</c:v>
                </c:pt>
                <c:pt idx="19">
                  <c:v>4.0999999999999996</c:v>
                </c:pt>
                <c:pt idx="20">
                  <c:v>2.9</c:v>
                </c:pt>
                <c:pt idx="21">
                  <c:v>3.5</c:v>
                </c:pt>
                <c:pt idx="22">
                  <c:v>-7.9</c:v>
                </c:pt>
                <c:pt idx="23">
                  <c:v>-15.9</c:v>
                </c:pt>
                <c:pt idx="24">
                  <c:v>-13.8</c:v>
                </c:pt>
                <c:pt idx="25">
                  <c:v>-16.399999999999999</c:v>
                </c:pt>
                <c:pt idx="26">
                  <c:v>-5.9</c:v>
                </c:pt>
                <c:pt idx="27">
                  <c:v>10.8</c:v>
                </c:pt>
                <c:pt idx="28">
                  <c:v>17.7</c:v>
                </c:pt>
                <c:pt idx="29">
                  <c:v>24</c:v>
                </c:pt>
              </c:numCache>
            </c:numRef>
          </c:val>
        </c:ser>
        <c:ser>
          <c:idx val="7"/>
          <c:order val="3"/>
          <c:tx>
            <c:strRef>
              <c:f>'výkonnost odvětví 1'!$B$33</c:f>
              <c:strCache>
                <c:ptCount val="1"/>
                <c:pt idx="0">
                  <c:v>Výroba PC, elektronic. a optic. přístrojů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1'!$C$28:$AF$29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1'!$C$33:$AF$33</c:f>
              <c:numCache>
                <c:formatCode>#,##0.0</c:formatCode>
                <c:ptCount val="30"/>
                <c:pt idx="0">
                  <c:v>13.6</c:v>
                </c:pt>
                <c:pt idx="1">
                  <c:v>36.9</c:v>
                </c:pt>
                <c:pt idx="2">
                  <c:v>39.1</c:v>
                </c:pt>
                <c:pt idx="3">
                  <c:v>27.2</c:v>
                </c:pt>
                <c:pt idx="4">
                  <c:v>12.5</c:v>
                </c:pt>
                <c:pt idx="5">
                  <c:v>6</c:v>
                </c:pt>
                <c:pt idx="6">
                  <c:v>-5.9</c:v>
                </c:pt>
                <c:pt idx="7">
                  <c:v>-18.399999999999999</c:v>
                </c:pt>
                <c:pt idx="8">
                  <c:v>-19</c:v>
                </c:pt>
                <c:pt idx="9">
                  <c:v>-22.7</c:v>
                </c:pt>
                <c:pt idx="10">
                  <c:v>-19.2</c:v>
                </c:pt>
                <c:pt idx="11">
                  <c:v>-13.5</c:v>
                </c:pt>
                <c:pt idx="12">
                  <c:v>10.6</c:v>
                </c:pt>
                <c:pt idx="13">
                  <c:v>13</c:v>
                </c:pt>
                <c:pt idx="14">
                  <c:v>18.100000000000001</c:v>
                </c:pt>
                <c:pt idx="15">
                  <c:v>22.1</c:v>
                </c:pt>
                <c:pt idx="16">
                  <c:v>18.3</c:v>
                </c:pt>
                <c:pt idx="17">
                  <c:v>19.2</c:v>
                </c:pt>
                <c:pt idx="18">
                  <c:v>14.5</c:v>
                </c:pt>
                <c:pt idx="19">
                  <c:v>21.4</c:v>
                </c:pt>
                <c:pt idx="20">
                  <c:v>7</c:v>
                </c:pt>
                <c:pt idx="21">
                  <c:v>3.5</c:v>
                </c:pt>
                <c:pt idx="22">
                  <c:v>3.1</c:v>
                </c:pt>
                <c:pt idx="23">
                  <c:v>-1.3</c:v>
                </c:pt>
                <c:pt idx="24">
                  <c:v>0.5</c:v>
                </c:pt>
                <c:pt idx="25">
                  <c:v>3.5</c:v>
                </c:pt>
                <c:pt idx="26">
                  <c:v>2.5</c:v>
                </c:pt>
                <c:pt idx="27">
                  <c:v>8.9</c:v>
                </c:pt>
                <c:pt idx="28">
                  <c:v>7.5</c:v>
                </c:pt>
                <c:pt idx="29">
                  <c:v>18.100000000000001</c:v>
                </c:pt>
              </c:numCache>
            </c:numRef>
          </c:val>
        </c:ser>
        <c:ser>
          <c:idx val="2"/>
          <c:order val="4"/>
          <c:tx>
            <c:strRef>
              <c:f>'výkonnost odvětví 1'!$B$34</c:f>
              <c:strCache>
                <c:ptCount val="1"/>
                <c:pt idx="0">
                  <c:v>Výroba motor. voz.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1'!$C$28:$AF$29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1'!$C$34:$AF$34</c:f>
              <c:numCache>
                <c:formatCode>#,##0.0</c:formatCode>
                <c:ptCount val="30"/>
                <c:pt idx="0">
                  <c:v>36.200000000000003</c:v>
                </c:pt>
                <c:pt idx="1">
                  <c:v>18.399999999999999</c:v>
                </c:pt>
                <c:pt idx="2">
                  <c:v>13.3</c:v>
                </c:pt>
                <c:pt idx="3">
                  <c:v>21.4</c:v>
                </c:pt>
                <c:pt idx="4">
                  <c:v>27.1</c:v>
                </c:pt>
                <c:pt idx="5">
                  <c:v>21.6</c:v>
                </c:pt>
                <c:pt idx="6">
                  <c:v>20.8</c:v>
                </c:pt>
                <c:pt idx="7">
                  <c:v>16</c:v>
                </c:pt>
                <c:pt idx="8">
                  <c:v>9.9</c:v>
                </c:pt>
                <c:pt idx="9">
                  <c:v>4.3</c:v>
                </c:pt>
                <c:pt idx="10">
                  <c:v>-2.9</c:v>
                </c:pt>
                <c:pt idx="11">
                  <c:v>-6.9</c:v>
                </c:pt>
                <c:pt idx="12">
                  <c:v>-15</c:v>
                </c:pt>
                <c:pt idx="13">
                  <c:v>-6.6</c:v>
                </c:pt>
                <c:pt idx="14">
                  <c:v>3.9</c:v>
                </c:pt>
                <c:pt idx="15">
                  <c:v>8.3000000000000007</c:v>
                </c:pt>
                <c:pt idx="16">
                  <c:v>20.7</c:v>
                </c:pt>
                <c:pt idx="17">
                  <c:v>13.6</c:v>
                </c:pt>
                <c:pt idx="18">
                  <c:v>10.6</c:v>
                </c:pt>
                <c:pt idx="19">
                  <c:v>9.1</c:v>
                </c:pt>
                <c:pt idx="20">
                  <c:v>7.6</c:v>
                </c:pt>
                <c:pt idx="21">
                  <c:v>12.2</c:v>
                </c:pt>
                <c:pt idx="22">
                  <c:v>14.1</c:v>
                </c:pt>
                <c:pt idx="23">
                  <c:v>16.100000000000001</c:v>
                </c:pt>
                <c:pt idx="24">
                  <c:v>15.7</c:v>
                </c:pt>
                <c:pt idx="25">
                  <c:v>14.6</c:v>
                </c:pt>
                <c:pt idx="26">
                  <c:v>6.4</c:v>
                </c:pt>
                <c:pt idx="27">
                  <c:v>7</c:v>
                </c:pt>
                <c:pt idx="28">
                  <c:v>10.5</c:v>
                </c:pt>
                <c:pt idx="29">
                  <c:v>9.8000000000000007</c:v>
                </c:pt>
              </c:numCache>
            </c:numRef>
          </c:val>
        </c:ser>
        <c:ser>
          <c:idx val="5"/>
          <c:order val="5"/>
          <c:tx>
            <c:strRef>
              <c:f>'výkonnost odvětví 1'!$B$35</c:f>
              <c:strCache>
                <c:ptCount val="1"/>
                <c:pt idx="0">
                  <c:v>Energetika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1'!$C$28:$AF$29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1'!$C$35:$AF$35</c:f>
              <c:numCache>
                <c:formatCode>#,##0.0</c:formatCode>
                <c:ptCount val="30"/>
                <c:pt idx="0">
                  <c:v>3.3</c:v>
                </c:pt>
                <c:pt idx="1">
                  <c:v>5</c:v>
                </c:pt>
                <c:pt idx="2">
                  <c:v>8.5</c:v>
                </c:pt>
                <c:pt idx="3">
                  <c:v>2.6</c:v>
                </c:pt>
                <c:pt idx="4">
                  <c:v>-4</c:v>
                </c:pt>
                <c:pt idx="5">
                  <c:v>0.30000000000000032</c:v>
                </c:pt>
                <c:pt idx="6">
                  <c:v>-5.2</c:v>
                </c:pt>
                <c:pt idx="7">
                  <c:v>2.5</c:v>
                </c:pt>
                <c:pt idx="8">
                  <c:v>1.9000000000000001</c:v>
                </c:pt>
                <c:pt idx="9">
                  <c:v>4.5</c:v>
                </c:pt>
                <c:pt idx="10">
                  <c:v>1.1000000000000001</c:v>
                </c:pt>
                <c:pt idx="11">
                  <c:v>-7.9</c:v>
                </c:pt>
                <c:pt idx="12">
                  <c:v>-3.4</c:v>
                </c:pt>
                <c:pt idx="13">
                  <c:v>-4</c:v>
                </c:pt>
                <c:pt idx="14">
                  <c:v>-3.4</c:v>
                </c:pt>
                <c:pt idx="15">
                  <c:v>4.2</c:v>
                </c:pt>
                <c:pt idx="16">
                  <c:v>-3.4</c:v>
                </c:pt>
                <c:pt idx="17">
                  <c:v>-2.5</c:v>
                </c:pt>
                <c:pt idx="18">
                  <c:v>-2</c:v>
                </c:pt>
                <c:pt idx="19">
                  <c:v>-3.8</c:v>
                </c:pt>
                <c:pt idx="20">
                  <c:v>2.7</c:v>
                </c:pt>
                <c:pt idx="21">
                  <c:v>-1.4</c:v>
                </c:pt>
                <c:pt idx="22">
                  <c:v>-4.2</c:v>
                </c:pt>
                <c:pt idx="23">
                  <c:v>-7.9</c:v>
                </c:pt>
                <c:pt idx="24">
                  <c:v>-3.8</c:v>
                </c:pt>
                <c:pt idx="25">
                  <c:v>2.7</c:v>
                </c:pt>
                <c:pt idx="26">
                  <c:v>-2</c:v>
                </c:pt>
                <c:pt idx="27">
                  <c:v>7.3</c:v>
                </c:pt>
                <c:pt idx="28">
                  <c:v>4.3</c:v>
                </c:pt>
                <c:pt idx="29">
                  <c:v>0.30000000000000032</c:v>
                </c:pt>
              </c:numCache>
            </c:numRef>
          </c:val>
        </c:ser>
        <c:marker val="1"/>
        <c:axId val="83389440"/>
        <c:axId val="83564032"/>
      </c:lineChart>
      <c:catAx>
        <c:axId val="8338944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3564032"/>
        <c:crossesAt val="0"/>
        <c:lblAlgn val="ctr"/>
        <c:lblOffset val="0"/>
        <c:tickLblSkip val="1"/>
        <c:tickMarkSkip val="4"/>
      </c:catAx>
      <c:valAx>
        <c:axId val="83564032"/>
        <c:scaling>
          <c:orientation val="minMax"/>
          <c:max val="40"/>
          <c:min val="-2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3389440"/>
        <c:crosses val="autoZero"/>
        <c:crossBetween val="between"/>
        <c:majorUnit val="5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37685827264E-2"/>
          <c:y val="0.87213891703253532"/>
          <c:w val="0.9258012889558157"/>
          <c:h val="0.1207125970955758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2277854581154255E-2"/>
          <c:y val="1.9008475080329074E-2"/>
          <c:w val="0.92988062751698064"/>
          <c:h val="0.74907069683665461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2'!$B$31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2'!$C$31:$AF$31</c:f>
              <c:numCache>
                <c:formatCode>#,##0__</c:formatCode>
                <c:ptCount val="30"/>
                <c:pt idx="0">
                  <c:v>12.055392746813197</c:v>
                </c:pt>
                <c:pt idx="1">
                  <c:v>18.791785748936761</c:v>
                </c:pt>
                <c:pt idx="2">
                  <c:v>17.444096590215729</c:v>
                </c:pt>
                <c:pt idx="3">
                  <c:v>13.260899648585324</c:v>
                </c:pt>
                <c:pt idx="4" formatCode="#,##0.0__">
                  <c:v>12.043109882578847</c:v>
                </c:pt>
                <c:pt idx="5" formatCode="#,##0.0__">
                  <c:v>5.329288738434343</c:v>
                </c:pt>
                <c:pt idx="6" formatCode="#,##0.0__">
                  <c:v>-1.5038252425140932</c:v>
                </c:pt>
                <c:pt idx="7" formatCode="#,##0.0__">
                  <c:v>0.49985212637597054</c:v>
                </c:pt>
                <c:pt idx="8" formatCode="#,##0.0__">
                  <c:v>7.8919813268951131</c:v>
                </c:pt>
                <c:pt idx="9" formatCode="#,##0.0__">
                  <c:v>0.24365995359796988</c:v>
                </c:pt>
                <c:pt idx="10" formatCode="#,##0.0__">
                  <c:v>2.6780171683964684</c:v>
                </c:pt>
                <c:pt idx="11" formatCode="#,##0.0__">
                  <c:v>-2.2928067612426872</c:v>
                </c:pt>
                <c:pt idx="12" formatCode="#,##0.0__">
                  <c:v>-6.7566807507372015</c:v>
                </c:pt>
                <c:pt idx="13" formatCode="#,##0.0__">
                  <c:v>-0.77743655462337902</c:v>
                </c:pt>
                <c:pt idx="14" formatCode="#,##0.0__">
                  <c:v>12.110633355214674</c:v>
                </c:pt>
                <c:pt idx="15" formatCode="#,##0.0__">
                  <c:v>12.61158784734172</c:v>
                </c:pt>
                <c:pt idx="16" formatCode="#,##0.0__">
                  <c:v>18.162563874667125</c:v>
                </c:pt>
                <c:pt idx="17" formatCode="#,##0.0__">
                  <c:v>13.482126304908055</c:v>
                </c:pt>
                <c:pt idx="18" formatCode="#,##0.0__">
                  <c:v>11.650462908552004</c:v>
                </c:pt>
                <c:pt idx="19" formatCode="#,##0.0__">
                  <c:v>7.4466461221971372</c:v>
                </c:pt>
                <c:pt idx="20" formatCode="#,##0.0__">
                  <c:v>8.6601281679304432</c:v>
                </c:pt>
                <c:pt idx="21" formatCode="#,##0.0__">
                  <c:v>7.0703444338271924</c:v>
                </c:pt>
                <c:pt idx="22" formatCode="#,##0.0__">
                  <c:v>3.8319900533634268</c:v>
                </c:pt>
                <c:pt idx="23" formatCode="#,##0.0__">
                  <c:v>6.2462982413050714</c:v>
                </c:pt>
                <c:pt idx="24" formatCode="#,##0.0__">
                  <c:v>1.7408408111983675</c:v>
                </c:pt>
                <c:pt idx="25" formatCode="#,##0.0__">
                  <c:v>10.948509388317888</c:v>
                </c:pt>
                <c:pt idx="26" formatCode="#,##0.0__">
                  <c:v>1.6291665033355542</c:v>
                </c:pt>
                <c:pt idx="27" formatCode="#,##0.0__">
                  <c:v>6.47829118848182</c:v>
                </c:pt>
                <c:pt idx="28" formatCode="#,##0.0__">
                  <c:v>9.9432376163981502</c:v>
                </c:pt>
                <c:pt idx="29" formatCode="#,##0.0__">
                  <c:v>3.6195909194471625</c:v>
                </c:pt>
              </c:numCache>
            </c:numRef>
          </c:val>
        </c:ser>
        <c:gapWidth val="34"/>
        <c:overlap val="28"/>
        <c:axId val="83939328"/>
        <c:axId val="83942784"/>
      </c:barChart>
      <c:lineChart>
        <c:grouping val="standard"/>
        <c:ser>
          <c:idx val="2"/>
          <c:order val="1"/>
          <c:tx>
            <c:strRef>
              <c:f>'výkonnost odvětví 2'!$B$32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2'!$C$32:$AF$32</c:f>
              <c:numCache>
                <c:formatCode>#,##0__</c:formatCode>
                <c:ptCount val="30"/>
                <c:pt idx="0">
                  <c:v>9.3690276852933057</c:v>
                </c:pt>
                <c:pt idx="1">
                  <c:v>20.682181592692444</c:v>
                </c:pt>
                <c:pt idx="2">
                  <c:v>16.573478131898664</c:v>
                </c:pt>
                <c:pt idx="3">
                  <c:v>7.6006939720973321</c:v>
                </c:pt>
                <c:pt idx="4" formatCode="#,##0.0__">
                  <c:v>2.8145828625014988</c:v>
                </c:pt>
                <c:pt idx="5" formatCode="#,##0.0__">
                  <c:v>-0.65160236646085046</c:v>
                </c:pt>
                <c:pt idx="6" formatCode="#,##0.0__">
                  <c:v>-11.671779874966376</c:v>
                </c:pt>
                <c:pt idx="7" formatCode="#,##0.0__">
                  <c:v>-10.696553928195002</c:v>
                </c:pt>
                <c:pt idx="8" formatCode="#,##0.0__">
                  <c:v>2.6214089523072488</c:v>
                </c:pt>
                <c:pt idx="9" formatCode="#,##0.0__">
                  <c:v>-9.2467358771092751</c:v>
                </c:pt>
                <c:pt idx="10" formatCode="#,##0.0__">
                  <c:v>-2.8571327008706082</c:v>
                </c:pt>
                <c:pt idx="11" formatCode="#,##0.0__">
                  <c:v>-4.0487131301687915</c:v>
                </c:pt>
                <c:pt idx="12" formatCode="#,##0.0__">
                  <c:v>-7.1126687487238405</c:v>
                </c:pt>
                <c:pt idx="13" formatCode="#,##0.0__">
                  <c:v>-0.59564647244366165</c:v>
                </c:pt>
                <c:pt idx="14" formatCode="#,##0.0__">
                  <c:v>9.3846900381038747</c:v>
                </c:pt>
                <c:pt idx="15" formatCode="#,##0.0__">
                  <c:v>7.0781764130708709</c:v>
                </c:pt>
                <c:pt idx="16" formatCode="#,##0.0__">
                  <c:v>13.320088621608226</c:v>
                </c:pt>
                <c:pt idx="17" formatCode="#,##0.0__">
                  <c:v>7.6021800914440689</c:v>
                </c:pt>
                <c:pt idx="18" formatCode="#,##0.0__">
                  <c:v>17.491767655905477</c:v>
                </c:pt>
                <c:pt idx="19" formatCode="#,##0.0__">
                  <c:v>10.07772805392962</c:v>
                </c:pt>
                <c:pt idx="20" formatCode="#,##0.0__">
                  <c:v>5.7894297437900013</c:v>
                </c:pt>
                <c:pt idx="21" formatCode="#,##0.0__">
                  <c:v>11.162593735327242</c:v>
                </c:pt>
                <c:pt idx="22" formatCode="#,##0.0__">
                  <c:v>-4.0508483479998176</c:v>
                </c:pt>
                <c:pt idx="23" formatCode="#,##0.0__">
                  <c:v>1.8219061224914839</c:v>
                </c:pt>
                <c:pt idx="24" formatCode="#,##0.0__">
                  <c:v>1.3670231871965086</c:v>
                </c:pt>
                <c:pt idx="25" formatCode="#,##0.0__">
                  <c:v>6.1144874584533335</c:v>
                </c:pt>
                <c:pt idx="26" formatCode="#,##0.0__">
                  <c:v>-0.208282602941253</c:v>
                </c:pt>
                <c:pt idx="27" formatCode="#,##0.0__">
                  <c:v>3.0760686001194375</c:v>
                </c:pt>
                <c:pt idx="28" formatCode="#,##0.0__">
                  <c:v>10.978389781409588</c:v>
                </c:pt>
                <c:pt idx="29" formatCode="#,##0.0__">
                  <c:v>6.3261882148095845</c:v>
                </c:pt>
              </c:numCache>
            </c:numRef>
          </c:val>
        </c:ser>
        <c:ser>
          <c:idx val="5"/>
          <c:order val="2"/>
          <c:tx>
            <c:strRef>
              <c:f>'výkonnost odvětví 2'!$B$33</c:f>
              <c:strCache>
                <c:ptCount val="1"/>
                <c:pt idx="0">
                  <c:v>Průmyslové zakázky ze zahraničí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2'!$C$33:$AF$33</c:f>
              <c:numCache>
                <c:formatCode>#,##0__</c:formatCode>
                <c:ptCount val="30"/>
                <c:pt idx="0">
                  <c:v>13.967994717912196</c:v>
                </c:pt>
                <c:pt idx="1">
                  <c:v>17.501951580886157</c:v>
                </c:pt>
                <c:pt idx="2">
                  <c:v>18.066389248755879</c:v>
                </c:pt>
                <c:pt idx="3">
                  <c:v>17.763791144855006</c:v>
                </c:pt>
                <c:pt idx="4" formatCode="#,##0.0__">
                  <c:v>18.348359830124483</c:v>
                </c:pt>
                <c:pt idx="5" formatCode="#,##0.0__">
                  <c:v>9.5205485847743709</c:v>
                </c:pt>
                <c:pt idx="6" formatCode="#,##0.0__">
                  <c:v>5.6719989098307195</c:v>
                </c:pt>
                <c:pt idx="7" formatCode="#,##0.0__">
                  <c:v>8.6383086882356022</c:v>
                </c:pt>
                <c:pt idx="8" formatCode="#,##0.0__">
                  <c:v>11.020367044503203</c:v>
                </c:pt>
                <c:pt idx="9" formatCode="#,##0.0__">
                  <c:v>6.2765550752876891</c:v>
                </c:pt>
                <c:pt idx="10" formatCode="#,##0.0__">
                  <c:v>5.9432809771147106</c:v>
                </c:pt>
                <c:pt idx="11" formatCode="#,##0.0__">
                  <c:v>-1.2435707077734561</c:v>
                </c:pt>
                <c:pt idx="12" formatCode="#,##0.0__">
                  <c:v>-6.5613810568299265</c:v>
                </c:pt>
                <c:pt idx="13" formatCode="#,##0.0__">
                  <c:v>-0.87612893265552028</c:v>
                </c:pt>
                <c:pt idx="14" formatCode="#,##0.0__">
                  <c:v>13.585017236629065</c:v>
                </c:pt>
                <c:pt idx="15" formatCode="#,##0.0__">
                  <c:v>15.823868051866199</c:v>
                </c:pt>
                <c:pt idx="16" formatCode="#,##0.0__">
                  <c:v>20.803737843093934</c:v>
                </c:pt>
                <c:pt idx="17" formatCode="#,##0.0__">
                  <c:v>16.683085155498251</c:v>
                </c:pt>
                <c:pt idx="18" formatCode="#,##0.0__">
                  <c:v>8.6077426037905482</c:v>
                </c:pt>
                <c:pt idx="19" formatCode="#,##0.0__">
                  <c:v>6.0345642153573777</c:v>
                </c:pt>
                <c:pt idx="20" formatCode="#,##0.0__">
                  <c:v>10.128880629251883</c:v>
                </c:pt>
                <c:pt idx="21" formatCode="#,##0.0__">
                  <c:v>5.0159759230793242</c:v>
                </c:pt>
                <c:pt idx="22" formatCode="#,##0.0__">
                  <c:v>8.2739940886640966</c:v>
                </c:pt>
                <c:pt idx="23" formatCode="#,##0.0__">
                  <c:v>8.7114357834965919</c:v>
                </c:pt>
                <c:pt idx="24" formatCode="#,##0.0__">
                  <c:v>1.9245605566923001</c:v>
                </c:pt>
                <c:pt idx="25" formatCode="#,##0.0__">
                  <c:v>13.517252250841864</c:v>
                </c:pt>
                <c:pt idx="26" formatCode="#,##0.0__">
                  <c:v>2.5467160757470992</c:v>
                </c:pt>
                <c:pt idx="27" formatCode="#,##0.0__">
                  <c:v>8.2537778544595994</c:v>
                </c:pt>
                <c:pt idx="28" formatCode="#,##0.0__">
                  <c:v>9.4372753873575093</c:v>
                </c:pt>
                <c:pt idx="29" formatCode="#,##0.0__">
                  <c:v>2.2751291102671312</c:v>
                </c:pt>
              </c:numCache>
            </c:numRef>
          </c:val>
        </c:ser>
        <c:ser>
          <c:idx val="3"/>
          <c:order val="3"/>
          <c:tx>
            <c:strRef>
              <c:f>'výkonnost odvětví 2'!$B$34</c:f>
              <c:strCache>
                <c:ptCount val="1"/>
                <c:pt idx="0">
                  <c:v>Zahraniční zakázky ve výrobě motor. voz.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2'!$C$34:$AF$34</c:f>
              <c:numCache>
                <c:formatCode>#,##0__</c:formatCode>
                <c:ptCount val="30"/>
                <c:pt idx="0">
                  <c:v>24.008427520841689</c:v>
                </c:pt>
                <c:pt idx="1">
                  <c:v>14.674010935341046</c:v>
                </c:pt>
                <c:pt idx="2">
                  <c:v>9.7391351049218109</c:v>
                </c:pt>
                <c:pt idx="3">
                  <c:v>16.783125711775629</c:v>
                </c:pt>
                <c:pt idx="4" formatCode="#,##0.0__">
                  <c:v>15.478617181437471</c:v>
                </c:pt>
                <c:pt idx="5" formatCode="#,##0.0__">
                  <c:v>11.728214688051867</c:v>
                </c:pt>
                <c:pt idx="6" formatCode="#,##0.0__">
                  <c:v>6.5426798807743092</c:v>
                </c:pt>
                <c:pt idx="7" formatCode="#,##0.0__">
                  <c:v>6.6356960264430711</c:v>
                </c:pt>
                <c:pt idx="8" formatCode="#,##0.0__">
                  <c:v>22.670301977911127</c:v>
                </c:pt>
                <c:pt idx="9" formatCode="#,##0.0__">
                  <c:v>13.96015573008407</c:v>
                </c:pt>
                <c:pt idx="10" formatCode="#,##0.0__">
                  <c:v>3.8554465624995227</c:v>
                </c:pt>
                <c:pt idx="11" formatCode="#,##0.0__">
                  <c:v>-0.92548587727675624</c:v>
                </c:pt>
                <c:pt idx="12" formatCode="#,##0.0__">
                  <c:v>-14.839347610315926</c:v>
                </c:pt>
                <c:pt idx="13" formatCode="#,##0.0__">
                  <c:v>-5.2962975041670894</c:v>
                </c:pt>
                <c:pt idx="14" formatCode="#,##0.0__">
                  <c:v>28.544914199445493</c:v>
                </c:pt>
                <c:pt idx="15" formatCode="#,##0.0__">
                  <c:v>21.31669103822853</c:v>
                </c:pt>
                <c:pt idx="16" formatCode="#,##0.0__">
                  <c:v>35.957495888821171</c:v>
                </c:pt>
                <c:pt idx="17" formatCode="#,##0.0__">
                  <c:v>27.239841408344233</c:v>
                </c:pt>
                <c:pt idx="18" formatCode="#,##0.0__">
                  <c:v>9.2341155229136263</c:v>
                </c:pt>
                <c:pt idx="19" formatCode="#,##0.0__">
                  <c:v>6.1688216646606095</c:v>
                </c:pt>
                <c:pt idx="20" formatCode="#,##0.0__">
                  <c:v>15.591394938767356</c:v>
                </c:pt>
                <c:pt idx="21" formatCode="#,##0.0__">
                  <c:v>0.51541703808817374</c:v>
                </c:pt>
                <c:pt idx="22" formatCode="#,##0.0__">
                  <c:v>19.552829007204693</c:v>
                </c:pt>
                <c:pt idx="23" formatCode="#,##0.0__">
                  <c:v>21.966377727772343</c:v>
                </c:pt>
                <c:pt idx="24" formatCode="#,##0.0__">
                  <c:v>10.330511045843863</c:v>
                </c:pt>
                <c:pt idx="25" formatCode="#,##0.0__">
                  <c:v>38.766358848039268</c:v>
                </c:pt>
                <c:pt idx="26" formatCode="#,##0.0__">
                  <c:v>7.3137068574776265</c:v>
                </c:pt>
                <c:pt idx="27" formatCode="#,##0.0__">
                  <c:v>13.932436847203517</c:v>
                </c:pt>
                <c:pt idx="28" formatCode="#,##0.0__">
                  <c:v>7.8154936779983126</c:v>
                </c:pt>
                <c:pt idx="29" formatCode="#,##0.0__">
                  <c:v>-3.7245718868521815</c:v>
                </c:pt>
              </c:numCache>
            </c:numRef>
          </c:val>
        </c:ser>
        <c:marker val="1"/>
        <c:axId val="83939328"/>
        <c:axId val="83942784"/>
      </c:lineChart>
      <c:lineChart>
        <c:grouping val="standard"/>
        <c:ser>
          <c:idx val="4"/>
          <c:order val="4"/>
          <c:tx>
            <c:strRef>
              <c:f>'výkonnost odvětví 2'!$B$35</c:f>
              <c:strCache>
                <c:ptCount val="1"/>
                <c:pt idx="0">
                  <c:v>Saldo souhr. indikátoru důvěry v průmyslu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2'!$C$29:$AF$30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2'!$C$35:$AF$35</c:f>
              <c:numCache>
                <c:formatCode>0.0</c:formatCode>
                <c:ptCount val="30"/>
                <c:pt idx="0">
                  <c:v>-5.4444444444444464</c:v>
                </c:pt>
                <c:pt idx="1">
                  <c:v>2.4333333333333331</c:v>
                </c:pt>
                <c:pt idx="2">
                  <c:v>5.5666666666666664</c:v>
                </c:pt>
                <c:pt idx="3">
                  <c:v>10</c:v>
                </c:pt>
                <c:pt idx="4">
                  <c:v>12.200000000000001</c:v>
                </c:pt>
                <c:pt idx="5">
                  <c:v>5.8999999999999995</c:v>
                </c:pt>
                <c:pt idx="6">
                  <c:v>2.4333333333333331</c:v>
                </c:pt>
                <c:pt idx="7">
                  <c:v>1.8</c:v>
                </c:pt>
                <c:pt idx="8">
                  <c:v>1.5666666666666667</c:v>
                </c:pt>
                <c:pt idx="9">
                  <c:v>-2.5666666666666669</c:v>
                </c:pt>
                <c:pt idx="10">
                  <c:v>-8.9</c:v>
                </c:pt>
                <c:pt idx="11">
                  <c:v>-10.200000000000001</c:v>
                </c:pt>
                <c:pt idx="12">
                  <c:v>-8.9</c:v>
                </c:pt>
                <c:pt idx="13">
                  <c:v>-10</c:v>
                </c:pt>
                <c:pt idx="14">
                  <c:v>-6.2333333333333432</c:v>
                </c:pt>
                <c:pt idx="15">
                  <c:v>1.7000000000000002</c:v>
                </c:pt>
                <c:pt idx="16">
                  <c:v>2.3333333333333335</c:v>
                </c:pt>
                <c:pt idx="17">
                  <c:v>3.6333333333333342</c:v>
                </c:pt>
                <c:pt idx="18">
                  <c:v>2.5333333333333332</c:v>
                </c:pt>
                <c:pt idx="19">
                  <c:v>2.6666666666666665</c:v>
                </c:pt>
                <c:pt idx="20">
                  <c:v>3</c:v>
                </c:pt>
                <c:pt idx="21">
                  <c:v>3.7666666666666671</c:v>
                </c:pt>
                <c:pt idx="22">
                  <c:v>3.7666666666666671</c:v>
                </c:pt>
                <c:pt idx="23">
                  <c:v>0.76666666666666661</c:v>
                </c:pt>
                <c:pt idx="24">
                  <c:v>3.5666666666666664</c:v>
                </c:pt>
                <c:pt idx="25">
                  <c:v>1.9000000000000001</c:v>
                </c:pt>
                <c:pt idx="26">
                  <c:v>3.7666666666666671</c:v>
                </c:pt>
                <c:pt idx="27">
                  <c:v>5.333333333333341</c:v>
                </c:pt>
                <c:pt idx="28">
                  <c:v>3.3333333333333335</c:v>
                </c:pt>
                <c:pt idx="29">
                  <c:v>0.8333333333333337</c:v>
                </c:pt>
              </c:numCache>
            </c:numRef>
          </c:val>
        </c:ser>
        <c:marker val="1"/>
        <c:axId val="91406336"/>
        <c:axId val="92908160"/>
      </c:lineChart>
      <c:catAx>
        <c:axId val="83939328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3942784"/>
        <c:crossesAt val="0"/>
        <c:lblAlgn val="ctr"/>
        <c:lblOffset val="0"/>
        <c:tickLblSkip val="1"/>
        <c:tickMarkSkip val="4"/>
      </c:catAx>
      <c:valAx>
        <c:axId val="83942784"/>
        <c:scaling>
          <c:orientation val="minMax"/>
          <c:max val="40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3939328"/>
        <c:crosses val="autoZero"/>
        <c:crossBetween val="between"/>
        <c:majorUnit val="5"/>
      </c:valAx>
      <c:catAx>
        <c:axId val="91406336"/>
        <c:scaling>
          <c:orientation val="minMax"/>
        </c:scaling>
        <c:delete val="1"/>
        <c:axPos val="b"/>
        <c:numFmt formatCode="General" sourceLinked="1"/>
        <c:tickLblPos val="none"/>
        <c:crossAx val="92908160"/>
        <c:crosses val="autoZero"/>
        <c:auto val="1"/>
        <c:lblAlgn val="ctr"/>
        <c:lblOffset val="100"/>
      </c:catAx>
      <c:valAx>
        <c:axId val="92908160"/>
        <c:scaling>
          <c:orientation val="minMax"/>
          <c:max val="40"/>
          <c:min val="-30"/>
        </c:scaling>
        <c:delete val="1"/>
        <c:axPos val="r"/>
        <c:numFmt formatCode="0" sourceLinked="0"/>
        <c:majorTickMark val="in"/>
        <c:tickLblPos val="none"/>
        <c:crossAx val="91406336"/>
        <c:crosses val="max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9759612109554999E-2"/>
          <c:y val="0.86466408652853255"/>
          <c:w val="0.92803398048526087"/>
          <c:h val="0.1211766188050302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6155778692800765E-2"/>
          <c:y val="1.6563187842952729E-2"/>
          <c:w val="0.92847707700101312"/>
          <c:h val="0.74964447062338502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3'!$C$10</c:f>
              <c:strCache>
                <c:ptCount val="1"/>
                <c:pt idx="0">
                  <c:v>Index stavební produkce (ISP)*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3'!$A$11:$B$40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3'!$C$11:$C$40</c:f>
              <c:numCache>
                <c:formatCode>0.0</c:formatCode>
                <c:ptCount val="30"/>
                <c:pt idx="0">
                  <c:v>-22.648910008071788</c:v>
                </c:pt>
                <c:pt idx="1">
                  <c:v>-9.2156825309396009</c:v>
                </c:pt>
                <c:pt idx="2">
                  <c:v>-2.5810006468532833</c:v>
                </c:pt>
                <c:pt idx="3">
                  <c:v>-2.6505345871117547</c:v>
                </c:pt>
                <c:pt idx="4">
                  <c:v>4.8218751374231354</c:v>
                </c:pt>
                <c:pt idx="5">
                  <c:v>-5.294317605789729</c:v>
                </c:pt>
                <c:pt idx="6">
                  <c:v>-9.1132729088378959</c:v>
                </c:pt>
                <c:pt idx="7">
                  <c:v>-0.52625926393379563</c:v>
                </c:pt>
                <c:pt idx="8">
                  <c:v>-10.317415522066002</c:v>
                </c:pt>
                <c:pt idx="9">
                  <c:v>-5.029801427639697</c:v>
                </c:pt>
                <c:pt idx="10">
                  <c:v>-5.7533277226356514</c:v>
                </c:pt>
                <c:pt idx="11">
                  <c:v>-9.3369393893636641</c:v>
                </c:pt>
                <c:pt idx="12">
                  <c:v>-10.150277046339168</c:v>
                </c:pt>
                <c:pt idx="13">
                  <c:v>-11.698293439718171</c:v>
                </c:pt>
                <c:pt idx="14">
                  <c:v>-5.1620407483658042</c:v>
                </c:pt>
                <c:pt idx="15">
                  <c:v>-2.7391641013363182</c:v>
                </c:pt>
                <c:pt idx="16">
                  <c:v>13.259224349587512</c:v>
                </c:pt>
                <c:pt idx="17">
                  <c:v>5.5883892232888144</c:v>
                </c:pt>
                <c:pt idx="18">
                  <c:v>2.4083178914779824</c:v>
                </c:pt>
                <c:pt idx="19">
                  <c:v>1.0830991984453098</c:v>
                </c:pt>
                <c:pt idx="20">
                  <c:v>9.4921215706515589</c:v>
                </c:pt>
                <c:pt idx="21">
                  <c:v>12.22046613403414</c:v>
                </c:pt>
                <c:pt idx="22">
                  <c:v>8.341932816098705</c:v>
                </c:pt>
                <c:pt idx="23">
                  <c:v>1.0720608168441288</c:v>
                </c:pt>
                <c:pt idx="24">
                  <c:v>-6.3766673350847878</c:v>
                </c:pt>
                <c:pt idx="25">
                  <c:v>-10.606479221697157</c:v>
                </c:pt>
                <c:pt idx="26">
                  <c:v>-6.2234043259433394</c:v>
                </c:pt>
                <c:pt idx="27">
                  <c:v>-2.0138842383096716</c:v>
                </c:pt>
                <c:pt idx="28">
                  <c:v>-2.322959798748613</c:v>
                </c:pt>
                <c:pt idx="29">
                  <c:v>7.674140993672296</c:v>
                </c:pt>
              </c:numCache>
            </c:numRef>
          </c:val>
        </c:ser>
        <c:gapWidth val="31"/>
        <c:axId val="96324224"/>
        <c:axId val="96441472"/>
      </c:barChart>
      <c:lineChart>
        <c:grouping val="standard"/>
        <c:ser>
          <c:idx val="1"/>
          <c:order val="1"/>
          <c:tx>
            <c:strRef>
              <c:f>'výkonnost odvětví 3'!$D$10</c:f>
              <c:strCache>
                <c:ptCount val="1"/>
                <c:pt idx="0">
                  <c:v>ISP v pozemním stavitelství*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3'!$D$11:$D$40</c:f>
              <c:numCache>
                <c:formatCode>0.0</c:formatCode>
                <c:ptCount val="30"/>
                <c:pt idx="0">
                  <c:v>-27.130657556913505</c:v>
                </c:pt>
                <c:pt idx="1">
                  <c:v>-10.261407895857802</c:v>
                </c:pt>
                <c:pt idx="2">
                  <c:v>-0.58665460092620947</c:v>
                </c:pt>
                <c:pt idx="3">
                  <c:v>0.23546774022076991</c:v>
                </c:pt>
                <c:pt idx="4">
                  <c:v>8.1339439149999464</c:v>
                </c:pt>
                <c:pt idx="5">
                  <c:v>-1.7000247343842716</c:v>
                </c:pt>
                <c:pt idx="6">
                  <c:v>-6.3339756975623089</c:v>
                </c:pt>
                <c:pt idx="7">
                  <c:v>2.1912842598312636</c:v>
                </c:pt>
                <c:pt idx="8">
                  <c:v>-7.4948272420796371</c:v>
                </c:pt>
                <c:pt idx="9">
                  <c:v>-2.3014859610473053</c:v>
                </c:pt>
                <c:pt idx="10">
                  <c:v>-5.2500653746264545</c:v>
                </c:pt>
                <c:pt idx="11">
                  <c:v>-9.6056058915045668</c:v>
                </c:pt>
                <c:pt idx="12">
                  <c:v>-9.3657718913871548</c:v>
                </c:pt>
                <c:pt idx="13">
                  <c:v>-11.121354416361518</c:v>
                </c:pt>
                <c:pt idx="14">
                  <c:v>-1.5579556005030071</c:v>
                </c:pt>
                <c:pt idx="15">
                  <c:v>-2.9748120379874048</c:v>
                </c:pt>
                <c:pt idx="16">
                  <c:v>16.805784814600059</c:v>
                </c:pt>
                <c:pt idx="17">
                  <c:v>5.0881502079620695</c:v>
                </c:pt>
                <c:pt idx="18">
                  <c:v>-1.0678896819859598</c:v>
                </c:pt>
                <c:pt idx="19">
                  <c:v>-0.33059893139294277</c:v>
                </c:pt>
                <c:pt idx="20">
                  <c:v>7.9282098756323904</c:v>
                </c:pt>
                <c:pt idx="21">
                  <c:v>7.3316347433463314</c:v>
                </c:pt>
                <c:pt idx="22">
                  <c:v>1.3176939481690495</c:v>
                </c:pt>
                <c:pt idx="23">
                  <c:v>-2.6482987614626872</c:v>
                </c:pt>
                <c:pt idx="24">
                  <c:v>-6.6444498463628747</c:v>
                </c:pt>
                <c:pt idx="25">
                  <c:v>-7.7640616369894033</c:v>
                </c:pt>
                <c:pt idx="26">
                  <c:v>1.3238680635700604</c:v>
                </c:pt>
                <c:pt idx="27">
                  <c:v>6.0909470992974661</c:v>
                </c:pt>
                <c:pt idx="28">
                  <c:v>1.6274325108293084</c:v>
                </c:pt>
                <c:pt idx="29">
                  <c:v>13.427632335606242</c:v>
                </c:pt>
              </c:numCache>
            </c:numRef>
          </c:val>
        </c:ser>
        <c:ser>
          <c:idx val="2"/>
          <c:order val="2"/>
          <c:tx>
            <c:strRef>
              <c:f>'výkonnost odvětví 3'!$E$10</c:f>
              <c:strCache>
                <c:ptCount val="1"/>
                <c:pt idx="0">
                  <c:v>ISP v inženýrském stavitelství*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3'!$E$11:$E$40</c:f>
              <c:numCache>
                <c:formatCode>0.0</c:formatCode>
                <c:ptCount val="30"/>
                <c:pt idx="0">
                  <c:v>-9.2195637782418913</c:v>
                </c:pt>
                <c:pt idx="1">
                  <c:v>-7.2700248828442744</c:v>
                </c:pt>
                <c:pt idx="2">
                  <c:v>-6.0982659873771103</c:v>
                </c:pt>
                <c:pt idx="3">
                  <c:v>-7.790610683153866</c:v>
                </c:pt>
                <c:pt idx="4">
                  <c:v>-3.1444754115018867</c:v>
                </c:pt>
                <c:pt idx="5">
                  <c:v>-11.766061955270358</c:v>
                </c:pt>
                <c:pt idx="6">
                  <c:v>-14.302595679470476</c:v>
                </c:pt>
                <c:pt idx="7">
                  <c:v>-5.7875906342403169</c:v>
                </c:pt>
                <c:pt idx="8">
                  <c:v>-17.896997346818754</c:v>
                </c:pt>
                <c:pt idx="9">
                  <c:v>-10.502735570148518</c:v>
                </c:pt>
                <c:pt idx="10">
                  <c:v>-6.7803610838127355</c:v>
                </c:pt>
                <c:pt idx="11">
                  <c:v>-8.772732461160853</c:v>
                </c:pt>
                <c:pt idx="12">
                  <c:v>-12.523838561195788</c:v>
                </c:pt>
                <c:pt idx="13">
                  <c:v>-12.961672718623616</c:v>
                </c:pt>
                <c:pt idx="14">
                  <c:v>-12.637823237894798</c:v>
                </c:pt>
                <c:pt idx="15">
                  <c:v>-2.2488150197283687</c:v>
                </c:pt>
                <c:pt idx="16">
                  <c:v>2.1415338047714303</c:v>
                </c:pt>
                <c:pt idx="17">
                  <c:v>6.7069724097109864</c:v>
                </c:pt>
                <c:pt idx="18">
                  <c:v>10.533338913399334</c:v>
                </c:pt>
                <c:pt idx="19">
                  <c:v>4.0029514105969852</c:v>
                </c:pt>
                <c:pt idx="20">
                  <c:v>15.098487191355471</c:v>
                </c:pt>
                <c:pt idx="21">
                  <c:v>22.986524631637685</c:v>
                </c:pt>
                <c:pt idx="22">
                  <c:v>23.036677602226387</c:v>
                </c:pt>
                <c:pt idx="23">
                  <c:v>8.4359168367748705</c:v>
                </c:pt>
                <c:pt idx="24">
                  <c:v>-5.4765134545503393</c:v>
                </c:pt>
                <c:pt idx="25">
                  <c:v>-16.069209677741203</c:v>
                </c:pt>
                <c:pt idx="26">
                  <c:v>-19.225204934626067</c:v>
                </c:pt>
                <c:pt idx="27">
                  <c:v>-16.41628005697558</c:v>
                </c:pt>
                <c:pt idx="28">
                  <c:v>-15.438167879080353</c:v>
                </c:pt>
                <c:pt idx="29">
                  <c:v>-4.477423951790243</c:v>
                </c:pt>
              </c:numCache>
            </c:numRef>
          </c:val>
        </c:ser>
        <c:ser>
          <c:idx val="3"/>
          <c:order val="3"/>
          <c:tx>
            <c:strRef>
              <c:f>'výkonnost odvětví 3'!$F$10</c:f>
              <c:strCache>
                <c:ptCount val="1"/>
                <c:pt idx="0">
                  <c:v>Nové zakázky ve stavebnictví celkem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3'!$F$11:$F$40</c:f>
              <c:numCache>
                <c:formatCode>0.0</c:formatCode>
                <c:ptCount val="30"/>
                <c:pt idx="0">
                  <c:v>0.82757088505651666</c:v>
                </c:pt>
                <c:pt idx="1">
                  <c:v>8.7687755178484537</c:v>
                </c:pt>
                <c:pt idx="2">
                  <c:v>30.89471189070375</c:v>
                </c:pt>
                <c:pt idx="3">
                  <c:v>-13.415413805192939</c:v>
                </c:pt>
                <c:pt idx="4">
                  <c:v>37.795405718063193</c:v>
                </c:pt>
                <c:pt idx="5">
                  <c:v>-23.565672566981156</c:v>
                </c:pt>
                <c:pt idx="6">
                  <c:v>-23.360716461156017</c:v>
                </c:pt>
                <c:pt idx="7">
                  <c:v>-9.1653963414634205</c:v>
                </c:pt>
                <c:pt idx="8">
                  <c:v>-46.32205964659795</c:v>
                </c:pt>
                <c:pt idx="9">
                  <c:v>-13.714800630772698</c:v>
                </c:pt>
                <c:pt idx="10">
                  <c:v>-7.6729748888363716</c:v>
                </c:pt>
                <c:pt idx="11">
                  <c:v>7.5624082232011753</c:v>
                </c:pt>
                <c:pt idx="12">
                  <c:v>-17.695687793252429</c:v>
                </c:pt>
                <c:pt idx="13">
                  <c:v>-1.584773641063137</c:v>
                </c:pt>
                <c:pt idx="14">
                  <c:v>-1.3308205951467045</c:v>
                </c:pt>
                <c:pt idx="15">
                  <c:v>16.153096050706978</c:v>
                </c:pt>
                <c:pt idx="16">
                  <c:v>67.509727626459025</c:v>
                </c:pt>
                <c:pt idx="17">
                  <c:v>18.978644382544068</c:v>
                </c:pt>
                <c:pt idx="18">
                  <c:v>34.050931384107542</c:v>
                </c:pt>
                <c:pt idx="19">
                  <c:v>-1</c:v>
                </c:pt>
                <c:pt idx="20">
                  <c:v>-3.1547956675580053</c:v>
                </c:pt>
                <c:pt idx="21">
                  <c:v>9.7504961091663347</c:v>
                </c:pt>
                <c:pt idx="22">
                  <c:v>-1.0976060227612561</c:v>
                </c:pt>
                <c:pt idx="23">
                  <c:v>-2.3987783410040464</c:v>
                </c:pt>
                <c:pt idx="24">
                  <c:v>-6.6406358945753805</c:v>
                </c:pt>
                <c:pt idx="25">
                  <c:v>-0.49977652269311085</c:v>
                </c:pt>
                <c:pt idx="26">
                  <c:v>-7.0322087253454839</c:v>
                </c:pt>
                <c:pt idx="27">
                  <c:v>10.122126124559955</c:v>
                </c:pt>
                <c:pt idx="28">
                  <c:v>16.610402413885833</c:v>
                </c:pt>
                <c:pt idx="29">
                  <c:v>9.3574534985809805</c:v>
                </c:pt>
              </c:numCache>
            </c:numRef>
          </c:val>
        </c:ser>
        <c:ser>
          <c:idx val="4"/>
          <c:order val="4"/>
          <c:tx>
            <c:strRef>
              <c:f>'výkonnost odvětví 3'!$G$10</c:f>
              <c:strCache>
                <c:ptCount val="1"/>
                <c:pt idx="0">
                  <c:v>Saldo indik. důvěry ve stavebnictví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ash"/>
            <c:size val="9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3'!$A$11:$B$40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3'!$G$11:$G$40</c:f>
              <c:numCache>
                <c:formatCode>0.0</c:formatCode>
                <c:ptCount val="30"/>
                <c:pt idx="0">
                  <c:v>-32.166666666666565</c:v>
                </c:pt>
                <c:pt idx="1">
                  <c:v>-32.5</c:v>
                </c:pt>
                <c:pt idx="2">
                  <c:v>-37</c:v>
                </c:pt>
                <c:pt idx="3">
                  <c:v>-42.5</c:v>
                </c:pt>
                <c:pt idx="4">
                  <c:v>-40</c:v>
                </c:pt>
                <c:pt idx="5">
                  <c:v>-40.333333333333336</c:v>
                </c:pt>
                <c:pt idx="6">
                  <c:v>-39.166666666666565</c:v>
                </c:pt>
                <c:pt idx="7">
                  <c:v>-39.333333333333336</c:v>
                </c:pt>
                <c:pt idx="8">
                  <c:v>-46</c:v>
                </c:pt>
                <c:pt idx="9">
                  <c:v>-45.333333333333336</c:v>
                </c:pt>
                <c:pt idx="10">
                  <c:v>-43.5</c:v>
                </c:pt>
                <c:pt idx="11">
                  <c:v>-44.666666666666565</c:v>
                </c:pt>
                <c:pt idx="12">
                  <c:v>-46</c:v>
                </c:pt>
                <c:pt idx="13">
                  <c:v>-53.333333333333336</c:v>
                </c:pt>
                <c:pt idx="14">
                  <c:v>-49.5</c:v>
                </c:pt>
                <c:pt idx="15">
                  <c:v>-50.833333333333336</c:v>
                </c:pt>
                <c:pt idx="16">
                  <c:v>-45.166666666666565</c:v>
                </c:pt>
                <c:pt idx="17">
                  <c:v>-38.333333333333336</c:v>
                </c:pt>
                <c:pt idx="18">
                  <c:v>-32</c:v>
                </c:pt>
                <c:pt idx="19">
                  <c:v>-25.166666666666668</c:v>
                </c:pt>
                <c:pt idx="20">
                  <c:v>-20.833333333333282</c:v>
                </c:pt>
                <c:pt idx="21">
                  <c:v>-16.333333333333282</c:v>
                </c:pt>
                <c:pt idx="22">
                  <c:v>-18.666666666666668</c:v>
                </c:pt>
                <c:pt idx="23">
                  <c:v>-15.66666666666668</c:v>
                </c:pt>
                <c:pt idx="24">
                  <c:v>-17.166666666666668</c:v>
                </c:pt>
                <c:pt idx="25">
                  <c:v>-24</c:v>
                </c:pt>
                <c:pt idx="26">
                  <c:v>-26.666666666666668</c:v>
                </c:pt>
                <c:pt idx="27">
                  <c:v>-25.833333333333282</c:v>
                </c:pt>
                <c:pt idx="28">
                  <c:v>-24.5</c:v>
                </c:pt>
                <c:pt idx="29">
                  <c:v>-22.666666666666668</c:v>
                </c:pt>
              </c:numCache>
            </c:numRef>
          </c:val>
        </c:ser>
        <c:marker val="1"/>
        <c:axId val="96324224"/>
        <c:axId val="96441472"/>
      </c:lineChart>
      <c:catAx>
        <c:axId val="9632422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6441472"/>
        <c:crossesAt val="0"/>
        <c:lblAlgn val="ctr"/>
        <c:lblOffset val="0"/>
        <c:tickLblSkip val="1"/>
        <c:tickMarkSkip val="4"/>
      </c:catAx>
      <c:valAx>
        <c:axId val="96441472"/>
        <c:scaling>
          <c:orientation val="minMax"/>
          <c:max val="50"/>
          <c:min val="-6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6324224"/>
        <c:crosses val="autoZero"/>
        <c:crossBetween val="between"/>
        <c:majorUnit val="10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756708056613167E-2"/>
          <c:y val="0.87003886444790779"/>
          <c:w val="0.92610625633232013"/>
          <c:h val="0.1146535032960096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3337294494629933E-2"/>
          <c:y val="2.5454073336495381E-2"/>
          <c:w val="0.91372590696101663"/>
          <c:h val="0.72225502843009826"/>
        </c:manualLayout>
      </c:layout>
      <c:barChart>
        <c:barDir val="col"/>
        <c:grouping val="clustered"/>
        <c:ser>
          <c:idx val="0"/>
          <c:order val="0"/>
          <c:tx>
            <c:strRef>
              <c:f>'výkonnost odvětví 4'!$C$10</c:f>
              <c:strCache>
                <c:ptCount val="1"/>
                <c:pt idx="0">
                  <c:v>Služby celkem*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multiLvlStrRef>
              <c:f>'výkonnost odvětví 4'!$A$11:$B$40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4'!$C$11:$C$40</c:f>
              <c:numCache>
                <c:formatCode>#,##0.0</c:formatCode>
                <c:ptCount val="30"/>
                <c:pt idx="0">
                  <c:v>-4.5086821461459685</c:v>
                </c:pt>
                <c:pt idx="1">
                  <c:v>-0.32835885535858966</c:v>
                </c:pt>
                <c:pt idx="2">
                  <c:v>0.73946053993891758</c:v>
                </c:pt>
                <c:pt idx="3">
                  <c:v>-2.5152236064232767</c:v>
                </c:pt>
                <c:pt idx="4">
                  <c:v>0.28391768756938657</c:v>
                </c:pt>
                <c:pt idx="5">
                  <c:v>-0.70805078172122293</c:v>
                </c:pt>
                <c:pt idx="6">
                  <c:v>-4.5203767606311374</c:v>
                </c:pt>
                <c:pt idx="7">
                  <c:v>-2.2655181443709602</c:v>
                </c:pt>
                <c:pt idx="8">
                  <c:v>0.37351297841811981</c:v>
                </c:pt>
                <c:pt idx="9">
                  <c:v>-1.1871830565365595</c:v>
                </c:pt>
                <c:pt idx="10">
                  <c:v>1.12261787205157</c:v>
                </c:pt>
                <c:pt idx="11">
                  <c:v>-1.3757772010385321</c:v>
                </c:pt>
                <c:pt idx="12">
                  <c:v>-0.13738089259027284</c:v>
                </c:pt>
                <c:pt idx="13">
                  <c:v>-0.88320355282115759</c:v>
                </c:pt>
                <c:pt idx="14">
                  <c:v>-1.390692156642402</c:v>
                </c:pt>
                <c:pt idx="15">
                  <c:v>1.6364179776865724</c:v>
                </c:pt>
                <c:pt idx="16">
                  <c:v>2.8771336307295448</c:v>
                </c:pt>
                <c:pt idx="17">
                  <c:v>1.002019192308552</c:v>
                </c:pt>
                <c:pt idx="18">
                  <c:v>0.49159162809337426</c:v>
                </c:pt>
                <c:pt idx="19">
                  <c:v>-0.25866374543002729</c:v>
                </c:pt>
                <c:pt idx="20">
                  <c:v>3.6461757644776007</c:v>
                </c:pt>
                <c:pt idx="21">
                  <c:v>3.0546031719619742</c:v>
                </c:pt>
                <c:pt idx="22">
                  <c:v>3.647984423755247</c:v>
                </c:pt>
                <c:pt idx="23">
                  <c:v>2.3368507053215524</c:v>
                </c:pt>
                <c:pt idx="24">
                  <c:v>1.3201546203116981</c:v>
                </c:pt>
                <c:pt idx="25">
                  <c:v>-0.70323122890518164</c:v>
                </c:pt>
                <c:pt idx="26">
                  <c:v>1.4219592632575997</c:v>
                </c:pt>
                <c:pt idx="27">
                  <c:v>1.6211618392301546</c:v>
                </c:pt>
                <c:pt idx="28">
                  <c:v>5.3320233480099262</c:v>
                </c:pt>
                <c:pt idx="29">
                  <c:v>5.7170689693668066</c:v>
                </c:pt>
              </c:numCache>
            </c:numRef>
          </c:val>
        </c:ser>
        <c:gapWidth val="31"/>
        <c:axId val="96588928"/>
        <c:axId val="96590464"/>
      </c:barChart>
      <c:lineChart>
        <c:grouping val="standard"/>
        <c:ser>
          <c:idx val="1"/>
          <c:order val="1"/>
          <c:tx>
            <c:strRef>
              <c:f>'výkonnost odvětví 4'!$D$10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iamond"/>
            <c:size val="5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4'!$A$11:$B$40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4'!$D$11:$D$40</c:f>
              <c:numCache>
                <c:formatCode>#,##0.0</c:formatCode>
                <c:ptCount val="30"/>
                <c:pt idx="0">
                  <c:v>1.1947172056579101</c:v>
                </c:pt>
                <c:pt idx="1">
                  <c:v>6.1612006923673164</c:v>
                </c:pt>
                <c:pt idx="2">
                  <c:v>3.8321763739405177</c:v>
                </c:pt>
                <c:pt idx="3">
                  <c:v>1.9422562614741141</c:v>
                </c:pt>
                <c:pt idx="4">
                  <c:v>3.9905907077130012</c:v>
                </c:pt>
                <c:pt idx="5">
                  <c:v>0.66863750176709402</c:v>
                </c:pt>
                <c:pt idx="6">
                  <c:v>-0.96992608501065547</c:v>
                </c:pt>
                <c:pt idx="7">
                  <c:v>1.53701358146796</c:v>
                </c:pt>
                <c:pt idx="8">
                  <c:v>0.8641943307704768</c:v>
                </c:pt>
                <c:pt idx="9">
                  <c:v>1.820374106952102</c:v>
                </c:pt>
                <c:pt idx="10">
                  <c:v>3.4982887263413289</c:v>
                </c:pt>
                <c:pt idx="11">
                  <c:v>-1.8034409137813583</c:v>
                </c:pt>
                <c:pt idx="12">
                  <c:v>3.3926540371390943</c:v>
                </c:pt>
                <c:pt idx="13">
                  <c:v>2.7604642355407671</c:v>
                </c:pt>
                <c:pt idx="14">
                  <c:v>2.2208650522536715</c:v>
                </c:pt>
                <c:pt idx="15">
                  <c:v>10.115669423589594</c:v>
                </c:pt>
                <c:pt idx="16">
                  <c:v>6.7018833973273502</c:v>
                </c:pt>
                <c:pt idx="17">
                  <c:v>2.7333521657622981</c:v>
                </c:pt>
                <c:pt idx="18">
                  <c:v>2.0465515678918011</c:v>
                </c:pt>
                <c:pt idx="19">
                  <c:v>-1.530844720104767</c:v>
                </c:pt>
                <c:pt idx="20">
                  <c:v>1.002169684302757</c:v>
                </c:pt>
                <c:pt idx="21">
                  <c:v>9.8032147612841E-2</c:v>
                </c:pt>
                <c:pt idx="22">
                  <c:v>0.86950159365595425</c:v>
                </c:pt>
                <c:pt idx="23">
                  <c:v>0.28377530048348376</c:v>
                </c:pt>
                <c:pt idx="24">
                  <c:v>0.39004135456362121</c:v>
                </c:pt>
                <c:pt idx="25">
                  <c:v>0.85652658073075461</c:v>
                </c:pt>
                <c:pt idx="26">
                  <c:v>0.45460658671727588</c:v>
                </c:pt>
                <c:pt idx="27">
                  <c:v>2.9315490427268287</c:v>
                </c:pt>
                <c:pt idx="28">
                  <c:v>5.6249935981077908</c:v>
                </c:pt>
                <c:pt idx="29">
                  <c:v>3.6515405709936597</c:v>
                </c:pt>
              </c:numCache>
            </c:numRef>
          </c:val>
        </c:ser>
        <c:ser>
          <c:idx val="2"/>
          <c:order val="2"/>
          <c:tx>
            <c:strRef>
              <c:f>'výkonnost odvětví 4'!$E$10</c:f>
              <c:strCache>
                <c:ptCount val="1"/>
                <c:pt idx="0">
                  <c:v> Ubytování, stravování a pohostinství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4'!$E$11:$E$40</c:f>
              <c:numCache>
                <c:formatCode>#,##0.0</c:formatCode>
                <c:ptCount val="30"/>
                <c:pt idx="0">
                  <c:v>-5.6975334622339355</c:v>
                </c:pt>
                <c:pt idx="1">
                  <c:v>-6.4566291711690624</c:v>
                </c:pt>
                <c:pt idx="2">
                  <c:v>-2.3613693441163552</c:v>
                </c:pt>
                <c:pt idx="3">
                  <c:v>-4.3794822068248322</c:v>
                </c:pt>
                <c:pt idx="4">
                  <c:v>-0.4555737275375123</c:v>
                </c:pt>
                <c:pt idx="5">
                  <c:v>2.8719283904406567</c:v>
                </c:pt>
                <c:pt idx="6">
                  <c:v>-2.0593466230799167</c:v>
                </c:pt>
                <c:pt idx="7">
                  <c:v>-1.7256463028242957</c:v>
                </c:pt>
                <c:pt idx="8">
                  <c:v>-2.0799940910439592</c:v>
                </c:pt>
                <c:pt idx="9">
                  <c:v>-2.7104496472732067</c:v>
                </c:pt>
                <c:pt idx="10">
                  <c:v>-1.7795460053675638</c:v>
                </c:pt>
                <c:pt idx="11">
                  <c:v>-3.5479456831717799</c:v>
                </c:pt>
                <c:pt idx="12">
                  <c:v>0.89755614973260101</c:v>
                </c:pt>
                <c:pt idx="13">
                  <c:v>0.22924413123806248</c:v>
                </c:pt>
                <c:pt idx="14">
                  <c:v>1.6544632966843258</c:v>
                </c:pt>
                <c:pt idx="15">
                  <c:v>0.76912142555656571</c:v>
                </c:pt>
                <c:pt idx="16">
                  <c:v>2.8501068964853005</c:v>
                </c:pt>
                <c:pt idx="17">
                  <c:v>2.4958042132578977</c:v>
                </c:pt>
                <c:pt idx="18">
                  <c:v>-0.14347203797564134</c:v>
                </c:pt>
                <c:pt idx="19">
                  <c:v>9.4433474314613006E-2</c:v>
                </c:pt>
                <c:pt idx="20">
                  <c:v>2.7050589721666398</c:v>
                </c:pt>
                <c:pt idx="21">
                  <c:v>7.5318806290230071</c:v>
                </c:pt>
                <c:pt idx="22">
                  <c:v>7.8389885799991843</c:v>
                </c:pt>
                <c:pt idx="23">
                  <c:v>4.8733206144871906</c:v>
                </c:pt>
                <c:pt idx="24">
                  <c:v>5.5782241405589019</c:v>
                </c:pt>
                <c:pt idx="25">
                  <c:v>2.058514914094502</c:v>
                </c:pt>
                <c:pt idx="26">
                  <c:v>6.8375251195024545</c:v>
                </c:pt>
                <c:pt idx="27">
                  <c:v>7.3108025341731784</c:v>
                </c:pt>
                <c:pt idx="28">
                  <c:v>12.012080667822977</c:v>
                </c:pt>
                <c:pt idx="29">
                  <c:v>13.433599076288381</c:v>
                </c:pt>
              </c:numCache>
            </c:numRef>
          </c:val>
        </c:ser>
        <c:ser>
          <c:idx val="3"/>
          <c:order val="3"/>
          <c:tx>
            <c:strRef>
              <c:f>'výkonnost odvětví 4'!$F$10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4'!$A$11:$B$40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4'!$F$11:$F$40</c:f>
              <c:numCache>
                <c:formatCode>#,##0.0</c:formatCode>
                <c:ptCount val="30"/>
                <c:pt idx="0">
                  <c:v>-12.29140286587932</c:v>
                </c:pt>
                <c:pt idx="1">
                  <c:v>-4.2369590371524453</c:v>
                </c:pt>
                <c:pt idx="2">
                  <c:v>-1.208037948075718</c:v>
                </c:pt>
                <c:pt idx="3">
                  <c:v>-7.4305239361272575</c:v>
                </c:pt>
                <c:pt idx="4">
                  <c:v>-5.3334335616924555</c:v>
                </c:pt>
                <c:pt idx="5">
                  <c:v>-4.4160578473172265</c:v>
                </c:pt>
                <c:pt idx="6">
                  <c:v>-16.037856901980945</c:v>
                </c:pt>
                <c:pt idx="7">
                  <c:v>-8.5897289971528039</c:v>
                </c:pt>
                <c:pt idx="8">
                  <c:v>1.7788922355555599</c:v>
                </c:pt>
                <c:pt idx="9">
                  <c:v>-5.9954391231438509</c:v>
                </c:pt>
                <c:pt idx="10">
                  <c:v>-0.72796001543736111</c:v>
                </c:pt>
                <c:pt idx="11">
                  <c:v>0.13792425546452591</c:v>
                </c:pt>
                <c:pt idx="12">
                  <c:v>-4.5792020329988414</c:v>
                </c:pt>
                <c:pt idx="13">
                  <c:v>-7.3603324814945523</c:v>
                </c:pt>
                <c:pt idx="14">
                  <c:v>-9.2524678147347483</c:v>
                </c:pt>
                <c:pt idx="15">
                  <c:v>-5.1127026831459688</c:v>
                </c:pt>
                <c:pt idx="16">
                  <c:v>-3.1398591187232232</c:v>
                </c:pt>
                <c:pt idx="17">
                  <c:v>-2.2337848171194423</c:v>
                </c:pt>
                <c:pt idx="18">
                  <c:v>-3.2082111393684301</c:v>
                </c:pt>
                <c:pt idx="19">
                  <c:v>-0.51190205487802132</c:v>
                </c:pt>
                <c:pt idx="20">
                  <c:v>5.0596405878540853</c:v>
                </c:pt>
                <c:pt idx="21">
                  <c:v>3.9939192273867832</c:v>
                </c:pt>
                <c:pt idx="22">
                  <c:v>5.6343976736692696</c:v>
                </c:pt>
                <c:pt idx="23">
                  <c:v>-0.90536959838848963</c:v>
                </c:pt>
                <c:pt idx="24">
                  <c:v>-1.6283771135000562</c:v>
                </c:pt>
                <c:pt idx="25">
                  <c:v>-7.4064779750107324</c:v>
                </c:pt>
                <c:pt idx="26">
                  <c:v>-0.53409395066332155</c:v>
                </c:pt>
                <c:pt idx="27">
                  <c:v>-1.4896673386361239</c:v>
                </c:pt>
                <c:pt idx="28">
                  <c:v>2.2822998345791197</c:v>
                </c:pt>
                <c:pt idx="29">
                  <c:v>3.9913465625417359</c:v>
                </c:pt>
              </c:numCache>
            </c:numRef>
          </c:val>
        </c:ser>
        <c:ser>
          <c:idx val="4"/>
          <c:order val="4"/>
          <c:tx>
            <c:strRef>
              <c:f>'výkonnost odvětví 4'!$G$10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4'!$A$11:$B$40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'výkonnost odvětví 4'!$G$11:$G$40</c:f>
              <c:numCache>
                <c:formatCode>#,##0.0</c:formatCode>
                <c:ptCount val="30"/>
                <c:pt idx="0">
                  <c:v>-1.6549602302955009</c:v>
                </c:pt>
                <c:pt idx="1">
                  <c:v>-2.3594924008949767</c:v>
                </c:pt>
                <c:pt idx="2">
                  <c:v>1.0685094464073757</c:v>
                </c:pt>
                <c:pt idx="3">
                  <c:v>1.802428689681236</c:v>
                </c:pt>
                <c:pt idx="4">
                  <c:v>4.5715948454982955</c:v>
                </c:pt>
                <c:pt idx="5">
                  <c:v>5.6146067882748127</c:v>
                </c:pt>
                <c:pt idx="6">
                  <c:v>5.0768754367534825</c:v>
                </c:pt>
                <c:pt idx="7">
                  <c:v>3.1246108505308001</c:v>
                </c:pt>
                <c:pt idx="8">
                  <c:v>4.9368462848572499</c:v>
                </c:pt>
                <c:pt idx="9">
                  <c:v>2.4137029520887547</c:v>
                </c:pt>
                <c:pt idx="10">
                  <c:v>4.162983171891895</c:v>
                </c:pt>
                <c:pt idx="11">
                  <c:v>-1.7756569206553507</c:v>
                </c:pt>
                <c:pt idx="12">
                  <c:v>-0.44871471439856236</c:v>
                </c:pt>
                <c:pt idx="13">
                  <c:v>0.9939088783912382</c:v>
                </c:pt>
                <c:pt idx="14">
                  <c:v>0.7362302514327016</c:v>
                </c:pt>
                <c:pt idx="15">
                  <c:v>3.5140731651337394</c:v>
                </c:pt>
                <c:pt idx="16">
                  <c:v>5.1516745001737263</c:v>
                </c:pt>
                <c:pt idx="17">
                  <c:v>3.2158782239781782</c:v>
                </c:pt>
                <c:pt idx="18">
                  <c:v>1.6599049809022119</c:v>
                </c:pt>
                <c:pt idx="19">
                  <c:v>2.1099084628199742</c:v>
                </c:pt>
                <c:pt idx="20">
                  <c:v>6.1376093301024781</c:v>
                </c:pt>
                <c:pt idx="21">
                  <c:v>6.6225322026989568</c:v>
                </c:pt>
                <c:pt idx="22">
                  <c:v>5.29807791431341</c:v>
                </c:pt>
                <c:pt idx="23">
                  <c:v>6.7528747274731273</c:v>
                </c:pt>
                <c:pt idx="24">
                  <c:v>5.6113763982608589</c:v>
                </c:pt>
                <c:pt idx="25">
                  <c:v>3.1599869758994714</c:v>
                </c:pt>
                <c:pt idx="26">
                  <c:v>3.1913401196739528</c:v>
                </c:pt>
                <c:pt idx="27">
                  <c:v>5.1831722314395066</c:v>
                </c:pt>
                <c:pt idx="28">
                  <c:v>9.5426188339913836</c:v>
                </c:pt>
                <c:pt idx="29">
                  <c:v>9.7122164188196507</c:v>
                </c:pt>
              </c:numCache>
            </c:numRef>
          </c:val>
        </c:ser>
        <c:marker val="1"/>
        <c:axId val="96588928"/>
        <c:axId val="96590464"/>
      </c:lineChart>
      <c:catAx>
        <c:axId val="96588928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6590464"/>
        <c:crosses val="autoZero"/>
        <c:lblAlgn val="ctr"/>
        <c:lblOffset val="0"/>
        <c:tickLblSkip val="1"/>
        <c:tickMarkSkip val="4"/>
      </c:catAx>
      <c:valAx>
        <c:axId val="96590464"/>
        <c:scaling>
          <c:orientation val="minMax"/>
          <c:max val="14"/>
          <c:min val="-1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6588928"/>
        <c:crosses val="autoZero"/>
        <c:crossBetween val="between"/>
        <c:majorUnit val="2"/>
      </c:val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159200603222566E-2"/>
          <c:y val="0.85483926715618785"/>
          <c:w val="0.89381333170940258"/>
          <c:h val="0.13079630039707363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0.58947</cdr:x>
      <cdr:y>0.01868</cdr:y>
    </cdr:from>
    <cdr:to>
      <cdr:x>0.6376</cdr:x>
      <cdr:y>0.05626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2799499" y="66271"/>
          <a:ext cx="228579" cy="13334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7DBB2D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0.64912</cdr:x>
      <cdr:y>0.04249</cdr:y>
    </cdr:from>
    <cdr:to>
      <cdr:x>0.72324</cdr:x>
      <cdr:y>0.09724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082788" y="150770"/>
          <a:ext cx="352011" cy="1942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7DBB2D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C870-1EF8-46AC-B500-231E0C6F4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FE87D-F445-488B-9200-91FDE5B4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4</TotalTime>
  <Pages>5</Pages>
  <Words>2537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17478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2017-03-16T10:07:00Z</cp:lastPrinted>
  <dcterms:created xsi:type="dcterms:W3CDTF">2017-09-20T13:13:00Z</dcterms:created>
  <dcterms:modified xsi:type="dcterms:W3CDTF">2017-09-20T13:25:00Z</dcterms:modified>
</cp:coreProperties>
</file>