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6E2FD8" w:rsidP="00DE18F3">
      <w:pPr>
        <w:pStyle w:val="datum"/>
        <w:spacing w:line="240" w:lineRule="auto"/>
        <w:ind w:right="-284"/>
      </w:pPr>
      <w:r>
        <w:t>30</w:t>
      </w:r>
      <w:r w:rsidR="00E9464E">
        <w:t>. května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6E2FD8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Nejvyšší počet zemřelých je v Moravskoslezském kraji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6E2FD8" w:rsidRDefault="00E9464E" w:rsidP="00DE18F3">
      <w:pPr>
        <w:spacing w:line="240" w:lineRule="auto"/>
        <w:ind w:right="-284"/>
        <w:jc w:val="left"/>
        <w:rPr>
          <w:b/>
          <w:szCs w:val="20"/>
        </w:rPr>
      </w:pPr>
      <w:r w:rsidRPr="00E9464E">
        <w:rPr>
          <w:b/>
          <w:szCs w:val="20"/>
        </w:rPr>
        <w:t>V</w:t>
      </w:r>
      <w:r w:rsidR="006E2FD8">
        <w:rPr>
          <w:b/>
          <w:szCs w:val="20"/>
        </w:rPr>
        <w:t xml:space="preserve"> roce 2016 zemřelo </w:t>
      </w:r>
      <w:r w:rsidR="006E2FD8" w:rsidRPr="006E2FD8">
        <w:rPr>
          <w:b/>
          <w:szCs w:val="20"/>
        </w:rPr>
        <w:t>107</w:t>
      </w:r>
      <w:r w:rsidR="006E2FD8">
        <w:rPr>
          <w:b/>
          <w:szCs w:val="20"/>
        </w:rPr>
        <w:t> </w:t>
      </w:r>
      <w:r w:rsidR="006E2FD8" w:rsidRPr="006E2FD8">
        <w:rPr>
          <w:b/>
          <w:szCs w:val="20"/>
        </w:rPr>
        <w:t>750</w:t>
      </w:r>
      <w:r w:rsidR="006E2FD8">
        <w:rPr>
          <w:b/>
          <w:szCs w:val="20"/>
        </w:rPr>
        <w:t xml:space="preserve"> obyvatel. O 3 4</w:t>
      </w:r>
      <w:r w:rsidR="008D2A0B">
        <w:rPr>
          <w:b/>
          <w:szCs w:val="20"/>
        </w:rPr>
        <w:t>23</w:t>
      </w:r>
      <w:r w:rsidR="006E2FD8">
        <w:rPr>
          <w:b/>
          <w:szCs w:val="20"/>
        </w:rPr>
        <w:t xml:space="preserve"> méně než v roce předchozím. Nejvíce </w:t>
      </w:r>
      <w:r w:rsidR="00737D98">
        <w:rPr>
          <w:b/>
          <w:szCs w:val="20"/>
        </w:rPr>
        <w:t xml:space="preserve">úmrtí bylo v </w:t>
      </w:r>
      <w:r w:rsidR="006E2FD8" w:rsidRPr="006E2FD8">
        <w:rPr>
          <w:b/>
          <w:szCs w:val="20"/>
        </w:rPr>
        <w:t>prosin</w:t>
      </w:r>
      <w:r w:rsidR="006E2FD8">
        <w:rPr>
          <w:b/>
          <w:szCs w:val="20"/>
        </w:rPr>
        <w:t>ci, nejméně v září.</w:t>
      </w:r>
      <w:r w:rsidR="00836C27">
        <w:rPr>
          <w:b/>
          <w:szCs w:val="20"/>
        </w:rPr>
        <w:t xml:space="preserve"> Nejvyšší počet zemřelých </w:t>
      </w:r>
      <w:r w:rsidR="00737D98">
        <w:rPr>
          <w:b/>
          <w:szCs w:val="20"/>
        </w:rPr>
        <w:t xml:space="preserve">hlásí </w:t>
      </w:r>
      <w:r w:rsidR="00836C27">
        <w:rPr>
          <w:b/>
          <w:szCs w:val="20"/>
        </w:rPr>
        <w:t>Moravskoslezsk</w:t>
      </w:r>
      <w:r w:rsidR="00737D98">
        <w:rPr>
          <w:b/>
          <w:szCs w:val="20"/>
        </w:rPr>
        <w:t>ý</w:t>
      </w:r>
      <w:r w:rsidR="00836C27">
        <w:rPr>
          <w:b/>
          <w:szCs w:val="20"/>
        </w:rPr>
        <w:t xml:space="preserve"> kraj.</w:t>
      </w:r>
    </w:p>
    <w:p w:rsidR="006E2FD8" w:rsidRDefault="006E2FD8" w:rsidP="00DE18F3">
      <w:pPr>
        <w:spacing w:line="240" w:lineRule="auto"/>
        <w:ind w:right="-284"/>
        <w:jc w:val="left"/>
        <w:rPr>
          <w:b/>
          <w:szCs w:val="20"/>
        </w:rPr>
      </w:pPr>
    </w:p>
    <w:p w:rsidR="00737D98" w:rsidRDefault="008D2A0B" w:rsidP="00737D98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Vloni zemřelo 54 880 mužů a 52 870 žen. </w:t>
      </w:r>
      <w:r w:rsidR="00737D98">
        <w:rPr>
          <w:szCs w:val="20"/>
        </w:rPr>
        <w:t>Věk, ve kterém skonalo nejvíce osob, v </w:t>
      </w:r>
      <w:r w:rsidR="00737D98" w:rsidRPr="007D278D">
        <w:rPr>
          <w:szCs w:val="20"/>
        </w:rPr>
        <w:t xml:space="preserve">úhrnu </w:t>
      </w:r>
      <w:r w:rsidR="00737D98">
        <w:rPr>
          <w:szCs w:val="20"/>
        </w:rPr>
        <w:t xml:space="preserve">činil </w:t>
      </w:r>
      <w:r w:rsidR="00737D98" w:rsidRPr="007D278D">
        <w:rPr>
          <w:szCs w:val="20"/>
        </w:rPr>
        <w:t>85 let.</w:t>
      </w:r>
    </w:p>
    <w:p w:rsidR="00737D98" w:rsidRDefault="00737D98" w:rsidP="00737D98">
      <w:pPr>
        <w:spacing w:line="240" w:lineRule="auto"/>
        <w:ind w:right="-284"/>
        <w:jc w:val="left"/>
        <w:rPr>
          <w:szCs w:val="20"/>
        </w:rPr>
      </w:pPr>
    </w:p>
    <w:p w:rsidR="00737D98" w:rsidRDefault="00737D98" w:rsidP="00737D98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N</w:t>
      </w:r>
      <w:r w:rsidRPr="007D00F6">
        <w:rPr>
          <w:szCs w:val="20"/>
        </w:rPr>
        <w:t xml:space="preserve">ejvíce zemřelých </w:t>
      </w:r>
      <w:r>
        <w:rPr>
          <w:szCs w:val="20"/>
        </w:rPr>
        <w:t xml:space="preserve">zaznamenal </w:t>
      </w:r>
      <w:r w:rsidRPr="007D00F6">
        <w:rPr>
          <w:szCs w:val="20"/>
        </w:rPr>
        <w:t>Moravskoslezsk</w:t>
      </w:r>
      <w:r>
        <w:rPr>
          <w:szCs w:val="20"/>
        </w:rPr>
        <w:t>ý</w:t>
      </w:r>
      <w:r w:rsidRPr="007D00F6">
        <w:rPr>
          <w:szCs w:val="20"/>
        </w:rPr>
        <w:t xml:space="preserve"> kraj</w:t>
      </w:r>
      <w:r>
        <w:rPr>
          <w:szCs w:val="20"/>
        </w:rPr>
        <w:t xml:space="preserve">, a to </w:t>
      </w:r>
      <w:r w:rsidRPr="007D00F6">
        <w:rPr>
          <w:szCs w:val="20"/>
        </w:rPr>
        <w:t>13</w:t>
      </w:r>
      <w:r>
        <w:rPr>
          <w:szCs w:val="20"/>
        </w:rPr>
        <w:t xml:space="preserve"> </w:t>
      </w:r>
      <w:r w:rsidR="00A86AFA">
        <w:rPr>
          <w:szCs w:val="20"/>
        </w:rPr>
        <w:t>133</w:t>
      </w:r>
      <w:r w:rsidRPr="007D00F6">
        <w:rPr>
          <w:szCs w:val="20"/>
        </w:rPr>
        <w:t xml:space="preserve">. </w:t>
      </w:r>
      <w:r>
        <w:rPr>
          <w:szCs w:val="20"/>
        </w:rPr>
        <w:t>D</w:t>
      </w:r>
      <w:r w:rsidRPr="007D00F6">
        <w:rPr>
          <w:szCs w:val="20"/>
        </w:rPr>
        <w:t xml:space="preserve">ruhý nejvyšší počet zemřelých </w:t>
      </w:r>
      <w:r>
        <w:rPr>
          <w:szCs w:val="20"/>
        </w:rPr>
        <w:t>na úrovni 12 </w:t>
      </w:r>
      <w:r w:rsidR="006A4F4D">
        <w:rPr>
          <w:szCs w:val="20"/>
        </w:rPr>
        <w:t xml:space="preserve">695 </w:t>
      </w:r>
      <w:r>
        <w:rPr>
          <w:szCs w:val="20"/>
        </w:rPr>
        <w:t xml:space="preserve">hlásil </w:t>
      </w:r>
      <w:r w:rsidRPr="007D00F6">
        <w:rPr>
          <w:szCs w:val="20"/>
        </w:rPr>
        <w:t>Středočesk</w:t>
      </w:r>
      <w:r>
        <w:rPr>
          <w:szCs w:val="20"/>
        </w:rPr>
        <w:t>ý</w:t>
      </w:r>
      <w:r w:rsidRPr="007D00F6">
        <w:rPr>
          <w:szCs w:val="20"/>
        </w:rPr>
        <w:t xml:space="preserve"> kraj, kde </w:t>
      </w:r>
      <w:r>
        <w:rPr>
          <w:szCs w:val="20"/>
        </w:rPr>
        <w:t>je největší počet obyvatel. Naopak ne</w:t>
      </w:r>
      <w:r w:rsidRPr="007D00F6">
        <w:rPr>
          <w:szCs w:val="20"/>
        </w:rPr>
        <w:t xml:space="preserve">jméně </w:t>
      </w:r>
      <w:r w:rsidR="006A4F4D">
        <w:rPr>
          <w:szCs w:val="20"/>
        </w:rPr>
        <w:t xml:space="preserve">úmrtí zaregistroval </w:t>
      </w:r>
      <w:r w:rsidRPr="007D00F6">
        <w:rPr>
          <w:szCs w:val="20"/>
        </w:rPr>
        <w:t>Karlovarsk</w:t>
      </w:r>
      <w:r w:rsidR="006A4F4D">
        <w:rPr>
          <w:szCs w:val="20"/>
        </w:rPr>
        <w:t>ý</w:t>
      </w:r>
      <w:r w:rsidRPr="007D00F6">
        <w:rPr>
          <w:szCs w:val="20"/>
        </w:rPr>
        <w:t xml:space="preserve"> kraj</w:t>
      </w:r>
      <w:r w:rsidR="00123B28">
        <w:rPr>
          <w:szCs w:val="20"/>
        </w:rPr>
        <w:t>. Jednalo se o </w:t>
      </w:r>
      <w:r>
        <w:rPr>
          <w:szCs w:val="20"/>
        </w:rPr>
        <w:t>3</w:t>
      </w:r>
      <w:r w:rsidR="00123B28">
        <w:rPr>
          <w:szCs w:val="20"/>
        </w:rPr>
        <w:t> </w:t>
      </w:r>
      <w:r w:rsidR="00A86AFA">
        <w:rPr>
          <w:szCs w:val="20"/>
        </w:rPr>
        <w:t xml:space="preserve">167 </w:t>
      </w:r>
      <w:r>
        <w:rPr>
          <w:szCs w:val="20"/>
        </w:rPr>
        <w:t xml:space="preserve">osob. </w:t>
      </w:r>
      <w:r w:rsidRPr="00350A84">
        <w:rPr>
          <w:i/>
          <w:szCs w:val="20"/>
        </w:rPr>
        <w:t>„Moravskoslezský kraj je ve statistice zemřelých podle jejich bydliště na </w:t>
      </w:r>
      <w:r>
        <w:rPr>
          <w:i/>
          <w:szCs w:val="20"/>
        </w:rPr>
        <w:t>vedoucí pozici od </w:t>
      </w:r>
      <w:r w:rsidRPr="00350A84">
        <w:rPr>
          <w:i/>
          <w:szCs w:val="20"/>
        </w:rPr>
        <w:t>roku 2004. Karlovarský kraj má vzhledem</w:t>
      </w:r>
      <w:r w:rsidR="008D2A0B">
        <w:rPr>
          <w:i/>
          <w:szCs w:val="20"/>
        </w:rPr>
        <w:t xml:space="preserve"> </w:t>
      </w:r>
      <w:r w:rsidRPr="00350A84">
        <w:rPr>
          <w:i/>
          <w:szCs w:val="20"/>
        </w:rPr>
        <w:t>k</w:t>
      </w:r>
      <w:r w:rsidR="008D2A0B">
        <w:rPr>
          <w:i/>
          <w:szCs w:val="20"/>
        </w:rPr>
        <w:t xml:space="preserve"> nízkému počtu obyvatel </w:t>
      </w:r>
      <w:r w:rsidRPr="00350A84">
        <w:rPr>
          <w:i/>
          <w:szCs w:val="20"/>
        </w:rPr>
        <w:t>trad</w:t>
      </w:r>
      <w:r>
        <w:rPr>
          <w:i/>
          <w:szCs w:val="20"/>
        </w:rPr>
        <w:t>ičně i </w:t>
      </w:r>
      <w:r w:rsidRPr="00350A84">
        <w:rPr>
          <w:i/>
          <w:szCs w:val="20"/>
        </w:rPr>
        <w:t>nejnižší počet zemřelých,“</w:t>
      </w:r>
      <w:r>
        <w:rPr>
          <w:szCs w:val="20"/>
        </w:rPr>
        <w:t xml:space="preserve"> </w:t>
      </w:r>
      <w:r w:rsidR="008D2A0B">
        <w:rPr>
          <w:szCs w:val="20"/>
        </w:rPr>
        <w:t xml:space="preserve">vysvětluje </w:t>
      </w:r>
      <w:r>
        <w:rPr>
          <w:szCs w:val="20"/>
        </w:rPr>
        <w:t>Iva Ritschelová, předsedkyně Českého statistického úřadu.</w:t>
      </w:r>
    </w:p>
    <w:p w:rsidR="00737D98" w:rsidRDefault="00737D98" w:rsidP="007D00F6">
      <w:pPr>
        <w:spacing w:line="240" w:lineRule="auto"/>
        <w:ind w:right="-284"/>
        <w:jc w:val="left"/>
        <w:rPr>
          <w:szCs w:val="20"/>
        </w:rPr>
      </w:pPr>
    </w:p>
    <w:p w:rsidR="00737D98" w:rsidRDefault="00737D98" w:rsidP="00737D98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N</w:t>
      </w:r>
      <w:r w:rsidRPr="007D00F6">
        <w:rPr>
          <w:szCs w:val="20"/>
        </w:rPr>
        <w:t xml:space="preserve">ejdelší </w:t>
      </w:r>
      <w:r>
        <w:rPr>
          <w:szCs w:val="20"/>
        </w:rPr>
        <w:t xml:space="preserve">naději dožití mají </w:t>
      </w:r>
      <w:r w:rsidR="003F4EBD">
        <w:rPr>
          <w:szCs w:val="20"/>
        </w:rPr>
        <w:t xml:space="preserve">lidé </w:t>
      </w:r>
      <w:r>
        <w:rPr>
          <w:szCs w:val="20"/>
        </w:rPr>
        <w:t xml:space="preserve">v Praze. U chlapců </w:t>
      </w:r>
      <w:r w:rsidR="003F4EBD">
        <w:rPr>
          <w:szCs w:val="20"/>
        </w:rPr>
        <w:t xml:space="preserve">narozených v období let 2015 až 2016 </w:t>
      </w:r>
      <w:r>
        <w:rPr>
          <w:szCs w:val="20"/>
        </w:rPr>
        <w:t xml:space="preserve">se pohybuje na úrovni 78,0 let a u děvčat 82,7 let. </w:t>
      </w:r>
      <w:r w:rsidRPr="007D00F6">
        <w:rPr>
          <w:szCs w:val="20"/>
        </w:rPr>
        <w:t xml:space="preserve">Druhou nejvyšší střední délku života měli </w:t>
      </w:r>
      <w:r w:rsidR="009A43EB">
        <w:rPr>
          <w:szCs w:val="20"/>
        </w:rPr>
        <w:t>muži v </w:t>
      </w:r>
      <w:r>
        <w:rPr>
          <w:szCs w:val="20"/>
        </w:rPr>
        <w:t xml:space="preserve">Kraji Vysočina, a to 77,2 </w:t>
      </w:r>
      <w:r w:rsidRPr="007D00F6">
        <w:rPr>
          <w:szCs w:val="20"/>
        </w:rPr>
        <w:t>let</w:t>
      </w:r>
      <w:r>
        <w:rPr>
          <w:szCs w:val="20"/>
        </w:rPr>
        <w:t xml:space="preserve">. V případě žen </w:t>
      </w:r>
      <w:r w:rsidR="00A86AFA">
        <w:rPr>
          <w:szCs w:val="20"/>
        </w:rPr>
        <w:t>měl</w:t>
      </w:r>
      <w:bookmarkStart w:id="0" w:name="_GoBack"/>
      <w:bookmarkEnd w:id="0"/>
      <w:r w:rsidR="00A86AFA">
        <w:rPr>
          <w:szCs w:val="20"/>
        </w:rPr>
        <w:t xml:space="preserve"> </w:t>
      </w:r>
      <w:r w:rsidR="003F4EBD">
        <w:rPr>
          <w:szCs w:val="20"/>
        </w:rPr>
        <w:t xml:space="preserve">druhé </w:t>
      </w:r>
      <w:r>
        <w:rPr>
          <w:szCs w:val="20"/>
        </w:rPr>
        <w:t xml:space="preserve">nejlepší postavení </w:t>
      </w:r>
      <w:r w:rsidRPr="007D00F6">
        <w:rPr>
          <w:szCs w:val="20"/>
        </w:rPr>
        <w:t>Jihomoravsk</w:t>
      </w:r>
      <w:r>
        <w:rPr>
          <w:szCs w:val="20"/>
        </w:rPr>
        <w:t xml:space="preserve">ý kraj </w:t>
      </w:r>
      <w:r w:rsidR="009A43EB">
        <w:rPr>
          <w:szCs w:val="20"/>
        </w:rPr>
        <w:t>s 82,6 </w:t>
      </w:r>
      <w:r>
        <w:rPr>
          <w:szCs w:val="20"/>
        </w:rPr>
        <w:t>lety</w:t>
      </w:r>
      <w:r w:rsidRPr="007D00F6">
        <w:rPr>
          <w:szCs w:val="20"/>
        </w:rPr>
        <w:t>. Na třetí příčce byl u mužů Královéhradecký kraj a</w:t>
      </w:r>
      <w:r w:rsidR="009A43EB">
        <w:rPr>
          <w:szCs w:val="20"/>
        </w:rPr>
        <w:t xml:space="preserve"> u žen Kraj Vysočina společně s </w:t>
      </w:r>
      <w:r w:rsidRPr="007D00F6">
        <w:rPr>
          <w:szCs w:val="20"/>
        </w:rPr>
        <w:t>Pardubickým krajem.</w:t>
      </w:r>
      <w:r>
        <w:rPr>
          <w:szCs w:val="20"/>
        </w:rPr>
        <w:t xml:space="preserve"> </w:t>
      </w:r>
      <w:r w:rsidRPr="00321566">
        <w:rPr>
          <w:i/>
          <w:szCs w:val="20"/>
        </w:rPr>
        <w:t>„</w:t>
      </w:r>
      <w:r w:rsidR="00123B28">
        <w:rPr>
          <w:i/>
          <w:szCs w:val="20"/>
        </w:rPr>
        <w:t>Je </w:t>
      </w:r>
      <w:r w:rsidRPr="00321566">
        <w:rPr>
          <w:i/>
          <w:szCs w:val="20"/>
        </w:rPr>
        <w:t xml:space="preserve">zajímavé, že v Praze je střední délka života mužů až o jeden rok vyšší než v jiných </w:t>
      </w:r>
      <w:r>
        <w:rPr>
          <w:i/>
          <w:szCs w:val="20"/>
        </w:rPr>
        <w:t>krajích. U </w:t>
      </w:r>
      <w:r w:rsidRPr="00321566">
        <w:rPr>
          <w:i/>
          <w:szCs w:val="20"/>
        </w:rPr>
        <w:t>žen takové rozdíly mezi regiony nepozorujeme. Nejvyšší hodnoty jejich naděje dožití jsou při srovnání jednotlivých krajů bližší,“</w:t>
      </w:r>
      <w:r>
        <w:rPr>
          <w:szCs w:val="20"/>
        </w:rPr>
        <w:t xml:space="preserve"> analyzuje Michaela Němečková z oddělení demografické statistiky ČSÚ.</w:t>
      </w:r>
    </w:p>
    <w:p w:rsidR="00737D98" w:rsidRDefault="00737D98" w:rsidP="00737D98">
      <w:pPr>
        <w:spacing w:line="240" w:lineRule="auto"/>
        <w:ind w:right="-284"/>
        <w:jc w:val="left"/>
        <w:rPr>
          <w:szCs w:val="20"/>
        </w:rPr>
      </w:pPr>
    </w:p>
    <w:p w:rsidR="00737D98" w:rsidRDefault="00737D98" w:rsidP="00737D98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Nejnižší naději dožití při narození vykazuje Ústecký kraj. M</w:t>
      </w:r>
      <w:r w:rsidRPr="007D00F6">
        <w:rPr>
          <w:szCs w:val="20"/>
        </w:rPr>
        <w:t xml:space="preserve">uži </w:t>
      </w:r>
      <w:r>
        <w:rPr>
          <w:szCs w:val="20"/>
        </w:rPr>
        <w:t xml:space="preserve">se tam </w:t>
      </w:r>
      <w:r w:rsidRPr="007D00F6">
        <w:rPr>
          <w:szCs w:val="20"/>
        </w:rPr>
        <w:t xml:space="preserve">dožijí </w:t>
      </w:r>
      <w:r>
        <w:rPr>
          <w:szCs w:val="20"/>
        </w:rPr>
        <w:t xml:space="preserve">v průměru </w:t>
      </w:r>
      <w:r w:rsidRPr="007D00F6">
        <w:rPr>
          <w:szCs w:val="20"/>
        </w:rPr>
        <w:t>74,0 let</w:t>
      </w:r>
      <w:r>
        <w:rPr>
          <w:szCs w:val="20"/>
        </w:rPr>
        <w:t xml:space="preserve">, což je o čtyři roky méně </w:t>
      </w:r>
      <w:r w:rsidRPr="007D00F6">
        <w:rPr>
          <w:szCs w:val="20"/>
        </w:rPr>
        <w:t xml:space="preserve">než </w:t>
      </w:r>
      <w:r>
        <w:rPr>
          <w:szCs w:val="20"/>
        </w:rPr>
        <w:t>v případě Prahy. Střední délka života žen v Ústeckém kraji je pak 79,5 </w:t>
      </w:r>
      <w:r w:rsidRPr="007D00F6">
        <w:rPr>
          <w:szCs w:val="20"/>
        </w:rPr>
        <w:t>let</w:t>
      </w:r>
      <w:r>
        <w:rPr>
          <w:szCs w:val="20"/>
        </w:rPr>
        <w:t xml:space="preserve">, tedy o tři roky </w:t>
      </w:r>
      <w:r w:rsidRPr="007D00F6">
        <w:rPr>
          <w:szCs w:val="20"/>
        </w:rPr>
        <w:t xml:space="preserve">méně </w:t>
      </w:r>
      <w:r w:rsidR="009A43EB">
        <w:rPr>
          <w:szCs w:val="20"/>
        </w:rPr>
        <w:t xml:space="preserve">než </w:t>
      </w:r>
      <w:r>
        <w:rPr>
          <w:szCs w:val="20"/>
        </w:rPr>
        <w:t xml:space="preserve">v Praze. </w:t>
      </w:r>
      <w:r w:rsidRPr="007D00F6">
        <w:rPr>
          <w:szCs w:val="20"/>
        </w:rPr>
        <w:t>Jednu z nejnižších středních délek života mají tradičně také obyvatelé Moravskoslezského a Karlovarského</w:t>
      </w:r>
      <w:r>
        <w:rPr>
          <w:szCs w:val="20"/>
        </w:rPr>
        <w:t xml:space="preserve"> kraje.</w:t>
      </w:r>
    </w:p>
    <w:p w:rsidR="00B7215C" w:rsidRDefault="00B7215C" w:rsidP="007D00F6">
      <w:pPr>
        <w:spacing w:line="240" w:lineRule="auto"/>
        <w:ind w:right="-284"/>
        <w:jc w:val="left"/>
        <w:rPr>
          <w:szCs w:val="20"/>
        </w:rPr>
      </w:pPr>
    </w:p>
    <w:p w:rsidR="007D00F6" w:rsidRPr="007D00F6" w:rsidRDefault="008F789F" w:rsidP="007D00F6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Celková n</w:t>
      </w:r>
      <w:r w:rsidR="00B7215C">
        <w:rPr>
          <w:szCs w:val="20"/>
        </w:rPr>
        <w:t xml:space="preserve">aděje dožití </w:t>
      </w:r>
      <w:r>
        <w:rPr>
          <w:szCs w:val="20"/>
        </w:rPr>
        <w:t xml:space="preserve">se </w:t>
      </w:r>
      <w:r w:rsidR="00B7215C">
        <w:rPr>
          <w:szCs w:val="20"/>
        </w:rPr>
        <w:t>v České republice dál zvyšovala. Jde o dlouhodobý trend.</w:t>
      </w:r>
      <w:r w:rsidR="00123B28">
        <w:rPr>
          <w:szCs w:val="20"/>
        </w:rPr>
        <w:t xml:space="preserve"> Vloni vzrostla u </w:t>
      </w:r>
      <w:r>
        <w:rPr>
          <w:szCs w:val="20"/>
        </w:rPr>
        <w:t xml:space="preserve">mužů </w:t>
      </w:r>
      <w:r w:rsidR="007D00F6" w:rsidRPr="007D00F6">
        <w:rPr>
          <w:szCs w:val="20"/>
        </w:rPr>
        <w:t xml:space="preserve">na 76,2 let a u žen na 82,1 let. </w:t>
      </w:r>
      <w:r>
        <w:rPr>
          <w:szCs w:val="20"/>
        </w:rPr>
        <w:t xml:space="preserve">Mezi lety </w:t>
      </w:r>
      <w:r w:rsidR="007D00F6" w:rsidRPr="007D00F6">
        <w:rPr>
          <w:szCs w:val="20"/>
        </w:rPr>
        <w:t>2006 a</w:t>
      </w:r>
      <w:r>
        <w:rPr>
          <w:szCs w:val="20"/>
        </w:rPr>
        <w:t>ž</w:t>
      </w:r>
      <w:r w:rsidR="007D00F6" w:rsidRPr="007D00F6">
        <w:rPr>
          <w:szCs w:val="20"/>
        </w:rPr>
        <w:t xml:space="preserve"> 2016</w:t>
      </w:r>
      <w:r>
        <w:rPr>
          <w:szCs w:val="20"/>
        </w:rPr>
        <w:t xml:space="preserve"> se střední délka </w:t>
      </w:r>
      <w:r w:rsidR="009A43EB">
        <w:rPr>
          <w:szCs w:val="20"/>
        </w:rPr>
        <w:t>života zvýšila u </w:t>
      </w:r>
      <w:r w:rsidR="00123B28">
        <w:rPr>
          <w:szCs w:val="20"/>
        </w:rPr>
        <w:t>mužů o </w:t>
      </w:r>
      <w:r w:rsidR="007D00F6" w:rsidRPr="007D00F6">
        <w:rPr>
          <w:szCs w:val="20"/>
        </w:rPr>
        <w:t xml:space="preserve">2,8 </w:t>
      </w:r>
      <w:r>
        <w:rPr>
          <w:szCs w:val="20"/>
        </w:rPr>
        <w:t>a u žen o 2,4 roku.</w:t>
      </w:r>
    </w:p>
    <w:p w:rsidR="007D00F6" w:rsidRPr="007D00F6" w:rsidRDefault="007D00F6" w:rsidP="007D00F6">
      <w:pPr>
        <w:spacing w:line="240" w:lineRule="auto"/>
        <w:ind w:right="-284"/>
        <w:jc w:val="left"/>
        <w:rPr>
          <w:szCs w:val="20"/>
        </w:rPr>
      </w:pPr>
      <w:r w:rsidRPr="007D00F6">
        <w:rPr>
          <w:szCs w:val="20"/>
        </w:rPr>
        <w:t xml:space="preserve"> </w:t>
      </w:r>
    </w:p>
    <w:p w:rsidR="006A4F4D" w:rsidRDefault="008F789F" w:rsidP="00DE18F3">
      <w:pPr>
        <w:spacing w:line="240" w:lineRule="auto"/>
        <w:ind w:right="-285"/>
        <w:jc w:val="left"/>
        <w:rPr>
          <w:szCs w:val="20"/>
        </w:rPr>
      </w:pPr>
      <w:r w:rsidRPr="008F789F">
        <w:rPr>
          <w:szCs w:val="20"/>
        </w:rPr>
        <w:t>Více informací naleznete v právě vydané publikaci</w:t>
      </w:r>
      <w:r>
        <w:rPr>
          <w:szCs w:val="20"/>
        </w:rPr>
        <w:t xml:space="preserve"> Úmrtnostní tabulky za ČR, regiony soudržnosti a kraje 2015–2016: </w:t>
      </w:r>
      <w:hyperlink r:id="rId8" w:history="1">
        <w:r w:rsidR="006A4F4D" w:rsidRPr="007125B0">
          <w:rPr>
            <w:rStyle w:val="Hypertextovodkaz"/>
            <w:szCs w:val="20"/>
          </w:rPr>
          <w:t>https://www.czso.cz/csu/czso/umrtnostni-tabulky-za-cr-regiony-soudrznosti-a-kraje-2015-2016</w:t>
        </w:r>
      </w:hyperlink>
      <w:r w:rsidR="006A4F4D">
        <w:rPr>
          <w:szCs w:val="20"/>
        </w:rPr>
        <w:t>.</w:t>
      </w:r>
    </w:p>
    <w:p w:rsidR="005034B6" w:rsidRDefault="005034B6" w:rsidP="00DE18F3">
      <w:pPr>
        <w:spacing w:line="240" w:lineRule="auto"/>
        <w:ind w:right="-285"/>
        <w:jc w:val="left"/>
        <w:rPr>
          <w:szCs w:val="20"/>
        </w:rPr>
      </w:pPr>
    </w:p>
    <w:p w:rsidR="008F789F" w:rsidRPr="008F789F" w:rsidRDefault="008F789F" w:rsidP="00DE18F3">
      <w:pPr>
        <w:spacing w:line="240" w:lineRule="auto"/>
        <w:ind w:right="-285"/>
        <w:jc w:val="left"/>
        <w:rPr>
          <w:szCs w:val="20"/>
        </w:rPr>
      </w:pP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75" w:rsidRDefault="00617175">
      <w:r>
        <w:separator/>
      </w:r>
    </w:p>
  </w:endnote>
  <w:endnote w:type="continuationSeparator" w:id="0">
    <w:p w:rsidR="00617175" w:rsidRDefault="0061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D6CA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FD6CA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D6CA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A43E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D6CA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75" w:rsidRDefault="00617175">
      <w:r>
        <w:separator/>
      </w:r>
    </w:p>
  </w:footnote>
  <w:footnote w:type="continuationSeparator" w:id="0">
    <w:p w:rsidR="00617175" w:rsidRDefault="0061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D6CA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A3B9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55053"/>
    <w:rsid w:val="0016053C"/>
    <w:rsid w:val="00166F56"/>
    <w:rsid w:val="00167E54"/>
    <w:rsid w:val="001756B8"/>
    <w:rsid w:val="00185192"/>
    <w:rsid w:val="0018551C"/>
    <w:rsid w:val="00197BC6"/>
    <w:rsid w:val="001A4D65"/>
    <w:rsid w:val="001A5513"/>
    <w:rsid w:val="001B72AA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0D2D"/>
    <w:rsid w:val="002A19ED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1566"/>
    <w:rsid w:val="0032749E"/>
    <w:rsid w:val="003367EE"/>
    <w:rsid w:val="00342845"/>
    <w:rsid w:val="0034436E"/>
    <w:rsid w:val="0034720B"/>
    <w:rsid w:val="00350A84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4EBD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0331"/>
    <w:rsid w:val="00462CE7"/>
    <w:rsid w:val="0047212F"/>
    <w:rsid w:val="004824A6"/>
    <w:rsid w:val="00491FB7"/>
    <w:rsid w:val="004A0748"/>
    <w:rsid w:val="004A1850"/>
    <w:rsid w:val="004A242E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17175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A09B7"/>
    <w:rsid w:val="006A4F4D"/>
    <w:rsid w:val="006C1692"/>
    <w:rsid w:val="006C6E12"/>
    <w:rsid w:val="006D444A"/>
    <w:rsid w:val="006D4A90"/>
    <w:rsid w:val="006D76E3"/>
    <w:rsid w:val="006E1707"/>
    <w:rsid w:val="006E2FD8"/>
    <w:rsid w:val="006E364F"/>
    <w:rsid w:val="006E4A81"/>
    <w:rsid w:val="006F0874"/>
    <w:rsid w:val="006F7B26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36C27"/>
    <w:rsid w:val="0084083A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77AA"/>
    <w:rsid w:val="008C65D9"/>
    <w:rsid w:val="008C69B8"/>
    <w:rsid w:val="008D2A0B"/>
    <w:rsid w:val="008D35AC"/>
    <w:rsid w:val="008D49D7"/>
    <w:rsid w:val="008D7120"/>
    <w:rsid w:val="008E581B"/>
    <w:rsid w:val="008F5394"/>
    <w:rsid w:val="008F7374"/>
    <w:rsid w:val="008F789F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549E"/>
    <w:rsid w:val="00991128"/>
    <w:rsid w:val="009A3F53"/>
    <w:rsid w:val="009A43EB"/>
    <w:rsid w:val="009A64B2"/>
    <w:rsid w:val="009A6FBF"/>
    <w:rsid w:val="009B6C1C"/>
    <w:rsid w:val="009E4EFC"/>
    <w:rsid w:val="00A0726C"/>
    <w:rsid w:val="00A11F5B"/>
    <w:rsid w:val="00A138F6"/>
    <w:rsid w:val="00A13CFB"/>
    <w:rsid w:val="00A21A67"/>
    <w:rsid w:val="00A2292E"/>
    <w:rsid w:val="00A2343C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86AFA"/>
    <w:rsid w:val="00A904A2"/>
    <w:rsid w:val="00A90CF7"/>
    <w:rsid w:val="00A92180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3175"/>
    <w:rsid w:val="00AF7A9E"/>
    <w:rsid w:val="00B16E4D"/>
    <w:rsid w:val="00B17C79"/>
    <w:rsid w:val="00B21A3B"/>
    <w:rsid w:val="00B228D0"/>
    <w:rsid w:val="00B234F2"/>
    <w:rsid w:val="00B25C2B"/>
    <w:rsid w:val="00B400EE"/>
    <w:rsid w:val="00B43DDA"/>
    <w:rsid w:val="00B451E4"/>
    <w:rsid w:val="00B63BB9"/>
    <w:rsid w:val="00B7215C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3778B"/>
    <w:rsid w:val="00C46818"/>
    <w:rsid w:val="00C72EAB"/>
    <w:rsid w:val="00C75006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64E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306C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3566"/>
    <w:rsid w:val="00FA564E"/>
    <w:rsid w:val="00FA574A"/>
    <w:rsid w:val="00FA63C2"/>
    <w:rsid w:val="00FB0B19"/>
    <w:rsid w:val="00FB1D5D"/>
    <w:rsid w:val="00FB27AE"/>
    <w:rsid w:val="00FB3E80"/>
    <w:rsid w:val="00FB7082"/>
    <w:rsid w:val="00FC25E0"/>
    <w:rsid w:val="00FD1605"/>
    <w:rsid w:val="00FD6CA8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umrtnostni-tabulky-za-cr-regiony-soudrznosti-a-kraje-2015-201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1FB5-1475-418B-8548-94E61E34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7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2576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3</cp:revision>
  <cp:lastPrinted>2017-05-23T12:46:00Z</cp:lastPrinted>
  <dcterms:created xsi:type="dcterms:W3CDTF">2017-05-23T10:43:00Z</dcterms:created>
  <dcterms:modified xsi:type="dcterms:W3CDTF">2017-05-23T12:53:00Z</dcterms:modified>
</cp:coreProperties>
</file>