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23702" w:rsidP="00F6156D">
      <w:pPr>
        <w:pStyle w:val="Datum"/>
        <w:spacing w:line="240" w:lineRule="auto"/>
      </w:pPr>
      <w:r>
        <w:t>4. dubna</w:t>
      </w:r>
      <w:r w:rsidR="002B445C">
        <w:t xml:space="preserve"> 2017</w:t>
      </w:r>
    </w:p>
    <w:p w:rsidR="00376CBE" w:rsidRPr="00AE6D5B" w:rsidRDefault="00376CBE" w:rsidP="00F6156D">
      <w:pPr>
        <w:pStyle w:val="Datum"/>
        <w:spacing w:line="240" w:lineRule="auto"/>
      </w:pPr>
    </w:p>
    <w:p w:rsidR="00377CD2" w:rsidRDefault="00B934A6" w:rsidP="00F6156D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Nová infografika o </w:t>
      </w:r>
      <w:r w:rsidR="006A769B">
        <w:rPr>
          <w:rFonts w:eastAsia="Times New Roman"/>
          <w:b/>
          <w:bCs/>
          <w:color w:val="BD1B21"/>
          <w:sz w:val="32"/>
          <w:szCs w:val="32"/>
        </w:rPr>
        <w:t>ohrožení příjmovou chudobou</w:t>
      </w:r>
    </w:p>
    <w:p w:rsidR="00E66C15" w:rsidRDefault="00E66C15" w:rsidP="00F6156D">
      <w:pPr>
        <w:spacing w:line="240" w:lineRule="auto"/>
        <w:jc w:val="left"/>
        <w:rPr>
          <w:b/>
        </w:rPr>
      </w:pPr>
    </w:p>
    <w:p w:rsidR="00611108" w:rsidRDefault="00346A11" w:rsidP="00F6156D">
      <w:pPr>
        <w:spacing w:line="240" w:lineRule="auto"/>
        <w:ind w:right="-143"/>
        <w:jc w:val="left"/>
        <w:rPr>
          <w:b/>
        </w:rPr>
      </w:pPr>
      <w:r>
        <w:rPr>
          <w:b/>
        </w:rPr>
        <w:t>V</w:t>
      </w:r>
      <w:r w:rsidR="00123702">
        <w:rPr>
          <w:b/>
        </w:rPr>
        <w:t xml:space="preserve"> Evropské unii bylo v roce 2015 ohroženo příjmovou chudobou nebo sociálním vyloučením 23,7 % celkové populace. </w:t>
      </w:r>
      <w:r w:rsidR="006A769B">
        <w:rPr>
          <w:b/>
        </w:rPr>
        <w:t xml:space="preserve">Ukazuje to nová </w:t>
      </w:r>
      <w:r w:rsidR="00611108">
        <w:rPr>
          <w:b/>
        </w:rPr>
        <w:t>infografi</w:t>
      </w:r>
      <w:r w:rsidR="006A769B">
        <w:rPr>
          <w:b/>
        </w:rPr>
        <w:t xml:space="preserve">ka </w:t>
      </w:r>
      <w:r w:rsidR="00611108">
        <w:rPr>
          <w:b/>
        </w:rPr>
        <w:t>Eurostatu.</w:t>
      </w:r>
    </w:p>
    <w:p w:rsidR="00451C08" w:rsidRDefault="00451C08" w:rsidP="00F6156D">
      <w:pPr>
        <w:spacing w:line="240" w:lineRule="auto"/>
        <w:jc w:val="left"/>
      </w:pPr>
    </w:p>
    <w:p w:rsidR="00AC7E7B" w:rsidRDefault="00123702" w:rsidP="00D071CB">
      <w:pPr>
        <w:spacing w:line="240" w:lineRule="auto"/>
        <w:jc w:val="left"/>
      </w:pPr>
      <w:r w:rsidRPr="00F6156D">
        <w:t xml:space="preserve">V rámci EU se </w:t>
      </w:r>
      <w:r w:rsidR="00D071CB">
        <w:t xml:space="preserve">ohrožení </w:t>
      </w:r>
      <w:r w:rsidRPr="00F6156D">
        <w:t>příjmov</w:t>
      </w:r>
      <w:r w:rsidR="00D071CB">
        <w:t>ou chudobou nebo sociálním vyloučením</w:t>
      </w:r>
      <w:r w:rsidRPr="00F6156D">
        <w:t xml:space="preserve"> týkal</w:t>
      </w:r>
      <w:r w:rsidR="00D071CB">
        <w:t>o</w:t>
      </w:r>
      <w:r w:rsidRPr="00F6156D">
        <w:t xml:space="preserve"> </w:t>
      </w:r>
      <w:r w:rsidR="006A769B">
        <w:t>24,4 % žen a</w:t>
      </w:r>
      <w:r w:rsidR="001D40F5">
        <w:t> </w:t>
      </w:r>
      <w:r w:rsidR="006A769B">
        <w:t xml:space="preserve">23,0 % mužů. Z 26,9 % byly </w:t>
      </w:r>
      <w:r w:rsidRPr="00F6156D">
        <w:t xml:space="preserve">ohroženy osoby mladší 18 let a </w:t>
      </w:r>
      <w:r w:rsidR="006A769B">
        <w:t xml:space="preserve">z 17,4 % </w:t>
      </w:r>
      <w:r w:rsidRPr="00F6156D">
        <w:t>senioři nad 65 let.</w:t>
      </w:r>
      <w:r w:rsidR="006A769B">
        <w:t xml:space="preserve"> </w:t>
      </w:r>
      <w:r w:rsidR="00F6156D">
        <w:t xml:space="preserve">Novou interaktivní </w:t>
      </w:r>
      <w:r w:rsidR="00AC7E7B">
        <w:t>infografiku</w:t>
      </w:r>
      <w:r w:rsidR="00F6156D">
        <w:t xml:space="preserve"> si můžete proklikat </w:t>
      </w:r>
      <w:hyperlink r:id="rId7" w:history="1">
        <w:r w:rsidR="00F6156D" w:rsidRPr="006A769B">
          <w:rPr>
            <w:rStyle w:val="Hypertextovodkaz"/>
          </w:rPr>
          <w:t>zde</w:t>
        </w:r>
      </w:hyperlink>
      <w:r w:rsidR="00F6156D">
        <w:t>.</w:t>
      </w:r>
    </w:p>
    <w:p w:rsidR="00976FCB" w:rsidRDefault="00976FCB">
      <w:pPr>
        <w:spacing w:line="240" w:lineRule="auto"/>
        <w:jc w:val="left"/>
      </w:pPr>
    </w:p>
    <w:p w:rsidR="00F6156D" w:rsidRDefault="00A72BA4" w:rsidP="00F6156D">
      <w:pPr>
        <w:spacing w:line="240" w:lineRule="auto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.8pt;margin-top:.3pt;width:346.65pt;height:355.05pt;z-index:-1" wrapcoords="-46 0 -46 21555 21600 21555 21600 0 -46 0">
            <v:imagedata r:id="rId8" o:title=""/>
            <w10:wrap type="tight"/>
          </v:shape>
        </w:pict>
      </w:r>
    </w:p>
    <w:p w:rsidR="00123702" w:rsidRDefault="00123702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123702" w:rsidRDefault="00123702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123702" w:rsidRDefault="00123702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F6156D" w:rsidRDefault="00F6156D" w:rsidP="00F6156D">
      <w:pPr>
        <w:spacing w:line="240" w:lineRule="auto"/>
        <w:jc w:val="lef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righ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lef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lef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left"/>
        <w:rPr>
          <w:rFonts w:cs="Arial"/>
          <w:b/>
          <w:bCs/>
          <w:iCs/>
        </w:rPr>
      </w:pPr>
    </w:p>
    <w:p w:rsidR="006A769B" w:rsidRDefault="006A769B" w:rsidP="006A769B">
      <w:pPr>
        <w:spacing w:line="240" w:lineRule="auto"/>
        <w:jc w:val="left"/>
        <w:rPr>
          <w:rFonts w:cs="Arial"/>
          <w:b/>
          <w:bCs/>
          <w:iCs/>
        </w:rPr>
      </w:pPr>
    </w:p>
    <w:p w:rsidR="00D071CB" w:rsidRDefault="001D73A8" w:rsidP="00D071CB">
      <w:pPr>
        <w:spacing w:line="240" w:lineRule="auto"/>
        <w:jc w:val="left"/>
      </w:pPr>
      <w:r w:rsidRPr="001D73A8">
        <w:t>Česk</w:t>
      </w:r>
      <w:r w:rsidR="00B7618C">
        <w:t xml:space="preserve">á republika dlouhodobě </w:t>
      </w:r>
      <w:r w:rsidR="001D40F5">
        <w:t xml:space="preserve">patří </w:t>
      </w:r>
      <w:r w:rsidR="00B7618C">
        <w:t>k </w:t>
      </w:r>
      <w:r w:rsidRPr="001D73A8">
        <w:t>unijní</w:t>
      </w:r>
      <w:r w:rsidR="00B7618C">
        <w:t>m</w:t>
      </w:r>
      <w:r w:rsidRPr="001D73A8">
        <w:t xml:space="preserve"> zemí</w:t>
      </w:r>
      <w:r w:rsidR="00B7618C">
        <w:t>m</w:t>
      </w:r>
      <w:r w:rsidRPr="001D73A8">
        <w:t xml:space="preserve"> s nejnižší hodnotou tohoto ukazatele.</w:t>
      </w:r>
      <w:r w:rsidR="00D071CB">
        <w:rPr>
          <w:b/>
        </w:rPr>
        <w:t xml:space="preserve"> </w:t>
      </w:r>
      <w:r w:rsidR="001D40F5">
        <w:t>O</w:t>
      </w:r>
      <w:r w:rsidR="00D071CB">
        <w:t>hrožení</w:t>
      </w:r>
      <w:r w:rsidR="001D40F5">
        <w:t xml:space="preserve"> </w:t>
      </w:r>
      <w:r w:rsidR="00B7618C">
        <w:t xml:space="preserve">příjmovou </w:t>
      </w:r>
      <w:r w:rsidR="00D071CB">
        <w:t xml:space="preserve">chudobou </w:t>
      </w:r>
      <w:r w:rsidR="00B7618C">
        <w:t xml:space="preserve">nebo sociálním vyloučením </w:t>
      </w:r>
      <w:r w:rsidR="001D40F5">
        <w:t xml:space="preserve">se </w:t>
      </w:r>
      <w:r w:rsidR="0005397C">
        <w:t>týkalo 15,6 % žen a 12,3 % </w:t>
      </w:r>
      <w:r w:rsidR="00D071CB">
        <w:t>mužů. Podle složení domácnosti šlo o 13,0 % bezdětných rod</w:t>
      </w:r>
      <w:r w:rsidR="0005397C">
        <w:t>in a 15,0 % domácností s dětmi. </w:t>
      </w:r>
      <w:r w:rsidR="00D071CB">
        <w:t>Pokud jde o ekonomickou aktivitu, ohroženo b</w:t>
      </w:r>
      <w:r w:rsidR="0005397C">
        <w:t>ylo 57 % nezaměstnaných a 6,3 % </w:t>
      </w:r>
      <w:r w:rsidR="00D071CB">
        <w:t>zaměstnaných</w:t>
      </w:r>
      <w:r w:rsidR="00B7618C">
        <w:t>.</w:t>
      </w:r>
    </w:p>
    <w:p w:rsidR="00B7618C" w:rsidRDefault="00B7618C" w:rsidP="00D071CB">
      <w:pPr>
        <w:spacing w:line="240" w:lineRule="auto"/>
        <w:jc w:val="left"/>
      </w:pPr>
    </w:p>
    <w:p w:rsidR="00D071CB" w:rsidRDefault="00D071CB" w:rsidP="00D071CB">
      <w:pPr>
        <w:spacing w:line="240" w:lineRule="auto"/>
        <w:jc w:val="left"/>
      </w:pPr>
      <w:r>
        <w:t>Výsledky za rok 2016 o životních podmínkách a příjmech domácností představí ČSÚ 24. dubna. Do 28. května také probíhá terénní zjišťování v rámci nového ročníku šetření.</w:t>
      </w:r>
    </w:p>
    <w:p w:rsidR="00D071CB" w:rsidRDefault="00D071CB" w:rsidP="006A769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6A769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6A769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6A769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6A769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6A769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E4521A" w:rsidRPr="00205607">
          <w:rPr>
            <w:rStyle w:val="Hypertextovodkaz"/>
            <w:rFonts w:cs="Arial"/>
          </w:rPr>
          <w:t>petra.bacova@czso.cz</w:t>
        </w:r>
      </w:hyperlink>
      <w:r w:rsidR="00E4521A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B3607A" w:rsidRPr="004920AD" w:rsidSect="006A769B">
      <w:headerReference w:type="default" r:id="rId10"/>
      <w:footerReference w:type="default" r:id="rId11"/>
      <w:pgSz w:w="11907" w:h="16839" w:code="9"/>
      <w:pgMar w:top="2243" w:right="1418" w:bottom="1134" w:left="1985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69" w:rsidRDefault="009D4269" w:rsidP="00BA6370">
      <w:r>
        <w:separator/>
      </w:r>
    </w:p>
  </w:endnote>
  <w:endnote w:type="continuationSeparator" w:id="0">
    <w:p w:rsidR="009D4269" w:rsidRDefault="009D426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72BA4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4.5pt,782.2pt" to="522.55pt,7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7.8pt;margin-top:785.65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72BA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72BA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4521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72BA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69" w:rsidRDefault="009D4269" w:rsidP="00BA6370">
      <w:r>
        <w:separator/>
      </w:r>
    </w:p>
  </w:footnote>
  <w:footnote w:type="continuationSeparator" w:id="0">
    <w:p w:rsidR="009D4269" w:rsidRDefault="009D426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72BA4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-14.65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348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5397C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23702"/>
    <w:rsid w:val="00136B06"/>
    <w:rsid w:val="001404AB"/>
    <w:rsid w:val="00146745"/>
    <w:rsid w:val="001523B7"/>
    <w:rsid w:val="0015703B"/>
    <w:rsid w:val="001630AF"/>
    <w:rsid w:val="001658A9"/>
    <w:rsid w:val="0017212C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D40F5"/>
    <w:rsid w:val="001D73A8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60C48"/>
    <w:rsid w:val="00262B08"/>
    <w:rsid w:val="00274D2C"/>
    <w:rsid w:val="00282A46"/>
    <w:rsid w:val="002848DA"/>
    <w:rsid w:val="00286C3C"/>
    <w:rsid w:val="002923B4"/>
    <w:rsid w:val="002B2E47"/>
    <w:rsid w:val="002B445C"/>
    <w:rsid w:val="002D6A6C"/>
    <w:rsid w:val="002E3116"/>
    <w:rsid w:val="002F285A"/>
    <w:rsid w:val="003065B2"/>
    <w:rsid w:val="0031024D"/>
    <w:rsid w:val="00311BAF"/>
    <w:rsid w:val="00313447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45A68"/>
    <w:rsid w:val="00550AD9"/>
    <w:rsid w:val="005514B9"/>
    <w:rsid w:val="005615D2"/>
    <w:rsid w:val="005748DB"/>
    <w:rsid w:val="0059449B"/>
    <w:rsid w:val="005A3D83"/>
    <w:rsid w:val="005B12E4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2B80"/>
    <w:rsid w:val="0064139A"/>
    <w:rsid w:val="006458A1"/>
    <w:rsid w:val="00647E0E"/>
    <w:rsid w:val="00661B2F"/>
    <w:rsid w:val="0066475A"/>
    <w:rsid w:val="00664790"/>
    <w:rsid w:val="00673584"/>
    <w:rsid w:val="00674A15"/>
    <w:rsid w:val="00675D16"/>
    <w:rsid w:val="00694066"/>
    <w:rsid w:val="006A4B44"/>
    <w:rsid w:val="006A4ECD"/>
    <w:rsid w:val="006A769B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7EC5"/>
    <w:rsid w:val="00723482"/>
    <w:rsid w:val="00737B80"/>
    <w:rsid w:val="007576C2"/>
    <w:rsid w:val="007620EB"/>
    <w:rsid w:val="00775EE8"/>
    <w:rsid w:val="007815C6"/>
    <w:rsid w:val="00782E90"/>
    <w:rsid w:val="007916AF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608A9"/>
    <w:rsid w:val="00861D0E"/>
    <w:rsid w:val="00863476"/>
    <w:rsid w:val="0086744B"/>
    <w:rsid w:val="00867569"/>
    <w:rsid w:val="008A1098"/>
    <w:rsid w:val="008A750A"/>
    <w:rsid w:val="008B5300"/>
    <w:rsid w:val="008C384C"/>
    <w:rsid w:val="008C5F54"/>
    <w:rsid w:val="008D0F11"/>
    <w:rsid w:val="008D7EA9"/>
    <w:rsid w:val="008E1032"/>
    <w:rsid w:val="008F35B4"/>
    <w:rsid w:val="008F73B4"/>
    <w:rsid w:val="0090115E"/>
    <w:rsid w:val="009059EE"/>
    <w:rsid w:val="00910C82"/>
    <w:rsid w:val="009149AE"/>
    <w:rsid w:val="00915F21"/>
    <w:rsid w:val="0092781E"/>
    <w:rsid w:val="0094402F"/>
    <w:rsid w:val="009473BD"/>
    <w:rsid w:val="00956773"/>
    <w:rsid w:val="009636F1"/>
    <w:rsid w:val="009668FF"/>
    <w:rsid w:val="00976FCB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D4269"/>
    <w:rsid w:val="009F18D0"/>
    <w:rsid w:val="00A029DA"/>
    <w:rsid w:val="00A1185E"/>
    <w:rsid w:val="00A4343D"/>
    <w:rsid w:val="00A502F1"/>
    <w:rsid w:val="00A504E0"/>
    <w:rsid w:val="00A56234"/>
    <w:rsid w:val="00A578A4"/>
    <w:rsid w:val="00A65AE5"/>
    <w:rsid w:val="00A70A83"/>
    <w:rsid w:val="00A72BA4"/>
    <w:rsid w:val="00A81EB3"/>
    <w:rsid w:val="00A8368E"/>
    <w:rsid w:val="00A842CF"/>
    <w:rsid w:val="00A944D9"/>
    <w:rsid w:val="00AA039D"/>
    <w:rsid w:val="00AB1E44"/>
    <w:rsid w:val="00AB211A"/>
    <w:rsid w:val="00AC7E7B"/>
    <w:rsid w:val="00AD0BA3"/>
    <w:rsid w:val="00AE66B0"/>
    <w:rsid w:val="00AE6D5B"/>
    <w:rsid w:val="00B00C1D"/>
    <w:rsid w:val="00B03E21"/>
    <w:rsid w:val="00B103A4"/>
    <w:rsid w:val="00B3607A"/>
    <w:rsid w:val="00B416B4"/>
    <w:rsid w:val="00B458B6"/>
    <w:rsid w:val="00B649D6"/>
    <w:rsid w:val="00B64BFF"/>
    <w:rsid w:val="00B7618C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647A"/>
    <w:rsid w:val="00C072F9"/>
    <w:rsid w:val="00C1130E"/>
    <w:rsid w:val="00C122BC"/>
    <w:rsid w:val="00C241F3"/>
    <w:rsid w:val="00C24C3C"/>
    <w:rsid w:val="00C269D4"/>
    <w:rsid w:val="00C30752"/>
    <w:rsid w:val="00C4160D"/>
    <w:rsid w:val="00C41F27"/>
    <w:rsid w:val="00C45312"/>
    <w:rsid w:val="00C46064"/>
    <w:rsid w:val="00C50EAB"/>
    <w:rsid w:val="00C5242A"/>
    <w:rsid w:val="00C52466"/>
    <w:rsid w:val="00C75A80"/>
    <w:rsid w:val="00C8406E"/>
    <w:rsid w:val="00C87663"/>
    <w:rsid w:val="00CA1C4A"/>
    <w:rsid w:val="00CB2709"/>
    <w:rsid w:val="00CB4A18"/>
    <w:rsid w:val="00CB6F89"/>
    <w:rsid w:val="00CD1478"/>
    <w:rsid w:val="00CD3E4E"/>
    <w:rsid w:val="00CE228C"/>
    <w:rsid w:val="00CF19DC"/>
    <w:rsid w:val="00CF545B"/>
    <w:rsid w:val="00D018F0"/>
    <w:rsid w:val="00D03F30"/>
    <w:rsid w:val="00D05A3F"/>
    <w:rsid w:val="00D071CB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42B57"/>
    <w:rsid w:val="00E4521A"/>
    <w:rsid w:val="00E6423C"/>
    <w:rsid w:val="00E66C15"/>
    <w:rsid w:val="00E677F3"/>
    <w:rsid w:val="00E7351A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F26395"/>
    <w:rsid w:val="00F3488F"/>
    <w:rsid w:val="00F405C9"/>
    <w:rsid w:val="00F46F18"/>
    <w:rsid w:val="00F5188C"/>
    <w:rsid w:val="00F56027"/>
    <w:rsid w:val="00F60154"/>
    <w:rsid w:val="00F6156D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hrozeni-prijmovou-chudobou-nebo-socialnim-vyloucenim-eu-28-2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FEE1-45E4-446D-9D8A-F7F6BA99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2017-01-09T13:23:00Z</cp:lastPrinted>
  <dcterms:created xsi:type="dcterms:W3CDTF">2017-04-03T08:56:00Z</dcterms:created>
  <dcterms:modified xsi:type="dcterms:W3CDTF">2017-04-04T06:26:00Z</dcterms:modified>
</cp:coreProperties>
</file>