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 ostatním rezidentským a nerezidentským sektorům.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 xml:space="preserve">měnového charakteru rezidentských měnových finančních institucí (tzv. sektoru tvorby peněz) vůči jiným rezidentským sektorům (tzv. sektoru držby peněz).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M2, podílové listy fondů peněžního trhu, emitované dluhové cenné papíry se splatností do 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držbě nerezidentů ČR, repo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 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titul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 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996013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538888486" r:id="rId9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996013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538888487" r:id="rId11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538888488" r:id="rId12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 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996013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538888489" r:id="rId14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  <w:bookmarkStart w:id="0" w:name="_GoBack"/>
      <w:bookmarkEnd w:id="0"/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 se 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zásad kategorizace pohledávek na standardní, sledované, nestandardní, pochybné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ztrátové, podle smluvní doby splatnosti (do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roku včetně, nad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 do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 včetně, nad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let), podle měn (CZK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cizí měny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rozsahu kurzovního lístku ČNB včetně zbytku měn)</w:t>
      </w:r>
      <w:r w:rsidRPr="00C822C2">
        <w:rPr>
          <w:rStyle w:val="Typewriter"/>
          <w:rFonts w:ascii="Arial" w:hAnsi="Arial"/>
          <w:color w:val="000000"/>
        </w:rPr>
        <w:t>,</w:t>
      </w:r>
      <w:r w:rsidRPr="00C822C2">
        <w:rPr>
          <w:rFonts w:ascii="Arial" w:hAnsi="Arial"/>
          <w:color w:val="000000"/>
        </w:rPr>
        <w:t xml:space="preserve">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titul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>členění podle sjednané doby trvání vkladu nebo splatnosti přijatého úvěru, 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ekonomické činnosti věřitele)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hlavních typů vkladových produktů.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 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 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 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 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 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 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 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 resp. poskytnutých vkladů a úvěrů bankou k okamžiku vykazování. Jsou členěny podle původní sjednané doby splatnosti. Nově 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 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 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 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="00102B3F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</w:t>
      </w:r>
      <w:r w:rsidR="005A3C44">
        <w:rPr>
          <w:rFonts w:ascii="Arial" w:hAnsi="Arial" w:cs="Arial"/>
          <w:color w:val="auto"/>
          <w:sz w:val="20"/>
        </w:rPr>
        <w:t xml:space="preserve"> v národním pojetí</w:t>
      </w:r>
      <w:r w:rsidRPr="00C822C2">
        <w:rPr>
          <w:rFonts w:ascii="Arial" w:hAnsi="Arial" w:cs="Arial"/>
          <w:color w:val="auto"/>
          <w:sz w:val="20"/>
        </w:rPr>
        <w:t>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D813AF" w:rsidRDefault="000572F9" w:rsidP="00EF756D">
      <w:pPr>
        <w:autoSpaceDE w:val="0"/>
        <w:autoSpaceDN w:val="0"/>
        <w:adjustRightInd w:val="0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Tab. 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>-13.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  <w:b/>
        </w:rPr>
        <w:t>7</w:t>
      </w:r>
      <w:r w:rsidRPr="00C822C2">
        <w:rPr>
          <w:rFonts w:ascii="Arial" w:hAnsi="Arial" w:cs="Arial"/>
        </w:rPr>
        <w:t xml:space="preserve">-14. </w:t>
      </w:r>
      <w:r w:rsidRPr="00C822C2">
        <w:rPr>
          <w:rFonts w:ascii="Arial" w:hAnsi="Arial" w:cs="Arial"/>
          <w:b/>
        </w:rPr>
        <w:t>Přímé zahraniční investice do Č</w:t>
      </w:r>
      <w:r w:rsidR="00715964" w:rsidRPr="00C822C2">
        <w:rPr>
          <w:rFonts w:ascii="Arial" w:hAnsi="Arial" w:cs="Arial"/>
          <w:b/>
        </w:rPr>
        <w:t>eské republiky</w:t>
      </w:r>
      <w:r w:rsidRPr="00C822C2">
        <w:rPr>
          <w:rFonts w:ascii="Arial" w:hAnsi="Arial" w:cs="Arial"/>
          <w:b/>
        </w:rPr>
        <w:t xml:space="preserve"> podle zemí</w:t>
      </w:r>
      <w:r w:rsidR="0046656C" w:rsidRPr="00C822C2">
        <w:rPr>
          <w:rFonts w:ascii="Arial" w:hAnsi="Arial" w:cs="Arial"/>
          <w:b/>
        </w:rPr>
        <w:t xml:space="preserve"> a </w:t>
      </w:r>
      <w:r w:rsidR="00A85731" w:rsidRPr="00C822C2">
        <w:rPr>
          <w:rFonts w:ascii="Arial" w:hAnsi="Arial" w:cs="Arial"/>
          <w:b/>
        </w:rPr>
        <w:t>činností</w:t>
      </w:r>
    </w:p>
    <w:p w:rsidR="00D813AF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 xml:space="preserve">přímých zahraničních investicích jsou vypracovány na základě </w:t>
      </w:r>
      <w:r w:rsidR="00D11DEA">
        <w:rPr>
          <w:rFonts w:ascii="Arial" w:hAnsi="Arial" w:cs="Arial"/>
          <w:color w:val="auto"/>
          <w:sz w:val="20"/>
        </w:rPr>
        <w:t>informací a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 xml:space="preserve">podkladů ve formě statistických výkazů </w:t>
      </w:r>
      <w:r w:rsidRPr="00C822C2">
        <w:rPr>
          <w:rFonts w:ascii="Arial" w:hAnsi="Arial" w:cs="Arial"/>
          <w:color w:val="auto"/>
          <w:sz w:val="20"/>
        </w:rPr>
        <w:t>nebankovních subjektů vyplývající</w:t>
      </w:r>
      <w:r w:rsidR="005679FE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z </w:t>
      </w:r>
      <w:r w:rsidR="00D11DEA">
        <w:rPr>
          <w:rFonts w:ascii="Arial" w:hAnsi="Arial" w:cs="Arial"/>
          <w:color w:val="auto"/>
          <w:sz w:val="20"/>
        </w:rPr>
        <w:t>§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41</w:t>
      </w:r>
      <w:r w:rsidR="00DC446A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odst.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1</w:t>
      </w:r>
      <w:r w:rsidR="00DC446A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písm. </w:t>
      </w:r>
      <w:r w:rsidR="00235510">
        <w:rPr>
          <w:rFonts w:ascii="Arial" w:hAnsi="Arial" w:cs="Arial"/>
          <w:color w:val="auto"/>
          <w:sz w:val="20"/>
        </w:rPr>
        <w:t>c</w:t>
      </w:r>
      <w:r w:rsidR="00D11DEA">
        <w:rPr>
          <w:rFonts w:ascii="Arial" w:hAnsi="Arial" w:cs="Arial"/>
          <w:color w:val="auto"/>
          <w:sz w:val="20"/>
        </w:rPr>
        <w:t>) zákona č.</w:t>
      </w:r>
      <w:r w:rsidR="005C3D6D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6/1993 Sb.</w:t>
      </w:r>
      <w:r w:rsidR="001933C7">
        <w:rPr>
          <w:rFonts w:ascii="Arial" w:hAnsi="Arial" w:cs="Arial"/>
          <w:color w:val="auto"/>
          <w:sz w:val="20"/>
        </w:rPr>
        <w:t>,</w:t>
      </w:r>
      <w:r w:rsidR="00D11DEA">
        <w:rPr>
          <w:rFonts w:ascii="Arial" w:hAnsi="Arial" w:cs="Arial"/>
          <w:color w:val="auto"/>
          <w:sz w:val="20"/>
        </w:rPr>
        <w:t xml:space="preserve"> o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České národní bance a</w:t>
      </w:r>
      <w:r w:rsidR="000B08BC">
        <w:rPr>
          <w:rFonts w:ascii="Arial" w:hAnsi="Arial" w:cs="Arial"/>
          <w:color w:val="auto"/>
          <w:sz w:val="20"/>
        </w:rPr>
        <w:t> </w:t>
      </w:r>
      <w:r w:rsidR="00D11DEA">
        <w:rPr>
          <w:rFonts w:ascii="Arial" w:hAnsi="Arial" w:cs="Arial"/>
          <w:color w:val="auto"/>
          <w:sz w:val="20"/>
        </w:rPr>
        <w:t>ve znění zákona č. 227/2013 Sb.</w:t>
      </w:r>
      <w:r w:rsidR="00E56D8A">
        <w:rPr>
          <w:rFonts w:ascii="Arial" w:hAnsi="Arial" w:cs="Arial"/>
          <w:color w:val="auto"/>
          <w:sz w:val="20"/>
        </w:rPr>
        <w:t xml:space="preserve"> Obsah, formu, lhůty a</w:t>
      </w:r>
      <w:r w:rsidR="000B08BC">
        <w:rPr>
          <w:rFonts w:ascii="Arial" w:hAnsi="Arial" w:cs="Arial"/>
          <w:color w:val="auto"/>
          <w:sz w:val="20"/>
        </w:rPr>
        <w:t> </w:t>
      </w:r>
      <w:r w:rsidR="00E56D8A">
        <w:rPr>
          <w:rFonts w:ascii="Arial" w:hAnsi="Arial" w:cs="Arial"/>
          <w:color w:val="auto"/>
          <w:sz w:val="20"/>
        </w:rPr>
        <w:t>způsob sestavování a</w:t>
      </w:r>
      <w:r w:rsidR="000B08BC">
        <w:rPr>
          <w:rFonts w:ascii="Arial" w:hAnsi="Arial" w:cs="Arial"/>
          <w:color w:val="auto"/>
          <w:sz w:val="20"/>
        </w:rPr>
        <w:t> </w:t>
      </w:r>
      <w:r w:rsidR="00E56D8A">
        <w:rPr>
          <w:rFonts w:ascii="Arial" w:hAnsi="Arial" w:cs="Arial"/>
          <w:color w:val="auto"/>
          <w:sz w:val="20"/>
        </w:rPr>
        <w:t>předkládání stanoví vyhláška č. 235/2013 Sb.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235510">
        <w:rPr>
          <w:rFonts w:ascii="Arial" w:hAnsi="Arial" w:cs="Arial"/>
          <w:color w:val="auto"/>
          <w:sz w:val="20"/>
        </w:rPr>
        <w:t>Jako h</w:t>
      </w:r>
      <w:r w:rsidR="00D11DEA">
        <w:rPr>
          <w:rFonts w:ascii="Arial" w:hAnsi="Arial" w:cs="Arial"/>
          <w:color w:val="auto"/>
          <w:sz w:val="20"/>
        </w:rPr>
        <w:t xml:space="preserve">lavní zdroj jsou </w:t>
      </w:r>
      <w:r w:rsidR="00235510">
        <w:rPr>
          <w:rFonts w:ascii="Arial" w:hAnsi="Arial" w:cs="Arial"/>
          <w:color w:val="auto"/>
          <w:sz w:val="20"/>
        </w:rPr>
        <w:t xml:space="preserve">využívány </w:t>
      </w:r>
      <w:r w:rsidR="00D11DEA" w:rsidRPr="00C822C2">
        <w:rPr>
          <w:rFonts w:ascii="Arial" w:hAnsi="Arial" w:cs="Arial"/>
          <w:color w:val="auto"/>
          <w:sz w:val="20"/>
        </w:rPr>
        <w:t>čtvrtletní výkaz</w:t>
      </w:r>
      <w:r w:rsidR="00D965A3">
        <w:rPr>
          <w:rFonts w:ascii="Arial" w:hAnsi="Arial" w:cs="Arial"/>
          <w:color w:val="auto"/>
          <w:sz w:val="20"/>
        </w:rPr>
        <w:t>y</w:t>
      </w:r>
      <w:r w:rsidR="00D11DEA" w:rsidRPr="00C822C2">
        <w:rPr>
          <w:rFonts w:ascii="Arial" w:hAnsi="Arial" w:cs="Arial"/>
          <w:color w:val="auto"/>
          <w:sz w:val="20"/>
        </w:rPr>
        <w:t xml:space="preserve"> o v</w:t>
      </w:r>
      <w:r w:rsidR="00D11DEA" w:rsidRPr="00C822C2">
        <w:rPr>
          <w:rFonts w:ascii="Arial" w:hAnsi="Arial" w:cs="Arial"/>
          <w:sz w:val="20"/>
        </w:rPr>
        <w:t>ybraných aktivech</w:t>
      </w:r>
      <w:r w:rsidR="000B08BC">
        <w:rPr>
          <w:rFonts w:ascii="Arial" w:hAnsi="Arial" w:cs="Arial"/>
          <w:sz w:val="20"/>
        </w:rPr>
        <w:t xml:space="preserve"> </w:t>
      </w:r>
      <w:r w:rsidR="00D11DEA" w:rsidRPr="00C822C2">
        <w:rPr>
          <w:rFonts w:ascii="Arial" w:hAnsi="Arial" w:cs="Arial"/>
          <w:sz w:val="20"/>
        </w:rPr>
        <w:t>a</w:t>
      </w:r>
      <w:r w:rsidR="000B08BC">
        <w:rPr>
          <w:rFonts w:ascii="Arial" w:hAnsi="Arial" w:cs="Arial"/>
          <w:sz w:val="20"/>
        </w:rPr>
        <w:t> </w:t>
      </w:r>
      <w:r w:rsidR="00D11DEA" w:rsidRPr="00C822C2">
        <w:rPr>
          <w:rFonts w:ascii="Arial" w:hAnsi="Arial" w:cs="Arial"/>
          <w:sz w:val="20"/>
        </w:rPr>
        <w:t>pasivech vůči zahraničí</w:t>
      </w:r>
      <w:r w:rsidR="00D11DEA" w:rsidRPr="00C822C2">
        <w:rPr>
          <w:rFonts w:ascii="Arial" w:hAnsi="Arial" w:cs="Arial"/>
          <w:color w:val="auto"/>
          <w:sz w:val="20"/>
        </w:rPr>
        <w:t xml:space="preserve"> </w:t>
      </w:r>
      <w:r w:rsidR="00D11DEA">
        <w:rPr>
          <w:rFonts w:ascii="Arial" w:hAnsi="Arial" w:cs="Arial"/>
          <w:color w:val="auto"/>
          <w:sz w:val="20"/>
        </w:rPr>
        <w:t>a</w:t>
      </w:r>
      <w:r w:rsidR="000B08BC">
        <w:rPr>
          <w:rFonts w:ascii="Arial" w:hAnsi="Arial" w:cs="Arial"/>
          <w:color w:val="auto"/>
          <w:sz w:val="20"/>
        </w:rPr>
        <w:t> </w:t>
      </w:r>
      <w:r w:rsidR="00D11DEA" w:rsidRPr="00C822C2">
        <w:rPr>
          <w:rFonts w:ascii="Arial" w:hAnsi="Arial" w:cs="Arial"/>
          <w:color w:val="auto"/>
          <w:sz w:val="20"/>
        </w:rPr>
        <w:t>roční výkazy nefinančních podniků o stavech přímých investic v tuzemsku a v zahraničí,</w:t>
      </w:r>
      <w:r w:rsidR="00D11DEA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Doplňujícími informačními zdroji jsou výkazy bankovních subjektů, ministerstva financí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zahraničních platbách,</w:t>
      </w:r>
      <w:r w:rsidR="00C43935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informace z burzy cenných papírů, obchodní věstník</w:t>
      </w:r>
      <w:r w:rsidR="00C43935" w:rsidRPr="00C822C2">
        <w:rPr>
          <w:rFonts w:ascii="Arial" w:hAnsi="Arial" w:cs="Arial"/>
          <w:color w:val="auto"/>
          <w:sz w:val="20"/>
        </w:rPr>
        <w:t xml:space="preserve"> a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tisk.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Vykazované údaje zachycují příliv (tok) přímých zahraničních investic v daném roce do základního kapitálu včetně reinvestovaných zisků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úvěrové vztahy s přímým investorem.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Za přímé zahraniční investice se v souladu s definicí Mezinárodního měnového fondu považují vklady zahraničních investorů do českých podniků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společností, které představují minimálně 10 % základního kapitálu nebo nejméně 10 % hlasovacích práv. Podmínkou je trvalý zájem investora na společnosti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jeho podíl na řízení.</w:t>
      </w: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 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 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lastRenderedPageBreak/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 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 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Pr="00C822C2">
        <w:rPr>
          <w:rFonts w:ascii="Arial" w:hAnsi="Arial" w:cs="Arial"/>
          <w:snapToGrid w:val="0"/>
        </w:rPr>
        <w:t xml:space="preserve">0).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kurzem EUR, je to Rusk</w:t>
      </w:r>
      <w:r w:rsidR="00C34D3F">
        <w:rPr>
          <w:rFonts w:ascii="Arial" w:hAnsi="Arial" w:cs="Arial"/>
          <w:snapToGrid w:val="0"/>
        </w:rPr>
        <w:t>o</w:t>
      </w:r>
      <w:r w:rsidRPr="00C822C2">
        <w:rPr>
          <w:rFonts w:ascii="Arial" w:hAnsi="Arial" w:cs="Arial"/>
          <w:snapToGrid w:val="0"/>
        </w:rPr>
        <w:t xml:space="preserve">, Polsko, </w:t>
      </w:r>
      <w:r w:rsidR="00C34D3F">
        <w:rPr>
          <w:rFonts w:ascii="Arial" w:hAnsi="Arial" w:cs="Arial"/>
          <w:snapToGrid w:val="0"/>
        </w:rPr>
        <w:t>Velká Británie</w:t>
      </w:r>
      <w:r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Spojené státy</w:t>
      </w:r>
      <w:r w:rsidRPr="00C822C2">
        <w:rPr>
          <w:rFonts w:ascii="Arial" w:hAnsi="Arial" w:cs="Arial"/>
          <w:snapToGrid w:val="0"/>
        </w:rPr>
        <w:t>, Japonsko, Maďarsko, Švýcarsko, Švédsko, Dánsko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snapToGrid w:val="0"/>
        </w:rPr>
        <w:t>Čína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Korejská republika</w:t>
      </w:r>
      <w:r w:rsidR="008613A9" w:rsidRPr="00C822C2">
        <w:rPr>
          <w:rFonts w:ascii="Arial" w:hAnsi="Arial" w:cs="Arial"/>
          <w:snapToGrid w:val="0"/>
        </w:rPr>
        <w:t xml:space="preserve"> a</w:t>
      </w:r>
      <w:r w:rsidR="00BB1052" w:rsidRPr="00C822C2">
        <w:rPr>
          <w:rFonts w:ascii="Arial" w:hAnsi="Arial" w:cs="Arial"/>
          <w:snapToGrid w:val="0"/>
        </w:rPr>
        <w:t> </w:t>
      </w:r>
      <w:r w:rsidR="008613A9" w:rsidRPr="00C822C2">
        <w:rPr>
          <w:rFonts w:ascii="Arial" w:hAnsi="Arial" w:cs="Arial"/>
          <w:snapToGrid w:val="0"/>
        </w:rPr>
        <w:t>Rumunsko</w:t>
      </w:r>
      <w:r w:rsidRPr="00C822C2">
        <w:rPr>
          <w:rFonts w:ascii="Arial" w:hAnsi="Arial" w:cs="Arial"/>
          <w:snapToGrid w:val="0"/>
        </w:rPr>
        <w:t>. Váhové podíly byly zpracovány ve 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 xml:space="preserve">eské </w:t>
      </w:r>
      <w:r w:rsidR="00C56E0B" w:rsidRPr="00C822C2">
        <w:rPr>
          <w:rFonts w:ascii="Arial" w:hAnsi="Arial" w:cs="Arial"/>
          <w:snapToGrid w:val="0"/>
        </w:rPr>
        <w:lastRenderedPageBreak/>
        <w:t>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(SITC).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Pr="00C822C2">
        <w:rPr>
          <w:rFonts w:ascii="Arial" w:hAnsi="Arial" w:cs="Arial"/>
          <w:sz w:val="20"/>
        </w:rPr>
        <w:t>0).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 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 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5" type="#_x0000_t75" style="width:180.6pt;height:60pt" o:ole="" fillcolor="window">
            <v:imagedata r:id="rId15" o:title=""/>
          </v:shape>
          <o:OLEObject Type="Embed" ProgID="Equation.3" ShapeID="_x0000_i1025" DrawAspect="Content" ObjectID="_1538888485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</w:t>
        </w:r>
        <w:r w:rsidR="0000297B" w:rsidRPr="009067CA">
          <w:rPr>
            <w:rStyle w:val="Hypertextovodkaz"/>
            <w:rFonts w:ascii="Arial" w:hAnsi="Arial" w:cs="Arial"/>
            <w:bCs/>
            <w:sz w:val="20"/>
          </w:rPr>
          <w:t>c</w:t>
        </w:r>
        <w:r w:rsidR="0000297B" w:rsidRPr="009067CA">
          <w:rPr>
            <w:rStyle w:val="Hypertextovodkaz"/>
            <w:rFonts w:ascii="Arial" w:hAnsi="Arial" w:cs="Arial"/>
            <w:bCs/>
            <w:sz w:val="20"/>
          </w:rPr>
          <w:t>s/statistika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4D" w:rsidRDefault="0033754D">
      <w:r>
        <w:separator/>
      </w:r>
    </w:p>
  </w:endnote>
  <w:endnote w:type="continuationSeparator" w:id="0">
    <w:p w:rsidR="0033754D" w:rsidRDefault="0033754D">
      <w:r>
        <w:continuationSeparator/>
      </w:r>
    </w:p>
  </w:endnote>
  <w:endnote w:type="continuationNotice" w:id="1">
    <w:p w:rsidR="0033754D" w:rsidRDefault="003375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4D" w:rsidRDefault="0033754D">
      <w:r>
        <w:separator/>
      </w:r>
    </w:p>
  </w:footnote>
  <w:footnote w:type="continuationSeparator" w:id="0">
    <w:p w:rsidR="0033754D" w:rsidRDefault="0033754D">
      <w:r>
        <w:continuationSeparator/>
      </w:r>
    </w:p>
  </w:footnote>
  <w:footnote w:type="continuationNotice" w:id="1">
    <w:p w:rsidR="0033754D" w:rsidRDefault="003375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EA" w:rsidRDefault="009960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7C8"/>
    <w:rsid w:val="0000297B"/>
    <w:rsid w:val="000057E2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72F9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4267"/>
    <w:rsid w:val="00110527"/>
    <w:rsid w:val="00125F53"/>
    <w:rsid w:val="001314C6"/>
    <w:rsid w:val="00134134"/>
    <w:rsid w:val="00136612"/>
    <w:rsid w:val="00137347"/>
    <w:rsid w:val="00156C83"/>
    <w:rsid w:val="00164427"/>
    <w:rsid w:val="00173A21"/>
    <w:rsid w:val="00173F39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F0D38"/>
    <w:rsid w:val="001F3F9F"/>
    <w:rsid w:val="001F706B"/>
    <w:rsid w:val="002023AC"/>
    <w:rsid w:val="00203D9E"/>
    <w:rsid w:val="002125E4"/>
    <w:rsid w:val="00214344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A25"/>
    <w:rsid w:val="00314A5F"/>
    <w:rsid w:val="0031770F"/>
    <w:rsid w:val="00322EDB"/>
    <w:rsid w:val="00336EC0"/>
    <w:rsid w:val="0033754D"/>
    <w:rsid w:val="003478B2"/>
    <w:rsid w:val="00354553"/>
    <w:rsid w:val="00355B80"/>
    <w:rsid w:val="00373677"/>
    <w:rsid w:val="003738AF"/>
    <w:rsid w:val="0037401A"/>
    <w:rsid w:val="00374D75"/>
    <w:rsid w:val="00377B82"/>
    <w:rsid w:val="00381E65"/>
    <w:rsid w:val="00382AA3"/>
    <w:rsid w:val="003B077F"/>
    <w:rsid w:val="003B2090"/>
    <w:rsid w:val="003C1771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9E8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271E2"/>
    <w:rsid w:val="005337EA"/>
    <w:rsid w:val="005379AC"/>
    <w:rsid w:val="00537C1B"/>
    <w:rsid w:val="005407C2"/>
    <w:rsid w:val="005419BF"/>
    <w:rsid w:val="0054296F"/>
    <w:rsid w:val="00544857"/>
    <w:rsid w:val="00544CA6"/>
    <w:rsid w:val="00556C47"/>
    <w:rsid w:val="005679FE"/>
    <w:rsid w:val="00586676"/>
    <w:rsid w:val="005967C8"/>
    <w:rsid w:val="005A3C44"/>
    <w:rsid w:val="005C00D3"/>
    <w:rsid w:val="005C070A"/>
    <w:rsid w:val="005C3D6D"/>
    <w:rsid w:val="005C427B"/>
    <w:rsid w:val="005D5A54"/>
    <w:rsid w:val="005E650A"/>
    <w:rsid w:val="00601606"/>
    <w:rsid w:val="0060409A"/>
    <w:rsid w:val="00615E70"/>
    <w:rsid w:val="00625A82"/>
    <w:rsid w:val="00626950"/>
    <w:rsid w:val="006468C7"/>
    <w:rsid w:val="00655E31"/>
    <w:rsid w:val="00672335"/>
    <w:rsid w:val="00685343"/>
    <w:rsid w:val="006A4D6B"/>
    <w:rsid w:val="006B2312"/>
    <w:rsid w:val="006B3F7B"/>
    <w:rsid w:val="006B4BA9"/>
    <w:rsid w:val="006C0161"/>
    <w:rsid w:val="006C26CC"/>
    <w:rsid w:val="006C380B"/>
    <w:rsid w:val="006D72FF"/>
    <w:rsid w:val="006F3573"/>
    <w:rsid w:val="006F5AAA"/>
    <w:rsid w:val="00702827"/>
    <w:rsid w:val="00707180"/>
    <w:rsid w:val="00710B5A"/>
    <w:rsid w:val="00714B89"/>
    <w:rsid w:val="00715964"/>
    <w:rsid w:val="007246BF"/>
    <w:rsid w:val="007255BB"/>
    <w:rsid w:val="0072688C"/>
    <w:rsid w:val="00726D99"/>
    <w:rsid w:val="00733795"/>
    <w:rsid w:val="0074223B"/>
    <w:rsid w:val="00744B25"/>
    <w:rsid w:val="00744FE7"/>
    <w:rsid w:val="0075023A"/>
    <w:rsid w:val="0075344E"/>
    <w:rsid w:val="00760E27"/>
    <w:rsid w:val="007701F8"/>
    <w:rsid w:val="007709C2"/>
    <w:rsid w:val="00771A50"/>
    <w:rsid w:val="00771FD4"/>
    <w:rsid w:val="00781BC9"/>
    <w:rsid w:val="00783CB5"/>
    <w:rsid w:val="007B2365"/>
    <w:rsid w:val="007B4A87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75E8"/>
    <w:rsid w:val="0089102C"/>
    <w:rsid w:val="008932C2"/>
    <w:rsid w:val="0089424A"/>
    <w:rsid w:val="008A1D53"/>
    <w:rsid w:val="008A3195"/>
    <w:rsid w:val="008B6BF7"/>
    <w:rsid w:val="008B71D3"/>
    <w:rsid w:val="008D2FDE"/>
    <w:rsid w:val="008D3471"/>
    <w:rsid w:val="008E675C"/>
    <w:rsid w:val="008F4534"/>
    <w:rsid w:val="00900606"/>
    <w:rsid w:val="009067CA"/>
    <w:rsid w:val="00947303"/>
    <w:rsid w:val="00964FA2"/>
    <w:rsid w:val="00983AD7"/>
    <w:rsid w:val="00985FF3"/>
    <w:rsid w:val="00995CD6"/>
    <w:rsid w:val="00996013"/>
    <w:rsid w:val="009A4A2D"/>
    <w:rsid w:val="009A56C7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85731"/>
    <w:rsid w:val="00AA00B2"/>
    <w:rsid w:val="00AA14F9"/>
    <w:rsid w:val="00AC25B9"/>
    <w:rsid w:val="00AD5E63"/>
    <w:rsid w:val="00AE118D"/>
    <w:rsid w:val="00AF4E93"/>
    <w:rsid w:val="00B01E93"/>
    <w:rsid w:val="00B14691"/>
    <w:rsid w:val="00B462CA"/>
    <w:rsid w:val="00B57F7F"/>
    <w:rsid w:val="00B63BDD"/>
    <w:rsid w:val="00B7004D"/>
    <w:rsid w:val="00B91D94"/>
    <w:rsid w:val="00B961B1"/>
    <w:rsid w:val="00BA3F1C"/>
    <w:rsid w:val="00BB1052"/>
    <w:rsid w:val="00BB23B7"/>
    <w:rsid w:val="00BB69ED"/>
    <w:rsid w:val="00BC074A"/>
    <w:rsid w:val="00BD0F80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5882"/>
    <w:rsid w:val="00C56E0B"/>
    <w:rsid w:val="00C60A31"/>
    <w:rsid w:val="00C80648"/>
    <w:rsid w:val="00C822C2"/>
    <w:rsid w:val="00C86A31"/>
    <w:rsid w:val="00C97F6F"/>
    <w:rsid w:val="00CC0A91"/>
    <w:rsid w:val="00CC1B1B"/>
    <w:rsid w:val="00CC6BAA"/>
    <w:rsid w:val="00CD2908"/>
    <w:rsid w:val="00CE4728"/>
    <w:rsid w:val="00CF06E3"/>
    <w:rsid w:val="00D06A34"/>
    <w:rsid w:val="00D11DEA"/>
    <w:rsid w:val="00D12EBA"/>
    <w:rsid w:val="00D33E20"/>
    <w:rsid w:val="00D35264"/>
    <w:rsid w:val="00D37C43"/>
    <w:rsid w:val="00D46514"/>
    <w:rsid w:val="00D47B2B"/>
    <w:rsid w:val="00D560D6"/>
    <w:rsid w:val="00D6328D"/>
    <w:rsid w:val="00D755D4"/>
    <w:rsid w:val="00D77E4B"/>
    <w:rsid w:val="00D813AF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3417C"/>
    <w:rsid w:val="00E34847"/>
    <w:rsid w:val="00E35332"/>
    <w:rsid w:val="00E41919"/>
    <w:rsid w:val="00E54F3A"/>
    <w:rsid w:val="00E56D8A"/>
    <w:rsid w:val="00E67753"/>
    <w:rsid w:val="00E67817"/>
    <w:rsid w:val="00E757DC"/>
    <w:rsid w:val="00E845F2"/>
    <w:rsid w:val="00E93D81"/>
    <w:rsid w:val="00EA165A"/>
    <w:rsid w:val="00EA42AB"/>
    <w:rsid w:val="00EA7F4C"/>
    <w:rsid w:val="00EC59A9"/>
    <w:rsid w:val="00EC5FCF"/>
    <w:rsid w:val="00ED6289"/>
    <w:rsid w:val="00ED695D"/>
    <w:rsid w:val="00EE1943"/>
    <w:rsid w:val="00EF756D"/>
    <w:rsid w:val="00F012D7"/>
    <w:rsid w:val="00F2295B"/>
    <w:rsid w:val="00F2522E"/>
    <w:rsid w:val="00F33C3A"/>
    <w:rsid w:val="00F375A7"/>
    <w:rsid w:val="00F628D6"/>
    <w:rsid w:val="00F643C6"/>
    <w:rsid w:val="00F702DC"/>
    <w:rsid w:val="00F726C8"/>
    <w:rsid w:val="00F950A2"/>
    <w:rsid w:val="00F975EC"/>
    <w:rsid w:val="00FA741A"/>
    <w:rsid w:val="00FB55C0"/>
    <w:rsid w:val="00FD5BF6"/>
    <w:rsid w:val="00FD7B55"/>
    <w:rsid w:val="00FE574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vr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26CC-7F51-4991-A539-DA53C178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4110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28305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Ing. Venuše Novotná</cp:lastModifiedBy>
  <cp:revision>5</cp:revision>
  <cp:lastPrinted>2016-07-11T12:10:00Z</cp:lastPrinted>
  <dcterms:created xsi:type="dcterms:W3CDTF">2016-07-11T10:50:00Z</dcterms:created>
  <dcterms:modified xsi:type="dcterms:W3CDTF">2016-10-25T06:15:00Z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1526178164</vt:i4>
  </property>
  <property fmtid="{D5CDD505-2E9C-101B-9397-08002B2CF9AE}" pid="3" name="_NewReviewCycle">
    <vt:lpwstr/>
  </property>
  <property fmtid="{D5CDD505-2E9C-101B-9397-08002B2CF9AE}" pid="4" name="_EmailSubject">
    <vt:lpwstr>ČSÚ, Statistická ročenka ČR 2016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155517693</vt:i4>
  </property>
  <property fmtid="{D5CDD505-2E9C-101B-9397-08002B2CF9AE}" pid="8" name="_ReviewingToolsShownOnce">
    <vt:lpwstr/>
  </property>
</Properties>
</file>