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E40" w:rsidRPr="000A3A2C" w:rsidRDefault="00984E22" w:rsidP="00E67696">
      <w:pPr>
        <w:rPr>
          <w:lang w:eastAsia="ar-SA"/>
        </w:rPr>
        <w:sectPr w:rsidR="00A75E40" w:rsidRPr="000A3A2C" w:rsidSect="0085114D">
          <w:pgSz w:w="11906" w:h="16838" w:code="9"/>
          <w:pgMar w:top="1134" w:right="1134" w:bottom="1418" w:left="1134" w:header="709" w:footer="709" w:gutter="0"/>
          <w:pgNumType w:start="1"/>
          <w:cols w:space="708"/>
          <w:docGrid w:linePitch="360"/>
        </w:sectPr>
      </w:pPr>
      <w:r>
        <w:rPr>
          <w:noProof/>
        </w:rPr>
        <w:pict>
          <v:group id="Group 24" o:spid="_x0000_s1035" style="position:absolute;margin-left:45pt;margin-top:36.75pt;width:177.15pt;height:43.65pt;z-index:251657728;mso-position-horizontal-relative:page;mso-position-vertical-relative:page" coordorigin="567,851" coordsize="2714,667" wrapcoords="11166 0 5308 1117 4942 1490 4942 5959 275 8193 -92 8938 -92 14152 3569 17876 5583 17876 5583 21228 15742 21228 15834 21228 16017 17876 17573 17876 21325 13779 21234 11917 21600 8938 21325 7076 16108 5959 16475 1490 16200 0 11166 0">
            <o:lock v:ext="edit" aspectratio="t"/>
            <v:rect id="Rectangle 9" o:spid="_x0000_s1036" style="position:absolute;left:1215;top:901;width:676;height:154;visibility:visible" fillcolor="#0071bc" stroked="f">
              <o:lock v:ext="edit" aspectratio="t"/>
            </v:rect>
            <v:rect id="Rectangle 10" o:spid="_x0000_s1037" style="position:absolute;left:567;top:1131;width:1324;height:154;visibility:visible" fillcolor="#0071bc" stroked="f">
              <o:lock v:ext="edit" aspectratio="t"/>
            </v:rect>
            <v:rect id="Rectangle 11" o:spid="_x0000_s1038" style="position:absolute;left:1288;top:1361;width:603;height:153;visibility:visible" fillcolor="#0071bc" stroked="f">
              <o:lock v:ext="edit" aspectratio="t"/>
            </v:rect>
            <v:shape id="Freeform 12" o:spid="_x0000_s1039" style="position:absolute;left:1969;top:1311;width:600;height:207;visibility:visible;mso-wrap-style:square;v-text-anchor:top" coordsize="1200,415" path="m1011,341r,-174l1030,167r10,2l1049,170r10,1l1067,174r7,3l1082,182r6,5l1094,194r5,6l1104,206r4,7l1112,221r2,7l1116,237r1,8l1117,253r,9l1116,271r-2,7l1112,287r-4,7l1104,301r-5,7l1094,314r-6,7l1082,326r-8,5l1067,334r-8,3l1049,338r-9,1l1030,341r-19,xm931,408r118,l1064,407r15,-3l1093,400r14,-5l1121,389r12,-9l1144,372r11,-10l1165,351r9,-12l1182,326r6,-13l1194,298r4,-14l1200,270r,-17l1200,238r-2,-15l1194,208r-6,-13l1182,181r-8,-12l1165,157r-10,-11l1144,136r-11,-10l1121,119r-14,-6l1093,108r-14,-5l1064,101r-15,-1l931,100r,308xm775,293r-67,l742,195r33,98xm797,354r20,54l901,408,785,100r-87,l581,408r84,l686,354r111,xm347,37r83,46l513,37,491,3,430,34,369,3,347,37xm407,238r,-77l422,161r10,1l442,164r7,2l455,170r6,6l466,182r3,9l470,200r-1,8l466,216r-5,7l455,230r-6,3l442,236r-10,1l422,238r-15,xm485,282r13,-4l508,275r8,-5l525,263r6,-6l536,250r5,-8l545,233r4,-8l551,215r1,-10l552,195r,-9l551,176r-2,-9l546,159r-4,-9l537,141r-5,-7l526,128r-7,-8l511,115r-7,-5l495,106r-10,-2l475,101r-12,-1l450,100r-123,l327,408r80,l407,289r76,119l582,408,485,282xm210,35l171,,105,56r28,29l210,35xm80,100l,100,,278r,15l2,308r1,13l5,333r4,10l13,353r4,9l23,369r9,10l43,389r11,8l68,403r15,6l99,413r16,2l133,415r16,l165,413r14,-4l192,404r14,-5l217,392r11,-9l238,372r8,-9l253,353r5,-10l262,333r3,-12l267,308r1,-15l268,278r,-178l189,100r,167l189,287r-2,14l185,311r-4,10l177,326r-5,5l167,334r-6,4l155,341r-6,2l141,344r-7,2l126,344r-6,-1l114,342r-6,-3l103,336r-5,-4l93,327r-4,-5l84,312,81,302,80,288r,-21l80,100xe" fillcolor="#bd1b21" stroked="f">
              <v:path arrowok="t" o:connecttype="custom" o:connectlocs="520,84;537,88;550,100;557,114;559,131;554,147;544,160;530,168;506,170;540,202;567,190;587,169;599,142;599,111;587,84;567,63;540,51;466,204;388,146;393,50;343,177;257,18;174,18;216,81;231,88;235,104;225,116;204,119;258,135;271,121;276,102;275,83;266,67;252,55;232,50;204,204;243,141;67,42;0,139;3,166;12,184;34,201;67,207;96,202;119,186;131,166;134,139;95,143;89,163;78,170;63,172;52,168;42,156;40,50" o:connectangles="0,0,0,0,0,0,0,0,0,0,0,0,0,0,0,0,0,0,0,0,0,0,0,0,0,0,0,0,0,0,0,0,0,0,0,0,0,0,0,0,0,0,0,0,0,0,0,0,0,0,0,0,0,0"/>
              <o:lock v:ext="edit" aspectratio="t" verticies="t"/>
            </v:shape>
            <v:shape id="Freeform 13" o:spid="_x0000_s1040" style="position:absolute;left:1962;top:1081;width:1319;height:208;visibility:visible;mso-wrap-style:square;v-text-anchor:top" coordsize="2637,416" path="m2561,35l2524,r-66,56l2485,84r76,-49xm2442,260r,147l2521,407r,-147l2637,99r-97,l2484,183,2427,99r-96,l2442,260xm2143,226r,-127l2063,99r,308l2143,407r,-133l2247,407r104,l2217,245,2340,99r-100,l2143,226xm2008,108r-21,-6l1969,97r-17,-4l1936,93r-18,l1902,96r-16,5l1871,106r-14,6l1844,121r-13,8l1820,140r-11,12l1800,164r-9,14l1785,192r-5,15l1775,223r-2,16l1773,256r,15l1775,286r3,14l1783,314r6,13l1795,340r9,11l1813,362r12,11l1839,385r15,8l1869,401r16,6l1902,412r16,3l1936,416r15,-1l1966,413r17,-5l2008,401r,-95l1999,314r-7,6l1983,326r-7,4l1967,334r-10,2l1948,337r-10,l1931,337r-8,-1l1916,335r-8,-3l1902,330r-6,-4l1889,322r-5,-5l1876,311r-5,-6l1866,299r-4,-8l1860,283r-3,-9l1856,265r,-10l1856,246r1,-8l1860,229r2,-8l1865,214r5,-7l1874,200r5,-6l1885,189r6,-5l1898,180r7,-3l1913,174r8,-2l1930,170r8,l1948,170r10,3l1967,175r10,4l1984,184r9,5l2001,197r7,7l2008,108xm1727,99r-80,l1647,407r80,l1727,99xm1538,167r66,l1604,99r-210,l1394,167r65,l1459,407r79,l1538,167xm1360,117r-11,-6l1337,106r-13,-4l1313,98r-13,-2l1288,93r-12,-1l1263,92r-11,l1241,94r-10,2l1221,99r-10,4l1203,108r-8,6l1187,121r-6,7l1175,136r-5,8l1166,153r-4,10l1161,174r-3,10l1158,195r,10l1160,215r2,9l1165,231r3,8l1172,245r5,6l1183,256r9,7l1203,269r16,6l1242,281r12,5l1264,290r9,4l1279,297r5,4l1287,306r2,5l1289,317r,7l1287,330r-4,5l1279,339r-6,3l1267,345r-8,1l1251,347r-9,l1233,345r-9,-1l1216,340r-9,-5l1198,330r-8,-6l1180,316r-34,65l1158,388r13,8l1185,401r13,5l1212,410r14,3l1239,415r14,l1266,415r12,-2l1290,411r12,-4l1313,403r10,-5l1333,392r9,-6l1349,378r6,-7l1360,362r5,-10l1369,342r2,-11l1373,319r,-13l1371,290r-2,-15l1366,269r-3,-6l1359,258r-4,-7l1350,246r-5,-5l1339,238r-7,-4l1315,226r-17,-6l1276,213r-13,-4l1256,205r-7,-5l1247,198r-3,-4l1242,189r,-4l1243,179r1,-5l1248,170r4,-3l1257,163r6,-3l1269,159r8,-1l1283,159r6,l1297,162r6,1l1315,170r14,9l1360,117xm1091,99r-80,l1011,407r80,l1091,99xm904,167r66,l970,99r-212,l758,167r67,l825,407r79,l904,167xm644,292r-66,l611,194r33,98xm666,354r20,53l771,407,655,99r-87,l450,407r84,l555,354r111,xm395,167r66,l461,99r-212,l249,167r66,l315,407r80,l395,167xm214,117r-11,-6l190,106r-12,-4l167,98,154,96,142,93,129,92r-12,l106,92,94,94,84,96r-9,3l65,103r-9,5l48,114r-7,7l35,128r-7,8l23,144r-3,9l16,163r-1,11l12,184r,11l12,205r1,10l16,224r2,7l22,239r4,6l31,251r6,5l46,263r11,6l73,275r23,6l108,286r10,4l127,294r6,3l138,301r3,5l143,311r,6l143,324r-2,6l137,335r-4,4l127,342r-6,3l113,346r-9,1l96,347r-9,-2l78,344r-8,-4l61,335r-9,-5l43,324,33,316,,381r12,7l25,396r13,5l52,406r14,4l79,413r14,2l107,415r12,l132,413r12,-2l155,407r12,-4l177,398r10,-6l195,386r8,-8l209,371r5,-9l219,352r4,-10l225,331r2,-12l227,306r-2,-16l223,275r-3,-6l217,263r-4,-5l209,251r-5,-5l199,241r-6,-3l185,234r-16,-8l151,220r-22,-7l117,209r-8,-4l103,200r-4,-2l98,194r-2,-5l96,185r1,-6l98,174r4,-4l106,167r5,-4l117,160r6,-1l129,158r8,1l143,159r8,3l157,163r12,7l183,179r31,-62xe" fillcolor="#bd1b21" stroked="f">
              <v:path arrowok="t" o:connecttype="custom" o:connectlocs="1221,204;1166,50;1072,137;1004,54;943,51;900,82;887,136;907,181;959,208;1000,157;969,169;945,161;929,137;933,107;953,89;984,88;864,50;802,50;680,59;638,46;602,54;581,82;583,116;610,138;644,153;637,171;608,170;586,198;633,208;671,193;687,160;678,126;638,107;621,93;635,80;665,90;452,84;452,204;343,204;333,177;158,204;84,49;42,48;14,68;6,103;19,128;64,147;71,165;48,174;17,158;40,207;84,202;110,176;110,135;93,117;50,99;53,84;76,81" o:connectangles="0,0,0,0,0,0,0,0,0,0,0,0,0,0,0,0,0,0,0,0,0,0,0,0,0,0,0,0,0,0,0,0,0,0,0,0,0,0,0,0,0,0,0,0,0,0,0,0,0,0,0,0,0,0,0,0,0,0"/>
              <o:lock v:ext="edit" aspectratio="t" verticies="t"/>
            </v:shape>
            <v:shape id="Freeform 14" o:spid="_x0000_s1041" style="position:absolute;left:1962;top:851;width:679;height:208;visibility:visible;mso-wrap-style:square;v-text-anchor:top" coordsize="1358,416" path="m1282,36l1243,r-65,56l1205,85r77,-49xm1162,260r,147l1242,407r,-147l1358,100r-97,l1205,183r-59,-83l1051,100r111,160xm863,227r,-127l783,100r,307l863,407r,-133l967,407r104,l938,245,1059,100r-99,l863,227xm721,117r-12,-5l697,107r-12,-5l673,98,660,96,648,93,635,92r-11,l611,92r-9,3l590,97r-10,3l572,103r-9,5l555,115r-7,6l542,128r-7,8l531,145r-4,8l523,163r-2,11l519,184r,12l519,206r2,10l522,224r2,8l528,239r5,6l538,252r5,5l552,263r12,6l580,275r22,7l614,287r11,3l634,294r6,4l644,301r4,5l649,311r1,7l649,324r-1,6l644,335r-5,4l634,343r-8,2l619,348r-8,l603,348r-9,-3l585,344r-8,-4l568,335r-9,-5l549,324r-9,-8l507,381r12,8l532,396r12,5l558,406r14,4l585,414r14,1l613,415r13,l639,414r12,-3l663,407r11,-3l684,399r10,-7l702,386r7,-7l716,371r5,-8l725,353r4,-10l731,331r1,-12l734,306r-2,-16l729,275r-3,-6l724,263r-4,-5l716,252r-5,-5l705,243r-6,-5l692,234r-16,-7l658,221r-22,-7l624,209r-9,-3l610,201r-3,-3l604,194r-1,-5l603,186r,-5l605,174r3,-3l611,167r7,-4l623,161r6,-2l636,158r7,1l650,159r6,3l663,163r13,8l689,179r32,-62xm463,167r,-67l289,100r,307l463,407r,-67l369,340r,-53l458,287r,-68l369,219r,-52l463,167xm66,36r82,46l231,36,210,2,148,34,87,2,66,36xm235,108r-20,-6l197,97,180,95,163,93r-17,2l129,96r-15,5l99,106r-15,6l71,121r-13,9l47,141,37,152,27,164r-7,14l12,192,7,207,3,223,1,239,,257r,15l2,287r4,13l10,314r6,14l22,340r9,11l41,363r12,11l66,385r15,9l97,401r16,6l129,412r18,3l163,416r16,-1l193,414r19,-5l235,401r,-95l228,314r-9,6l212,326r-9,4l194,334r-9,2l175,338r-10,1l158,338r-7,-2l143,335r-6,-2l129,330r-6,-4l117,323r-6,-5l104,311r-6,-6l93,299r-4,-7l87,283r-3,-9l83,265r,-10l83,247r1,-9l87,229r2,-7l93,214r4,-7l102,201r5,-7l112,189r6,-5l126,181r7,-4l141,174r7,-2l157,171r8,l175,171r10,2l195,176r9,3l213,184r7,5l228,197r7,7l235,108xe" fillcolor="#bd1b21" stroked="f">
              <v:path arrowok="t" o:connecttype="custom" o:connectlocs="641,18;679,50;581,130;432,204;530,50;349,54;318,46;290,50;271,64;261,87;261,112;272,129;307,144;324,153;322,168;306,174;284,168;260,195;293,207;326,206;351,193;365,172;365,138;356,124;329,111;304,99;303,87;315,80;332,82;232,50;185,170;185,84;105,1;108,51;65,48;29,65;6,96;0,136;11,170;41,197;82,208;118,153;97,167;76,168;59,162;45,146;42,124;49,104;63,91;83,86;107,92" o:connectangles="0,0,0,0,0,0,0,0,0,0,0,0,0,0,0,0,0,0,0,0,0,0,0,0,0,0,0,0,0,0,0,0,0,0,0,0,0,0,0,0,0,0,0,0,0,0,0,0,0,0,0"/>
              <o:lock v:ext="edit" aspectratio="t" verticies="t"/>
            </v:shape>
            <w10:wrap type="square" anchorx="page" anchory="page"/>
            <w10:anchorlock/>
          </v:group>
        </w:pict>
      </w:r>
      <w:r>
        <w:rPr>
          <w:noProof/>
        </w:rPr>
        <w:pict>
          <v:shapetype id="_x0000_t202" coordsize="21600,21600" o:spt="202" path="m,l,21600r21600,l21600,xe">
            <v:stroke joinstyle="miter"/>
            <v:path gradientshapeok="t" o:connecttype="rect"/>
          </v:shapetype>
          <v:shape id="_x0000_s1034" type="#_x0000_t202" style="position:absolute;margin-left:134.3pt;margin-top:643.55pt;width:403.95pt;height:72.85pt;z-index:251656704;visibility:visible;mso-position-horizontal-relative:page;mso-position-vertical-relative:page;mso-width-relative:margin;mso-height-relative:margin" filled="f" stroked="f">
            <v:textbox style="mso-next-textbox:#_x0000_s1034" inset="0,0,0,0">
              <w:txbxContent>
                <w:p w:rsidR="005424E4" w:rsidRPr="006C5577" w:rsidRDefault="005424E4" w:rsidP="004924DC">
                  <w:r>
                    <w:t>Zpracoval: Odbor statistik rozvoje společnosti</w:t>
                  </w:r>
                  <w:r w:rsidRPr="006C5577">
                    <w:t xml:space="preserve"> </w:t>
                  </w:r>
                </w:p>
                <w:p w:rsidR="005424E4" w:rsidRPr="006C5577" w:rsidRDefault="005424E4" w:rsidP="004924DC">
                  <w:r w:rsidRPr="006C5577">
                    <w:t xml:space="preserve">Ředitel odboru: </w:t>
                  </w:r>
                  <w:r>
                    <w:t>Martin Mana</w:t>
                  </w:r>
                </w:p>
                <w:p w:rsidR="005424E4" w:rsidRPr="006C5577" w:rsidRDefault="005424E4" w:rsidP="004924DC">
                  <w:r w:rsidRPr="006C5577">
                    <w:t xml:space="preserve">Kontaktní osoba: </w:t>
                  </w:r>
                  <w:r>
                    <w:t>Vendula Kašparová</w:t>
                  </w:r>
                  <w:r w:rsidRPr="006C5577">
                    <w:t>,</w:t>
                  </w:r>
                  <w:r>
                    <w:t xml:space="preserve"> e-mail: vendula.kasparova@czso.cz</w:t>
                  </w:r>
                </w:p>
              </w:txbxContent>
            </v:textbox>
            <w10:wrap anchorx="page" anchory="page"/>
            <w10:anchorlock/>
          </v:shape>
        </w:pict>
      </w:r>
      <w:r>
        <w:rPr>
          <w:noProof/>
        </w:rPr>
        <w:pict>
          <v:shape id="_x0000_s1033" type="#_x0000_t202" style="position:absolute;margin-left:134.65pt;margin-top:368.55pt;width:403.9pt;height:132.8pt;z-index:251655680;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" filled="f" stroked="f">
            <v:textbox style="mso-next-textbox:#_x0000_s1033;mso-fit-shape-to-text:t" inset="0,0,0,0">
              <w:txbxContent>
                <w:p w:rsidR="005424E4" w:rsidRPr="004924DC" w:rsidRDefault="005424E4" w:rsidP="000E047F">
                  <w:pPr>
                    <w:pStyle w:val="TL-identifikace-sted"/>
                  </w:pPr>
                  <w:r>
                    <w:t>Vzdělávání</w:t>
                  </w:r>
                </w:p>
                <w:p w:rsidR="005424E4" w:rsidRPr="004924DC" w:rsidRDefault="005424E4" w:rsidP="004924DC">
                  <w:pPr>
                    <w:pStyle w:val="TLIdentifikace-sted"/>
                  </w:pPr>
                  <w:r>
                    <w:t>Praha, září 2016</w:t>
                  </w:r>
                </w:p>
                <w:p w:rsidR="005424E4" w:rsidRPr="004924DC" w:rsidRDefault="00521734" w:rsidP="004924DC">
                  <w:pPr>
                    <w:pStyle w:val="TLIdentifikace-sted"/>
                  </w:pPr>
                  <w:r>
                    <w:t>Kód publikace: 230048-16</w:t>
                  </w:r>
                </w:p>
                <w:p w:rsidR="005424E4" w:rsidRPr="004924DC" w:rsidRDefault="005424E4" w:rsidP="004924DC">
                  <w:pPr>
                    <w:pStyle w:val="TLIdentifikace-sted"/>
                  </w:pPr>
                  <w:r w:rsidRPr="004924DC">
                    <w:t xml:space="preserve">Č. </w:t>
                  </w:r>
                  <w:proofErr w:type="spellStart"/>
                  <w:r w:rsidRPr="004924DC">
                    <w:t>j</w:t>
                  </w:r>
                  <w:proofErr w:type="spellEnd"/>
                  <w:r w:rsidRPr="004924DC">
                    <w:t xml:space="preserve">.: </w:t>
                  </w:r>
                  <w:r w:rsidR="00521734" w:rsidRPr="00521734">
                    <w:t>2050/2016-63</w:t>
                  </w:r>
                </w:p>
              </w:txbxContent>
            </v:textbox>
            <w10:wrap anchorx="page" anchory="page"/>
            <w10:anchorlock/>
          </v:shape>
        </w:pict>
      </w:r>
      <w:r>
        <w:rPr>
          <w:noProof/>
        </w:rPr>
        <w:pict>
          <v:shape id="Textové pole 2" o:spid="_x0000_s1032" type="#_x0000_t202" style="position:absolute;margin-left:134.65pt;margin-top:116.25pt;width:403.9pt;height:173.85pt;z-index:251654656;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" filled="f" stroked="f">
            <v:textbox style="mso-next-textbox:#Textové pole 2;mso-fit-shape-to-text:t" inset="0,0,0,0">
              <w:txbxContent>
                <w:p w:rsidR="00DA6881" w:rsidRDefault="00DA6881" w:rsidP="001B2968">
                  <w:pPr>
                    <w:pStyle w:val="Nzev"/>
                    <w:rPr>
                      <w:sz w:val="40"/>
                      <w:szCs w:val="40"/>
                    </w:rPr>
                  </w:pPr>
                  <w:r>
                    <w:rPr>
                      <w:sz w:val="40"/>
                      <w:szCs w:val="40"/>
                    </w:rPr>
                    <w:t xml:space="preserve">Financování vzdělávání </w:t>
                  </w:r>
                </w:p>
                <w:p w:rsidR="00DA6881" w:rsidRDefault="00DA6881" w:rsidP="001B2968">
                  <w:pPr>
                    <w:pStyle w:val="Nzev"/>
                    <w:rPr>
                      <w:sz w:val="40"/>
                      <w:szCs w:val="40"/>
                    </w:rPr>
                  </w:pPr>
                  <w:r>
                    <w:rPr>
                      <w:sz w:val="40"/>
                      <w:szCs w:val="40"/>
                    </w:rPr>
                    <w:t>v České republice</w:t>
                  </w:r>
                  <w:r w:rsidR="005424E4" w:rsidRPr="00306953">
                    <w:rPr>
                      <w:sz w:val="40"/>
                      <w:szCs w:val="40"/>
                    </w:rPr>
                    <w:t xml:space="preserve"> </w:t>
                  </w:r>
                </w:p>
                <w:p w:rsidR="005424E4" w:rsidRPr="00306953" w:rsidRDefault="005424E4" w:rsidP="001B2968">
                  <w:pPr>
                    <w:pStyle w:val="Nzev"/>
                    <w:rPr>
                      <w:sz w:val="40"/>
                      <w:szCs w:val="40"/>
                    </w:rPr>
                  </w:pPr>
                  <w:r w:rsidRPr="00306953">
                    <w:rPr>
                      <w:sz w:val="40"/>
                      <w:szCs w:val="40"/>
                    </w:rPr>
                    <w:t>v mezinárodním srovnání</w:t>
                  </w:r>
                </w:p>
                <w:p w:rsidR="005424E4" w:rsidRPr="0012192F" w:rsidRDefault="005424E4" w:rsidP="0012192F">
                  <w:pPr>
                    <w:pStyle w:val="Podtitul"/>
                  </w:pPr>
                </w:p>
                <w:p w:rsidR="005424E4" w:rsidRPr="0012192F" w:rsidRDefault="005424E4" w:rsidP="0012192F">
                  <w:pPr>
                    <w:pStyle w:val="Podtitul"/>
                  </w:pPr>
                </w:p>
              </w:txbxContent>
            </v:textbox>
            <w10:wrap anchorx="page" anchory="page"/>
            <w10:anchorlock/>
          </v:shape>
        </w:pict>
      </w:r>
      <w:r>
        <w:rPr>
          <w:noProof/>
        </w:rPr>
        <w:pict>
          <v:shape id="_x0000_s1031" type="#_x0000_t202" style="position:absolute;margin-left:134.65pt;margin-top:759.8pt;width:403.95pt;height:14.15pt;z-index:251658752;visibility:visible;mso-position-horizontal-relative:page;mso-position-vertical-relative:page;mso-width-relative:margin;mso-height-relative:margin" wrapcoords="0 0" filled="f" stroked="f">
            <v:textbox style="mso-next-textbox:#_x0000_s1031" inset="0,0,0,0">
              <w:txbxContent>
                <w:p w:rsidR="005424E4" w:rsidRPr="004924DC" w:rsidRDefault="005424E4" w:rsidP="004924DC">
                  <w:r w:rsidRPr="004924DC">
                    <w:t>© Český sta</w:t>
                  </w:r>
                  <w:r>
                    <w:t>tistický úřad, Praha, 2016</w:t>
                  </w:r>
                </w:p>
                <w:p w:rsidR="005424E4" w:rsidRPr="005251DD" w:rsidRDefault="005424E4" w:rsidP="00665BA4"/>
                <w:p w:rsidR="005424E4" w:rsidRPr="005251DD" w:rsidRDefault="005424E4" w:rsidP="00FC684B"/>
                <w:p w:rsidR="005424E4" w:rsidRDefault="005424E4"/>
                <w:p w:rsidR="005424E4" w:rsidRPr="00097407" w:rsidRDefault="005424E4" w:rsidP="00665BA4">
                  <w:r w:rsidRPr="00097407">
                    <w:t xml:space="preserve">© </w:t>
                  </w:r>
                  <w:r w:rsidRPr="005251DD">
                    <w:t>Český statistický úřad</w:t>
                  </w:r>
                  <w:r>
                    <w:t xml:space="preserve"> / </w:t>
                  </w:r>
                  <w:proofErr w:type="spellStart"/>
                  <w:r w:rsidRPr="009A1902">
                    <w:rPr>
                      <w:i/>
                    </w:rPr>
                    <w:t>Czech</w:t>
                  </w:r>
                  <w:proofErr w:type="spellEnd"/>
                  <w:r w:rsidRPr="009A1902">
                    <w:rPr>
                      <w:i/>
                    </w:rPr>
                    <w:t xml:space="preserve"> </w:t>
                  </w:r>
                  <w:proofErr w:type="spellStart"/>
                  <w:r w:rsidRPr="009A1902">
                    <w:rPr>
                      <w:rFonts w:cs="Arial"/>
                      <w:i/>
                      <w:szCs w:val="20"/>
                    </w:rPr>
                    <w:t>Statistical</w:t>
                  </w:r>
                  <w:proofErr w:type="spellEnd"/>
                  <w:r w:rsidRPr="009A1902">
                    <w:rPr>
                      <w:rFonts w:cs="Arial"/>
                      <w:i/>
                      <w:szCs w:val="20"/>
                    </w:rPr>
                    <w:t xml:space="preserve"> Office</w:t>
                  </w:r>
                  <w:r w:rsidRPr="00097407">
                    <w:t>, místo, rok vydání</w:t>
                  </w:r>
                </w:p>
                <w:p w:rsidR="005424E4" w:rsidRPr="005251DD" w:rsidRDefault="005424E4" w:rsidP="00665BA4"/>
                <w:p w:rsidR="005424E4" w:rsidRPr="005251DD" w:rsidRDefault="005424E4" w:rsidP="00FC684B"/>
              </w:txbxContent>
            </v:textbox>
            <w10:wrap anchorx="page" anchory="page"/>
            <w10:anchorlock/>
          </v:shape>
        </w:pict>
      </w:r>
      <w:r>
        <w:rPr>
          <w:noProof/>
        </w:rPr>
        <w:pict>
          <v:line id="Přímá spojnice 33" o:spid="_x0000_s1030" style="position:absolute;z-index:251653632;visibility:visible;mso-wrap-distance-top:-3e-5mm;mso-wrap-distance-bottom:-3e-5mm;mso-position-horizontal-relative:page;mso-position-vertical-relative:page;mso-width-relative:margin;mso-height-relative:margin" from="134.65pt,737.1pt" to="538.6pt,7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" o:allowincell="f" strokecolor="windowText" strokeweight="1pt">
            <o:lock v:ext="edit" shapetype="f"/>
            <w10:wrap anchorx="page" anchory="page"/>
            <w10:anchorlock/>
          </v:line>
        </w:pict>
      </w:r>
      <w:r w:rsidR="00F63FB7">
        <w:br w:type="page"/>
      </w:r>
      <w:r>
        <w:rPr>
          <w:noProof/>
        </w:rPr>
        <w:lastRenderedPageBreak/>
        <w:pict>
          <v:shape id="_x0000_s1029" type="#_x0000_t202" style="position:absolute;margin-left:57pt;margin-top:113.4pt;width:481.85pt;height:605.55pt;z-index:251659776;visibility:visible;mso-position-horizontal-relative:page;mso-position-vertical-relative:page;mso-width-relative:margin;mso-height-relative:margin" filled="f" stroked="f">
            <v:textbox style="mso-next-textbox:#_x0000_s1029;mso-fit-shape-to-text:t" inset="0,0,0,0">
              <w:txbxContent>
                <w:p w:rsidR="005424E4" w:rsidRPr="006F5416" w:rsidRDefault="005424E4" w:rsidP="006F5416">
                  <w:pPr>
                    <w:pStyle w:val="TLKontaktyerven"/>
                  </w:pPr>
                  <w:r w:rsidRPr="006F5416">
                    <w:t>KONTAKTY V ÚSTŘEDÍ</w:t>
                  </w:r>
                </w:p>
                <w:p w:rsidR="005424E4" w:rsidRPr="007D40DF" w:rsidRDefault="005424E4" w:rsidP="00825C4D">
                  <w:pPr>
                    <w:pStyle w:val="TLKontakty"/>
                    <w:spacing w:after="80" w:line="240" w:lineRule="auto"/>
                    <w:contextualSpacing w:val="0"/>
                    <w:rPr>
                      <w:b w:val="0"/>
                      <w:color w:val="auto"/>
                    </w:rPr>
                  </w:pPr>
                  <w:r w:rsidRPr="00D66223">
                    <w:t>Český statistický úřad</w:t>
                  </w:r>
                  <w:r w:rsidRPr="007D40DF">
                    <w:rPr>
                      <w:b w:val="0"/>
                      <w:color w:val="auto"/>
                    </w:rPr>
                    <w:t xml:space="preserve"> | Na</w:t>
                  </w:r>
                  <w:r>
                    <w:rPr>
                      <w:b w:val="0"/>
                      <w:color w:val="auto"/>
                    </w:rPr>
                    <w:t xml:space="preserve"> padesátém 81, 100 82 Praha</w:t>
                  </w:r>
                  <w:r w:rsidRPr="007D40DF">
                    <w:rPr>
                      <w:b w:val="0"/>
                      <w:color w:val="auto"/>
                    </w:rPr>
                    <w:t> </w:t>
                  </w:r>
                  <w:r>
                    <w:rPr>
                      <w:b w:val="0"/>
                      <w:color w:val="auto"/>
                    </w:rPr>
                    <w:t xml:space="preserve">10, </w:t>
                  </w:r>
                  <w:r w:rsidRPr="007D40DF">
                    <w:rPr>
                      <w:b w:val="0"/>
                      <w:color w:val="auto"/>
                    </w:rPr>
                    <w:t xml:space="preserve">tel.: 274 051 111 | </w:t>
                  </w:r>
                  <w:r w:rsidRPr="007D40DF">
                    <w:rPr>
                      <w:color w:val="auto"/>
                    </w:rPr>
                    <w:t>www.czso.cz</w:t>
                  </w:r>
                </w:p>
                <w:p w:rsidR="005424E4" w:rsidRPr="00D235B7" w:rsidRDefault="005424E4" w:rsidP="00825C4D">
                  <w:pPr>
                    <w:pStyle w:val="TLKontakty"/>
                    <w:spacing w:after="80" w:line="240" w:lineRule="auto"/>
                    <w:contextualSpacing w:val="0"/>
                    <w:rPr>
                      <w:b w:val="0"/>
                      <w:color w:val="auto"/>
                    </w:rPr>
                  </w:pPr>
                  <w:r w:rsidRPr="00D235B7">
                    <w:rPr>
                      <w:color w:val="auto"/>
                    </w:rPr>
                    <w:t>Oddělení informačních služeb</w:t>
                  </w:r>
                  <w:r w:rsidRPr="00D235B7">
                    <w:rPr>
                      <w:b w:val="0"/>
                      <w:color w:val="auto"/>
                    </w:rPr>
                    <w:t xml:space="preserve"> | tel.: 274 052 648, 274 052 304, 274 052 451 | e-mail: infoservis@czso.cz</w:t>
                  </w:r>
                </w:p>
                <w:p w:rsidR="005424E4" w:rsidRPr="00D235B7" w:rsidRDefault="005424E4" w:rsidP="00825C4D">
                  <w:pPr>
                    <w:pStyle w:val="TLKontakty"/>
                    <w:spacing w:after="80" w:line="240" w:lineRule="auto"/>
                    <w:contextualSpacing w:val="0"/>
                    <w:rPr>
                      <w:b w:val="0"/>
                      <w:color w:val="auto"/>
                    </w:rPr>
                  </w:pPr>
                  <w:r w:rsidRPr="00D235B7">
                    <w:rPr>
                      <w:color w:val="auto"/>
                    </w:rPr>
                    <w:t>Prodejna publikací ČSÚ</w:t>
                  </w:r>
                  <w:r w:rsidRPr="00D235B7">
                    <w:rPr>
                      <w:b w:val="0"/>
                      <w:color w:val="auto"/>
                    </w:rPr>
                    <w:t xml:space="preserve"> | tel.: 274 052 361 | e-mail: prodejna@czso.cz</w:t>
                  </w:r>
                </w:p>
                <w:p w:rsidR="005424E4" w:rsidRPr="00D235B7" w:rsidRDefault="005424E4" w:rsidP="00825C4D">
                  <w:pPr>
                    <w:pStyle w:val="TLKontakty"/>
                    <w:spacing w:after="80" w:line="240" w:lineRule="auto"/>
                    <w:contextualSpacing w:val="0"/>
                    <w:rPr>
                      <w:b w:val="0"/>
                      <w:color w:val="auto"/>
                    </w:rPr>
                  </w:pPr>
                  <w:r w:rsidRPr="00D235B7">
                    <w:rPr>
                      <w:color w:val="auto"/>
                    </w:rPr>
                    <w:t>Evropská data (ESDS), mezinárodní srovnání</w:t>
                  </w:r>
                  <w:r w:rsidRPr="00D235B7">
                    <w:rPr>
                      <w:b w:val="0"/>
                      <w:color w:val="auto"/>
                    </w:rPr>
                    <w:t xml:space="preserve"> | tel.: 274 052 347, 274 052 757 | e-mail: esds@czso.cz</w:t>
                  </w:r>
                </w:p>
                <w:p w:rsidR="005424E4" w:rsidRPr="00D235B7" w:rsidRDefault="005424E4" w:rsidP="00825C4D">
                  <w:pPr>
                    <w:pStyle w:val="TLKontakty"/>
                    <w:spacing w:after="80" w:line="240" w:lineRule="auto"/>
                    <w:contextualSpacing w:val="0"/>
                    <w:rPr>
                      <w:b w:val="0"/>
                      <w:color w:val="auto"/>
                    </w:rPr>
                  </w:pPr>
                  <w:r w:rsidRPr="00D235B7">
                    <w:rPr>
                      <w:color w:val="auto"/>
                    </w:rPr>
                    <w:t>Ústřední statistická knihovna</w:t>
                  </w:r>
                  <w:r w:rsidRPr="00D235B7">
                    <w:rPr>
                      <w:b w:val="0"/>
                      <w:color w:val="auto"/>
                    </w:rPr>
                    <w:t xml:space="preserve"> | tel.: 274 052 361 | e-mail: knihovna@czso.cz</w:t>
                  </w:r>
                </w:p>
                <w:p w:rsidR="005424E4" w:rsidRPr="004A61C5" w:rsidRDefault="005424E4" w:rsidP="00825C4D">
                  <w:pPr>
                    <w:pStyle w:val="TLKontakty"/>
                    <w:spacing w:after="80" w:line="240" w:lineRule="auto"/>
                    <w:contextualSpacing w:val="0"/>
                    <w:rPr>
                      <w:color w:val="auto"/>
                    </w:rPr>
                  </w:pPr>
                </w:p>
                <w:p w:rsidR="005424E4" w:rsidRPr="00D66223" w:rsidRDefault="005424E4" w:rsidP="00D66223">
                  <w:pPr>
                    <w:pStyle w:val="TLKontaktyerven"/>
                  </w:pPr>
                  <w:r w:rsidRPr="00D66223">
                    <w:t>INFORMAČNÍ SLUŽBY V REGIONECH</w:t>
                  </w:r>
                </w:p>
                <w:p w:rsidR="005424E4" w:rsidRPr="00992CF3" w:rsidRDefault="005424E4" w:rsidP="00825C4D">
                  <w:pPr>
                    <w:pStyle w:val="TLKontakty"/>
                    <w:spacing w:after="80" w:line="240" w:lineRule="auto"/>
                    <w:rPr>
                      <w:b w:val="0"/>
                      <w:color w:val="auto"/>
                    </w:rPr>
                  </w:pPr>
                  <w:r w:rsidRPr="00D66223">
                    <w:t>Hl. m. Praha</w:t>
                  </w:r>
                  <w:r w:rsidRPr="00992CF3">
                    <w:rPr>
                      <w:b w:val="0"/>
                      <w:color w:val="auto"/>
                    </w:rPr>
                    <w:t xml:space="preserve"> | Na</w:t>
                  </w:r>
                  <w:r>
                    <w:rPr>
                      <w:b w:val="0"/>
                      <w:color w:val="auto"/>
                    </w:rPr>
                    <w:t xml:space="preserve"> padesátém 81, 100 82 Praha 10, </w:t>
                  </w:r>
                  <w:r w:rsidRPr="00992CF3">
                    <w:rPr>
                      <w:b w:val="0"/>
                      <w:color w:val="auto"/>
                    </w:rPr>
                    <w:t>tel.</w:t>
                  </w:r>
                  <w:r w:rsidRPr="007D40DF">
                    <w:rPr>
                      <w:b w:val="0"/>
                      <w:color w:val="auto"/>
                    </w:rPr>
                    <w:t>:</w:t>
                  </w:r>
                  <w:r>
                    <w:rPr>
                      <w:b w:val="0"/>
                      <w:color w:val="auto"/>
                    </w:rPr>
                    <w:t xml:space="preserve"> 274 052 673, </w:t>
                  </w:r>
                  <w:r w:rsidRPr="00992CF3">
                    <w:rPr>
                      <w:b w:val="0"/>
                      <w:color w:val="auto"/>
                    </w:rPr>
                    <w:t>274 054 223</w:t>
                  </w:r>
                </w:p>
                <w:p w:rsidR="005424E4" w:rsidRPr="00992CF3" w:rsidRDefault="005424E4" w:rsidP="00825C4D">
                  <w:pPr>
                    <w:pStyle w:val="TLKontakty"/>
                    <w:spacing w:after="80" w:line="240" w:lineRule="auto"/>
                    <w:rPr>
                      <w:b w:val="0"/>
                      <w:color w:val="auto"/>
                    </w:rPr>
                  </w:pPr>
                  <w:r w:rsidRPr="00992CF3">
                    <w:rPr>
                      <w:b w:val="0"/>
                      <w:color w:val="auto"/>
                    </w:rPr>
                    <w:t xml:space="preserve">e-mail: infoservispraha@czso.cz | </w:t>
                  </w:r>
                  <w:r w:rsidRPr="00992CF3">
                    <w:rPr>
                      <w:color w:val="auto"/>
                    </w:rPr>
                    <w:t>www.praha.czso.cz</w:t>
                  </w:r>
                </w:p>
                <w:p w:rsidR="005424E4" w:rsidRPr="004A61C5" w:rsidRDefault="005424E4" w:rsidP="00825C4D">
                  <w:pPr>
                    <w:pStyle w:val="TLKontakty"/>
                    <w:spacing w:after="80" w:line="240" w:lineRule="auto"/>
                    <w:rPr>
                      <w:color w:val="auto"/>
                    </w:rPr>
                  </w:pPr>
                </w:p>
                <w:p w:rsidR="005424E4" w:rsidRPr="00992CF3" w:rsidRDefault="005424E4" w:rsidP="00825C4D">
                  <w:pPr>
                    <w:pStyle w:val="TLKontakty"/>
                    <w:spacing w:after="80" w:line="240" w:lineRule="auto"/>
                    <w:rPr>
                      <w:b w:val="0"/>
                      <w:color w:val="auto"/>
                    </w:rPr>
                  </w:pPr>
                  <w:r w:rsidRPr="00D66223">
                    <w:t>Středočeský kraj</w:t>
                  </w:r>
                  <w:r w:rsidRPr="00992CF3">
                    <w:rPr>
                      <w:b w:val="0"/>
                      <w:color w:val="auto"/>
                    </w:rPr>
                    <w:t xml:space="preserve"> | Na padesátém 81, 100 82 Praha 10, tel.</w:t>
                  </w:r>
                  <w:r>
                    <w:rPr>
                      <w:b w:val="0"/>
                      <w:color w:val="auto"/>
                    </w:rPr>
                    <w:t xml:space="preserve">: </w:t>
                  </w:r>
                  <w:r w:rsidRPr="00992CF3">
                    <w:rPr>
                      <w:b w:val="0"/>
                      <w:color w:val="auto"/>
                    </w:rPr>
                    <w:t>274 054 175</w:t>
                  </w:r>
                </w:p>
                <w:p w:rsidR="005424E4" w:rsidRPr="00992CF3" w:rsidRDefault="005424E4" w:rsidP="00825C4D">
                  <w:pPr>
                    <w:pStyle w:val="TLKontakty"/>
                    <w:spacing w:after="80" w:line="240" w:lineRule="auto"/>
                    <w:rPr>
                      <w:color w:val="auto"/>
                    </w:rPr>
                  </w:pPr>
                  <w:r w:rsidRPr="00992CF3">
                    <w:rPr>
                      <w:b w:val="0"/>
                      <w:color w:val="auto"/>
                    </w:rPr>
                    <w:t xml:space="preserve">e-mail: infoservisstc@czso.cz | </w:t>
                  </w:r>
                  <w:r w:rsidRPr="00992CF3">
                    <w:rPr>
                      <w:color w:val="auto"/>
                    </w:rPr>
                    <w:t>www.stredocesky.czso.cz</w:t>
                  </w:r>
                </w:p>
                <w:p w:rsidR="005424E4" w:rsidRPr="004A61C5" w:rsidRDefault="005424E4" w:rsidP="00825C4D">
                  <w:pPr>
                    <w:pStyle w:val="TLKontakty"/>
                    <w:spacing w:after="80" w:line="240" w:lineRule="auto"/>
                    <w:rPr>
                      <w:color w:val="auto"/>
                    </w:rPr>
                  </w:pPr>
                </w:p>
                <w:p w:rsidR="005424E4" w:rsidRPr="00992CF3" w:rsidRDefault="005424E4" w:rsidP="00825C4D">
                  <w:pPr>
                    <w:pStyle w:val="TLKontakty"/>
                    <w:spacing w:after="80" w:line="240" w:lineRule="auto"/>
                    <w:rPr>
                      <w:b w:val="0"/>
                      <w:color w:val="auto"/>
                    </w:rPr>
                  </w:pPr>
                  <w:r w:rsidRPr="00D66223">
                    <w:t>České Budějovice</w:t>
                  </w:r>
                  <w:r w:rsidRPr="00992CF3">
                    <w:rPr>
                      <w:b w:val="0"/>
                      <w:color w:val="auto"/>
                    </w:rPr>
                    <w:t xml:space="preserve"> | Žižkova 1, 370 77 České Budějovice</w:t>
                  </w:r>
                  <w:r>
                    <w:rPr>
                      <w:b w:val="0"/>
                      <w:color w:val="auto"/>
                    </w:rPr>
                    <w:t xml:space="preserve">, </w:t>
                  </w:r>
                  <w:r w:rsidRPr="00992CF3">
                    <w:rPr>
                      <w:b w:val="0"/>
                      <w:color w:val="auto"/>
                    </w:rPr>
                    <w:t>tel.</w:t>
                  </w:r>
                  <w:r>
                    <w:rPr>
                      <w:b w:val="0"/>
                      <w:color w:val="auto"/>
                    </w:rPr>
                    <w:t xml:space="preserve">: </w:t>
                  </w:r>
                  <w:r w:rsidRPr="00992CF3">
                    <w:rPr>
                      <w:b w:val="0"/>
                      <w:color w:val="auto"/>
                    </w:rPr>
                    <w:t>386 718 440</w:t>
                  </w:r>
                </w:p>
                <w:p w:rsidR="005424E4" w:rsidRPr="00992CF3" w:rsidRDefault="005424E4" w:rsidP="00825C4D">
                  <w:pPr>
                    <w:pStyle w:val="TLKontakty"/>
                    <w:spacing w:after="80" w:line="240" w:lineRule="auto"/>
                    <w:rPr>
                      <w:b w:val="0"/>
                      <w:color w:val="auto"/>
                    </w:rPr>
                  </w:pPr>
                  <w:r w:rsidRPr="00992CF3">
                    <w:rPr>
                      <w:b w:val="0"/>
                      <w:color w:val="auto"/>
                    </w:rPr>
                    <w:t xml:space="preserve">e-mail: infoserviscb@czso.cz | </w:t>
                  </w:r>
                  <w:r w:rsidRPr="00992CF3">
                    <w:rPr>
                      <w:color w:val="auto"/>
                    </w:rPr>
                    <w:t>www.cbudejovice.czso.cz</w:t>
                  </w:r>
                </w:p>
                <w:p w:rsidR="005424E4" w:rsidRPr="004A61C5" w:rsidRDefault="005424E4" w:rsidP="00825C4D">
                  <w:pPr>
                    <w:pStyle w:val="TLKontakty"/>
                    <w:spacing w:after="80" w:line="240" w:lineRule="auto"/>
                    <w:rPr>
                      <w:color w:val="auto"/>
                    </w:rPr>
                  </w:pPr>
                </w:p>
                <w:p w:rsidR="005424E4" w:rsidRPr="004A61C5" w:rsidRDefault="005424E4" w:rsidP="00825C4D">
                  <w:pPr>
                    <w:pStyle w:val="TLKontakty"/>
                    <w:spacing w:after="80" w:line="240" w:lineRule="auto"/>
                    <w:rPr>
                      <w:b w:val="0"/>
                      <w:color w:val="auto"/>
                    </w:rPr>
                  </w:pPr>
                  <w:r w:rsidRPr="00D66223">
                    <w:t>Plzeň</w:t>
                  </w:r>
                  <w:r w:rsidRPr="004A61C5">
                    <w:rPr>
                      <w:b w:val="0"/>
                      <w:color w:val="auto"/>
                    </w:rPr>
                    <w:t xml:space="preserve"> | Slovanská alej 36, 326 64 Plzeň</w:t>
                  </w:r>
                  <w:r>
                    <w:rPr>
                      <w:b w:val="0"/>
                      <w:color w:val="auto"/>
                    </w:rPr>
                    <w:t xml:space="preserve">, </w:t>
                  </w:r>
                  <w:r w:rsidRPr="004A61C5">
                    <w:rPr>
                      <w:b w:val="0"/>
                      <w:color w:val="auto"/>
                    </w:rPr>
                    <w:t>tel.</w:t>
                  </w:r>
                  <w:r>
                    <w:rPr>
                      <w:b w:val="0"/>
                      <w:color w:val="auto"/>
                    </w:rPr>
                    <w:t xml:space="preserve">: </w:t>
                  </w:r>
                  <w:r w:rsidRPr="004A61C5">
                    <w:rPr>
                      <w:b w:val="0"/>
                      <w:color w:val="auto"/>
                    </w:rPr>
                    <w:t>377 612 108, 377 612 249</w:t>
                  </w:r>
                </w:p>
                <w:p w:rsidR="005424E4" w:rsidRPr="004A61C5" w:rsidRDefault="005424E4" w:rsidP="00825C4D">
                  <w:pPr>
                    <w:pStyle w:val="TLKontakty"/>
                    <w:spacing w:after="80" w:line="240" w:lineRule="auto"/>
                    <w:rPr>
                      <w:b w:val="0"/>
                      <w:color w:val="auto"/>
                    </w:rPr>
                  </w:pPr>
                  <w:r w:rsidRPr="004A61C5">
                    <w:rPr>
                      <w:b w:val="0"/>
                      <w:color w:val="auto"/>
                    </w:rPr>
                    <w:t xml:space="preserve">e-mail: infoservisplzen@czso.cz | </w:t>
                  </w:r>
                  <w:r w:rsidRPr="004A61C5">
                    <w:rPr>
                      <w:color w:val="auto"/>
                    </w:rPr>
                    <w:t>www.plzen.czso.cz</w:t>
                  </w:r>
                </w:p>
                <w:p w:rsidR="005424E4" w:rsidRPr="004A61C5" w:rsidRDefault="005424E4" w:rsidP="00825C4D">
                  <w:pPr>
                    <w:pStyle w:val="TLKontakty"/>
                    <w:spacing w:after="80" w:line="240" w:lineRule="auto"/>
                    <w:rPr>
                      <w:color w:val="auto"/>
                    </w:rPr>
                  </w:pPr>
                </w:p>
                <w:p w:rsidR="005424E4" w:rsidRPr="004A61C5" w:rsidRDefault="005424E4" w:rsidP="00825C4D">
                  <w:pPr>
                    <w:pStyle w:val="TLKontakty"/>
                    <w:spacing w:after="80" w:line="240" w:lineRule="auto"/>
                    <w:rPr>
                      <w:b w:val="0"/>
                      <w:color w:val="auto"/>
                    </w:rPr>
                  </w:pPr>
                  <w:r w:rsidRPr="00D66223">
                    <w:t>Karlovy Vary</w:t>
                  </w:r>
                  <w:r w:rsidRPr="004A61C5">
                    <w:rPr>
                      <w:b w:val="0"/>
                      <w:color w:val="auto"/>
                    </w:rPr>
                    <w:t xml:space="preserve"> | Sportovní 28, 360 01 Karlovy Vary, tel.</w:t>
                  </w:r>
                  <w:r>
                    <w:rPr>
                      <w:b w:val="0"/>
                      <w:color w:val="auto"/>
                    </w:rPr>
                    <w:t xml:space="preserve">: </w:t>
                  </w:r>
                  <w:r w:rsidRPr="004A61C5">
                    <w:rPr>
                      <w:b w:val="0"/>
                      <w:color w:val="auto"/>
                    </w:rPr>
                    <w:t>353 114 529, 353 114 525</w:t>
                  </w:r>
                </w:p>
                <w:p w:rsidR="005424E4" w:rsidRPr="004A61C5" w:rsidRDefault="005424E4" w:rsidP="00825C4D">
                  <w:pPr>
                    <w:pStyle w:val="TLKontakty"/>
                    <w:spacing w:after="80" w:line="240" w:lineRule="auto"/>
                    <w:rPr>
                      <w:b w:val="0"/>
                      <w:color w:val="auto"/>
                    </w:rPr>
                  </w:pPr>
                  <w:r w:rsidRPr="004A61C5">
                    <w:rPr>
                      <w:b w:val="0"/>
                      <w:color w:val="auto"/>
                    </w:rPr>
                    <w:t xml:space="preserve">e-mail: infoserviskv@czso.cz | </w:t>
                  </w:r>
                  <w:r w:rsidRPr="004A61C5">
                    <w:rPr>
                      <w:color w:val="auto"/>
                    </w:rPr>
                    <w:t>www.kvary.czso.cz</w:t>
                  </w:r>
                </w:p>
                <w:p w:rsidR="005424E4" w:rsidRPr="004A61C5" w:rsidRDefault="005424E4" w:rsidP="00825C4D">
                  <w:pPr>
                    <w:pStyle w:val="TLKontakty"/>
                    <w:spacing w:after="80" w:line="240" w:lineRule="auto"/>
                    <w:rPr>
                      <w:color w:val="auto"/>
                    </w:rPr>
                  </w:pPr>
                </w:p>
                <w:p w:rsidR="005424E4" w:rsidRPr="004A61C5" w:rsidRDefault="005424E4" w:rsidP="00825C4D">
                  <w:pPr>
                    <w:pStyle w:val="TLKontakty"/>
                    <w:spacing w:after="80" w:line="240" w:lineRule="auto"/>
                    <w:rPr>
                      <w:b w:val="0"/>
                      <w:color w:val="auto"/>
                    </w:rPr>
                  </w:pPr>
                  <w:r w:rsidRPr="00D66223">
                    <w:t>Ústí nad Labem</w:t>
                  </w:r>
                  <w:r w:rsidRPr="004A61C5">
                    <w:rPr>
                      <w:b w:val="0"/>
                      <w:color w:val="auto"/>
                    </w:rPr>
                    <w:t xml:space="preserve"> | </w:t>
                  </w:r>
                  <w:proofErr w:type="spellStart"/>
                  <w:r w:rsidRPr="004A61C5">
                    <w:rPr>
                      <w:b w:val="0"/>
                      <w:color w:val="auto"/>
                    </w:rPr>
                    <w:t>Špálova</w:t>
                  </w:r>
                  <w:proofErr w:type="spellEnd"/>
                  <w:r w:rsidRPr="004A61C5">
                    <w:rPr>
                      <w:b w:val="0"/>
                      <w:color w:val="auto"/>
                    </w:rPr>
                    <w:t xml:space="preserve"> 2684, 400 11 Ústí nad Labem</w:t>
                  </w:r>
                  <w:r>
                    <w:rPr>
                      <w:b w:val="0"/>
                      <w:color w:val="auto"/>
                    </w:rPr>
                    <w:t xml:space="preserve">, </w:t>
                  </w:r>
                  <w:r w:rsidRPr="004A61C5">
                    <w:rPr>
                      <w:b w:val="0"/>
                      <w:color w:val="auto"/>
                    </w:rPr>
                    <w:t>tel.</w:t>
                  </w:r>
                  <w:r>
                    <w:rPr>
                      <w:b w:val="0"/>
                      <w:color w:val="auto"/>
                    </w:rPr>
                    <w:t xml:space="preserve">: </w:t>
                  </w:r>
                  <w:r w:rsidRPr="004A61C5">
                    <w:rPr>
                      <w:b w:val="0"/>
                      <w:color w:val="auto"/>
                    </w:rPr>
                    <w:t>472 706 176,</w:t>
                  </w:r>
                  <w:r>
                    <w:rPr>
                      <w:b w:val="0"/>
                      <w:color w:val="auto"/>
                    </w:rPr>
                    <w:t xml:space="preserve"> </w:t>
                  </w:r>
                  <w:r w:rsidRPr="004A61C5">
                    <w:rPr>
                      <w:b w:val="0"/>
                      <w:color w:val="auto"/>
                    </w:rPr>
                    <w:t>472 706 121</w:t>
                  </w:r>
                </w:p>
                <w:p w:rsidR="005424E4" w:rsidRPr="004A61C5" w:rsidRDefault="005424E4" w:rsidP="00825C4D">
                  <w:pPr>
                    <w:pStyle w:val="TLKontakty"/>
                    <w:spacing w:after="80" w:line="240" w:lineRule="auto"/>
                    <w:rPr>
                      <w:b w:val="0"/>
                      <w:color w:val="auto"/>
                    </w:rPr>
                  </w:pPr>
                  <w:r w:rsidRPr="004A61C5">
                    <w:rPr>
                      <w:b w:val="0"/>
                      <w:color w:val="auto"/>
                    </w:rPr>
                    <w:t xml:space="preserve">e-mail: infoservisul@czso.cz | </w:t>
                  </w:r>
                  <w:r w:rsidRPr="004A61C5">
                    <w:rPr>
                      <w:color w:val="auto"/>
                    </w:rPr>
                    <w:t>www.ustinadlabem.czso.cz</w:t>
                  </w:r>
                </w:p>
                <w:p w:rsidR="005424E4" w:rsidRPr="004A61C5" w:rsidRDefault="005424E4" w:rsidP="00825C4D">
                  <w:pPr>
                    <w:pStyle w:val="TLKontakty"/>
                    <w:spacing w:after="80" w:line="240" w:lineRule="auto"/>
                    <w:rPr>
                      <w:color w:val="auto"/>
                    </w:rPr>
                  </w:pPr>
                </w:p>
                <w:p w:rsidR="005424E4" w:rsidRPr="004A61C5" w:rsidRDefault="005424E4" w:rsidP="00825C4D">
                  <w:pPr>
                    <w:pStyle w:val="TLKontakty"/>
                    <w:spacing w:after="80" w:line="240" w:lineRule="auto"/>
                    <w:rPr>
                      <w:b w:val="0"/>
                      <w:color w:val="auto"/>
                    </w:rPr>
                  </w:pPr>
                  <w:r w:rsidRPr="00D66223">
                    <w:t>Liberec</w:t>
                  </w:r>
                  <w:r w:rsidRPr="004A61C5">
                    <w:rPr>
                      <w:b w:val="0"/>
                      <w:color w:val="auto"/>
                    </w:rPr>
                    <w:t xml:space="preserve"> | Nám. Dr. Edvarda Beneše 585/26, 460 01 Liberec 1, tel.</w:t>
                  </w:r>
                  <w:r>
                    <w:rPr>
                      <w:b w:val="0"/>
                      <w:color w:val="auto"/>
                    </w:rPr>
                    <w:t xml:space="preserve">: </w:t>
                  </w:r>
                  <w:r w:rsidRPr="004A61C5">
                    <w:rPr>
                      <w:b w:val="0"/>
                      <w:color w:val="auto"/>
                    </w:rPr>
                    <w:t>485 238 811</w:t>
                  </w:r>
                </w:p>
                <w:p w:rsidR="005424E4" w:rsidRPr="004A61C5" w:rsidRDefault="005424E4" w:rsidP="00825C4D">
                  <w:pPr>
                    <w:pStyle w:val="TLKontakty"/>
                    <w:spacing w:after="80" w:line="240" w:lineRule="auto"/>
                    <w:rPr>
                      <w:b w:val="0"/>
                      <w:color w:val="auto"/>
                    </w:rPr>
                  </w:pPr>
                  <w:r w:rsidRPr="004A61C5">
                    <w:rPr>
                      <w:b w:val="0"/>
                      <w:color w:val="auto"/>
                    </w:rPr>
                    <w:t xml:space="preserve">e-mail: infoservislbc@czso.cz | </w:t>
                  </w:r>
                  <w:r w:rsidRPr="004A61C5">
                    <w:rPr>
                      <w:color w:val="auto"/>
                    </w:rPr>
                    <w:t>www.liberec.czso.cz</w:t>
                  </w:r>
                </w:p>
                <w:p w:rsidR="005424E4" w:rsidRPr="004A61C5" w:rsidRDefault="005424E4" w:rsidP="00825C4D">
                  <w:pPr>
                    <w:pStyle w:val="TLKontakty"/>
                    <w:spacing w:after="80" w:line="240" w:lineRule="auto"/>
                    <w:rPr>
                      <w:b w:val="0"/>
                      <w:color w:val="auto"/>
                    </w:rPr>
                  </w:pPr>
                </w:p>
                <w:p w:rsidR="005424E4" w:rsidRPr="004A61C5" w:rsidRDefault="005424E4" w:rsidP="00825C4D">
                  <w:pPr>
                    <w:pStyle w:val="TLKontakty"/>
                    <w:spacing w:after="80" w:line="240" w:lineRule="auto"/>
                    <w:rPr>
                      <w:b w:val="0"/>
                      <w:color w:val="auto"/>
                    </w:rPr>
                  </w:pPr>
                  <w:r w:rsidRPr="00D66223">
                    <w:t>Hradec Králové</w:t>
                  </w:r>
                  <w:r w:rsidRPr="004A61C5">
                    <w:rPr>
                      <w:b w:val="0"/>
                      <w:color w:val="auto"/>
                    </w:rPr>
                    <w:t xml:space="preserve"> | Myslivečkova 914, 500 03 Hradec Králové 3, </w:t>
                  </w:r>
                  <w:r>
                    <w:rPr>
                      <w:b w:val="0"/>
                      <w:color w:val="auto"/>
                    </w:rPr>
                    <w:t>tel.</w:t>
                  </w:r>
                  <w:r w:rsidRPr="007D40DF">
                    <w:rPr>
                      <w:b w:val="0"/>
                      <w:color w:val="auto"/>
                    </w:rPr>
                    <w:t>:</w:t>
                  </w:r>
                  <w:r>
                    <w:rPr>
                      <w:b w:val="0"/>
                      <w:color w:val="auto"/>
                    </w:rPr>
                    <w:t xml:space="preserve"> </w:t>
                  </w:r>
                  <w:r w:rsidRPr="004A61C5">
                    <w:rPr>
                      <w:b w:val="0"/>
                      <w:color w:val="auto"/>
                    </w:rPr>
                    <w:t>495 762 322,</w:t>
                  </w:r>
                  <w:r>
                    <w:rPr>
                      <w:b w:val="0"/>
                      <w:color w:val="auto"/>
                    </w:rPr>
                    <w:t xml:space="preserve"> </w:t>
                  </w:r>
                  <w:r w:rsidRPr="004A61C5">
                    <w:rPr>
                      <w:b w:val="0"/>
                      <w:color w:val="auto"/>
                    </w:rPr>
                    <w:t>495 762 317</w:t>
                  </w:r>
                </w:p>
                <w:p w:rsidR="005424E4" w:rsidRPr="004A61C5" w:rsidRDefault="005424E4" w:rsidP="00825C4D">
                  <w:pPr>
                    <w:pStyle w:val="TLKontakty"/>
                    <w:spacing w:after="80" w:line="240" w:lineRule="auto"/>
                    <w:rPr>
                      <w:b w:val="0"/>
                      <w:color w:val="auto"/>
                    </w:rPr>
                  </w:pPr>
                  <w:r w:rsidRPr="004A61C5">
                    <w:rPr>
                      <w:b w:val="0"/>
                      <w:color w:val="auto"/>
                    </w:rPr>
                    <w:t xml:space="preserve">e-mail: infoservishk@czso.cz | </w:t>
                  </w:r>
                  <w:r w:rsidRPr="004A61C5">
                    <w:rPr>
                      <w:color w:val="auto"/>
                    </w:rPr>
                    <w:t>www.hradeckralove.czso.cz</w:t>
                  </w:r>
                </w:p>
                <w:p w:rsidR="005424E4" w:rsidRPr="004A61C5" w:rsidRDefault="005424E4" w:rsidP="00825C4D">
                  <w:pPr>
                    <w:pStyle w:val="TLKontakty"/>
                    <w:spacing w:after="80" w:line="240" w:lineRule="auto"/>
                    <w:rPr>
                      <w:color w:val="auto"/>
                    </w:rPr>
                  </w:pPr>
                </w:p>
                <w:p w:rsidR="005424E4" w:rsidRPr="004A61C5" w:rsidRDefault="005424E4" w:rsidP="00825C4D">
                  <w:pPr>
                    <w:pStyle w:val="TLKontakty"/>
                    <w:spacing w:after="80" w:line="240" w:lineRule="auto"/>
                    <w:rPr>
                      <w:b w:val="0"/>
                      <w:color w:val="auto"/>
                    </w:rPr>
                  </w:pPr>
                  <w:r w:rsidRPr="00D66223">
                    <w:t>Pardubice</w:t>
                  </w:r>
                  <w:r w:rsidRPr="004A61C5">
                    <w:rPr>
                      <w:b w:val="0"/>
                      <w:color w:val="auto"/>
                    </w:rPr>
                    <w:t xml:space="preserve"> | V Ráji 872, 531 53 Pardubice</w:t>
                  </w:r>
                  <w:r>
                    <w:rPr>
                      <w:b w:val="0"/>
                      <w:color w:val="auto"/>
                    </w:rPr>
                    <w:t xml:space="preserve">, </w:t>
                  </w:r>
                  <w:r w:rsidRPr="004A61C5">
                    <w:rPr>
                      <w:b w:val="0"/>
                      <w:color w:val="auto"/>
                    </w:rPr>
                    <w:t>tel.</w:t>
                  </w:r>
                  <w:r>
                    <w:rPr>
                      <w:b w:val="0"/>
                      <w:color w:val="auto"/>
                    </w:rPr>
                    <w:t>:</w:t>
                  </w:r>
                  <w:r w:rsidRPr="004A61C5">
                    <w:rPr>
                      <w:b w:val="0"/>
                      <w:color w:val="auto"/>
                    </w:rPr>
                    <w:t xml:space="preserve"> 466 743 480, 466 743 418</w:t>
                  </w:r>
                </w:p>
                <w:p w:rsidR="005424E4" w:rsidRPr="004A61C5" w:rsidRDefault="005424E4" w:rsidP="00825C4D">
                  <w:pPr>
                    <w:pStyle w:val="TLKontakty"/>
                    <w:spacing w:after="80" w:line="240" w:lineRule="auto"/>
                    <w:rPr>
                      <w:b w:val="0"/>
                      <w:color w:val="auto"/>
                    </w:rPr>
                  </w:pPr>
                  <w:r w:rsidRPr="004A61C5">
                    <w:rPr>
                      <w:b w:val="0"/>
                      <w:color w:val="auto"/>
                    </w:rPr>
                    <w:t xml:space="preserve">e-mail: infoservispa@czso.cz | </w:t>
                  </w:r>
                  <w:r w:rsidRPr="004A61C5">
                    <w:rPr>
                      <w:color w:val="auto"/>
                    </w:rPr>
                    <w:t>www.pardubice.czso.cz</w:t>
                  </w:r>
                </w:p>
                <w:p w:rsidR="005424E4" w:rsidRPr="004A61C5" w:rsidRDefault="005424E4" w:rsidP="00825C4D">
                  <w:pPr>
                    <w:pStyle w:val="TLKontakty"/>
                    <w:spacing w:after="80" w:line="240" w:lineRule="auto"/>
                    <w:rPr>
                      <w:b w:val="0"/>
                      <w:color w:val="auto"/>
                    </w:rPr>
                  </w:pPr>
                </w:p>
                <w:p w:rsidR="005424E4" w:rsidRPr="004A61C5" w:rsidRDefault="005424E4" w:rsidP="00825C4D">
                  <w:pPr>
                    <w:pStyle w:val="TLKontakty"/>
                    <w:spacing w:after="80" w:line="240" w:lineRule="auto"/>
                    <w:rPr>
                      <w:b w:val="0"/>
                      <w:color w:val="auto"/>
                    </w:rPr>
                  </w:pPr>
                  <w:r w:rsidRPr="00D66223">
                    <w:t>Jihlava</w:t>
                  </w:r>
                  <w:r w:rsidRPr="004A61C5">
                    <w:rPr>
                      <w:b w:val="0"/>
                      <w:color w:val="auto"/>
                    </w:rPr>
                    <w:t xml:space="preserve"> | Ke Skalce 30,</w:t>
                  </w:r>
                  <w:r>
                    <w:rPr>
                      <w:b w:val="0"/>
                      <w:color w:val="auto"/>
                    </w:rPr>
                    <w:t xml:space="preserve"> 586 01 Jihlava, tel.: </w:t>
                  </w:r>
                  <w:r w:rsidRPr="004A61C5">
                    <w:rPr>
                      <w:b w:val="0"/>
                      <w:color w:val="auto"/>
                    </w:rPr>
                    <w:t>567 109 062, 567 109 080</w:t>
                  </w:r>
                </w:p>
                <w:p w:rsidR="005424E4" w:rsidRPr="004A61C5" w:rsidRDefault="005424E4" w:rsidP="00825C4D">
                  <w:pPr>
                    <w:pStyle w:val="TLKontakty"/>
                    <w:spacing w:after="80" w:line="240" w:lineRule="auto"/>
                    <w:rPr>
                      <w:b w:val="0"/>
                      <w:color w:val="auto"/>
                    </w:rPr>
                  </w:pPr>
                  <w:r w:rsidRPr="004A61C5">
                    <w:rPr>
                      <w:b w:val="0"/>
                      <w:color w:val="auto"/>
                    </w:rPr>
                    <w:t xml:space="preserve">e-mail: infoservisvys@czso.cz | </w:t>
                  </w:r>
                  <w:r w:rsidRPr="004A61C5">
                    <w:rPr>
                      <w:color w:val="auto"/>
                    </w:rPr>
                    <w:t>www.jihlava.czso.cz</w:t>
                  </w:r>
                </w:p>
                <w:p w:rsidR="005424E4" w:rsidRDefault="005424E4" w:rsidP="00825C4D">
                  <w:pPr>
                    <w:pStyle w:val="TLKontakty"/>
                    <w:spacing w:after="80" w:line="240" w:lineRule="auto"/>
                  </w:pPr>
                </w:p>
                <w:p w:rsidR="005424E4" w:rsidRPr="004A61C5" w:rsidRDefault="005424E4" w:rsidP="00825C4D">
                  <w:pPr>
                    <w:pStyle w:val="TLKontakty"/>
                    <w:spacing w:after="80" w:line="240" w:lineRule="auto"/>
                    <w:rPr>
                      <w:b w:val="0"/>
                      <w:color w:val="auto"/>
                    </w:rPr>
                  </w:pPr>
                  <w:r w:rsidRPr="00D66223">
                    <w:t>Brno</w:t>
                  </w:r>
                  <w:r w:rsidRPr="004A61C5">
                    <w:rPr>
                      <w:b w:val="0"/>
                      <w:color w:val="auto"/>
                    </w:rPr>
                    <w:t xml:space="preserve"> | Jezuitská 2, 601 59 Brno, </w:t>
                  </w:r>
                  <w:r>
                    <w:rPr>
                      <w:b w:val="0"/>
                      <w:color w:val="auto"/>
                    </w:rPr>
                    <w:t xml:space="preserve">tel: </w:t>
                  </w:r>
                  <w:r w:rsidRPr="004A61C5">
                    <w:rPr>
                      <w:b w:val="0"/>
                      <w:color w:val="auto"/>
                    </w:rPr>
                    <w:t>542 528 115, 542 528 105</w:t>
                  </w:r>
                </w:p>
                <w:p w:rsidR="005424E4" w:rsidRPr="004A61C5" w:rsidRDefault="005424E4" w:rsidP="00825C4D">
                  <w:pPr>
                    <w:pStyle w:val="TLKontakty"/>
                    <w:spacing w:after="80" w:line="240" w:lineRule="auto"/>
                    <w:rPr>
                      <w:color w:val="auto"/>
                    </w:rPr>
                  </w:pPr>
                  <w:r w:rsidRPr="004A61C5">
                    <w:rPr>
                      <w:b w:val="0"/>
                      <w:color w:val="auto"/>
                    </w:rPr>
                    <w:t xml:space="preserve">e-mail: infoservisbrno@czso.cz | </w:t>
                  </w:r>
                  <w:r w:rsidRPr="004A61C5">
                    <w:rPr>
                      <w:color w:val="auto"/>
                    </w:rPr>
                    <w:t>www.brno.czso.cz</w:t>
                  </w:r>
                </w:p>
                <w:p w:rsidR="005424E4" w:rsidRPr="004A61C5" w:rsidRDefault="005424E4" w:rsidP="00825C4D">
                  <w:pPr>
                    <w:pStyle w:val="TLKontakty"/>
                    <w:spacing w:after="80" w:line="240" w:lineRule="auto"/>
                    <w:rPr>
                      <w:b w:val="0"/>
                      <w:color w:val="auto"/>
                    </w:rPr>
                  </w:pPr>
                </w:p>
                <w:p w:rsidR="005424E4" w:rsidRPr="005E7C78" w:rsidRDefault="005424E4" w:rsidP="00825C4D">
                  <w:pPr>
                    <w:pStyle w:val="TLKontakty"/>
                    <w:spacing w:after="80" w:line="240" w:lineRule="auto"/>
                    <w:rPr>
                      <w:b w:val="0"/>
                      <w:color w:val="auto"/>
                    </w:rPr>
                  </w:pPr>
                  <w:r w:rsidRPr="00D66223">
                    <w:t>Olomouc</w:t>
                  </w:r>
                  <w:r w:rsidRPr="005E7C78">
                    <w:rPr>
                      <w:b w:val="0"/>
                      <w:color w:val="auto"/>
                    </w:rPr>
                    <w:t xml:space="preserve"> | </w:t>
                  </w:r>
                  <w:proofErr w:type="spellStart"/>
                  <w:r w:rsidRPr="005E7C78">
                    <w:rPr>
                      <w:b w:val="0"/>
                      <w:color w:val="auto"/>
                    </w:rPr>
                    <w:t>Jeremenkova</w:t>
                  </w:r>
                  <w:proofErr w:type="spellEnd"/>
                  <w:r w:rsidRPr="005E7C78">
                    <w:rPr>
                      <w:b w:val="0"/>
                      <w:color w:val="auto"/>
                    </w:rPr>
                    <w:t xml:space="preserve"> 1142/42, 772 11 Olomouc, </w:t>
                  </w:r>
                  <w:r>
                    <w:rPr>
                      <w:b w:val="0"/>
                      <w:color w:val="auto"/>
                    </w:rPr>
                    <w:t xml:space="preserve">tel.: </w:t>
                  </w:r>
                  <w:r w:rsidRPr="005E7C78">
                    <w:rPr>
                      <w:b w:val="0"/>
                      <w:color w:val="auto"/>
                    </w:rPr>
                    <w:t>585 731 516,</w:t>
                  </w:r>
                  <w:r>
                    <w:rPr>
                      <w:b w:val="0"/>
                      <w:color w:val="auto"/>
                    </w:rPr>
                    <w:t xml:space="preserve"> </w:t>
                  </w:r>
                  <w:r w:rsidRPr="005E7C78">
                    <w:rPr>
                      <w:b w:val="0"/>
                      <w:color w:val="auto"/>
                    </w:rPr>
                    <w:t>585 731 509</w:t>
                  </w:r>
                </w:p>
                <w:p w:rsidR="005424E4" w:rsidRPr="005E7C78" w:rsidRDefault="005424E4" w:rsidP="00825C4D">
                  <w:pPr>
                    <w:pStyle w:val="TLKontakty"/>
                    <w:spacing w:after="80" w:line="240" w:lineRule="auto"/>
                    <w:rPr>
                      <w:b w:val="0"/>
                      <w:color w:val="auto"/>
                    </w:rPr>
                  </w:pPr>
                  <w:r w:rsidRPr="005E7C78">
                    <w:rPr>
                      <w:b w:val="0"/>
                      <w:color w:val="auto"/>
                    </w:rPr>
                    <w:t xml:space="preserve">e-mail: infoservisolom@czso.cz | </w:t>
                  </w:r>
                  <w:r w:rsidRPr="005E7C78">
                    <w:rPr>
                      <w:color w:val="auto"/>
                    </w:rPr>
                    <w:t>www.olomouc.czso.cz</w:t>
                  </w:r>
                </w:p>
                <w:p w:rsidR="005424E4" w:rsidRPr="005E7C78" w:rsidRDefault="005424E4" w:rsidP="00825C4D">
                  <w:pPr>
                    <w:pStyle w:val="TLKontakty"/>
                    <w:spacing w:after="80" w:line="240" w:lineRule="auto"/>
                    <w:rPr>
                      <w:b w:val="0"/>
                      <w:color w:val="auto"/>
                    </w:rPr>
                  </w:pPr>
                </w:p>
                <w:p w:rsidR="005424E4" w:rsidRPr="005E7C78" w:rsidRDefault="005424E4" w:rsidP="00825C4D">
                  <w:pPr>
                    <w:pStyle w:val="TLKontakty"/>
                    <w:spacing w:after="80" w:line="240" w:lineRule="auto"/>
                    <w:rPr>
                      <w:b w:val="0"/>
                      <w:color w:val="auto"/>
                    </w:rPr>
                  </w:pPr>
                  <w:r w:rsidRPr="00D66223">
                    <w:t>Ostrava</w:t>
                  </w:r>
                  <w:r w:rsidRPr="005E7C78">
                    <w:rPr>
                      <w:b w:val="0"/>
                      <w:color w:val="auto"/>
                    </w:rPr>
                    <w:t xml:space="preserve"> | </w:t>
                  </w:r>
                  <w:proofErr w:type="spellStart"/>
                  <w:r w:rsidRPr="005E7C78">
                    <w:rPr>
                      <w:b w:val="0"/>
                      <w:color w:val="auto"/>
                    </w:rPr>
                    <w:t>Repinova</w:t>
                  </w:r>
                  <w:proofErr w:type="spellEnd"/>
                  <w:r w:rsidRPr="005E7C78">
                    <w:rPr>
                      <w:b w:val="0"/>
                      <w:color w:val="auto"/>
                    </w:rPr>
                    <w:t xml:space="preserve"> 17, 702 03 Ostrava,</w:t>
                  </w:r>
                  <w:r>
                    <w:rPr>
                      <w:b w:val="0"/>
                      <w:color w:val="auto"/>
                    </w:rPr>
                    <w:t xml:space="preserve"> tel: </w:t>
                  </w:r>
                  <w:r w:rsidRPr="005E7C78">
                    <w:rPr>
                      <w:b w:val="0"/>
                      <w:color w:val="auto"/>
                    </w:rPr>
                    <w:t>595 131 230, 595 131 232</w:t>
                  </w:r>
                </w:p>
                <w:p w:rsidR="005424E4" w:rsidRPr="005E7C78" w:rsidRDefault="005424E4" w:rsidP="00825C4D">
                  <w:pPr>
                    <w:pStyle w:val="TLKontakty"/>
                    <w:spacing w:after="80" w:line="240" w:lineRule="auto"/>
                    <w:rPr>
                      <w:b w:val="0"/>
                      <w:color w:val="auto"/>
                    </w:rPr>
                  </w:pPr>
                  <w:r w:rsidRPr="005E7C78">
                    <w:rPr>
                      <w:b w:val="0"/>
                      <w:color w:val="auto"/>
                    </w:rPr>
                    <w:t xml:space="preserve">e-mail: infoservis_ov@czso.cz | </w:t>
                  </w:r>
                  <w:r w:rsidRPr="005E7C78">
                    <w:rPr>
                      <w:color w:val="auto"/>
                    </w:rPr>
                    <w:t>www.ostrava.czso.cz</w:t>
                  </w:r>
                </w:p>
                <w:p w:rsidR="005424E4" w:rsidRPr="005E7C78" w:rsidRDefault="005424E4" w:rsidP="00825C4D">
                  <w:pPr>
                    <w:pStyle w:val="TLKontakty"/>
                    <w:spacing w:after="80" w:line="240" w:lineRule="auto"/>
                    <w:rPr>
                      <w:b w:val="0"/>
                      <w:color w:val="auto"/>
                    </w:rPr>
                  </w:pPr>
                </w:p>
                <w:p w:rsidR="005424E4" w:rsidRPr="005E7C78" w:rsidRDefault="005424E4" w:rsidP="00825C4D">
                  <w:pPr>
                    <w:pStyle w:val="TLKontakty"/>
                    <w:spacing w:after="80" w:line="240" w:lineRule="auto"/>
                    <w:rPr>
                      <w:b w:val="0"/>
                      <w:color w:val="auto"/>
                    </w:rPr>
                  </w:pPr>
                  <w:r w:rsidRPr="00D66223">
                    <w:t>Zlín</w:t>
                  </w:r>
                  <w:r w:rsidRPr="005E7C78">
                    <w:rPr>
                      <w:b w:val="0"/>
                      <w:color w:val="auto"/>
                    </w:rPr>
                    <w:t xml:space="preserve"> | tř. Tomáše Bati 1565, 761 76 Zlín, </w:t>
                  </w:r>
                  <w:r>
                    <w:rPr>
                      <w:b w:val="0"/>
                      <w:color w:val="auto"/>
                    </w:rPr>
                    <w:t xml:space="preserve">tel.: </w:t>
                  </w:r>
                  <w:r w:rsidRPr="005E7C78">
                    <w:rPr>
                      <w:b w:val="0"/>
                      <w:color w:val="auto"/>
                    </w:rPr>
                    <w:t>577 004 931, 577 004 935</w:t>
                  </w:r>
                </w:p>
                <w:p w:rsidR="005424E4" w:rsidRDefault="005424E4" w:rsidP="00825C4D">
                  <w:pPr>
                    <w:pStyle w:val="TLKontakty"/>
                    <w:spacing w:after="80" w:line="240" w:lineRule="auto"/>
                    <w:rPr>
                      <w:color w:val="auto"/>
                    </w:rPr>
                  </w:pPr>
                  <w:r w:rsidRPr="005E7C78">
                    <w:rPr>
                      <w:b w:val="0"/>
                      <w:color w:val="auto"/>
                    </w:rPr>
                    <w:t xml:space="preserve">e-mail: infoservis-zl@czso.cz | </w:t>
                  </w:r>
                  <w:r w:rsidRPr="00227A53">
                    <w:rPr>
                      <w:color w:val="auto"/>
                    </w:rPr>
                    <w:t>www.zlin.czso.cz</w:t>
                  </w:r>
                </w:p>
              </w:txbxContent>
            </v:textbox>
            <w10:wrap anchorx="page" anchory="page"/>
            <w10:anchorlock/>
          </v:shape>
        </w:pict>
      </w:r>
      <w:r>
        <w:rPr>
          <w:noProof/>
        </w:rPr>
        <w:pict>
          <v:shape id="_x0000_s1027" type="#_x0000_t202" style="position:absolute;margin-left:56.7pt;margin-top:747pt;width:481.9pt;height:28.35pt;z-index:251661824;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" filled="f" stroked="f">
            <v:textbox style="mso-next-textbox:#_x0000_s1027" inset="0,0,0,0">
              <w:txbxContent>
                <w:p w:rsidR="005424E4" w:rsidRPr="00321924" w:rsidRDefault="005424E4" w:rsidP="007C60B0">
                  <w:pPr>
                    <w:spacing w:before="240" w:after="0" w:line="240" w:lineRule="auto"/>
                  </w:pPr>
                  <w:r w:rsidRPr="00321924">
                    <w:t>© Český sta</w:t>
                  </w:r>
                  <w:r w:rsidR="007C60B0">
                    <w:t>tistický úřad, Praha, 2016</w:t>
                  </w:r>
                </w:p>
                <w:p w:rsidR="005424E4" w:rsidRDefault="005424E4"/>
                <w:p w:rsidR="005424E4" w:rsidRPr="00841D9F" w:rsidRDefault="005424E4" w:rsidP="000A3A2C">
                  <w:r w:rsidRPr="00841D9F">
                    <w:rPr>
                      <w:szCs w:val="26"/>
                    </w:rPr>
                    <w:t xml:space="preserve">ISBN XX-XXXX-XXX-X  </w:t>
                  </w:r>
                  <w:r w:rsidRPr="00841D9F">
                    <w:t>(pouze u nepravidelných a ročních publikací)</w:t>
                  </w:r>
                </w:p>
                <w:p w:rsidR="005424E4" w:rsidRPr="00AF2852" w:rsidRDefault="005424E4" w:rsidP="000A3A2C">
                  <w:r w:rsidRPr="00841D9F">
                    <w:t>© Český sta</w:t>
                  </w:r>
                  <w:r>
                    <w:t xml:space="preserve">tistický úřad / </w:t>
                  </w:r>
                  <w:proofErr w:type="spellStart"/>
                  <w:r w:rsidRPr="009A1902">
                    <w:rPr>
                      <w:i/>
                    </w:rPr>
                    <w:t>Czech</w:t>
                  </w:r>
                  <w:proofErr w:type="spellEnd"/>
                  <w:r w:rsidRPr="009A1902">
                    <w:rPr>
                      <w:i/>
                    </w:rPr>
                    <w:t xml:space="preserve"> </w:t>
                  </w:r>
                  <w:proofErr w:type="spellStart"/>
                  <w:r w:rsidRPr="009A1902">
                    <w:rPr>
                      <w:rFonts w:cs="Arial"/>
                      <w:i/>
                      <w:szCs w:val="20"/>
                    </w:rPr>
                    <w:t>Statistical</w:t>
                  </w:r>
                  <w:proofErr w:type="spellEnd"/>
                  <w:r w:rsidRPr="009A1902">
                    <w:rPr>
                      <w:rFonts w:cs="Arial"/>
                      <w:i/>
                      <w:szCs w:val="20"/>
                    </w:rPr>
                    <w:t xml:space="preserve"> Office</w:t>
                  </w:r>
                  <w:r>
                    <w:t>, místo, rok vydání</w:t>
                  </w:r>
                </w:p>
              </w:txbxContent>
            </v:textbox>
            <w10:wrap anchorx="page" anchory="page"/>
            <w10:anchorlock/>
          </v:shape>
        </w:pict>
      </w:r>
      <w:r>
        <w:rPr>
          <w:noProof/>
        </w:rPr>
        <w:pict>
          <v:shape id="_x0000_s1026" type="#_x0000_t202" style="position:absolute;margin-left:56.95pt;margin-top:56.95pt;width:481.85pt;height:45.1pt;z-index:251660800;visibility:visible;mso-position-horizontal-relative:page;mso-position-vertical-relative:page;mso-width-relative:margin;mso-height-relative:margin" filled="f" stroked="f">
            <v:textbox style="mso-next-textbox:#_x0000_s1026;mso-fit-shape-to-text:t" inset="0,0,0,0">
              <w:txbxContent>
                <w:p w:rsidR="005424E4" w:rsidRPr="009A1902" w:rsidRDefault="005424E4" w:rsidP="000A3A2C">
                  <w:pPr>
                    <w:rPr>
                      <w:b/>
                      <w:bCs/>
                      <w:i/>
                      <w:sz w:val="24"/>
                    </w:rPr>
                  </w:pPr>
                  <w:r w:rsidRPr="00B95F50">
                    <w:rPr>
                      <w:b/>
                      <w:color w:val="0071BC"/>
                      <w:sz w:val="24"/>
                    </w:rPr>
                    <w:t xml:space="preserve">Zajímají Vás nejnovější údaje o inflaci, HDP, obyvatelstvu, průměrných mzdách </w:t>
                  </w:r>
                  <w:r>
                    <w:rPr>
                      <w:b/>
                      <w:color w:val="0071BC"/>
                      <w:sz w:val="24"/>
                    </w:rPr>
                    <w:br/>
                  </w:r>
                  <w:r w:rsidRPr="00B95F50">
                    <w:rPr>
                      <w:b/>
                      <w:color w:val="0071BC"/>
                      <w:sz w:val="24"/>
                    </w:rPr>
                    <w:t xml:space="preserve">a mnohé další? Najdete je na stránkách ČSÚ na internetu: </w:t>
                  </w:r>
                  <w:r>
                    <w:rPr>
                      <w:b/>
                      <w:bCs/>
                      <w:sz w:val="24"/>
                    </w:rPr>
                    <w:t>www.czso.cz</w:t>
                  </w:r>
                </w:p>
              </w:txbxContent>
            </v:textbox>
            <w10:wrap anchorx="page" anchory="page"/>
            <w10:anchorlock/>
          </v:shape>
        </w:pict>
      </w:r>
    </w:p>
    <w:p w:rsidR="0077679F" w:rsidRDefault="0077679F" w:rsidP="006F5416">
      <w:pPr>
        <w:pStyle w:val="Obsahpoloky"/>
        <w:rPr>
          <w:b/>
        </w:rPr>
      </w:pPr>
    </w:p>
    <w:p w:rsidR="00576B24" w:rsidRDefault="00576B24" w:rsidP="00C32A42">
      <w:pPr>
        <w:pStyle w:val="Nadpis2"/>
      </w:pPr>
      <w:bookmarkStart w:id="0" w:name="_Toc459039559"/>
      <w:bookmarkStart w:id="1" w:name="_Toc460424369"/>
      <w:r w:rsidRPr="00576B24">
        <w:t>Obsah</w:t>
      </w:r>
      <w:bookmarkEnd w:id="0"/>
      <w:bookmarkEnd w:id="1"/>
    </w:p>
    <w:p w:rsidR="00576B24" w:rsidRPr="00576B24" w:rsidRDefault="00576B24" w:rsidP="00576B24"/>
    <w:p w:rsidR="00BB1275" w:rsidRDefault="00984E22">
      <w:pPr>
        <w:pStyle w:val="Obsah2"/>
        <w:rPr>
          <w:rFonts w:asciiTheme="minorHAnsi" w:eastAsiaTheme="minorEastAsia" w:hAnsiTheme="minorHAnsi" w:cstheme="minorBidi"/>
          <w:noProof/>
          <w:sz w:val="22"/>
          <w:szCs w:val="22"/>
        </w:rPr>
      </w:pPr>
      <w:r>
        <w:fldChar w:fldCharType="begin"/>
      </w:r>
      <w:r w:rsidR="00576B24">
        <w:instrText xml:space="preserve"> TOC \o "1-3" \h \z \u </w:instrText>
      </w:r>
      <w:r>
        <w:fldChar w:fldCharType="separate"/>
      </w:r>
      <w:hyperlink w:anchor="_Toc460424369" w:history="1">
        <w:r w:rsidR="00BB1275" w:rsidRPr="007F0A2A">
          <w:rPr>
            <w:rStyle w:val="Hypertextovodkaz"/>
            <w:noProof/>
          </w:rPr>
          <w:t>Obsah</w:t>
        </w:r>
        <w:r w:rsidR="00BB1275">
          <w:rPr>
            <w:noProof/>
            <w:webHidden/>
          </w:rPr>
          <w:tab/>
        </w:r>
        <w:r>
          <w:rPr>
            <w:noProof/>
            <w:webHidden/>
          </w:rPr>
          <w:fldChar w:fldCharType="begin"/>
        </w:r>
        <w:r w:rsidR="00BB1275">
          <w:rPr>
            <w:noProof/>
            <w:webHidden/>
          </w:rPr>
          <w:instrText xml:space="preserve"> PAGEREF _Toc460424369 \h </w:instrText>
        </w:r>
        <w:r>
          <w:rPr>
            <w:noProof/>
            <w:webHidden/>
          </w:rPr>
        </w:r>
        <w:r>
          <w:rPr>
            <w:noProof/>
            <w:webHidden/>
          </w:rPr>
          <w:fldChar w:fldCharType="separate"/>
        </w:r>
        <w:r w:rsidR="00BB1275">
          <w:rPr>
            <w:noProof/>
            <w:webHidden/>
          </w:rPr>
          <w:t>3</w:t>
        </w:r>
        <w:r>
          <w:rPr>
            <w:noProof/>
            <w:webHidden/>
          </w:rPr>
          <w:fldChar w:fldCharType="end"/>
        </w:r>
      </w:hyperlink>
    </w:p>
    <w:p w:rsidR="00BB1275" w:rsidRDefault="00984E22">
      <w:pPr>
        <w:pStyle w:val="Obsah2"/>
        <w:rPr>
          <w:rFonts w:asciiTheme="minorHAnsi" w:eastAsiaTheme="minorEastAsia" w:hAnsiTheme="minorHAnsi" w:cstheme="minorBidi"/>
          <w:noProof/>
          <w:sz w:val="22"/>
          <w:szCs w:val="22"/>
        </w:rPr>
      </w:pPr>
      <w:hyperlink w:anchor="_Toc460424370" w:history="1">
        <w:r w:rsidR="00BB1275" w:rsidRPr="007F0A2A">
          <w:rPr>
            <w:rStyle w:val="Hypertextovodkaz"/>
            <w:noProof/>
          </w:rPr>
          <w:t>Úvod</w:t>
        </w:r>
        <w:r w:rsidR="00BB1275">
          <w:rPr>
            <w:noProof/>
            <w:webHidden/>
          </w:rPr>
          <w:tab/>
        </w:r>
        <w:r>
          <w:rPr>
            <w:noProof/>
            <w:webHidden/>
          </w:rPr>
          <w:fldChar w:fldCharType="begin"/>
        </w:r>
        <w:r w:rsidR="00BB1275">
          <w:rPr>
            <w:noProof/>
            <w:webHidden/>
          </w:rPr>
          <w:instrText xml:space="preserve"> PAGEREF _Toc460424370 \h </w:instrText>
        </w:r>
        <w:r>
          <w:rPr>
            <w:noProof/>
            <w:webHidden/>
          </w:rPr>
        </w:r>
        <w:r>
          <w:rPr>
            <w:noProof/>
            <w:webHidden/>
          </w:rPr>
          <w:fldChar w:fldCharType="separate"/>
        </w:r>
        <w:r w:rsidR="00BB1275">
          <w:rPr>
            <w:noProof/>
            <w:webHidden/>
          </w:rPr>
          <w:t>4</w:t>
        </w:r>
        <w:r>
          <w:rPr>
            <w:noProof/>
            <w:webHidden/>
          </w:rPr>
          <w:fldChar w:fldCharType="end"/>
        </w:r>
      </w:hyperlink>
    </w:p>
    <w:p w:rsidR="00BB1275" w:rsidRDefault="00984E22">
      <w:pPr>
        <w:pStyle w:val="Obsah2"/>
        <w:rPr>
          <w:rFonts w:asciiTheme="minorHAnsi" w:eastAsiaTheme="minorEastAsia" w:hAnsiTheme="minorHAnsi" w:cstheme="minorBidi"/>
          <w:noProof/>
          <w:sz w:val="22"/>
          <w:szCs w:val="22"/>
        </w:rPr>
      </w:pPr>
      <w:hyperlink w:anchor="_Toc460424371" w:history="1">
        <w:r w:rsidR="00BB1275" w:rsidRPr="007F0A2A">
          <w:rPr>
            <w:rStyle w:val="Hypertextovodkaz"/>
            <w:noProof/>
          </w:rPr>
          <w:t>O zdrojích dat</w:t>
        </w:r>
        <w:r w:rsidR="00BB1275">
          <w:rPr>
            <w:noProof/>
            <w:webHidden/>
          </w:rPr>
          <w:tab/>
        </w:r>
        <w:r>
          <w:rPr>
            <w:noProof/>
            <w:webHidden/>
          </w:rPr>
          <w:fldChar w:fldCharType="begin"/>
        </w:r>
        <w:r w:rsidR="00BB1275">
          <w:rPr>
            <w:noProof/>
            <w:webHidden/>
          </w:rPr>
          <w:instrText xml:space="preserve"> PAGEREF _Toc460424371 \h </w:instrText>
        </w:r>
        <w:r>
          <w:rPr>
            <w:noProof/>
            <w:webHidden/>
          </w:rPr>
        </w:r>
        <w:r>
          <w:rPr>
            <w:noProof/>
            <w:webHidden/>
          </w:rPr>
          <w:fldChar w:fldCharType="separate"/>
        </w:r>
        <w:r w:rsidR="00BB1275">
          <w:rPr>
            <w:noProof/>
            <w:webHidden/>
          </w:rPr>
          <w:t>4</w:t>
        </w:r>
        <w:r>
          <w:rPr>
            <w:noProof/>
            <w:webHidden/>
          </w:rPr>
          <w:fldChar w:fldCharType="end"/>
        </w:r>
      </w:hyperlink>
    </w:p>
    <w:p w:rsidR="00BB1275" w:rsidRDefault="00984E22">
      <w:pPr>
        <w:pStyle w:val="Obsah2"/>
        <w:rPr>
          <w:rFonts w:asciiTheme="minorHAnsi" w:eastAsiaTheme="minorEastAsia" w:hAnsiTheme="minorHAnsi" w:cstheme="minorBidi"/>
          <w:noProof/>
          <w:sz w:val="22"/>
          <w:szCs w:val="22"/>
        </w:rPr>
      </w:pPr>
      <w:hyperlink w:anchor="_Toc460424372" w:history="1">
        <w:r w:rsidR="00BB1275" w:rsidRPr="007F0A2A">
          <w:rPr>
            <w:rStyle w:val="Hypertextovodkaz"/>
            <w:noProof/>
          </w:rPr>
          <w:t>O klíčových ukazatelích, o pojmech a o prezentaci dat</w:t>
        </w:r>
        <w:r w:rsidR="00BB1275">
          <w:rPr>
            <w:noProof/>
            <w:webHidden/>
          </w:rPr>
          <w:tab/>
        </w:r>
        <w:r>
          <w:rPr>
            <w:noProof/>
            <w:webHidden/>
          </w:rPr>
          <w:fldChar w:fldCharType="begin"/>
        </w:r>
        <w:r w:rsidR="00BB1275">
          <w:rPr>
            <w:noProof/>
            <w:webHidden/>
          </w:rPr>
          <w:instrText xml:space="preserve"> PAGEREF _Toc460424372 \h </w:instrText>
        </w:r>
        <w:r>
          <w:rPr>
            <w:noProof/>
            <w:webHidden/>
          </w:rPr>
        </w:r>
        <w:r>
          <w:rPr>
            <w:noProof/>
            <w:webHidden/>
          </w:rPr>
          <w:fldChar w:fldCharType="separate"/>
        </w:r>
        <w:r w:rsidR="00BB1275">
          <w:rPr>
            <w:noProof/>
            <w:webHidden/>
          </w:rPr>
          <w:t>7</w:t>
        </w:r>
        <w:r>
          <w:rPr>
            <w:noProof/>
            <w:webHidden/>
          </w:rPr>
          <w:fldChar w:fldCharType="end"/>
        </w:r>
      </w:hyperlink>
    </w:p>
    <w:p w:rsidR="00BB1275" w:rsidRDefault="00984E22">
      <w:pPr>
        <w:pStyle w:val="Obsah2"/>
        <w:rPr>
          <w:rFonts w:asciiTheme="minorHAnsi" w:eastAsiaTheme="minorEastAsia" w:hAnsiTheme="minorHAnsi" w:cstheme="minorBidi"/>
          <w:noProof/>
          <w:sz w:val="22"/>
          <w:szCs w:val="22"/>
        </w:rPr>
      </w:pPr>
      <w:hyperlink w:anchor="_Toc460424373" w:history="1">
        <w:r w:rsidR="00BB1275" w:rsidRPr="007F0A2A">
          <w:rPr>
            <w:rStyle w:val="Hypertextovodkaz"/>
            <w:noProof/>
          </w:rPr>
          <w:t>Zdroje financování formálního vzdělávání</w:t>
        </w:r>
        <w:r w:rsidR="00BB1275">
          <w:rPr>
            <w:noProof/>
            <w:webHidden/>
          </w:rPr>
          <w:tab/>
        </w:r>
        <w:r>
          <w:rPr>
            <w:noProof/>
            <w:webHidden/>
          </w:rPr>
          <w:fldChar w:fldCharType="begin"/>
        </w:r>
        <w:r w:rsidR="00BB1275">
          <w:rPr>
            <w:noProof/>
            <w:webHidden/>
          </w:rPr>
          <w:instrText xml:space="preserve"> PAGEREF _Toc460424373 \h </w:instrText>
        </w:r>
        <w:r>
          <w:rPr>
            <w:noProof/>
            <w:webHidden/>
          </w:rPr>
        </w:r>
        <w:r>
          <w:rPr>
            <w:noProof/>
            <w:webHidden/>
          </w:rPr>
          <w:fldChar w:fldCharType="separate"/>
        </w:r>
        <w:r w:rsidR="00BB1275">
          <w:rPr>
            <w:noProof/>
            <w:webHidden/>
          </w:rPr>
          <w:t>9</w:t>
        </w:r>
        <w:r>
          <w:rPr>
            <w:noProof/>
            <w:webHidden/>
          </w:rPr>
          <w:fldChar w:fldCharType="end"/>
        </w:r>
      </w:hyperlink>
    </w:p>
    <w:p w:rsidR="00BB1275" w:rsidRDefault="00984E22">
      <w:pPr>
        <w:pStyle w:val="Obsah3"/>
        <w:rPr>
          <w:rFonts w:asciiTheme="minorHAnsi" w:eastAsiaTheme="minorEastAsia" w:hAnsiTheme="minorHAnsi" w:cstheme="minorBidi"/>
          <w:noProof/>
          <w:sz w:val="22"/>
          <w:szCs w:val="22"/>
        </w:rPr>
      </w:pPr>
      <w:hyperlink w:anchor="_Toc460424374" w:history="1">
        <w:r w:rsidR="00BB1275" w:rsidRPr="007F0A2A">
          <w:rPr>
            <w:rStyle w:val="Hypertextovodkaz"/>
            <w:noProof/>
          </w:rPr>
          <w:t>Úvod</w:t>
        </w:r>
        <w:r w:rsidR="00BB1275">
          <w:rPr>
            <w:noProof/>
            <w:webHidden/>
          </w:rPr>
          <w:tab/>
        </w:r>
        <w:r>
          <w:rPr>
            <w:noProof/>
            <w:webHidden/>
          </w:rPr>
          <w:fldChar w:fldCharType="begin"/>
        </w:r>
        <w:r w:rsidR="00BB1275">
          <w:rPr>
            <w:noProof/>
            <w:webHidden/>
          </w:rPr>
          <w:instrText xml:space="preserve"> PAGEREF _Toc460424374 \h </w:instrText>
        </w:r>
        <w:r>
          <w:rPr>
            <w:noProof/>
            <w:webHidden/>
          </w:rPr>
        </w:r>
        <w:r>
          <w:rPr>
            <w:noProof/>
            <w:webHidden/>
          </w:rPr>
          <w:fldChar w:fldCharType="separate"/>
        </w:r>
        <w:r w:rsidR="00BB1275">
          <w:rPr>
            <w:noProof/>
            <w:webHidden/>
          </w:rPr>
          <w:t>9</w:t>
        </w:r>
        <w:r>
          <w:rPr>
            <w:noProof/>
            <w:webHidden/>
          </w:rPr>
          <w:fldChar w:fldCharType="end"/>
        </w:r>
      </w:hyperlink>
    </w:p>
    <w:p w:rsidR="00BB1275" w:rsidRDefault="00984E22">
      <w:pPr>
        <w:pStyle w:val="Obsah3"/>
        <w:rPr>
          <w:rFonts w:asciiTheme="minorHAnsi" w:eastAsiaTheme="minorEastAsia" w:hAnsiTheme="minorHAnsi" w:cstheme="minorBidi"/>
          <w:noProof/>
          <w:sz w:val="22"/>
          <w:szCs w:val="22"/>
        </w:rPr>
      </w:pPr>
      <w:hyperlink w:anchor="_Toc460424375" w:history="1">
        <w:r w:rsidR="00BB1275" w:rsidRPr="007F0A2A">
          <w:rPr>
            <w:rStyle w:val="Hypertextovodkaz"/>
            <w:noProof/>
          </w:rPr>
          <w:t>Prezentace indikátorů</w:t>
        </w:r>
        <w:r w:rsidR="00BB1275">
          <w:rPr>
            <w:noProof/>
            <w:webHidden/>
          </w:rPr>
          <w:tab/>
        </w:r>
        <w:r>
          <w:rPr>
            <w:noProof/>
            <w:webHidden/>
          </w:rPr>
          <w:fldChar w:fldCharType="begin"/>
        </w:r>
        <w:r w:rsidR="00BB1275">
          <w:rPr>
            <w:noProof/>
            <w:webHidden/>
          </w:rPr>
          <w:instrText xml:space="preserve"> PAGEREF _Toc460424375 \h </w:instrText>
        </w:r>
        <w:r>
          <w:rPr>
            <w:noProof/>
            <w:webHidden/>
          </w:rPr>
        </w:r>
        <w:r>
          <w:rPr>
            <w:noProof/>
            <w:webHidden/>
          </w:rPr>
          <w:fldChar w:fldCharType="separate"/>
        </w:r>
        <w:r w:rsidR="00BB1275">
          <w:rPr>
            <w:noProof/>
            <w:webHidden/>
          </w:rPr>
          <w:t>10</w:t>
        </w:r>
        <w:r>
          <w:rPr>
            <w:noProof/>
            <w:webHidden/>
          </w:rPr>
          <w:fldChar w:fldCharType="end"/>
        </w:r>
      </w:hyperlink>
    </w:p>
    <w:p w:rsidR="00BB1275" w:rsidRDefault="00984E22">
      <w:pPr>
        <w:pStyle w:val="Obsah3"/>
        <w:rPr>
          <w:rFonts w:asciiTheme="minorHAnsi" w:eastAsiaTheme="minorEastAsia" w:hAnsiTheme="minorHAnsi" w:cstheme="minorBidi"/>
          <w:noProof/>
          <w:sz w:val="22"/>
          <w:szCs w:val="22"/>
        </w:rPr>
      </w:pPr>
      <w:hyperlink w:anchor="_Toc460424376" w:history="1">
        <w:r w:rsidR="00BB1275" w:rsidRPr="007F0A2A">
          <w:rPr>
            <w:rStyle w:val="Hypertextovodkaz"/>
            <w:noProof/>
          </w:rPr>
          <w:t>Shrnutí</w:t>
        </w:r>
        <w:r w:rsidR="00BB1275">
          <w:rPr>
            <w:noProof/>
            <w:webHidden/>
          </w:rPr>
          <w:tab/>
        </w:r>
        <w:r>
          <w:rPr>
            <w:noProof/>
            <w:webHidden/>
          </w:rPr>
          <w:fldChar w:fldCharType="begin"/>
        </w:r>
        <w:r w:rsidR="00BB1275">
          <w:rPr>
            <w:noProof/>
            <w:webHidden/>
          </w:rPr>
          <w:instrText xml:space="preserve"> PAGEREF _Toc460424376 \h </w:instrText>
        </w:r>
        <w:r>
          <w:rPr>
            <w:noProof/>
            <w:webHidden/>
          </w:rPr>
        </w:r>
        <w:r>
          <w:rPr>
            <w:noProof/>
            <w:webHidden/>
          </w:rPr>
          <w:fldChar w:fldCharType="separate"/>
        </w:r>
        <w:r w:rsidR="00BB1275">
          <w:rPr>
            <w:noProof/>
            <w:webHidden/>
          </w:rPr>
          <w:t>19</w:t>
        </w:r>
        <w:r>
          <w:rPr>
            <w:noProof/>
            <w:webHidden/>
          </w:rPr>
          <w:fldChar w:fldCharType="end"/>
        </w:r>
      </w:hyperlink>
    </w:p>
    <w:p w:rsidR="00BB1275" w:rsidRDefault="00984E22">
      <w:pPr>
        <w:pStyle w:val="Obsah2"/>
        <w:rPr>
          <w:rFonts w:asciiTheme="minorHAnsi" w:eastAsiaTheme="minorEastAsia" w:hAnsiTheme="minorHAnsi" w:cstheme="minorBidi"/>
          <w:noProof/>
          <w:sz w:val="22"/>
          <w:szCs w:val="22"/>
        </w:rPr>
      </w:pPr>
      <w:hyperlink w:anchor="_Toc460424377" w:history="1">
        <w:r w:rsidR="00BB1275" w:rsidRPr="007F0A2A">
          <w:rPr>
            <w:rStyle w:val="Hypertextovodkaz"/>
            <w:rFonts w:eastAsia="ChaparralPro-Regular" w:cs="Arial"/>
            <w:noProof/>
          </w:rPr>
          <w:t>Výdaje na jednoho žáka/studenta</w:t>
        </w:r>
        <w:r w:rsidR="00BB1275">
          <w:rPr>
            <w:noProof/>
            <w:webHidden/>
          </w:rPr>
          <w:tab/>
        </w:r>
        <w:r>
          <w:rPr>
            <w:noProof/>
            <w:webHidden/>
          </w:rPr>
          <w:fldChar w:fldCharType="begin"/>
        </w:r>
        <w:r w:rsidR="00BB1275">
          <w:rPr>
            <w:noProof/>
            <w:webHidden/>
          </w:rPr>
          <w:instrText xml:space="preserve"> PAGEREF _Toc460424377 \h </w:instrText>
        </w:r>
        <w:r>
          <w:rPr>
            <w:noProof/>
            <w:webHidden/>
          </w:rPr>
        </w:r>
        <w:r>
          <w:rPr>
            <w:noProof/>
            <w:webHidden/>
          </w:rPr>
          <w:fldChar w:fldCharType="separate"/>
        </w:r>
        <w:r w:rsidR="00BB1275">
          <w:rPr>
            <w:noProof/>
            <w:webHidden/>
          </w:rPr>
          <w:t>20</w:t>
        </w:r>
        <w:r>
          <w:rPr>
            <w:noProof/>
            <w:webHidden/>
          </w:rPr>
          <w:fldChar w:fldCharType="end"/>
        </w:r>
      </w:hyperlink>
    </w:p>
    <w:p w:rsidR="00BB1275" w:rsidRDefault="00984E22">
      <w:pPr>
        <w:pStyle w:val="Obsah3"/>
        <w:rPr>
          <w:rFonts w:asciiTheme="minorHAnsi" w:eastAsiaTheme="minorEastAsia" w:hAnsiTheme="minorHAnsi" w:cstheme="minorBidi"/>
          <w:noProof/>
          <w:sz w:val="22"/>
          <w:szCs w:val="22"/>
        </w:rPr>
      </w:pPr>
      <w:hyperlink w:anchor="_Toc460424378" w:history="1">
        <w:r w:rsidR="00BB1275" w:rsidRPr="007F0A2A">
          <w:rPr>
            <w:rStyle w:val="Hypertextovodkaz"/>
            <w:noProof/>
          </w:rPr>
          <w:t>Úvod</w:t>
        </w:r>
        <w:r w:rsidR="00BB1275">
          <w:rPr>
            <w:noProof/>
            <w:webHidden/>
          </w:rPr>
          <w:tab/>
        </w:r>
        <w:r>
          <w:rPr>
            <w:noProof/>
            <w:webHidden/>
          </w:rPr>
          <w:fldChar w:fldCharType="begin"/>
        </w:r>
        <w:r w:rsidR="00BB1275">
          <w:rPr>
            <w:noProof/>
            <w:webHidden/>
          </w:rPr>
          <w:instrText xml:space="preserve"> PAGEREF _Toc460424378 \h </w:instrText>
        </w:r>
        <w:r>
          <w:rPr>
            <w:noProof/>
            <w:webHidden/>
          </w:rPr>
        </w:r>
        <w:r>
          <w:rPr>
            <w:noProof/>
            <w:webHidden/>
          </w:rPr>
          <w:fldChar w:fldCharType="separate"/>
        </w:r>
        <w:r w:rsidR="00BB1275">
          <w:rPr>
            <w:noProof/>
            <w:webHidden/>
          </w:rPr>
          <w:t>20</w:t>
        </w:r>
        <w:r>
          <w:rPr>
            <w:noProof/>
            <w:webHidden/>
          </w:rPr>
          <w:fldChar w:fldCharType="end"/>
        </w:r>
      </w:hyperlink>
    </w:p>
    <w:p w:rsidR="00BB1275" w:rsidRDefault="00984E22">
      <w:pPr>
        <w:pStyle w:val="Obsah3"/>
        <w:rPr>
          <w:rFonts w:asciiTheme="minorHAnsi" w:eastAsiaTheme="minorEastAsia" w:hAnsiTheme="minorHAnsi" w:cstheme="minorBidi"/>
          <w:noProof/>
          <w:sz w:val="22"/>
          <w:szCs w:val="22"/>
        </w:rPr>
      </w:pPr>
      <w:hyperlink w:anchor="_Toc460424379" w:history="1">
        <w:r w:rsidR="00BB1275" w:rsidRPr="007F0A2A">
          <w:rPr>
            <w:rStyle w:val="Hypertextovodkaz"/>
            <w:noProof/>
          </w:rPr>
          <w:t>Prezentace indikátorů</w:t>
        </w:r>
        <w:r w:rsidR="00BB1275">
          <w:rPr>
            <w:noProof/>
            <w:webHidden/>
          </w:rPr>
          <w:tab/>
        </w:r>
        <w:r>
          <w:rPr>
            <w:noProof/>
            <w:webHidden/>
          </w:rPr>
          <w:fldChar w:fldCharType="begin"/>
        </w:r>
        <w:r w:rsidR="00BB1275">
          <w:rPr>
            <w:noProof/>
            <w:webHidden/>
          </w:rPr>
          <w:instrText xml:space="preserve"> PAGEREF _Toc460424379 \h </w:instrText>
        </w:r>
        <w:r>
          <w:rPr>
            <w:noProof/>
            <w:webHidden/>
          </w:rPr>
        </w:r>
        <w:r>
          <w:rPr>
            <w:noProof/>
            <w:webHidden/>
          </w:rPr>
          <w:fldChar w:fldCharType="separate"/>
        </w:r>
        <w:r w:rsidR="00BB1275">
          <w:rPr>
            <w:noProof/>
            <w:webHidden/>
          </w:rPr>
          <w:t>20</w:t>
        </w:r>
        <w:r>
          <w:rPr>
            <w:noProof/>
            <w:webHidden/>
          </w:rPr>
          <w:fldChar w:fldCharType="end"/>
        </w:r>
      </w:hyperlink>
    </w:p>
    <w:p w:rsidR="00BB1275" w:rsidRDefault="00984E22">
      <w:pPr>
        <w:pStyle w:val="Obsah3"/>
        <w:rPr>
          <w:rFonts w:asciiTheme="minorHAnsi" w:eastAsiaTheme="minorEastAsia" w:hAnsiTheme="minorHAnsi" w:cstheme="minorBidi"/>
          <w:noProof/>
          <w:sz w:val="22"/>
          <w:szCs w:val="22"/>
        </w:rPr>
      </w:pPr>
      <w:hyperlink w:anchor="_Toc460424380" w:history="1">
        <w:r w:rsidR="00BB1275" w:rsidRPr="007F0A2A">
          <w:rPr>
            <w:rStyle w:val="Hypertextovodkaz"/>
            <w:noProof/>
          </w:rPr>
          <w:t>Shrnutí</w:t>
        </w:r>
        <w:r w:rsidR="00BB1275">
          <w:rPr>
            <w:noProof/>
            <w:webHidden/>
          </w:rPr>
          <w:tab/>
        </w:r>
        <w:r>
          <w:rPr>
            <w:noProof/>
            <w:webHidden/>
          </w:rPr>
          <w:fldChar w:fldCharType="begin"/>
        </w:r>
        <w:r w:rsidR="00BB1275">
          <w:rPr>
            <w:noProof/>
            <w:webHidden/>
          </w:rPr>
          <w:instrText xml:space="preserve"> PAGEREF _Toc460424380 \h </w:instrText>
        </w:r>
        <w:r>
          <w:rPr>
            <w:noProof/>
            <w:webHidden/>
          </w:rPr>
        </w:r>
        <w:r>
          <w:rPr>
            <w:noProof/>
            <w:webHidden/>
          </w:rPr>
          <w:fldChar w:fldCharType="separate"/>
        </w:r>
        <w:r w:rsidR="00BB1275">
          <w:rPr>
            <w:noProof/>
            <w:webHidden/>
          </w:rPr>
          <w:t>25</w:t>
        </w:r>
        <w:r>
          <w:rPr>
            <w:noProof/>
            <w:webHidden/>
          </w:rPr>
          <w:fldChar w:fldCharType="end"/>
        </w:r>
      </w:hyperlink>
    </w:p>
    <w:p w:rsidR="00BB1275" w:rsidRDefault="00984E22">
      <w:pPr>
        <w:pStyle w:val="Obsah2"/>
        <w:rPr>
          <w:rFonts w:asciiTheme="minorHAnsi" w:eastAsiaTheme="minorEastAsia" w:hAnsiTheme="minorHAnsi" w:cstheme="minorBidi"/>
          <w:noProof/>
          <w:sz w:val="22"/>
          <w:szCs w:val="22"/>
        </w:rPr>
      </w:pPr>
      <w:hyperlink w:anchor="_Toc460424381" w:history="1">
        <w:r w:rsidR="00BB1275" w:rsidRPr="007F0A2A">
          <w:rPr>
            <w:rStyle w:val="Hypertextovodkaz"/>
            <w:rFonts w:cs="Arial"/>
            <w:noProof/>
          </w:rPr>
          <w:t>Podíl veřejných a soukromých výdajů ve vzdělávání</w:t>
        </w:r>
        <w:r w:rsidR="00BB1275">
          <w:rPr>
            <w:noProof/>
            <w:webHidden/>
          </w:rPr>
          <w:tab/>
        </w:r>
        <w:r>
          <w:rPr>
            <w:noProof/>
            <w:webHidden/>
          </w:rPr>
          <w:fldChar w:fldCharType="begin"/>
        </w:r>
        <w:r w:rsidR="00BB1275">
          <w:rPr>
            <w:noProof/>
            <w:webHidden/>
          </w:rPr>
          <w:instrText xml:space="preserve"> PAGEREF _Toc460424381 \h </w:instrText>
        </w:r>
        <w:r>
          <w:rPr>
            <w:noProof/>
            <w:webHidden/>
          </w:rPr>
        </w:r>
        <w:r>
          <w:rPr>
            <w:noProof/>
            <w:webHidden/>
          </w:rPr>
          <w:fldChar w:fldCharType="separate"/>
        </w:r>
        <w:r w:rsidR="00BB1275">
          <w:rPr>
            <w:noProof/>
            <w:webHidden/>
          </w:rPr>
          <w:t>25</w:t>
        </w:r>
        <w:r>
          <w:rPr>
            <w:noProof/>
            <w:webHidden/>
          </w:rPr>
          <w:fldChar w:fldCharType="end"/>
        </w:r>
      </w:hyperlink>
    </w:p>
    <w:p w:rsidR="00BB1275" w:rsidRDefault="00984E22">
      <w:pPr>
        <w:pStyle w:val="Obsah3"/>
        <w:rPr>
          <w:rFonts w:asciiTheme="minorHAnsi" w:eastAsiaTheme="minorEastAsia" w:hAnsiTheme="minorHAnsi" w:cstheme="minorBidi"/>
          <w:noProof/>
          <w:sz w:val="22"/>
          <w:szCs w:val="22"/>
        </w:rPr>
      </w:pPr>
      <w:hyperlink w:anchor="_Toc460424382" w:history="1">
        <w:r w:rsidR="00BB1275" w:rsidRPr="007F0A2A">
          <w:rPr>
            <w:rStyle w:val="Hypertextovodkaz"/>
            <w:noProof/>
          </w:rPr>
          <w:t>Úvod</w:t>
        </w:r>
        <w:r w:rsidR="00BB1275">
          <w:rPr>
            <w:noProof/>
            <w:webHidden/>
          </w:rPr>
          <w:tab/>
        </w:r>
        <w:r>
          <w:rPr>
            <w:noProof/>
            <w:webHidden/>
          </w:rPr>
          <w:fldChar w:fldCharType="begin"/>
        </w:r>
        <w:r w:rsidR="00BB1275">
          <w:rPr>
            <w:noProof/>
            <w:webHidden/>
          </w:rPr>
          <w:instrText xml:space="preserve"> PAGEREF _Toc460424382 \h </w:instrText>
        </w:r>
        <w:r>
          <w:rPr>
            <w:noProof/>
            <w:webHidden/>
          </w:rPr>
        </w:r>
        <w:r>
          <w:rPr>
            <w:noProof/>
            <w:webHidden/>
          </w:rPr>
          <w:fldChar w:fldCharType="separate"/>
        </w:r>
        <w:r w:rsidR="00BB1275">
          <w:rPr>
            <w:noProof/>
            <w:webHidden/>
          </w:rPr>
          <w:t>25</w:t>
        </w:r>
        <w:r>
          <w:rPr>
            <w:noProof/>
            <w:webHidden/>
          </w:rPr>
          <w:fldChar w:fldCharType="end"/>
        </w:r>
      </w:hyperlink>
    </w:p>
    <w:p w:rsidR="00BB1275" w:rsidRDefault="00984E22">
      <w:pPr>
        <w:pStyle w:val="Obsah3"/>
        <w:rPr>
          <w:rFonts w:asciiTheme="minorHAnsi" w:eastAsiaTheme="minorEastAsia" w:hAnsiTheme="minorHAnsi" w:cstheme="minorBidi"/>
          <w:noProof/>
          <w:sz w:val="22"/>
          <w:szCs w:val="22"/>
        </w:rPr>
      </w:pPr>
      <w:hyperlink w:anchor="_Toc460424383" w:history="1">
        <w:r w:rsidR="00BB1275" w:rsidRPr="007F0A2A">
          <w:rPr>
            <w:rStyle w:val="Hypertextovodkaz"/>
            <w:noProof/>
          </w:rPr>
          <w:t>Prezentace indikátorů</w:t>
        </w:r>
        <w:r w:rsidR="00BB1275">
          <w:rPr>
            <w:noProof/>
            <w:webHidden/>
          </w:rPr>
          <w:tab/>
        </w:r>
        <w:r>
          <w:rPr>
            <w:noProof/>
            <w:webHidden/>
          </w:rPr>
          <w:fldChar w:fldCharType="begin"/>
        </w:r>
        <w:r w:rsidR="00BB1275">
          <w:rPr>
            <w:noProof/>
            <w:webHidden/>
          </w:rPr>
          <w:instrText xml:space="preserve"> PAGEREF _Toc460424383 \h </w:instrText>
        </w:r>
        <w:r>
          <w:rPr>
            <w:noProof/>
            <w:webHidden/>
          </w:rPr>
        </w:r>
        <w:r>
          <w:rPr>
            <w:noProof/>
            <w:webHidden/>
          </w:rPr>
          <w:fldChar w:fldCharType="separate"/>
        </w:r>
        <w:r w:rsidR="00BB1275">
          <w:rPr>
            <w:noProof/>
            <w:webHidden/>
          </w:rPr>
          <w:t>26</w:t>
        </w:r>
        <w:r>
          <w:rPr>
            <w:noProof/>
            <w:webHidden/>
          </w:rPr>
          <w:fldChar w:fldCharType="end"/>
        </w:r>
      </w:hyperlink>
    </w:p>
    <w:p w:rsidR="00BB1275" w:rsidRDefault="00984E22">
      <w:pPr>
        <w:pStyle w:val="Obsah3"/>
        <w:rPr>
          <w:rFonts w:asciiTheme="minorHAnsi" w:eastAsiaTheme="minorEastAsia" w:hAnsiTheme="minorHAnsi" w:cstheme="minorBidi"/>
          <w:noProof/>
          <w:sz w:val="22"/>
          <w:szCs w:val="22"/>
        </w:rPr>
      </w:pPr>
      <w:hyperlink w:anchor="_Toc460424384" w:history="1">
        <w:r w:rsidR="00BB1275" w:rsidRPr="007F0A2A">
          <w:rPr>
            <w:rStyle w:val="Hypertextovodkaz"/>
            <w:noProof/>
          </w:rPr>
          <w:t>Shrnutí</w:t>
        </w:r>
        <w:r w:rsidR="00BB1275">
          <w:rPr>
            <w:noProof/>
            <w:webHidden/>
          </w:rPr>
          <w:tab/>
        </w:r>
        <w:r>
          <w:rPr>
            <w:noProof/>
            <w:webHidden/>
          </w:rPr>
          <w:fldChar w:fldCharType="begin"/>
        </w:r>
        <w:r w:rsidR="00BB1275">
          <w:rPr>
            <w:noProof/>
            <w:webHidden/>
          </w:rPr>
          <w:instrText xml:space="preserve"> PAGEREF _Toc460424384 \h </w:instrText>
        </w:r>
        <w:r>
          <w:rPr>
            <w:noProof/>
            <w:webHidden/>
          </w:rPr>
        </w:r>
        <w:r>
          <w:rPr>
            <w:noProof/>
            <w:webHidden/>
          </w:rPr>
          <w:fldChar w:fldCharType="separate"/>
        </w:r>
        <w:r w:rsidR="00BB1275">
          <w:rPr>
            <w:noProof/>
            <w:webHidden/>
          </w:rPr>
          <w:t>29</w:t>
        </w:r>
        <w:r>
          <w:rPr>
            <w:noProof/>
            <w:webHidden/>
          </w:rPr>
          <w:fldChar w:fldCharType="end"/>
        </w:r>
      </w:hyperlink>
    </w:p>
    <w:p w:rsidR="00BB1275" w:rsidRDefault="00984E22">
      <w:pPr>
        <w:pStyle w:val="Obsah2"/>
        <w:rPr>
          <w:rFonts w:asciiTheme="minorHAnsi" w:eastAsiaTheme="minorEastAsia" w:hAnsiTheme="minorHAnsi" w:cstheme="minorBidi"/>
          <w:noProof/>
          <w:sz w:val="22"/>
          <w:szCs w:val="22"/>
        </w:rPr>
      </w:pPr>
      <w:hyperlink w:anchor="_Toc460424385" w:history="1">
        <w:r w:rsidR="00BB1275" w:rsidRPr="007F0A2A">
          <w:rPr>
            <w:rStyle w:val="Hypertextovodkaz"/>
            <w:rFonts w:cs="Arial"/>
            <w:noProof/>
          </w:rPr>
          <w:t>Výdaje v dělení dle určení na vlastní vyučovací proces, doprovodné služby a výzkum a vývoj</w:t>
        </w:r>
        <w:r w:rsidR="00BB1275">
          <w:rPr>
            <w:noProof/>
            <w:webHidden/>
          </w:rPr>
          <w:tab/>
        </w:r>
        <w:r>
          <w:rPr>
            <w:noProof/>
            <w:webHidden/>
          </w:rPr>
          <w:fldChar w:fldCharType="begin"/>
        </w:r>
        <w:r w:rsidR="00BB1275">
          <w:rPr>
            <w:noProof/>
            <w:webHidden/>
          </w:rPr>
          <w:instrText xml:space="preserve"> PAGEREF _Toc460424385 \h </w:instrText>
        </w:r>
        <w:r>
          <w:rPr>
            <w:noProof/>
            <w:webHidden/>
          </w:rPr>
        </w:r>
        <w:r>
          <w:rPr>
            <w:noProof/>
            <w:webHidden/>
          </w:rPr>
          <w:fldChar w:fldCharType="separate"/>
        </w:r>
        <w:r w:rsidR="00BB1275">
          <w:rPr>
            <w:noProof/>
            <w:webHidden/>
          </w:rPr>
          <w:t>30</w:t>
        </w:r>
        <w:r>
          <w:rPr>
            <w:noProof/>
            <w:webHidden/>
          </w:rPr>
          <w:fldChar w:fldCharType="end"/>
        </w:r>
      </w:hyperlink>
    </w:p>
    <w:p w:rsidR="00BB1275" w:rsidRDefault="00984E22">
      <w:pPr>
        <w:pStyle w:val="Obsah3"/>
        <w:rPr>
          <w:rFonts w:asciiTheme="minorHAnsi" w:eastAsiaTheme="minorEastAsia" w:hAnsiTheme="minorHAnsi" w:cstheme="minorBidi"/>
          <w:noProof/>
          <w:sz w:val="22"/>
          <w:szCs w:val="22"/>
        </w:rPr>
      </w:pPr>
      <w:hyperlink w:anchor="_Toc460424386" w:history="1">
        <w:r w:rsidR="00BB1275" w:rsidRPr="007F0A2A">
          <w:rPr>
            <w:rStyle w:val="Hypertextovodkaz"/>
            <w:noProof/>
          </w:rPr>
          <w:t>Úvod</w:t>
        </w:r>
        <w:r w:rsidR="00BB1275">
          <w:rPr>
            <w:noProof/>
            <w:webHidden/>
          </w:rPr>
          <w:tab/>
        </w:r>
        <w:r>
          <w:rPr>
            <w:noProof/>
            <w:webHidden/>
          </w:rPr>
          <w:fldChar w:fldCharType="begin"/>
        </w:r>
        <w:r w:rsidR="00BB1275">
          <w:rPr>
            <w:noProof/>
            <w:webHidden/>
          </w:rPr>
          <w:instrText xml:space="preserve"> PAGEREF _Toc460424386 \h </w:instrText>
        </w:r>
        <w:r>
          <w:rPr>
            <w:noProof/>
            <w:webHidden/>
          </w:rPr>
        </w:r>
        <w:r>
          <w:rPr>
            <w:noProof/>
            <w:webHidden/>
          </w:rPr>
          <w:fldChar w:fldCharType="separate"/>
        </w:r>
        <w:r w:rsidR="00BB1275">
          <w:rPr>
            <w:noProof/>
            <w:webHidden/>
          </w:rPr>
          <w:t>30</w:t>
        </w:r>
        <w:r>
          <w:rPr>
            <w:noProof/>
            <w:webHidden/>
          </w:rPr>
          <w:fldChar w:fldCharType="end"/>
        </w:r>
      </w:hyperlink>
    </w:p>
    <w:p w:rsidR="00BB1275" w:rsidRDefault="00984E22">
      <w:pPr>
        <w:pStyle w:val="Obsah3"/>
        <w:rPr>
          <w:rFonts w:asciiTheme="minorHAnsi" w:eastAsiaTheme="minorEastAsia" w:hAnsiTheme="minorHAnsi" w:cstheme="minorBidi"/>
          <w:noProof/>
          <w:sz w:val="22"/>
          <w:szCs w:val="22"/>
        </w:rPr>
      </w:pPr>
      <w:hyperlink w:anchor="_Toc460424387" w:history="1">
        <w:r w:rsidR="00BB1275" w:rsidRPr="007F0A2A">
          <w:rPr>
            <w:rStyle w:val="Hypertextovodkaz"/>
            <w:noProof/>
          </w:rPr>
          <w:t>Prezentace indikátorů</w:t>
        </w:r>
        <w:r w:rsidR="00BB1275">
          <w:rPr>
            <w:noProof/>
            <w:webHidden/>
          </w:rPr>
          <w:tab/>
        </w:r>
        <w:r>
          <w:rPr>
            <w:noProof/>
            <w:webHidden/>
          </w:rPr>
          <w:fldChar w:fldCharType="begin"/>
        </w:r>
        <w:r w:rsidR="00BB1275">
          <w:rPr>
            <w:noProof/>
            <w:webHidden/>
          </w:rPr>
          <w:instrText xml:space="preserve"> PAGEREF _Toc460424387 \h </w:instrText>
        </w:r>
        <w:r>
          <w:rPr>
            <w:noProof/>
            <w:webHidden/>
          </w:rPr>
        </w:r>
        <w:r>
          <w:rPr>
            <w:noProof/>
            <w:webHidden/>
          </w:rPr>
          <w:fldChar w:fldCharType="separate"/>
        </w:r>
        <w:r w:rsidR="00BB1275">
          <w:rPr>
            <w:noProof/>
            <w:webHidden/>
          </w:rPr>
          <w:t>30</w:t>
        </w:r>
        <w:r>
          <w:rPr>
            <w:noProof/>
            <w:webHidden/>
          </w:rPr>
          <w:fldChar w:fldCharType="end"/>
        </w:r>
      </w:hyperlink>
    </w:p>
    <w:p w:rsidR="00BB1275" w:rsidRDefault="00984E22">
      <w:pPr>
        <w:pStyle w:val="Obsah3"/>
        <w:rPr>
          <w:rFonts w:asciiTheme="minorHAnsi" w:eastAsiaTheme="minorEastAsia" w:hAnsiTheme="minorHAnsi" w:cstheme="minorBidi"/>
          <w:noProof/>
          <w:sz w:val="22"/>
          <w:szCs w:val="22"/>
        </w:rPr>
      </w:pPr>
      <w:hyperlink w:anchor="_Toc460424388" w:history="1">
        <w:r w:rsidR="00BB1275" w:rsidRPr="007F0A2A">
          <w:rPr>
            <w:rStyle w:val="Hypertextovodkaz"/>
            <w:noProof/>
          </w:rPr>
          <w:t>Shrnutí</w:t>
        </w:r>
        <w:r w:rsidR="00BB1275">
          <w:rPr>
            <w:noProof/>
            <w:webHidden/>
          </w:rPr>
          <w:tab/>
        </w:r>
        <w:r>
          <w:rPr>
            <w:noProof/>
            <w:webHidden/>
          </w:rPr>
          <w:fldChar w:fldCharType="begin"/>
        </w:r>
        <w:r w:rsidR="00BB1275">
          <w:rPr>
            <w:noProof/>
            <w:webHidden/>
          </w:rPr>
          <w:instrText xml:space="preserve"> PAGEREF _Toc460424388 \h </w:instrText>
        </w:r>
        <w:r>
          <w:rPr>
            <w:noProof/>
            <w:webHidden/>
          </w:rPr>
        </w:r>
        <w:r>
          <w:rPr>
            <w:noProof/>
            <w:webHidden/>
          </w:rPr>
          <w:fldChar w:fldCharType="separate"/>
        </w:r>
        <w:r w:rsidR="00BB1275">
          <w:rPr>
            <w:noProof/>
            <w:webHidden/>
          </w:rPr>
          <w:t>33</w:t>
        </w:r>
        <w:r>
          <w:rPr>
            <w:noProof/>
            <w:webHidden/>
          </w:rPr>
          <w:fldChar w:fldCharType="end"/>
        </w:r>
      </w:hyperlink>
    </w:p>
    <w:p w:rsidR="00BB1275" w:rsidRDefault="00984E22">
      <w:pPr>
        <w:pStyle w:val="Obsah2"/>
        <w:rPr>
          <w:rFonts w:asciiTheme="minorHAnsi" w:eastAsiaTheme="minorEastAsia" w:hAnsiTheme="minorHAnsi" w:cstheme="minorBidi"/>
          <w:noProof/>
          <w:sz w:val="22"/>
          <w:szCs w:val="22"/>
        </w:rPr>
      </w:pPr>
      <w:hyperlink w:anchor="_Toc460424389" w:history="1">
        <w:r w:rsidR="00BB1275" w:rsidRPr="007F0A2A">
          <w:rPr>
            <w:rStyle w:val="Hypertextovodkaz"/>
            <w:rFonts w:eastAsia="ChaparralPro-Regular" w:cs="Arial"/>
            <w:noProof/>
          </w:rPr>
          <w:t>Běžné a kapitálové výdaje vzdělávacích institucí</w:t>
        </w:r>
        <w:r w:rsidR="00BB1275">
          <w:rPr>
            <w:noProof/>
            <w:webHidden/>
          </w:rPr>
          <w:tab/>
        </w:r>
        <w:r>
          <w:rPr>
            <w:noProof/>
            <w:webHidden/>
          </w:rPr>
          <w:fldChar w:fldCharType="begin"/>
        </w:r>
        <w:r w:rsidR="00BB1275">
          <w:rPr>
            <w:noProof/>
            <w:webHidden/>
          </w:rPr>
          <w:instrText xml:space="preserve"> PAGEREF _Toc460424389 \h </w:instrText>
        </w:r>
        <w:r>
          <w:rPr>
            <w:noProof/>
            <w:webHidden/>
          </w:rPr>
        </w:r>
        <w:r>
          <w:rPr>
            <w:noProof/>
            <w:webHidden/>
          </w:rPr>
          <w:fldChar w:fldCharType="separate"/>
        </w:r>
        <w:r w:rsidR="00BB1275">
          <w:rPr>
            <w:noProof/>
            <w:webHidden/>
          </w:rPr>
          <w:t>33</w:t>
        </w:r>
        <w:r>
          <w:rPr>
            <w:noProof/>
            <w:webHidden/>
          </w:rPr>
          <w:fldChar w:fldCharType="end"/>
        </w:r>
      </w:hyperlink>
    </w:p>
    <w:p w:rsidR="00BB1275" w:rsidRDefault="00984E22">
      <w:pPr>
        <w:pStyle w:val="Obsah3"/>
        <w:rPr>
          <w:rFonts w:asciiTheme="minorHAnsi" w:eastAsiaTheme="minorEastAsia" w:hAnsiTheme="minorHAnsi" w:cstheme="minorBidi"/>
          <w:noProof/>
          <w:sz w:val="22"/>
          <w:szCs w:val="22"/>
        </w:rPr>
      </w:pPr>
      <w:hyperlink w:anchor="_Toc460424390" w:history="1">
        <w:r w:rsidR="00BB1275" w:rsidRPr="007F0A2A">
          <w:rPr>
            <w:rStyle w:val="Hypertextovodkaz"/>
            <w:noProof/>
          </w:rPr>
          <w:t>Úvod</w:t>
        </w:r>
        <w:r w:rsidR="00BB1275">
          <w:rPr>
            <w:noProof/>
            <w:webHidden/>
          </w:rPr>
          <w:tab/>
        </w:r>
        <w:r>
          <w:rPr>
            <w:noProof/>
            <w:webHidden/>
          </w:rPr>
          <w:fldChar w:fldCharType="begin"/>
        </w:r>
        <w:r w:rsidR="00BB1275">
          <w:rPr>
            <w:noProof/>
            <w:webHidden/>
          </w:rPr>
          <w:instrText xml:space="preserve"> PAGEREF _Toc460424390 \h </w:instrText>
        </w:r>
        <w:r>
          <w:rPr>
            <w:noProof/>
            <w:webHidden/>
          </w:rPr>
        </w:r>
        <w:r>
          <w:rPr>
            <w:noProof/>
            <w:webHidden/>
          </w:rPr>
          <w:fldChar w:fldCharType="separate"/>
        </w:r>
        <w:r w:rsidR="00BB1275">
          <w:rPr>
            <w:noProof/>
            <w:webHidden/>
          </w:rPr>
          <w:t>33</w:t>
        </w:r>
        <w:r>
          <w:rPr>
            <w:noProof/>
            <w:webHidden/>
          </w:rPr>
          <w:fldChar w:fldCharType="end"/>
        </w:r>
      </w:hyperlink>
    </w:p>
    <w:p w:rsidR="00BB1275" w:rsidRDefault="00984E22">
      <w:pPr>
        <w:pStyle w:val="Obsah3"/>
        <w:rPr>
          <w:rFonts w:asciiTheme="minorHAnsi" w:eastAsiaTheme="minorEastAsia" w:hAnsiTheme="minorHAnsi" w:cstheme="minorBidi"/>
          <w:noProof/>
          <w:sz w:val="22"/>
          <w:szCs w:val="22"/>
        </w:rPr>
      </w:pPr>
      <w:hyperlink w:anchor="_Toc460424391" w:history="1">
        <w:r w:rsidR="00BB1275" w:rsidRPr="007F0A2A">
          <w:rPr>
            <w:rStyle w:val="Hypertextovodkaz"/>
            <w:noProof/>
          </w:rPr>
          <w:t>Prezentace indikátorů</w:t>
        </w:r>
        <w:r w:rsidR="00BB1275">
          <w:rPr>
            <w:noProof/>
            <w:webHidden/>
          </w:rPr>
          <w:tab/>
        </w:r>
        <w:r>
          <w:rPr>
            <w:noProof/>
            <w:webHidden/>
          </w:rPr>
          <w:fldChar w:fldCharType="begin"/>
        </w:r>
        <w:r w:rsidR="00BB1275">
          <w:rPr>
            <w:noProof/>
            <w:webHidden/>
          </w:rPr>
          <w:instrText xml:space="preserve"> PAGEREF _Toc460424391 \h </w:instrText>
        </w:r>
        <w:r>
          <w:rPr>
            <w:noProof/>
            <w:webHidden/>
          </w:rPr>
        </w:r>
        <w:r>
          <w:rPr>
            <w:noProof/>
            <w:webHidden/>
          </w:rPr>
          <w:fldChar w:fldCharType="separate"/>
        </w:r>
        <w:r w:rsidR="00BB1275">
          <w:rPr>
            <w:noProof/>
            <w:webHidden/>
          </w:rPr>
          <w:t>33</w:t>
        </w:r>
        <w:r>
          <w:rPr>
            <w:noProof/>
            <w:webHidden/>
          </w:rPr>
          <w:fldChar w:fldCharType="end"/>
        </w:r>
      </w:hyperlink>
    </w:p>
    <w:p w:rsidR="00BB1275" w:rsidRDefault="00984E22">
      <w:pPr>
        <w:pStyle w:val="Obsah3"/>
        <w:rPr>
          <w:rFonts w:asciiTheme="minorHAnsi" w:eastAsiaTheme="minorEastAsia" w:hAnsiTheme="minorHAnsi" w:cstheme="minorBidi"/>
          <w:noProof/>
          <w:sz w:val="22"/>
          <w:szCs w:val="22"/>
        </w:rPr>
      </w:pPr>
      <w:hyperlink w:anchor="_Toc460424392" w:history="1">
        <w:r w:rsidR="00BB1275" w:rsidRPr="007F0A2A">
          <w:rPr>
            <w:rStyle w:val="Hypertextovodkaz"/>
            <w:noProof/>
          </w:rPr>
          <w:t>Shrnutí</w:t>
        </w:r>
        <w:r w:rsidR="00BB1275">
          <w:rPr>
            <w:noProof/>
            <w:webHidden/>
          </w:rPr>
          <w:tab/>
        </w:r>
        <w:r>
          <w:rPr>
            <w:noProof/>
            <w:webHidden/>
          </w:rPr>
          <w:fldChar w:fldCharType="begin"/>
        </w:r>
        <w:r w:rsidR="00BB1275">
          <w:rPr>
            <w:noProof/>
            <w:webHidden/>
          </w:rPr>
          <w:instrText xml:space="preserve"> PAGEREF _Toc460424392 \h </w:instrText>
        </w:r>
        <w:r>
          <w:rPr>
            <w:noProof/>
            <w:webHidden/>
          </w:rPr>
        </w:r>
        <w:r>
          <w:rPr>
            <w:noProof/>
            <w:webHidden/>
          </w:rPr>
          <w:fldChar w:fldCharType="separate"/>
        </w:r>
        <w:r w:rsidR="00BB1275">
          <w:rPr>
            <w:noProof/>
            <w:webHidden/>
          </w:rPr>
          <w:t>38</w:t>
        </w:r>
        <w:r>
          <w:rPr>
            <w:noProof/>
            <w:webHidden/>
          </w:rPr>
          <w:fldChar w:fldCharType="end"/>
        </w:r>
      </w:hyperlink>
    </w:p>
    <w:p w:rsidR="00BB1275" w:rsidRDefault="00984E22">
      <w:pPr>
        <w:pStyle w:val="Obsah2"/>
        <w:rPr>
          <w:rFonts w:asciiTheme="minorHAnsi" w:eastAsiaTheme="minorEastAsia" w:hAnsiTheme="minorHAnsi" w:cstheme="minorBidi"/>
          <w:noProof/>
          <w:sz w:val="22"/>
          <w:szCs w:val="22"/>
        </w:rPr>
      </w:pPr>
      <w:hyperlink w:anchor="_Toc460424393" w:history="1">
        <w:r w:rsidR="00BB1275" w:rsidRPr="007F0A2A">
          <w:rPr>
            <w:rStyle w:val="Hypertextovodkaz"/>
            <w:rFonts w:eastAsia="ChaparralPro-Regular" w:cs="Arial"/>
            <w:noProof/>
          </w:rPr>
          <w:t>Mzdy ve vzdělávání a výše platů učitelů na jednoho žáka dle úrovně vzdělávání</w:t>
        </w:r>
        <w:r w:rsidR="00BB1275">
          <w:rPr>
            <w:noProof/>
            <w:webHidden/>
          </w:rPr>
          <w:tab/>
        </w:r>
        <w:r>
          <w:rPr>
            <w:noProof/>
            <w:webHidden/>
          </w:rPr>
          <w:fldChar w:fldCharType="begin"/>
        </w:r>
        <w:r w:rsidR="00BB1275">
          <w:rPr>
            <w:noProof/>
            <w:webHidden/>
          </w:rPr>
          <w:instrText xml:space="preserve"> PAGEREF _Toc460424393 \h </w:instrText>
        </w:r>
        <w:r>
          <w:rPr>
            <w:noProof/>
            <w:webHidden/>
          </w:rPr>
        </w:r>
        <w:r>
          <w:rPr>
            <w:noProof/>
            <w:webHidden/>
          </w:rPr>
          <w:fldChar w:fldCharType="separate"/>
        </w:r>
        <w:r w:rsidR="00BB1275">
          <w:rPr>
            <w:noProof/>
            <w:webHidden/>
          </w:rPr>
          <w:t>39</w:t>
        </w:r>
        <w:r>
          <w:rPr>
            <w:noProof/>
            <w:webHidden/>
          </w:rPr>
          <w:fldChar w:fldCharType="end"/>
        </w:r>
      </w:hyperlink>
    </w:p>
    <w:p w:rsidR="00BB1275" w:rsidRDefault="00984E22">
      <w:pPr>
        <w:pStyle w:val="Obsah3"/>
        <w:rPr>
          <w:rFonts w:asciiTheme="minorHAnsi" w:eastAsiaTheme="minorEastAsia" w:hAnsiTheme="minorHAnsi" w:cstheme="minorBidi"/>
          <w:noProof/>
          <w:sz w:val="22"/>
          <w:szCs w:val="22"/>
        </w:rPr>
      </w:pPr>
      <w:hyperlink w:anchor="_Toc460424394" w:history="1">
        <w:r w:rsidR="00BB1275" w:rsidRPr="007F0A2A">
          <w:rPr>
            <w:rStyle w:val="Hypertextovodkaz"/>
            <w:noProof/>
          </w:rPr>
          <w:t>Úvod</w:t>
        </w:r>
        <w:r w:rsidR="00BB1275">
          <w:rPr>
            <w:noProof/>
            <w:webHidden/>
          </w:rPr>
          <w:tab/>
        </w:r>
        <w:r>
          <w:rPr>
            <w:noProof/>
            <w:webHidden/>
          </w:rPr>
          <w:fldChar w:fldCharType="begin"/>
        </w:r>
        <w:r w:rsidR="00BB1275">
          <w:rPr>
            <w:noProof/>
            <w:webHidden/>
          </w:rPr>
          <w:instrText xml:space="preserve"> PAGEREF _Toc460424394 \h </w:instrText>
        </w:r>
        <w:r>
          <w:rPr>
            <w:noProof/>
            <w:webHidden/>
          </w:rPr>
        </w:r>
        <w:r>
          <w:rPr>
            <w:noProof/>
            <w:webHidden/>
          </w:rPr>
          <w:fldChar w:fldCharType="separate"/>
        </w:r>
        <w:r w:rsidR="00BB1275">
          <w:rPr>
            <w:noProof/>
            <w:webHidden/>
          </w:rPr>
          <w:t>39</w:t>
        </w:r>
        <w:r>
          <w:rPr>
            <w:noProof/>
            <w:webHidden/>
          </w:rPr>
          <w:fldChar w:fldCharType="end"/>
        </w:r>
      </w:hyperlink>
    </w:p>
    <w:p w:rsidR="00BB1275" w:rsidRDefault="00984E22">
      <w:pPr>
        <w:pStyle w:val="Obsah3"/>
        <w:rPr>
          <w:rFonts w:asciiTheme="minorHAnsi" w:eastAsiaTheme="minorEastAsia" w:hAnsiTheme="minorHAnsi" w:cstheme="minorBidi"/>
          <w:noProof/>
          <w:sz w:val="22"/>
          <w:szCs w:val="22"/>
        </w:rPr>
      </w:pPr>
      <w:hyperlink w:anchor="_Toc460424395" w:history="1">
        <w:r w:rsidR="00BB1275" w:rsidRPr="007F0A2A">
          <w:rPr>
            <w:rStyle w:val="Hypertextovodkaz"/>
            <w:noProof/>
          </w:rPr>
          <w:t>Prezentace indikátorů</w:t>
        </w:r>
        <w:r w:rsidR="00BB1275">
          <w:rPr>
            <w:noProof/>
            <w:webHidden/>
          </w:rPr>
          <w:tab/>
        </w:r>
        <w:r>
          <w:rPr>
            <w:noProof/>
            <w:webHidden/>
          </w:rPr>
          <w:fldChar w:fldCharType="begin"/>
        </w:r>
        <w:r w:rsidR="00BB1275">
          <w:rPr>
            <w:noProof/>
            <w:webHidden/>
          </w:rPr>
          <w:instrText xml:space="preserve"> PAGEREF _Toc460424395 \h </w:instrText>
        </w:r>
        <w:r>
          <w:rPr>
            <w:noProof/>
            <w:webHidden/>
          </w:rPr>
        </w:r>
        <w:r>
          <w:rPr>
            <w:noProof/>
            <w:webHidden/>
          </w:rPr>
          <w:fldChar w:fldCharType="separate"/>
        </w:r>
        <w:r w:rsidR="00BB1275">
          <w:rPr>
            <w:noProof/>
            <w:webHidden/>
          </w:rPr>
          <w:t>39</w:t>
        </w:r>
        <w:r>
          <w:rPr>
            <w:noProof/>
            <w:webHidden/>
          </w:rPr>
          <w:fldChar w:fldCharType="end"/>
        </w:r>
      </w:hyperlink>
    </w:p>
    <w:p w:rsidR="00BB1275" w:rsidRDefault="00984E22">
      <w:pPr>
        <w:pStyle w:val="Obsah3"/>
        <w:rPr>
          <w:rFonts w:asciiTheme="minorHAnsi" w:eastAsiaTheme="minorEastAsia" w:hAnsiTheme="minorHAnsi" w:cstheme="minorBidi"/>
          <w:noProof/>
          <w:sz w:val="22"/>
          <w:szCs w:val="22"/>
        </w:rPr>
      </w:pPr>
      <w:hyperlink w:anchor="_Toc460424396" w:history="1">
        <w:r w:rsidR="00BB1275" w:rsidRPr="007F0A2A">
          <w:rPr>
            <w:rStyle w:val="Hypertextovodkaz"/>
            <w:noProof/>
          </w:rPr>
          <w:t>Shrnutí</w:t>
        </w:r>
        <w:r w:rsidR="00BB1275">
          <w:rPr>
            <w:noProof/>
            <w:webHidden/>
          </w:rPr>
          <w:tab/>
        </w:r>
        <w:r>
          <w:rPr>
            <w:noProof/>
            <w:webHidden/>
          </w:rPr>
          <w:fldChar w:fldCharType="begin"/>
        </w:r>
        <w:r w:rsidR="00BB1275">
          <w:rPr>
            <w:noProof/>
            <w:webHidden/>
          </w:rPr>
          <w:instrText xml:space="preserve"> PAGEREF _Toc460424396 \h </w:instrText>
        </w:r>
        <w:r>
          <w:rPr>
            <w:noProof/>
            <w:webHidden/>
          </w:rPr>
        </w:r>
        <w:r>
          <w:rPr>
            <w:noProof/>
            <w:webHidden/>
          </w:rPr>
          <w:fldChar w:fldCharType="separate"/>
        </w:r>
        <w:r w:rsidR="00BB1275">
          <w:rPr>
            <w:noProof/>
            <w:webHidden/>
          </w:rPr>
          <w:t>54</w:t>
        </w:r>
        <w:r>
          <w:rPr>
            <w:noProof/>
            <w:webHidden/>
          </w:rPr>
          <w:fldChar w:fldCharType="end"/>
        </w:r>
      </w:hyperlink>
    </w:p>
    <w:p w:rsidR="00BB1275" w:rsidRDefault="00984E22">
      <w:pPr>
        <w:pStyle w:val="Obsah2"/>
        <w:rPr>
          <w:rFonts w:asciiTheme="minorHAnsi" w:eastAsiaTheme="minorEastAsia" w:hAnsiTheme="minorHAnsi" w:cstheme="minorBidi"/>
          <w:noProof/>
          <w:sz w:val="22"/>
          <w:szCs w:val="22"/>
        </w:rPr>
      </w:pPr>
      <w:hyperlink w:anchor="_Toc460424397" w:history="1">
        <w:r w:rsidR="00BB1275" w:rsidRPr="007F0A2A">
          <w:rPr>
            <w:rStyle w:val="Hypertextovodkaz"/>
            <w:rFonts w:eastAsia="ChaparralPro-Regular" w:cs="Arial"/>
            <w:noProof/>
          </w:rPr>
          <w:t>Finanční výhodnost investice do vzdělávání</w:t>
        </w:r>
        <w:r w:rsidR="00BB1275">
          <w:rPr>
            <w:noProof/>
            <w:webHidden/>
          </w:rPr>
          <w:tab/>
        </w:r>
        <w:r>
          <w:rPr>
            <w:noProof/>
            <w:webHidden/>
          </w:rPr>
          <w:fldChar w:fldCharType="begin"/>
        </w:r>
        <w:r w:rsidR="00BB1275">
          <w:rPr>
            <w:noProof/>
            <w:webHidden/>
          </w:rPr>
          <w:instrText xml:space="preserve"> PAGEREF _Toc460424397 \h </w:instrText>
        </w:r>
        <w:r>
          <w:rPr>
            <w:noProof/>
            <w:webHidden/>
          </w:rPr>
        </w:r>
        <w:r>
          <w:rPr>
            <w:noProof/>
            <w:webHidden/>
          </w:rPr>
          <w:fldChar w:fldCharType="separate"/>
        </w:r>
        <w:r w:rsidR="00BB1275">
          <w:rPr>
            <w:noProof/>
            <w:webHidden/>
          </w:rPr>
          <w:t>55</w:t>
        </w:r>
        <w:r>
          <w:rPr>
            <w:noProof/>
            <w:webHidden/>
          </w:rPr>
          <w:fldChar w:fldCharType="end"/>
        </w:r>
      </w:hyperlink>
    </w:p>
    <w:p w:rsidR="00BB1275" w:rsidRDefault="00984E22">
      <w:pPr>
        <w:pStyle w:val="Obsah3"/>
        <w:rPr>
          <w:rFonts w:asciiTheme="minorHAnsi" w:eastAsiaTheme="minorEastAsia" w:hAnsiTheme="minorHAnsi" w:cstheme="minorBidi"/>
          <w:noProof/>
          <w:sz w:val="22"/>
          <w:szCs w:val="22"/>
        </w:rPr>
      </w:pPr>
      <w:hyperlink w:anchor="_Toc460424398" w:history="1">
        <w:r w:rsidR="00BB1275" w:rsidRPr="007F0A2A">
          <w:rPr>
            <w:rStyle w:val="Hypertextovodkaz"/>
            <w:noProof/>
          </w:rPr>
          <w:t>Úvod</w:t>
        </w:r>
        <w:r w:rsidR="00BB1275">
          <w:rPr>
            <w:noProof/>
            <w:webHidden/>
          </w:rPr>
          <w:tab/>
        </w:r>
        <w:r>
          <w:rPr>
            <w:noProof/>
            <w:webHidden/>
          </w:rPr>
          <w:fldChar w:fldCharType="begin"/>
        </w:r>
        <w:r w:rsidR="00BB1275">
          <w:rPr>
            <w:noProof/>
            <w:webHidden/>
          </w:rPr>
          <w:instrText xml:space="preserve"> PAGEREF _Toc460424398 \h </w:instrText>
        </w:r>
        <w:r>
          <w:rPr>
            <w:noProof/>
            <w:webHidden/>
          </w:rPr>
        </w:r>
        <w:r>
          <w:rPr>
            <w:noProof/>
            <w:webHidden/>
          </w:rPr>
          <w:fldChar w:fldCharType="separate"/>
        </w:r>
        <w:r w:rsidR="00BB1275">
          <w:rPr>
            <w:noProof/>
            <w:webHidden/>
          </w:rPr>
          <w:t>55</w:t>
        </w:r>
        <w:r>
          <w:rPr>
            <w:noProof/>
            <w:webHidden/>
          </w:rPr>
          <w:fldChar w:fldCharType="end"/>
        </w:r>
      </w:hyperlink>
    </w:p>
    <w:p w:rsidR="00BB1275" w:rsidRDefault="00984E22">
      <w:pPr>
        <w:pStyle w:val="Obsah3"/>
        <w:rPr>
          <w:rFonts w:asciiTheme="minorHAnsi" w:eastAsiaTheme="minorEastAsia" w:hAnsiTheme="minorHAnsi" w:cstheme="minorBidi"/>
          <w:noProof/>
          <w:sz w:val="22"/>
          <w:szCs w:val="22"/>
        </w:rPr>
      </w:pPr>
      <w:hyperlink w:anchor="_Toc460424399" w:history="1">
        <w:r w:rsidR="00BB1275" w:rsidRPr="007F0A2A">
          <w:rPr>
            <w:rStyle w:val="Hypertextovodkaz"/>
            <w:noProof/>
          </w:rPr>
          <w:t>Prezentace indikátorů</w:t>
        </w:r>
        <w:r w:rsidR="00BB1275">
          <w:rPr>
            <w:noProof/>
            <w:webHidden/>
          </w:rPr>
          <w:tab/>
        </w:r>
        <w:r>
          <w:rPr>
            <w:noProof/>
            <w:webHidden/>
          </w:rPr>
          <w:fldChar w:fldCharType="begin"/>
        </w:r>
        <w:r w:rsidR="00BB1275">
          <w:rPr>
            <w:noProof/>
            <w:webHidden/>
          </w:rPr>
          <w:instrText xml:space="preserve"> PAGEREF _Toc460424399 \h </w:instrText>
        </w:r>
        <w:r>
          <w:rPr>
            <w:noProof/>
            <w:webHidden/>
          </w:rPr>
        </w:r>
        <w:r>
          <w:rPr>
            <w:noProof/>
            <w:webHidden/>
          </w:rPr>
          <w:fldChar w:fldCharType="separate"/>
        </w:r>
        <w:r w:rsidR="00BB1275">
          <w:rPr>
            <w:noProof/>
            <w:webHidden/>
          </w:rPr>
          <w:t>56</w:t>
        </w:r>
        <w:r>
          <w:rPr>
            <w:noProof/>
            <w:webHidden/>
          </w:rPr>
          <w:fldChar w:fldCharType="end"/>
        </w:r>
      </w:hyperlink>
    </w:p>
    <w:p w:rsidR="00BB1275" w:rsidRDefault="00984E22">
      <w:pPr>
        <w:pStyle w:val="Obsah3"/>
        <w:rPr>
          <w:rFonts w:asciiTheme="minorHAnsi" w:eastAsiaTheme="minorEastAsia" w:hAnsiTheme="minorHAnsi" w:cstheme="minorBidi"/>
          <w:noProof/>
          <w:sz w:val="22"/>
          <w:szCs w:val="22"/>
        </w:rPr>
      </w:pPr>
      <w:hyperlink w:anchor="_Toc460424400" w:history="1">
        <w:r w:rsidR="00BB1275" w:rsidRPr="007F0A2A">
          <w:rPr>
            <w:rStyle w:val="Hypertextovodkaz"/>
            <w:noProof/>
          </w:rPr>
          <w:t>Shrnutí</w:t>
        </w:r>
        <w:r w:rsidR="00BB1275">
          <w:rPr>
            <w:noProof/>
            <w:webHidden/>
          </w:rPr>
          <w:tab/>
        </w:r>
        <w:r>
          <w:rPr>
            <w:noProof/>
            <w:webHidden/>
          </w:rPr>
          <w:fldChar w:fldCharType="begin"/>
        </w:r>
        <w:r w:rsidR="00BB1275">
          <w:rPr>
            <w:noProof/>
            <w:webHidden/>
          </w:rPr>
          <w:instrText xml:space="preserve"> PAGEREF _Toc460424400 \h </w:instrText>
        </w:r>
        <w:r>
          <w:rPr>
            <w:noProof/>
            <w:webHidden/>
          </w:rPr>
        </w:r>
        <w:r>
          <w:rPr>
            <w:noProof/>
            <w:webHidden/>
          </w:rPr>
          <w:fldChar w:fldCharType="separate"/>
        </w:r>
        <w:r w:rsidR="00BB1275">
          <w:rPr>
            <w:noProof/>
            <w:webHidden/>
          </w:rPr>
          <w:t>63</w:t>
        </w:r>
        <w:r>
          <w:rPr>
            <w:noProof/>
            <w:webHidden/>
          </w:rPr>
          <w:fldChar w:fldCharType="end"/>
        </w:r>
      </w:hyperlink>
    </w:p>
    <w:p w:rsidR="00BB1275" w:rsidRDefault="00984E22">
      <w:pPr>
        <w:pStyle w:val="Obsah2"/>
        <w:rPr>
          <w:rFonts w:asciiTheme="minorHAnsi" w:eastAsiaTheme="minorEastAsia" w:hAnsiTheme="minorHAnsi" w:cstheme="minorBidi"/>
          <w:noProof/>
          <w:sz w:val="22"/>
          <w:szCs w:val="22"/>
        </w:rPr>
      </w:pPr>
      <w:hyperlink w:anchor="_Toc460424401" w:history="1">
        <w:r w:rsidR="00BB1275" w:rsidRPr="007F0A2A">
          <w:rPr>
            <w:rStyle w:val="Hypertextovodkaz"/>
            <w:noProof/>
          </w:rPr>
          <w:t>Závěrečné shrnutí a diskuze</w:t>
        </w:r>
        <w:r w:rsidR="00BB1275">
          <w:rPr>
            <w:noProof/>
            <w:webHidden/>
          </w:rPr>
          <w:tab/>
        </w:r>
        <w:r>
          <w:rPr>
            <w:noProof/>
            <w:webHidden/>
          </w:rPr>
          <w:fldChar w:fldCharType="begin"/>
        </w:r>
        <w:r w:rsidR="00BB1275">
          <w:rPr>
            <w:noProof/>
            <w:webHidden/>
          </w:rPr>
          <w:instrText xml:space="preserve"> PAGEREF _Toc460424401 \h </w:instrText>
        </w:r>
        <w:r>
          <w:rPr>
            <w:noProof/>
            <w:webHidden/>
          </w:rPr>
        </w:r>
        <w:r>
          <w:rPr>
            <w:noProof/>
            <w:webHidden/>
          </w:rPr>
          <w:fldChar w:fldCharType="separate"/>
        </w:r>
        <w:r w:rsidR="00BB1275">
          <w:rPr>
            <w:noProof/>
            <w:webHidden/>
          </w:rPr>
          <w:t>64</w:t>
        </w:r>
        <w:r>
          <w:rPr>
            <w:noProof/>
            <w:webHidden/>
          </w:rPr>
          <w:fldChar w:fldCharType="end"/>
        </w:r>
      </w:hyperlink>
    </w:p>
    <w:p w:rsidR="00BB1275" w:rsidRDefault="00984E22">
      <w:pPr>
        <w:pStyle w:val="Obsah2"/>
        <w:rPr>
          <w:rFonts w:asciiTheme="minorHAnsi" w:eastAsiaTheme="minorEastAsia" w:hAnsiTheme="minorHAnsi" w:cstheme="minorBidi"/>
          <w:noProof/>
          <w:sz w:val="22"/>
          <w:szCs w:val="22"/>
        </w:rPr>
      </w:pPr>
      <w:hyperlink w:anchor="_Toc460424402" w:history="1">
        <w:r w:rsidR="00BB1275" w:rsidRPr="007F0A2A">
          <w:rPr>
            <w:rStyle w:val="Hypertextovodkaz"/>
            <w:noProof/>
          </w:rPr>
          <w:t>Seznam odkazovaných pramenů</w:t>
        </w:r>
        <w:r w:rsidR="00BB1275">
          <w:rPr>
            <w:noProof/>
            <w:webHidden/>
          </w:rPr>
          <w:tab/>
        </w:r>
        <w:r>
          <w:rPr>
            <w:noProof/>
            <w:webHidden/>
          </w:rPr>
          <w:fldChar w:fldCharType="begin"/>
        </w:r>
        <w:r w:rsidR="00BB1275">
          <w:rPr>
            <w:noProof/>
            <w:webHidden/>
          </w:rPr>
          <w:instrText xml:space="preserve"> PAGEREF _Toc460424402 \h </w:instrText>
        </w:r>
        <w:r>
          <w:rPr>
            <w:noProof/>
            <w:webHidden/>
          </w:rPr>
        </w:r>
        <w:r>
          <w:rPr>
            <w:noProof/>
            <w:webHidden/>
          </w:rPr>
          <w:fldChar w:fldCharType="separate"/>
        </w:r>
        <w:r w:rsidR="00BB1275">
          <w:rPr>
            <w:noProof/>
            <w:webHidden/>
          </w:rPr>
          <w:t>68</w:t>
        </w:r>
        <w:r>
          <w:rPr>
            <w:noProof/>
            <w:webHidden/>
          </w:rPr>
          <w:fldChar w:fldCharType="end"/>
        </w:r>
      </w:hyperlink>
    </w:p>
    <w:p w:rsidR="00116A1F" w:rsidRDefault="00984E22" w:rsidP="00116A1F">
      <w:r>
        <w:fldChar w:fldCharType="end"/>
      </w:r>
    </w:p>
    <w:p w:rsidR="00116A1F" w:rsidRDefault="00F16324" w:rsidP="00116A1F">
      <w:r>
        <w:br w:type="page"/>
      </w:r>
    </w:p>
    <w:p w:rsidR="00D46D8F" w:rsidRDefault="00D46D8F" w:rsidP="00C32A42">
      <w:pPr>
        <w:pStyle w:val="Nadpis2"/>
      </w:pPr>
      <w:bookmarkStart w:id="2" w:name="_Toc460424370"/>
      <w:r w:rsidRPr="00D46D8F">
        <w:t>Úvod</w:t>
      </w:r>
      <w:bookmarkEnd w:id="2"/>
    </w:p>
    <w:p w:rsidR="005E2A00" w:rsidRPr="005E2A00" w:rsidRDefault="005E2A00" w:rsidP="005E2A00">
      <w:pPr>
        <w:spacing w:after="0" w:line="240" w:lineRule="auto"/>
      </w:pPr>
    </w:p>
    <w:p w:rsidR="000E047F" w:rsidRPr="006D7437" w:rsidRDefault="000E047F" w:rsidP="000E047F">
      <w:pPr>
        <w:spacing w:line="240" w:lineRule="auto"/>
        <w:jc w:val="both"/>
        <w:rPr>
          <w:rFonts w:cs="Arial"/>
        </w:rPr>
      </w:pPr>
      <w:r w:rsidRPr="006D7437">
        <w:rPr>
          <w:rFonts w:cs="Arial"/>
        </w:rPr>
        <w:t>Tato práce si klade za úkol představit čtenářům různé zdroje dat týkajících s</w:t>
      </w:r>
      <w:r w:rsidR="00E52654">
        <w:rPr>
          <w:rFonts w:cs="Arial"/>
        </w:rPr>
        <w:t>e financování vzdělávání v</w:t>
      </w:r>
      <w:r w:rsidR="00DA6881">
        <w:rPr>
          <w:rFonts w:cs="Arial"/>
        </w:rPr>
        <w:t xml:space="preserve"> České republice (dále jen </w:t>
      </w:r>
      <w:r w:rsidR="00E52654">
        <w:rPr>
          <w:rFonts w:cs="Arial"/>
        </w:rPr>
        <w:t>ČR</w:t>
      </w:r>
      <w:r w:rsidR="00DA6881">
        <w:rPr>
          <w:rFonts w:cs="Arial"/>
        </w:rPr>
        <w:t>)</w:t>
      </w:r>
      <w:r w:rsidR="00E52654">
        <w:rPr>
          <w:rFonts w:cs="Arial"/>
        </w:rPr>
        <w:t xml:space="preserve"> a </w:t>
      </w:r>
      <w:r w:rsidR="007D7DB3">
        <w:rPr>
          <w:rFonts w:cs="Arial"/>
        </w:rPr>
        <w:t>také</w:t>
      </w:r>
      <w:r w:rsidRPr="006D7437">
        <w:rPr>
          <w:rFonts w:cs="Arial"/>
        </w:rPr>
        <w:t xml:space="preserve"> některé aktuální publikace a analýzy, zejména ty, které srovnávají situaci v ČR s dalšími zeměmi. Vzhledem k tomu, jaká data jsou k dispozici (resp. na jaká data se již řadu let klade důraz ze strany vzdělávací politiky), zaměří se pouze na formální vzdělává</w:t>
      </w:r>
      <w:r w:rsidR="00497173">
        <w:rPr>
          <w:rFonts w:cs="Arial"/>
        </w:rPr>
        <w:t>ní. Formální vzdělávání</w:t>
      </w:r>
      <w:r w:rsidRPr="006D7437">
        <w:rPr>
          <w:rFonts w:cs="Arial"/>
        </w:rPr>
        <w:t xml:space="preserve"> </w:t>
      </w:r>
      <w:r w:rsidR="00E15F5F">
        <w:rPr>
          <w:rFonts w:cs="Arial"/>
        </w:rPr>
        <w:t>je záměrné, institucionalizované (typickou institucí je škola), legislativně vymezené a zakotvené v národ</w:t>
      </w:r>
      <w:r w:rsidR="0002379B">
        <w:rPr>
          <w:rFonts w:cs="Arial"/>
        </w:rPr>
        <w:t xml:space="preserve">ním kvalifikačním rámci. </w:t>
      </w:r>
      <w:r w:rsidR="00497173">
        <w:rPr>
          <w:rFonts w:cs="Arial"/>
        </w:rPr>
        <w:t>V</w:t>
      </w:r>
      <w:r w:rsidR="0002379B">
        <w:rPr>
          <w:rFonts w:cs="Arial"/>
        </w:rPr>
        <w:t xml:space="preserve">yznačuje </w:t>
      </w:r>
      <w:r w:rsidR="00497173">
        <w:rPr>
          <w:rFonts w:cs="Arial"/>
        </w:rPr>
        <w:t xml:space="preserve">se </w:t>
      </w:r>
      <w:r w:rsidR="0002379B">
        <w:rPr>
          <w:rFonts w:cs="Arial"/>
        </w:rPr>
        <w:t xml:space="preserve">soustavou na sebe navazujících stupňů vzdělávání, přičemž absolventi získávají certifikát, který potvrzuje </w:t>
      </w:r>
      <w:r w:rsidR="00B95C3A">
        <w:rPr>
          <w:rFonts w:cs="Arial"/>
        </w:rPr>
        <w:t xml:space="preserve">dosažení určitého stupně </w:t>
      </w:r>
      <w:r w:rsidR="0002379B">
        <w:rPr>
          <w:rFonts w:cs="Arial"/>
        </w:rPr>
        <w:t>vzdělání.</w:t>
      </w:r>
      <w:r w:rsidR="00B02E8C">
        <w:rPr>
          <w:rFonts w:cs="Arial"/>
        </w:rPr>
        <w:t xml:space="preserve"> Formální vzdělávání může být zaměřeno na určitý obor (tzv. „odborné“ vzdělávání připravující žáky či studenty na určité povolání), nebo může být zaměřeno všeobecně a sloužit především jako příprava na další studium (např. v případě základních škol či gymnázií).</w:t>
      </w:r>
    </w:p>
    <w:p w:rsidR="006D7437" w:rsidRDefault="000E047F" w:rsidP="000E047F">
      <w:pPr>
        <w:spacing w:line="240" w:lineRule="auto"/>
        <w:jc w:val="both"/>
        <w:rPr>
          <w:rFonts w:cs="Arial"/>
        </w:rPr>
      </w:pPr>
      <w:r w:rsidRPr="006D7437">
        <w:rPr>
          <w:rFonts w:cs="Arial"/>
        </w:rPr>
        <w:t>Při čtení této publikace je třeba vzít na vědomí, že indikátory, kterými se sledují finanční toky ve formálním vzdělávání na mezinárodní úrovni, jsou vytvářené podle metodiky, která nemusí zcela vyhovovat požadavkům na sledování stavu a vývoje v ČR (příp. v jiné konk</w:t>
      </w:r>
      <w:r w:rsidR="00E52654">
        <w:rPr>
          <w:rFonts w:cs="Arial"/>
        </w:rPr>
        <w:t>rétní zemi se svými specifiky a </w:t>
      </w:r>
      <w:r w:rsidRPr="006D7437">
        <w:rPr>
          <w:rFonts w:cs="Arial"/>
        </w:rPr>
        <w:t>zvláštnostmi). Metodika pro mezinárodní indikátory je vytvářena tak, aby podávala co nejméně zkreslené srovnání nejrůznějších zemí, nicméně pro korektní interpretaci zjištění je třeba pečlivě číst, o čem konkrétně vypovídají, resp. z jakých dat vycházejí a přihlédnout i k různým politickým opatřením a změnám, ke kterým v zemích v uvedených letech došlo. Odměnou za toto zvýšené úsilí pak je inspirativní (přestože ve vyšší míře spíše orientační) obrázek, jak si v určitém pohledu ta která země stojí vůči ostatním. Tato publikace dává různá zjištění o financích ve vzdělávání na jedno místo, tematicky je uspořádává a komentuje. Přitom zejména ukazuje, jak je financování formálního vzdělávání v ČR reflektováno v mezinárodních publikacích, neboli jak je na mezinárodní úrovni naše země pomocí těchto statistik prezentována.</w:t>
      </w:r>
    </w:p>
    <w:p w:rsidR="00F16324" w:rsidRDefault="00F16324" w:rsidP="00F16324">
      <w:pPr>
        <w:spacing w:line="240" w:lineRule="auto"/>
        <w:jc w:val="both"/>
        <w:rPr>
          <w:rFonts w:cs="Arial"/>
        </w:rPr>
      </w:pPr>
      <w:bookmarkStart w:id="3" w:name="_Toc457225385"/>
    </w:p>
    <w:p w:rsidR="00306953" w:rsidRPr="00F16324" w:rsidRDefault="00306953" w:rsidP="00C32A42">
      <w:pPr>
        <w:pStyle w:val="Nadpis2"/>
        <w:rPr>
          <w:rFonts w:cs="Arial"/>
        </w:rPr>
      </w:pPr>
      <w:bookmarkStart w:id="4" w:name="_Toc460424371"/>
      <w:r w:rsidRPr="00306953">
        <w:t>O zdrojích dat</w:t>
      </w:r>
      <w:bookmarkEnd w:id="3"/>
      <w:bookmarkEnd w:id="4"/>
    </w:p>
    <w:p w:rsidR="00306953" w:rsidRPr="00306953" w:rsidRDefault="00306953" w:rsidP="00306953">
      <w:pPr>
        <w:autoSpaceDE w:val="0"/>
        <w:autoSpaceDN w:val="0"/>
        <w:adjustRightInd w:val="0"/>
        <w:spacing w:after="0" w:line="240" w:lineRule="auto"/>
        <w:jc w:val="both"/>
        <w:rPr>
          <w:rFonts w:eastAsia="NovareseCEBook" w:cs="Arial"/>
        </w:rPr>
      </w:pPr>
    </w:p>
    <w:p w:rsidR="00306953" w:rsidRPr="00306953" w:rsidRDefault="00306953" w:rsidP="00306953">
      <w:pPr>
        <w:autoSpaceDE w:val="0"/>
        <w:autoSpaceDN w:val="0"/>
        <w:adjustRightInd w:val="0"/>
        <w:spacing w:after="120" w:line="240" w:lineRule="auto"/>
        <w:jc w:val="both"/>
        <w:rPr>
          <w:rFonts w:eastAsia="NovareseCEBook" w:cs="Arial"/>
          <w:szCs w:val="20"/>
        </w:rPr>
      </w:pPr>
      <w:r w:rsidRPr="00306953">
        <w:rPr>
          <w:rFonts w:eastAsia="NovareseCEBook" w:cs="Arial"/>
          <w:szCs w:val="20"/>
        </w:rPr>
        <w:t xml:space="preserve">V České republice má sběr dat týkajících se formálního vzdělávání na starost Ministerstvo školství, mládeže a </w:t>
      </w:r>
      <w:r w:rsidR="00D82A66">
        <w:rPr>
          <w:rFonts w:eastAsia="NovareseCEBook" w:cs="Arial"/>
          <w:szCs w:val="20"/>
        </w:rPr>
        <w:t>tělovýchovy</w:t>
      </w:r>
      <w:r w:rsidRPr="00306953">
        <w:rPr>
          <w:rFonts w:eastAsia="NovareseCEBook" w:cs="Arial"/>
          <w:szCs w:val="20"/>
        </w:rPr>
        <w:t xml:space="preserve"> (</w:t>
      </w:r>
      <w:r w:rsidR="00660E3D">
        <w:rPr>
          <w:rFonts w:eastAsia="NovareseCEBook" w:cs="Arial"/>
          <w:szCs w:val="20"/>
        </w:rPr>
        <w:t xml:space="preserve">dále jen </w:t>
      </w:r>
      <w:r w:rsidRPr="00306953">
        <w:rPr>
          <w:rFonts w:eastAsia="NovareseCEBook" w:cs="Arial"/>
          <w:szCs w:val="20"/>
        </w:rPr>
        <w:t xml:space="preserve">MŠMT), Odbor </w:t>
      </w:r>
      <w:r w:rsidRPr="00306953">
        <w:rPr>
          <w:rStyle w:val="Siln"/>
          <w:rFonts w:cs="Arial"/>
          <w:b w:val="0"/>
          <w:szCs w:val="20"/>
        </w:rPr>
        <w:t>školské statistiky, analýz a informační strategie (dříve tato agenda spadala pod Ústav pro informace ve vzdělávání).</w:t>
      </w:r>
      <w:r w:rsidRPr="00306953">
        <w:rPr>
          <w:rFonts w:eastAsia="NovareseCEBook" w:cs="Arial"/>
          <w:szCs w:val="20"/>
        </w:rPr>
        <w:t xml:space="preserve"> K tématu financí ve vzdělávání MŠMT každoročně zveřejňuje přehledné tabulky v rámci Statistické ročenky školství. Jedná se o </w:t>
      </w:r>
      <w:hyperlink r:id="rId8" w:history="1">
        <w:r w:rsidRPr="00306953">
          <w:rPr>
            <w:rStyle w:val="Hypertextovodkaz"/>
            <w:rFonts w:eastAsia="NovareseCEBook" w:cs="Arial"/>
            <w:szCs w:val="20"/>
          </w:rPr>
          <w:t>Soubor ekonomických ukazatelů</w:t>
        </w:r>
      </w:hyperlink>
      <w:r w:rsidRPr="00306953">
        <w:rPr>
          <w:rFonts w:eastAsia="NovareseCEBook" w:cs="Arial"/>
          <w:szCs w:val="20"/>
        </w:rPr>
        <w:t xml:space="preserve"> a soubor </w:t>
      </w:r>
      <w:hyperlink r:id="rId9" w:history="1">
        <w:r w:rsidRPr="00306953">
          <w:rPr>
            <w:rStyle w:val="Hypertextovodkaz"/>
            <w:rFonts w:cs="Arial"/>
            <w:szCs w:val="20"/>
          </w:rPr>
          <w:t>Zaměstnanci a mzdové prostředky</w:t>
        </w:r>
      </w:hyperlink>
      <w:r w:rsidRPr="00306953">
        <w:rPr>
          <w:rFonts w:eastAsia="NovareseCEBook" w:cs="Arial"/>
          <w:szCs w:val="20"/>
        </w:rPr>
        <w:t xml:space="preserve">. Vedle toho lze ekonomické údaje čerpat i z tzv. </w:t>
      </w:r>
      <w:hyperlink r:id="rId10" w:history="1">
        <w:r w:rsidRPr="00306953">
          <w:rPr>
            <w:rStyle w:val="Hypertextovodkaz"/>
            <w:rFonts w:eastAsia="NovareseCEBook" w:cs="Arial"/>
            <w:szCs w:val="20"/>
          </w:rPr>
          <w:t>Vývojové ročenky školství</w:t>
        </w:r>
      </w:hyperlink>
      <w:r w:rsidRPr="00306953">
        <w:rPr>
          <w:rFonts w:eastAsia="NovareseCEBook" w:cs="Arial"/>
          <w:szCs w:val="20"/>
        </w:rPr>
        <w:t>.</w:t>
      </w:r>
    </w:p>
    <w:p w:rsidR="00306953" w:rsidRPr="00306953" w:rsidRDefault="00D86E6A" w:rsidP="00306953">
      <w:pPr>
        <w:autoSpaceDE w:val="0"/>
        <w:autoSpaceDN w:val="0"/>
        <w:adjustRightInd w:val="0"/>
        <w:spacing w:after="120" w:line="240" w:lineRule="auto"/>
        <w:jc w:val="both"/>
        <w:rPr>
          <w:rFonts w:eastAsia="NovareseCEBook" w:cs="Arial"/>
          <w:szCs w:val="20"/>
        </w:rPr>
      </w:pPr>
      <w:r>
        <w:rPr>
          <w:rFonts w:eastAsia="NovareseCEBook" w:cs="Arial"/>
          <w:szCs w:val="20"/>
        </w:rPr>
        <w:t>Kromě toho je Česká republika</w:t>
      </w:r>
      <w:r w:rsidR="00306953" w:rsidRPr="00306953">
        <w:rPr>
          <w:rFonts w:eastAsia="NovareseCEBook" w:cs="Arial"/>
          <w:szCs w:val="20"/>
        </w:rPr>
        <w:t xml:space="preserve"> členem Organizace pro ekonomickou spolupráci a rozvoj (OECD), pod kterou působí mj. skupina expertů a institucí zabývajících se mapováním oblasti školství a vzdělávání v členských zemích (j</w:t>
      </w:r>
      <w:r>
        <w:rPr>
          <w:rFonts w:eastAsia="NovareseCEBook" w:cs="Arial"/>
          <w:szCs w:val="20"/>
        </w:rPr>
        <w:t xml:space="preserve">edná se o program INES, neboli </w:t>
      </w:r>
      <w:proofErr w:type="spellStart"/>
      <w:r w:rsidRPr="00D86E6A">
        <w:rPr>
          <w:rFonts w:eastAsia="NovareseCEBook" w:cs="Arial"/>
          <w:i/>
          <w:szCs w:val="20"/>
        </w:rPr>
        <w:t>Indicators</w:t>
      </w:r>
      <w:proofErr w:type="spellEnd"/>
      <w:r w:rsidRPr="00D86E6A">
        <w:rPr>
          <w:rFonts w:eastAsia="NovareseCEBook" w:cs="Arial"/>
          <w:i/>
          <w:szCs w:val="20"/>
        </w:rPr>
        <w:t xml:space="preserve"> </w:t>
      </w:r>
      <w:proofErr w:type="spellStart"/>
      <w:r w:rsidRPr="00D86E6A">
        <w:rPr>
          <w:rFonts w:eastAsia="NovareseCEBook" w:cs="Arial"/>
          <w:i/>
          <w:szCs w:val="20"/>
        </w:rPr>
        <w:t>of</w:t>
      </w:r>
      <w:proofErr w:type="spellEnd"/>
      <w:r w:rsidRPr="00D86E6A">
        <w:rPr>
          <w:rFonts w:eastAsia="NovareseCEBook" w:cs="Arial"/>
          <w:i/>
          <w:szCs w:val="20"/>
        </w:rPr>
        <w:t xml:space="preserve"> </w:t>
      </w:r>
      <w:proofErr w:type="spellStart"/>
      <w:r w:rsidRPr="00D86E6A">
        <w:rPr>
          <w:rFonts w:eastAsia="NovareseCEBook" w:cs="Arial"/>
          <w:i/>
          <w:szCs w:val="20"/>
        </w:rPr>
        <w:t>Education</w:t>
      </w:r>
      <w:proofErr w:type="spellEnd"/>
      <w:r w:rsidRPr="00D86E6A">
        <w:rPr>
          <w:rFonts w:eastAsia="NovareseCEBook" w:cs="Arial"/>
          <w:i/>
          <w:szCs w:val="20"/>
        </w:rPr>
        <w:t xml:space="preserve"> </w:t>
      </w:r>
      <w:proofErr w:type="spellStart"/>
      <w:r w:rsidRPr="00D86E6A">
        <w:rPr>
          <w:rFonts w:eastAsia="NovareseCEBook" w:cs="Arial"/>
          <w:i/>
          <w:szCs w:val="20"/>
        </w:rPr>
        <w:t>Systems</w:t>
      </w:r>
      <w:proofErr w:type="spellEnd"/>
      <w:r w:rsidR="00306953" w:rsidRPr="00306953">
        <w:rPr>
          <w:rFonts w:eastAsia="NovareseCEBook" w:cs="Arial"/>
          <w:szCs w:val="20"/>
        </w:rPr>
        <w:t xml:space="preserve">).  Každoročním výstupem tohoto programu je publikace </w:t>
      </w:r>
      <w:hyperlink r:id="rId11" w:history="1">
        <w:proofErr w:type="spellStart"/>
        <w:r w:rsidR="00306953" w:rsidRPr="00306953">
          <w:rPr>
            <w:rStyle w:val="Hypertextovodkaz"/>
            <w:rFonts w:eastAsia="NovareseCEBook" w:cs="Arial"/>
            <w:szCs w:val="20"/>
          </w:rPr>
          <w:t>Education</w:t>
        </w:r>
        <w:proofErr w:type="spellEnd"/>
        <w:r w:rsidR="00306953" w:rsidRPr="00306953">
          <w:rPr>
            <w:rStyle w:val="Hypertextovodkaz"/>
            <w:rFonts w:eastAsia="NovareseCEBook" w:cs="Arial"/>
            <w:szCs w:val="20"/>
          </w:rPr>
          <w:t xml:space="preserve"> </w:t>
        </w:r>
        <w:proofErr w:type="spellStart"/>
        <w:r w:rsidR="00306953" w:rsidRPr="00306953">
          <w:rPr>
            <w:rStyle w:val="Hypertextovodkaz"/>
            <w:rFonts w:eastAsia="NovareseCEBook" w:cs="Arial"/>
            <w:szCs w:val="20"/>
          </w:rPr>
          <w:t>at</w:t>
        </w:r>
        <w:proofErr w:type="spellEnd"/>
        <w:r w:rsidR="00306953" w:rsidRPr="00306953">
          <w:rPr>
            <w:rStyle w:val="Hypertextovodkaz"/>
            <w:rFonts w:eastAsia="NovareseCEBook" w:cs="Arial"/>
            <w:szCs w:val="20"/>
          </w:rPr>
          <w:t xml:space="preserve"> a </w:t>
        </w:r>
        <w:proofErr w:type="spellStart"/>
        <w:r w:rsidR="00306953" w:rsidRPr="00306953">
          <w:rPr>
            <w:rStyle w:val="Hypertextovodkaz"/>
            <w:rFonts w:eastAsia="NovareseCEBook" w:cs="Arial"/>
            <w:szCs w:val="20"/>
          </w:rPr>
          <w:t>Glance</w:t>
        </w:r>
        <w:proofErr w:type="spellEnd"/>
      </w:hyperlink>
      <w:r w:rsidR="00306953" w:rsidRPr="00306953">
        <w:rPr>
          <w:rFonts w:eastAsia="NovareseCEBook" w:cs="Arial"/>
          <w:szCs w:val="20"/>
        </w:rPr>
        <w:t xml:space="preserve">, která obsahuje různé indikátory z oblasti vzdělávání. Tato publikace čerpá data z tzv. </w:t>
      </w:r>
      <w:r w:rsidR="00306953" w:rsidRPr="00306953">
        <w:rPr>
          <w:rFonts w:eastAsia="NovareseCEBook" w:cs="Arial"/>
          <w:b/>
          <w:szCs w:val="20"/>
        </w:rPr>
        <w:t>dotazníků UOE</w:t>
      </w:r>
      <w:r w:rsidR="00306953" w:rsidRPr="00306953">
        <w:rPr>
          <w:rFonts w:eastAsia="NovareseCEBook" w:cs="Arial"/>
          <w:szCs w:val="20"/>
        </w:rPr>
        <w:t xml:space="preserve"> (neboli dotazníky pro UNESCO, OECD a </w:t>
      </w:r>
      <w:proofErr w:type="spellStart"/>
      <w:r w:rsidR="00306953" w:rsidRPr="00306953">
        <w:rPr>
          <w:rFonts w:eastAsia="NovareseCEBook" w:cs="Arial"/>
          <w:szCs w:val="20"/>
        </w:rPr>
        <w:t>Eurostat</w:t>
      </w:r>
      <w:proofErr w:type="spellEnd"/>
      <w:r w:rsidR="00306953" w:rsidRPr="00306953">
        <w:rPr>
          <w:rFonts w:eastAsia="NovareseCEBook" w:cs="Arial"/>
          <w:szCs w:val="20"/>
        </w:rPr>
        <w:t>), které mimo jiné zjišťují i podrobné údaje z oblasti financování formálního vzdělávání</w:t>
      </w:r>
      <w:r w:rsidR="00E52654">
        <w:rPr>
          <w:rFonts w:eastAsia="NovareseCEBook" w:cs="Arial"/>
          <w:szCs w:val="20"/>
        </w:rPr>
        <w:t xml:space="preserve"> (včetně souvisejících služeb a </w:t>
      </w:r>
      <w:r w:rsidR="00306953" w:rsidRPr="00306953">
        <w:rPr>
          <w:rFonts w:eastAsia="NovareseCEBook" w:cs="Arial"/>
          <w:szCs w:val="20"/>
        </w:rPr>
        <w:t xml:space="preserve">zboží). I tyto dotazníky pro mezinárodní instituce za ČR vyplňují pracovníci MŠMT.  </w:t>
      </w:r>
      <w:r w:rsidR="00306953" w:rsidRPr="00306953">
        <w:rPr>
          <w:rFonts w:eastAsia="NovareseCEBook" w:cs="Arial"/>
          <w:b/>
          <w:szCs w:val="20"/>
        </w:rPr>
        <w:t>Postup při vyplňování těchto dotazníků</w:t>
      </w:r>
      <w:r w:rsidR="00306953" w:rsidRPr="00306953">
        <w:rPr>
          <w:rFonts w:eastAsia="NovareseCEBook" w:cs="Arial"/>
          <w:szCs w:val="20"/>
        </w:rPr>
        <w:t xml:space="preserve"> je popsán v manuálu od OECD, který je i s dotazníkem dostupný </w:t>
      </w:r>
      <w:hyperlink r:id="rId12" w:history="1">
        <w:r w:rsidR="00306953" w:rsidRPr="00306953">
          <w:rPr>
            <w:rStyle w:val="Hypertextovodkaz"/>
            <w:rFonts w:eastAsia="NovareseCEBook" w:cs="Arial"/>
            <w:szCs w:val="20"/>
          </w:rPr>
          <w:t>zde</w:t>
        </w:r>
      </w:hyperlink>
      <w:r w:rsidR="00306953" w:rsidRPr="00306953">
        <w:rPr>
          <w:rFonts w:eastAsia="NovareseCEBook" w:cs="Arial"/>
          <w:szCs w:val="20"/>
        </w:rPr>
        <w:t>.</w:t>
      </w:r>
      <w:r w:rsidR="00306953" w:rsidRPr="00306953">
        <w:rPr>
          <w:rStyle w:val="Znakapoznpodarou"/>
          <w:rFonts w:eastAsia="NovareseCEBook" w:cs="Arial"/>
          <w:szCs w:val="20"/>
        </w:rPr>
        <w:footnoteReference w:id="1"/>
      </w:r>
    </w:p>
    <w:p w:rsidR="00306953" w:rsidRPr="00306953" w:rsidRDefault="00306953" w:rsidP="00306953">
      <w:pPr>
        <w:autoSpaceDE w:val="0"/>
        <w:autoSpaceDN w:val="0"/>
        <w:adjustRightInd w:val="0"/>
        <w:spacing w:after="120" w:line="240" w:lineRule="auto"/>
        <w:jc w:val="both"/>
        <w:rPr>
          <w:rFonts w:eastAsia="NovareseCEBook" w:cs="Arial"/>
          <w:szCs w:val="20"/>
        </w:rPr>
      </w:pPr>
      <w:r w:rsidRPr="00306953">
        <w:rPr>
          <w:rFonts w:eastAsia="NovareseCEBook" w:cs="Arial"/>
          <w:szCs w:val="20"/>
        </w:rPr>
        <w:t xml:space="preserve">Data sebraná v ČR a v dalších zemích pak přispívají </w:t>
      </w:r>
      <w:r w:rsidRPr="00306953">
        <w:rPr>
          <w:rFonts w:eastAsia="NovareseCEBook" w:cs="Arial"/>
          <w:b/>
          <w:szCs w:val="20"/>
        </w:rPr>
        <w:t>k tvorbě řady výstupů</w:t>
      </w:r>
      <w:r w:rsidRPr="00306953">
        <w:rPr>
          <w:rFonts w:eastAsia="NovareseCEBook" w:cs="Arial"/>
          <w:szCs w:val="20"/>
        </w:rPr>
        <w:t xml:space="preserve">. Jak již bylo uvedeno, mezi ty hlavní patří každoročně vydávaná publikace OECD </w:t>
      </w:r>
      <w:hyperlink r:id="rId13" w:history="1">
        <w:proofErr w:type="spellStart"/>
        <w:r w:rsidRPr="00306953">
          <w:rPr>
            <w:rStyle w:val="Hypertextovodkaz"/>
            <w:rFonts w:eastAsia="NovareseCEBook" w:cs="Arial"/>
            <w:szCs w:val="20"/>
          </w:rPr>
          <w:t>Education</w:t>
        </w:r>
        <w:proofErr w:type="spellEnd"/>
        <w:r w:rsidRPr="00306953">
          <w:rPr>
            <w:rStyle w:val="Hypertextovodkaz"/>
            <w:rFonts w:eastAsia="NovareseCEBook" w:cs="Arial"/>
            <w:szCs w:val="20"/>
          </w:rPr>
          <w:t xml:space="preserve"> </w:t>
        </w:r>
        <w:proofErr w:type="spellStart"/>
        <w:r w:rsidRPr="00306953">
          <w:rPr>
            <w:rStyle w:val="Hypertextovodkaz"/>
            <w:rFonts w:eastAsia="NovareseCEBook" w:cs="Arial"/>
            <w:szCs w:val="20"/>
          </w:rPr>
          <w:t>at</w:t>
        </w:r>
        <w:proofErr w:type="spellEnd"/>
        <w:r w:rsidRPr="00306953">
          <w:rPr>
            <w:rStyle w:val="Hypertextovodkaz"/>
            <w:rFonts w:eastAsia="NovareseCEBook" w:cs="Arial"/>
            <w:szCs w:val="20"/>
          </w:rPr>
          <w:t xml:space="preserve"> a </w:t>
        </w:r>
        <w:proofErr w:type="spellStart"/>
        <w:r w:rsidRPr="00306953">
          <w:rPr>
            <w:rStyle w:val="Hypertextovodkaz"/>
            <w:rFonts w:eastAsia="NovareseCEBook" w:cs="Arial"/>
            <w:szCs w:val="20"/>
          </w:rPr>
          <w:t>Glance</w:t>
        </w:r>
        <w:proofErr w:type="spellEnd"/>
      </w:hyperlink>
      <w:r w:rsidRPr="00306953">
        <w:rPr>
          <w:rFonts w:eastAsia="NovareseCEBook" w:cs="Arial"/>
          <w:szCs w:val="20"/>
        </w:rPr>
        <w:t xml:space="preserve"> a samostatný soubor s</w:t>
      </w:r>
      <w:r w:rsidR="00E52654">
        <w:rPr>
          <w:rFonts w:eastAsia="NovareseCEBook" w:cs="Arial"/>
          <w:szCs w:val="20"/>
        </w:rPr>
        <w:t> </w:t>
      </w:r>
      <w:hyperlink r:id="rId14" w:history="1">
        <w:r w:rsidRPr="00306953">
          <w:rPr>
            <w:rStyle w:val="Hypertextovodkaz"/>
            <w:rFonts w:eastAsia="NovareseCEBook" w:cs="Arial"/>
            <w:szCs w:val="20"/>
          </w:rPr>
          <w:t>tabulkami a grafy</w:t>
        </w:r>
      </w:hyperlink>
      <w:r w:rsidRPr="00306953">
        <w:rPr>
          <w:rFonts w:eastAsia="NovareseCEBook" w:cs="Arial"/>
          <w:szCs w:val="20"/>
        </w:rPr>
        <w:t xml:space="preserve">, které jsou v této publikaci obsaženy. MŠMT také každoročně připravuje výtah zajímavých informací z této publikace v českém jazyce s komentáři k situaci v ČR nazvaný </w:t>
      </w:r>
      <w:hyperlink r:id="rId15" w:history="1">
        <w:r w:rsidRPr="00306953">
          <w:rPr>
            <w:rStyle w:val="Hypertextovodkaz"/>
            <w:rFonts w:eastAsia="NovareseCEBook" w:cs="Arial"/>
            <w:szCs w:val="20"/>
          </w:rPr>
          <w:t>České školství v mezinárodním srovnání</w:t>
        </w:r>
      </w:hyperlink>
      <w:r w:rsidRPr="00306953">
        <w:rPr>
          <w:rFonts w:eastAsia="NovareseCEBook" w:cs="Arial"/>
          <w:szCs w:val="20"/>
        </w:rPr>
        <w:t xml:space="preserve">. </w:t>
      </w:r>
    </w:p>
    <w:p w:rsidR="00306953" w:rsidRPr="00306953" w:rsidRDefault="00306953" w:rsidP="00306953">
      <w:pPr>
        <w:autoSpaceDE w:val="0"/>
        <w:autoSpaceDN w:val="0"/>
        <w:adjustRightInd w:val="0"/>
        <w:spacing w:after="120" w:line="240" w:lineRule="auto"/>
        <w:jc w:val="both"/>
        <w:rPr>
          <w:rFonts w:eastAsia="NovareseCEBook" w:cs="Arial"/>
          <w:szCs w:val="20"/>
        </w:rPr>
      </w:pPr>
      <w:r w:rsidRPr="00306953">
        <w:rPr>
          <w:rFonts w:eastAsia="NovareseCEBook" w:cs="Arial"/>
          <w:szCs w:val="20"/>
        </w:rPr>
        <w:t xml:space="preserve">Z dotazníků UOE (vedle národních účtů) čerpá též publikace </w:t>
      </w:r>
      <w:hyperlink r:id="rId16" w:history="1">
        <w:proofErr w:type="spellStart"/>
        <w:r w:rsidRPr="00306953">
          <w:rPr>
            <w:rStyle w:val="Hypertextovodkaz"/>
            <w:rFonts w:eastAsia="NovareseCEBook" w:cs="Arial"/>
            <w:szCs w:val="20"/>
          </w:rPr>
          <w:t>Key</w:t>
        </w:r>
        <w:proofErr w:type="spellEnd"/>
        <w:r w:rsidRPr="00306953">
          <w:rPr>
            <w:rStyle w:val="Hypertextovodkaz"/>
            <w:rFonts w:eastAsia="NovareseCEBook" w:cs="Arial"/>
            <w:szCs w:val="20"/>
          </w:rPr>
          <w:t xml:space="preserve"> data on </w:t>
        </w:r>
        <w:proofErr w:type="spellStart"/>
        <w:r w:rsidRPr="00306953">
          <w:rPr>
            <w:rStyle w:val="Hypertextovodkaz"/>
            <w:rFonts w:eastAsia="NovareseCEBook" w:cs="Arial"/>
            <w:szCs w:val="20"/>
          </w:rPr>
          <w:t>Education</w:t>
        </w:r>
        <w:proofErr w:type="spellEnd"/>
        <w:r w:rsidRPr="00306953">
          <w:rPr>
            <w:rStyle w:val="Hypertextovodkaz"/>
            <w:rFonts w:eastAsia="NovareseCEBook" w:cs="Arial"/>
            <w:szCs w:val="20"/>
          </w:rPr>
          <w:t xml:space="preserve"> in </w:t>
        </w:r>
        <w:proofErr w:type="spellStart"/>
        <w:r w:rsidRPr="00306953">
          <w:rPr>
            <w:rStyle w:val="Hypertextovodkaz"/>
            <w:rFonts w:eastAsia="NovareseCEBook" w:cs="Arial"/>
            <w:szCs w:val="20"/>
          </w:rPr>
          <w:t>Europe</w:t>
        </w:r>
        <w:proofErr w:type="spellEnd"/>
      </w:hyperlink>
      <w:r w:rsidR="00820AFF">
        <w:rPr>
          <w:rFonts w:eastAsia="NovareseCEBook" w:cs="Arial"/>
          <w:szCs w:val="20"/>
        </w:rPr>
        <w:t xml:space="preserve">, kterou </w:t>
      </w:r>
      <w:r w:rsidRPr="00306953">
        <w:rPr>
          <w:rFonts w:eastAsia="NovareseCEBook" w:cs="Arial"/>
          <w:szCs w:val="20"/>
        </w:rPr>
        <w:t xml:space="preserve">vydává </w:t>
      </w:r>
      <w:r w:rsidR="00820AFF">
        <w:rPr>
          <w:rFonts w:eastAsia="NovareseCEBook" w:cs="Arial"/>
          <w:szCs w:val="20"/>
        </w:rPr>
        <w:t xml:space="preserve">mezinárodní síť </w:t>
      </w:r>
      <w:proofErr w:type="spellStart"/>
      <w:r w:rsidR="00820AFF">
        <w:rPr>
          <w:rFonts w:eastAsia="NovareseCEBook" w:cs="Arial"/>
          <w:szCs w:val="20"/>
        </w:rPr>
        <w:t>Eurydice</w:t>
      </w:r>
      <w:proofErr w:type="spellEnd"/>
      <w:r w:rsidR="00820AFF">
        <w:rPr>
          <w:rFonts w:eastAsia="NovareseCEBook" w:cs="Arial"/>
          <w:szCs w:val="20"/>
        </w:rPr>
        <w:t xml:space="preserve"> (</w:t>
      </w:r>
      <w:r w:rsidRPr="00306953">
        <w:rPr>
          <w:rFonts w:eastAsia="NovareseCEBook" w:cs="Arial"/>
          <w:szCs w:val="20"/>
        </w:rPr>
        <w:t xml:space="preserve">u nás </w:t>
      </w:r>
      <w:r w:rsidR="00820AFF">
        <w:rPr>
          <w:rFonts w:eastAsia="NovareseCEBook" w:cs="Arial"/>
          <w:szCs w:val="20"/>
        </w:rPr>
        <w:t xml:space="preserve">jsou do této sítě </w:t>
      </w:r>
      <w:r w:rsidRPr="00306953">
        <w:rPr>
          <w:rFonts w:eastAsia="NovareseCEBook" w:cs="Arial"/>
          <w:szCs w:val="20"/>
        </w:rPr>
        <w:t>zapojeni pracovn</w:t>
      </w:r>
      <w:r w:rsidR="00820AFF">
        <w:rPr>
          <w:rFonts w:eastAsia="NovareseCEBook" w:cs="Arial"/>
          <w:szCs w:val="20"/>
        </w:rPr>
        <w:t xml:space="preserve">íci </w:t>
      </w:r>
      <w:hyperlink r:id="rId17" w:history="1">
        <w:r w:rsidR="00820AFF" w:rsidRPr="005A76C4">
          <w:rPr>
            <w:rStyle w:val="Hypertextovodkaz"/>
            <w:rFonts w:eastAsia="NovareseCEBook" w:cs="Arial"/>
            <w:szCs w:val="20"/>
          </w:rPr>
          <w:t>Domu zahraniční spolupráce</w:t>
        </w:r>
      </w:hyperlink>
      <w:r w:rsidR="00820AFF">
        <w:rPr>
          <w:rFonts w:eastAsia="NovareseCEBook" w:cs="Arial"/>
          <w:szCs w:val="20"/>
        </w:rPr>
        <w:t>). Tato publikace vedle dalších témat</w:t>
      </w:r>
      <w:r w:rsidRPr="00306953">
        <w:rPr>
          <w:rFonts w:eastAsia="NovareseCEBook" w:cs="Arial"/>
          <w:szCs w:val="20"/>
        </w:rPr>
        <w:t xml:space="preserve"> věnuje jednu kapitolu financování vzdělávání. Síť </w:t>
      </w:r>
      <w:proofErr w:type="spellStart"/>
      <w:r w:rsidRPr="00306953">
        <w:rPr>
          <w:rFonts w:eastAsia="NovareseCEBook" w:cs="Arial"/>
          <w:szCs w:val="20"/>
        </w:rPr>
        <w:t>Eurydice</w:t>
      </w:r>
      <w:proofErr w:type="spellEnd"/>
      <w:r w:rsidRPr="00306953">
        <w:rPr>
          <w:rFonts w:eastAsia="NovareseCEBook" w:cs="Arial"/>
          <w:szCs w:val="20"/>
        </w:rPr>
        <w:t xml:space="preserve"> navíc </w:t>
      </w:r>
      <w:r w:rsidRPr="00306953">
        <w:rPr>
          <w:rFonts w:eastAsia="NovareseCEBook" w:cs="Arial"/>
          <w:szCs w:val="20"/>
        </w:rPr>
        <w:lastRenderedPageBreak/>
        <w:t xml:space="preserve">zveřejňuje také data o zákonem stanovených platech učitelů, např. v publikaci </w:t>
      </w:r>
      <w:hyperlink r:id="rId18" w:history="1">
        <w:proofErr w:type="spellStart"/>
        <w:r w:rsidRPr="00306953">
          <w:rPr>
            <w:rStyle w:val="Hypertextovodkaz"/>
            <w:rFonts w:eastAsia="NovareseCEBook" w:cs="Arial"/>
            <w:szCs w:val="20"/>
          </w:rPr>
          <w:t>Teachers</w:t>
        </w:r>
        <w:proofErr w:type="spellEnd"/>
        <w:r w:rsidRPr="00306953">
          <w:rPr>
            <w:rStyle w:val="Hypertextovodkaz"/>
            <w:rFonts w:eastAsia="NovareseCEBook" w:cs="Arial"/>
            <w:szCs w:val="20"/>
          </w:rPr>
          <w:t xml:space="preserve">´ </w:t>
        </w:r>
        <w:proofErr w:type="spellStart"/>
        <w:r w:rsidRPr="00306953">
          <w:rPr>
            <w:rStyle w:val="Hypertextovodkaz"/>
            <w:rFonts w:eastAsia="NovareseCEBook" w:cs="Arial"/>
            <w:szCs w:val="20"/>
          </w:rPr>
          <w:t>and</w:t>
        </w:r>
        <w:proofErr w:type="spellEnd"/>
        <w:r w:rsidRPr="00306953">
          <w:rPr>
            <w:rStyle w:val="Hypertextovodkaz"/>
            <w:rFonts w:eastAsia="NovareseCEBook" w:cs="Arial"/>
            <w:szCs w:val="20"/>
          </w:rPr>
          <w:t xml:space="preserve"> </w:t>
        </w:r>
        <w:proofErr w:type="spellStart"/>
        <w:r w:rsidRPr="00306953">
          <w:rPr>
            <w:rStyle w:val="Hypertextovodkaz"/>
            <w:rFonts w:eastAsia="NovareseCEBook" w:cs="Arial"/>
            <w:szCs w:val="20"/>
          </w:rPr>
          <w:t>School</w:t>
        </w:r>
        <w:proofErr w:type="spellEnd"/>
        <w:r w:rsidRPr="00306953">
          <w:rPr>
            <w:rStyle w:val="Hypertextovodkaz"/>
            <w:rFonts w:eastAsia="NovareseCEBook" w:cs="Arial"/>
            <w:szCs w:val="20"/>
          </w:rPr>
          <w:t xml:space="preserve"> </w:t>
        </w:r>
        <w:proofErr w:type="spellStart"/>
        <w:r w:rsidRPr="00306953">
          <w:rPr>
            <w:rStyle w:val="Hypertextovodkaz"/>
            <w:rFonts w:eastAsia="NovareseCEBook" w:cs="Arial"/>
            <w:szCs w:val="20"/>
          </w:rPr>
          <w:t>Heads</w:t>
        </w:r>
        <w:proofErr w:type="spellEnd"/>
        <w:r w:rsidRPr="00306953">
          <w:rPr>
            <w:rStyle w:val="Hypertextovodkaz"/>
            <w:rFonts w:eastAsia="NovareseCEBook" w:cs="Arial"/>
            <w:szCs w:val="20"/>
          </w:rPr>
          <w:t xml:space="preserve">´ </w:t>
        </w:r>
        <w:proofErr w:type="spellStart"/>
        <w:r w:rsidRPr="00306953">
          <w:rPr>
            <w:rStyle w:val="Hypertextovodkaz"/>
            <w:rFonts w:eastAsia="NovareseCEBook" w:cs="Arial"/>
            <w:szCs w:val="20"/>
          </w:rPr>
          <w:t>Salaries</w:t>
        </w:r>
        <w:proofErr w:type="spellEnd"/>
        <w:r w:rsidRPr="00306953">
          <w:rPr>
            <w:rStyle w:val="Hypertextovodkaz"/>
            <w:rFonts w:eastAsia="NovareseCEBook" w:cs="Arial"/>
            <w:szCs w:val="20"/>
          </w:rPr>
          <w:t xml:space="preserve"> </w:t>
        </w:r>
        <w:proofErr w:type="spellStart"/>
        <w:r w:rsidRPr="00306953">
          <w:rPr>
            <w:rStyle w:val="Hypertextovodkaz"/>
            <w:rFonts w:eastAsia="NovareseCEBook" w:cs="Arial"/>
            <w:szCs w:val="20"/>
          </w:rPr>
          <w:t>and</w:t>
        </w:r>
        <w:proofErr w:type="spellEnd"/>
        <w:r w:rsidRPr="00306953">
          <w:rPr>
            <w:rStyle w:val="Hypertextovodkaz"/>
            <w:rFonts w:eastAsia="NovareseCEBook" w:cs="Arial"/>
            <w:szCs w:val="20"/>
          </w:rPr>
          <w:t xml:space="preserve"> </w:t>
        </w:r>
        <w:proofErr w:type="spellStart"/>
        <w:r w:rsidRPr="00306953">
          <w:rPr>
            <w:rStyle w:val="Hypertextovodkaz"/>
            <w:rFonts w:eastAsia="NovareseCEBook" w:cs="Arial"/>
            <w:szCs w:val="20"/>
          </w:rPr>
          <w:t>Allowances</w:t>
        </w:r>
        <w:proofErr w:type="spellEnd"/>
        <w:r w:rsidRPr="00306953">
          <w:rPr>
            <w:rStyle w:val="Hypertextovodkaz"/>
            <w:rFonts w:eastAsia="NovareseCEBook" w:cs="Arial"/>
            <w:szCs w:val="20"/>
          </w:rPr>
          <w:t xml:space="preserve"> in </w:t>
        </w:r>
        <w:proofErr w:type="spellStart"/>
        <w:r w:rsidRPr="00306953">
          <w:rPr>
            <w:rStyle w:val="Hypertextovodkaz"/>
            <w:rFonts w:eastAsia="NovareseCEBook" w:cs="Arial"/>
            <w:szCs w:val="20"/>
          </w:rPr>
          <w:t>Europe</w:t>
        </w:r>
        <w:proofErr w:type="spellEnd"/>
      </w:hyperlink>
      <w:r w:rsidRPr="00306953">
        <w:rPr>
          <w:rFonts w:eastAsia="NovareseCEBook" w:cs="Arial"/>
          <w:szCs w:val="20"/>
        </w:rPr>
        <w:t>.</w:t>
      </w:r>
    </w:p>
    <w:p w:rsidR="00306953" w:rsidRPr="00306953" w:rsidRDefault="00306953" w:rsidP="00306953">
      <w:pPr>
        <w:autoSpaceDE w:val="0"/>
        <w:autoSpaceDN w:val="0"/>
        <w:adjustRightInd w:val="0"/>
        <w:spacing w:after="120" w:line="240" w:lineRule="auto"/>
        <w:jc w:val="both"/>
        <w:rPr>
          <w:rFonts w:eastAsia="NovareseCEBook" w:cs="Arial"/>
          <w:szCs w:val="20"/>
        </w:rPr>
      </w:pPr>
      <w:r w:rsidRPr="00306953">
        <w:rPr>
          <w:rFonts w:eastAsia="NovareseCEBook" w:cs="Arial"/>
          <w:szCs w:val="20"/>
        </w:rPr>
        <w:t xml:space="preserve">Data sebraná dotazníky UOE využívá též </w:t>
      </w:r>
      <w:proofErr w:type="spellStart"/>
      <w:r w:rsidRPr="00306953">
        <w:rPr>
          <w:rFonts w:eastAsia="NovareseCEBook" w:cs="Arial"/>
          <w:szCs w:val="20"/>
        </w:rPr>
        <w:t>Eurostat</w:t>
      </w:r>
      <w:proofErr w:type="spellEnd"/>
      <w:r w:rsidRPr="00306953">
        <w:rPr>
          <w:rFonts w:eastAsia="NovareseCEBook" w:cs="Arial"/>
          <w:szCs w:val="20"/>
        </w:rPr>
        <w:t xml:space="preserve">, který prezentuje několik tabulek i o financování vzdělávání v evropských státech – viz </w:t>
      </w:r>
      <w:hyperlink r:id="rId19" w:history="1">
        <w:r w:rsidRPr="00306953">
          <w:rPr>
            <w:rStyle w:val="Hypertextovodkaz"/>
            <w:rFonts w:eastAsia="NovareseCEBook" w:cs="Arial"/>
            <w:szCs w:val="20"/>
          </w:rPr>
          <w:t>zde</w:t>
        </w:r>
      </w:hyperlink>
      <w:r w:rsidRPr="00306953">
        <w:rPr>
          <w:rFonts w:eastAsia="NovareseCEBook" w:cs="Arial"/>
          <w:szCs w:val="20"/>
        </w:rPr>
        <w:t>.</w:t>
      </w:r>
    </w:p>
    <w:p w:rsidR="00306953" w:rsidRPr="00306953" w:rsidRDefault="00306953" w:rsidP="00306953">
      <w:pPr>
        <w:autoSpaceDE w:val="0"/>
        <w:autoSpaceDN w:val="0"/>
        <w:adjustRightInd w:val="0"/>
        <w:spacing w:after="120" w:line="240" w:lineRule="auto"/>
        <w:jc w:val="both"/>
        <w:rPr>
          <w:rFonts w:eastAsia="NovareseCEBook" w:cs="Arial"/>
          <w:szCs w:val="20"/>
        </w:rPr>
      </w:pPr>
      <w:r w:rsidRPr="00306953">
        <w:rPr>
          <w:rFonts w:eastAsia="NovareseCEBook" w:cs="Arial"/>
          <w:szCs w:val="20"/>
        </w:rPr>
        <w:t xml:space="preserve">Vedle dotazníků UOE jsou důležitým zdrojem dat o výdajích v různých sektorech ekonomické činnosti též tzv. </w:t>
      </w:r>
      <w:r w:rsidRPr="00306953">
        <w:rPr>
          <w:rFonts w:eastAsia="NovareseCEBook" w:cs="Arial"/>
          <w:b/>
          <w:szCs w:val="20"/>
        </w:rPr>
        <w:t>Národní účty</w:t>
      </w:r>
      <w:r w:rsidRPr="00306953">
        <w:rPr>
          <w:rFonts w:eastAsia="NovareseCEBook" w:cs="Arial"/>
          <w:szCs w:val="20"/>
        </w:rPr>
        <w:t>, neboli vrcholná soustava národohospodářských bilancí stát</w:t>
      </w:r>
      <w:hyperlink r:id="rId20" w:tooltip="Stát (State)" w:history="1">
        <w:r w:rsidRPr="00306953">
          <w:rPr>
            <w:rFonts w:eastAsia="NovareseCEBook" w:cs="Arial"/>
            <w:szCs w:val="20"/>
          </w:rPr>
          <w:t>ů</w:t>
        </w:r>
      </w:hyperlink>
      <w:r w:rsidRPr="00306953">
        <w:rPr>
          <w:rFonts w:eastAsia="NovareseCEBook" w:cs="Arial"/>
          <w:szCs w:val="20"/>
        </w:rPr>
        <w:t xml:space="preserve"> (příp. zemí), které jsou navázány na mezinárodní klasifikaci </w:t>
      </w:r>
      <w:hyperlink r:id="rId21" w:history="1">
        <w:proofErr w:type="spellStart"/>
        <w:r w:rsidRPr="00306953">
          <w:rPr>
            <w:rStyle w:val="Hypertextovodkaz"/>
            <w:rFonts w:cs="Arial"/>
            <w:szCs w:val="20"/>
          </w:rPr>
          <w:t>Classification</w:t>
        </w:r>
        <w:proofErr w:type="spellEnd"/>
        <w:r w:rsidRPr="00306953">
          <w:rPr>
            <w:rStyle w:val="Hypertextovodkaz"/>
            <w:rFonts w:cs="Arial"/>
            <w:szCs w:val="20"/>
          </w:rPr>
          <w:t xml:space="preserve"> </w:t>
        </w:r>
        <w:proofErr w:type="spellStart"/>
        <w:r w:rsidRPr="00306953">
          <w:rPr>
            <w:rStyle w:val="Hypertextovodkaz"/>
            <w:rFonts w:cs="Arial"/>
            <w:szCs w:val="20"/>
          </w:rPr>
          <w:t>of</w:t>
        </w:r>
        <w:proofErr w:type="spellEnd"/>
        <w:r w:rsidRPr="00306953">
          <w:rPr>
            <w:rStyle w:val="Hypertextovodkaz"/>
            <w:rFonts w:cs="Arial"/>
            <w:szCs w:val="20"/>
          </w:rPr>
          <w:t xml:space="preserve"> </w:t>
        </w:r>
        <w:proofErr w:type="spellStart"/>
        <w:r w:rsidRPr="00306953">
          <w:rPr>
            <w:rStyle w:val="Hypertextovodkaz"/>
            <w:rFonts w:cs="Arial"/>
            <w:szCs w:val="20"/>
          </w:rPr>
          <w:t>the</w:t>
        </w:r>
        <w:proofErr w:type="spellEnd"/>
        <w:r w:rsidRPr="00306953">
          <w:rPr>
            <w:rStyle w:val="Hypertextovodkaz"/>
            <w:rFonts w:cs="Arial"/>
            <w:szCs w:val="20"/>
          </w:rPr>
          <w:t xml:space="preserve"> </w:t>
        </w:r>
        <w:proofErr w:type="spellStart"/>
        <w:r w:rsidRPr="00306953">
          <w:rPr>
            <w:rStyle w:val="Hypertextovodkaz"/>
            <w:rFonts w:cs="Arial"/>
            <w:szCs w:val="20"/>
          </w:rPr>
          <w:t>Functions</w:t>
        </w:r>
        <w:proofErr w:type="spellEnd"/>
        <w:r w:rsidRPr="00306953">
          <w:rPr>
            <w:rStyle w:val="Hypertextovodkaz"/>
            <w:rFonts w:cs="Arial"/>
            <w:szCs w:val="20"/>
          </w:rPr>
          <w:t xml:space="preserve"> </w:t>
        </w:r>
        <w:proofErr w:type="spellStart"/>
        <w:r w:rsidRPr="00306953">
          <w:rPr>
            <w:rStyle w:val="Hypertextovodkaz"/>
            <w:rFonts w:cs="Arial"/>
            <w:szCs w:val="20"/>
          </w:rPr>
          <w:t>of</w:t>
        </w:r>
        <w:proofErr w:type="spellEnd"/>
        <w:r w:rsidRPr="00306953">
          <w:rPr>
            <w:rStyle w:val="Hypertextovodkaz"/>
            <w:rFonts w:cs="Arial"/>
            <w:szCs w:val="20"/>
          </w:rPr>
          <w:t xml:space="preserve"> </w:t>
        </w:r>
        <w:proofErr w:type="spellStart"/>
        <w:r w:rsidRPr="00306953">
          <w:rPr>
            <w:rStyle w:val="Hypertextovodkaz"/>
            <w:rFonts w:cs="Arial"/>
            <w:szCs w:val="20"/>
          </w:rPr>
          <w:t>Government</w:t>
        </w:r>
        <w:proofErr w:type="spellEnd"/>
        <w:r w:rsidRPr="00306953">
          <w:rPr>
            <w:rStyle w:val="Hypertextovodkaz"/>
            <w:rFonts w:cs="Arial"/>
            <w:szCs w:val="20"/>
          </w:rPr>
          <w:t xml:space="preserve"> - COFOG</w:t>
        </w:r>
      </w:hyperlink>
      <w:r w:rsidRPr="00306953">
        <w:rPr>
          <w:rFonts w:eastAsia="NovareseCEBook" w:cs="Arial"/>
          <w:szCs w:val="20"/>
        </w:rPr>
        <w:t xml:space="preserve">. Základní kostru národních účtů tvoří obvykle soustava tzv. </w:t>
      </w:r>
      <w:r w:rsidRPr="00306953">
        <w:rPr>
          <w:rFonts w:eastAsia="NovareseCEBook" w:cs="Arial"/>
          <w:bCs/>
          <w:szCs w:val="20"/>
        </w:rPr>
        <w:t>sektorových účtů</w:t>
      </w:r>
      <w:r w:rsidRPr="00306953">
        <w:rPr>
          <w:rFonts w:eastAsia="NovareseCEBook" w:cs="Arial"/>
          <w:szCs w:val="20"/>
        </w:rPr>
        <w:t xml:space="preserve">. Na ně navazují další účty a bilance. Sektorové účty zachycují veškeré materiální, důchodové, peněžní a ostatní toky mezi všemi </w:t>
      </w:r>
      <w:r w:rsidRPr="00306953">
        <w:rPr>
          <w:rFonts w:eastAsia="NovareseCEBook" w:cs="Arial"/>
          <w:bCs/>
          <w:szCs w:val="20"/>
        </w:rPr>
        <w:t>ekonomickými subjekty</w:t>
      </w:r>
      <w:r w:rsidRPr="00306953">
        <w:rPr>
          <w:rFonts w:eastAsia="NovareseCEBook" w:cs="Arial"/>
          <w:szCs w:val="20"/>
        </w:rPr>
        <w:t xml:space="preserve"> uvnitř ekonomiky státu i ve vztahu k zahraničí. Sektorové účty jsou zpravidla rozděleny na nefinanční organizace (</w:t>
      </w:r>
      <w:hyperlink r:id="rId22" w:tooltip="Primární sektor (suroviny)" w:history="1">
        <w:r w:rsidRPr="00306953">
          <w:rPr>
            <w:rFonts w:eastAsia="NovareseCEBook" w:cs="Arial"/>
            <w:szCs w:val="20"/>
          </w:rPr>
          <w:t>sektor surovin</w:t>
        </w:r>
      </w:hyperlink>
      <w:r w:rsidRPr="00306953">
        <w:rPr>
          <w:rFonts w:eastAsia="NovareseCEBook" w:cs="Arial"/>
          <w:szCs w:val="20"/>
        </w:rPr>
        <w:t xml:space="preserve">, </w:t>
      </w:r>
      <w:hyperlink r:id="rId23" w:tooltip="Sekundární sektor (Výroba a průmysl)" w:history="1">
        <w:r w:rsidRPr="00306953">
          <w:rPr>
            <w:rFonts w:eastAsia="NovareseCEBook" w:cs="Arial"/>
            <w:szCs w:val="20"/>
          </w:rPr>
          <w:t>průmysl a výroba</w:t>
        </w:r>
      </w:hyperlink>
      <w:r w:rsidRPr="00306953">
        <w:rPr>
          <w:rFonts w:eastAsia="NovareseCEBook" w:cs="Arial"/>
          <w:szCs w:val="20"/>
        </w:rPr>
        <w:t xml:space="preserve"> a část </w:t>
      </w:r>
      <w:hyperlink r:id="rId24" w:tooltip="Sektor služeb (terciární sektor)" w:history="1">
        <w:r w:rsidRPr="00306953">
          <w:rPr>
            <w:rFonts w:eastAsia="NovareseCEBook" w:cs="Arial"/>
            <w:szCs w:val="20"/>
          </w:rPr>
          <w:t>sektoru služeb</w:t>
        </w:r>
      </w:hyperlink>
      <w:r w:rsidRPr="00306953">
        <w:rPr>
          <w:rFonts w:eastAsia="NovareseCEBook" w:cs="Arial"/>
          <w:szCs w:val="20"/>
        </w:rPr>
        <w:t xml:space="preserve">), finanční instituce (obvykle </w:t>
      </w:r>
      <w:hyperlink r:id="rId25" w:tooltip="Finanční služby (Finanční sektor)" w:history="1">
        <w:r w:rsidRPr="00306953">
          <w:rPr>
            <w:rFonts w:eastAsia="NovareseCEBook" w:cs="Arial"/>
            <w:szCs w:val="20"/>
          </w:rPr>
          <w:t>finanční sektor</w:t>
        </w:r>
      </w:hyperlink>
      <w:r w:rsidRPr="00306953">
        <w:rPr>
          <w:rFonts w:eastAsia="NovareseCEBook" w:cs="Arial"/>
          <w:szCs w:val="20"/>
        </w:rPr>
        <w:t xml:space="preserve">), vládní instituce, domácnosti a neziskové instituce. Národní účet za ČR sestavuje Český statistický úřad, více informací je k dispozici </w:t>
      </w:r>
      <w:hyperlink r:id="rId26" w:history="1">
        <w:r w:rsidRPr="00306953">
          <w:rPr>
            <w:rStyle w:val="Hypertextovodkaz"/>
            <w:rFonts w:eastAsia="NovareseCEBook" w:cs="Arial"/>
            <w:szCs w:val="20"/>
          </w:rPr>
          <w:t>zde</w:t>
        </w:r>
      </w:hyperlink>
      <w:r w:rsidRPr="00306953">
        <w:rPr>
          <w:rFonts w:eastAsia="NovareseCEBook" w:cs="Arial"/>
          <w:szCs w:val="20"/>
        </w:rPr>
        <w:t xml:space="preserve">. V případě sledování výdajů na formální vzdělávání je však třeba upozornit, že </w:t>
      </w:r>
      <w:r w:rsidR="00385F4A">
        <w:rPr>
          <w:rFonts w:eastAsia="NovareseCEBook" w:cs="Arial"/>
          <w:szCs w:val="20"/>
        </w:rPr>
        <w:t xml:space="preserve">v systému národních účtů jsou </w:t>
      </w:r>
      <w:r w:rsidR="00210021">
        <w:rPr>
          <w:rFonts w:eastAsia="NovareseCEBook" w:cs="Arial"/>
          <w:szCs w:val="20"/>
        </w:rPr>
        <w:t xml:space="preserve">ekonomickými subjekty </w:t>
      </w:r>
      <w:r w:rsidRPr="00306953">
        <w:rPr>
          <w:rFonts w:eastAsia="NovareseCEBook" w:cs="Arial"/>
          <w:szCs w:val="20"/>
        </w:rPr>
        <w:t>školy a ty jsou dle klasifikace NACE zařazovány dle hlavní ekonomické činnosti. Např. ekonomický subjekt (ředitelství), který zajišťuje více úrovní vzdělávání (což v ČR např. platí o jakékoliv základní škole s 1. i 2. stupněm, jsou však též ředitelství, která zahrnují více úrovní), je zařazen jen do jedné úrovně a to dle hlavní ekonomické činnosti. Jak je uvedeno v manuálu pro uživatele klasifikace NACE, „</w:t>
      </w:r>
      <w:r w:rsidRPr="00306953">
        <w:rPr>
          <w:rFonts w:eastAsia="NovareseCEBook" w:cs="Arial"/>
          <w:i/>
          <w:szCs w:val="20"/>
        </w:rPr>
        <w:t>hlavní ekonomická činnost jednotky je činnost, která se podílí největší měrou na tvorbě přidané hodnoty jednotky. Hlavní ekonomická činnost se určuje pomocí m</w:t>
      </w:r>
      <w:r w:rsidR="00E52654">
        <w:rPr>
          <w:rFonts w:eastAsia="NovareseCEBook" w:cs="Arial"/>
          <w:i/>
          <w:szCs w:val="20"/>
        </w:rPr>
        <w:t>etody top-</w:t>
      </w:r>
      <w:proofErr w:type="spellStart"/>
      <w:r w:rsidR="00E52654">
        <w:rPr>
          <w:rFonts w:eastAsia="NovareseCEBook" w:cs="Arial"/>
          <w:i/>
          <w:szCs w:val="20"/>
        </w:rPr>
        <w:t>down</w:t>
      </w:r>
      <w:proofErr w:type="spellEnd"/>
      <w:r w:rsidR="00E52654">
        <w:rPr>
          <w:rFonts w:eastAsia="NovareseCEBook" w:cs="Arial"/>
          <w:i/>
          <w:szCs w:val="20"/>
        </w:rPr>
        <w:t xml:space="preserve"> (viz kap. 3.1) a </w:t>
      </w:r>
      <w:r w:rsidRPr="00306953">
        <w:rPr>
          <w:rFonts w:eastAsia="NovareseCEBook" w:cs="Arial"/>
          <w:i/>
          <w:szCs w:val="20"/>
        </w:rPr>
        <w:t>není proto ve všech případech nutné, aby přidanou hodnotu tvořila více než z 50 %</w:t>
      </w:r>
      <w:r w:rsidRPr="00306953">
        <w:rPr>
          <w:rFonts w:eastAsia="NovareseCEBook" w:cs="Arial"/>
          <w:szCs w:val="20"/>
        </w:rPr>
        <w:t>.“ (</w:t>
      </w:r>
      <w:hyperlink r:id="rId27" w:history="1">
        <w:r w:rsidRPr="00306953">
          <w:rPr>
            <w:rStyle w:val="Hypertextovodkaz"/>
            <w:rFonts w:eastAsia="NovareseCEBook" w:cs="Arial"/>
            <w:szCs w:val="20"/>
          </w:rPr>
          <w:t xml:space="preserve">ČSÚ, NACE </w:t>
        </w:r>
        <w:proofErr w:type="gramStart"/>
        <w:r w:rsidRPr="00306953">
          <w:rPr>
            <w:rStyle w:val="Hypertextovodkaz"/>
            <w:rFonts w:eastAsia="NovareseCEBook" w:cs="Arial"/>
            <w:szCs w:val="20"/>
          </w:rPr>
          <w:t>REV.2, Metodická</w:t>
        </w:r>
        <w:proofErr w:type="gramEnd"/>
        <w:r w:rsidRPr="00306953">
          <w:rPr>
            <w:rStyle w:val="Hypertextovodkaz"/>
            <w:rFonts w:eastAsia="NovareseCEBook" w:cs="Arial"/>
            <w:szCs w:val="20"/>
          </w:rPr>
          <w:t xml:space="preserve"> příručka</w:t>
        </w:r>
      </w:hyperlink>
      <w:r w:rsidRPr="00306953">
        <w:rPr>
          <w:rFonts w:eastAsia="NovareseCEBook" w:cs="Arial"/>
          <w:szCs w:val="20"/>
        </w:rPr>
        <w:t xml:space="preserve">, s. 9).  </w:t>
      </w:r>
      <w:r w:rsidR="00210021">
        <w:rPr>
          <w:rFonts w:eastAsia="NovareseCEBook" w:cs="Arial"/>
          <w:szCs w:val="20"/>
        </w:rPr>
        <w:t>V Národních účtech tedy nelze jednoduše oddělit jednotlivé úrovně vzděláván</w:t>
      </w:r>
      <w:r w:rsidR="009A498C">
        <w:rPr>
          <w:rFonts w:eastAsia="NovareseCEBook" w:cs="Arial"/>
          <w:szCs w:val="20"/>
        </w:rPr>
        <w:t>í</w:t>
      </w:r>
      <w:r w:rsidR="00210021">
        <w:rPr>
          <w:rFonts w:eastAsia="NovareseCEBook" w:cs="Arial"/>
          <w:szCs w:val="20"/>
        </w:rPr>
        <w:t xml:space="preserve"> a v</w:t>
      </w:r>
      <w:r w:rsidR="0065633C">
        <w:rPr>
          <w:rFonts w:eastAsia="NovareseCEBook" w:cs="Arial"/>
          <w:szCs w:val="20"/>
        </w:rPr>
        <w:t xml:space="preserve"> tomto ohledu jsou </w:t>
      </w:r>
      <w:r w:rsidRPr="00306953">
        <w:rPr>
          <w:rFonts w:eastAsia="NovareseCEBook" w:cs="Arial"/>
          <w:szCs w:val="20"/>
        </w:rPr>
        <w:t>údaje sledované p</w:t>
      </w:r>
      <w:r w:rsidR="00E52654">
        <w:rPr>
          <w:rFonts w:eastAsia="NovareseCEBook" w:cs="Arial"/>
          <w:szCs w:val="20"/>
        </w:rPr>
        <w:t>omocí dotazníků UOE přesnější a </w:t>
      </w:r>
      <w:r w:rsidR="00210021">
        <w:rPr>
          <w:rFonts w:eastAsia="NovareseCEBook" w:cs="Arial"/>
          <w:szCs w:val="20"/>
        </w:rPr>
        <w:t>spolehlivější</w:t>
      </w:r>
      <w:r w:rsidRPr="00306953">
        <w:rPr>
          <w:rFonts w:eastAsia="NovareseCEBook" w:cs="Arial"/>
          <w:szCs w:val="20"/>
        </w:rPr>
        <w:t>.</w:t>
      </w:r>
    </w:p>
    <w:p w:rsidR="000D192F" w:rsidRDefault="000D192F" w:rsidP="00306953">
      <w:pPr>
        <w:pStyle w:val="Textkomente"/>
        <w:jc w:val="both"/>
        <w:rPr>
          <w:rFonts w:ascii="Arial" w:eastAsia="NovareseCEBook" w:hAnsi="Arial" w:cs="Arial"/>
          <w:lang w:eastAsia="cs-CZ"/>
        </w:rPr>
      </w:pPr>
    </w:p>
    <w:p w:rsidR="000D192F" w:rsidRDefault="000D192F" w:rsidP="00306953">
      <w:pPr>
        <w:pStyle w:val="Textkomente"/>
        <w:jc w:val="both"/>
        <w:rPr>
          <w:rFonts w:ascii="Arial" w:eastAsia="NovareseCEBook" w:hAnsi="Arial" w:cs="Arial"/>
          <w:lang w:eastAsia="cs-CZ"/>
        </w:rPr>
      </w:pPr>
    </w:p>
    <w:p w:rsidR="002D30E9" w:rsidRDefault="00306953" w:rsidP="002D30E9">
      <w:pPr>
        <w:pStyle w:val="Textkomente"/>
        <w:spacing w:after="120"/>
        <w:jc w:val="both"/>
        <w:rPr>
          <w:rFonts w:ascii="Arial" w:eastAsia="NovareseCEBook" w:hAnsi="Arial" w:cs="Arial"/>
          <w:lang w:eastAsia="cs-CZ"/>
        </w:rPr>
      </w:pPr>
      <w:r w:rsidRPr="00306953">
        <w:rPr>
          <w:rFonts w:ascii="Arial" w:eastAsia="NovareseCEBook" w:hAnsi="Arial" w:cs="Arial"/>
          <w:lang w:eastAsia="cs-CZ"/>
        </w:rPr>
        <w:t xml:space="preserve">Pro přehlednost a možnost porovnání různých indikátorů se v této práci omezíme na </w:t>
      </w:r>
      <w:r w:rsidR="00660E3D">
        <w:rPr>
          <w:rFonts w:ascii="Arial" w:eastAsia="NovareseCEBook" w:hAnsi="Arial" w:cs="Arial"/>
          <w:lang w:eastAsia="cs-CZ"/>
        </w:rPr>
        <w:t xml:space="preserve">základní </w:t>
      </w:r>
      <w:r w:rsidR="002D30E9">
        <w:rPr>
          <w:rFonts w:ascii="Arial" w:eastAsia="NovareseCEBook" w:hAnsi="Arial" w:cs="Arial"/>
          <w:lang w:eastAsia="cs-CZ"/>
        </w:rPr>
        <w:t xml:space="preserve">aktuální </w:t>
      </w:r>
      <w:r w:rsidR="00660E3D">
        <w:rPr>
          <w:rFonts w:ascii="Arial" w:eastAsia="NovareseCEBook" w:hAnsi="Arial" w:cs="Arial"/>
          <w:lang w:eastAsia="cs-CZ"/>
        </w:rPr>
        <w:t xml:space="preserve">údaje za Českou republiku ze statistických sběrů MŠMT </w:t>
      </w:r>
      <w:r w:rsidR="0054161F">
        <w:rPr>
          <w:rFonts w:ascii="Arial" w:eastAsia="NovareseCEBook" w:hAnsi="Arial" w:cs="Arial"/>
          <w:lang w:eastAsia="cs-CZ"/>
        </w:rPr>
        <w:t xml:space="preserve">a </w:t>
      </w:r>
      <w:r w:rsidRPr="00306953">
        <w:rPr>
          <w:rFonts w:ascii="Arial" w:eastAsia="NovareseCEBook" w:hAnsi="Arial" w:cs="Arial"/>
          <w:lang w:eastAsia="cs-CZ"/>
        </w:rPr>
        <w:t xml:space="preserve">údaje </w:t>
      </w:r>
      <w:r w:rsidR="00660E3D">
        <w:rPr>
          <w:rFonts w:ascii="Arial" w:eastAsia="NovareseCEBook" w:hAnsi="Arial" w:cs="Arial"/>
          <w:lang w:eastAsia="cs-CZ"/>
        </w:rPr>
        <w:t>a data sebraná</w:t>
      </w:r>
      <w:r w:rsidRPr="00306953">
        <w:rPr>
          <w:rFonts w:ascii="Arial" w:eastAsia="NovareseCEBook" w:hAnsi="Arial" w:cs="Arial"/>
          <w:lang w:eastAsia="cs-CZ"/>
        </w:rPr>
        <w:t xml:space="preserve"> </w:t>
      </w:r>
      <w:r w:rsidR="00660E3D">
        <w:rPr>
          <w:rFonts w:ascii="Arial" w:eastAsia="NovareseCEBook" w:hAnsi="Arial" w:cs="Arial"/>
          <w:lang w:eastAsia="cs-CZ"/>
        </w:rPr>
        <w:t xml:space="preserve">od zemí OECD </w:t>
      </w:r>
      <w:r w:rsidRPr="00306953">
        <w:rPr>
          <w:rFonts w:ascii="Arial" w:eastAsia="NovareseCEBook" w:hAnsi="Arial" w:cs="Arial"/>
          <w:lang w:eastAsia="cs-CZ"/>
        </w:rPr>
        <w:t>pomocí dotazníků UOE</w:t>
      </w:r>
      <w:r w:rsidR="00660E3D">
        <w:rPr>
          <w:rFonts w:ascii="Arial" w:eastAsia="NovareseCEBook" w:hAnsi="Arial" w:cs="Arial"/>
          <w:lang w:eastAsia="cs-CZ"/>
        </w:rPr>
        <w:t>, přičemž s</w:t>
      </w:r>
      <w:r w:rsidRPr="00306953">
        <w:rPr>
          <w:rFonts w:ascii="Arial" w:eastAsia="NovareseCEBook" w:hAnsi="Arial" w:cs="Arial"/>
          <w:lang w:eastAsia="cs-CZ"/>
        </w:rPr>
        <w:t xml:space="preserve">těžejním zdrojem budou publikace </w:t>
      </w:r>
      <w:proofErr w:type="spellStart"/>
      <w:r w:rsidRPr="00306953">
        <w:rPr>
          <w:rFonts w:ascii="Arial" w:eastAsia="NovareseCEBook" w:hAnsi="Arial" w:cs="Arial"/>
          <w:lang w:eastAsia="cs-CZ"/>
        </w:rPr>
        <w:t>Education</w:t>
      </w:r>
      <w:proofErr w:type="spellEnd"/>
      <w:r w:rsidRPr="00306953">
        <w:rPr>
          <w:rFonts w:ascii="Arial" w:eastAsia="NovareseCEBook" w:hAnsi="Arial" w:cs="Arial"/>
          <w:lang w:eastAsia="cs-CZ"/>
        </w:rPr>
        <w:t xml:space="preserve"> </w:t>
      </w:r>
      <w:proofErr w:type="spellStart"/>
      <w:r w:rsidRPr="00306953">
        <w:rPr>
          <w:rFonts w:ascii="Arial" w:eastAsia="NovareseCEBook" w:hAnsi="Arial" w:cs="Arial"/>
          <w:lang w:eastAsia="cs-CZ"/>
        </w:rPr>
        <w:t>at</w:t>
      </w:r>
      <w:proofErr w:type="spellEnd"/>
      <w:r w:rsidRPr="00306953">
        <w:rPr>
          <w:rFonts w:ascii="Arial" w:eastAsia="NovareseCEBook" w:hAnsi="Arial" w:cs="Arial"/>
          <w:lang w:eastAsia="cs-CZ"/>
        </w:rPr>
        <w:t xml:space="preserve"> a </w:t>
      </w:r>
      <w:proofErr w:type="spellStart"/>
      <w:r w:rsidRPr="00306953">
        <w:rPr>
          <w:rFonts w:ascii="Arial" w:eastAsia="NovareseCEBook" w:hAnsi="Arial" w:cs="Arial"/>
          <w:lang w:eastAsia="cs-CZ"/>
        </w:rPr>
        <w:t>Glance</w:t>
      </w:r>
      <w:proofErr w:type="spellEnd"/>
      <w:r w:rsidRPr="00306953">
        <w:rPr>
          <w:rFonts w:ascii="Arial" w:eastAsia="NovareseCEBook" w:hAnsi="Arial" w:cs="Arial"/>
          <w:lang w:eastAsia="cs-CZ"/>
        </w:rPr>
        <w:t xml:space="preserve"> z roků </w:t>
      </w:r>
      <w:hyperlink r:id="rId28" w:history="1">
        <w:r w:rsidRPr="00306953">
          <w:rPr>
            <w:rStyle w:val="Hypertextovodkaz"/>
            <w:rFonts w:ascii="Arial" w:eastAsia="NovareseCEBook" w:hAnsi="Arial" w:cs="Arial"/>
            <w:lang w:eastAsia="cs-CZ"/>
          </w:rPr>
          <w:t>2014</w:t>
        </w:r>
      </w:hyperlink>
      <w:r w:rsidRPr="00306953">
        <w:rPr>
          <w:rFonts w:ascii="Arial" w:eastAsia="NovareseCEBook" w:hAnsi="Arial" w:cs="Arial"/>
          <w:lang w:eastAsia="cs-CZ"/>
        </w:rPr>
        <w:t xml:space="preserve"> a </w:t>
      </w:r>
      <w:hyperlink r:id="rId29" w:history="1">
        <w:r w:rsidRPr="00306953">
          <w:rPr>
            <w:rStyle w:val="Hypertextovodkaz"/>
            <w:rFonts w:ascii="Arial" w:eastAsia="NovareseCEBook" w:hAnsi="Arial" w:cs="Arial"/>
            <w:lang w:eastAsia="cs-CZ"/>
          </w:rPr>
          <w:t>2015</w:t>
        </w:r>
      </w:hyperlink>
      <w:r w:rsidRPr="00306953">
        <w:rPr>
          <w:rFonts w:ascii="Arial" w:eastAsia="NovareseCEBook" w:hAnsi="Arial" w:cs="Arial"/>
          <w:lang w:eastAsia="cs-CZ"/>
        </w:rPr>
        <w:t>.</w:t>
      </w:r>
      <w:r w:rsidR="002D30E9">
        <w:rPr>
          <w:rFonts w:ascii="Arial" w:eastAsia="NovareseCEBook" w:hAnsi="Arial" w:cs="Arial"/>
          <w:lang w:eastAsia="cs-CZ"/>
        </w:rPr>
        <w:t xml:space="preserve"> V těchto publikacích </w:t>
      </w:r>
      <w:proofErr w:type="spellStart"/>
      <w:r w:rsidR="002D30E9">
        <w:rPr>
          <w:rFonts w:ascii="Arial" w:eastAsia="NovareseCEBook" w:hAnsi="Arial" w:cs="Arial"/>
          <w:lang w:eastAsia="cs-CZ"/>
        </w:rPr>
        <w:t>Education</w:t>
      </w:r>
      <w:proofErr w:type="spellEnd"/>
      <w:r w:rsidR="002D30E9">
        <w:rPr>
          <w:rFonts w:ascii="Arial" w:eastAsia="NovareseCEBook" w:hAnsi="Arial" w:cs="Arial"/>
          <w:lang w:eastAsia="cs-CZ"/>
        </w:rPr>
        <w:t xml:space="preserve"> </w:t>
      </w:r>
      <w:proofErr w:type="spellStart"/>
      <w:r w:rsidR="002D30E9">
        <w:rPr>
          <w:rFonts w:ascii="Arial" w:eastAsia="NovareseCEBook" w:hAnsi="Arial" w:cs="Arial"/>
          <w:lang w:eastAsia="cs-CZ"/>
        </w:rPr>
        <w:t>at</w:t>
      </w:r>
      <w:proofErr w:type="spellEnd"/>
      <w:r w:rsidR="002D30E9">
        <w:rPr>
          <w:rFonts w:ascii="Arial" w:eastAsia="NovareseCEBook" w:hAnsi="Arial" w:cs="Arial"/>
          <w:lang w:eastAsia="cs-CZ"/>
        </w:rPr>
        <w:t xml:space="preserve"> a </w:t>
      </w:r>
      <w:proofErr w:type="spellStart"/>
      <w:r w:rsidR="002D30E9">
        <w:rPr>
          <w:rFonts w:ascii="Arial" w:eastAsia="NovareseCEBook" w:hAnsi="Arial" w:cs="Arial"/>
          <w:lang w:eastAsia="cs-CZ"/>
        </w:rPr>
        <w:t>Glance</w:t>
      </w:r>
      <w:proofErr w:type="spellEnd"/>
      <w:r w:rsidR="002D30E9">
        <w:rPr>
          <w:rFonts w:ascii="Arial" w:eastAsia="NovareseCEBook" w:hAnsi="Arial" w:cs="Arial"/>
          <w:lang w:eastAsia="cs-CZ"/>
        </w:rPr>
        <w:t xml:space="preserve"> jsou data</w:t>
      </w:r>
      <w:r w:rsidR="002D30E9" w:rsidRPr="002D30E9">
        <w:rPr>
          <w:rFonts w:ascii="Arial" w:eastAsia="NovareseCEBook" w:hAnsi="Arial" w:cs="Arial"/>
          <w:lang w:eastAsia="cs-CZ"/>
        </w:rPr>
        <w:t xml:space="preserve"> zveřejňována s časovým odstupem, </w:t>
      </w:r>
      <w:r w:rsidR="002D30E9">
        <w:rPr>
          <w:rFonts w:ascii="Arial" w:eastAsia="NovareseCEBook" w:hAnsi="Arial" w:cs="Arial"/>
          <w:lang w:eastAsia="cs-CZ"/>
        </w:rPr>
        <w:t>v mezinárodním srovnání tak budeme porovnávat údaje za roky 2012 či 2013 a starší.</w:t>
      </w:r>
      <w:r w:rsidRPr="00306953">
        <w:rPr>
          <w:rFonts w:ascii="Arial" w:eastAsia="NovareseCEBook" w:hAnsi="Arial" w:cs="Arial"/>
          <w:lang w:eastAsia="cs-CZ"/>
        </w:rPr>
        <w:t xml:space="preserve"> </w:t>
      </w:r>
    </w:p>
    <w:p w:rsidR="00306953" w:rsidRPr="00306953" w:rsidRDefault="00306953" w:rsidP="00306953">
      <w:pPr>
        <w:pStyle w:val="Textkomente"/>
        <w:jc w:val="both"/>
        <w:rPr>
          <w:rFonts w:ascii="Arial" w:eastAsia="NovareseCEBook" w:hAnsi="Arial" w:cs="Arial"/>
          <w:lang w:eastAsia="cs-CZ"/>
        </w:rPr>
      </w:pPr>
      <w:r w:rsidRPr="00306953">
        <w:rPr>
          <w:rFonts w:ascii="Arial" w:eastAsia="NovareseCEBook" w:hAnsi="Arial" w:cs="Arial"/>
          <w:lang w:eastAsia="cs-CZ"/>
        </w:rPr>
        <w:t>V publikaci</w:t>
      </w:r>
      <w:r w:rsidR="002D30E9">
        <w:rPr>
          <w:rFonts w:ascii="Arial" w:eastAsia="NovareseCEBook" w:hAnsi="Arial" w:cs="Arial"/>
          <w:lang w:eastAsia="cs-CZ"/>
        </w:rPr>
        <w:t xml:space="preserve"> </w:t>
      </w:r>
      <w:proofErr w:type="spellStart"/>
      <w:r w:rsidR="002D30E9">
        <w:rPr>
          <w:rFonts w:ascii="Arial" w:eastAsia="NovareseCEBook" w:hAnsi="Arial" w:cs="Arial"/>
          <w:lang w:eastAsia="cs-CZ"/>
        </w:rPr>
        <w:t>Education</w:t>
      </w:r>
      <w:proofErr w:type="spellEnd"/>
      <w:r w:rsidR="002D30E9">
        <w:rPr>
          <w:rFonts w:ascii="Arial" w:eastAsia="NovareseCEBook" w:hAnsi="Arial" w:cs="Arial"/>
          <w:lang w:eastAsia="cs-CZ"/>
        </w:rPr>
        <w:t xml:space="preserve"> </w:t>
      </w:r>
      <w:proofErr w:type="spellStart"/>
      <w:r w:rsidR="002D30E9">
        <w:rPr>
          <w:rFonts w:ascii="Arial" w:eastAsia="NovareseCEBook" w:hAnsi="Arial" w:cs="Arial"/>
          <w:lang w:eastAsia="cs-CZ"/>
        </w:rPr>
        <w:t>at</w:t>
      </w:r>
      <w:proofErr w:type="spellEnd"/>
      <w:r w:rsidR="002D30E9">
        <w:rPr>
          <w:rFonts w:ascii="Arial" w:eastAsia="NovareseCEBook" w:hAnsi="Arial" w:cs="Arial"/>
          <w:lang w:eastAsia="cs-CZ"/>
        </w:rPr>
        <w:t xml:space="preserve"> a </w:t>
      </w:r>
      <w:proofErr w:type="spellStart"/>
      <w:r w:rsidR="002D30E9">
        <w:rPr>
          <w:rFonts w:ascii="Arial" w:eastAsia="NovareseCEBook" w:hAnsi="Arial" w:cs="Arial"/>
          <w:lang w:eastAsia="cs-CZ"/>
        </w:rPr>
        <w:t>Glance</w:t>
      </w:r>
      <w:proofErr w:type="spellEnd"/>
      <w:r w:rsidR="002D30E9">
        <w:rPr>
          <w:rFonts w:ascii="Arial" w:eastAsia="NovareseCEBook" w:hAnsi="Arial" w:cs="Arial"/>
          <w:lang w:eastAsia="cs-CZ"/>
        </w:rPr>
        <w:t>, jakož i </w:t>
      </w:r>
      <w:r w:rsidRPr="00306953">
        <w:rPr>
          <w:rFonts w:ascii="Arial" w:eastAsia="NovareseCEBook" w:hAnsi="Arial" w:cs="Arial"/>
          <w:lang w:eastAsia="cs-CZ"/>
        </w:rPr>
        <w:t>v jiných mezinárodních výstupech, je vzdělávání rozděleno</w:t>
      </w:r>
      <w:r w:rsidR="002D30E9">
        <w:rPr>
          <w:rFonts w:ascii="Arial" w:eastAsia="NovareseCEBook" w:hAnsi="Arial" w:cs="Arial"/>
          <w:lang w:eastAsia="cs-CZ"/>
        </w:rPr>
        <w:t xml:space="preserve"> do jednotlivých úrovní</w:t>
      </w:r>
      <w:r w:rsidRPr="00306953">
        <w:rPr>
          <w:rFonts w:ascii="Arial" w:eastAsia="NovareseCEBook" w:hAnsi="Arial" w:cs="Arial"/>
          <w:lang w:eastAsia="cs-CZ"/>
        </w:rPr>
        <w:t xml:space="preserve"> </w:t>
      </w:r>
      <w:r w:rsidRPr="00306953">
        <w:rPr>
          <w:rFonts w:ascii="Arial" w:eastAsia="NovareseCEBook" w:hAnsi="Arial" w:cs="Arial"/>
          <w:b/>
          <w:lang w:eastAsia="cs-CZ"/>
        </w:rPr>
        <w:t>dle klasifikace ISCED</w:t>
      </w:r>
      <w:r w:rsidRPr="00306953">
        <w:rPr>
          <w:rFonts w:ascii="Arial" w:eastAsia="NovareseCEBook" w:hAnsi="Arial" w:cs="Arial"/>
          <w:lang w:eastAsia="cs-CZ"/>
        </w:rPr>
        <w:t xml:space="preserve">, a sice zpravidla na vzdělávání na </w:t>
      </w:r>
      <w:proofErr w:type="spellStart"/>
      <w:r w:rsidRPr="00306953">
        <w:rPr>
          <w:rFonts w:ascii="Arial" w:eastAsia="NovareseCEBook" w:hAnsi="Arial" w:cs="Arial"/>
          <w:lang w:eastAsia="cs-CZ"/>
        </w:rPr>
        <w:t>preprimární</w:t>
      </w:r>
      <w:proofErr w:type="spellEnd"/>
      <w:r w:rsidRPr="00306953">
        <w:rPr>
          <w:rFonts w:ascii="Arial" w:eastAsia="NovareseCEBook" w:hAnsi="Arial" w:cs="Arial"/>
          <w:lang w:eastAsia="cs-CZ"/>
        </w:rPr>
        <w:t xml:space="preserve"> úrovni (neboli vzdělávání v raném dětství), na primární úrovni, nižší sekundární, vyšší sekundární, postsekundární neterciární a terciární úrovni (terciární úroveň může být dále dělena na několik </w:t>
      </w:r>
      <w:r w:rsidR="00B57476">
        <w:rPr>
          <w:rFonts w:ascii="Arial" w:eastAsia="NovareseCEBook" w:hAnsi="Arial" w:cs="Arial"/>
          <w:lang w:eastAsia="cs-CZ"/>
        </w:rPr>
        <w:t xml:space="preserve">dílčích </w:t>
      </w:r>
      <w:r w:rsidRPr="00306953">
        <w:rPr>
          <w:rFonts w:ascii="Arial" w:eastAsia="NovareseCEBook" w:hAnsi="Arial" w:cs="Arial"/>
          <w:lang w:eastAsia="cs-CZ"/>
        </w:rPr>
        <w:t xml:space="preserve">úrovní). V publikaci </w:t>
      </w:r>
      <w:proofErr w:type="spellStart"/>
      <w:r w:rsidRPr="00306953">
        <w:rPr>
          <w:rFonts w:ascii="Arial" w:eastAsia="NovareseCEBook" w:hAnsi="Arial" w:cs="Arial"/>
          <w:lang w:eastAsia="cs-CZ"/>
        </w:rPr>
        <w:t>Education</w:t>
      </w:r>
      <w:proofErr w:type="spellEnd"/>
      <w:r w:rsidRPr="00306953">
        <w:rPr>
          <w:rFonts w:ascii="Arial" w:eastAsia="NovareseCEBook" w:hAnsi="Arial" w:cs="Arial"/>
          <w:lang w:eastAsia="cs-CZ"/>
        </w:rPr>
        <w:t xml:space="preserve"> </w:t>
      </w:r>
      <w:proofErr w:type="spellStart"/>
      <w:r w:rsidRPr="00306953">
        <w:rPr>
          <w:rFonts w:ascii="Arial" w:eastAsia="NovareseCEBook" w:hAnsi="Arial" w:cs="Arial"/>
          <w:lang w:eastAsia="cs-CZ"/>
        </w:rPr>
        <w:t>at</w:t>
      </w:r>
      <w:proofErr w:type="spellEnd"/>
      <w:r w:rsidRPr="00306953">
        <w:rPr>
          <w:rFonts w:ascii="Arial" w:eastAsia="NovareseCEBook" w:hAnsi="Arial" w:cs="Arial"/>
          <w:lang w:eastAsia="cs-CZ"/>
        </w:rPr>
        <w:t xml:space="preserve"> a </w:t>
      </w:r>
      <w:proofErr w:type="spellStart"/>
      <w:r w:rsidRPr="00306953">
        <w:rPr>
          <w:rFonts w:ascii="Arial" w:eastAsia="NovareseCEBook" w:hAnsi="Arial" w:cs="Arial"/>
          <w:lang w:eastAsia="cs-CZ"/>
        </w:rPr>
        <w:t>Glance</w:t>
      </w:r>
      <w:proofErr w:type="spellEnd"/>
      <w:r w:rsidRPr="00306953">
        <w:rPr>
          <w:rFonts w:ascii="Arial" w:eastAsia="NovareseCEBook" w:hAnsi="Arial" w:cs="Arial"/>
          <w:lang w:eastAsia="cs-CZ"/>
        </w:rPr>
        <w:t xml:space="preserve"> 2014 se používá klasifikace </w:t>
      </w:r>
      <w:hyperlink r:id="rId30" w:history="1">
        <w:r w:rsidRPr="00306953">
          <w:rPr>
            <w:rStyle w:val="Hypertextovodkaz"/>
            <w:rFonts w:ascii="Arial" w:eastAsia="NovareseCEBook" w:hAnsi="Arial" w:cs="Arial"/>
            <w:lang w:eastAsia="cs-CZ"/>
          </w:rPr>
          <w:t>ISCED 1997</w:t>
        </w:r>
      </w:hyperlink>
      <w:r w:rsidR="00660E3D">
        <w:rPr>
          <w:rFonts w:ascii="Arial" w:eastAsia="NovareseCEBook" w:hAnsi="Arial" w:cs="Arial"/>
          <w:lang w:eastAsia="cs-CZ"/>
        </w:rPr>
        <w:t>. V</w:t>
      </w:r>
      <w:r w:rsidRPr="00306953">
        <w:rPr>
          <w:rFonts w:ascii="Arial" w:eastAsia="NovareseCEBook" w:hAnsi="Arial" w:cs="Arial"/>
          <w:lang w:eastAsia="cs-CZ"/>
        </w:rPr>
        <w:t xml:space="preserve"> roce 2011 </w:t>
      </w:r>
      <w:r w:rsidR="00660E3D">
        <w:rPr>
          <w:rFonts w:ascii="Arial" w:eastAsia="NovareseCEBook" w:hAnsi="Arial" w:cs="Arial"/>
          <w:lang w:eastAsia="cs-CZ"/>
        </w:rPr>
        <w:t xml:space="preserve">však </w:t>
      </w:r>
      <w:r w:rsidRPr="00306953">
        <w:rPr>
          <w:rFonts w:ascii="Arial" w:eastAsia="NovareseCEBook" w:hAnsi="Arial" w:cs="Arial"/>
          <w:lang w:eastAsia="cs-CZ"/>
        </w:rPr>
        <w:t xml:space="preserve">byla přijata revize klasifikace ISCED (viz </w:t>
      </w:r>
      <w:hyperlink r:id="rId31" w:history="1">
        <w:r w:rsidRPr="00306953">
          <w:rPr>
            <w:rStyle w:val="Hypertextovodkaz"/>
            <w:rFonts w:ascii="Arial" w:eastAsia="NovareseCEBook" w:hAnsi="Arial" w:cs="Arial"/>
            <w:lang w:eastAsia="cs-CZ"/>
          </w:rPr>
          <w:t>webové stránky UNESCO</w:t>
        </w:r>
      </w:hyperlink>
      <w:r w:rsidRPr="00306953">
        <w:rPr>
          <w:rFonts w:ascii="Arial" w:eastAsia="NovareseCEBook" w:hAnsi="Arial" w:cs="Arial"/>
          <w:lang w:eastAsia="cs-CZ"/>
        </w:rPr>
        <w:t xml:space="preserve">), </w:t>
      </w:r>
      <w:r w:rsidR="00660E3D">
        <w:rPr>
          <w:rFonts w:ascii="Arial" w:eastAsia="NovareseCEBook" w:hAnsi="Arial" w:cs="Arial"/>
          <w:lang w:eastAsia="cs-CZ"/>
        </w:rPr>
        <w:t>která měla být na národní úrovni zavedena do praxe</w:t>
      </w:r>
      <w:r w:rsidRPr="00306953">
        <w:rPr>
          <w:rFonts w:ascii="Arial" w:eastAsia="NovareseCEBook" w:hAnsi="Arial" w:cs="Arial"/>
          <w:lang w:eastAsia="cs-CZ"/>
        </w:rPr>
        <w:t xml:space="preserve"> do roku 2013. Od té doby se tedy data vykazují podle nové klasifikace. Členění dat podle nové klasifikace pak bylo poprvé publikováno v </w:t>
      </w:r>
      <w:proofErr w:type="spellStart"/>
      <w:r w:rsidR="00660E3D" w:rsidRPr="00306953">
        <w:rPr>
          <w:rFonts w:ascii="Arial" w:eastAsia="NovareseCEBook" w:hAnsi="Arial" w:cs="Arial"/>
          <w:lang w:eastAsia="cs-CZ"/>
        </w:rPr>
        <w:t>Education</w:t>
      </w:r>
      <w:proofErr w:type="spellEnd"/>
      <w:r w:rsidR="00660E3D" w:rsidRPr="00306953">
        <w:rPr>
          <w:rFonts w:ascii="Arial" w:eastAsia="NovareseCEBook" w:hAnsi="Arial" w:cs="Arial"/>
          <w:lang w:eastAsia="cs-CZ"/>
        </w:rPr>
        <w:t xml:space="preserve"> </w:t>
      </w:r>
      <w:proofErr w:type="spellStart"/>
      <w:r w:rsidR="00660E3D" w:rsidRPr="00306953">
        <w:rPr>
          <w:rFonts w:ascii="Arial" w:eastAsia="NovareseCEBook" w:hAnsi="Arial" w:cs="Arial"/>
          <w:lang w:eastAsia="cs-CZ"/>
        </w:rPr>
        <w:t>at</w:t>
      </w:r>
      <w:proofErr w:type="spellEnd"/>
      <w:r w:rsidR="00660E3D" w:rsidRPr="00306953">
        <w:rPr>
          <w:rFonts w:ascii="Arial" w:eastAsia="NovareseCEBook" w:hAnsi="Arial" w:cs="Arial"/>
          <w:lang w:eastAsia="cs-CZ"/>
        </w:rPr>
        <w:t xml:space="preserve"> a </w:t>
      </w:r>
      <w:proofErr w:type="spellStart"/>
      <w:r w:rsidR="00660E3D" w:rsidRPr="00306953">
        <w:rPr>
          <w:rFonts w:ascii="Arial" w:eastAsia="NovareseCEBook" w:hAnsi="Arial" w:cs="Arial"/>
          <w:lang w:eastAsia="cs-CZ"/>
        </w:rPr>
        <w:t>Glance</w:t>
      </w:r>
      <w:proofErr w:type="spellEnd"/>
      <w:r w:rsidR="00660E3D" w:rsidRPr="00306953">
        <w:rPr>
          <w:rFonts w:ascii="Arial" w:eastAsia="NovareseCEBook" w:hAnsi="Arial" w:cs="Arial"/>
          <w:lang w:eastAsia="cs-CZ"/>
        </w:rPr>
        <w:t xml:space="preserve"> </w:t>
      </w:r>
      <w:r w:rsidRPr="00306953">
        <w:rPr>
          <w:rFonts w:ascii="Arial" w:eastAsia="NovareseCEBook" w:hAnsi="Arial" w:cs="Arial"/>
          <w:lang w:eastAsia="cs-CZ"/>
        </w:rPr>
        <w:t xml:space="preserve">2015. Aktuální zařazení vzdělávacích programů v ČR do klasifikace </w:t>
      </w:r>
      <w:hyperlink r:id="rId32" w:history="1">
        <w:r w:rsidRPr="00306953">
          <w:rPr>
            <w:rStyle w:val="Hypertextovodkaz"/>
            <w:rFonts w:ascii="Arial" w:eastAsia="NovareseCEBook" w:hAnsi="Arial" w:cs="Arial"/>
            <w:lang w:eastAsia="cs-CZ"/>
          </w:rPr>
          <w:t>ISCED 2011</w:t>
        </w:r>
      </w:hyperlink>
      <w:r w:rsidRPr="00306953">
        <w:rPr>
          <w:rFonts w:ascii="Arial" w:eastAsia="NovareseCEBook" w:hAnsi="Arial" w:cs="Arial"/>
          <w:lang w:eastAsia="cs-CZ"/>
        </w:rPr>
        <w:t xml:space="preserve"> je uvedeno v tabulce č. 1.</w:t>
      </w:r>
    </w:p>
    <w:p w:rsidR="00306953" w:rsidRPr="00306953" w:rsidRDefault="00306953" w:rsidP="00306953">
      <w:pPr>
        <w:autoSpaceDE w:val="0"/>
        <w:autoSpaceDN w:val="0"/>
        <w:adjustRightInd w:val="0"/>
        <w:spacing w:after="120" w:line="240" w:lineRule="auto"/>
        <w:jc w:val="both"/>
        <w:rPr>
          <w:rFonts w:eastAsia="NovareseCEBook" w:cs="Arial"/>
        </w:rPr>
      </w:pPr>
    </w:p>
    <w:p w:rsidR="00306953" w:rsidRPr="00306953" w:rsidRDefault="00306953" w:rsidP="00306953">
      <w:pPr>
        <w:keepNext/>
        <w:autoSpaceDE w:val="0"/>
        <w:autoSpaceDN w:val="0"/>
        <w:adjustRightInd w:val="0"/>
        <w:spacing w:after="120" w:line="240" w:lineRule="auto"/>
        <w:jc w:val="both"/>
        <w:rPr>
          <w:rFonts w:eastAsia="NovareseCEBook" w:cs="Arial"/>
          <w:b/>
        </w:rPr>
      </w:pPr>
      <w:r w:rsidRPr="00306953">
        <w:rPr>
          <w:rFonts w:eastAsia="NovareseCEBook" w:cs="Arial"/>
          <w:b/>
        </w:rPr>
        <w:lastRenderedPageBreak/>
        <w:t>Tabulka č. 1 Vzdělávací programy vzdělávacího systému v ČR dle klasifikace ISCED 2011</w:t>
      </w:r>
    </w:p>
    <w:tbl>
      <w:tblPr>
        <w:tblW w:w="9228" w:type="dxa"/>
        <w:tblInd w:w="70" w:type="dxa"/>
        <w:tblLayout w:type="fixed"/>
        <w:tblCellMar>
          <w:left w:w="70" w:type="dxa"/>
          <w:right w:w="70" w:type="dxa"/>
        </w:tblCellMar>
        <w:tblLook w:val="04A0"/>
      </w:tblPr>
      <w:tblGrid>
        <w:gridCol w:w="1057"/>
        <w:gridCol w:w="1992"/>
        <w:gridCol w:w="6179"/>
      </w:tblGrid>
      <w:tr w:rsidR="00306953" w:rsidRPr="00306953" w:rsidTr="002E78B6">
        <w:trPr>
          <w:trHeight w:val="947"/>
        </w:trPr>
        <w:tc>
          <w:tcPr>
            <w:tcW w:w="1057" w:type="dxa"/>
            <w:tcBorders>
              <w:top w:val="double" w:sz="6" w:space="0" w:color="auto"/>
              <w:left w:val="double" w:sz="6" w:space="0" w:color="auto"/>
              <w:bottom w:val="double" w:sz="6" w:space="0" w:color="auto"/>
              <w:right w:val="single" w:sz="4" w:space="0" w:color="auto"/>
            </w:tcBorders>
            <w:shd w:val="clear" w:color="auto" w:fill="FFCCCC"/>
            <w:vAlign w:val="center"/>
            <w:hideMark/>
          </w:tcPr>
          <w:p w:rsidR="00306953" w:rsidRPr="00306953" w:rsidRDefault="00E031F1" w:rsidP="00306953">
            <w:pPr>
              <w:keepNext/>
              <w:spacing w:before="60" w:after="60"/>
              <w:jc w:val="center"/>
              <w:rPr>
                <w:rFonts w:cs="Arial"/>
                <w:b/>
                <w:bCs/>
                <w:color w:val="000000"/>
                <w:sz w:val="16"/>
                <w:szCs w:val="16"/>
              </w:rPr>
            </w:pPr>
            <w:r>
              <w:rPr>
                <w:rFonts w:cs="Arial"/>
                <w:b/>
                <w:bCs/>
                <w:color w:val="000000"/>
                <w:sz w:val="16"/>
                <w:szCs w:val="16"/>
              </w:rPr>
              <w:t>ú</w:t>
            </w:r>
            <w:r w:rsidR="00306953" w:rsidRPr="00306953">
              <w:rPr>
                <w:rFonts w:cs="Arial"/>
                <w:b/>
                <w:bCs/>
                <w:color w:val="000000"/>
                <w:sz w:val="16"/>
                <w:szCs w:val="16"/>
              </w:rPr>
              <w:t>roveň ISCED-P 2011</w:t>
            </w:r>
          </w:p>
        </w:tc>
        <w:tc>
          <w:tcPr>
            <w:tcW w:w="1992" w:type="dxa"/>
            <w:tcBorders>
              <w:top w:val="double" w:sz="6" w:space="0" w:color="auto"/>
              <w:left w:val="nil"/>
              <w:bottom w:val="double" w:sz="6" w:space="0" w:color="auto"/>
              <w:right w:val="single" w:sz="4" w:space="0" w:color="auto"/>
            </w:tcBorders>
            <w:shd w:val="clear" w:color="auto" w:fill="FFCCCC"/>
            <w:vAlign w:val="center"/>
            <w:hideMark/>
          </w:tcPr>
          <w:p w:rsidR="00306953" w:rsidRPr="00306953" w:rsidRDefault="00E031F1" w:rsidP="00306953">
            <w:pPr>
              <w:keepNext/>
              <w:spacing w:before="60" w:after="60"/>
              <w:jc w:val="center"/>
              <w:rPr>
                <w:rFonts w:cs="Arial"/>
                <w:b/>
                <w:bCs/>
                <w:color w:val="000000"/>
                <w:sz w:val="16"/>
                <w:szCs w:val="16"/>
              </w:rPr>
            </w:pPr>
            <w:r>
              <w:rPr>
                <w:rFonts w:cs="Arial"/>
                <w:b/>
                <w:bCs/>
                <w:color w:val="000000"/>
                <w:sz w:val="16"/>
                <w:szCs w:val="16"/>
              </w:rPr>
              <w:t>n</w:t>
            </w:r>
            <w:r w:rsidR="00306953" w:rsidRPr="00306953">
              <w:rPr>
                <w:rFonts w:cs="Arial"/>
                <w:b/>
                <w:bCs/>
                <w:color w:val="000000"/>
                <w:sz w:val="16"/>
                <w:szCs w:val="16"/>
              </w:rPr>
              <w:t>ázev úrovně ISCED-P 2011</w:t>
            </w:r>
          </w:p>
        </w:tc>
        <w:tc>
          <w:tcPr>
            <w:tcW w:w="6179" w:type="dxa"/>
            <w:tcBorders>
              <w:top w:val="double" w:sz="6" w:space="0" w:color="auto"/>
              <w:left w:val="nil"/>
              <w:bottom w:val="double" w:sz="6" w:space="0" w:color="auto"/>
              <w:right w:val="double" w:sz="6" w:space="0" w:color="auto"/>
            </w:tcBorders>
            <w:shd w:val="clear" w:color="auto" w:fill="FFCCCC"/>
            <w:vAlign w:val="center"/>
            <w:hideMark/>
          </w:tcPr>
          <w:p w:rsidR="00306953" w:rsidRPr="00306953" w:rsidRDefault="00E031F1" w:rsidP="00306953">
            <w:pPr>
              <w:keepNext/>
              <w:spacing w:before="60" w:after="60" w:line="240" w:lineRule="auto"/>
              <w:jc w:val="center"/>
              <w:rPr>
                <w:rFonts w:cs="Arial"/>
                <w:b/>
                <w:bCs/>
                <w:color w:val="000000"/>
                <w:sz w:val="16"/>
                <w:szCs w:val="16"/>
              </w:rPr>
            </w:pPr>
            <w:r>
              <w:rPr>
                <w:rFonts w:cs="Arial"/>
                <w:b/>
                <w:bCs/>
                <w:color w:val="000000"/>
                <w:sz w:val="16"/>
                <w:szCs w:val="16"/>
              </w:rPr>
              <w:t>o</w:t>
            </w:r>
            <w:r w:rsidR="00306953" w:rsidRPr="00306953">
              <w:rPr>
                <w:rFonts w:cs="Arial"/>
                <w:b/>
                <w:bCs/>
                <w:color w:val="000000"/>
                <w:sz w:val="16"/>
                <w:szCs w:val="16"/>
              </w:rPr>
              <w:t xml:space="preserve">dpovídající vzdělávací programy </w:t>
            </w:r>
          </w:p>
          <w:p w:rsidR="00306953" w:rsidRPr="00306953" w:rsidRDefault="00306953" w:rsidP="00306953">
            <w:pPr>
              <w:keepNext/>
              <w:spacing w:before="60" w:after="60" w:line="240" w:lineRule="auto"/>
              <w:jc w:val="center"/>
              <w:rPr>
                <w:rFonts w:cs="Arial"/>
                <w:b/>
                <w:bCs/>
                <w:color w:val="000000"/>
                <w:sz w:val="16"/>
                <w:szCs w:val="16"/>
              </w:rPr>
            </w:pPr>
            <w:r w:rsidRPr="00306953">
              <w:rPr>
                <w:rFonts w:cs="Arial"/>
                <w:b/>
                <w:bCs/>
                <w:color w:val="000000"/>
                <w:sz w:val="16"/>
                <w:szCs w:val="16"/>
              </w:rPr>
              <w:t>(případně druh a typ školy, které programy poskytují)</w:t>
            </w:r>
          </w:p>
        </w:tc>
      </w:tr>
      <w:tr w:rsidR="00306953" w:rsidRPr="00306953" w:rsidTr="00306953">
        <w:trPr>
          <w:trHeight w:val="576"/>
        </w:trPr>
        <w:tc>
          <w:tcPr>
            <w:tcW w:w="1057" w:type="dxa"/>
            <w:tcBorders>
              <w:top w:val="nil"/>
              <w:left w:val="double" w:sz="6" w:space="0" w:color="auto"/>
              <w:bottom w:val="single" w:sz="4" w:space="0" w:color="auto"/>
              <w:right w:val="single" w:sz="4" w:space="0" w:color="auto"/>
            </w:tcBorders>
            <w:shd w:val="clear" w:color="auto" w:fill="auto"/>
            <w:hideMark/>
          </w:tcPr>
          <w:p w:rsidR="00306953" w:rsidRPr="00306953" w:rsidRDefault="00306953" w:rsidP="009E2585">
            <w:pPr>
              <w:keepNext/>
              <w:spacing w:before="60" w:after="60"/>
              <w:rPr>
                <w:rFonts w:cs="Arial"/>
                <w:color w:val="000000"/>
                <w:sz w:val="16"/>
                <w:szCs w:val="16"/>
              </w:rPr>
            </w:pPr>
            <w:r w:rsidRPr="00306953">
              <w:rPr>
                <w:rFonts w:cs="Arial"/>
                <w:color w:val="000000"/>
                <w:sz w:val="16"/>
                <w:szCs w:val="16"/>
              </w:rPr>
              <w:t xml:space="preserve"> ISCED 0 </w:t>
            </w:r>
          </w:p>
        </w:tc>
        <w:tc>
          <w:tcPr>
            <w:tcW w:w="1992" w:type="dxa"/>
            <w:tcBorders>
              <w:top w:val="nil"/>
              <w:left w:val="nil"/>
              <w:bottom w:val="single" w:sz="4" w:space="0" w:color="auto"/>
              <w:right w:val="single" w:sz="4" w:space="0" w:color="auto"/>
            </w:tcBorders>
            <w:shd w:val="clear" w:color="auto" w:fill="auto"/>
            <w:hideMark/>
          </w:tcPr>
          <w:p w:rsidR="00306953" w:rsidRPr="00306953" w:rsidRDefault="00E031F1" w:rsidP="00306953">
            <w:pPr>
              <w:keepNext/>
              <w:spacing w:before="60" w:after="60"/>
              <w:rPr>
                <w:rFonts w:cs="Arial"/>
                <w:color w:val="000000"/>
                <w:sz w:val="16"/>
                <w:szCs w:val="16"/>
              </w:rPr>
            </w:pPr>
            <w:r>
              <w:rPr>
                <w:rFonts w:cs="Arial"/>
                <w:color w:val="000000"/>
                <w:sz w:val="16"/>
                <w:szCs w:val="16"/>
              </w:rPr>
              <w:t>v</w:t>
            </w:r>
            <w:r w:rsidR="00306953" w:rsidRPr="00306953">
              <w:rPr>
                <w:rFonts w:cs="Arial"/>
                <w:color w:val="000000"/>
                <w:sz w:val="16"/>
                <w:szCs w:val="16"/>
              </w:rPr>
              <w:t>zdělávání v raném dětství</w:t>
            </w:r>
          </w:p>
        </w:tc>
        <w:tc>
          <w:tcPr>
            <w:tcW w:w="6179" w:type="dxa"/>
            <w:tcBorders>
              <w:top w:val="nil"/>
              <w:left w:val="nil"/>
              <w:bottom w:val="single" w:sz="4" w:space="0" w:color="auto"/>
              <w:right w:val="double" w:sz="6" w:space="0" w:color="auto"/>
            </w:tcBorders>
            <w:shd w:val="clear" w:color="auto" w:fill="auto"/>
            <w:hideMark/>
          </w:tcPr>
          <w:p w:rsidR="00306953" w:rsidRPr="00306953" w:rsidRDefault="00306953" w:rsidP="0052747A">
            <w:pPr>
              <w:pStyle w:val="Odstavecseseznamem"/>
              <w:keepNext/>
              <w:numPr>
                <w:ilvl w:val="0"/>
                <w:numId w:val="1"/>
              </w:numPr>
              <w:spacing w:before="60" w:after="60" w:line="240" w:lineRule="auto"/>
              <w:ind w:left="255" w:hanging="284"/>
              <w:rPr>
                <w:rFonts w:ascii="Arial" w:hAnsi="Arial" w:cs="Arial"/>
                <w:color w:val="000000"/>
                <w:sz w:val="16"/>
                <w:szCs w:val="16"/>
              </w:rPr>
            </w:pPr>
            <w:r w:rsidRPr="00306953">
              <w:rPr>
                <w:rFonts w:ascii="Arial" w:hAnsi="Arial" w:cs="Arial"/>
                <w:color w:val="000000"/>
                <w:sz w:val="16"/>
                <w:szCs w:val="16"/>
              </w:rPr>
              <w:t>mateřská škola (včetně speciální)</w:t>
            </w:r>
          </w:p>
          <w:p w:rsidR="00306953" w:rsidRPr="00306953" w:rsidRDefault="00306953" w:rsidP="0052747A">
            <w:pPr>
              <w:pStyle w:val="Odstavecseseznamem"/>
              <w:keepNext/>
              <w:numPr>
                <w:ilvl w:val="0"/>
                <w:numId w:val="1"/>
              </w:numPr>
              <w:spacing w:before="60" w:after="60" w:line="240" w:lineRule="auto"/>
              <w:ind w:left="255" w:hanging="284"/>
              <w:rPr>
                <w:rFonts w:ascii="Arial" w:hAnsi="Arial" w:cs="Arial"/>
                <w:color w:val="000000"/>
                <w:sz w:val="16"/>
                <w:szCs w:val="16"/>
              </w:rPr>
            </w:pPr>
            <w:r w:rsidRPr="00306953">
              <w:rPr>
                <w:rFonts w:ascii="Arial" w:hAnsi="Arial" w:cs="Arial"/>
                <w:color w:val="000000"/>
                <w:sz w:val="16"/>
                <w:szCs w:val="16"/>
              </w:rPr>
              <w:t>přípravný stupeň základní školy speciální a přípravné třídy základní školy</w:t>
            </w:r>
          </w:p>
        </w:tc>
      </w:tr>
      <w:tr w:rsidR="00306953" w:rsidRPr="00306953" w:rsidTr="00306953">
        <w:trPr>
          <w:trHeight w:val="457"/>
        </w:trPr>
        <w:tc>
          <w:tcPr>
            <w:tcW w:w="1057" w:type="dxa"/>
            <w:tcBorders>
              <w:top w:val="nil"/>
              <w:left w:val="double" w:sz="6" w:space="0" w:color="auto"/>
              <w:bottom w:val="single" w:sz="4" w:space="0" w:color="auto"/>
              <w:right w:val="single" w:sz="4" w:space="0" w:color="auto"/>
            </w:tcBorders>
            <w:shd w:val="clear" w:color="auto" w:fill="auto"/>
            <w:vAlign w:val="center"/>
            <w:hideMark/>
          </w:tcPr>
          <w:p w:rsidR="00306953" w:rsidRPr="00306953" w:rsidRDefault="00306953" w:rsidP="009E2585">
            <w:pPr>
              <w:keepNext/>
              <w:spacing w:before="60" w:after="60"/>
              <w:rPr>
                <w:rFonts w:cs="Arial"/>
                <w:color w:val="000000"/>
                <w:sz w:val="16"/>
                <w:szCs w:val="16"/>
              </w:rPr>
            </w:pPr>
            <w:r w:rsidRPr="00306953">
              <w:rPr>
                <w:rFonts w:cs="Arial"/>
                <w:color w:val="000000"/>
                <w:sz w:val="16"/>
                <w:szCs w:val="16"/>
              </w:rPr>
              <w:t xml:space="preserve">ISCED 1 </w:t>
            </w:r>
          </w:p>
        </w:tc>
        <w:tc>
          <w:tcPr>
            <w:tcW w:w="1992" w:type="dxa"/>
            <w:tcBorders>
              <w:top w:val="nil"/>
              <w:left w:val="nil"/>
              <w:bottom w:val="single" w:sz="4" w:space="0" w:color="auto"/>
              <w:right w:val="single" w:sz="4" w:space="0" w:color="auto"/>
            </w:tcBorders>
            <w:shd w:val="clear" w:color="auto" w:fill="auto"/>
            <w:vAlign w:val="center"/>
            <w:hideMark/>
          </w:tcPr>
          <w:p w:rsidR="00306953" w:rsidRPr="00306953" w:rsidRDefault="00E031F1" w:rsidP="00306953">
            <w:pPr>
              <w:keepNext/>
              <w:spacing w:before="60" w:after="60"/>
              <w:rPr>
                <w:rFonts w:cs="Arial"/>
                <w:color w:val="000000"/>
                <w:sz w:val="16"/>
                <w:szCs w:val="16"/>
              </w:rPr>
            </w:pPr>
            <w:r>
              <w:rPr>
                <w:rFonts w:cs="Arial"/>
                <w:color w:val="000000"/>
                <w:sz w:val="16"/>
                <w:szCs w:val="16"/>
              </w:rPr>
              <w:t>p</w:t>
            </w:r>
            <w:r w:rsidR="00306953" w:rsidRPr="00306953">
              <w:rPr>
                <w:rFonts w:cs="Arial"/>
                <w:color w:val="000000"/>
                <w:sz w:val="16"/>
                <w:szCs w:val="16"/>
              </w:rPr>
              <w:t>rimární vzdělávání</w:t>
            </w:r>
          </w:p>
        </w:tc>
        <w:tc>
          <w:tcPr>
            <w:tcW w:w="6179" w:type="dxa"/>
            <w:tcBorders>
              <w:top w:val="nil"/>
              <w:left w:val="nil"/>
              <w:bottom w:val="single" w:sz="4" w:space="0" w:color="auto"/>
              <w:right w:val="double" w:sz="6" w:space="0" w:color="auto"/>
            </w:tcBorders>
            <w:shd w:val="clear" w:color="auto" w:fill="auto"/>
            <w:vAlign w:val="center"/>
            <w:hideMark/>
          </w:tcPr>
          <w:p w:rsidR="00306953" w:rsidRPr="00306953" w:rsidRDefault="00306953" w:rsidP="0052747A">
            <w:pPr>
              <w:pStyle w:val="Odstavecseseznamem"/>
              <w:keepNext/>
              <w:numPr>
                <w:ilvl w:val="0"/>
                <w:numId w:val="1"/>
              </w:numPr>
              <w:tabs>
                <w:tab w:val="left" w:pos="255"/>
              </w:tabs>
              <w:spacing w:before="60" w:after="60" w:line="240" w:lineRule="auto"/>
              <w:ind w:left="-170" w:firstLine="105"/>
              <w:rPr>
                <w:rFonts w:ascii="Arial" w:hAnsi="Arial" w:cs="Arial"/>
                <w:color w:val="000000"/>
                <w:sz w:val="16"/>
                <w:szCs w:val="16"/>
              </w:rPr>
            </w:pPr>
            <w:r w:rsidRPr="00306953">
              <w:rPr>
                <w:rFonts w:ascii="Arial" w:hAnsi="Arial" w:cs="Arial"/>
                <w:color w:val="000000"/>
                <w:sz w:val="16"/>
                <w:szCs w:val="16"/>
              </w:rPr>
              <w:t xml:space="preserve">1. stupeň základní školy, 1. stupeň základní školy speciální </w:t>
            </w:r>
          </w:p>
        </w:tc>
      </w:tr>
      <w:tr w:rsidR="00306953" w:rsidRPr="00306953" w:rsidTr="00306953">
        <w:trPr>
          <w:trHeight w:val="1356"/>
        </w:trPr>
        <w:tc>
          <w:tcPr>
            <w:tcW w:w="1057" w:type="dxa"/>
            <w:tcBorders>
              <w:top w:val="nil"/>
              <w:left w:val="double" w:sz="6" w:space="0" w:color="auto"/>
              <w:bottom w:val="single" w:sz="4" w:space="0" w:color="auto"/>
              <w:right w:val="single" w:sz="4" w:space="0" w:color="auto"/>
            </w:tcBorders>
            <w:shd w:val="clear" w:color="auto" w:fill="auto"/>
            <w:hideMark/>
          </w:tcPr>
          <w:p w:rsidR="00306953" w:rsidRPr="00306953" w:rsidRDefault="00306953" w:rsidP="009E2585">
            <w:pPr>
              <w:keepNext/>
              <w:spacing w:before="60" w:after="60"/>
              <w:rPr>
                <w:rFonts w:cs="Arial"/>
                <w:color w:val="000000"/>
                <w:sz w:val="16"/>
                <w:szCs w:val="16"/>
              </w:rPr>
            </w:pPr>
            <w:r w:rsidRPr="00306953">
              <w:rPr>
                <w:rFonts w:cs="Arial"/>
                <w:color w:val="000000"/>
                <w:sz w:val="16"/>
                <w:szCs w:val="16"/>
              </w:rPr>
              <w:t xml:space="preserve">ISCED 2 </w:t>
            </w:r>
          </w:p>
        </w:tc>
        <w:tc>
          <w:tcPr>
            <w:tcW w:w="1992" w:type="dxa"/>
            <w:tcBorders>
              <w:top w:val="nil"/>
              <w:left w:val="nil"/>
              <w:bottom w:val="single" w:sz="4" w:space="0" w:color="auto"/>
              <w:right w:val="single" w:sz="4" w:space="0" w:color="auto"/>
            </w:tcBorders>
            <w:shd w:val="clear" w:color="auto" w:fill="auto"/>
            <w:hideMark/>
          </w:tcPr>
          <w:p w:rsidR="00306953" w:rsidRPr="00306953" w:rsidRDefault="00E031F1" w:rsidP="00306953">
            <w:pPr>
              <w:keepNext/>
              <w:spacing w:before="60" w:after="60"/>
              <w:rPr>
                <w:rFonts w:cs="Arial"/>
                <w:color w:val="000000"/>
                <w:sz w:val="16"/>
                <w:szCs w:val="16"/>
              </w:rPr>
            </w:pPr>
            <w:r>
              <w:rPr>
                <w:rFonts w:cs="Arial"/>
                <w:color w:val="000000"/>
                <w:sz w:val="16"/>
                <w:szCs w:val="16"/>
              </w:rPr>
              <w:t>n</w:t>
            </w:r>
            <w:r w:rsidR="00306953" w:rsidRPr="00306953">
              <w:rPr>
                <w:rFonts w:cs="Arial"/>
                <w:color w:val="000000"/>
                <w:sz w:val="16"/>
                <w:szCs w:val="16"/>
              </w:rPr>
              <w:t>ižší sekundární vzdělávání</w:t>
            </w:r>
          </w:p>
        </w:tc>
        <w:tc>
          <w:tcPr>
            <w:tcW w:w="6179" w:type="dxa"/>
            <w:tcBorders>
              <w:top w:val="nil"/>
              <w:left w:val="nil"/>
              <w:bottom w:val="single" w:sz="4" w:space="0" w:color="auto"/>
              <w:right w:val="double" w:sz="6" w:space="0" w:color="auto"/>
            </w:tcBorders>
            <w:shd w:val="clear" w:color="auto" w:fill="auto"/>
            <w:hideMark/>
          </w:tcPr>
          <w:p w:rsidR="00306953" w:rsidRPr="00306953" w:rsidRDefault="00306953" w:rsidP="0052747A">
            <w:pPr>
              <w:pStyle w:val="Odstavecseseznamem"/>
              <w:keepNext/>
              <w:numPr>
                <w:ilvl w:val="0"/>
                <w:numId w:val="2"/>
              </w:numPr>
              <w:spacing w:before="60" w:after="60" w:line="240" w:lineRule="auto"/>
              <w:ind w:left="255" w:hanging="255"/>
              <w:rPr>
                <w:rFonts w:ascii="Arial" w:hAnsi="Arial" w:cs="Arial"/>
                <w:color w:val="000000"/>
                <w:sz w:val="16"/>
                <w:szCs w:val="16"/>
              </w:rPr>
            </w:pPr>
            <w:r w:rsidRPr="00306953">
              <w:rPr>
                <w:rFonts w:ascii="Arial" w:hAnsi="Arial" w:cs="Arial"/>
                <w:color w:val="000000"/>
                <w:sz w:val="16"/>
                <w:szCs w:val="16"/>
              </w:rPr>
              <w:t xml:space="preserve">2. stupeň základní školy, 2. stupeň základní školy speciální </w:t>
            </w:r>
          </w:p>
          <w:p w:rsidR="00306953" w:rsidRPr="00306953" w:rsidRDefault="00306953" w:rsidP="0052747A">
            <w:pPr>
              <w:pStyle w:val="Odstavecseseznamem"/>
              <w:keepNext/>
              <w:numPr>
                <w:ilvl w:val="0"/>
                <w:numId w:val="2"/>
              </w:numPr>
              <w:spacing w:before="60" w:after="60" w:line="240" w:lineRule="auto"/>
              <w:ind w:left="255" w:hanging="255"/>
              <w:rPr>
                <w:rFonts w:ascii="Arial" w:hAnsi="Arial" w:cs="Arial"/>
                <w:color w:val="000000"/>
                <w:sz w:val="16"/>
                <w:szCs w:val="16"/>
              </w:rPr>
            </w:pPr>
            <w:r w:rsidRPr="00306953">
              <w:rPr>
                <w:rFonts w:ascii="Arial" w:hAnsi="Arial" w:cs="Arial"/>
                <w:color w:val="000000"/>
                <w:sz w:val="16"/>
                <w:szCs w:val="16"/>
              </w:rPr>
              <w:t>1. a 2. ročník šestiletého gymnázia, 1. až 4. roční</w:t>
            </w:r>
            <w:r w:rsidR="005E4B45">
              <w:rPr>
                <w:rFonts w:ascii="Arial" w:hAnsi="Arial" w:cs="Arial"/>
                <w:color w:val="000000"/>
                <w:sz w:val="16"/>
                <w:szCs w:val="16"/>
              </w:rPr>
              <w:t>k osmiletého gymnázia, 1. až 4. </w:t>
            </w:r>
            <w:r w:rsidRPr="00306953">
              <w:rPr>
                <w:rFonts w:ascii="Arial" w:hAnsi="Arial" w:cs="Arial"/>
                <w:color w:val="000000"/>
                <w:sz w:val="16"/>
                <w:szCs w:val="16"/>
              </w:rPr>
              <w:t xml:space="preserve">ročník osmileté konzervatoře </w:t>
            </w:r>
          </w:p>
          <w:p w:rsidR="00306953" w:rsidRPr="00306953" w:rsidRDefault="00306953" w:rsidP="0052747A">
            <w:pPr>
              <w:pStyle w:val="Odstavecseseznamem"/>
              <w:keepNext/>
              <w:numPr>
                <w:ilvl w:val="0"/>
                <w:numId w:val="2"/>
              </w:numPr>
              <w:spacing w:before="60" w:after="60" w:line="240" w:lineRule="auto"/>
              <w:ind w:left="255" w:hanging="255"/>
              <w:rPr>
                <w:rFonts w:ascii="Arial" w:hAnsi="Arial" w:cs="Arial"/>
                <w:color w:val="000000"/>
                <w:sz w:val="16"/>
                <w:szCs w:val="16"/>
              </w:rPr>
            </w:pPr>
            <w:r w:rsidRPr="00306953">
              <w:rPr>
                <w:rFonts w:ascii="Arial" w:hAnsi="Arial" w:cs="Arial"/>
                <w:color w:val="000000"/>
                <w:sz w:val="16"/>
                <w:szCs w:val="16"/>
              </w:rPr>
              <w:t xml:space="preserve">praktická škola </w:t>
            </w:r>
          </w:p>
          <w:p w:rsidR="00306953" w:rsidRPr="00306953" w:rsidRDefault="00306953" w:rsidP="0052747A">
            <w:pPr>
              <w:pStyle w:val="Odstavecseseznamem"/>
              <w:keepNext/>
              <w:numPr>
                <w:ilvl w:val="0"/>
                <w:numId w:val="2"/>
              </w:numPr>
              <w:spacing w:before="60" w:after="60" w:line="240" w:lineRule="auto"/>
              <w:ind w:left="255" w:hanging="255"/>
              <w:rPr>
                <w:rFonts w:ascii="Arial" w:hAnsi="Arial" w:cs="Arial"/>
                <w:color w:val="000000"/>
                <w:sz w:val="16"/>
                <w:szCs w:val="16"/>
              </w:rPr>
            </w:pPr>
            <w:r w:rsidRPr="00306953">
              <w:rPr>
                <w:rFonts w:ascii="Arial" w:hAnsi="Arial" w:cs="Arial"/>
                <w:color w:val="000000"/>
                <w:sz w:val="16"/>
                <w:szCs w:val="16"/>
              </w:rPr>
              <w:t>kurzy pro získání základů vzdělání, kurzy pro získání základního vzdělání.</w:t>
            </w:r>
          </w:p>
        </w:tc>
      </w:tr>
      <w:tr w:rsidR="00306953" w:rsidRPr="00306953" w:rsidTr="00306953">
        <w:trPr>
          <w:trHeight w:val="2412"/>
        </w:trPr>
        <w:tc>
          <w:tcPr>
            <w:tcW w:w="1057" w:type="dxa"/>
            <w:tcBorders>
              <w:top w:val="nil"/>
              <w:left w:val="double" w:sz="6" w:space="0" w:color="auto"/>
              <w:bottom w:val="single" w:sz="4" w:space="0" w:color="auto"/>
              <w:right w:val="single" w:sz="4" w:space="0" w:color="auto"/>
            </w:tcBorders>
            <w:shd w:val="clear" w:color="auto" w:fill="auto"/>
            <w:hideMark/>
          </w:tcPr>
          <w:p w:rsidR="00306953" w:rsidRPr="00306953" w:rsidRDefault="00306953" w:rsidP="009E2585">
            <w:pPr>
              <w:spacing w:before="60" w:after="60"/>
              <w:rPr>
                <w:rFonts w:cs="Arial"/>
                <w:color w:val="000000"/>
                <w:sz w:val="16"/>
                <w:szCs w:val="16"/>
              </w:rPr>
            </w:pPr>
            <w:r w:rsidRPr="00306953">
              <w:rPr>
                <w:rFonts w:cs="Arial"/>
                <w:color w:val="000000"/>
                <w:sz w:val="16"/>
                <w:szCs w:val="16"/>
              </w:rPr>
              <w:t xml:space="preserve">ISCED 3 </w:t>
            </w:r>
          </w:p>
        </w:tc>
        <w:tc>
          <w:tcPr>
            <w:tcW w:w="1992" w:type="dxa"/>
            <w:tcBorders>
              <w:top w:val="nil"/>
              <w:left w:val="nil"/>
              <w:bottom w:val="single" w:sz="4" w:space="0" w:color="auto"/>
              <w:right w:val="single" w:sz="4" w:space="0" w:color="auto"/>
            </w:tcBorders>
            <w:shd w:val="clear" w:color="auto" w:fill="auto"/>
            <w:hideMark/>
          </w:tcPr>
          <w:p w:rsidR="00306953" w:rsidRPr="00306953" w:rsidRDefault="00E031F1" w:rsidP="00306953">
            <w:pPr>
              <w:spacing w:before="60" w:after="60"/>
              <w:rPr>
                <w:rFonts w:cs="Arial"/>
                <w:color w:val="000000"/>
                <w:sz w:val="16"/>
                <w:szCs w:val="16"/>
              </w:rPr>
            </w:pPr>
            <w:r>
              <w:rPr>
                <w:rFonts w:cs="Arial"/>
                <w:color w:val="000000"/>
                <w:sz w:val="16"/>
                <w:szCs w:val="16"/>
              </w:rPr>
              <w:t>v</w:t>
            </w:r>
            <w:r w:rsidR="00306953" w:rsidRPr="00306953">
              <w:rPr>
                <w:rFonts w:cs="Arial"/>
                <w:color w:val="000000"/>
                <w:sz w:val="16"/>
                <w:szCs w:val="16"/>
              </w:rPr>
              <w:t>yšší sekundární vzdělávání</w:t>
            </w:r>
          </w:p>
        </w:tc>
        <w:tc>
          <w:tcPr>
            <w:tcW w:w="6179" w:type="dxa"/>
            <w:tcBorders>
              <w:top w:val="nil"/>
              <w:left w:val="nil"/>
              <w:bottom w:val="single" w:sz="4" w:space="0" w:color="auto"/>
              <w:right w:val="double" w:sz="6" w:space="0" w:color="auto"/>
            </w:tcBorders>
            <w:shd w:val="clear" w:color="auto" w:fill="auto"/>
            <w:hideMark/>
          </w:tcPr>
          <w:p w:rsidR="00306953" w:rsidRPr="00306953" w:rsidRDefault="00306953" w:rsidP="0052747A">
            <w:pPr>
              <w:pStyle w:val="Odstavecseseznamem"/>
              <w:numPr>
                <w:ilvl w:val="0"/>
                <w:numId w:val="3"/>
              </w:numPr>
              <w:spacing w:before="60" w:after="60" w:line="240" w:lineRule="auto"/>
              <w:ind w:left="255" w:hanging="283"/>
              <w:rPr>
                <w:rFonts w:ascii="Arial" w:hAnsi="Arial" w:cs="Arial"/>
                <w:sz w:val="16"/>
                <w:szCs w:val="16"/>
              </w:rPr>
            </w:pPr>
            <w:r w:rsidRPr="00306953">
              <w:rPr>
                <w:rFonts w:ascii="Arial" w:hAnsi="Arial" w:cs="Arial"/>
                <w:color w:val="000000"/>
                <w:sz w:val="16"/>
                <w:szCs w:val="16"/>
              </w:rPr>
              <w:t xml:space="preserve">čtyřleté obory </w:t>
            </w:r>
            <w:r w:rsidRPr="00306953">
              <w:rPr>
                <w:rFonts w:ascii="Arial" w:hAnsi="Arial" w:cs="Arial"/>
                <w:sz w:val="16"/>
                <w:szCs w:val="16"/>
              </w:rPr>
              <w:t xml:space="preserve">gymnázií a lyceí </w:t>
            </w:r>
          </w:p>
          <w:p w:rsidR="00306953" w:rsidRPr="00306953" w:rsidRDefault="00306953" w:rsidP="0052747A">
            <w:pPr>
              <w:pStyle w:val="Odstavecseseznamem"/>
              <w:numPr>
                <w:ilvl w:val="0"/>
                <w:numId w:val="3"/>
              </w:numPr>
              <w:spacing w:before="60" w:after="60" w:line="240" w:lineRule="auto"/>
              <w:ind w:left="255" w:hanging="283"/>
              <w:rPr>
                <w:rFonts w:ascii="Arial" w:hAnsi="Arial" w:cs="Arial"/>
                <w:color w:val="000000"/>
                <w:sz w:val="16"/>
                <w:szCs w:val="16"/>
              </w:rPr>
            </w:pPr>
            <w:r w:rsidRPr="00306953">
              <w:rPr>
                <w:rFonts w:ascii="Arial" w:hAnsi="Arial" w:cs="Arial"/>
                <w:color w:val="000000"/>
                <w:sz w:val="16"/>
                <w:szCs w:val="16"/>
              </w:rPr>
              <w:t xml:space="preserve">3. až 6. ročník oborů gymnázií šestiletých, 5. až 8. ročník oborů gymnázií osmiletých </w:t>
            </w:r>
          </w:p>
          <w:p w:rsidR="00306953" w:rsidRPr="00306953" w:rsidRDefault="00306953" w:rsidP="0052747A">
            <w:pPr>
              <w:pStyle w:val="Odstavecseseznamem"/>
              <w:numPr>
                <w:ilvl w:val="0"/>
                <w:numId w:val="3"/>
              </w:numPr>
              <w:spacing w:before="60" w:after="60" w:line="240" w:lineRule="auto"/>
              <w:ind w:left="255" w:hanging="283"/>
              <w:rPr>
                <w:rFonts w:ascii="Arial" w:hAnsi="Arial" w:cs="Arial"/>
                <w:color w:val="000000"/>
                <w:sz w:val="16"/>
                <w:szCs w:val="16"/>
              </w:rPr>
            </w:pPr>
            <w:r w:rsidRPr="00306953">
              <w:rPr>
                <w:rFonts w:ascii="Arial" w:hAnsi="Arial" w:cs="Arial"/>
                <w:color w:val="000000"/>
                <w:sz w:val="16"/>
                <w:szCs w:val="16"/>
              </w:rPr>
              <w:t xml:space="preserve">obory středního vzdělání, středního vzdělání s výučním listem a středního vzdělání s maturitní zkouškou, </w:t>
            </w:r>
          </w:p>
          <w:p w:rsidR="00306953" w:rsidRPr="00306953" w:rsidRDefault="00306953" w:rsidP="0052747A">
            <w:pPr>
              <w:pStyle w:val="Odstavecseseznamem"/>
              <w:numPr>
                <w:ilvl w:val="0"/>
                <w:numId w:val="3"/>
              </w:numPr>
              <w:spacing w:before="60" w:after="60" w:line="240" w:lineRule="auto"/>
              <w:ind w:left="255" w:hanging="283"/>
              <w:rPr>
                <w:rFonts w:ascii="Arial" w:hAnsi="Arial" w:cs="Arial"/>
                <w:color w:val="000000"/>
                <w:sz w:val="16"/>
                <w:szCs w:val="16"/>
              </w:rPr>
            </w:pPr>
            <w:r w:rsidRPr="00306953">
              <w:rPr>
                <w:rFonts w:ascii="Arial" w:hAnsi="Arial" w:cs="Arial"/>
                <w:color w:val="000000"/>
                <w:sz w:val="16"/>
                <w:szCs w:val="16"/>
              </w:rPr>
              <w:t xml:space="preserve">5. a 6. ročník osmileté konzervatoře, 1. až 4. ročník šestileté konzervatoře, </w:t>
            </w:r>
          </w:p>
          <w:p w:rsidR="00306953" w:rsidRPr="00306953" w:rsidRDefault="00306953" w:rsidP="0052747A">
            <w:pPr>
              <w:pStyle w:val="Odstavecseseznamem"/>
              <w:numPr>
                <w:ilvl w:val="0"/>
                <w:numId w:val="3"/>
              </w:numPr>
              <w:spacing w:before="60" w:after="60" w:line="240" w:lineRule="auto"/>
              <w:ind w:left="255" w:hanging="283"/>
              <w:rPr>
                <w:rFonts w:ascii="Arial" w:hAnsi="Arial" w:cs="Arial"/>
                <w:color w:val="000000"/>
                <w:sz w:val="16"/>
                <w:szCs w:val="16"/>
              </w:rPr>
            </w:pPr>
            <w:r w:rsidRPr="00306953">
              <w:rPr>
                <w:rFonts w:ascii="Arial" w:hAnsi="Arial" w:cs="Arial"/>
                <w:color w:val="000000"/>
                <w:sz w:val="16"/>
                <w:szCs w:val="16"/>
              </w:rPr>
              <w:t>nástavbové studium, zkrácené studium s maturitní zkouškou, zkrácené studium s</w:t>
            </w:r>
            <w:r w:rsidR="005E4B45">
              <w:rPr>
                <w:rFonts w:ascii="Arial" w:hAnsi="Arial" w:cs="Arial"/>
                <w:color w:val="000000"/>
                <w:sz w:val="16"/>
                <w:szCs w:val="16"/>
              </w:rPr>
              <w:t> </w:t>
            </w:r>
            <w:r w:rsidRPr="00306953">
              <w:rPr>
                <w:rFonts w:ascii="Arial" w:hAnsi="Arial" w:cs="Arial"/>
                <w:color w:val="000000"/>
                <w:sz w:val="16"/>
                <w:szCs w:val="16"/>
              </w:rPr>
              <w:t>výučním listem,</w:t>
            </w:r>
          </w:p>
          <w:p w:rsidR="00306953" w:rsidRPr="00306953" w:rsidRDefault="00306953" w:rsidP="0052747A">
            <w:pPr>
              <w:pStyle w:val="Odstavecseseznamem"/>
              <w:numPr>
                <w:ilvl w:val="0"/>
                <w:numId w:val="3"/>
              </w:numPr>
              <w:spacing w:before="60" w:after="60" w:line="240" w:lineRule="auto"/>
              <w:ind w:left="255" w:hanging="283"/>
              <w:rPr>
                <w:rFonts w:ascii="Arial" w:hAnsi="Arial" w:cs="Arial"/>
                <w:color w:val="000000"/>
                <w:sz w:val="16"/>
                <w:szCs w:val="16"/>
              </w:rPr>
            </w:pPr>
            <w:r w:rsidRPr="00306953">
              <w:rPr>
                <w:rFonts w:ascii="Arial" w:hAnsi="Arial" w:cs="Arial"/>
                <w:color w:val="000000"/>
                <w:sz w:val="16"/>
                <w:szCs w:val="16"/>
              </w:rPr>
              <w:t>studium jednotlivých předmětů či ucelených částí učiva na střední škole (má-li osoba status žáka)</w:t>
            </w:r>
          </w:p>
        </w:tc>
      </w:tr>
      <w:tr w:rsidR="00306953" w:rsidRPr="00306953" w:rsidTr="00306953">
        <w:trPr>
          <w:trHeight w:val="1212"/>
        </w:trPr>
        <w:tc>
          <w:tcPr>
            <w:tcW w:w="1057" w:type="dxa"/>
            <w:tcBorders>
              <w:top w:val="nil"/>
              <w:left w:val="double" w:sz="6" w:space="0" w:color="auto"/>
              <w:bottom w:val="single" w:sz="4" w:space="0" w:color="auto"/>
              <w:right w:val="single" w:sz="4" w:space="0" w:color="auto"/>
            </w:tcBorders>
            <w:shd w:val="clear" w:color="auto" w:fill="auto"/>
            <w:hideMark/>
          </w:tcPr>
          <w:p w:rsidR="00306953" w:rsidRPr="00306953" w:rsidRDefault="00306953" w:rsidP="009E2585">
            <w:pPr>
              <w:spacing w:before="60" w:after="60"/>
              <w:rPr>
                <w:rFonts w:cs="Arial"/>
                <w:color w:val="000000"/>
                <w:sz w:val="16"/>
                <w:szCs w:val="16"/>
              </w:rPr>
            </w:pPr>
            <w:r w:rsidRPr="00306953">
              <w:rPr>
                <w:rFonts w:cs="Arial"/>
                <w:color w:val="000000"/>
                <w:sz w:val="16"/>
                <w:szCs w:val="16"/>
              </w:rPr>
              <w:t>ISCED 4</w:t>
            </w:r>
          </w:p>
        </w:tc>
        <w:tc>
          <w:tcPr>
            <w:tcW w:w="1992" w:type="dxa"/>
            <w:tcBorders>
              <w:top w:val="nil"/>
              <w:left w:val="nil"/>
              <w:bottom w:val="single" w:sz="4" w:space="0" w:color="auto"/>
              <w:right w:val="single" w:sz="4" w:space="0" w:color="auto"/>
            </w:tcBorders>
            <w:shd w:val="clear" w:color="auto" w:fill="auto"/>
            <w:hideMark/>
          </w:tcPr>
          <w:p w:rsidR="00306953" w:rsidRPr="00306953" w:rsidRDefault="00E031F1" w:rsidP="00306953">
            <w:pPr>
              <w:spacing w:before="60" w:after="60"/>
              <w:rPr>
                <w:rFonts w:cs="Arial"/>
                <w:color w:val="000000"/>
                <w:sz w:val="16"/>
                <w:szCs w:val="16"/>
              </w:rPr>
            </w:pPr>
            <w:r>
              <w:rPr>
                <w:rFonts w:cs="Arial"/>
                <w:color w:val="000000"/>
                <w:sz w:val="16"/>
                <w:szCs w:val="16"/>
              </w:rPr>
              <w:t>p</w:t>
            </w:r>
            <w:r w:rsidR="00306953" w:rsidRPr="00306953">
              <w:rPr>
                <w:rFonts w:cs="Arial"/>
                <w:color w:val="000000"/>
                <w:sz w:val="16"/>
                <w:szCs w:val="16"/>
              </w:rPr>
              <w:t>ostsekundární neterciární vzdělávání</w:t>
            </w:r>
          </w:p>
        </w:tc>
        <w:tc>
          <w:tcPr>
            <w:tcW w:w="6179" w:type="dxa"/>
            <w:tcBorders>
              <w:top w:val="nil"/>
              <w:left w:val="nil"/>
              <w:bottom w:val="single" w:sz="4" w:space="0" w:color="auto"/>
              <w:right w:val="double" w:sz="6" w:space="0" w:color="auto"/>
            </w:tcBorders>
            <w:shd w:val="clear" w:color="auto" w:fill="auto"/>
            <w:hideMark/>
          </w:tcPr>
          <w:p w:rsidR="00306953" w:rsidRPr="00306953" w:rsidRDefault="00306953" w:rsidP="0052747A">
            <w:pPr>
              <w:pStyle w:val="Odstavecseseznamem"/>
              <w:numPr>
                <w:ilvl w:val="0"/>
                <w:numId w:val="3"/>
              </w:numPr>
              <w:spacing w:before="60" w:after="60" w:line="240" w:lineRule="auto"/>
              <w:ind w:left="255" w:hanging="283"/>
              <w:rPr>
                <w:rFonts w:ascii="Arial" w:hAnsi="Arial" w:cs="Arial"/>
                <w:sz w:val="16"/>
                <w:szCs w:val="16"/>
              </w:rPr>
            </w:pPr>
            <w:r w:rsidRPr="00306953">
              <w:rPr>
                <w:rFonts w:ascii="Arial" w:hAnsi="Arial" w:cs="Arial"/>
                <w:color w:val="000000"/>
                <w:sz w:val="16"/>
                <w:szCs w:val="16"/>
              </w:rPr>
              <w:t>pomaturitní kurzy, jednoleté kurzy jazyků s denní výukou</w:t>
            </w:r>
          </w:p>
          <w:p w:rsidR="00306953" w:rsidRPr="00306953" w:rsidRDefault="00306953" w:rsidP="0052747A">
            <w:pPr>
              <w:pStyle w:val="Odstavecseseznamem"/>
              <w:numPr>
                <w:ilvl w:val="0"/>
                <w:numId w:val="3"/>
              </w:numPr>
              <w:spacing w:before="60" w:after="60" w:line="240" w:lineRule="auto"/>
              <w:ind w:left="255" w:hanging="283"/>
              <w:rPr>
                <w:rFonts w:ascii="Arial" w:hAnsi="Arial" w:cs="Arial"/>
                <w:sz w:val="16"/>
                <w:szCs w:val="16"/>
              </w:rPr>
            </w:pPr>
            <w:r w:rsidRPr="00306953">
              <w:rPr>
                <w:rFonts w:ascii="Arial" w:hAnsi="Arial" w:cs="Arial"/>
                <w:color w:val="000000"/>
                <w:sz w:val="16"/>
                <w:szCs w:val="16"/>
              </w:rPr>
              <w:t xml:space="preserve">rekvalifikační kurzy akreditované Ministerstvem školství, mládeže a tělovýchovy </w:t>
            </w:r>
          </w:p>
          <w:p w:rsidR="00306953" w:rsidRPr="00306953" w:rsidRDefault="00306953" w:rsidP="0052747A">
            <w:pPr>
              <w:pStyle w:val="Odstavecseseznamem"/>
              <w:numPr>
                <w:ilvl w:val="0"/>
                <w:numId w:val="3"/>
              </w:numPr>
              <w:spacing w:before="60" w:after="60" w:line="240" w:lineRule="auto"/>
              <w:ind w:left="255" w:hanging="283"/>
              <w:rPr>
                <w:rFonts w:ascii="Arial" w:hAnsi="Arial" w:cs="Arial"/>
                <w:sz w:val="16"/>
                <w:szCs w:val="16"/>
              </w:rPr>
            </w:pPr>
            <w:r w:rsidRPr="00306953">
              <w:rPr>
                <w:rFonts w:ascii="Arial" w:hAnsi="Arial" w:cs="Arial"/>
                <w:color w:val="000000"/>
                <w:sz w:val="16"/>
                <w:szCs w:val="16"/>
              </w:rPr>
              <w:t>kurzy, které vysoké školy organizují pro absolventy středních škol</w:t>
            </w:r>
          </w:p>
        </w:tc>
      </w:tr>
      <w:tr w:rsidR="00306953" w:rsidRPr="00306953" w:rsidTr="00306953">
        <w:trPr>
          <w:trHeight w:val="816"/>
        </w:trPr>
        <w:tc>
          <w:tcPr>
            <w:tcW w:w="1057" w:type="dxa"/>
            <w:tcBorders>
              <w:top w:val="nil"/>
              <w:left w:val="double" w:sz="6" w:space="0" w:color="auto"/>
              <w:bottom w:val="single" w:sz="4" w:space="0" w:color="auto"/>
              <w:right w:val="single" w:sz="4" w:space="0" w:color="auto"/>
            </w:tcBorders>
            <w:shd w:val="clear" w:color="auto" w:fill="auto"/>
            <w:hideMark/>
          </w:tcPr>
          <w:p w:rsidR="00306953" w:rsidRPr="00306953" w:rsidRDefault="00306953" w:rsidP="009E2585">
            <w:pPr>
              <w:spacing w:before="60" w:after="60"/>
              <w:rPr>
                <w:rFonts w:cs="Arial"/>
                <w:color w:val="000000"/>
                <w:sz w:val="16"/>
                <w:szCs w:val="16"/>
              </w:rPr>
            </w:pPr>
            <w:r w:rsidRPr="00306953">
              <w:rPr>
                <w:rFonts w:cs="Arial"/>
                <w:color w:val="000000"/>
                <w:sz w:val="16"/>
                <w:szCs w:val="16"/>
              </w:rPr>
              <w:t xml:space="preserve">ISCED 5 </w:t>
            </w:r>
          </w:p>
        </w:tc>
        <w:tc>
          <w:tcPr>
            <w:tcW w:w="1992" w:type="dxa"/>
            <w:tcBorders>
              <w:top w:val="nil"/>
              <w:left w:val="nil"/>
              <w:bottom w:val="single" w:sz="4" w:space="0" w:color="auto"/>
              <w:right w:val="single" w:sz="4" w:space="0" w:color="auto"/>
            </w:tcBorders>
            <w:shd w:val="clear" w:color="auto" w:fill="auto"/>
            <w:hideMark/>
          </w:tcPr>
          <w:p w:rsidR="00306953" w:rsidRPr="00306953" w:rsidRDefault="00E031F1" w:rsidP="00306953">
            <w:pPr>
              <w:spacing w:before="60" w:after="60"/>
              <w:rPr>
                <w:rFonts w:cs="Arial"/>
                <w:color w:val="000000"/>
                <w:sz w:val="16"/>
                <w:szCs w:val="16"/>
              </w:rPr>
            </w:pPr>
            <w:r>
              <w:rPr>
                <w:rFonts w:cs="Arial"/>
                <w:color w:val="000000"/>
                <w:sz w:val="16"/>
                <w:szCs w:val="16"/>
              </w:rPr>
              <w:t>k</w:t>
            </w:r>
            <w:r w:rsidR="00306953" w:rsidRPr="00306953">
              <w:rPr>
                <w:rFonts w:cs="Arial"/>
                <w:color w:val="000000"/>
                <w:sz w:val="16"/>
                <w:szCs w:val="16"/>
              </w:rPr>
              <w:t>rátký cyklus terciárního vzdělávání</w:t>
            </w:r>
          </w:p>
        </w:tc>
        <w:tc>
          <w:tcPr>
            <w:tcW w:w="6179" w:type="dxa"/>
            <w:tcBorders>
              <w:top w:val="nil"/>
              <w:left w:val="nil"/>
              <w:bottom w:val="single" w:sz="4" w:space="0" w:color="auto"/>
              <w:right w:val="double" w:sz="6" w:space="0" w:color="auto"/>
            </w:tcBorders>
            <w:shd w:val="clear" w:color="auto" w:fill="auto"/>
            <w:hideMark/>
          </w:tcPr>
          <w:p w:rsidR="00306953" w:rsidRPr="00306953" w:rsidRDefault="00306953" w:rsidP="00306953">
            <w:pPr>
              <w:spacing w:before="60" w:after="60"/>
              <w:ind w:left="255" w:hanging="255"/>
              <w:rPr>
                <w:rFonts w:cs="Arial"/>
                <w:color w:val="000000"/>
                <w:sz w:val="16"/>
                <w:szCs w:val="16"/>
              </w:rPr>
            </w:pPr>
            <w:proofErr w:type="gramStart"/>
            <w:r w:rsidRPr="00306953">
              <w:rPr>
                <w:rFonts w:cs="Arial"/>
                <w:color w:val="000000"/>
                <w:sz w:val="16"/>
                <w:szCs w:val="16"/>
              </w:rPr>
              <w:t>-   7. a 8. ročník</w:t>
            </w:r>
            <w:proofErr w:type="gramEnd"/>
            <w:r w:rsidRPr="00306953">
              <w:rPr>
                <w:rFonts w:cs="Arial"/>
                <w:color w:val="000000"/>
                <w:sz w:val="16"/>
                <w:szCs w:val="16"/>
              </w:rPr>
              <w:t xml:space="preserve"> osmileté konzervatoře, 5. a 6. ročník šestileté konzervatoře</w:t>
            </w:r>
          </w:p>
        </w:tc>
      </w:tr>
      <w:tr w:rsidR="00306953" w:rsidRPr="00306953" w:rsidTr="00306953">
        <w:trPr>
          <w:trHeight w:val="816"/>
        </w:trPr>
        <w:tc>
          <w:tcPr>
            <w:tcW w:w="1057" w:type="dxa"/>
            <w:tcBorders>
              <w:top w:val="nil"/>
              <w:left w:val="double" w:sz="6" w:space="0" w:color="auto"/>
              <w:bottom w:val="single" w:sz="4" w:space="0" w:color="auto"/>
              <w:right w:val="single" w:sz="4" w:space="0" w:color="auto"/>
            </w:tcBorders>
            <w:shd w:val="clear" w:color="auto" w:fill="auto"/>
            <w:vAlign w:val="center"/>
            <w:hideMark/>
          </w:tcPr>
          <w:p w:rsidR="00306953" w:rsidRPr="00306953" w:rsidRDefault="00306953" w:rsidP="009E2585">
            <w:pPr>
              <w:spacing w:before="60" w:after="60"/>
              <w:rPr>
                <w:rFonts w:cs="Arial"/>
                <w:color w:val="000000"/>
                <w:sz w:val="16"/>
                <w:szCs w:val="16"/>
              </w:rPr>
            </w:pPr>
            <w:r w:rsidRPr="00306953">
              <w:rPr>
                <w:rFonts w:cs="Arial"/>
                <w:color w:val="000000"/>
                <w:sz w:val="16"/>
                <w:szCs w:val="16"/>
              </w:rPr>
              <w:t xml:space="preserve">ISCED 6 </w:t>
            </w:r>
          </w:p>
        </w:tc>
        <w:tc>
          <w:tcPr>
            <w:tcW w:w="1992" w:type="dxa"/>
            <w:tcBorders>
              <w:top w:val="nil"/>
              <w:left w:val="nil"/>
              <w:bottom w:val="single" w:sz="4" w:space="0" w:color="auto"/>
              <w:right w:val="single" w:sz="4" w:space="0" w:color="auto"/>
            </w:tcBorders>
            <w:shd w:val="clear" w:color="auto" w:fill="auto"/>
            <w:vAlign w:val="center"/>
            <w:hideMark/>
          </w:tcPr>
          <w:p w:rsidR="00306953" w:rsidRPr="00306953" w:rsidRDefault="00E031F1" w:rsidP="00306953">
            <w:pPr>
              <w:spacing w:before="60" w:after="60"/>
              <w:rPr>
                <w:rFonts w:cs="Arial"/>
                <w:color w:val="000000"/>
                <w:sz w:val="16"/>
                <w:szCs w:val="16"/>
              </w:rPr>
            </w:pPr>
            <w:r>
              <w:rPr>
                <w:rFonts w:cs="Arial"/>
                <w:color w:val="000000"/>
                <w:sz w:val="16"/>
                <w:szCs w:val="16"/>
              </w:rPr>
              <w:t>b</w:t>
            </w:r>
            <w:r w:rsidR="00306953" w:rsidRPr="00306953">
              <w:rPr>
                <w:rFonts w:cs="Arial"/>
                <w:color w:val="000000"/>
                <w:sz w:val="16"/>
                <w:szCs w:val="16"/>
              </w:rPr>
              <w:t>akalářská nebo jí odpovídající úroveň</w:t>
            </w:r>
          </w:p>
        </w:tc>
        <w:tc>
          <w:tcPr>
            <w:tcW w:w="6179" w:type="dxa"/>
            <w:tcBorders>
              <w:top w:val="nil"/>
              <w:left w:val="nil"/>
              <w:bottom w:val="single" w:sz="4" w:space="0" w:color="auto"/>
              <w:right w:val="double" w:sz="6" w:space="0" w:color="auto"/>
            </w:tcBorders>
            <w:shd w:val="clear" w:color="auto" w:fill="auto"/>
            <w:vAlign w:val="center"/>
            <w:hideMark/>
          </w:tcPr>
          <w:p w:rsidR="00306953" w:rsidRPr="00306953" w:rsidRDefault="00306953" w:rsidP="0052747A">
            <w:pPr>
              <w:pStyle w:val="Odstavecseseznamem"/>
              <w:numPr>
                <w:ilvl w:val="0"/>
                <w:numId w:val="4"/>
              </w:numPr>
              <w:spacing w:before="60" w:after="60" w:line="240" w:lineRule="auto"/>
              <w:ind w:left="255" w:hanging="255"/>
              <w:rPr>
                <w:rFonts w:ascii="Arial" w:hAnsi="Arial" w:cs="Arial"/>
                <w:color w:val="000000"/>
                <w:sz w:val="16"/>
                <w:szCs w:val="16"/>
              </w:rPr>
            </w:pPr>
            <w:r w:rsidRPr="00306953">
              <w:rPr>
                <w:rFonts w:ascii="Arial" w:hAnsi="Arial" w:cs="Arial"/>
                <w:color w:val="000000"/>
                <w:sz w:val="16"/>
                <w:szCs w:val="16"/>
              </w:rPr>
              <w:t>vyšší odborná škola</w:t>
            </w:r>
          </w:p>
          <w:p w:rsidR="00306953" w:rsidRPr="00306953" w:rsidRDefault="00306953" w:rsidP="0052747A">
            <w:pPr>
              <w:pStyle w:val="Odstavecseseznamem"/>
              <w:numPr>
                <w:ilvl w:val="0"/>
                <w:numId w:val="4"/>
              </w:numPr>
              <w:spacing w:before="60" w:after="60" w:line="240" w:lineRule="auto"/>
              <w:ind w:left="255" w:hanging="255"/>
              <w:rPr>
                <w:rFonts w:ascii="Arial" w:hAnsi="Arial" w:cs="Arial"/>
                <w:color w:val="000000"/>
                <w:sz w:val="16"/>
                <w:szCs w:val="16"/>
              </w:rPr>
            </w:pPr>
            <w:r w:rsidRPr="00306953">
              <w:rPr>
                <w:rFonts w:ascii="Arial" w:hAnsi="Arial" w:cs="Arial"/>
                <w:color w:val="000000"/>
                <w:sz w:val="16"/>
                <w:szCs w:val="16"/>
              </w:rPr>
              <w:t xml:space="preserve">bakalářské studium na vysokých školách </w:t>
            </w:r>
          </w:p>
          <w:p w:rsidR="00306953" w:rsidRPr="00306953" w:rsidRDefault="00306953" w:rsidP="0052747A">
            <w:pPr>
              <w:pStyle w:val="Odstavecseseznamem"/>
              <w:numPr>
                <w:ilvl w:val="0"/>
                <w:numId w:val="4"/>
              </w:numPr>
              <w:spacing w:before="60" w:after="60" w:line="240" w:lineRule="auto"/>
              <w:ind w:left="255" w:hanging="255"/>
              <w:rPr>
                <w:rFonts w:ascii="Arial" w:hAnsi="Arial" w:cs="Arial"/>
                <w:color w:val="000000"/>
                <w:sz w:val="16"/>
                <w:szCs w:val="16"/>
              </w:rPr>
            </w:pPr>
            <w:r w:rsidRPr="00306953">
              <w:rPr>
                <w:rFonts w:ascii="Arial" w:hAnsi="Arial" w:cs="Arial"/>
                <w:color w:val="000000"/>
                <w:sz w:val="16"/>
                <w:szCs w:val="16"/>
              </w:rPr>
              <w:t>další vzdělávání na vysokých školách pro absolventy vyšších odborných škol a bakalářských studijních programů (rozšiřující, nesměřující k udělení titulu)</w:t>
            </w:r>
          </w:p>
        </w:tc>
      </w:tr>
      <w:tr w:rsidR="00306953" w:rsidRPr="00306953" w:rsidTr="00306953">
        <w:trPr>
          <w:trHeight w:val="1092"/>
        </w:trPr>
        <w:tc>
          <w:tcPr>
            <w:tcW w:w="1057" w:type="dxa"/>
            <w:tcBorders>
              <w:top w:val="nil"/>
              <w:left w:val="double" w:sz="6" w:space="0" w:color="auto"/>
              <w:bottom w:val="single" w:sz="4" w:space="0" w:color="auto"/>
              <w:right w:val="single" w:sz="4" w:space="0" w:color="auto"/>
            </w:tcBorders>
            <w:shd w:val="clear" w:color="auto" w:fill="auto"/>
            <w:hideMark/>
          </w:tcPr>
          <w:p w:rsidR="00306953" w:rsidRPr="00306953" w:rsidRDefault="00306953" w:rsidP="009E2585">
            <w:pPr>
              <w:spacing w:before="60" w:after="60"/>
              <w:rPr>
                <w:rFonts w:cs="Arial"/>
                <w:color w:val="000000"/>
                <w:sz w:val="16"/>
                <w:szCs w:val="16"/>
              </w:rPr>
            </w:pPr>
            <w:r w:rsidRPr="00306953">
              <w:rPr>
                <w:rFonts w:cs="Arial"/>
                <w:color w:val="000000"/>
                <w:sz w:val="16"/>
                <w:szCs w:val="16"/>
              </w:rPr>
              <w:t xml:space="preserve">ISCED 7 </w:t>
            </w:r>
          </w:p>
        </w:tc>
        <w:tc>
          <w:tcPr>
            <w:tcW w:w="1992" w:type="dxa"/>
            <w:tcBorders>
              <w:top w:val="nil"/>
              <w:left w:val="nil"/>
              <w:bottom w:val="single" w:sz="4" w:space="0" w:color="auto"/>
              <w:right w:val="single" w:sz="4" w:space="0" w:color="auto"/>
            </w:tcBorders>
            <w:shd w:val="clear" w:color="auto" w:fill="auto"/>
            <w:hideMark/>
          </w:tcPr>
          <w:p w:rsidR="00306953" w:rsidRPr="00306953" w:rsidRDefault="00E031F1" w:rsidP="00306953">
            <w:pPr>
              <w:spacing w:before="60" w:after="60"/>
              <w:rPr>
                <w:rFonts w:cs="Arial"/>
                <w:color w:val="000000"/>
                <w:sz w:val="16"/>
                <w:szCs w:val="16"/>
              </w:rPr>
            </w:pPr>
            <w:r>
              <w:rPr>
                <w:rFonts w:cs="Arial"/>
                <w:color w:val="000000"/>
                <w:sz w:val="16"/>
                <w:szCs w:val="16"/>
              </w:rPr>
              <w:t>m</w:t>
            </w:r>
            <w:r w:rsidR="00306953" w:rsidRPr="00306953">
              <w:rPr>
                <w:rFonts w:cs="Arial"/>
                <w:color w:val="000000"/>
                <w:sz w:val="16"/>
                <w:szCs w:val="16"/>
              </w:rPr>
              <w:t>agisterská nebo jí odpovídající úroveň</w:t>
            </w:r>
          </w:p>
        </w:tc>
        <w:tc>
          <w:tcPr>
            <w:tcW w:w="6179" w:type="dxa"/>
            <w:tcBorders>
              <w:top w:val="nil"/>
              <w:left w:val="nil"/>
              <w:bottom w:val="single" w:sz="4" w:space="0" w:color="auto"/>
              <w:right w:val="double" w:sz="6" w:space="0" w:color="auto"/>
            </w:tcBorders>
            <w:shd w:val="clear" w:color="auto" w:fill="auto"/>
            <w:hideMark/>
          </w:tcPr>
          <w:p w:rsidR="00306953" w:rsidRPr="00306953" w:rsidRDefault="00306953" w:rsidP="0052747A">
            <w:pPr>
              <w:pStyle w:val="Odstavecseseznamem"/>
              <w:numPr>
                <w:ilvl w:val="0"/>
                <w:numId w:val="5"/>
              </w:numPr>
              <w:spacing w:before="60" w:after="60" w:line="240" w:lineRule="auto"/>
              <w:ind w:left="255" w:hanging="255"/>
              <w:rPr>
                <w:rFonts w:ascii="Arial" w:hAnsi="Arial" w:cs="Arial"/>
                <w:color w:val="000000"/>
                <w:sz w:val="16"/>
                <w:szCs w:val="16"/>
              </w:rPr>
            </w:pPr>
            <w:r w:rsidRPr="00306953">
              <w:rPr>
                <w:rFonts w:ascii="Arial" w:hAnsi="Arial" w:cs="Arial"/>
                <w:color w:val="000000"/>
                <w:sz w:val="16"/>
                <w:szCs w:val="16"/>
              </w:rPr>
              <w:t>magisterské a navazující magisterské studium na vysokých školách</w:t>
            </w:r>
          </w:p>
          <w:p w:rsidR="00306953" w:rsidRPr="00306953" w:rsidRDefault="00306953" w:rsidP="0052747A">
            <w:pPr>
              <w:pStyle w:val="Odstavecseseznamem"/>
              <w:numPr>
                <w:ilvl w:val="0"/>
                <w:numId w:val="5"/>
              </w:numPr>
              <w:spacing w:before="60" w:after="60" w:line="240" w:lineRule="auto"/>
              <w:ind w:left="255" w:hanging="255"/>
              <w:rPr>
                <w:rFonts w:ascii="Arial" w:hAnsi="Arial" w:cs="Arial"/>
                <w:color w:val="000000"/>
                <w:sz w:val="16"/>
                <w:szCs w:val="16"/>
              </w:rPr>
            </w:pPr>
            <w:r w:rsidRPr="00306953">
              <w:rPr>
                <w:rFonts w:ascii="Arial" w:hAnsi="Arial" w:cs="Arial"/>
                <w:color w:val="000000"/>
                <w:sz w:val="16"/>
                <w:szCs w:val="16"/>
              </w:rPr>
              <w:t>další vzdělávání na vysokých školách pro absolventy magisterských a magisterských navazujících studijních programů (rozšiřující, nesměřující k udělení titulu).</w:t>
            </w:r>
          </w:p>
        </w:tc>
      </w:tr>
      <w:tr w:rsidR="00306953" w:rsidRPr="00306953" w:rsidTr="00306953">
        <w:trPr>
          <w:trHeight w:val="540"/>
        </w:trPr>
        <w:tc>
          <w:tcPr>
            <w:tcW w:w="1057" w:type="dxa"/>
            <w:tcBorders>
              <w:top w:val="nil"/>
              <w:left w:val="double" w:sz="6" w:space="0" w:color="auto"/>
              <w:bottom w:val="double" w:sz="6" w:space="0" w:color="auto"/>
              <w:right w:val="single" w:sz="4" w:space="0" w:color="auto"/>
            </w:tcBorders>
            <w:shd w:val="clear" w:color="auto" w:fill="auto"/>
            <w:hideMark/>
          </w:tcPr>
          <w:p w:rsidR="00306953" w:rsidRPr="00306953" w:rsidRDefault="00306953" w:rsidP="009E2585">
            <w:pPr>
              <w:spacing w:before="60" w:after="60"/>
              <w:rPr>
                <w:rFonts w:cs="Arial"/>
                <w:color w:val="000000"/>
                <w:sz w:val="16"/>
                <w:szCs w:val="16"/>
              </w:rPr>
            </w:pPr>
            <w:r w:rsidRPr="00306953">
              <w:rPr>
                <w:rFonts w:cs="Arial"/>
                <w:color w:val="000000"/>
                <w:sz w:val="16"/>
                <w:szCs w:val="16"/>
              </w:rPr>
              <w:t xml:space="preserve">ISCED 8 </w:t>
            </w:r>
          </w:p>
        </w:tc>
        <w:tc>
          <w:tcPr>
            <w:tcW w:w="1992" w:type="dxa"/>
            <w:tcBorders>
              <w:top w:val="nil"/>
              <w:left w:val="nil"/>
              <w:bottom w:val="double" w:sz="6" w:space="0" w:color="auto"/>
              <w:right w:val="single" w:sz="4" w:space="0" w:color="auto"/>
            </w:tcBorders>
            <w:shd w:val="clear" w:color="auto" w:fill="auto"/>
            <w:hideMark/>
          </w:tcPr>
          <w:p w:rsidR="00306953" w:rsidRPr="00306953" w:rsidRDefault="00E031F1" w:rsidP="00306953">
            <w:pPr>
              <w:spacing w:before="60" w:after="60"/>
              <w:rPr>
                <w:rFonts w:cs="Arial"/>
                <w:color w:val="000000"/>
                <w:sz w:val="16"/>
                <w:szCs w:val="16"/>
              </w:rPr>
            </w:pPr>
            <w:r>
              <w:rPr>
                <w:rFonts w:cs="Arial"/>
                <w:color w:val="000000"/>
                <w:sz w:val="16"/>
                <w:szCs w:val="16"/>
              </w:rPr>
              <w:t>d</w:t>
            </w:r>
            <w:r w:rsidR="00306953" w:rsidRPr="00306953">
              <w:rPr>
                <w:rFonts w:cs="Arial"/>
                <w:color w:val="000000"/>
                <w:sz w:val="16"/>
                <w:szCs w:val="16"/>
              </w:rPr>
              <w:t>oktorská nebo jí odpovídající úroveň</w:t>
            </w:r>
          </w:p>
        </w:tc>
        <w:tc>
          <w:tcPr>
            <w:tcW w:w="6179" w:type="dxa"/>
            <w:tcBorders>
              <w:top w:val="nil"/>
              <w:left w:val="nil"/>
              <w:bottom w:val="double" w:sz="6" w:space="0" w:color="auto"/>
              <w:right w:val="double" w:sz="6" w:space="0" w:color="auto"/>
            </w:tcBorders>
            <w:shd w:val="clear" w:color="auto" w:fill="auto"/>
            <w:hideMark/>
          </w:tcPr>
          <w:p w:rsidR="00306953" w:rsidRPr="00306953" w:rsidRDefault="00306953" w:rsidP="0052747A">
            <w:pPr>
              <w:pStyle w:val="Odstavecseseznamem"/>
              <w:numPr>
                <w:ilvl w:val="0"/>
                <w:numId w:val="5"/>
              </w:numPr>
              <w:spacing w:before="60" w:after="60" w:line="240" w:lineRule="auto"/>
              <w:ind w:left="255" w:hanging="255"/>
              <w:rPr>
                <w:rFonts w:ascii="Arial" w:hAnsi="Arial" w:cs="Arial"/>
                <w:color w:val="000000"/>
                <w:sz w:val="16"/>
                <w:szCs w:val="16"/>
              </w:rPr>
            </w:pPr>
            <w:r w:rsidRPr="00306953">
              <w:rPr>
                <w:rFonts w:ascii="Arial" w:hAnsi="Arial" w:cs="Arial"/>
                <w:color w:val="000000"/>
                <w:sz w:val="16"/>
                <w:szCs w:val="16"/>
              </w:rPr>
              <w:t xml:space="preserve">doktorské studijní programy </w:t>
            </w:r>
          </w:p>
          <w:p w:rsidR="00306953" w:rsidRPr="00306953" w:rsidRDefault="00306953" w:rsidP="00306953">
            <w:pPr>
              <w:spacing w:before="60" w:after="60"/>
              <w:rPr>
                <w:rFonts w:cs="Arial"/>
                <w:color w:val="000000"/>
                <w:sz w:val="16"/>
                <w:szCs w:val="16"/>
              </w:rPr>
            </w:pPr>
          </w:p>
        </w:tc>
      </w:tr>
    </w:tbl>
    <w:p w:rsidR="00306953" w:rsidRPr="00306953" w:rsidRDefault="00306953" w:rsidP="00306953">
      <w:pPr>
        <w:spacing w:before="120"/>
        <w:rPr>
          <w:rFonts w:cs="Arial"/>
          <w:sz w:val="16"/>
          <w:szCs w:val="16"/>
        </w:rPr>
      </w:pPr>
      <w:r w:rsidRPr="00306953">
        <w:rPr>
          <w:rFonts w:cs="Arial"/>
          <w:sz w:val="16"/>
          <w:szCs w:val="16"/>
        </w:rPr>
        <w:t xml:space="preserve">Zdroj: ČSÚ: Statistická ročenka </w:t>
      </w:r>
      <w:r w:rsidR="00B920BE">
        <w:rPr>
          <w:rFonts w:cs="Arial"/>
          <w:sz w:val="16"/>
          <w:szCs w:val="16"/>
        </w:rPr>
        <w:t xml:space="preserve">České republiky </w:t>
      </w:r>
      <w:r w:rsidRPr="00306953">
        <w:rPr>
          <w:rFonts w:cs="Arial"/>
          <w:sz w:val="16"/>
          <w:szCs w:val="16"/>
        </w:rPr>
        <w:t xml:space="preserve">2016. Podrobnější informace o klasifikaci ISCED 2011 </w:t>
      </w:r>
      <w:r w:rsidR="00A16154">
        <w:rPr>
          <w:rFonts w:cs="Arial"/>
          <w:sz w:val="16"/>
          <w:szCs w:val="16"/>
        </w:rPr>
        <w:t xml:space="preserve">v českém jazyce </w:t>
      </w:r>
      <w:r w:rsidRPr="00306953">
        <w:rPr>
          <w:rFonts w:cs="Arial"/>
          <w:sz w:val="16"/>
          <w:szCs w:val="16"/>
        </w:rPr>
        <w:t xml:space="preserve">naleznete </w:t>
      </w:r>
      <w:hyperlink r:id="rId33" w:history="1">
        <w:r w:rsidRPr="00306953">
          <w:rPr>
            <w:rStyle w:val="Hypertextovodkaz"/>
            <w:rFonts w:cs="Arial"/>
            <w:sz w:val="16"/>
            <w:szCs w:val="16"/>
          </w:rPr>
          <w:t>zde</w:t>
        </w:r>
      </w:hyperlink>
      <w:r w:rsidRPr="00306953">
        <w:rPr>
          <w:rFonts w:cs="Arial"/>
          <w:sz w:val="16"/>
          <w:szCs w:val="16"/>
        </w:rPr>
        <w:t xml:space="preserve">. </w:t>
      </w:r>
    </w:p>
    <w:p w:rsidR="00306953" w:rsidRPr="00306953" w:rsidRDefault="00306953" w:rsidP="00306953">
      <w:pPr>
        <w:autoSpaceDE w:val="0"/>
        <w:autoSpaceDN w:val="0"/>
        <w:adjustRightInd w:val="0"/>
        <w:spacing w:after="120" w:line="240" w:lineRule="auto"/>
        <w:jc w:val="both"/>
        <w:rPr>
          <w:rFonts w:eastAsia="NovareseCEBook" w:cs="Arial"/>
        </w:rPr>
      </w:pPr>
      <w:r w:rsidRPr="00306953">
        <w:rPr>
          <w:rFonts w:eastAsia="NovareseCEBook" w:cs="Arial"/>
        </w:rPr>
        <w:t xml:space="preserve">Od klasifikace ISCED 1997 se klasifikace ISCED 2011 liší např. tím, že </w:t>
      </w:r>
      <w:r w:rsidRPr="00306953">
        <w:rPr>
          <w:rFonts w:cs="Arial"/>
        </w:rPr>
        <w:t xml:space="preserve">vznikla kategorie „Krátký cyklus terciárního vzdělávání“, do které bylo v ČR zahrnuto vzdělávání v posledních dvou ročnících konzervatoře (ISCED-P) a dosažené vzdělání v konzervatoři završené absolutoriem (ISCED-A). Navíc byla rozlišena úroveň bakalářského (ISCED 6) a magisterského (ISCED 7) studia. </w:t>
      </w:r>
      <w:r w:rsidRPr="00306953">
        <w:rPr>
          <w:rFonts w:eastAsia="NovareseCEBook" w:cs="Arial"/>
        </w:rPr>
        <w:t xml:space="preserve">Odlišnosti lze však najít také v zařazení některých programů do vyššího sekundárního a postsekundárního neterciárního vzdělávání (zejména nástavbového studia a zkráceného studia s výučním listem a maturitní zkouškou). Základní rozdělení na </w:t>
      </w:r>
      <w:proofErr w:type="spellStart"/>
      <w:r w:rsidRPr="00306953">
        <w:rPr>
          <w:rFonts w:eastAsia="NovareseCEBook" w:cs="Arial"/>
        </w:rPr>
        <w:t>preprimární</w:t>
      </w:r>
      <w:proofErr w:type="spellEnd"/>
      <w:r w:rsidRPr="00306953">
        <w:rPr>
          <w:rFonts w:eastAsia="NovareseCEBook" w:cs="Arial"/>
        </w:rPr>
        <w:t xml:space="preserve"> vzdělávání, primární až postsekundární neterciární vzdělávání a terciární vzdělávání, které se v publikaci </w:t>
      </w:r>
      <w:proofErr w:type="spellStart"/>
      <w:r w:rsidRPr="00306953">
        <w:rPr>
          <w:rFonts w:eastAsia="NovareseCEBook" w:cs="Arial"/>
        </w:rPr>
        <w:t>Education</w:t>
      </w:r>
      <w:proofErr w:type="spellEnd"/>
      <w:r w:rsidRPr="00306953">
        <w:rPr>
          <w:rFonts w:eastAsia="NovareseCEBook" w:cs="Arial"/>
        </w:rPr>
        <w:t xml:space="preserve"> </w:t>
      </w:r>
      <w:proofErr w:type="spellStart"/>
      <w:r w:rsidRPr="00306953">
        <w:rPr>
          <w:rFonts w:eastAsia="NovareseCEBook" w:cs="Arial"/>
        </w:rPr>
        <w:t>at</w:t>
      </w:r>
      <w:proofErr w:type="spellEnd"/>
      <w:r w:rsidRPr="00306953">
        <w:rPr>
          <w:rFonts w:eastAsia="NovareseCEBook" w:cs="Arial"/>
        </w:rPr>
        <w:t xml:space="preserve"> a </w:t>
      </w:r>
      <w:proofErr w:type="spellStart"/>
      <w:r w:rsidRPr="00306953">
        <w:rPr>
          <w:rFonts w:eastAsia="NovareseCEBook" w:cs="Arial"/>
        </w:rPr>
        <w:t>Glance</w:t>
      </w:r>
      <w:proofErr w:type="spellEnd"/>
      <w:r w:rsidRPr="00306953">
        <w:rPr>
          <w:rFonts w:eastAsia="NovareseCEBook" w:cs="Arial"/>
        </w:rPr>
        <w:t xml:space="preserve"> hojně používá, však zůstává v obou klasifikacích ISCED stejné</w:t>
      </w:r>
      <w:r w:rsidR="001068F1">
        <w:rPr>
          <w:rFonts w:eastAsia="NovareseCEBook" w:cs="Arial"/>
        </w:rPr>
        <w:t xml:space="preserve"> a v základních parametrech tedy lze data v publikacích z roků 2014 a 2015 srovnávat</w:t>
      </w:r>
      <w:r w:rsidRPr="00306953">
        <w:rPr>
          <w:rFonts w:eastAsia="NovareseCEBook" w:cs="Arial"/>
        </w:rPr>
        <w:t>.</w:t>
      </w:r>
    </w:p>
    <w:p w:rsidR="00C32A42" w:rsidRPr="00C32A42" w:rsidRDefault="00C32A42" w:rsidP="00C32A42">
      <w:pPr>
        <w:pStyle w:val="Nadpis2"/>
        <w:spacing w:line="240" w:lineRule="auto"/>
        <w:rPr>
          <w:sz w:val="12"/>
          <w:szCs w:val="12"/>
        </w:rPr>
      </w:pPr>
      <w:bookmarkStart w:id="5" w:name="_Toc457225386"/>
    </w:p>
    <w:p w:rsidR="00306953" w:rsidRPr="00306953" w:rsidRDefault="00264CB0" w:rsidP="00C32A42">
      <w:pPr>
        <w:pStyle w:val="Nadpis2"/>
        <w:spacing w:before="120"/>
      </w:pPr>
      <w:bookmarkStart w:id="6" w:name="_Toc460424372"/>
      <w:r>
        <w:t>O klíčových ukazatelích, o</w:t>
      </w:r>
      <w:r w:rsidR="00306953" w:rsidRPr="00306953">
        <w:t xml:space="preserve"> pojmech a o prezentaci dat</w:t>
      </w:r>
      <w:bookmarkEnd w:id="5"/>
      <w:bookmarkEnd w:id="6"/>
    </w:p>
    <w:p w:rsidR="00306953" w:rsidRPr="00306953" w:rsidRDefault="00306953" w:rsidP="00306953">
      <w:pPr>
        <w:autoSpaceDE w:val="0"/>
        <w:autoSpaceDN w:val="0"/>
        <w:adjustRightInd w:val="0"/>
        <w:spacing w:after="0" w:line="240" w:lineRule="auto"/>
        <w:jc w:val="both"/>
        <w:rPr>
          <w:rFonts w:cs="Arial"/>
          <w:b/>
        </w:rPr>
      </w:pPr>
    </w:p>
    <w:p w:rsidR="00306953" w:rsidRPr="00306953" w:rsidRDefault="00306953" w:rsidP="00306953">
      <w:pPr>
        <w:autoSpaceDE w:val="0"/>
        <w:autoSpaceDN w:val="0"/>
        <w:adjustRightInd w:val="0"/>
        <w:spacing w:after="120" w:line="240" w:lineRule="auto"/>
        <w:jc w:val="both"/>
        <w:rPr>
          <w:rFonts w:eastAsia="NovareseCEBook" w:cs="Arial"/>
        </w:rPr>
      </w:pPr>
      <w:r w:rsidRPr="00306953">
        <w:rPr>
          <w:rFonts w:eastAsia="NovareseCEBook" w:cs="Arial"/>
        </w:rPr>
        <w:t xml:space="preserve">Výše jsme uvedli, že v této publikaci budeme vycházet zejména z dat sbíraných pomocí dotazníků UOE. V roce 2009 zpracovala RNDr. Michaela </w:t>
      </w:r>
      <w:proofErr w:type="spellStart"/>
      <w:r w:rsidRPr="00306953">
        <w:rPr>
          <w:rFonts w:eastAsia="NovareseCEBook" w:cs="Arial"/>
        </w:rPr>
        <w:t>Kleňhová</w:t>
      </w:r>
      <w:proofErr w:type="spellEnd"/>
      <w:r w:rsidRPr="00306953">
        <w:rPr>
          <w:rFonts w:eastAsia="NovareseCEBook" w:cs="Arial"/>
        </w:rPr>
        <w:t>, působící v té době v Ústavu pro informace ve vzdělávání, metodickou příručku v českém jazyce k ekonomickým ukazatelům publikovaným v </w:t>
      </w:r>
      <w:proofErr w:type="spellStart"/>
      <w:r w:rsidRPr="00306953">
        <w:rPr>
          <w:rFonts w:eastAsia="NovareseCEBook" w:cs="Arial"/>
        </w:rPr>
        <w:t>Education</w:t>
      </w:r>
      <w:proofErr w:type="spellEnd"/>
      <w:r w:rsidRPr="00306953">
        <w:rPr>
          <w:rFonts w:eastAsia="NovareseCEBook" w:cs="Arial"/>
        </w:rPr>
        <w:t xml:space="preserve"> </w:t>
      </w:r>
      <w:proofErr w:type="spellStart"/>
      <w:r w:rsidRPr="00306953">
        <w:rPr>
          <w:rFonts w:eastAsia="NovareseCEBook" w:cs="Arial"/>
        </w:rPr>
        <w:t>at</w:t>
      </w:r>
      <w:proofErr w:type="spellEnd"/>
      <w:r w:rsidRPr="00306953">
        <w:rPr>
          <w:rFonts w:eastAsia="NovareseCEBook" w:cs="Arial"/>
        </w:rPr>
        <w:t xml:space="preserve"> a </w:t>
      </w:r>
      <w:proofErr w:type="spellStart"/>
      <w:r w:rsidRPr="00306953">
        <w:rPr>
          <w:rFonts w:eastAsia="NovareseCEBook" w:cs="Arial"/>
        </w:rPr>
        <w:t>Glance</w:t>
      </w:r>
      <w:proofErr w:type="spellEnd"/>
      <w:r w:rsidRPr="00306953">
        <w:rPr>
          <w:rFonts w:eastAsia="NovareseCEBook" w:cs="Arial"/>
        </w:rPr>
        <w:t xml:space="preserve"> (OECD) nazvanou </w:t>
      </w:r>
      <w:hyperlink r:id="rId34" w:history="1">
        <w:r w:rsidRPr="00306953">
          <w:rPr>
            <w:rStyle w:val="Hypertextovodkaz"/>
            <w:rFonts w:eastAsia="NovareseCEBook" w:cs="Arial"/>
          </w:rPr>
          <w:t>Ekonomické indikátory ve vzdělávání</w:t>
        </w:r>
      </w:hyperlink>
      <w:r w:rsidRPr="00306953">
        <w:rPr>
          <w:rFonts w:eastAsia="NovareseCEBook" w:cs="Arial"/>
        </w:rPr>
        <w:t xml:space="preserve"> (</w:t>
      </w:r>
      <w:proofErr w:type="spellStart"/>
      <w:r w:rsidRPr="00306953">
        <w:rPr>
          <w:rFonts w:eastAsia="NovareseCEBook" w:cs="Arial"/>
        </w:rPr>
        <w:t>Kleňhová</w:t>
      </w:r>
      <w:proofErr w:type="spellEnd"/>
      <w:r w:rsidRPr="00306953">
        <w:rPr>
          <w:rFonts w:eastAsia="NovareseCEBook" w:cs="Arial"/>
        </w:rPr>
        <w:t xml:space="preserve"> 2009, s. 11). V této příručce najdeme, </w:t>
      </w:r>
      <w:r w:rsidRPr="00306953">
        <w:rPr>
          <w:rFonts w:eastAsia="NovareseCEBook" w:cs="Arial"/>
          <w:b/>
        </w:rPr>
        <w:t>jaké všechny výdaje jsou v dotaznících UOE sledovány</w:t>
      </w:r>
      <w:r w:rsidRPr="00306953">
        <w:rPr>
          <w:rStyle w:val="Znakapoznpodarou"/>
          <w:rFonts w:eastAsia="NovareseCEBook" w:cs="Arial"/>
          <w:b/>
        </w:rPr>
        <w:footnoteReference w:id="2"/>
      </w:r>
      <w:r w:rsidRPr="00306953">
        <w:rPr>
          <w:rFonts w:eastAsia="NovareseCEBook" w:cs="Arial"/>
          <w:b/>
        </w:rPr>
        <w:t xml:space="preserve"> – </w:t>
      </w:r>
      <w:r w:rsidRPr="00306953">
        <w:rPr>
          <w:rFonts w:eastAsia="NovareseCEBook" w:cs="Arial"/>
        </w:rPr>
        <w:t xml:space="preserve">viz tabulka č. 2: </w:t>
      </w:r>
    </w:p>
    <w:p w:rsidR="00306953" w:rsidRPr="00306953" w:rsidRDefault="00306953" w:rsidP="00306953">
      <w:pPr>
        <w:autoSpaceDE w:val="0"/>
        <w:autoSpaceDN w:val="0"/>
        <w:adjustRightInd w:val="0"/>
        <w:spacing w:after="0" w:line="240" w:lineRule="auto"/>
        <w:jc w:val="both"/>
        <w:rPr>
          <w:rFonts w:eastAsia="NovareseCEBook" w:cs="Arial"/>
          <w:b/>
        </w:rPr>
      </w:pPr>
      <w:r w:rsidRPr="00306953">
        <w:rPr>
          <w:rFonts w:eastAsia="NovareseCEBook" w:cs="Arial"/>
          <w:b/>
        </w:rPr>
        <w:t xml:space="preserve">Tabulka č. 2 Klasifikace výdajů na vzdělávání sledovaných v publikaci </w:t>
      </w:r>
      <w:proofErr w:type="spellStart"/>
      <w:r w:rsidRPr="00306953">
        <w:rPr>
          <w:rFonts w:eastAsia="NovareseCEBook" w:cs="Arial"/>
          <w:b/>
        </w:rPr>
        <w:t>Education</w:t>
      </w:r>
      <w:proofErr w:type="spellEnd"/>
      <w:r w:rsidRPr="00306953">
        <w:rPr>
          <w:rFonts w:eastAsia="NovareseCEBook" w:cs="Arial"/>
          <w:b/>
        </w:rPr>
        <w:t xml:space="preserve"> </w:t>
      </w:r>
      <w:proofErr w:type="spellStart"/>
      <w:r w:rsidRPr="00306953">
        <w:rPr>
          <w:rFonts w:eastAsia="NovareseCEBook" w:cs="Arial"/>
          <w:b/>
        </w:rPr>
        <w:t>at</w:t>
      </w:r>
      <w:proofErr w:type="spellEnd"/>
      <w:r w:rsidRPr="00306953">
        <w:rPr>
          <w:rFonts w:eastAsia="NovareseCEBook" w:cs="Arial"/>
          <w:b/>
        </w:rPr>
        <w:t xml:space="preserve"> a </w:t>
      </w:r>
      <w:proofErr w:type="spellStart"/>
      <w:r w:rsidRPr="00306953">
        <w:rPr>
          <w:rFonts w:eastAsia="NovareseCEBook" w:cs="Arial"/>
          <w:b/>
        </w:rPr>
        <w:t>Glance</w:t>
      </w:r>
      <w:proofErr w:type="spellEnd"/>
    </w:p>
    <w:p w:rsidR="00306953" w:rsidRPr="00306953" w:rsidRDefault="00306953" w:rsidP="00306953">
      <w:pPr>
        <w:autoSpaceDE w:val="0"/>
        <w:autoSpaceDN w:val="0"/>
        <w:adjustRightInd w:val="0"/>
        <w:spacing w:after="0" w:line="240" w:lineRule="auto"/>
        <w:jc w:val="both"/>
        <w:rPr>
          <w:rFonts w:eastAsia="NovareseCEBook" w:cs="Arial"/>
          <w:sz w:val="16"/>
          <w:szCs w:val="16"/>
        </w:rPr>
      </w:pPr>
    </w:p>
    <w:tbl>
      <w:tblPr>
        <w:tblW w:w="9087" w:type="dxa"/>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1858"/>
        <w:gridCol w:w="3686"/>
        <w:gridCol w:w="3543"/>
      </w:tblGrid>
      <w:tr w:rsidR="00306953" w:rsidRPr="00306953" w:rsidTr="00A94240">
        <w:trPr>
          <w:trHeight w:val="784"/>
        </w:trPr>
        <w:tc>
          <w:tcPr>
            <w:tcW w:w="1858" w:type="dxa"/>
            <w:tcBorders>
              <w:top w:val="double" w:sz="4" w:space="0" w:color="auto"/>
              <w:bottom w:val="double" w:sz="4" w:space="0" w:color="auto"/>
            </w:tcBorders>
            <w:shd w:val="clear" w:color="auto" w:fill="FFCCCC"/>
            <w:noWrap/>
            <w:vAlign w:val="bottom"/>
            <w:hideMark/>
          </w:tcPr>
          <w:p w:rsidR="00306953" w:rsidRPr="00306953" w:rsidRDefault="00306953" w:rsidP="00306953">
            <w:pPr>
              <w:spacing w:after="0" w:line="240" w:lineRule="auto"/>
              <w:rPr>
                <w:rFonts w:cs="Arial"/>
                <w:color w:val="000000"/>
                <w:sz w:val="16"/>
                <w:szCs w:val="16"/>
              </w:rPr>
            </w:pPr>
            <w:r w:rsidRPr="00306953">
              <w:rPr>
                <w:rFonts w:cs="Arial"/>
                <w:color w:val="000000"/>
                <w:sz w:val="16"/>
                <w:szCs w:val="16"/>
              </w:rPr>
              <w:t> </w:t>
            </w:r>
          </w:p>
        </w:tc>
        <w:tc>
          <w:tcPr>
            <w:tcW w:w="3686" w:type="dxa"/>
            <w:tcBorders>
              <w:top w:val="double" w:sz="4" w:space="0" w:color="auto"/>
              <w:bottom w:val="double" w:sz="4" w:space="0" w:color="auto"/>
            </w:tcBorders>
            <w:shd w:val="clear" w:color="auto" w:fill="FFCCCC"/>
            <w:vAlign w:val="center"/>
            <w:hideMark/>
          </w:tcPr>
          <w:p w:rsidR="00A94240" w:rsidRDefault="00E361EC" w:rsidP="00A94240">
            <w:pPr>
              <w:spacing w:after="0" w:line="240" w:lineRule="auto"/>
              <w:jc w:val="center"/>
              <w:rPr>
                <w:rFonts w:cs="Arial"/>
                <w:b/>
                <w:bCs/>
                <w:color w:val="000000"/>
                <w:sz w:val="16"/>
                <w:szCs w:val="16"/>
              </w:rPr>
            </w:pPr>
            <w:r>
              <w:rPr>
                <w:rFonts w:cs="Arial"/>
                <w:b/>
                <w:bCs/>
                <w:color w:val="000000"/>
                <w:sz w:val="16"/>
                <w:szCs w:val="16"/>
              </w:rPr>
              <w:t>v</w:t>
            </w:r>
            <w:r w:rsidR="00306953" w:rsidRPr="00306953">
              <w:rPr>
                <w:rFonts w:cs="Arial"/>
                <w:b/>
                <w:bCs/>
                <w:color w:val="000000"/>
                <w:sz w:val="16"/>
                <w:szCs w:val="16"/>
              </w:rPr>
              <w:t>ýdaje na vzdělávací instituce</w:t>
            </w:r>
          </w:p>
          <w:p w:rsidR="00306953" w:rsidRPr="00A94240" w:rsidRDefault="00306953" w:rsidP="00A94240">
            <w:pPr>
              <w:spacing w:after="0" w:line="240" w:lineRule="auto"/>
              <w:jc w:val="center"/>
              <w:rPr>
                <w:rFonts w:cs="Arial"/>
                <w:bCs/>
                <w:color w:val="000000"/>
                <w:sz w:val="16"/>
                <w:szCs w:val="16"/>
              </w:rPr>
            </w:pPr>
            <w:r w:rsidRPr="00A94240">
              <w:rPr>
                <w:rFonts w:cs="Arial"/>
                <w:bCs/>
                <w:color w:val="000000"/>
                <w:sz w:val="16"/>
                <w:szCs w:val="16"/>
              </w:rPr>
              <w:t>(např. školy, univerzity, administrativa ve vzdělávání, služby studentům)</w:t>
            </w:r>
          </w:p>
        </w:tc>
        <w:tc>
          <w:tcPr>
            <w:tcW w:w="3543" w:type="dxa"/>
            <w:tcBorders>
              <w:top w:val="double" w:sz="4" w:space="0" w:color="auto"/>
              <w:bottom w:val="double" w:sz="4" w:space="0" w:color="auto"/>
            </w:tcBorders>
            <w:shd w:val="clear" w:color="auto" w:fill="FFCCCC"/>
            <w:vAlign w:val="center"/>
            <w:hideMark/>
          </w:tcPr>
          <w:p w:rsidR="00A94240" w:rsidRDefault="00E361EC" w:rsidP="00A94240">
            <w:pPr>
              <w:spacing w:after="0" w:line="240" w:lineRule="auto"/>
              <w:jc w:val="center"/>
              <w:rPr>
                <w:rFonts w:cs="Arial"/>
                <w:b/>
                <w:bCs/>
                <w:color w:val="000000"/>
                <w:sz w:val="16"/>
                <w:szCs w:val="16"/>
              </w:rPr>
            </w:pPr>
            <w:r>
              <w:rPr>
                <w:rFonts w:cs="Arial"/>
                <w:b/>
                <w:bCs/>
                <w:color w:val="000000"/>
                <w:sz w:val="16"/>
                <w:szCs w:val="16"/>
              </w:rPr>
              <w:t>v</w:t>
            </w:r>
            <w:r w:rsidR="00306953" w:rsidRPr="00306953">
              <w:rPr>
                <w:rFonts w:cs="Arial"/>
                <w:b/>
                <w:bCs/>
                <w:color w:val="000000"/>
                <w:sz w:val="16"/>
                <w:szCs w:val="16"/>
              </w:rPr>
              <w:t>ýdaje mimo vzdělávací instituce</w:t>
            </w:r>
          </w:p>
          <w:p w:rsidR="00306953" w:rsidRPr="00A94240" w:rsidRDefault="00306953" w:rsidP="00A94240">
            <w:pPr>
              <w:spacing w:after="0" w:line="240" w:lineRule="auto"/>
              <w:jc w:val="center"/>
              <w:rPr>
                <w:rFonts w:cs="Arial"/>
                <w:bCs/>
                <w:color w:val="000000"/>
                <w:sz w:val="16"/>
                <w:szCs w:val="16"/>
              </w:rPr>
            </w:pPr>
            <w:r w:rsidRPr="00A94240">
              <w:rPr>
                <w:rFonts w:cs="Arial"/>
                <w:bCs/>
                <w:color w:val="000000"/>
                <w:sz w:val="16"/>
                <w:szCs w:val="16"/>
              </w:rPr>
              <w:t>(např. soukromý nákup zboží a služeb souvisejících se vzděláváním, včetně soukromého vyučování)</w:t>
            </w:r>
          </w:p>
        </w:tc>
      </w:tr>
      <w:tr w:rsidR="00306953" w:rsidRPr="00306953" w:rsidTr="00BF267F">
        <w:trPr>
          <w:trHeight w:val="600"/>
        </w:trPr>
        <w:tc>
          <w:tcPr>
            <w:tcW w:w="1858" w:type="dxa"/>
            <w:vMerge w:val="restart"/>
            <w:tcBorders>
              <w:top w:val="double" w:sz="4" w:space="0" w:color="auto"/>
            </w:tcBorders>
            <w:shd w:val="clear" w:color="auto" w:fill="auto"/>
            <w:vAlign w:val="center"/>
            <w:hideMark/>
          </w:tcPr>
          <w:p w:rsidR="00306953" w:rsidRPr="00306953" w:rsidRDefault="00E361EC" w:rsidP="00B51C20">
            <w:pPr>
              <w:spacing w:after="0" w:line="240" w:lineRule="auto"/>
              <w:rPr>
                <w:rFonts w:cs="Arial"/>
                <w:b/>
                <w:bCs/>
                <w:color w:val="000000"/>
                <w:sz w:val="16"/>
                <w:szCs w:val="16"/>
              </w:rPr>
            </w:pPr>
            <w:r>
              <w:rPr>
                <w:rFonts w:cs="Arial"/>
                <w:b/>
                <w:bCs/>
                <w:color w:val="000000"/>
                <w:sz w:val="16"/>
                <w:szCs w:val="16"/>
              </w:rPr>
              <w:t>v</w:t>
            </w:r>
            <w:r w:rsidR="00306953" w:rsidRPr="00306953">
              <w:rPr>
                <w:rFonts w:cs="Arial"/>
                <w:b/>
                <w:bCs/>
                <w:color w:val="000000"/>
                <w:sz w:val="16"/>
                <w:szCs w:val="16"/>
              </w:rPr>
              <w:t>ýdaje na vlastní vzdělávání</w:t>
            </w:r>
          </w:p>
        </w:tc>
        <w:tc>
          <w:tcPr>
            <w:tcW w:w="3686" w:type="dxa"/>
            <w:tcBorders>
              <w:top w:val="double" w:sz="4" w:space="0" w:color="auto"/>
            </w:tcBorders>
            <w:shd w:val="clear" w:color="000000" w:fill="D8E4BC"/>
            <w:vAlign w:val="center"/>
            <w:hideMark/>
          </w:tcPr>
          <w:p w:rsidR="00306953" w:rsidRPr="00306953" w:rsidRDefault="00306953" w:rsidP="00306953">
            <w:pPr>
              <w:spacing w:after="0" w:line="240" w:lineRule="auto"/>
              <w:rPr>
                <w:rFonts w:cs="Arial"/>
                <w:color w:val="000000"/>
                <w:sz w:val="16"/>
                <w:szCs w:val="16"/>
              </w:rPr>
            </w:pPr>
            <w:r w:rsidRPr="00306953">
              <w:rPr>
                <w:rFonts w:cs="Arial"/>
                <w:color w:val="000000"/>
                <w:sz w:val="16"/>
                <w:szCs w:val="16"/>
              </w:rPr>
              <w:t>např. veřejné výdaje na vlastní vzdělávání ve vzdělávacích institucích</w:t>
            </w:r>
          </w:p>
        </w:tc>
        <w:tc>
          <w:tcPr>
            <w:tcW w:w="3543" w:type="dxa"/>
            <w:tcBorders>
              <w:top w:val="double" w:sz="4" w:space="0" w:color="auto"/>
            </w:tcBorders>
            <w:shd w:val="clear" w:color="000000" w:fill="D9D9D9"/>
            <w:vAlign w:val="center"/>
            <w:hideMark/>
          </w:tcPr>
          <w:p w:rsidR="00306953" w:rsidRPr="00306953" w:rsidRDefault="00306953" w:rsidP="00306953">
            <w:pPr>
              <w:spacing w:after="0" w:line="240" w:lineRule="auto"/>
              <w:rPr>
                <w:rFonts w:cs="Arial"/>
                <w:color w:val="000000"/>
                <w:sz w:val="16"/>
                <w:szCs w:val="16"/>
              </w:rPr>
            </w:pPr>
            <w:r w:rsidRPr="00306953">
              <w:rPr>
                <w:rFonts w:cs="Arial"/>
                <w:color w:val="000000"/>
                <w:sz w:val="16"/>
                <w:szCs w:val="16"/>
              </w:rPr>
              <w:t>např. státní dotace na soukromé výdaje za učebnice</w:t>
            </w:r>
          </w:p>
        </w:tc>
      </w:tr>
      <w:tr w:rsidR="00306953" w:rsidRPr="00306953" w:rsidTr="00BF267F">
        <w:trPr>
          <w:trHeight w:val="600"/>
        </w:trPr>
        <w:tc>
          <w:tcPr>
            <w:tcW w:w="1858" w:type="dxa"/>
            <w:vMerge/>
            <w:vAlign w:val="center"/>
            <w:hideMark/>
          </w:tcPr>
          <w:p w:rsidR="00306953" w:rsidRPr="00306953" w:rsidRDefault="00306953" w:rsidP="00B51C20">
            <w:pPr>
              <w:spacing w:after="0" w:line="240" w:lineRule="auto"/>
              <w:rPr>
                <w:rFonts w:cs="Arial"/>
                <w:b/>
                <w:bCs/>
                <w:color w:val="000000"/>
                <w:sz w:val="16"/>
                <w:szCs w:val="16"/>
              </w:rPr>
            </w:pPr>
          </w:p>
        </w:tc>
        <w:tc>
          <w:tcPr>
            <w:tcW w:w="3686" w:type="dxa"/>
            <w:shd w:val="clear" w:color="000000" w:fill="D9D9D9"/>
            <w:vAlign w:val="center"/>
            <w:hideMark/>
          </w:tcPr>
          <w:p w:rsidR="00306953" w:rsidRPr="00306953" w:rsidRDefault="00306953" w:rsidP="00306953">
            <w:pPr>
              <w:spacing w:after="0" w:line="240" w:lineRule="auto"/>
              <w:rPr>
                <w:rFonts w:cs="Arial"/>
                <w:color w:val="000000"/>
                <w:sz w:val="16"/>
                <w:szCs w:val="16"/>
              </w:rPr>
            </w:pPr>
            <w:r w:rsidRPr="00306953">
              <w:rPr>
                <w:rFonts w:cs="Arial"/>
                <w:color w:val="000000"/>
                <w:sz w:val="16"/>
                <w:szCs w:val="16"/>
              </w:rPr>
              <w:t>např. dotované soukromé výdaje na vlastní vzdělávání ve vzdělávacích institucích</w:t>
            </w:r>
          </w:p>
        </w:tc>
        <w:tc>
          <w:tcPr>
            <w:tcW w:w="3543" w:type="dxa"/>
            <w:vMerge w:val="restart"/>
            <w:shd w:val="clear" w:color="000000" w:fill="FCD5B4"/>
            <w:vAlign w:val="center"/>
            <w:hideMark/>
          </w:tcPr>
          <w:p w:rsidR="00306953" w:rsidRPr="00306953" w:rsidRDefault="00306953" w:rsidP="00306953">
            <w:pPr>
              <w:spacing w:after="0" w:line="240" w:lineRule="auto"/>
              <w:rPr>
                <w:rFonts w:cs="Arial"/>
                <w:color w:val="000000"/>
                <w:sz w:val="16"/>
                <w:szCs w:val="16"/>
              </w:rPr>
            </w:pPr>
            <w:r w:rsidRPr="00306953">
              <w:rPr>
                <w:rFonts w:cs="Arial"/>
                <w:color w:val="000000"/>
                <w:sz w:val="16"/>
                <w:szCs w:val="16"/>
              </w:rPr>
              <w:t>např. soukromé výdaje na učebnice a další školní pomůcky</w:t>
            </w:r>
          </w:p>
        </w:tc>
      </w:tr>
      <w:tr w:rsidR="00306953" w:rsidRPr="00306953" w:rsidTr="00BF267F">
        <w:trPr>
          <w:trHeight w:val="300"/>
        </w:trPr>
        <w:tc>
          <w:tcPr>
            <w:tcW w:w="1858" w:type="dxa"/>
            <w:vMerge/>
            <w:vAlign w:val="center"/>
            <w:hideMark/>
          </w:tcPr>
          <w:p w:rsidR="00306953" w:rsidRPr="00306953" w:rsidRDefault="00306953" w:rsidP="00B51C20">
            <w:pPr>
              <w:spacing w:after="0" w:line="240" w:lineRule="auto"/>
              <w:rPr>
                <w:rFonts w:cs="Arial"/>
                <w:b/>
                <w:bCs/>
                <w:color w:val="000000"/>
                <w:sz w:val="16"/>
                <w:szCs w:val="16"/>
              </w:rPr>
            </w:pPr>
          </w:p>
        </w:tc>
        <w:tc>
          <w:tcPr>
            <w:tcW w:w="3686" w:type="dxa"/>
            <w:shd w:val="clear" w:color="000000" w:fill="FCD5B4"/>
            <w:vAlign w:val="center"/>
            <w:hideMark/>
          </w:tcPr>
          <w:p w:rsidR="00306953" w:rsidRPr="00306953" w:rsidRDefault="00306953" w:rsidP="00F83F57">
            <w:pPr>
              <w:spacing w:before="30" w:after="30" w:line="240" w:lineRule="auto"/>
              <w:rPr>
                <w:rFonts w:cs="Arial"/>
                <w:color w:val="000000"/>
                <w:sz w:val="16"/>
                <w:szCs w:val="16"/>
              </w:rPr>
            </w:pPr>
            <w:r w:rsidRPr="00306953">
              <w:rPr>
                <w:rFonts w:cs="Arial"/>
                <w:color w:val="000000"/>
                <w:sz w:val="16"/>
                <w:szCs w:val="16"/>
              </w:rPr>
              <w:t>např. soukromé výdaje na školství</w:t>
            </w:r>
          </w:p>
        </w:tc>
        <w:tc>
          <w:tcPr>
            <w:tcW w:w="3543" w:type="dxa"/>
            <w:vMerge/>
            <w:vAlign w:val="center"/>
            <w:hideMark/>
          </w:tcPr>
          <w:p w:rsidR="00306953" w:rsidRPr="00306953" w:rsidRDefault="00306953" w:rsidP="00306953">
            <w:pPr>
              <w:spacing w:after="0" w:line="240" w:lineRule="auto"/>
              <w:rPr>
                <w:rFonts w:cs="Arial"/>
                <w:color w:val="000000"/>
                <w:sz w:val="16"/>
                <w:szCs w:val="16"/>
              </w:rPr>
            </w:pPr>
          </w:p>
        </w:tc>
      </w:tr>
      <w:tr w:rsidR="00306953" w:rsidRPr="00306953" w:rsidTr="00BF267F">
        <w:trPr>
          <w:trHeight w:val="300"/>
        </w:trPr>
        <w:tc>
          <w:tcPr>
            <w:tcW w:w="1858" w:type="dxa"/>
            <w:vMerge w:val="restart"/>
            <w:shd w:val="clear" w:color="auto" w:fill="auto"/>
            <w:vAlign w:val="center"/>
            <w:hideMark/>
          </w:tcPr>
          <w:p w:rsidR="00306953" w:rsidRPr="00306953" w:rsidRDefault="00E361EC" w:rsidP="00B51C20">
            <w:pPr>
              <w:spacing w:after="0" w:line="240" w:lineRule="auto"/>
              <w:rPr>
                <w:rFonts w:cs="Arial"/>
                <w:b/>
                <w:bCs/>
                <w:color w:val="000000"/>
                <w:sz w:val="16"/>
                <w:szCs w:val="16"/>
              </w:rPr>
            </w:pPr>
            <w:r>
              <w:rPr>
                <w:rFonts w:cs="Arial"/>
                <w:b/>
                <w:bCs/>
                <w:color w:val="000000"/>
                <w:sz w:val="16"/>
                <w:szCs w:val="16"/>
              </w:rPr>
              <w:t>v</w:t>
            </w:r>
            <w:r w:rsidR="00230066">
              <w:rPr>
                <w:rFonts w:cs="Arial"/>
                <w:b/>
                <w:bCs/>
                <w:color w:val="000000"/>
                <w:sz w:val="16"/>
                <w:szCs w:val="16"/>
              </w:rPr>
              <w:t>ýdaje na výzkum a </w:t>
            </w:r>
            <w:r w:rsidR="00306953" w:rsidRPr="00306953">
              <w:rPr>
                <w:rFonts w:cs="Arial"/>
                <w:b/>
                <w:bCs/>
                <w:color w:val="000000"/>
                <w:sz w:val="16"/>
                <w:szCs w:val="16"/>
              </w:rPr>
              <w:t>vývoj</w:t>
            </w:r>
          </w:p>
        </w:tc>
        <w:tc>
          <w:tcPr>
            <w:tcW w:w="3686" w:type="dxa"/>
            <w:shd w:val="clear" w:color="000000" w:fill="D8E4BC"/>
            <w:vAlign w:val="center"/>
            <w:hideMark/>
          </w:tcPr>
          <w:p w:rsidR="00306953" w:rsidRPr="00306953" w:rsidRDefault="00306953" w:rsidP="00F83F57">
            <w:pPr>
              <w:spacing w:before="30" w:after="30" w:line="240" w:lineRule="auto"/>
              <w:rPr>
                <w:rFonts w:cs="Arial"/>
                <w:color w:val="000000"/>
                <w:sz w:val="16"/>
                <w:szCs w:val="16"/>
              </w:rPr>
            </w:pPr>
            <w:r w:rsidRPr="00306953">
              <w:rPr>
                <w:rFonts w:cs="Arial"/>
                <w:color w:val="000000"/>
                <w:sz w:val="16"/>
                <w:szCs w:val="16"/>
              </w:rPr>
              <w:t>např. veřejné výdaje na univerzitní výzkum</w:t>
            </w:r>
          </w:p>
        </w:tc>
        <w:tc>
          <w:tcPr>
            <w:tcW w:w="3543" w:type="dxa"/>
            <w:vMerge w:val="restart"/>
            <w:shd w:val="clear" w:color="auto" w:fill="auto"/>
            <w:vAlign w:val="center"/>
            <w:hideMark/>
          </w:tcPr>
          <w:p w:rsidR="00306953" w:rsidRPr="00306953" w:rsidRDefault="00306953" w:rsidP="00306953">
            <w:pPr>
              <w:spacing w:after="0" w:line="240" w:lineRule="auto"/>
              <w:rPr>
                <w:rFonts w:cs="Arial"/>
                <w:color w:val="000000"/>
                <w:sz w:val="16"/>
                <w:szCs w:val="16"/>
              </w:rPr>
            </w:pPr>
          </w:p>
        </w:tc>
      </w:tr>
      <w:tr w:rsidR="00306953" w:rsidRPr="00306953" w:rsidTr="00BF267F">
        <w:trPr>
          <w:trHeight w:val="300"/>
        </w:trPr>
        <w:tc>
          <w:tcPr>
            <w:tcW w:w="1858" w:type="dxa"/>
            <w:vMerge/>
            <w:vAlign w:val="center"/>
            <w:hideMark/>
          </w:tcPr>
          <w:p w:rsidR="00306953" w:rsidRPr="00306953" w:rsidRDefault="00306953" w:rsidP="00B51C20">
            <w:pPr>
              <w:spacing w:after="0" w:line="240" w:lineRule="auto"/>
              <w:rPr>
                <w:rFonts w:cs="Arial"/>
                <w:b/>
                <w:bCs/>
                <w:color w:val="000000"/>
                <w:sz w:val="16"/>
                <w:szCs w:val="16"/>
              </w:rPr>
            </w:pPr>
          </w:p>
        </w:tc>
        <w:tc>
          <w:tcPr>
            <w:tcW w:w="3686" w:type="dxa"/>
            <w:shd w:val="clear" w:color="000000" w:fill="FCD5B4"/>
            <w:vAlign w:val="center"/>
            <w:hideMark/>
          </w:tcPr>
          <w:p w:rsidR="00306953" w:rsidRPr="00306953" w:rsidRDefault="00306953" w:rsidP="00F83F57">
            <w:pPr>
              <w:spacing w:before="30" w:after="30" w:line="240" w:lineRule="auto"/>
              <w:rPr>
                <w:rFonts w:cs="Arial"/>
                <w:color w:val="000000"/>
                <w:sz w:val="16"/>
                <w:szCs w:val="16"/>
              </w:rPr>
            </w:pPr>
            <w:r w:rsidRPr="00306953">
              <w:rPr>
                <w:rFonts w:cs="Arial"/>
                <w:color w:val="000000"/>
                <w:sz w:val="16"/>
                <w:szCs w:val="16"/>
              </w:rPr>
              <w:t xml:space="preserve">např. soukromé </w:t>
            </w:r>
            <w:r w:rsidR="00870CB1">
              <w:rPr>
                <w:rFonts w:cs="Arial"/>
                <w:color w:val="000000"/>
                <w:sz w:val="16"/>
                <w:szCs w:val="16"/>
              </w:rPr>
              <w:t>finanční prostředky na výzkum a </w:t>
            </w:r>
            <w:r w:rsidRPr="00306953">
              <w:rPr>
                <w:rFonts w:cs="Arial"/>
                <w:color w:val="000000"/>
                <w:sz w:val="16"/>
                <w:szCs w:val="16"/>
              </w:rPr>
              <w:t>vývoj ve vzdělávacích institucích</w:t>
            </w:r>
          </w:p>
        </w:tc>
        <w:tc>
          <w:tcPr>
            <w:tcW w:w="3543" w:type="dxa"/>
            <w:vMerge/>
            <w:vAlign w:val="center"/>
            <w:hideMark/>
          </w:tcPr>
          <w:p w:rsidR="00306953" w:rsidRPr="00306953" w:rsidRDefault="00306953" w:rsidP="00306953">
            <w:pPr>
              <w:spacing w:after="0" w:line="240" w:lineRule="auto"/>
              <w:rPr>
                <w:rFonts w:cs="Arial"/>
                <w:color w:val="000000"/>
                <w:sz w:val="16"/>
                <w:szCs w:val="16"/>
              </w:rPr>
            </w:pPr>
          </w:p>
        </w:tc>
      </w:tr>
      <w:tr w:rsidR="00306953" w:rsidRPr="00306953" w:rsidTr="00BF267F">
        <w:trPr>
          <w:trHeight w:val="900"/>
        </w:trPr>
        <w:tc>
          <w:tcPr>
            <w:tcW w:w="1858" w:type="dxa"/>
            <w:vMerge w:val="restart"/>
            <w:shd w:val="clear" w:color="auto" w:fill="auto"/>
            <w:vAlign w:val="center"/>
            <w:hideMark/>
          </w:tcPr>
          <w:p w:rsidR="00306953" w:rsidRPr="00306953" w:rsidRDefault="00E361EC" w:rsidP="00B51C20">
            <w:pPr>
              <w:spacing w:after="0" w:line="240" w:lineRule="auto"/>
              <w:rPr>
                <w:rFonts w:cs="Arial"/>
                <w:b/>
                <w:bCs/>
                <w:color w:val="000000"/>
                <w:sz w:val="16"/>
                <w:szCs w:val="16"/>
              </w:rPr>
            </w:pPr>
            <w:r>
              <w:rPr>
                <w:rFonts w:cs="Arial"/>
                <w:b/>
                <w:bCs/>
                <w:color w:val="000000"/>
                <w:sz w:val="16"/>
                <w:szCs w:val="16"/>
              </w:rPr>
              <w:t>v</w:t>
            </w:r>
            <w:r w:rsidR="00306953" w:rsidRPr="00306953">
              <w:rPr>
                <w:rFonts w:cs="Arial"/>
                <w:b/>
                <w:bCs/>
                <w:color w:val="000000"/>
                <w:sz w:val="16"/>
                <w:szCs w:val="16"/>
              </w:rPr>
              <w:t>ýdaje na školské služby jiného charakteru než vlastní vzdělávání</w:t>
            </w:r>
          </w:p>
        </w:tc>
        <w:tc>
          <w:tcPr>
            <w:tcW w:w="3686" w:type="dxa"/>
            <w:shd w:val="clear" w:color="000000" w:fill="D8E4BC"/>
            <w:vAlign w:val="center"/>
            <w:hideMark/>
          </w:tcPr>
          <w:p w:rsidR="00306953" w:rsidRPr="00306953" w:rsidRDefault="00306953" w:rsidP="00306953">
            <w:pPr>
              <w:spacing w:after="0" w:line="240" w:lineRule="auto"/>
              <w:rPr>
                <w:rFonts w:cs="Arial"/>
                <w:color w:val="000000"/>
                <w:sz w:val="16"/>
                <w:szCs w:val="16"/>
              </w:rPr>
            </w:pPr>
            <w:r w:rsidRPr="00306953">
              <w:rPr>
                <w:rFonts w:cs="Arial"/>
                <w:color w:val="000000"/>
                <w:sz w:val="16"/>
                <w:szCs w:val="16"/>
              </w:rPr>
              <w:t>např. veřejné výdaje na služby, jako je školní stravování, doprava do školy, ubytování v</w:t>
            </w:r>
            <w:r w:rsidR="0054161F">
              <w:rPr>
                <w:rFonts w:cs="Arial"/>
                <w:color w:val="000000"/>
                <w:sz w:val="16"/>
                <w:szCs w:val="16"/>
              </w:rPr>
              <w:t> </w:t>
            </w:r>
            <w:r w:rsidRPr="00306953">
              <w:rPr>
                <w:rFonts w:cs="Arial"/>
                <w:color w:val="000000"/>
                <w:sz w:val="16"/>
                <w:szCs w:val="16"/>
              </w:rPr>
              <w:t>kampusu</w:t>
            </w:r>
          </w:p>
        </w:tc>
        <w:tc>
          <w:tcPr>
            <w:tcW w:w="3543" w:type="dxa"/>
            <w:shd w:val="clear" w:color="000000" w:fill="D9D9D9"/>
            <w:vAlign w:val="center"/>
            <w:hideMark/>
          </w:tcPr>
          <w:p w:rsidR="00306953" w:rsidRPr="00306953" w:rsidRDefault="00306953" w:rsidP="00306953">
            <w:pPr>
              <w:spacing w:after="0" w:line="240" w:lineRule="auto"/>
              <w:rPr>
                <w:rFonts w:cs="Arial"/>
                <w:color w:val="000000"/>
                <w:sz w:val="16"/>
                <w:szCs w:val="16"/>
              </w:rPr>
            </w:pPr>
            <w:r w:rsidRPr="00306953">
              <w:rPr>
                <w:rFonts w:cs="Arial"/>
                <w:color w:val="000000"/>
                <w:sz w:val="16"/>
                <w:szCs w:val="16"/>
              </w:rPr>
              <w:t>např. veřejné dotace na výdaje studentů spojené s životními náklady nebo dotace na zlevněné jízdné</w:t>
            </w:r>
          </w:p>
        </w:tc>
      </w:tr>
      <w:tr w:rsidR="00306953" w:rsidRPr="00306953" w:rsidTr="00BF267F">
        <w:trPr>
          <w:trHeight w:val="600"/>
        </w:trPr>
        <w:tc>
          <w:tcPr>
            <w:tcW w:w="1858" w:type="dxa"/>
            <w:vMerge/>
            <w:vAlign w:val="center"/>
            <w:hideMark/>
          </w:tcPr>
          <w:p w:rsidR="00306953" w:rsidRPr="00306953" w:rsidRDefault="00306953" w:rsidP="00306953">
            <w:pPr>
              <w:spacing w:after="0" w:line="240" w:lineRule="auto"/>
              <w:rPr>
                <w:rFonts w:cs="Arial"/>
                <w:b/>
                <w:bCs/>
                <w:color w:val="000000"/>
                <w:sz w:val="16"/>
                <w:szCs w:val="16"/>
              </w:rPr>
            </w:pPr>
          </w:p>
        </w:tc>
        <w:tc>
          <w:tcPr>
            <w:tcW w:w="3686" w:type="dxa"/>
            <w:shd w:val="clear" w:color="000000" w:fill="FCD5B4"/>
            <w:vAlign w:val="center"/>
            <w:hideMark/>
          </w:tcPr>
          <w:p w:rsidR="00306953" w:rsidRPr="00306953" w:rsidRDefault="00306953" w:rsidP="00306953">
            <w:pPr>
              <w:spacing w:after="0" w:line="240" w:lineRule="auto"/>
              <w:rPr>
                <w:rFonts w:cs="Arial"/>
                <w:color w:val="000000"/>
                <w:sz w:val="16"/>
                <w:szCs w:val="16"/>
              </w:rPr>
            </w:pPr>
            <w:r w:rsidRPr="00306953">
              <w:rPr>
                <w:rFonts w:cs="Arial"/>
                <w:color w:val="000000"/>
                <w:sz w:val="16"/>
                <w:szCs w:val="16"/>
              </w:rPr>
              <w:t>např. soukromé výdaje na platby za školské služby</w:t>
            </w:r>
          </w:p>
        </w:tc>
        <w:tc>
          <w:tcPr>
            <w:tcW w:w="3543" w:type="dxa"/>
            <w:shd w:val="clear" w:color="000000" w:fill="FCD5B4"/>
            <w:vAlign w:val="center"/>
            <w:hideMark/>
          </w:tcPr>
          <w:p w:rsidR="00306953" w:rsidRPr="00306953" w:rsidRDefault="00306953" w:rsidP="00306953">
            <w:pPr>
              <w:spacing w:after="0" w:line="240" w:lineRule="auto"/>
              <w:rPr>
                <w:rFonts w:cs="Arial"/>
                <w:color w:val="000000"/>
                <w:sz w:val="16"/>
                <w:szCs w:val="16"/>
              </w:rPr>
            </w:pPr>
            <w:r w:rsidRPr="00306953">
              <w:rPr>
                <w:rFonts w:cs="Arial"/>
                <w:color w:val="000000"/>
                <w:sz w:val="16"/>
                <w:szCs w:val="16"/>
              </w:rPr>
              <w:t>např. soukromé výdaje spojené s životními náklady nebo dotace na zlevněné jízdné</w:t>
            </w:r>
          </w:p>
        </w:tc>
      </w:tr>
    </w:tbl>
    <w:p w:rsidR="00306953" w:rsidRPr="00306953" w:rsidRDefault="00306953" w:rsidP="00306953">
      <w:pPr>
        <w:autoSpaceDE w:val="0"/>
        <w:autoSpaceDN w:val="0"/>
        <w:adjustRightInd w:val="0"/>
        <w:spacing w:after="0" w:line="240" w:lineRule="auto"/>
        <w:jc w:val="both"/>
        <w:rPr>
          <w:rFonts w:eastAsia="NovareseCEBook" w:cs="Arial"/>
          <w:sz w:val="12"/>
          <w:szCs w:val="12"/>
        </w:rPr>
      </w:pPr>
    </w:p>
    <w:p w:rsidR="00306953" w:rsidRPr="00306953" w:rsidRDefault="00E361EC" w:rsidP="00306953">
      <w:pPr>
        <w:autoSpaceDE w:val="0"/>
        <w:autoSpaceDN w:val="0"/>
        <w:adjustRightInd w:val="0"/>
        <w:spacing w:after="0" w:line="240" w:lineRule="auto"/>
        <w:jc w:val="both"/>
        <w:rPr>
          <w:rFonts w:eastAsia="NovareseCEBook" w:cs="Arial"/>
        </w:rPr>
      </w:pPr>
      <w:r>
        <w:rPr>
          <w:rFonts w:eastAsia="NovareseCEBook" w:cs="Arial"/>
        </w:rPr>
        <w:t>l</w:t>
      </w:r>
      <w:r w:rsidR="00306953" w:rsidRPr="00306953">
        <w:rPr>
          <w:rFonts w:eastAsia="NovareseCEBook" w:cs="Arial"/>
        </w:rPr>
        <w:t>egenda:</w:t>
      </w:r>
    </w:p>
    <w:tbl>
      <w:tblPr>
        <w:tblW w:w="5702" w:type="dxa"/>
        <w:tblInd w:w="55" w:type="dxa"/>
        <w:tblCellMar>
          <w:left w:w="70" w:type="dxa"/>
          <w:right w:w="70" w:type="dxa"/>
        </w:tblCellMar>
        <w:tblLook w:val="04A0"/>
      </w:tblPr>
      <w:tblGrid>
        <w:gridCol w:w="582"/>
        <w:gridCol w:w="5120"/>
      </w:tblGrid>
      <w:tr w:rsidR="00306953" w:rsidRPr="00306953" w:rsidTr="00B51C20">
        <w:trPr>
          <w:trHeight w:val="256"/>
        </w:trPr>
        <w:tc>
          <w:tcPr>
            <w:tcW w:w="582"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306953" w:rsidRPr="00306953" w:rsidRDefault="00306953" w:rsidP="00306953">
            <w:pPr>
              <w:spacing w:after="0" w:line="240" w:lineRule="auto"/>
              <w:rPr>
                <w:rFonts w:cs="Arial"/>
                <w:color w:val="000000"/>
                <w:sz w:val="16"/>
                <w:szCs w:val="16"/>
              </w:rPr>
            </w:pPr>
            <w:r w:rsidRPr="00306953">
              <w:rPr>
                <w:rFonts w:cs="Arial"/>
                <w:color w:val="000000"/>
                <w:sz w:val="16"/>
                <w:szCs w:val="16"/>
              </w:rPr>
              <w:t> </w:t>
            </w:r>
          </w:p>
        </w:tc>
        <w:tc>
          <w:tcPr>
            <w:tcW w:w="5120" w:type="dxa"/>
            <w:tcBorders>
              <w:top w:val="sing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B51C20">
            <w:pPr>
              <w:spacing w:after="0" w:line="240" w:lineRule="auto"/>
              <w:rPr>
                <w:rFonts w:cs="Arial"/>
                <w:color w:val="000000"/>
                <w:sz w:val="16"/>
                <w:szCs w:val="16"/>
              </w:rPr>
            </w:pPr>
            <w:r w:rsidRPr="00306953">
              <w:rPr>
                <w:rFonts w:cs="Arial"/>
                <w:color w:val="000000"/>
                <w:sz w:val="16"/>
                <w:szCs w:val="16"/>
              </w:rPr>
              <w:t>veřejné zdroje</w:t>
            </w:r>
          </w:p>
        </w:tc>
      </w:tr>
      <w:tr w:rsidR="00306953" w:rsidRPr="00306953" w:rsidTr="00B51C20">
        <w:trPr>
          <w:trHeight w:val="300"/>
        </w:trPr>
        <w:tc>
          <w:tcPr>
            <w:tcW w:w="582" w:type="dxa"/>
            <w:tcBorders>
              <w:top w:val="nil"/>
              <w:left w:val="single" w:sz="4" w:space="0" w:color="auto"/>
              <w:bottom w:val="single" w:sz="4" w:space="0" w:color="auto"/>
              <w:right w:val="single" w:sz="4" w:space="0" w:color="auto"/>
            </w:tcBorders>
            <w:shd w:val="clear" w:color="000000" w:fill="FCD5B4"/>
            <w:noWrap/>
            <w:vAlign w:val="bottom"/>
            <w:hideMark/>
          </w:tcPr>
          <w:p w:rsidR="00306953" w:rsidRPr="00306953" w:rsidRDefault="00306953" w:rsidP="00306953">
            <w:pPr>
              <w:spacing w:after="0" w:line="240" w:lineRule="auto"/>
              <w:rPr>
                <w:rFonts w:cs="Arial"/>
                <w:color w:val="000000"/>
                <w:sz w:val="16"/>
                <w:szCs w:val="16"/>
              </w:rPr>
            </w:pPr>
            <w:r w:rsidRPr="00306953">
              <w:rPr>
                <w:rFonts w:cs="Arial"/>
                <w:color w:val="000000"/>
                <w:sz w:val="16"/>
                <w:szCs w:val="16"/>
              </w:rPr>
              <w:t> </w:t>
            </w:r>
          </w:p>
        </w:tc>
        <w:tc>
          <w:tcPr>
            <w:tcW w:w="5120" w:type="dxa"/>
            <w:tcBorders>
              <w:top w:val="nil"/>
              <w:left w:val="nil"/>
              <w:bottom w:val="single" w:sz="4" w:space="0" w:color="auto"/>
              <w:right w:val="single" w:sz="4" w:space="0" w:color="auto"/>
            </w:tcBorders>
            <w:shd w:val="clear" w:color="auto" w:fill="auto"/>
            <w:noWrap/>
            <w:vAlign w:val="center"/>
            <w:hideMark/>
          </w:tcPr>
          <w:p w:rsidR="00306953" w:rsidRPr="00306953" w:rsidRDefault="00306953" w:rsidP="00B51C20">
            <w:pPr>
              <w:spacing w:after="0" w:line="240" w:lineRule="auto"/>
              <w:rPr>
                <w:rFonts w:cs="Arial"/>
                <w:color w:val="000000"/>
                <w:sz w:val="16"/>
                <w:szCs w:val="16"/>
              </w:rPr>
            </w:pPr>
            <w:r w:rsidRPr="00306953">
              <w:rPr>
                <w:rFonts w:cs="Arial"/>
                <w:color w:val="000000"/>
                <w:sz w:val="16"/>
                <w:szCs w:val="16"/>
              </w:rPr>
              <w:t>soukromé zdroje</w:t>
            </w:r>
          </w:p>
        </w:tc>
      </w:tr>
      <w:tr w:rsidR="00306953" w:rsidRPr="00306953" w:rsidTr="00B51C20">
        <w:trPr>
          <w:trHeight w:val="300"/>
        </w:trPr>
        <w:tc>
          <w:tcPr>
            <w:tcW w:w="582" w:type="dxa"/>
            <w:tcBorders>
              <w:top w:val="nil"/>
              <w:left w:val="single" w:sz="4" w:space="0" w:color="auto"/>
              <w:bottom w:val="single" w:sz="4" w:space="0" w:color="auto"/>
              <w:right w:val="single" w:sz="4" w:space="0" w:color="auto"/>
            </w:tcBorders>
            <w:shd w:val="clear" w:color="000000" w:fill="D9D9D9"/>
            <w:noWrap/>
            <w:vAlign w:val="bottom"/>
            <w:hideMark/>
          </w:tcPr>
          <w:p w:rsidR="00306953" w:rsidRPr="00306953" w:rsidRDefault="00306953" w:rsidP="00306953">
            <w:pPr>
              <w:spacing w:after="0" w:line="240" w:lineRule="auto"/>
              <w:rPr>
                <w:rFonts w:cs="Arial"/>
                <w:color w:val="000000"/>
                <w:sz w:val="16"/>
                <w:szCs w:val="16"/>
              </w:rPr>
            </w:pPr>
            <w:r w:rsidRPr="00306953">
              <w:rPr>
                <w:rFonts w:cs="Arial"/>
                <w:color w:val="000000"/>
                <w:sz w:val="16"/>
                <w:szCs w:val="16"/>
              </w:rPr>
              <w:t> </w:t>
            </w:r>
          </w:p>
        </w:tc>
        <w:tc>
          <w:tcPr>
            <w:tcW w:w="5120" w:type="dxa"/>
            <w:tcBorders>
              <w:top w:val="nil"/>
              <w:left w:val="nil"/>
              <w:bottom w:val="single" w:sz="4" w:space="0" w:color="auto"/>
              <w:right w:val="single" w:sz="4" w:space="0" w:color="auto"/>
            </w:tcBorders>
            <w:shd w:val="clear" w:color="auto" w:fill="auto"/>
            <w:noWrap/>
            <w:vAlign w:val="center"/>
            <w:hideMark/>
          </w:tcPr>
          <w:p w:rsidR="00306953" w:rsidRPr="00306953" w:rsidRDefault="00306953" w:rsidP="00B51C20">
            <w:pPr>
              <w:spacing w:after="0" w:line="240" w:lineRule="auto"/>
              <w:rPr>
                <w:rFonts w:cs="Arial"/>
                <w:color w:val="000000"/>
                <w:sz w:val="16"/>
                <w:szCs w:val="16"/>
              </w:rPr>
            </w:pPr>
            <w:r w:rsidRPr="00306953">
              <w:rPr>
                <w:rFonts w:cs="Arial"/>
                <w:color w:val="000000"/>
                <w:sz w:val="16"/>
                <w:szCs w:val="16"/>
              </w:rPr>
              <w:t>soukromé zdroje pocházející z veřejných dotací</w:t>
            </w:r>
          </w:p>
        </w:tc>
      </w:tr>
    </w:tbl>
    <w:p w:rsidR="00306953" w:rsidRPr="00306953" w:rsidRDefault="00306953" w:rsidP="00306953">
      <w:pPr>
        <w:autoSpaceDE w:val="0"/>
        <w:autoSpaceDN w:val="0"/>
        <w:adjustRightInd w:val="0"/>
        <w:spacing w:after="0" w:line="240" w:lineRule="auto"/>
        <w:jc w:val="both"/>
        <w:rPr>
          <w:rFonts w:eastAsia="NovareseCEBook" w:cs="Arial"/>
        </w:rPr>
      </w:pPr>
    </w:p>
    <w:p w:rsidR="00306953" w:rsidRPr="00306953" w:rsidRDefault="00306953" w:rsidP="00306953">
      <w:pPr>
        <w:autoSpaceDE w:val="0"/>
        <w:autoSpaceDN w:val="0"/>
        <w:adjustRightInd w:val="0"/>
        <w:spacing w:after="0" w:line="240" w:lineRule="auto"/>
        <w:jc w:val="both"/>
        <w:rPr>
          <w:rFonts w:eastAsia="NovareseCEBook" w:cs="Arial"/>
          <w:sz w:val="16"/>
          <w:szCs w:val="16"/>
        </w:rPr>
      </w:pPr>
      <w:r w:rsidRPr="00306953">
        <w:rPr>
          <w:rFonts w:eastAsia="NovareseCEBook" w:cs="Arial"/>
          <w:sz w:val="16"/>
          <w:szCs w:val="16"/>
        </w:rPr>
        <w:t xml:space="preserve">Zdroj: </w:t>
      </w:r>
      <w:hyperlink r:id="rId35" w:history="1">
        <w:proofErr w:type="spellStart"/>
        <w:r w:rsidRPr="00306953">
          <w:rPr>
            <w:rStyle w:val="Hypertextovodkaz"/>
            <w:rFonts w:eastAsia="NovareseCEBook" w:cs="Arial"/>
            <w:sz w:val="16"/>
            <w:szCs w:val="16"/>
          </w:rPr>
          <w:t>Kleňhová</w:t>
        </w:r>
        <w:proofErr w:type="spellEnd"/>
        <w:r w:rsidRPr="00306953">
          <w:rPr>
            <w:rStyle w:val="Hypertextovodkaz"/>
            <w:rFonts w:eastAsia="NovareseCEBook" w:cs="Arial"/>
            <w:sz w:val="16"/>
            <w:szCs w:val="16"/>
          </w:rPr>
          <w:t xml:space="preserve"> 2009</w:t>
        </w:r>
      </w:hyperlink>
      <w:r w:rsidRPr="00306953">
        <w:rPr>
          <w:rFonts w:eastAsia="NovareseCEBook" w:cs="Arial"/>
          <w:sz w:val="16"/>
          <w:szCs w:val="16"/>
        </w:rPr>
        <w:t xml:space="preserve">, s. 11, jedná se o překlad tabulky v publikaci OECD (např. </w:t>
      </w:r>
      <w:hyperlink r:id="rId36" w:history="1">
        <w:r w:rsidRPr="00306953">
          <w:rPr>
            <w:rStyle w:val="Hypertextovodkaz"/>
            <w:rFonts w:eastAsia="NovareseCEBook" w:cs="Arial"/>
            <w:sz w:val="16"/>
            <w:szCs w:val="16"/>
          </w:rPr>
          <w:t>OECD 2014</w:t>
        </w:r>
      </w:hyperlink>
      <w:r w:rsidRPr="00306953">
        <w:rPr>
          <w:rFonts w:eastAsia="NovareseCEBook" w:cs="Arial"/>
          <w:sz w:val="16"/>
          <w:szCs w:val="16"/>
        </w:rPr>
        <w:t>, s. 202)</w:t>
      </w:r>
    </w:p>
    <w:p w:rsidR="00306953" w:rsidRPr="00306953" w:rsidRDefault="00306953" w:rsidP="00306953">
      <w:pPr>
        <w:autoSpaceDE w:val="0"/>
        <w:autoSpaceDN w:val="0"/>
        <w:adjustRightInd w:val="0"/>
        <w:spacing w:after="0" w:line="240" w:lineRule="auto"/>
        <w:jc w:val="both"/>
        <w:rPr>
          <w:rFonts w:eastAsia="NovareseCEBook" w:cs="Arial"/>
          <w:szCs w:val="20"/>
        </w:rPr>
      </w:pPr>
    </w:p>
    <w:p w:rsidR="00306953" w:rsidRPr="00306953" w:rsidRDefault="00306953" w:rsidP="00306953">
      <w:pPr>
        <w:spacing w:after="120" w:line="240" w:lineRule="auto"/>
        <w:jc w:val="both"/>
        <w:rPr>
          <w:rFonts w:cs="Arial"/>
          <w:szCs w:val="20"/>
        </w:rPr>
      </w:pPr>
      <w:r w:rsidRPr="00306953">
        <w:rPr>
          <w:rFonts w:cs="Arial"/>
          <w:szCs w:val="20"/>
        </w:rPr>
        <w:t xml:space="preserve">Jak je patrné, zjišťuje se </w:t>
      </w:r>
      <w:r w:rsidRPr="00306953">
        <w:rPr>
          <w:rFonts w:cs="Arial"/>
          <w:b/>
          <w:szCs w:val="20"/>
        </w:rPr>
        <w:t>komplexní pohled na výdaje v oblasti formálního vzdělávání</w:t>
      </w:r>
      <w:r w:rsidRPr="00306953">
        <w:rPr>
          <w:rFonts w:cs="Arial"/>
          <w:szCs w:val="20"/>
        </w:rPr>
        <w:t xml:space="preserve">. </w:t>
      </w:r>
      <w:proofErr w:type="spellStart"/>
      <w:r w:rsidRPr="00306953">
        <w:rPr>
          <w:rFonts w:cs="Arial"/>
          <w:szCs w:val="20"/>
        </w:rPr>
        <w:t>Kleňhová</w:t>
      </w:r>
      <w:proofErr w:type="spellEnd"/>
      <w:r w:rsidR="00777F62">
        <w:rPr>
          <w:rFonts w:cs="Arial"/>
          <w:szCs w:val="20"/>
        </w:rPr>
        <w:t xml:space="preserve"> (2010) ve svém článku uvádí</w:t>
      </w:r>
      <w:r w:rsidRPr="00306953">
        <w:rPr>
          <w:rFonts w:cs="Arial"/>
          <w:szCs w:val="20"/>
        </w:rPr>
        <w:t>,</w:t>
      </w:r>
      <w:r w:rsidR="00777F62">
        <w:rPr>
          <w:rFonts w:cs="Arial"/>
          <w:szCs w:val="20"/>
        </w:rPr>
        <w:t xml:space="preserve"> že</w:t>
      </w:r>
      <w:r w:rsidRPr="00306953">
        <w:rPr>
          <w:rFonts w:cs="Arial"/>
          <w:szCs w:val="20"/>
        </w:rPr>
        <w:t xml:space="preserve"> „</w:t>
      </w:r>
      <w:r w:rsidRPr="00306953">
        <w:rPr>
          <w:rFonts w:cs="Arial"/>
          <w:i/>
          <w:szCs w:val="20"/>
        </w:rPr>
        <w:t xml:space="preserve">kromě výdajů na samotný vzdělávací proces </w:t>
      </w:r>
      <w:r w:rsidR="003A515E">
        <w:rPr>
          <w:rFonts w:cs="Arial"/>
          <w:i/>
          <w:szCs w:val="20"/>
        </w:rPr>
        <w:t>se jedná i o výdaje na výzkum a </w:t>
      </w:r>
      <w:r w:rsidRPr="00306953">
        <w:rPr>
          <w:rFonts w:cs="Arial"/>
          <w:i/>
          <w:szCs w:val="20"/>
        </w:rPr>
        <w:t>vývoj a na služby spojené se vzděláváním. Služby spojené se vzděláváním jsou výdaje na ubytování, stravování, mimoškolní činnost, veřejné dotace spojené s životními náklady studentů, dotace na zlevněné jízdné, platby domácností na školské služby, v některých zemích i služby na zdravotnické služby poskytované vzdělávacími institucemi. Je tedy zřejmé, že výše nákladů vynaložených na služby spojené se vzděláváním mohou v různých zemích zahrnovat služby rozdílného charakteru, závisí na šíři dotací a dávek v jednotlivých zemích i na různé sociální politice</w:t>
      </w:r>
      <w:r w:rsidRPr="00306953">
        <w:rPr>
          <w:rFonts w:cs="Arial"/>
          <w:szCs w:val="20"/>
        </w:rPr>
        <w:t>.“ (</w:t>
      </w:r>
      <w:proofErr w:type="spellStart"/>
      <w:r w:rsidR="00984E22">
        <w:fldChar w:fldCharType="begin"/>
      </w:r>
      <w:r w:rsidR="00A86640">
        <w:instrText>HYPERLINK "http://kdem.vse.cz/resources/relik10/PDFucastnici/Klenhova.pdf"</w:instrText>
      </w:r>
      <w:r w:rsidR="00984E22">
        <w:fldChar w:fldCharType="separate"/>
      </w:r>
      <w:r w:rsidRPr="00306953">
        <w:rPr>
          <w:rStyle w:val="Hypertextovodkaz"/>
          <w:rFonts w:cs="Arial"/>
          <w:szCs w:val="20"/>
        </w:rPr>
        <w:t>Kleňhová</w:t>
      </w:r>
      <w:proofErr w:type="spellEnd"/>
      <w:r w:rsidRPr="00306953">
        <w:rPr>
          <w:rStyle w:val="Hypertextovodkaz"/>
          <w:rFonts w:cs="Arial"/>
          <w:szCs w:val="20"/>
        </w:rPr>
        <w:t xml:space="preserve"> 2010</w:t>
      </w:r>
      <w:r w:rsidR="00984E22">
        <w:fldChar w:fldCharType="end"/>
      </w:r>
      <w:r w:rsidRPr="00306953">
        <w:rPr>
          <w:rFonts w:cs="Arial"/>
          <w:szCs w:val="20"/>
        </w:rPr>
        <w:t xml:space="preserve">, s. 2)  </w:t>
      </w:r>
    </w:p>
    <w:p w:rsidR="00306953" w:rsidRPr="00306953" w:rsidRDefault="00306953" w:rsidP="00306953">
      <w:pPr>
        <w:spacing w:after="120" w:line="240" w:lineRule="auto"/>
        <w:jc w:val="both"/>
        <w:rPr>
          <w:rFonts w:cs="Arial"/>
          <w:szCs w:val="20"/>
        </w:rPr>
      </w:pPr>
      <w:r w:rsidRPr="00306953">
        <w:rPr>
          <w:rFonts w:cs="Arial"/>
          <w:szCs w:val="20"/>
        </w:rPr>
        <w:t>V dotaznících UOE jsou rozlišovány výdaje z </w:t>
      </w:r>
      <w:r w:rsidRPr="00306953">
        <w:rPr>
          <w:rFonts w:cs="Arial"/>
          <w:b/>
          <w:szCs w:val="20"/>
        </w:rPr>
        <w:t xml:space="preserve">veřejného </w:t>
      </w:r>
      <w:r w:rsidRPr="00306953">
        <w:rPr>
          <w:rFonts w:cs="Arial"/>
          <w:szCs w:val="20"/>
        </w:rPr>
        <w:t>a</w:t>
      </w:r>
      <w:r w:rsidRPr="00306953">
        <w:rPr>
          <w:rFonts w:cs="Arial"/>
          <w:b/>
          <w:szCs w:val="20"/>
        </w:rPr>
        <w:t xml:space="preserve"> soukromého</w:t>
      </w:r>
      <w:r w:rsidRPr="00306953">
        <w:rPr>
          <w:rStyle w:val="Znakapoznpodarou"/>
          <w:rFonts w:eastAsia="MS Gothic" w:cs="Arial"/>
          <w:b/>
          <w:szCs w:val="20"/>
        </w:rPr>
        <w:footnoteReference w:id="3"/>
      </w:r>
      <w:r w:rsidRPr="00306953">
        <w:rPr>
          <w:rFonts w:cs="Arial"/>
          <w:b/>
          <w:szCs w:val="20"/>
        </w:rPr>
        <w:t xml:space="preserve"> sektoru</w:t>
      </w:r>
      <w:r w:rsidRPr="00306953">
        <w:rPr>
          <w:rFonts w:cs="Arial"/>
          <w:szCs w:val="20"/>
        </w:rPr>
        <w:t xml:space="preserve"> a z </w:t>
      </w:r>
      <w:r w:rsidRPr="00306953">
        <w:rPr>
          <w:rFonts w:cs="Arial"/>
          <w:b/>
          <w:szCs w:val="20"/>
        </w:rPr>
        <w:t xml:space="preserve">mezinárodních </w:t>
      </w:r>
      <w:r w:rsidRPr="00306953">
        <w:rPr>
          <w:rFonts w:cs="Arial"/>
          <w:szCs w:val="20"/>
        </w:rPr>
        <w:t xml:space="preserve">zdrojů. Výši výdajů na vzdělávání, které nepochází z veřejných rozpočtů, je však v ČR do jisté míry nutno založit na odhadech a příslušné údaje jsou tedy méně přesné než data vypovídající o veřejných výdajích na vzdělávání. Ještě větším nepřesnostem je pak vystavena výše financí čerpaných z mezinárodních zdrojů v tom kterém roce, neboť rok čerpání financí, příp. proplacení uznatelných výdajů ze strany mezinárodních </w:t>
      </w:r>
      <w:r w:rsidRPr="00306953">
        <w:rPr>
          <w:rFonts w:cs="Arial"/>
          <w:szCs w:val="20"/>
        </w:rPr>
        <w:lastRenderedPageBreak/>
        <w:t>fondů se může lišit od roku jejich reálného využití</w:t>
      </w:r>
      <w:r w:rsidRPr="00306953">
        <w:rPr>
          <w:rStyle w:val="Znakapoznpodarou"/>
          <w:rFonts w:eastAsia="MS Gothic" w:cs="Arial"/>
          <w:szCs w:val="20"/>
        </w:rPr>
        <w:footnoteReference w:id="4"/>
      </w:r>
      <w:r w:rsidRPr="00306953">
        <w:rPr>
          <w:rFonts w:cs="Arial"/>
          <w:szCs w:val="20"/>
        </w:rPr>
        <w:t xml:space="preserve">. Dále v této publikaci proto </w:t>
      </w:r>
      <w:r w:rsidRPr="00306953">
        <w:rPr>
          <w:rFonts w:cs="Arial"/>
          <w:b/>
          <w:i/>
          <w:szCs w:val="20"/>
        </w:rPr>
        <w:t xml:space="preserve">nebudeme rozlišovat mezi tuzemskými a zahraničními (mezinárodními) zdroji, pouze mezi zdroji veřejnými </w:t>
      </w:r>
      <w:r w:rsidRPr="00306953">
        <w:rPr>
          <w:rFonts w:cs="Arial"/>
          <w:szCs w:val="20"/>
        </w:rPr>
        <w:t>(které vycházejí z finančního výkaznictví)</w:t>
      </w:r>
      <w:r w:rsidRPr="00306953">
        <w:rPr>
          <w:rFonts w:cs="Arial"/>
          <w:b/>
          <w:i/>
          <w:szCs w:val="20"/>
        </w:rPr>
        <w:t xml:space="preserve"> a soukromými </w:t>
      </w:r>
      <w:r w:rsidRPr="00306953">
        <w:rPr>
          <w:rFonts w:cs="Arial"/>
          <w:szCs w:val="20"/>
        </w:rPr>
        <w:t>(které jsou do jisté míry založené na odhadech).</w:t>
      </w:r>
    </w:p>
    <w:p w:rsidR="00306953" w:rsidRPr="00306953" w:rsidRDefault="00306953" w:rsidP="00306953">
      <w:pPr>
        <w:autoSpaceDE w:val="0"/>
        <w:autoSpaceDN w:val="0"/>
        <w:adjustRightInd w:val="0"/>
        <w:spacing w:after="120" w:line="240" w:lineRule="auto"/>
        <w:jc w:val="both"/>
        <w:rPr>
          <w:rFonts w:eastAsia="NovareseCEBook" w:cs="Arial"/>
          <w:szCs w:val="20"/>
        </w:rPr>
      </w:pPr>
      <w:r w:rsidRPr="00306953">
        <w:rPr>
          <w:rFonts w:cs="Arial"/>
          <w:szCs w:val="20"/>
        </w:rPr>
        <w:t xml:space="preserve">V dotaznících UOE je také rozlišováno mezi </w:t>
      </w:r>
      <w:r w:rsidRPr="00306953">
        <w:rPr>
          <w:rFonts w:cs="Arial"/>
          <w:b/>
          <w:i/>
          <w:szCs w:val="20"/>
        </w:rPr>
        <w:t>běžnými a kapitálovými výdaji</w:t>
      </w:r>
      <w:r w:rsidRPr="00306953">
        <w:rPr>
          <w:rFonts w:cs="Arial"/>
          <w:szCs w:val="20"/>
        </w:rPr>
        <w:t xml:space="preserve"> vzdělávacích institucí. </w:t>
      </w:r>
      <w:r w:rsidRPr="00306953">
        <w:rPr>
          <w:rFonts w:eastAsia="NovareseCEMedium" w:cs="Arial"/>
          <w:b/>
          <w:szCs w:val="20"/>
        </w:rPr>
        <w:t>Běžné výdaje</w:t>
      </w:r>
      <w:r w:rsidRPr="00306953">
        <w:rPr>
          <w:rFonts w:eastAsia="NovareseCEMedium" w:cs="Arial"/>
          <w:szCs w:val="20"/>
        </w:rPr>
        <w:t xml:space="preserve"> </w:t>
      </w:r>
      <w:r w:rsidRPr="00306953">
        <w:rPr>
          <w:rFonts w:eastAsia="NovareseCEBook" w:cs="Arial"/>
          <w:szCs w:val="20"/>
        </w:rPr>
        <w:t xml:space="preserve">jsou výdaje neinvestičního charakteru určené na zboží a služby vynaložené v průběhu kalendářního roku, které se vesměs každoročně opakují, aby instituce mohla zabezpečit vzdělávání a služby s ním spojené, malá část těchto výdajů je vynaložena na drobné součásti vybavení. </w:t>
      </w:r>
      <w:r w:rsidRPr="00306953">
        <w:rPr>
          <w:rFonts w:eastAsia="NovareseCEMedium" w:cs="Arial"/>
          <w:b/>
          <w:szCs w:val="20"/>
        </w:rPr>
        <w:t>Kapitálové výdaje</w:t>
      </w:r>
      <w:r w:rsidRPr="00306953">
        <w:rPr>
          <w:rFonts w:eastAsia="NovareseCEMedium" w:cs="Arial"/>
          <w:szCs w:val="20"/>
        </w:rPr>
        <w:t xml:space="preserve"> </w:t>
      </w:r>
      <w:r w:rsidRPr="00306953">
        <w:rPr>
          <w:rFonts w:eastAsia="NovareseCEBook" w:cs="Arial"/>
          <w:szCs w:val="20"/>
        </w:rPr>
        <w:t>jsou výdaje na majetek dlouhodobé povahy, který organizace používá zpravidla déle než jeden rok, zahrnuje výdaje na výstavbu, renovace a hlavní rekonstrukce budov a výdaje na nové vybavení nebo na jeho výměnu. Pro potřeby analýz jsou</w:t>
      </w:r>
      <w:r w:rsidRPr="00306953">
        <w:rPr>
          <w:rFonts w:eastAsia="NovareseCEBook" w:cs="Arial"/>
          <w:b/>
          <w:i/>
          <w:szCs w:val="20"/>
        </w:rPr>
        <w:t xml:space="preserve"> b</w:t>
      </w:r>
      <w:r w:rsidRPr="00306953">
        <w:rPr>
          <w:rFonts w:cs="Arial"/>
          <w:b/>
          <w:i/>
          <w:szCs w:val="20"/>
        </w:rPr>
        <w:t>ěžné výdaje dále rozděleny</w:t>
      </w:r>
      <w:r w:rsidRPr="00306953">
        <w:rPr>
          <w:rFonts w:cs="Arial"/>
          <w:szCs w:val="20"/>
        </w:rPr>
        <w:t xml:space="preserve"> na výdaje </w:t>
      </w:r>
      <w:r w:rsidRPr="00306953">
        <w:rPr>
          <w:rFonts w:cs="Arial"/>
          <w:b/>
          <w:i/>
          <w:szCs w:val="20"/>
        </w:rPr>
        <w:t>na</w:t>
      </w:r>
      <w:r w:rsidRPr="00306953">
        <w:rPr>
          <w:rFonts w:cs="Arial"/>
          <w:szCs w:val="20"/>
        </w:rPr>
        <w:t xml:space="preserve"> </w:t>
      </w:r>
      <w:r w:rsidRPr="00306953">
        <w:rPr>
          <w:rFonts w:cs="Arial"/>
          <w:b/>
          <w:i/>
          <w:szCs w:val="20"/>
        </w:rPr>
        <w:t>pedagogický a ostatní personál a na jiné běžné výdaje</w:t>
      </w:r>
      <w:r w:rsidRPr="00306953">
        <w:rPr>
          <w:rFonts w:cs="Arial"/>
          <w:szCs w:val="20"/>
        </w:rPr>
        <w:t>, než jsou osobní náklady.</w:t>
      </w:r>
    </w:p>
    <w:p w:rsidR="00306953" w:rsidRPr="00306953" w:rsidRDefault="00306953" w:rsidP="00306953">
      <w:pPr>
        <w:spacing w:after="120" w:line="240" w:lineRule="auto"/>
        <w:jc w:val="both"/>
        <w:rPr>
          <w:rFonts w:cs="Arial"/>
          <w:szCs w:val="20"/>
        </w:rPr>
      </w:pPr>
      <w:r w:rsidRPr="00306953">
        <w:rPr>
          <w:rFonts w:cs="Arial"/>
          <w:szCs w:val="20"/>
        </w:rPr>
        <w:t xml:space="preserve">Vedle ekonomických zdrojů, výdajů a příjmů jsou země požádány o </w:t>
      </w:r>
      <w:r w:rsidRPr="00306953">
        <w:rPr>
          <w:rFonts w:cs="Arial"/>
          <w:b/>
          <w:szCs w:val="20"/>
        </w:rPr>
        <w:t>uvedení počtu žáků/studentů</w:t>
      </w:r>
      <w:r w:rsidRPr="00306953">
        <w:rPr>
          <w:rFonts w:cs="Arial"/>
          <w:szCs w:val="20"/>
        </w:rPr>
        <w:t xml:space="preserve"> na té které úrovni vzdělávání v dělení na studenty věnující se studiu v plném rozsahu (tzv. „</w:t>
      </w:r>
      <w:proofErr w:type="spellStart"/>
      <w:r w:rsidRPr="00306953">
        <w:rPr>
          <w:rFonts w:cs="Arial"/>
          <w:szCs w:val="20"/>
        </w:rPr>
        <w:t>full</w:t>
      </w:r>
      <w:proofErr w:type="spellEnd"/>
      <w:r w:rsidRPr="00306953">
        <w:rPr>
          <w:rFonts w:cs="Arial"/>
          <w:szCs w:val="20"/>
        </w:rPr>
        <w:t>-</w:t>
      </w:r>
      <w:proofErr w:type="spellStart"/>
      <w:r w:rsidRPr="00306953">
        <w:rPr>
          <w:rFonts w:cs="Arial"/>
          <w:szCs w:val="20"/>
        </w:rPr>
        <w:t>time</w:t>
      </w:r>
      <w:proofErr w:type="spellEnd"/>
      <w:r w:rsidRPr="00306953">
        <w:rPr>
          <w:rFonts w:cs="Arial"/>
          <w:szCs w:val="20"/>
        </w:rPr>
        <w:t>“, bývá ekvivalentem řádného denního studia) a na ty, které se mu věnují v částečn</w:t>
      </w:r>
      <w:r w:rsidR="00E52654">
        <w:rPr>
          <w:rFonts w:cs="Arial"/>
          <w:szCs w:val="20"/>
        </w:rPr>
        <w:t>ém rozsahu (part-</w:t>
      </w:r>
      <w:proofErr w:type="spellStart"/>
      <w:r w:rsidR="00E52654">
        <w:rPr>
          <w:rFonts w:cs="Arial"/>
          <w:szCs w:val="20"/>
        </w:rPr>
        <w:t>time</w:t>
      </w:r>
      <w:proofErr w:type="spellEnd"/>
      <w:r w:rsidR="00E52654">
        <w:rPr>
          <w:rFonts w:cs="Arial"/>
          <w:szCs w:val="20"/>
        </w:rPr>
        <w:t>), jakož i </w:t>
      </w:r>
      <w:r w:rsidRPr="00306953">
        <w:rPr>
          <w:rFonts w:cs="Arial"/>
          <w:szCs w:val="20"/>
        </w:rPr>
        <w:t>počet žáků/studentů přepočtený na ty, kteří se studiu věnují v plném rozsahu (</w:t>
      </w:r>
      <w:proofErr w:type="spellStart"/>
      <w:r w:rsidRPr="00306953">
        <w:rPr>
          <w:rFonts w:cs="Arial"/>
          <w:szCs w:val="20"/>
        </w:rPr>
        <w:t>full</w:t>
      </w:r>
      <w:proofErr w:type="spellEnd"/>
      <w:r w:rsidRPr="00306953">
        <w:rPr>
          <w:rFonts w:cs="Arial"/>
          <w:szCs w:val="20"/>
        </w:rPr>
        <w:t>-</w:t>
      </w:r>
      <w:proofErr w:type="spellStart"/>
      <w:r w:rsidRPr="00306953">
        <w:rPr>
          <w:rFonts w:cs="Arial"/>
          <w:szCs w:val="20"/>
        </w:rPr>
        <w:t>time</w:t>
      </w:r>
      <w:proofErr w:type="spellEnd"/>
      <w:r w:rsidRPr="00306953">
        <w:rPr>
          <w:rFonts w:cs="Arial"/>
          <w:szCs w:val="20"/>
        </w:rPr>
        <w:t xml:space="preserve"> </w:t>
      </w:r>
      <w:proofErr w:type="spellStart"/>
      <w:r w:rsidRPr="00306953">
        <w:rPr>
          <w:rFonts w:cs="Arial"/>
          <w:szCs w:val="20"/>
        </w:rPr>
        <w:t>equivalent</w:t>
      </w:r>
      <w:proofErr w:type="spellEnd"/>
      <w:r w:rsidRPr="00306953">
        <w:rPr>
          <w:rFonts w:cs="Arial"/>
          <w:szCs w:val="20"/>
        </w:rPr>
        <w:t xml:space="preserve">). Pro zařazení žáků/studentů do kategorie studujících v plném či částečném rozsahu je zohledňováno zamýšlené (očekávané) vytížení studenta v jednom školním či akademickém roce vzhledem k tomu, jaké je v dané zemi normální vytížení studenta daného studijního programu věnujícího se studiu </w:t>
      </w:r>
      <w:r w:rsidR="00D84176">
        <w:rPr>
          <w:rFonts w:cs="Arial"/>
          <w:szCs w:val="20"/>
        </w:rPr>
        <w:t>v plném rozsahu</w:t>
      </w:r>
      <w:r w:rsidRPr="00306953">
        <w:rPr>
          <w:rFonts w:cs="Arial"/>
          <w:szCs w:val="20"/>
        </w:rPr>
        <w:t xml:space="preserve">. Probíhá-li studium převážně v učebnách, je adekvátním měřítkem zamýšleného vytížení čas strávený při výuce. Stejně tak může být však důležitý počet kreditů, které student získá, příp. kombinace obou těchto faktorů. Stejným způsobem by pak mělo být měřeno i normální vytížení studenta. Za studenta na plný úvazek se pak považuje ten, který studuje vzdělávací program se zamýšleným vytížením, které dosahuje alespoň 75 % normálního vytížení. Studentem na částečný úvazek je pak ten, u kterého je tento podíl menší než 75 % (více viz </w:t>
      </w:r>
      <w:hyperlink r:id="rId37" w:history="1">
        <w:r w:rsidRPr="00306953">
          <w:rPr>
            <w:rStyle w:val="Hypertextovodkaz"/>
            <w:rFonts w:cs="Arial"/>
            <w:szCs w:val="20"/>
          </w:rPr>
          <w:t>anglický manuál k dotazníkům UOE</w:t>
        </w:r>
      </w:hyperlink>
      <w:r w:rsidRPr="00306953">
        <w:rPr>
          <w:rStyle w:val="Znakapoznpodarou"/>
          <w:rFonts w:eastAsia="MS Gothic" w:cs="Arial"/>
          <w:szCs w:val="20"/>
        </w:rPr>
        <w:footnoteReference w:id="5"/>
      </w:r>
      <w:r w:rsidRPr="00306953">
        <w:rPr>
          <w:rFonts w:cs="Arial"/>
          <w:szCs w:val="20"/>
        </w:rPr>
        <w:t>, s. 27-28).</w:t>
      </w:r>
    </w:p>
    <w:p w:rsidR="00306953" w:rsidRPr="00306953" w:rsidRDefault="00306953" w:rsidP="00306953">
      <w:pPr>
        <w:autoSpaceDE w:val="0"/>
        <w:autoSpaceDN w:val="0"/>
        <w:adjustRightInd w:val="0"/>
        <w:spacing w:after="120" w:line="240" w:lineRule="auto"/>
        <w:jc w:val="both"/>
        <w:rPr>
          <w:rFonts w:cs="Arial"/>
          <w:szCs w:val="20"/>
        </w:rPr>
      </w:pPr>
      <w:r w:rsidRPr="00306953">
        <w:rPr>
          <w:rFonts w:cs="Arial"/>
          <w:szCs w:val="20"/>
        </w:rPr>
        <w:t>V metodické příručce k ekonomickým indikátorům (</w:t>
      </w:r>
      <w:proofErr w:type="spellStart"/>
      <w:r w:rsidR="00984E22">
        <w:fldChar w:fldCharType="begin"/>
      </w:r>
      <w:r w:rsidR="00A86640">
        <w:instrText>HYPERLINK "http://www.google.cz/url?sa=t&amp;rct=j&amp;q=&amp;esrc=s&amp;source=web&amp;cd=1&amp;ved=0CC4QFjAA&amp;url=http%3A%2F%2Fwww.msmt.cz%2Ffile%2F13680_1_1%2F&amp;ei=o9ksVfHSHMn1avSigNAI&amp;usg=AFQjCNGEXTEQHiZP-ZyyclE_eOC8sFYTBg&amp;bvm=bv.90790515,d.d2s"</w:instrText>
      </w:r>
      <w:r w:rsidR="00984E22">
        <w:fldChar w:fldCharType="separate"/>
      </w:r>
      <w:r w:rsidRPr="00306953">
        <w:rPr>
          <w:rStyle w:val="Hypertextovodkaz"/>
          <w:rFonts w:cs="Arial"/>
          <w:szCs w:val="20"/>
        </w:rPr>
        <w:t>Kleňhová</w:t>
      </w:r>
      <w:proofErr w:type="spellEnd"/>
      <w:r w:rsidRPr="00306953">
        <w:rPr>
          <w:rStyle w:val="Hypertextovodkaz"/>
          <w:rFonts w:cs="Arial"/>
          <w:szCs w:val="20"/>
        </w:rPr>
        <w:t>, 2009</w:t>
      </w:r>
      <w:r w:rsidR="00984E22">
        <w:fldChar w:fldCharType="end"/>
      </w:r>
      <w:r w:rsidR="00680DD2">
        <w:rPr>
          <w:rFonts w:cs="Arial"/>
          <w:szCs w:val="20"/>
        </w:rPr>
        <w:t>, s. </w:t>
      </w:r>
      <w:r w:rsidRPr="00306953">
        <w:rPr>
          <w:rFonts w:cs="Arial"/>
          <w:szCs w:val="20"/>
        </w:rPr>
        <w:t>18) je dále uvedeno: „</w:t>
      </w:r>
      <w:r w:rsidRPr="00306953">
        <w:rPr>
          <w:rFonts w:cs="Arial"/>
          <w:i/>
          <w:szCs w:val="20"/>
        </w:rPr>
        <w:t xml:space="preserve">Aby byly údaje o výdajích a údaje o počtech dětí, žáků a studentů vzájemně porovnatelné, je nutné údaje o počtech dětí, žáků a studentů (které jsou za školní/akademické roky) </w:t>
      </w:r>
      <w:r w:rsidRPr="00306953">
        <w:rPr>
          <w:rFonts w:cs="Arial"/>
          <w:b/>
          <w:i/>
          <w:szCs w:val="20"/>
        </w:rPr>
        <w:t>přepočítat na kalendářní rok</w:t>
      </w:r>
      <w:r w:rsidRPr="00306953">
        <w:rPr>
          <w:rFonts w:cs="Arial"/>
          <w:i/>
          <w:szCs w:val="20"/>
        </w:rPr>
        <w:t>. K tomu se využívají údaje za dva po sobě následující školní/akademické roky, žáci a studenti se započítávají proporcionálně podle dílčí části školního/akademického roku, který připadá na daný kalendářní rok. V našem prostředí, kdy školní rok je stanoven od září do srpna, se žáci a studenti započítávají následujícím způsobem: první školní rok se započítává koeficientem 8/12 (období leden až srpen), následující školní rok koeficientem 4/12 (období září až prosinec)</w:t>
      </w:r>
      <w:r w:rsidRPr="00306953">
        <w:rPr>
          <w:rFonts w:cs="Arial"/>
          <w:szCs w:val="20"/>
        </w:rPr>
        <w:t>.“</w:t>
      </w:r>
    </w:p>
    <w:p w:rsidR="00306953" w:rsidRPr="00306953" w:rsidRDefault="00306953" w:rsidP="00306953">
      <w:pPr>
        <w:spacing w:after="120" w:line="240" w:lineRule="auto"/>
        <w:jc w:val="both"/>
        <w:rPr>
          <w:rFonts w:cs="Arial"/>
          <w:szCs w:val="20"/>
        </w:rPr>
      </w:pPr>
      <w:r w:rsidRPr="00306953">
        <w:rPr>
          <w:rFonts w:cs="Arial"/>
          <w:szCs w:val="20"/>
        </w:rPr>
        <w:t xml:space="preserve">Připomeňme, že na základě dat, která jsou pomocí dotazníku UOE sbírána, jsou pak sestavovány indikátory prezentované v publikaci </w:t>
      </w:r>
      <w:proofErr w:type="spellStart"/>
      <w:r w:rsidRPr="00306953">
        <w:rPr>
          <w:rFonts w:cs="Arial"/>
          <w:szCs w:val="20"/>
        </w:rPr>
        <w:t>Education</w:t>
      </w:r>
      <w:proofErr w:type="spellEnd"/>
      <w:r w:rsidRPr="00306953">
        <w:rPr>
          <w:rFonts w:cs="Arial"/>
          <w:szCs w:val="20"/>
        </w:rPr>
        <w:t xml:space="preserve"> </w:t>
      </w:r>
      <w:proofErr w:type="spellStart"/>
      <w:r w:rsidRPr="00306953">
        <w:rPr>
          <w:rFonts w:cs="Arial"/>
          <w:szCs w:val="20"/>
        </w:rPr>
        <w:t>at</w:t>
      </w:r>
      <w:proofErr w:type="spellEnd"/>
      <w:r w:rsidRPr="00306953">
        <w:rPr>
          <w:rFonts w:cs="Arial"/>
          <w:szCs w:val="20"/>
        </w:rPr>
        <w:t xml:space="preserve"> a </w:t>
      </w:r>
      <w:proofErr w:type="spellStart"/>
      <w:r w:rsidRPr="00306953">
        <w:rPr>
          <w:rFonts w:cs="Arial"/>
          <w:szCs w:val="20"/>
        </w:rPr>
        <w:t>Glance</w:t>
      </w:r>
      <w:proofErr w:type="spellEnd"/>
      <w:r w:rsidRPr="00306953">
        <w:rPr>
          <w:rFonts w:cs="Arial"/>
          <w:szCs w:val="20"/>
        </w:rPr>
        <w:t xml:space="preserve">. Pro porovnání výdajů různých zemí se přitom v některých případech zohledňuje tzv. </w:t>
      </w:r>
      <w:r w:rsidRPr="00306953">
        <w:rPr>
          <w:rFonts w:cs="Arial"/>
          <w:b/>
          <w:szCs w:val="20"/>
        </w:rPr>
        <w:t>parita kupní síly</w:t>
      </w:r>
      <w:r w:rsidRPr="00306953">
        <w:rPr>
          <w:rFonts w:cs="Arial"/>
          <w:szCs w:val="20"/>
        </w:rPr>
        <w:t xml:space="preserve"> (dále jen PPP = </w:t>
      </w:r>
      <w:proofErr w:type="spellStart"/>
      <w:r w:rsidRPr="00306953">
        <w:rPr>
          <w:rFonts w:cs="Arial"/>
          <w:szCs w:val="20"/>
        </w:rPr>
        <w:t>Purchasing</w:t>
      </w:r>
      <w:proofErr w:type="spellEnd"/>
      <w:r w:rsidRPr="00306953">
        <w:rPr>
          <w:rFonts w:cs="Arial"/>
          <w:szCs w:val="20"/>
        </w:rPr>
        <w:t xml:space="preserve"> </w:t>
      </w:r>
      <w:proofErr w:type="spellStart"/>
      <w:r w:rsidRPr="00306953">
        <w:rPr>
          <w:rFonts w:cs="Arial"/>
          <w:szCs w:val="20"/>
        </w:rPr>
        <w:t>Power</w:t>
      </w:r>
      <w:proofErr w:type="spellEnd"/>
      <w:r w:rsidRPr="00306953">
        <w:rPr>
          <w:rFonts w:cs="Arial"/>
          <w:szCs w:val="20"/>
        </w:rPr>
        <w:t xml:space="preserve"> Parity), která je na </w:t>
      </w:r>
      <w:hyperlink r:id="rId38" w:history="1">
        <w:r w:rsidRPr="00306953">
          <w:rPr>
            <w:rStyle w:val="Hypertextovodkaz"/>
            <w:rFonts w:cs="Arial"/>
            <w:szCs w:val="20"/>
          </w:rPr>
          <w:t>stránkách ČSÚ</w:t>
        </w:r>
      </w:hyperlink>
      <w:r w:rsidRPr="00306953">
        <w:rPr>
          <w:rFonts w:cs="Arial"/>
          <w:szCs w:val="20"/>
        </w:rPr>
        <w:t xml:space="preserve"> definována takto: </w:t>
      </w:r>
    </w:p>
    <w:p w:rsidR="00306953" w:rsidRPr="004B442A" w:rsidRDefault="00306953" w:rsidP="00306953">
      <w:pPr>
        <w:autoSpaceDE w:val="0"/>
        <w:autoSpaceDN w:val="0"/>
        <w:adjustRightInd w:val="0"/>
        <w:spacing w:after="120" w:line="240" w:lineRule="auto"/>
        <w:jc w:val="both"/>
        <w:rPr>
          <w:rFonts w:eastAsia="NovareseCEBook" w:cs="Arial"/>
          <w:i/>
          <w:szCs w:val="20"/>
        </w:rPr>
      </w:pPr>
      <w:r w:rsidRPr="004B442A">
        <w:rPr>
          <w:rFonts w:eastAsia="NovareseCEBookItalic" w:cs="Arial"/>
          <w:i/>
          <w:iCs/>
          <w:szCs w:val="20"/>
        </w:rPr>
        <w:t>„</w:t>
      </w:r>
      <w:r w:rsidRPr="004B442A">
        <w:rPr>
          <w:rFonts w:cs="Arial"/>
          <w:i/>
          <w:szCs w:val="20"/>
        </w:rPr>
        <w:t>V nejjednodušší verzi PPP představuje poměr cen v národních měnách za stejné výrobky a služby v různých zemích. Například pokud stejný výrobek stojí ve Francii 10 euro a v České republice 200 českých korun, pak PPP pro tento výrobek mezi Francií a Českou republikou je 0,05 eura k české koruně (0,05 = 10/200). To znamená, že za každou korunu obdrží kupující v České republice stejné množství tohoto výrobku, které by obdržel za 0,05 eura ve Francii. Parity kupní síly se však v ECP neporovnávají mezi zeměmi pouze bilaterálně, ale konečné parity jsou výsledkem multilaterálního srovnání.</w:t>
      </w:r>
      <w:r w:rsidRPr="004B442A">
        <w:rPr>
          <w:rFonts w:eastAsia="NovareseCEBook" w:cs="Arial"/>
          <w:i/>
          <w:szCs w:val="20"/>
        </w:rPr>
        <w:t>“</w:t>
      </w:r>
    </w:p>
    <w:p w:rsidR="00306953" w:rsidRPr="00306953" w:rsidRDefault="00306953" w:rsidP="00306953">
      <w:pPr>
        <w:pStyle w:val="Normlnweb"/>
        <w:spacing w:before="0" w:beforeAutospacing="0" w:after="120" w:afterAutospacing="0"/>
        <w:jc w:val="both"/>
        <w:rPr>
          <w:rFonts w:ascii="Arial" w:hAnsi="Arial" w:cs="Arial"/>
          <w:sz w:val="20"/>
          <w:szCs w:val="20"/>
        </w:rPr>
      </w:pPr>
      <w:r w:rsidRPr="004B442A">
        <w:rPr>
          <w:rFonts w:ascii="Arial" w:eastAsia="NovareseCEBook" w:hAnsi="Arial" w:cs="Arial"/>
          <w:sz w:val="20"/>
          <w:szCs w:val="20"/>
        </w:rPr>
        <w:t xml:space="preserve">Jak dále uvádí </w:t>
      </w:r>
      <w:proofErr w:type="spellStart"/>
      <w:r w:rsidRPr="004B442A">
        <w:rPr>
          <w:rFonts w:ascii="Arial" w:eastAsia="NovareseCEBook" w:hAnsi="Arial" w:cs="Arial"/>
          <w:sz w:val="20"/>
          <w:szCs w:val="20"/>
        </w:rPr>
        <w:t>Kleňhová</w:t>
      </w:r>
      <w:proofErr w:type="spellEnd"/>
      <w:r w:rsidRPr="004B442A">
        <w:rPr>
          <w:rFonts w:ascii="Arial" w:eastAsia="NovareseCEBook" w:hAnsi="Arial" w:cs="Arial"/>
          <w:sz w:val="20"/>
          <w:szCs w:val="20"/>
        </w:rPr>
        <w:t xml:space="preserve"> ve svém článku, „</w:t>
      </w:r>
      <w:r w:rsidRPr="004B442A">
        <w:rPr>
          <w:rFonts w:ascii="Arial" w:hAnsi="Arial" w:cs="Arial"/>
          <w:i/>
          <w:sz w:val="20"/>
          <w:szCs w:val="20"/>
        </w:rPr>
        <w:t xml:space="preserve">nejčastěji používaným ukazatelem charakterizujícím výdaje na vzdělávání jsou </w:t>
      </w:r>
      <w:r w:rsidRPr="004B442A">
        <w:rPr>
          <w:rFonts w:ascii="Arial" w:hAnsi="Arial" w:cs="Arial"/>
          <w:b/>
          <w:bCs/>
          <w:i/>
          <w:sz w:val="20"/>
          <w:szCs w:val="20"/>
        </w:rPr>
        <w:t xml:space="preserve">výdaje na vzdělávání jako poměr k HDP. </w:t>
      </w:r>
      <w:r w:rsidRPr="004B442A">
        <w:rPr>
          <w:rFonts w:ascii="Arial" w:hAnsi="Arial" w:cs="Arial"/>
          <w:i/>
          <w:sz w:val="20"/>
          <w:szCs w:val="20"/>
        </w:rPr>
        <w:t>Charakterizuje vlastně, jakou část národního bohatství země vynakládají na vzdělávání a jakou má vzdělávání v jednotlivých zemích prioritu v</w:t>
      </w:r>
      <w:r w:rsidR="00E52654" w:rsidRPr="004B442A">
        <w:rPr>
          <w:rFonts w:ascii="Arial" w:hAnsi="Arial" w:cs="Arial"/>
          <w:i/>
          <w:sz w:val="20"/>
          <w:szCs w:val="20"/>
        </w:rPr>
        <w:t xml:space="preserve"> porovnání s </w:t>
      </w:r>
      <w:r w:rsidRPr="004B442A">
        <w:rPr>
          <w:rFonts w:ascii="Arial" w:hAnsi="Arial" w:cs="Arial"/>
          <w:i/>
          <w:sz w:val="20"/>
          <w:szCs w:val="20"/>
        </w:rPr>
        <w:t>ostatními rezorty</w:t>
      </w:r>
      <w:r w:rsidRPr="00306953">
        <w:rPr>
          <w:rFonts w:ascii="Arial" w:hAnsi="Arial" w:cs="Arial"/>
          <w:sz w:val="20"/>
          <w:szCs w:val="20"/>
        </w:rPr>
        <w:t>.“ (</w:t>
      </w:r>
      <w:proofErr w:type="spellStart"/>
      <w:r w:rsidR="00984E22">
        <w:fldChar w:fldCharType="begin"/>
      </w:r>
      <w:r w:rsidR="00A86640">
        <w:instrText>HYPERLINK "http://kdem.vse.cz/resources/relik10/PDFucastnici/Klenhova.pdf"</w:instrText>
      </w:r>
      <w:r w:rsidR="00984E22">
        <w:fldChar w:fldCharType="separate"/>
      </w:r>
      <w:r w:rsidRPr="00306953">
        <w:rPr>
          <w:rStyle w:val="Hypertextovodkaz"/>
          <w:rFonts w:ascii="Arial" w:hAnsi="Arial" w:cs="Arial"/>
          <w:sz w:val="20"/>
          <w:szCs w:val="20"/>
        </w:rPr>
        <w:t>Kleňhová</w:t>
      </w:r>
      <w:proofErr w:type="spellEnd"/>
      <w:r w:rsidRPr="00306953">
        <w:rPr>
          <w:rStyle w:val="Hypertextovodkaz"/>
          <w:rFonts w:ascii="Arial" w:hAnsi="Arial" w:cs="Arial"/>
          <w:sz w:val="20"/>
          <w:szCs w:val="20"/>
        </w:rPr>
        <w:t xml:space="preserve"> 2010</w:t>
      </w:r>
      <w:r w:rsidR="00984E22">
        <w:fldChar w:fldCharType="end"/>
      </w:r>
      <w:r w:rsidRPr="00306953">
        <w:rPr>
          <w:rFonts w:ascii="Arial" w:hAnsi="Arial" w:cs="Arial"/>
          <w:sz w:val="20"/>
          <w:szCs w:val="20"/>
        </w:rPr>
        <w:t xml:space="preserve">, s. 2). </w:t>
      </w:r>
    </w:p>
    <w:p w:rsidR="00BB3F84" w:rsidRPr="00BB3F84" w:rsidRDefault="00306953" w:rsidP="00306953">
      <w:pPr>
        <w:spacing w:after="120" w:line="240" w:lineRule="auto"/>
        <w:jc w:val="both"/>
        <w:rPr>
          <w:rStyle w:val="Hypertextovodkaz"/>
          <w:rFonts w:cs="Arial"/>
          <w:color w:val="auto"/>
          <w:szCs w:val="20"/>
          <w:u w:val="none"/>
        </w:rPr>
      </w:pPr>
      <w:r w:rsidRPr="00306953">
        <w:rPr>
          <w:rStyle w:val="Hypertextovodkaz"/>
          <w:rFonts w:cs="Arial"/>
          <w:color w:val="auto"/>
          <w:szCs w:val="20"/>
          <w:u w:val="none"/>
        </w:rPr>
        <w:t xml:space="preserve">Při prezentaci vybraných zjištění též místy uvádíme výdaje </w:t>
      </w:r>
      <w:r w:rsidRPr="00306953">
        <w:rPr>
          <w:rStyle w:val="Hypertextovodkaz"/>
          <w:rFonts w:cs="Arial"/>
          <w:b/>
          <w:color w:val="auto"/>
          <w:szCs w:val="20"/>
          <w:u w:val="none"/>
        </w:rPr>
        <w:t>v běžných a stálých cenách</w:t>
      </w:r>
      <w:r w:rsidRPr="00306953">
        <w:rPr>
          <w:rStyle w:val="Hypertextovodkaz"/>
          <w:rFonts w:cs="Arial"/>
          <w:color w:val="auto"/>
          <w:szCs w:val="20"/>
          <w:u w:val="none"/>
        </w:rPr>
        <w:t xml:space="preserve">. Jak přitom uvádí </w:t>
      </w:r>
      <w:r w:rsidR="00BB3F84">
        <w:rPr>
          <w:rStyle w:val="Hypertextovodkaz"/>
          <w:rFonts w:cs="Arial"/>
          <w:color w:val="auto"/>
          <w:szCs w:val="20"/>
          <w:u w:val="none"/>
        </w:rPr>
        <w:t>Fotr a Souček (2005), běžné ceny jsou „</w:t>
      </w:r>
      <w:r w:rsidR="00BB3F84" w:rsidRPr="00BB3F84">
        <w:rPr>
          <w:rStyle w:val="Hypertextovodkaz"/>
          <w:rFonts w:cs="Arial"/>
          <w:i/>
          <w:color w:val="auto"/>
          <w:szCs w:val="20"/>
          <w:u w:val="none"/>
        </w:rPr>
        <w:t>ceny jednotlivých let</w:t>
      </w:r>
      <w:r w:rsidR="00BB3F84">
        <w:rPr>
          <w:rStyle w:val="Hypertextovodkaz"/>
          <w:rFonts w:cs="Arial"/>
          <w:color w:val="auto"/>
          <w:szCs w:val="20"/>
          <w:u w:val="none"/>
        </w:rPr>
        <w:t>“, zatímco stálé ceny jsou „</w:t>
      </w:r>
      <w:r w:rsidR="00BB3F84" w:rsidRPr="00BB3F84">
        <w:rPr>
          <w:rStyle w:val="Hypertextovodkaz"/>
          <w:rFonts w:cs="Arial"/>
          <w:i/>
          <w:color w:val="auto"/>
          <w:szCs w:val="20"/>
          <w:u w:val="none"/>
        </w:rPr>
        <w:t>ceny určitého základního období (např. období výstavby, první rok provozu)</w:t>
      </w:r>
      <w:r w:rsidR="00BB3F84">
        <w:rPr>
          <w:rStyle w:val="Hypertextovodkaz"/>
          <w:rFonts w:cs="Arial"/>
          <w:color w:val="auto"/>
          <w:szCs w:val="20"/>
          <w:u w:val="none"/>
        </w:rPr>
        <w:t xml:space="preserve">“. </w:t>
      </w:r>
      <w:r w:rsidR="006C4A41">
        <w:rPr>
          <w:rStyle w:val="Hypertextovodkaz"/>
          <w:rFonts w:cs="Arial"/>
          <w:color w:val="auto"/>
          <w:szCs w:val="20"/>
          <w:u w:val="none"/>
        </w:rPr>
        <w:t>Autoři</w:t>
      </w:r>
      <w:r w:rsidR="00BB3F84">
        <w:rPr>
          <w:rStyle w:val="Hypertextovodkaz"/>
          <w:rFonts w:cs="Arial"/>
          <w:color w:val="auto"/>
          <w:szCs w:val="20"/>
          <w:u w:val="none"/>
        </w:rPr>
        <w:t xml:space="preserve"> uvádějí,</w:t>
      </w:r>
      <w:r w:rsidR="006C4A41">
        <w:rPr>
          <w:rStyle w:val="Hypertextovodkaz"/>
          <w:rFonts w:cs="Arial"/>
          <w:color w:val="auto"/>
          <w:szCs w:val="20"/>
          <w:u w:val="none"/>
        </w:rPr>
        <w:t xml:space="preserve"> že</w:t>
      </w:r>
      <w:r w:rsidR="00BB3F84">
        <w:rPr>
          <w:rStyle w:val="Hypertextovodkaz"/>
          <w:rFonts w:cs="Arial"/>
          <w:color w:val="auto"/>
          <w:szCs w:val="20"/>
          <w:u w:val="none"/>
        </w:rPr>
        <w:t xml:space="preserve"> „</w:t>
      </w:r>
      <w:r w:rsidR="00BB3F84" w:rsidRPr="00BB3F84">
        <w:rPr>
          <w:rStyle w:val="Hypertextovodkaz"/>
          <w:rFonts w:cs="Arial"/>
          <w:i/>
          <w:color w:val="auto"/>
          <w:szCs w:val="20"/>
          <w:u w:val="none"/>
        </w:rPr>
        <w:t xml:space="preserve">vhodnost užití stálých či běžných cen pro stanovení peněžních toků závisí na tempu inflace. V případě velice nízkého tempa inflace (1 až 2 % ročně) se budou stálé a běžné ceny (a to především u projektů s kratší životností) jen málo odlišovat a lze proto užít stálé ceny. Stálé ceny bychom mohli užít i v případě, kdy tempo inflace týkající se </w:t>
      </w:r>
      <w:r w:rsidR="00BB3F84" w:rsidRPr="00BB3F84">
        <w:rPr>
          <w:rStyle w:val="Hypertextovodkaz"/>
          <w:rFonts w:cs="Arial"/>
          <w:i/>
          <w:color w:val="auto"/>
          <w:szCs w:val="20"/>
          <w:u w:val="none"/>
        </w:rPr>
        <w:lastRenderedPageBreak/>
        <w:t>jak výstupů projektu, tak i jeho vstupů</w:t>
      </w:r>
      <w:r w:rsidR="006C4A41">
        <w:rPr>
          <w:rStyle w:val="Hypertextovodkaz"/>
          <w:rFonts w:cs="Arial"/>
          <w:i/>
          <w:color w:val="auto"/>
          <w:szCs w:val="20"/>
          <w:u w:val="none"/>
        </w:rPr>
        <w:t xml:space="preserve">, </w:t>
      </w:r>
      <w:r w:rsidR="00BB3F84" w:rsidRPr="00BB3F84">
        <w:rPr>
          <w:rStyle w:val="Hypertextovodkaz"/>
          <w:rFonts w:cs="Arial"/>
          <w:i/>
          <w:color w:val="auto"/>
          <w:szCs w:val="20"/>
          <w:u w:val="none"/>
        </w:rPr>
        <w:t>je stejné (tehdy zůstávají tzv. relativní ceny vstupů a výstupů stabilní).</w:t>
      </w:r>
      <w:r w:rsidR="00BB3F84">
        <w:rPr>
          <w:rStyle w:val="Hypertextovodkaz"/>
          <w:rFonts w:cs="Arial"/>
          <w:color w:val="auto"/>
          <w:szCs w:val="20"/>
          <w:u w:val="none"/>
        </w:rPr>
        <w:t>“  (</w:t>
      </w:r>
      <w:hyperlink r:id="rId39" w:anchor="v=onepage&amp;q=b%C4%9B%C5%BEn%C3%A9%20ceny%2C%20st%C3%A1l%C3%A9%20ceny&amp;f=false" w:history="1">
        <w:r w:rsidR="00BB3F84" w:rsidRPr="00BB3F84">
          <w:rPr>
            <w:rStyle w:val="Hypertextovodkaz"/>
            <w:rFonts w:cs="Arial"/>
            <w:szCs w:val="20"/>
          </w:rPr>
          <w:t xml:space="preserve">Fotr </w:t>
        </w:r>
        <w:r w:rsidR="00BB3F84" w:rsidRPr="006C4A41">
          <w:rPr>
            <w:rStyle w:val="Hypertextovodkaz"/>
            <w:rFonts w:cs="Arial"/>
            <w:szCs w:val="20"/>
          </w:rPr>
          <w:t>&amp; Souček, 2005</w:t>
        </w:r>
      </w:hyperlink>
      <w:r w:rsidR="00BB3F84" w:rsidRPr="006C4A41">
        <w:rPr>
          <w:rStyle w:val="Hypertextovodkaz"/>
          <w:rFonts w:cs="Arial"/>
          <w:color w:val="auto"/>
          <w:szCs w:val="20"/>
          <w:u w:val="none"/>
        </w:rPr>
        <w:t>).</w:t>
      </w:r>
    </w:p>
    <w:p w:rsidR="00306953" w:rsidRPr="00306953" w:rsidRDefault="00306953" w:rsidP="00306953">
      <w:pPr>
        <w:pStyle w:val="Normlnweb"/>
        <w:spacing w:before="0" w:beforeAutospacing="0" w:after="120" w:afterAutospacing="0"/>
        <w:jc w:val="both"/>
        <w:rPr>
          <w:rStyle w:val="Hypertextovodkaz"/>
          <w:rFonts w:ascii="Arial" w:hAnsi="Arial" w:cs="Arial"/>
          <w:sz w:val="20"/>
          <w:szCs w:val="20"/>
        </w:rPr>
      </w:pPr>
      <w:r w:rsidRPr="00306953">
        <w:rPr>
          <w:rFonts w:ascii="Arial" w:hAnsi="Arial" w:cs="Arial"/>
          <w:sz w:val="20"/>
          <w:szCs w:val="20"/>
        </w:rPr>
        <w:t xml:space="preserve">V návaznosti na zmínku o běžných a stálých cenách doplňme, že kromě parity kupní síly a vztahování výdajů k HDP země se v publikaci </w:t>
      </w:r>
      <w:proofErr w:type="spellStart"/>
      <w:r w:rsidR="00A13F88">
        <w:rPr>
          <w:rFonts w:ascii="Arial" w:hAnsi="Arial" w:cs="Arial"/>
          <w:sz w:val="20"/>
          <w:szCs w:val="20"/>
        </w:rPr>
        <w:t>Education</w:t>
      </w:r>
      <w:proofErr w:type="spellEnd"/>
      <w:r w:rsidR="00A13F88">
        <w:rPr>
          <w:rFonts w:ascii="Arial" w:hAnsi="Arial" w:cs="Arial"/>
          <w:sz w:val="20"/>
          <w:szCs w:val="20"/>
        </w:rPr>
        <w:t xml:space="preserve"> </w:t>
      </w:r>
      <w:proofErr w:type="spellStart"/>
      <w:r w:rsidR="00A13F88">
        <w:rPr>
          <w:rFonts w:ascii="Arial" w:hAnsi="Arial" w:cs="Arial"/>
          <w:sz w:val="20"/>
          <w:szCs w:val="20"/>
        </w:rPr>
        <w:t>at</w:t>
      </w:r>
      <w:proofErr w:type="spellEnd"/>
      <w:r w:rsidR="00A13F88">
        <w:rPr>
          <w:rFonts w:ascii="Arial" w:hAnsi="Arial" w:cs="Arial"/>
          <w:sz w:val="20"/>
          <w:szCs w:val="20"/>
        </w:rPr>
        <w:t xml:space="preserve"> a </w:t>
      </w:r>
      <w:proofErr w:type="spellStart"/>
      <w:r w:rsidR="00A13F88">
        <w:rPr>
          <w:rFonts w:ascii="Arial" w:hAnsi="Arial" w:cs="Arial"/>
          <w:sz w:val="20"/>
          <w:szCs w:val="20"/>
        </w:rPr>
        <w:t>Glance</w:t>
      </w:r>
      <w:proofErr w:type="spellEnd"/>
      <w:r w:rsidR="00A13F88">
        <w:rPr>
          <w:rFonts w:ascii="Arial" w:hAnsi="Arial" w:cs="Arial"/>
          <w:sz w:val="20"/>
          <w:szCs w:val="20"/>
        </w:rPr>
        <w:t xml:space="preserve"> (a tudíž i</w:t>
      </w:r>
      <w:r w:rsidRPr="00306953">
        <w:rPr>
          <w:rFonts w:ascii="Arial" w:hAnsi="Arial" w:cs="Arial"/>
          <w:sz w:val="20"/>
          <w:szCs w:val="20"/>
        </w:rPr>
        <w:t xml:space="preserve"> této zprávě) odkazuje na tzv. „</w:t>
      </w:r>
      <w:r w:rsidRPr="00306953">
        <w:rPr>
          <w:rFonts w:ascii="Arial" w:hAnsi="Arial" w:cs="Arial"/>
          <w:b/>
          <w:sz w:val="20"/>
          <w:szCs w:val="20"/>
        </w:rPr>
        <w:t xml:space="preserve">deflátor </w:t>
      </w:r>
      <w:hyperlink r:id="rId40" w:tooltip="Hrubý domácí produkt" w:history="1">
        <w:r w:rsidRPr="00306953">
          <w:rPr>
            <w:rFonts w:ascii="Arial" w:hAnsi="Arial" w:cs="Arial"/>
            <w:b/>
            <w:sz w:val="20"/>
            <w:szCs w:val="20"/>
          </w:rPr>
          <w:t>HDP</w:t>
        </w:r>
      </w:hyperlink>
      <w:r w:rsidRPr="00306953">
        <w:rPr>
          <w:rFonts w:ascii="Arial" w:hAnsi="Arial" w:cs="Arial"/>
          <w:sz w:val="20"/>
          <w:szCs w:val="20"/>
        </w:rPr>
        <w:t>“. Jak uvádí ve své učebnici Hospodářská politika Žák</w:t>
      </w:r>
      <w:r w:rsidR="001A73C5">
        <w:rPr>
          <w:rFonts w:ascii="Arial" w:hAnsi="Arial" w:cs="Arial"/>
          <w:sz w:val="20"/>
          <w:szCs w:val="20"/>
        </w:rPr>
        <w:t xml:space="preserve"> (2006)</w:t>
      </w:r>
      <w:r w:rsidRPr="00306953">
        <w:rPr>
          <w:rFonts w:ascii="Arial" w:hAnsi="Arial" w:cs="Arial"/>
          <w:sz w:val="20"/>
          <w:szCs w:val="20"/>
        </w:rPr>
        <w:t>, deflátor HDP je „</w:t>
      </w:r>
      <w:r w:rsidR="001A73C5">
        <w:rPr>
          <w:rFonts w:ascii="Arial" w:hAnsi="Arial" w:cs="Arial"/>
          <w:i/>
          <w:sz w:val="20"/>
          <w:szCs w:val="20"/>
        </w:rPr>
        <w:t>poměr mezi nominální a </w:t>
      </w:r>
      <w:r w:rsidRPr="00306953">
        <w:rPr>
          <w:rFonts w:ascii="Arial" w:hAnsi="Arial" w:cs="Arial"/>
          <w:i/>
          <w:sz w:val="20"/>
          <w:szCs w:val="20"/>
        </w:rPr>
        <w:t>reálnou veličinou. Nominální veličiny jsou vyjádřeny v běžných cenách, reálné veličiny jsou vyjádřeny ve stálých cenách</w:t>
      </w:r>
      <w:r w:rsidRPr="00306953">
        <w:rPr>
          <w:rFonts w:ascii="Arial" w:hAnsi="Arial" w:cs="Arial"/>
          <w:sz w:val="20"/>
          <w:szCs w:val="20"/>
        </w:rPr>
        <w:t xml:space="preserve">.“ Deflátor </w:t>
      </w:r>
      <w:hyperlink r:id="rId41" w:tooltip="Hrubý domácí produkt" w:history="1">
        <w:r w:rsidRPr="00306953">
          <w:rPr>
            <w:rFonts w:ascii="Arial" w:hAnsi="Arial" w:cs="Arial"/>
            <w:sz w:val="20"/>
            <w:szCs w:val="20"/>
          </w:rPr>
          <w:t>HDP</w:t>
        </w:r>
      </w:hyperlink>
      <w:r w:rsidRPr="00306953">
        <w:rPr>
          <w:rFonts w:ascii="Arial" w:hAnsi="Arial" w:cs="Arial"/>
          <w:sz w:val="20"/>
          <w:szCs w:val="20"/>
        </w:rPr>
        <w:t xml:space="preserve"> tak vlastně popisuje „</w:t>
      </w:r>
      <w:r w:rsidRPr="00306953">
        <w:rPr>
          <w:rFonts w:ascii="Arial" w:hAnsi="Arial" w:cs="Arial"/>
          <w:i/>
          <w:sz w:val="20"/>
          <w:szCs w:val="20"/>
        </w:rPr>
        <w:t>vývoj cen vyráběné produkce</w:t>
      </w:r>
      <w:r w:rsidRPr="00306953">
        <w:rPr>
          <w:rFonts w:ascii="Arial" w:hAnsi="Arial" w:cs="Arial"/>
          <w:sz w:val="20"/>
          <w:szCs w:val="20"/>
        </w:rPr>
        <w:t>“ (</w:t>
      </w:r>
      <w:hyperlink r:id="rId42" w:anchor="v=onepage&amp;q=defl%C3%A1tor%20hdp%20definice&amp;f=f" w:history="1">
        <w:r w:rsidRPr="00306953">
          <w:rPr>
            <w:rStyle w:val="Hypertextovodkaz"/>
            <w:rFonts w:ascii="Arial" w:hAnsi="Arial" w:cs="Arial"/>
            <w:sz w:val="20"/>
            <w:szCs w:val="20"/>
          </w:rPr>
          <w:t>Žák 2006</w:t>
        </w:r>
      </w:hyperlink>
      <w:r w:rsidRPr="00306953">
        <w:rPr>
          <w:rFonts w:ascii="Arial" w:hAnsi="Arial" w:cs="Arial"/>
          <w:sz w:val="20"/>
          <w:szCs w:val="20"/>
        </w:rPr>
        <w:t>, s. 18). Deflátor HDP je využíván pro vyjádření vývoje objemu produkce v čase.</w:t>
      </w:r>
    </w:p>
    <w:p w:rsidR="00306953" w:rsidRPr="00306953" w:rsidRDefault="00306953" w:rsidP="00306953">
      <w:pPr>
        <w:spacing w:after="120" w:line="240" w:lineRule="auto"/>
        <w:jc w:val="both"/>
        <w:rPr>
          <w:rFonts w:cs="Arial"/>
          <w:szCs w:val="20"/>
        </w:rPr>
      </w:pPr>
      <w:r w:rsidRPr="00306953">
        <w:rPr>
          <w:rFonts w:cs="Arial"/>
          <w:szCs w:val="20"/>
        </w:rPr>
        <w:t xml:space="preserve">V této zprávě </w:t>
      </w:r>
      <w:r w:rsidRPr="00306953">
        <w:rPr>
          <w:rFonts w:cs="Arial"/>
          <w:b/>
          <w:szCs w:val="20"/>
        </w:rPr>
        <w:t>představíme vybrané indikátory</w:t>
      </w:r>
      <w:r w:rsidRPr="00306953">
        <w:rPr>
          <w:rFonts w:cs="Arial"/>
          <w:szCs w:val="20"/>
        </w:rPr>
        <w:t xml:space="preserve"> z oblasti financování formálního vzdělávání. Místy bude v souladu s publikací OECD </w:t>
      </w:r>
      <w:proofErr w:type="spellStart"/>
      <w:r w:rsidRPr="00306953">
        <w:rPr>
          <w:rFonts w:cs="Arial"/>
          <w:szCs w:val="20"/>
        </w:rPr>
        <w:t>Education</w:t>
      </w:r>
      <w:proofErr w:type="spellEnd"/>
      <w:r w:rsidRPr="00306953">
        <w:rPr>
          <w:rFonts w:cs="Arial"/>
          <w:szCs w:val="20"/>
        </w:rPr>
        <w:t xml:space="preserve"> </w:t>
      </w:r>
      <w:proofErr w:type="spellStart"/>
      <w:r w:rsidRPr="00306953">
        <w:rPr>
          <w:rFonts w:cs="Arial"/>
          <w:szCs w:val="20"/>
        </w:rPr>
        <w:t>at</w:t>
      </w:r>
      <w:proofErr w:type="spellEnd"/>
      <w:r w:rsidRPr="00306953">
        <w:rPr>
          <w:rFonts w:cs="Arial"/>
          <w:szCs w:val="20"/>
        </w:rPr>
        <w:t xml:space="preserve"> a </w:t>
      </w:r>
      <w:proofErr w:type="spellStart"/>
      <w:r w:rsidRPr="00306953">
        <w:rPr>
          <w:rFonts w:cs="Arial"/>
          <w:szCs w:val="20"/>
        </w:rPr>
        <w:t>Glance</w:t>
      </w:r>
      <w:proofErr w:type="spellEnd"/>
      <w:r w:rsidRPr="00306953">
        <w:rPr>
          <w:rFonts w:cs="Arial"/>
          <w:szCs w:val="20"/>
        </w:rPr>
        <w:t xml:space="preserve"> (</w:t>
      </w:r>
      <w:hyperlink r:id="rId43" w:history="1">
        <w:r w:rsidRPr="00306953">
          <w:rPr>
            <w:rStyle w:val="Hypertextovodkaz"/>
            <w:rFonts w:cs="Arial"/>
            <w:szCs w:val="20"/>
          </w:rPr>
          <w:t>OECD, 2015</w:t>
        </w:r>
      </w:hyperlink>
      <w:r w:rsidRPr="00306953">
        <w:rPr>
          <w:rFonts w:cs="Arial"/>
          <w:szCs w:val="20"/>
        </w:rPr>
        <w:t xml:space="preserve">) zmiňován průměr za </w:t>
      </w:r>
      <w:r w:rsidRPr="00306953">
        <w:rPr>
          <w:rFonts w:cs="Arial"/>
          <w:b/>
          <w:i/>
          <w:szCs w:val="20"/>
        </w:rPr>
        <w:t>země OECD</w:t>
      </w:r>
      <w:r w:rsidRPr="00306953">
        <w:rPr>
          <w:rFonts w:cs="Arial"/>
          <w:szCs w:val="20"/>
        </w:rPr>
        <w:t xml:space="preserve"> a za </w:t>
      </w:r>
      <w:r w:rsidRPr="00306953">
        <w:rPr>
          <w:rFonts w:cs="Arial"/>
          <w:b/>
          <w:i/>
          <w:szCs w:val="20"/>
        </w:rPr>
        <w:t>země EU 21</w:t>
      </w:r>
      <w:r w:rsidRPr="00306953">
        <w:rPr>
          <w:rFonts w:cs="Arial"/>
          <w:szCs w:val="20"/>
        </w:rPr>
        <w:t xml:space="preserve"> (tj. na jednu zemi ze zemí, za které jsou k dispozici příslušná data). Jak je v publikaci uvedeno, </w:t>
      </w:r>
      <w:r w:rsidRPr="00306953">
        <w:rPr>
          <w:rFonts w:cs="Arial"/>
          <w:b/>
          <w:i/>
          <w:szCs w:val="20"/>
        </w:rPr>
        <w:t>průměr OECD</w:t>
      </w:r>
      <w:r w:rsidRPr="00306953">
        <w:rPr>
          <w:rFonts w:cs="Arial"/>
          <w:szCs w:val="20"/>
        </w:rPr>
        <w:t xml:space="preserve"> je nevážený průměr hodnot za všechny země OECD, za která jsou k dispozici data, nebo za která mohou být tato data odhadnuta. Jedná se tedy o průměr hodnot na úrovni národních systémů, který pomáhá odpovědět na otázku, jak se průměr za určitou zemi liší od průměru typické země OECD. Tento průměr nezohledňuje velikost populace ve vzdělávacím systému té které země (</w:t>
      </w:r>
      <w:hyperlink r:id="rId44" w:history="1">
        <w:r w:rsidRPr="00306953">
          <w:rPr>
            <w:rStyle w:val="Hypertextovodkaz"/>
            <w:rFonts w:cs="Arial"/>
            <w:szCs w:val="20"/>
          </w:rPr>
          <w:t>OECD 2015</w:t>
        </w:r>
      </w:hyperlink>
      <w:r w:rsidRPr="00306953">
        <w:rPr>
          <w:rFonts w:cs="Arial"/>
          <w:szCs w:val="20"/>
        </w:rPr>
        <w:t xml:space="preserve">, s. 19).   Co se týče </w:t>
      </w:r>
      <w:r w:rsidRPr="00306953">
        <w:rPr>
          <w:rFonts w:cs="Arial"/>
          <w:b/>
          <w:i/>
          <w:szCs w:val="20"/>
        </w:rPr>
        <w:t>průměru za země EU 21</w:t>
      </w:r>
      <w:r w:rsidRPr="00306953">
        <w:rPr>
          <w:rFonts w:cs="Arial"/>
          <w:szCs w:val="20"/>
        </w:rPr>
        <w:t>, je počítán jako nevážený průměr hodnot za 21 států, které jsou členy Evropské Unie a zároveň OECD a za které jsou k dispozici data, nebo za která mohou být tato data odhadnuta. Mezi tyto státy patří ČR a dále Belgie, Dánsko, Estonsko, Finsko, Francie, Irsko, Itálie, Lucembursko, Maďarsko, Německo, Nizozemí, Polsko, Portugalsko, Rakousko, Řecko, Slovensko, Slovinsko, Spojené království, Španělsko a Švédsko (</w:t>
      </w:r>
      <w:hyperlink r:id="rId45" w:history="1">
        <w:r w:rsidRPr="00306953">
          <w:rPr>
            <w:rStyle w:val="Hypertextovodkaz"/>
            <w:rFonts w:cs="Arial"/>
            <w:szCs w:val="20"/>
          </w:rPr>
          <w:t>OECD 2015</w:t>
        </w:r>
      </w:hyperlink>
      <w:r w:rsidRPr="00306953">
        <w:rPr>
          <w:rFonts w:cs="Arial"/>
          <w:szCs w:val="20"/>
        </w:rPr>
        <w:t xml:space="preserve">, s. 20). V publikaci </w:t>
      </w:r>
      <w:proofErr w:type="spellStart"/>
      <w:r w:rsidRPr="00306953">
        <w:rPr>
          <w:rFonts w:cs="Arial"/>
          <w:szCs w:val="20"/>
        </w:rPr>
        <w:t>Education</w:t>
      </w:r>
      <w:proofErr w:type="spellEnd"/>
      <w:r w:rsidRPr="00306953">
        <w:rPr>
          <w:rFonts w:cs="Arial"/>
          <w:szCs w:val="20"/>
        </w:rPr>
        <w:t xml:space="preserve"> </w:t>
      </w:r>
      <w:proofErr w:type="spellStart"/>
      <w:r w:rsidRPr="00306953">
        <w:rPr>
          <w:rFonts w:cs="Arial"/>
          <w:szCs w:val="20"/>
        </w:rPr>
        <w:t>at</w:t>
      </w:r>
      <w:proofErr w:type="spellEnd"/>
      <w:r w:rsidRPr="00306953">
        <w:rPr>
          <w:rFonts w:cs="Arial"/>
          <w:szCs w:val="20"/>
        </w:rPr>
        <w:t xml:space="preserve"> a </w:t>
      </w:r>
      <w:proofErr w:type="spellStart"/>
      <w:r w:rsidRPr="00306953">
        <w:rPr>
          <w:rFonts w:cs="Arial"/>
          <w:szCs w:val="20"/>
        </w:rPr>
        <w:t>Glance</w:t>
      </w:r>
      <w:proofErr w:type="spellEnd"/>
      <w:r w:rsidRPr="00306953">
        <w:rPr>
          <w:rFonts w:cs="Arial"/>
          <w:szCs w:val="20"/>
        </w:rPr>
        <w:t xml:space="preserve"> jsou navíc počítány průměry za </w:t>
      </w:r>
      <w:r w:rsidRPr="00306953">
        <w:rPr>
          <w:rFonts w:cs="Arial"/>
          <w:b/>
          <w:i/>
          <w:szCs w:val="20"/>
        </w:rPr>
        <w:t>celkové území OECD</w:t>
      </w:r>
      <w:r w:rsidRPr="00306953">
        <w:rPr>
          <w:rFonts w:cs="Arial"/>
          <w:szCs w:val="20"/>
        </w:rPr>
        <w:t xml:space="preserve"> (jakožto celistvé území), zde však budeme pro jednotnost srovnávat průměry na jednu zemi OECD a na jednu zemi Evropské Unie, která je zároveň členskou zemí OECD.</w:t>
      </w:r>
    </w:p>
    <w:p w:rsidR="00306953" w:rsidRPr="00306953" w:rsidRDefault="00306953" w:rsidP="00306953">
      <w:pPr>
        <w:autoSpaceDE w:val="0"/>
        <w:autoSpaceDN w:val="0"/>
        <w:adjustRightInd w:val="0"/>
        <w:spacing w:after="120" w:line="240" w:lineRule="auto"/>
        <w:jc w:val="both"/>
        <w:rPr>
          <w:rFonts w:cs="Arial"/>
          <w:szCs w:val="20"/>
        </w:rPr>
      </w:pPr>
      <w:r w:rsidRPr="00306953">
        <w:rPr>
          <w:rFonts w:cs="Arial"/>
          <w:szCs w:val="20"/>
        </w:rPr>
        <w:t xml:space="preserve">V některých tabulkách a grafech budeme v této zprávě ukazovat </w:t>
      </w:r>
      <w:r w:rsidRPr="00306953">
        <w:rPr>
          <w:rFonts w:cs="Arial"/>
          <w:b/>
          <w:szCs w:val="20"/>
        </w:rPr>
        <w:t>výsledky za ČR a mezinárodní průměry</w:t>
      </w:r>
      <w:r w:rsidRPr="00306953">
        <w:rPr>
          <w:rFonts w:cs="Arial"/>
          <w:szCs w:val="20"/>
        </w:rPr>
        <w:t xml:space="preserve">, příp. i </w:t>
      </w:r>
      <w:r w:rsidRPr="00306953">
        <w:rPr>
          <w:rFonts w:cs="Arial"/>
          <w:b/>
          <w:szCs w:val="20"/>
        </w:rPr>
        <w:t>za všechny země OECD</w:t>
      </w:r>
      <w:r w:rsidRPr="00306953">
        <w:rPr>
          <w:rFonts w:cs="Arial"/>
          <w:szCs w:val="20"/>
        </w:rPr>
        <w:t xml:space="preserve"> s dostupnými daty, jinde se omezíme na </w:t>
      </w:r>
      <w:r w:rsidRPr="00306953">
        <w:rPr>
          <w:rFonts w:cs="Arial"/>
          <w:b/>
          <w:szCs w:val="20"/>
        </w:rPr>
        <w:t>srovnání České republiky s mezinárodními průměry a několika vybranými zeměmi</w:t>
      </w:r>
      <w:r w:rsidRPr="00306953">
        <w:rPr>
          <w:rFonts w:cs="Arial"/>
          <w:szCs w:val="20"/>
        </w:rPr>
        <w:t>, zpravidla se Slovenskem, Polskem, Estonskem a Finskem.  Finsko a Estonsko jsou země, které spolu s vynikajícími vý</w:t>
      </w:r>
      <w:r w:rsidR="00E52654">
        <w:rPr>
          <w:rFonts w:cs="Arial"/>
          <w:szCs w:val="20"/>
        </w:rPr>
        <w:t xml:space="preserve">sledky žáků v šetření </w:t>
      </w:r>
      <w:hyperlink r:id="rId46" w:history="1">
        <w:r w:rsidR="00E52654" w:rsidRPr="001068F1">
          <w:rPr>
            <w:rStyle w:val="Hypertextovodkaz"/>
            <w:rFonts w:cs="Arial"/>
            <w:szCs w:val="20"/>
          </w:rPr>
          <w:t>PISA</w:t>
        </w:r>
      </w:hyperlink>
      <w:r w:rsidR="00E52654">
        <w:rPr>
          <w:rFonts w:cs="Arial"/>
          <w:szCs w:val="20"/>
        </w:rPr>
        <w:t xml:space="preserve"> (tj. </w:t>
      </w:r>
      <w:r w:rsidRPr="00306953">
        <w:rPr>
          <w:rFonts w:cs="Arial"/>
          <w:szCs w:val="20"/>
        </w:rPr>
        <w:t>Programu pro mezinárodní hodnocení žáků) vykazují malé rozdíly mezi dobrými a slabými žáky. Polsko je zemí s nadprůměrně dobrými výsledky, která doznala v průběhu posledních cyklů šetření PISA prudkého zlepšení výsledků žáků. Slovensko je zemí, jejíž výsledky se postupně zhoršují s tím, že se zvětšuje rozdíl mezi dobrými a slabými žáky, kterých navíc přibývá. Srovnání České republiky se Slovenskem a Polskem je navíc zajímavé z toho důvodu, ž</w:t>
      </w:r>
      <w:r w:rsidR="00CF49AA">
        <w:rPr>
          <w:rFonts w:cs="Arial"/>
          <w:szCs w:val="20"/>
        </w:rPr>
        <w:t>e se jedná o naše sousedy, kteří</w:t>
      </w:r>
      <w:r w:rsidRPr="00306953">
        <w:rPr>
          <w:rFonts w:cs="Arial"/>
          <w:szCs w:val="20"/>
        </w:rPr>
        <w:t xml:space="preserve"> jsou nám kulturně nejbližší.</w:t>
      </w:r>
      <w:r w:rsidRPr="00306953">
        <w:rPr>
          <w:rStyle w:val="Znakapoznpodarou"/>
          <w:rFonts w:cs="Arial"/>
          <w:szCs w:val="20"/>
        </w:rPr>
        <w:footnoteReference w:id="6"/>
      </w:r>
      <w:r w:rsidRPr="00306953">
        <w:rPr>
          <w:rFonts w:cs="Arial"/>
          <w:szCs w:val="20"/>
        </w:rPr>
        <w:t xml:space="preserve">  </w:t>
      </w:r>
    </w:p>
    <w:p w:rsidR="00306953" w:rsidRDefault="00306953" w:rsidP="00306953">
      <w:pPr>
        <w:spacing w:after="120" w:line="240" w:lineRule="auto"/>
        <w:jc w:val="both"/>
        <w:rPr>
          <w:rFonts w:cs="Arial"/>
          <w:szCs w:val="20"/>
        </w:rPr>
      </w:pPr>
      <w:r w:rsidRPr="00306953">
        <w:rPr>
          <w:rFonts w:cs="Arial"/>
          <w:szCs w:val="20"/>
        </w:rPr>
        <w:t xml:space="preserve">V následujících kapitolách </w:t>
      </w:r>
      <w:r w:rsidRPr="00306953">
        <w:rPr>
          <w:rFonts w:cs="Arial"/>
          <w:b/>
          <w:i/>
          <w:szCs w:val="20"/>
        </w:rPr>
        <w:t>představíme postupně vybraná zjištění o</w:t>
      </w:r>
      <w:r w:rsidRPr="00306953">
        <w:rPr>
          <w:rFonts w:cs="Arial"/>
          <w:szCs w:val="20"/>
        </w:rPr>
        <w:t xml:space="preserve"> </w:t>
      </w:r>
      <w:r w:rsidRPr="00306953">
        <w:rPr>
          <w:rFonts w:cs="Arial"/>
          <w:b/>
          <w:i/>
          <w:szCs w:val="20"/>
        </w:rPr>
        <w:t>financování formálního vzdělávání v České republice</w:t>
      </w:r>
      <w:r w:rsidRPr="00306953">
        <w:rPr>
          <w:rFonts w:cs="Arial"/>
          <w:szCs w:val="20"/>
        </w:rPr>
        <w:t xml:space="preserve"> ve vztahu k jiným zemím OECD. Nejprve se zaměříme na zdroje financování vzdělávání; dále ukážeme výdaje České republiky a dalších zemí na vzdělávání na jednoho žáka; poté představíme, jaký podíl výdajů na vzdělávání pochází z veřejného rozpočtu a jaký ze soukromých zdrojů; dále ukážeme výši výdajů v dělení na výdaje na vlastní vyučovací proces, na související (doprovodné) služby a na výzkum a vývoj; poté se budeme zabývat podílem běžných a kapitálových výdajů institucí formálního vzdělávání; dále mzdami ve vzdělávání a výší platu učitelů na jednoho žáka dle úrovně vzdělávání a nakonec finanční výhodností veřejných i soukromých výdajů na vzdělávání.</w:t>
      </w:r>
    </w:p>
    <w:p w:rsidR="009F2B95" w:rsidRDefault="009F2B95" w:rsidP="00306953">
      <w:pPr>
        <w:spacing w:after="120" w:line="240" w:lineRule="auto"/>
        <w:jc w:val="both"/>
        <w:rPr>
          <w:rFonts w:cs="Arial"/>
          <w:szCs w:val="20"/>
        </w:rPr>
      </w:pPr>
    </w:p>
    <w:p w:rsidR="00B14018" w:rsidRPr="00306953" w:rsidRDefault="00B14018" w:rsidP="00306953">
      <w:pPr>
        <w:spacing w:after="120" w:line="240" w:lineRule="auto"/>
        <w:jc w:val="both"/>
        <w:rPr>
          <w:rFonts w:cs="Arial"/>
          <w:szCs w:val="20"/>
        </w:rPr>
      </w:pPr>
    </w:p>
    <w:p w:rsidR="00306953" w:rsidRPr="00306953" w:rsidRDefault="00306953" w:rsidP="00C32A42">
      <w:pPr>
        <w:pStyle w:val="Nadpis2"/>
      </w:pPr>
      <w:bookmarkStart w:id="7" w:name="_Toc457225387"/>
      <w:bookmarkStart w:id="8" w:name="_Toc460424373"/>
      <w:r w:rsidRPr="00306953">
        <w:t>Zdroje financování formálního vzdělávání</w:t>
      </w:r>
      <w:bookmarkEnd w:id="7"/>
      <w:bookmarkEnd w:id="8"/>
    </w:p>
    <w:p w:rsidR="00306953" w:rsidRPr="00306953" w:rsidRDefault="00306953" w:rsidP="009F2B95">
      <w:pPr>
        <w:keepNext/>
        <w:spacing w:after="0" w:line="240" w:lineRule="auto"/>
        <w:rPr>
          <w:rFonts w:cs="Arial"/>
        </w:rPr>
      </w:pPr>
    </w:p>
    <w:p w:rsidR="00C32A42" w:rsidRDefault="00C32A42" w:rsidP="00C32A42">
      <w:pPr>
        <w:pStyle w:val="Nadpis3"/>
        <w:spacing w:line="240" w:lineRule="auto"/>
      </w:pPr>
    </w:p>
    <w:p w:rsidR="009F2B95" w:rsidRPr="009F2B95" w:rsidRDefault="009F2B95" w:rsidP="009F2B95">
      <w:pPr>
        <w:pStyle w:val="Nadpis3"/>
        <w:spacing w:after="120"/>
      </w:pPr>
      <w:bookmarkStart w:id="9" w:name="_Toc460424374"/>
      <w:r>
        <w:t>Úvod</w:t>
      </w:r>
      <w:bookmarkEnd w:id="9"/>
    </w:p>
    <w:p w:rsidR="009F2B95" w:rsidRDefault="00306953" w:rsidP="00306953">
      <w:pPr>
        <w:spacing w:after="120" w:line="240" w:lineRule="auto"/>
        <w:jc w:val="both"/>
        <w:rPr>
          <w:rFonts w:cs="Arial"/>
        </w:rPr>
      </w:pPr>
      <w:r w:rsidRPr="00306953">
        <w:rPr>
          <w:rFonts w:cs="Arial"/>
        </w:rPr>
        <w:t>V této kapitole na úvod představíme celkové veřejné výdaje na školství v ČR ze všech veřejných rozpočtů, za které jsou dostupná data, v letech 2008 až 2015. Poté nabídneme mezinárodní srovnání situace v ČR, přičemž se omezíme na sledování veřejných výdajů na formální vzdělávání (což zahrnuje výdaje na vlastní vzdělávání, na doprovodné služby a zboží, které se zajišťováním vzděl</w:t>
      </w:r>
      <w:r w:rsidR="00E52654">
        <w:rPr>
          <w:rFonts w:cs="Arial"/>
        </w:rPr>
        <w:t>áváním souvisejí, a na výzkum a </w:t>
      </w:r>
      <w:r w:rsidRPr="00306953">
        <w:rPr>
          <w:rFonts w:cs="Arial"/>
        </w:rPr>
        <w:t xml:space="preserve">vývoj v těchto institucích). Nejprve ukážeme v mezinárodním srovnání tyto veřejné výdaje na vzdělávání v ČR jakožto podíl veškerých veřejných výdajů (tj. nejen na oblast vzdělávání) a jakožto podíl HDP v roce 2012 a ve vybraných předešlých letech. Dále se budeme zabývat tím, jak se tyto veřejné výdaje v různých </w:t>
      </w:r>
      <w:r w:rsidRPr="00306953">
        <w:rPr>
          <w:rFonts w:cs="Arial"/>
        </w:rPr>
        <w:lastRenderedPageBreak/>
        <w:t xml:space="preserve">zemích proměnily v době ekonomické krize, konkrétně mezi roky 2008 a 2012. V další části se budeme věnovat celkovým (tj. veřejným i soukromým) výdajům na vzdělávání ve vztahu k HDP v různých zemích. Ukážeme, jaký podíl z těchto výdajů </w:t>
      </w:r>
      <w:r w:rsidR="00255CD0">
        <w:rPr>
          <w:rFonts w:cs="Arial"/>
        </w:rPr>
        <w:t>tvořily v roce 2012</w:t>
      </w:r>
      <w:r w:rsidRPr="00306953">
        <w:rPr>
          <w:rFonts w:cs="Arial"/>
        </w:rPr>
        <w:t xml:space="preserve"> veřejné a jaký soukromé výdaje a dále představíme vývoj celkových výdajů v čase. Nakonec ve stručnosti zmíníme, jaký podíl z veřejných výdajů na vzdělávání </w:t>
      </w:r>
      <w:r w:rsidR="00255CD0">
        <w:rPr>
          <w:rFonts w:cs="Arial"/>
        </w:rPr>
        <w:t>zaujímaly</w:t>
      </w:r>
      <w:r w:rsidRPr="00306953">
        <w:rPr>
          <w:rFonts w:cs="Arial"/>
        </w:rPr>
        <w:t xml:space="preserve"> v zemích OECD v roce 2011 </w:t>
      </w:r>
      <w:r w:rsidRPr="00306953">
        <w:rPr>
          <w:rFonts w:eastAsia="ChaparralPro-Regular" w:cs="Arial"/>
        </w:rPr>
        <w:t>různá stipendia či jiné příspěvky/granty domácnostem studentů terciárního vzdělávání, transfery a poplatky jiným soukromým subjektům za terciární vzdělávání či podpora půjček studentů terciárního vzdělávání.</w:t>
      </w:r>
    </w:p>
    <w:p w:rsidR="009F2B95" w:rsidRDefault="009F2B95" w:rsidP="00306953">
      <w:pPr>
        <w:spacing w:after="120" w:line="240" w:lineRule="auto"/>
        <w:jc w:val="both"/>
        <w:rPr>
          <w:rFonts w:cs="Arial"/>
        </w:rPr>
      </w:pPr>
    </w:p>
    <w:p w:rsidR="009F2B95" w:rsidRDefault="009F2B95" w:rsidP="009F2B95">
      <w:pPr>
        <w:pStyle w:val="Nadpis3"/>
        <w:spacing w:after="120"/>
      </w:pPr>
      <w:bookmarkStart w:id="10" w:name="_Toc460424375"/>
      <w:r>
        <w:t>Prezentace indikátorů</w:t>
      </w:r>
      <w:bookmarkEnd w:id="10"/>
    </w:p>
    <w:p w:rsidR="00306953" w:rsidRPr="00306953" w:rsidRDefault="00306953" w:rsidP="00306953">
      <w:pPr>
        <w:spacing w:after="120" w:line="240" w:lineRule="auto"/>
        <w:jc w:val="both"/>
        <w:rPr>
          <w:rFonts w:cs="Arial"/>
        </w:rPr>
      </w:pPr>
      <w:r w:rsidRPr="00306953">
        <w:rPr>
          <w:rFonts w:cs="Arial"/>
        </w:rPr>
        <w:t xml:space="preserve">V této publikaci se budeme soustředit na vzdělávání </w:t>
      </w:r>
      <w:r w:rsidRPr="00306953">
        <w:rPr>
          <w:rFonts w:cs="Arial"/>
          <w:i/>
        </w:rPr>
        <w:t>formální</w:t>
      </w:r>
      <w:r w:rsidRPr="00306953">
        <w:rPr>
          <w:rFonts w:cs="Arial"/>
        </w:rPr>
        <w:t xml:space="preserve">. Nejprve však uvedeme některé údaje z tabulek každoročně zveřejňovaných na stránkách MŠMT v tzv. </w:t>
      </w:r>
      <w:hyperlink r:id="rId47" w:history="1">
        <w:r w:rsidRPr="00540521">
          <w:rPr>
            <w:rStyle w:val="Hypertextovodkaz"/>
            <w:rFonts w:cs="Arial"/>
          </w:rPr>
          <w:t>Statistické ročence školství</w:t>
        </w:r>
      </w:hyperlink>
      <w:r w:rsidR="00540521">
        <w:rPr>
          <w:rFonts w:cs="Arial"/>
        </w:rPr>
        <w:t xml:space="preserve"> </w:t>
      </w:r>
      <w:r w:rsidRPr="00306953">
        <w:rPr>
          <w:rFonts w:cs="Arial"/>
        </w:rPr>
        <w:t xml:space="preserve">sledující veškeré </w:t>
      </w:r>
      <w:r w:rsidRPr="00306953">
        <w:rPr>
          <w:rFonts w:cs="Arial"/>
          <w:b/>
          <w:i/>
        </w:rPr>
        <w:t>veřejné výdaje na</w:t>
      </w:r>
      <w:r w:rsidR="00F15ED3">
        <w:rPr>
          <w:rFonts w:cs="Arial"/>
          <w:b/>
          <w:i/>
        </w:rPr>
        <w:t xml:space="preserve"> školství v absolutních číslech a ve vyjádření jakožto</w:t>
      </w:r>
      <w:r w:rsidRPr="00306953">
        <w:rPr>
          <w:rFonts w:cs="Arial"/>
          <w:b/>
          <w:i/>
        </w:rPr>
        <w:t xml:space="preserve"> podíl hrubého domácího produktu</w:t>
      </w:r>
      <w:r w:rsidRPr="00306953">
        <w:rPr>
          <w:rFonts w:cs="Arial"/>
        </w:rPr>
        <w:t xml:space="preserve">. Tyto údaje za roky 2008 – 2015 uvádí tabulka č. 3 převzatá od MŠMT, dopočten je navíc podíl financí věnovaných na vzdělávání z celkových výdajů státního rozpočtu. V původní tabulce A1 ze Statistické ročenky školství – Souboru ekonomických ukazatelů (MŠMT 2016) je uvedena časová řada od roku 2001 a veřejné výdaje na školství jsou navíc dále rozděleny do dílčích rozpočtů, ze kterých jsou hrazeny. Kromě výdajů na samotné formální vzdělávání ve školských institucích zahrnují výdaje v této tabulce také např. výdaje na podporu činnosti ve sportu, podporu činnosti v oblasti mládeže, výzkum </w:t>
      </w:r>
      <w:r w:rsidR="00E52654">
        <w:rPr>
          <w:rFonts w:cs="Arial"/>
        </w:rPr>
        <w:t>a </w:t>
      </w:r>
      <w:r w:rsidRPr="00306953">
        <w:rPr>
          <w:rFonts w:cs="Arial"/>
        </w:rPr>
        <w:t>vývoj apod.</w:t>
      </w:r>
      <w:r w:rsidRPr="00306953">
        <w:rPr>
          <w:rStyle w:val="Znakapoznpodarou"/>
          <w:rFonts w:eastAsia="MS Gothic" w:cs="Arial"/>
        </w:rPr>
        <w:footnoteReference w:id="7"/>
      </w:r>
    </w:p>
    <w:p w:rsidR="00306953" w:rsidRPr="00306953" w:rsidRDefault="00306953" w:rsidP="00306953">
      <w:pPr>
        <w:keepNext/>
        <w:widowControl w:val="0"/>
        <w:spacing w:after="120" w:line="240" w:lineRule="auto"/>
        <w:jc w:val="both"/>
        <w:rPr>
          <w:rFonts w:cs="Arial"/>
          <w:b/>
        </w:rPr>
      </w:pPr>
      <w:r w:rsidRPr="00306953">
        <w:rPr>
          <w:rFonts w:cs="Arial"/>
          <w:b/>
        </w:rPr>
        <w:t>Tabulka č. 3 Veřejné výdaje na školství v běžných a stálých cenách, jejich podíl na HDP a podíl na celkových výdajích státního rozpočtu v ČR (2008 až 2015)</w:t>
      </w:r>
    </w:p>
    <w:tbl>
      <w:tblPr>
        <w:tblW w:w="10301" w:type="dxa"/>
        <w:tblInd w:w="5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tblPr>
      <w:tblGrid>
        <w:gridCol w:w="1716"/>
        <w:gridCol w:w="992"/>
        <w:gridCol w:w="992"/>
        <w:gridCol w:w="992"/>
        <w:gridCol w:w="993"/>
        <w:gridCol w:w="992"/>
        <w:gridCol w:w="992"/>
        <w:gridCol w:w="992"/>
        <w:gridCol w:w="993"/>
        <w:gridCol w:w="647"/>
      </w:tblGrid>
      <w:tr w:rsidR="00306953" w:rsidRPr="001F57A1" w:rsidTr="00BF267F">
        <w:trPr>
          <w:trHeight w:val="315"/>
        </w:trPr>
        <w:tc>
          <w:tcPr>
            <w:tcW w:w="1716" w:type="dxa"/>
            <w:tcBorders>
              <w:top w:val="double" w:sz="4" w:space="0" w:color="auto"/>
              <w:bottom w:val="double" w:sz="4" w:space="0" w:color="auto"/>
            </w:tcBorders>
            <w:shd w:val="clear" w:color="auto" w:fill="FFCCCC"/>
            <w:vAlign w:val="bottom"/>
            <w:hideMark/>
          </w:tcPr>
          <w:p w:rsidR="00306953" w:rsidRPr="001F57A1" w:rsidRDefault="00306953" w:rsidP="00306953">
            <w:pPr>
              <w:spacing w:after="0" w:line="240" w:lineRule="auto"/>
              <w:jc w:val="center"/>
              <w:rPr>
                <w:rFonts w:cs="Arial"/>
                <w:b/>
                <w:bCs/>
                <w:color w:val="000000"/>
                <w:sz w:val="16"/>
                <w:szCs w:val="16"/>
              </w:rPr>
            </w:pPr>
            <w:r w:rsidRPr="001F57A1">
              <w:rPr>
                <w:rFonts w:cs="Arial"/>
                <w:b/>
                <w:bCs/>
                <w:color w:val="000000"/>
                <w:sz w:val="16"/>
                <w:szCs w:val="16"/>
              </w:rPr>
              <w:t> </w:t>
            </w:r>
          </w:p>
        </w:tc>
        <w:tc>
          <w:tcPr>
            <w:tcW w:w="992" w:type="dxa"/>
            <w:tcBorders>
              <w:top w:val="double" w:sz="4" w:space="0" w:color="auto"/>
              <w:bottom w:val="double" w:sz="4" w:space="0" w:color="auto"/>
            </w:tcBorders>
            <w:shd w:val="clear" w:color="auto" w:fill="FFCCCC"/>
            <w:vAlign w:val="center"/>
            <w:hideMark/>
          </w:tcPr>
          <w:p w:rsidR="00306953" w:rsidRPr="001F57A1" w:rsidRDefault="00306953" w:rsidP="004C55CD">
            <w:pPr>
              <w:spacing w:after="0" w:line="240" w:lineRule="auto"/>
              <w:jc w:val="center"/>
              <w:rPr>
                <w:rFonts w:cs="Arial"/>
                <w:b/>
                <w:bCs/>
                <w:color w:val="000000"/>
                <w:sz w:val="16"/>
                <w:szCs w:val="16"/>
              </w:rPr>
            </w:pPr>
            <w:r w:rsidRPr="001F57A1">
              <w:rPr>
                <w:rFonts w:cs="Arial"/>
                <w:b/>
                <w:bCs/>
                <w:color w:val="000000"/>
                <w:sz w:val="16"/>
                <w:szCs w:val="16"/>
              </w:rPr>
              <w:t>2008</w:t>
            </w:r>
          </w:p>
        </w:tc>
        <w:tc>
          <w:tcPr>
            <w:tcW w:w="992" w:type="dxa"/>
            <w:tcBorders>
              <w:top w:val="double" w:sz="4" w:space="0" w:color="auto"/>
              <w:bottom w:val="double" w:sz="4" w:space="0" w:color="auto"/>
            </w:tcBorders>
            <w:shd w:val="clear" w:color="auto" w:fill="FFCCCC"/>
            <w:vAlign w:val="center"/>
            <w:hideMark/>
          </w:tcPr>
          <w:p w:rsidR="00306953" w:rsidRPr="001F57A1" w:rsidRDefault="00306953" w:rsidP="004C55CD">
            <w:pPr>
              <w:spacing w:after="0" w:line="240" w:lineRule="auto"/>
              <w:jc w:val="center"/>
              <w:rPr>
                <w:rFonts w:cs="Arial"/>
                <w:b/>
                <w:bCs/>
                <w:color w:val="000000"/>
                <w:sz w:val="16"/>
                <w:szCs w:val="16"/>
              </w:rPr>
            </w:pPr>
            <w:r w:rsidRPr="001F57A1">
              <w:rPr>
                <w:rFonts w:cs="Arial"/>
                <w:b/>
                <w:bCs/>
                <w:color w:val="000000"/>
                <w:sz w:val="16"/>
                <w:szCs w:val="16"/>
              </w:rPr>
              <w:t>2009</w:t>
            </w:r>
          </w:p>
        </w:tc>
        <w:tc>
          <w:tcPr>
            <w:tcW w:w="992" w:type="dxa"/>
            <w:tcBorders>
              <w:top w:val="double" w:sz="4" w:space="0" w:color="auto"/>
              <w:bottom w:val="double" w:sz="4" w:space="0" w:color="auto"/>
            </w:tcBorders>
            <w:shd w:val="clear" w:color="auto" w:fill="FFCCCC"/>
            <w:vAlign w:val="center"/>
            <w:hideMark/>
          </w:tcPr>
          <w:p w:rsidR="00306953" w:rsidRPr="001F57A1" w:rsidRDefault="00306953" w:rsidP="004C55CD">
            <w:pPr>
              <w:spacing w:after="0" w:line="240" w:lineRule="auto"/>
              <w:jc w:val="center"/>
              <w:rPr>
                <w:rFonts w:cs="Arial"/>
                <w:b/>
                <w:bCs/>
                <w:color w:val="000000"/>
                <w:sz w:val="16"/>
                <w:szCs w:val="16"/>
              </w:rPr>
            </w:pPr>
            <w:r w:rsidRPr="001F57A1">
              <w:rPr>
                <w:rFonts w:cs="Arial"/>
                <w:b/>
                <w:bCs/>
                <w:color w:val="000000"/>
                <w:sz w:val="16"/>
                <w:szCs w:val="16"/>
              </w:rPr>
              <w:t>2010</w:t>
            </w:r>
          </w:p>
        </w:tc>
        <w:tc>
          <w:tcPr>
            <w:tcW w:w="993" w:type="dxa"/>
            <w:tcBorders>
              <w:top w:val="double" w:sz="4" w:space="0" w:color="auto"/>
              <w:bottom w:val="double" w:sz="4" w:space="0" w:color="auto"/>
            </w:tcBorders>
            <w:shd w:val="clear" w:color="auto" w:fill="FFCCCC"/>
            <w:vAlign w:val="center"/>
            <w:hideMark/>
          </w:tcPr>
          <w:p w:rsidR="00306953" w:rsidRPr="001F57A1" w:rsidRDefault="00306953" w:rsidP="004C55CD">
            <w:pPr>
              <w:spacing w:after="0" w:line="240" w:lineRule="auto"/>
              <w:jc w:val="center"/>
              <w:rPr>
                <w:rFonts w:cs="Arial"/>
                <w:b/>
                <w:bCs/>
                <w:color w:val="000000"/>
                <w:sz w:val="16"/>
                <w:szCs w:val="16"/>
              </w:rPr>
            </w:pPr>
            <w:r w:rsidRPr="001F57A1">
              <w:rPr>
                <w:rFonts w:cs="Arial"/>
                <w:b/>
                <w:bCs/>
                <w:color w:val="000000"/>
                <w:sz w:val="16"/>
                <w:szCs w:val="16"/>
              </w:rPr>
              <w:t>2011</w:t>
            </w:r>
          </w:p>
        </w:tc>
        <w:tc>
          <w:tcPr>
            <w:tcW w:w="992" w:type="dxa"/>
            <w:tcBorders>
              <w:top w:val="double" w:sz="4" w:space="0" w:color="auto"/>
              <w:bottom w:val="double" w:sz="4" w:space="0" w:color="auto"/>
            </w:tcBorders>
            <w:shd w:val="clear" w:color="auto" w:fill="FFCCCC"/>
            <w:vAlign w:val="center"/>
            <w:hideMark/>
          </w:tcPr>
          <w:p w:rsidR="00306953" w:rsidRPr="001F57A1" w:rsidRDefault="00306953" w:rsidP="004C55CD">
            <w:pPr>
              <w:spacing w:after="0" w:line="240" w:lineRule="auto"/>
              <w:jc w:val="center"/>
              <w:rPr>
                <w:rFonts w:cs="Arial"/>
                <w:b/>
                <w:bCs/>
                <w:color w:val="000000"/>
                <w:sz w:val="16"/>
                <w:szCs w:val="16"/>
              </w:rPr>
            </w:pPr>
            <w:r w:rsidRPr="001F57A1">
              <w:rPr>
                <w:rFonts w:cs="Arial"/>
                <w:b/>
                <w:bCs/>
                <w:color w:val="000000"/>
                <w:sz w:val="16"/>
                <w:szCs w:val="16"/>
              </w:rPr>
              <w:t>2012</w:t>
            </w:r>
          </w:p>
        </w:tc>
        <w:tc>
          <w:tcPr>
            <w:tcW w:w="992" w:type="dxa"/>
            <w:tcBorders>
              <w:top w:val="double" w:sz="4" w:space="0" w:color="auto"/>
              <w:bottom w:val="double" w:sz="4" w:space="0" w:color="auto"/>
            </w:tcBorders>
            <w:shd w:val="clear" w:color="auto" w:fill="FFCCCC"/>
            <w:vAlign w:val="center"/>
            <w:hideMark/>
          </w:tcPr>
          <w:p w:rsidR="00306953" w:rsidRPr="001F57A1" w:rsidRDefault="00306953" w:rsidP="004C55CD">
            <w:pPr>
              <w:spacing w:after="0" w:line="240" w:lineRule="auto"/>
              <w:jc w:val="center"/>
              <w:rPr>
                <w:rFonts w:cs="Arial"/>
                <w:b/>
                <w:bCs/>
                <w:color w:val="000000"/>
                <w:sz w:val="16"/>
                <w:szCs w:val="16"/>
              </w:rPr>
            </w:pPr>
            <w:r w:rsidRPr="001F57A1">
              <w:rPr>
                <w:rFonts w:cs="Arial"/>
                <w:b/>
                <w:bCs/>
                <w:color w:val="000000"/>
                <w:sz w:val="16"/>
                <w:szCs w:val="16"/>
              </w:rPr>
              <w:t>2013</w:t>
            </w:r>
          </w:p>
        </w:tc>
        <w:tc>
          <w:tcPr>
            <w:tcW w:w="992" w:type="dxa"/>
            <w:tcBorders>
              <w:top w:val="double" w:sz="4" w:space="0" w:color="auto"/>
              <w:bottom w:val="double" w:sz="4" w:space="0" w:color="auto"/>
            </w:tcBorders>
            <w:shd w:val="clear" w:color="auto" w:fill="FFCCCC"/>
            <w:vAlign w:val="center"/>
            <w:hideMark/>
          </w:tcPr>
          <w:p w:rsidR="00306953" w:rsidRPr="001F57A1" w:rsidRDefault="00306953" w:rsidP="004C55CD">
            <w:pPr>
              <w:spacing w:after="0" w:line="240" w:lineRule="auto"/>
              <w:jc w:val="center"/>
              <w:rPr>
                <w:rFonts w:cs="Arial"/>
                <w:b/>
                <w:bCs/>
                <w:color w:val="000000"/>
                <w:sz w:val="16"/>
                <w:szCs w:val="16"/>
              </w:rPr>
            </w:pPr>
            <w:r w:rsidRPr="001F57A1">
              <w:rPr>
                <w:rFonts w:cs="Arial"/>
                <w:b/>
                <w:bCs/>
                <w:color w:val="000000"/>
                <w:sz w:val="16"/>
                <w:szCs w:val="16"/>
              </w:rPr>
              <w:t>2014</w:t>
            </w:r>
          </w:p>
        </w:tc>
        <w:tc>
          <w:tcPr>
            <w:tcW w:w="993" w:type="dxa"/>
            <w:tcBorders>
              <w:top w:val="double" w:sz="4" w:space="0" w:color="auto"/>
              <w:bottom w:val="double" w:sz="4" w:space="0" w:color="auto"/>
            </w:tcBorders>
            <w:shd w:val="clear" w:color="auto" w:fill="FFCCCC"/>
            <w:vAlign w:val="center"/>
            <w:hideMark/>
          </w:tcPr>
          <w:p w:rsidR="00306953" w:rsidRPr="001F57A1" w:rsidRDefault="00306953" w:rsidP="004C55CD">
            <w:pPr>
              <w:spacing w:after="0" w:line="240" w:lineRule="auto"/>
              <w:jc w:val="center"/>
              <w:rPr>
                <w:rFonts w:cs="Arial"/>
                <w:b/>
                <w:bCs/>
                <w:color w:val="000000"/>
                <w:sz w:val="16"/>
                <w:szCs w:val="16"/>
              </w:rPr>
            </w:pPr>
            <w:r w:rsidRPr="001F57A1">
              <w:rPr>
                <w:rFonts w:cs="Arial"/>
                <w:b/>
                <w:bCs/>
                <w:color w:val="000000"/>
                <w:sz w:val="16"/>
                <w:szCs w:val="16"/>
              </w:rPr>
              <w:t>2015</w:t>
            </w:r>
          </w:p>
        </w:tc>
        <w:tc>
          <w:tcPr>
            <w:tcW w:w="647" w:type="dxa"/>
            <w:tcBorders>
              <w:top w:val="double" w:sz="4" w:space="0" w:color="auto"/>
              <w:bottom w:val="double" w:sz="4" w:space="0" w:color="auto"/>
            </w:tcBorders>
            <w:shd w:val="clear" w:color="auto" w:fill="FFCCCC"/>
            <w:vAlign w:val="center"/>
            <w:hideMark/>
          </w:tcPr>
          <w:p w:rsidR="00306953" w:rsidRPr="001F57A1" w:rsidRDefault="00E361EC" w:rsidP="004C55CD">
            <w:pPr>
              <w:spacing w:after="0" w:line="240" w:lineRule="auto"/>
              <w:jc w:val="center"/>
              <w:rPr>
                <w:rFonts w:cs="Arial"/>
                <w:b/>
                <w:bCs/>
                <w:color w:val="000000"/>
                <w:sz w:val="16"/>
                <w:szCs w:val="16"/>
              </w:rPr>
            </w:pPr>
            <w:r w:rsidRPr="001F57A1">
              <w:rPr>
                <w:rFonts w:cs="Arial"/>
                <w:b/>
                <w:bCs/>
                <w:color w:val="000000"/>
                <w:sz w:val="16"/>
                <w:szCs w:val="16"/>
              </w:rPr>
              <w:t>i</w:t>
            </w:r>
            <w:r w:rsidR="00306953" w:rsidRPr="001F57A1">
              <w:rPr>
                <w:rFonts w:cs="Arial"/>
                <w:b/>
                <w:bCs/>
                <w:color w:val="000000"/>
                <w:sz w:val="16"/>
                <w:szCs w:val="16"/>
              </w:rPr>
              <w:t>ndex</w:t>
            </w:r>
            <w:r w:rsidR="00306953" w:rsidRPr="001F57A1">
              <w:rPr>
                <w:rFonts w:cs="Arial"/>
                <w:b/>
                <w:bCs/>
                <w:color w:val="000000"/>
                <w:sz w:val="16"/>
                <w:szCs w:val="16"/>
                <w:vertAlign w:val="superscript"/>
              </w:rPr>
              <w:t>2)</w:t>
            </w:r>
          </w:p>
        </w:tc>
      </w:tr>
      <w:tr w:rsidR="00306953" w:rsidRPr="001F57A1" w:rsidTr="00BF267F">
        <w:trPr>
          <w:trHeight w:val="570"/>
        </w:trPr>
        <w:tc>
          <w:tcPr>
            <w:tcW w:w="1716" w:type="dxa"/>
            <w:tcBorders>
              <w:top w:val="double" w:sz="4" w:space="0" w:color="auto"/>
            </w:tcBorders>
            <w:shd w:val="clear" w:color="auto" w:fill="auto"/>
            <w:vAlign w:val="center"/>
            <w:hideMark/>
          </w:tcPr>
          <w:p w:rsidR="00306953" w:rsidRPr="001F57A1" w:rsidRDefault="00E361EC" w:rsidP="00F83F57">
            <w:pPr>
              <w:spacing w:before="30" w:after="30" w:line="240" w:lineRule="auto"/>
              <w:rPr>
                <w:rFonts w:cs="Arial"/>
                <w:color w:val="000000"/>
                <w:sz w:val="16"/>
                <w:szCs w:val="16"/>
              </w:rPr>
            </w:pPr>
            <w:r w:rsidRPr="001F57A1">
              <w:rPr>
                <w:rFonts w:cs="Arial"/>
                <w:color w:val="000000"/>
                <w:sz w:val="16"/>
                <w:szCs w:val="16"/>
              </w:rPr>
              <w:t>v</w:t>
            </w:r>
            <w:r w:rsidR="00306953" w:rsidRPr="001F57A1">
              <w:rPr>
                <w:rFonts w:cs="Arial"/>
                <w:color w:val="000000"/>
                <w:sz w:val="16"/>
                <w:szCs w:val="16"/>
              </w:rPr>
              <w:t>eřejné výdaje na školství v běžných cenách v mil. Kč</w:t>
            </w:r>
            <w:r w:rsidR="00306953" w:rsidRPr="001F57A1">
              <w:rPr>
                <w:rFonts w:cs="Arial"/>
                <w:color w:val="000000"/>
                <w:sz w:val="16"/>
                <w:szCs w:val="16"/>
                <w:vertAlign w:val="superscript"/>
              </w:rPr>
              <w:t>1)</w:t>
            </w:r>
          </w:p>
        </w:tc>
        <w:tc>
          <w:tcPr>
            <w:tcW w:w="992" w:type="dxa"/>
            <w:tcBorders>
              <w:top w:val="double" w:sz="4" w:space="0" w:color="auto"/>
            </w:tcBorders>
            <w:shd w:val="clear" w:color="auto" w:fill="auto"/>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151 003</w:t>
            </w:r>
          </w:p>
        </w:tc>
        <w:tc>
          <w:tcPr>
            <w:tcW w:w="992" w:type="dxa"/>
            <w:tcBorders>
              <w:top w:val="double" w:sz="4" w:space="0" w:color="auto"/>
            </w:tcBorders>
            <w:shd w:val="clear" w:color="auto" w:fill="auto"/>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163 943</w:t>
            </w:r>
          </w:p>
        </w:tc>
        <w:tc>
          <w:tcPr>
            <w:tcW w:w="992" w:type="dxa"/>
            <w:tcBorders>
              <w:top w:val="double" w:sz="4" w:space="0" w:color="auto"/>
            </w:tcBorders>
            <w:shd w:val="clear" w:color="auto" w:fill="auto"/>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162 965</w:t>
            </w:r>
          </w:p>
        </w:tc>
        <w:tc>
          <w:tcPr>
            <w:tcW w:w="993" w:type="dxa"/>
            <w:tcBorders>
              <w:top w:val="double" w:sz="4" w:space="0" w:color="auto"/>
            </w:tcBorders>
            <w:shd w:val="clear" w:color="auto" w:fill="auto"/>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173 722</w:t>
            </w:r>
          </w:p>
        </w:tc>
        <w:tc>
          <w:tcPr>
            <w:tcW w:w="992" w:type="dxa"/>
            <w:tcBorders>
              <w:top w:val="double" w:sz="4" w:space="0" w:color="auto"/>
            </w:tcBorders>
            <w:shd w:val="clear" w:color="auto" w:fill="auto"/>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171 370</w:t>
            </w:r>
          </w:p>
        </w:tc>
        <w:tc>
          <w:tcPr>
            <w:tcW w:w="992" w:type="dxa"/>
            <w:tcBorders>
              <w:top w:val="double" w:sz="4" w:space="0" w:color="auto"/>
            </w:tcBorders>
            <w:shd w:val="clear" w:color="auto" w:fill="auto"/>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172 805</w:t>
            </w:r>
          </w:p>
        </w:tc>
        <w:tc>
          <w:tcPr>
            <w:tcW w:w="992" w:type="dxa"/>
            <w:tcBorders>
              <w:top w:val="double" w:sz="4" w:space="0" w:color="auto"/>
            </w:tcBorders>
            <w:shd w:val="clear" w:color="auto" w:fill="auto"/>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178 713</w:t>
            </w:r>
          </w:p>
        </w:tc>
        <w:tc>
          <w:tcPr>
            <w:tcW w:w="993" w:type="dxa"/>
            <w:tcBorders>
              <w:top w:val="double" w:sz="4" w:space="0" w:color="auto"/>
            </w:tcBorders>
            <w:shd w:val="clear" w:color="auto" w:fill="auto"/>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182 848</w:t>
            </w:r>
          </w:p>
        </w:tc>
        <w:tc>
          <w:tcPr>
            <w:tcW w:w="647" w:type="dxa"/>
            <w:tcBorders>
              <w:top w:val="double" w:sz="4" w:space="0" w:color="auto"/>
            </w:tcBorders>
            <w:shd w:val="clear" w:color="auto" w:fill="C6D9F1" w:themeFill="text2" w:themeFillTint="33"/>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1,21</w:t>
            </w:r>
          </w:p>
        </w:tc>
      </w:tr>
      <w:tr w:rsidR="00306953" w:rsidRPr="001F57A1" w:rsidTr="00BF267F">
        <w:trPr>
          <w:trHeight w:val="570"/>
        </w:trPr>
        <w:tc>
          <w:tcPr>
            <w:tcW w:w="1716" w:type="dxa"/>
            <w:shd w:val="clear" w:color="auto" w:fill="auto"/>
            <w:vAlign w:val="center"/>
            <w:hideMark/>
          </w:tcPr>
          <w:p w:rsidR="00306953" w:rsidRPr="001F57A1" w:rsidRDefault="00E361EC" w:rsidP="00F83F57">
            <w:pPr>
              <w:spacing w:before="30" w:after="30" w:line="240" w:lineRule="auto"/>
              <w:rPr>
                <w:rFonts w:cs="Arial"/>
                <w:color w:val="000000"/>
                <w:sz w:val="16"/>
                <w:szCs w:val="16"/>
              </w:rPr>
            </w:pPr>
            <w:r w:rsidRPr="001F57A1">
              <w:rPr>
                <w:rFonts w:cs="Arial"/>
                <w:color w:val="000000"/>
                <w:sz w:val="16"/>
                <w:szCs w:val="16"/>
              </w:rPr>
              <w:t>v</w:t>
            </w:r>
            <w:r w:rsidR="00306953" w:rsidRPr="001F57A1">
              <w:rPr>
                <w:rFonts w:cs="Arial"/>
                <w:color w:val="000000"/>
                <w:sz w:val="16"/>
                <w:szCs w:val="16"/>
              </w:rPr>
              <w:t>eřejné výdaje na školství ve stálých cenách roku 2005 v mil. Kč</w:t>
            </w:r>
            <w:r w:rsidR="00306953" w:rsidRPr="001F57A1">
              <w:rPr>
                <w:rFonts w:cs="Arial"/>
                <w:color w:val="000000"/>
                <w:sz w:val="16"/>
                <w:szCs w:val="16"/>
                <w:vertAlign w:val="superscript"/>
              </w:rPr>
              <w:t>1)</w:t>
            </w:r>
          </w:p>
        </w:tc>
        <w:tc>
          <w:tcPr>
            <w:tcW w:w="992" w:type="dxa"/>
            <w:shd w:val="clear" w:color="auto" w:fill="auto"/>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134 704</w:t>
            </w:r>
          </w:p>
        </w:tc>
        <w:tc>
          <w:tcPr>
            <w:tcW w:w="992" w:type="dxa"/>
            <w:shd w:val="clear" w:color="auto" w:fill="auto"/>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144 698</w:t>
            </w:r>
          </w:p>
        </w:tc>
        <w:tc>
          <w:tcPr>
            <w:tcW w:w="992" w:type="dxa"/>
            <w:shd w:val="clear" w:color="auto" w:fill="auto"/>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141 832</w:t>
            </w:r>
          </w:p>
        </w:tc>
        <w:tc>
          <w:tcPr>
            <w:tcW w:w="993" w:type="dxa"/>
            <w:shd w:val="clear" w:color="auto" w:fill="auto"/>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148 354</w:t>
            </w:r>
          </w:p>
        </w:tc>
        <w:tc>
          <w:tcPr>
            <w:tcW w:w="992" w:type="dxa"/>
            <w:shd w:val="clear" w:color="auto" w:fill="auto"/>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146 345</w:t>
            </w:r>
          </w:p>
        </w:tc>
        <w:tc>
          <w:tcPr>
            <w:tcW w:w="992" w:type="dxa"/>
            <w:shd w:val="clear" w:color="auto" w:fill="auto"/>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139 810</w:t>
            </w:r>
          </w:p>
        </w:tc>
        <w:tc>
          <w:tcPr>
            <w:tcW w:w="992" w:type="dxa"/>
            <w:shd w:val="clear" w:color="auto" w:fill="auto"/>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144 590</w:t>
            </w:r>
          </w:p>
        </w:tc>
        <w:tc>
          <w:tcPr>
            <w:tcW w:w="993" w:type="dxa"/>
            <w:shd w:val="clear" w:color="auto" w:fill="auto"/>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147 935</w:t>
            </w:r>
          </w:p>
        </w:tc>
        <w:tc>
          <w:tcPr>
            <w:tcW w:w="647" w:type="dxa"/>
            <w:shd w:val="clear" w:color="auto" w:fill="C6D9F1" w:themeFill="text2" w:themeFillTint="33"/>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1,10</w:t>
            </w:r>
          </w:p>
        </w:tc>
      </w:tr>
      <w:tr w:rsidR="00306953" w:rsidRPr="001F57A1" w:rsidTr="00BF267F">
        <w:trPr>
          <w:trHeight w:val="315"/>
        </w:trPr>
        <w:tc>
          <w:tcPr>
            <w:tcW w:w="1716" w:type="dxa"/>
            <w:shd w:val="clear" w:color="000000" w:fill="D8D8D8"/>
            <w:vAlign w:val="center"/>
            <w:hideMark/>
          </w:tcPr>
          <w:p w:rsidR="00306953" w:rsidRPr="001F57A1" w:rsidRDefault="00E361EC" w:rsidP="00F83F57">
            <w:pPr>
              <w:spacing w:before="30" w:after="30" w:line="240" w:lineRule="auto"/>
              <w:rPr>
                <w:rFonts w:cs="Arial"/>
                <w:color w:val="000000"/>
                <w:sz w:val="16"/>
                <w:szCs w:val="16"/>
              </w:rPr>
            </w:pPr>
            <w:r w:rsidRPr="001F57A1">
              <w:rPr>
                <w:rFonts w:cs="Arial"/>
                <w:color w:val="000000"/>
                <w:sz w:val="16"/>
                <w:szCs w:val="16"/>
              </w:rPr>
              <w:t>v</w:t>
            </w:r>
            <w:r w:rsidR="004C55CD" w:rsidRPr="001F57A1">
              <w:rPr>
                <w:rFonts w:cs="Arial"/>
                <w:color w:val="000000"/>
                <w:sz w:val="16"/>
                <w:szCs w:val="16"/>
              </w:rPr>
              <w:t>eřejné výdaje na školství v </w:t>
            </w:r>
            <w:r w:rsidR="00306953" w:rsidRPr="001F57A1">
              <w:rPr>
                <w:rFonts w:cs="Arial"/>
                <w:color w:val="000000"/>
                <w:sz w:val="16"/>
                <w:szCs w:val="16"/>
              </w:rPr>
              <w:t>% HDP</w:t>
            </w:r>
          </w:p>
        </w:tc>
        <w:tc>
          <w:tcPr>
            <w:tcW w:w="992" w:type="dxa"/>
            <w:shd w:val="clear" w:color="000000" w:fill="D8D8D8"/>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3,76%</w:t>
            </w:r>
          </w:p>
        </w:tc>
        <w:tc>
          <w:tcPr>
            <w:tcW w:w="992" w:type="dxa"/>
            <w:shd w:val="clear" w:color="000000" w:fill="D8D8D8"/>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4,18%</w:t>
            </w:r>
          </w:p>
        </w:tc>
        <w:tc>
          <w:tcPr>
            <w:tcW w:w="992" w:type="dxa"/>
            <w:shd w:val="clear" w:color="000000" w:fill="D8D8D8"/>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4,12%</w:t>
            </w:r>
          </w:p>
        </w:tc>
        <w:tc>
          <w:tcPr>
            <w:tcW w:w="993" w:type="dxa"/>
            <w:shd w:val="clear" w:color="000000" w:fill="D8D8D8"/>
            <w:noWrap/>
            <w:vAlign w:val="center"/>
            <w:hideMark/>
          </w:tcPr>
          <w:p w:rsidR="00306953" w:rsidRPr="001F57A1" w:rsidRDefault="00A41E43" w:rsidP="004C55CD">
            <w:pPr>
              <w:spacing w:after="0" w:line="240" w:lineRule="auto"/>
              <w:jc w:val="center"/>
              <w:rPr>
                <w:rFonts w:cs="Arial"/>
                <w:color w:val="000000"/>
                <w:sz w:val="16"/>
                <w:szCs w:val="16"/>
              </w:rPr>
            </w:pPr>
            <w:r>
              <w:rPr>
                <w:rFonts w:cs="Arial"/>
                <w:color w:val="000000"/>
                <w:sz w:val="16"/>
                <w:szCs w:val="16"/>
              </w:rPr>
              <w:t>4,31</w:t>
            </w:r>
            <w:r w:rsidR="00306953" w:rsidRPr="001F57A1">
              <w:rPr>
                <w:rFonts w:cs="Arial"/>
                <w:color w:val="000000"/>
                <w:sz w:val="16"/>
                <w:szCs w:val="16"/>
              </w:rPr>
              <w:t>%</w:t>
            </w:r>
          </w:p>
        </w:tc>
        <w:tc>
          <w:tcPr>
            <w:tcW w:w="992" w:type="dxa"/>
            <w:shd w:val="clear" w:color="000000" w:fill="D8D8D8"/>
            <w:noWrap/>
            <w:vAlign w:val="center"/>
            <w:hideMark/>
          </w:tcPr>
          <w:p w:rsidR="00306953" w:rsidRPr="001F57A1" w:rsidRDefault="00A41E43" w:rsidP="004C55CD">
            <w:pPr>
              <w:spacing w:after="0" w:line="240" w:lineRule="auto"/>
              <w:jc w:val="center"/>
              <w:rPr>
                <w:rFonts w:cs="Arial"/>
                <w:color w:val="000000"/>
                <w:sz w:val="16"/>
                <w:szCs w:val="16"/>
              </w:rPr>
            </w:pPr>
            <w:r>
              <w:rPr>
                <w:rFonts w:cs="Arial"/>
                <w:color w:val="000000"/>
                <w:sz w:val="16"/>
                <w:szCs w:val="16"/>
              </w:rPr>
              <w:t>4,22</w:t>
            </w:r>
            <w:r w:rsidR="00306953" w:rsidRPr="001F57A1">
              <w:rPr>
                <w:rFonts w:cs="Arial"/>
                <w:color w:val="000000"/>
                <w:sz w:val="16"/>
                <w:szCs w:val="16"/>
              </w:rPr>
              <w:t>%</w:t>
            </w:r>
          </w:p>
        </w:tc>
        <w:tc>
          <w:tcPr>
            <w:tcW w:w="992" w:type="dxa"/>
            <w:shd w:val="clear" w:color="000000" w:fill="D8D8D8"/>
            <w:noWrap/>
            <w:vAlign w:val="center"/>
            <w:hideMark/>
          </w:tcPr>
          <w:p w:rsidR="00306953" w:rsidRPr="001F57A1" w:rsidRDefault="00A41E43" w:rsidP="004C55CD">
            <w:pPr>
              <w:spacing w:after="0" w:line="240" w:lineRule="auto"/>
              <w:jc w:val="center"/>
              <w:rPr>
                <w:rFonts w:cs="Arial"/>
                <w:color w:val="000000"/>
                <w:sz w:val="16"/>
                <w:szCs w:val="16"/>
              </w:rPr>
            </w:pPr>
            <w:r>
              <w:rPr>
                <w:rFonts w:cs="Arial"/>
                <w:color w:val="000000"/>
                <w:sz w:val="16"/>
                <w:szCs w:val="16"/>
              </w:rPr>
              <w:t>4,22</w:t>
            </w:r>
            <w:r w:rsidR="00306953" w:rsidRPr="001F57A1">
              <w:rPr>
                <w:rFonts w:cs="Arial"/>
                <w:color w:val="000000"/>
                <w:sz w:val="16"/>
                <w:szCs w:val="16"/>
              </w:rPr>
              <w:t>%</w:t>
            </w:r>
          </w:p>
        </w:tc>
        <w:tc>
          <w:tcPr>
            <w:tcW w:w="992" w:type="dxa"/>
            <w:shd w:val="clear" w:color="000000" w:fill="D8D8D8"/>
            <w:noWrap/>
            <w:vAlign w:val="center"/>
            <w:hideMark/>
          </w:tcPr>
          <w:p w:rsidR="00306953" w:rsidRPr="001F57A1" w:rsidRDefault="00A41E43" w:rsidP="004C55CD">
            <w:pPr>
              <w:spacing w:after="0" w:line="240" w:lineRule="auto"/>
              <w:jc w:val="center"/>
              <w:rPr>
                <w:rFonts w:cs="Arial"/>
                <w:color w:val="000000"/>
                <w:sz w:val="16"/>
                <w:szCs w:val="16"/>
              </w:rPr>
            </w:pPr>
            <w:r>
              <w:rPr>
                <w:rFonts w:cs="Arial"/>
                <w:color w:val="000000"/>
                <w:sz w:val="16"/>
                <w:szCs w:val="16"/>
              </w:rPr>
              <w:t>4,14</w:t>
            </w:r>
            <w:r w:rsidR="00306953" w:rsidRPr="001F57A1">
              <w:rPr>
                <w:rFonts w:cs="Arial"/>
                <w:color w:val="000000"/>
                <w:sz w:val="16"/>
                <w:szCs w:val="16"/>
              </w:rPr>
              <w:t>%</w:t>
            </w:r>
          </w:p>
        </w:tc>
        <w:tc>
          <w:tcPr>
            <w:tcW w:w="993" w:type="dxa"/>
            <w:shd w:val="clear" w:color="000000" w:fill="D8D8D8"/>
            <w:noWrap/>
            <w:vAlign w:val="center"/>
            <w:hideMark/>
          </w:tcPr>
          <w:p w:rsidR="00306953" w:rsidRPr="001F57A1" w:rsidRDefault="00A41E43" w:rsidP="004C55CD">
            <w:pPr>
              <w:spacing w:after="0" w:line="240" w:lineRule="auto"/>
              <w:jc w:val="center"/>
              <w:rPr>
                <w:rFonts w:cs="Arial"/>
                <w:color w:val="000000"/>
                <w:sz w:val="16"/>
                <w:szCs w:val="16"/>
              </w:rPr>
            </w:pPr>
            <w:r>
              <w:rPr>
                <w:rFonts w:cs="Arial"/>
                <w:color w:val="000000"/>
                <w:sz w:val="16"/>
                <w:szCs w:val="16"/>
              </w:rPr>
              <w:t>4,01</w:t>
            </w:r>
            <w:r w:rsidR="00306953" w:rsidRPr="001F57A1">
              <w:rPr>
                <w:rFonts w:cs="Arial"/>
                <w:color w:val="000000"/>
                <w:sz w:val="16"/>
                <w:szCs w:val="16"/>
              </w:rPr>
              <w:t>%</w:t>
            </w:r>
          </w:p>
        </w:tc>
        <w:tc>
          <w:tcPr>
            <w:tcW w:w="647" w:type="dxa"/>
            <w:shd w:val="clear" w:color="auto" w:fill="8DB3E2" w:themeFill="text2" w:themeFillTint="66"/>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1,09</w:t>
            </w:r>
          </w:p>
        </w:tc>
      </w:tr>
      <w:tr w:rsidR="00306953" w:rsidRPr="001F57A1" w:rsidTr="00BF267F">
        <w:trPr>
          <w:trHeight w:val="525"/>
        </w:trPr>
        <w:tc>
          <w:tcPr>
            <w:tcW w:w="1716" w:type="dxa"/>
            <w:shd w:val="clear" w:color="auto" w:fill="auto"/>
            <w:vAlign w:val="center"/>
            <w:hideMark/>
          </w:tcPr>
          <w:p w:rsidR="00306953" w:rsidRPr="001F57A1" w:rsidRDefault="00E361EC" w:rsidP="00F83F57">
            <w:pPr>
              <w:spacing w:before="30" w:after="30" w:line="240" w:lineRule="auto"/>
              <w:rPr>
                <w:rFonts w:cs="Arial"/>
                <w:color w:val="000000"/>
                <w:sz w:val="16"/>
                <w:szCs w:val="16"/>
              </w:rPr>
            </w:pPr>
            <w:r w:rsidRPr="001F57A1">
              <w:rPr>
                <w:rFonts w:cs="Arial"/>
                <w:color w:val="000000"/>
                <w:sz w:val="16"/>
                <w:szCs w:val="16"/>
              </w:rPr>
              <w:t>c</w:t>
            </w:r>
            <w:r w:rsidR="00306953" w:rsidRPr="001F57A1">
              <w:rPr>
                <w:rFonts w:cs="Arial"/>
                <w:color w:val="000000"/>
                <w:sz w:val="16"/>
                <w:szCs w:val="16"/>
              </w:rPr>
              <w:t>elkové výdaje státního rozpočtu v běžných cenách v mil. Kč</w:t>
            </w:r>
          </w:p>
        </w:tc>
        <w:tc>
          <w:tcPr>
            <w:tcW w:w="992" w:type="dxa"/>
            <w:shd w:val="clear" w:color="auto" w:fill="auto"/>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1 083 944</w:t>
            </w:r>
          </w:p>
        </w:tc>
        <w:tc>
          <w:tcPr>
            <w:tcW w:w="992" w:type="dxa"/>
            <w:shd w:val="clear" w:color="auto" w:fill="auto"/>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1 167 009</w:t>
            </w:r>
          </w:p>
        </w:tc>
        <w:tc>
          <w:tcPr>
            <w:tcW w:w="992" w:type="dxa"/>
            <w:shd w:val="clear" w:color="auto" w:fill="auto"/>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1 156 793</w:t>
            </w:r>
          </w:p>
        </w:tc>
        <w:tc>
          <w:tcPr>
            <w:tcW w:w="993" w:type="dxa"/>
            <w:shd w:val="clear" w:color="auto" w:fill="auto"/>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1 155 526</w:t>
            </w:r>
          </w:p>
        </w:tc>
        <w:tc>
          <w:tcPr>
            <w:tcW w:w="992" w:type="dxa"/>
            <w:shd w:val="clear" w:color="auto" w:fill="auto"/>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1 152 387</w:t>
            </w:r>
          </w:p>
        </w:tc>
        <w:tc>
          <w:tcPr>
            <w:tcW w:w="992" w:type="dxa"/>
            <w:shd w:val="clear" w:color="auto" w:fill="auto"/>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1 173 128</w:t>
            </w:r>
          </w:p>
        </w:tc>
        <w:tc>
          <w:tcPr>
            <w:tcW w:w="992" w:type="dxa"/>
            <w:shd w:val="clear" w:color="auto" w:fill="auto"/>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1 211 608</w:t>
            </w:r>
          </w:p>
        </w:tc>
        <w:tc>
          <w:tcPr>
            <w:tcW w:w="993" w:type="dxa"/>
            <w:shd w:val="clear" w:color="auto" w:fill="auto"/>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1 297 321</w:t>
            </w:r>
          </w:p>
        </w:tc>
        <w:tc>
          <w:tcPr>
            <w:tcW w:w="647" w:type="dxa"/>
            <w:shd w:val="clear" w:color="auto" w:fill="C6D9F1" w:themeFill="text2" w:themeFillTint="33"/>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1,20</w:t>
            </w:r>
          </w:p>
        </w:tc>
      </w:tr>
      <w:tr w:rsidR="00306953" w:rsidRPr="001F57A1" w:rsidTr="00BF267F">
        <w:trPr>
          <w:trHeight w:val="525"/>
        </w:trPr>
        <w:tc>
          <w:tcPr>
            <w:tcW w:w="1716" w:type="dxa"/>
            <w:shd w:val="clear" w:color="auto" w:fill="auto"/>
            <w:vAlign w:val="center"/>
            <w:hideMark/>
          </w:tcPr>
          <w:p w:rsidR="00306953" w:rsidRPr="001F57A1" w:rsidRDefault="00E361EC" w:rsidP="00F83F57">
            <w:pPr>
              <w:spacing w:before="30" w:after="30" w:line="240" w:lineRule="auto"/>
              <w:rPr>
                <w:rFonts w:cs="Arial"/>
                <w:color w:val="000000"/>
                <w:sz w:val="16"/>
                <w:szCs w:val="16"/>
              </w:rPr>
            </w:pPr>
            <w:r w:rsidRPr="001F57A1">
              <w:rPr>
                <w:rFonts w:cs="Arial"/>
                <w:color w:val="000000"/>
                <w:sz w:val="16"/>
                <w:szCs w:val="16"/>
              </w:rPr>
              <w:t>v</w:t>
            </w:r>
            <w:r w:rsidR="00306953" w:rsidRPr="001F57A1">
              <w:rPr>
                <w:rFonts w:cs="Arial"/>
                <w:color w:val="000000"/>
                <w:sz w:val="16"/>
                <w:szCs w:val="16"/>
              </w:rPr>
              <w:t>ýdaje státního rozpočtu ve stálých cenách roku 2005 v mil. Kč</w:t>
            </w:r>
          </w:p>
        </w:tc>
        <w:tc>
          <w:tcPr>
            <w:tcW w:w="992" w:type="dxa"/>
            <w:shd w:val="clear" w:color="auto" w:fill="auto"/>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966 943</w:t>
            </w:r>
          </w:p>
        </w:tc>
        <w:tc>
          <w:tcPr>
            <w:tcW w:w="992" w:type="dxa"/>
            <w:shd w:val="clear" w:color="auto" w:fill="auto"/>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1 030 017</w:t>
            </w:r>
          </w:p>
        </w:tc>
        <w:tc>
          <w:tcPr>
            <w:tcW w:w="992" w:type="dxa"/>
            <w:shd w:val="clear" w:color="auto" w:fill="auto"/>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1 006 783</w:t>
            </w:r>
          </w:p>
        </w:tc>
        <w:tc>
          <w:tcPr>
            <w:tcW w:w="993" w:type="dxa"/>
            <w:shd w:val="clear" w:color="auto" w:fill="auto"/>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986 786</w:t>
            </w:r>
          </w:p>
        </w:tc>
        <w:tc>
          <w:tcPr>
            <w:tcW w:w="992" w:type="dxa"/>
            <w:shd w:val="clear" w:color="auto" w:fill="auto"/>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984 105</w:t>
            </w:r>
          </w:p>
        </w:tc>
        <w:tc>
          <w:tcPr>
            <w:tcW w:w="992" w:type="dxa"/>
            <w:shd w:val="clear" w:color="auto" w:fill="auto"/>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949 133</w:t>
            </w:r>
          </w:p>
        </w:tc>
        <w:tc>
          <w:tcPr>
            <w:tcW w:w="992" w:type="dxa"/>
            <w:shd w:val="clear" w:color="auto" w:fill="auto"/>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980 266</w:t>
            </w:r>
          </w:p>
        </w:tc>
        <w:tc>
          <w:tcPr>
            <w:tcW w:w="993" w:type="dxa"/>
            <w:shd w:val="clear" w:color="auto" w:fill="auto"/>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1 049 613</w:t>
            </w:r>
          </w:p>
        </w:tc>
        <w:tc>
          <w:tcPr>
            <w:tcW w:w="647" w:type="dxa"/>
            <w:shd w:val="clear" w:color="auto" w:fill="C6D9F1" w:themeFill="text2" w:themeFillTint="33"/>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1,09</w:t>
            </w:r>
          </w:p>
        </w:tc>
      </w:tr>
      <w:tr w:rsidR="00306953" w:rsidRPr="001F57A1" w:rsidTr="00BF267F">
        <w:trPr>
          <w:trHeight w:val="525"/>
        </w:trPr>
        <w:tc>
          <w:tcPr>
            <w:tcW w:w="1716" w:type="dxa"/>
            <w:shd w:val="clear" w:color="000000" w:fill="D8D8D8"/>
            <w:vAlign w:val="center"/>
            <w:hideMark/>
          </w:tcPr>
          <w:p w:rsidR="00306953" w:rsidRPr="001F57A1" w:rsidRDefault="00E361EC" w:rsidP="00F83F57">
            <w:pPr>
              <w:spacing w:before="30" w:after="30" w:line="240" w:lineRule="auto"/>
              <w:rPr>
                <w:rFonts w:cs="Arial"/>
                <w:color w:val="000000"/>
                <w:sz w:val="16"/>
                <w:szCs w:val="16"/>
              </w:rPr>
            </w:pPr>
            <w:r w:rsidRPr="001F57A1">
              <w:rPr>
                <w:rFonts w:cs="Arial"/>
                <w:color w:val="000000"/>
                <w:sz w:val="16"/>
                <w:szCs w:val="16"/>
              </w:rPr>
              <w:t>p</w:t>
            </w:r>
            <w:r w:rsidR="00306953" w:rsidRPr="001F57A1">
              <w:rPr>
                <w:rFonts w:cs="Arial"/>
                <w:color w:val="000000"/>
                <w:sz w:val="16"/>
                <w:szCs w:val="16"/>
              </w:rPr>
              <w:t>odíl financí věnovaný na školství z celkových výdajů státního rozpočtu</w:t>
            </w:r>
          </w:p>
        </w:tc>
        <w:tc>
          <w:tcPr>
            <w:tcW w:w="992" w:type="dxa"/>
            <w:shd w:val="clear" w:color="000000" w:fill="D8D8D8"/>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13,93%</w:t>
            </w:r>
          </w:p>
        </w:tc>
        <w:tc>
          <w:tcPr>
            <w:tcW w:w="992" w:type="dxa"/>
            <w:shd w:val="clear" w:color="000000" w:fill="D8D8D8"/>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14,05%</w:t>
            </w:r>
          </w:p>
        </w:tc>
        <w:tc>
          <w:tcPr>
            <w:tcW w:w="992" w:type="dxa"/>
            <w:shd w:val="clear" w:color="000000" w:fill="D8D8D8"/>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14,09%</w:t>
            </w:r>
          </w:p>
        </w:tc>
        <w:tc>
          <w:tcPr>
            <w:tcW w:w="993" w:type="dxa"/>
            <w:shd w:val="clear" w:color="000000" w:fill="D8D8D8"/>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15,03%</w:t>
            </w:r>
          </w:p>
        </w:tc>
        <w:tc>
          <w:tcPr>
            <w:tcW w:w="992" w:type="dxa"/>
            <w:shd w:val="clear" w:color="000000" w:fill="D8D8D8"/>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14,87%</w:t>
            </w:r>
          </w:p>
        </w:tc>
        <w:tc>
          <w:tcPr>
            <w:tcW w:w="992" w:type="dxa"/>
            <w:shd w:val="clear" w:color="000000" w:fill="D8D8D8"/>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14,73%</w:t>
            </w:r>
          </w:p>
        </w:tc>
        <w:tc>
          <w:tcPr>
            <w:tcW w:w="992" w:type="dxa"/>
            <w:shd w:val="clear" w:color="000000" w:fill="D8D8D8"/>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14,75%</w:t>
            </w:r>
          </w:p>
        </w:tc>
        <w:tc>
          <w:tcPr>
            <w:tcW w:w="993" w:type="dxa"/>
            <w:shd w:val="clear" w:color="000000" w:fill="D8D8D8"/>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14,09%</w:t>
            </w:r>
          </w:p>
        </w:tc>
        <w:tc>
          <w:tcPr>
            <w:tcW w:w="647" w:type="dxa"/>
            <w:shd w:val="clear" w:color="auto" w:fill="8DB3E2" w:themeFill="text2" w:themeFillTint="66"/>
            <w:noWrap/>
            <w:vAlign w:val="center"/>
            <w:hideMark/>
          </w:tcPr>
          <w:p w:rsidR="00306953" w:rsidRPr="001F57A1" w:rsidRDefault="00306953" w:rsidP="004C55CD">
            <w:pPr>
              <w:spacing w:after="0" w:line="240" w:lineRule="auto"/>
              <w:jc w:val="center"/>
              <w:rPr>
                <w:rFonts w:cs="Arial"/>
                <w:color w:val="000000"/>
                <w:sz w:val="16"/>
                <w:szCs w:val="16"/>
              </w:rPr>
            </w:pPr>
            <w:r w:rsidRPr="001F57A1">
              <w:rPr>
                <w:rFonts w:cs="Arial"/>
                <w:color w:val="000000"/>
                <w:sz w:val="16"/>
                <w:szCs w:val="16"/>
              </w:rPr>
              <w:t>1,01</w:t>
            </w:r>
          </w:p>
        </w:tc>
      </w:tr>
    </w:tbl>
    <w:p w:rsidR="00306953" w:rsidRPr="001F57A1" w:rsidRDefault="00306953" w:rsidP="00306953">
      <w:pPr>
        <w:spacing w:after="0" w:line="240" w:lineRule="auto"/>
        <w:rPr>
          <w:rFonts w:cs="Arial"/>
          <w:sz w:val="16"/>
          <w:szCs w:val="16"/>
          <w:vertAlign w:val="superscript"/>
        </w:rPr>
      </w:pPr>
    </w:p>
    <w:p w:rsidR="00306953" w:rsidRPr="001F57A1" w:rsidRDefault="00306953" w:rsidP="00306953">
      <w:pPr>
        <w:spacing w:after="0" w:line="240" w:lineRule="auto"/>
        <w:rPr>
          <w:rFonts w:cs="Arial"/>
          <w:sz w:val="16"/>
          <w:szCs w:val="16"/>
        </w:rPr>
      </w:pPr>
      <w:r w:rsidRPr="001F57A1">
        <w:rPr>
          <w:rFonts w:cs="Arial"/>
          <w:sz w:val="16"/>
          <w:szCs w:val="16"/>
          <w:vertAlign w:val="superscript"/>
        </w:rPr>
        <w:t>1)</w:t>
      </w:r>
      <w:r w:rsidRPr="001F57A1">
        <w:rPr>
          <w:rFonts w:cs="Arial"/>
          <w:sz w:val="16"/>
          <w:szCs w:val="16"/>
        </w:rPr>
        <w:t xml:space="preserve"> Celkové výdaje na školství: údaje z kapitol 333-MŠMT; 700-Obce a DSO; KÚ; 380-Okresní úřady (rozpočtová opatření z MŠMT) a z jiných resortů (Ministerstvo obrany, Ministerstvo zemědělství do r. 2001, data za Ministerstvo vnitra nejsou k dispozici a Ministerstvo spravedlnosti o výdajích na vzdělávání neúčtuje).</w:t>
      </w:r>
    </w:p>
    <w:p w:rsidR="00306953" w:rsidRPr="001F57A1" w:rsidRDefault="00306953" w:rsidP="00306953">
      <w:pPr>
        <w:spacing w:after="0" w:line="240" w:lineRule="auto"/>
        <w:rPr>
          <w:rFonts w:cs="Arial"/>
          <w:sz w:val="16"/>
          <w:szCs w:val="16"/>
        </w:rPr>
      </w:pPr>
      <w:r w:rsidRPr="001F57A1">
        <w:rPr>
          <w:rFonts w:cs="Arial"/>
          <w:sz w:val="16"/>
          <w:szCs w:val="16"/>
          <w:vertAlign w:val="superscript"/>
        </w:rPr>
        <w:t xml:space="preserve">2) </w:t>
      </w:r>
      <w:r w:rsidRPr="001F57A1">
        <w:rPr>
          <w:rFonts w:cs="Arial"/>
          <w:sz w:val="16"/>
          <w:szCs w:val="16"/>
        </w:rPr>
        <w:t>Rok 2008=100 %; např.: 1,15 = zvýšení o 15 %, 0,85 = snížení o 15 %.</w:t>
      </w:r>
    </w:p>
    <w:p w:rsidR="00306953" w:rsidRPr="001F57A1" w:rsidRDefault="00306953" w:rsidP="00306953">
      <w:pPr>
        <w:spacing w:after="0" w:line="240" w:lineRule="auto"/>
        <w:rPr>
          <w:rFonts w:cs="Arial"/>
          <w:sz w:val="16"/>
          <w:szCs w:val="16"/>
        </w:rPr>
      </w:pPr>
      <w:r w:rsidRPr="001F57A1">
        <w:rPr>
          <w:rFonts w:cs="Arial"/>
          <w:sz w:val="16"/>
          <w:szCs w:val="16"/>
        </w:rPr>
        <w:t xml:space="preserve">Zdroj: Tab. A1 a A2 ze Statistické ročenky školství – </w:t>
      </w:r>
      <w:hyperlink r:id="rId48" w:history="1">
        <w:r w:rsidRPr="000037AC">
          <w:rPr>
            <w:rStyle w:val="Hypertextovodkaz"/>
            <w:rFonts w:cs="Arial"/>
            <w:sz w:val="16"/>
            <w:szCs w:val="16"/>
          </w:rPr>
          <w:t>Souboru ekonomických ukazatelů 2015</w:t>
        </w:r>
      </w:hyperlink>
      <w:r w:rsidR="00A41E43">
        <w:rPr>
          <w:rFonts w:cs="Arial"/>
          <w:sz w:val="16"/>
          <w:szCs w:val="16"/>
        </w:rPr>
        <w:t>, MŠMT 2016; výpočet podílu HDP dle dat ČSÚ</w:t>
      </w:r>
    </w:p>
    <w:p w:rsidR="00306953" w:rsidRDefault="00306953" w:rsidP="00E52654">
      <w:pPr>
        <w:spacing w:after="0" w:line="240" w:lineRule="auto"/>
        <w:jc w:val="both"/>
        <w:rPr>
          <w:rFonts w:eastAsia="ChaparralPro-Regular" w:cs="Arial"/>
        </w:rPr>
      </w:pPr>
    </w:p>
    <w:p w:rsidR="00306953" w:rsidRPr="00306953" w:rsidRDefault="00306953" w:rsidP="00306953">
      <w:pPr>
        <w:spacing w:after="120" w:line="240" w:lineRule="auto"/>
        <w:jc w:val="both"/>
        <w:rPr>
          <w:rFonts w:eastAsia="ChaparralPro-Regular" w:cs="Arial"/>
        </w:rPr>
      </w:pPr>
      <w:r w:rsidRPr="00306953">
        <w:rPr>
          <w:rFonts w:eastAsia="ChaparralPro-Regular" w:cs="Arial"/>
        </w:rPr>
        <w:t>Jak je patrné, podíl veřejných výdajů na školství (v širším slova smyslu – viz výše) k HDP vzrostl mezi roky 2008 a 2009 o 0,42</w:t>
      </w:r>
      <w:r w:rsidR="00A41E43">
        <w:rPr>
          <w:rFonts w:eastAsia="ChaparralPro-Regular" w:cs="Arial"/>
        </w:rPr>
        <w:t xml:space="preserve"> % a mezi roky 2010 a 2011 o 0,19</w:t>
      </w:r>
      <w:r w:rsidRPr="00306953">
        <w:rPr>
          <w:rFonts w:eastAsia="ChaparralPro-Regular" w:cs="Arial"/>
        </w:rPr>
        <w:t> %. V ostatních let</w:t>
      </w:r>
      <w:r w:rsidR="003A515E">
        <w:rPr>
          <w:rFonts w:eastAsia="ChaparralPro-Regular" w:cs="Arial"/>
        </w:rPr>
        <w:t>ech buď zůstával stejný, nebo o </w:t>
      </w:r>
      <w:r w:rsidRPr="00306953">
        <w:rPr>
          <w:rFonts w:eastAsia="ChaparralPro-Regular" w:cs="Arial"/>
        </w:rPr>
        <w:t>něco poklesl, k nejvyššímu poklesu došlo mezi lety 2014 a 2015 (o 0,1</w:t>
      </w:r>
      <w:r w:rsidR="00A41E43">
        <w:rPr>
          <w:rFonts w:eastAsia="ChaparralPro-Regular" w:cs="Arial"/>
        </w:rPr>
        <w:t>3</w:t>
      </w:r>
      <w:r w:rsidRPr="00306953">
        <w:rPr>
          <w:rFonts w:eastAsia="ChaparralPro-Regular" w:cs="Arial"/>
        </w:rPr>
        <w:t xml:space="preserve"> %).</w:t>
      </w:r>
      <w:r w:rsidRPr="00306953">
        <w:rPr>
          <w:rFonts w:eastAsia="ChaparralPro-Regular" w:cs="Arial"/>
          <w:vertAlign w:val="superscript"/>
        </w:rPr>
        <w:t xml:space="preserve"> </w:t>
      </w:r>
      <w:r w:rsidRPr="00306953">
        <w:rPr>
          <w:rFonts w:eastAsia="ChaparralPro-Regular" w:cs="Arial"/>
        </w:rPr>
        <w:t xml:space="preserve">Co se týče podílu financí věnovaných na školství z celkových výdajů státního rozpočtu, lze si všimnout, že v letech 2008–2010 dosahoval cca 14 %, v letech 2011–2014 pak cca 15 %. V roce 2015 </w:t>
      </w:r>
      <w:r w:rsidR="00F15ED3">
        <w:rPr>
          <w:rFonts w:eastAsia="ChaparralPro-Regular" w:cs="Arial"/>
        </w:rPr>
        <w:t xml:space="preserve">pak </w:t>
      </w:r>
      <w:r w:rsidRPr="00306953">
        <w:rPr>
          <w:rFonts w:eastAsia="ChaparralPro-Regular" w:cs="Arial"/>
        </w:rPr>
        <w:t xml:space="preserve">tento podíl klesl zpět na cca 14 %. </w:t>
      </w:r>
      <w:r w:rsidR="00C05F7E">
        <w:rPr>
          <w:rFonts w:cs="Arial"/>
        </w:rPr>
        <w:lastRenderedPageBreak/>
        <w:t xml:space="preserve">Rozdělení veřejných výdajů na školství </w:t>
      </w:r>
      <w:r w:rsidRPr="00306953">
        <w:rPr>
          <w:rFonts w:cs="Arial"/>
        </w:rPr>
        <w:t xml:space="preserve">v běžných i stálých cenách </w:t>
      </w:r>
      <w:r w:rsidR="00C05F7E">
        <w:rPr>
          <w:rFonts w:cs="Arial"/>
        </w:rPr>
        <w:t>do jednotlivých úrovní vzdělávání</w:t>
      </w:r>
      <w:r w:rsidR="00C05F7E" w:rsidRPr="00306953">
        <w:rPr>
          <w:rFonts w:cs="Arial"/>
        </w:rPr>
        <w:t xml:space="preserve"> </w:t>
      </w:r>
      <w:r w:rsidRPr="00306953">
        <w:rPr>
          <w:rFonts w:cs="Arial"/>
        </w:rPr>
        <w:t xml:space="preserve">nabízejí tabulky A5 a A6 ze soustavy </w:t>
      </w:r>
      <w:hyperlink r:id="rId49" w:history="1">
        <w:r w:rsidRPr="00C05F7E">
          <w:rPr>
            <w:rStyle w:val="Hypertextovodkaz"/>
            <w:rFonts w:cs="Arial"/>
          </w:rPr>
          <w:t>ekonomických ukazatelů</w:t>
        </w:r>
      </w:hyperlink>
      <w:r w:rsidRPr="00306953">
        <w:rPr>
          <w:rFonts w:cs="Arial"/>
        </w:rPr>
        <w:t xml:space="preserve"> ve statistické ročence školství </w:t>
      </w:r>
      <w:r w:rsidR="00C05F7E">
        <w:rPr>
          <w:rFonts w:cs="Arial"/>
        </w:rPr>
        <w:t>(</w:t>
      </w:r>
      <w:r w:rsidRPr="00306953">
        <w:rPr>
          <w:rFonts w:cs="Arial"/>
        </w:rPr>
        <w:t>MŠMT</w:t>
      </w:r>
      <w:r w:rsidR="00C05F7E">
        <w:rPr>
          <w:rFonts w:cs="Arial"/>
        </w:rPr>
        <w:t>)</w:t>
      </w:r>
      <w:r w:rsidRPr="00306953">
        <w:rPr>
          <w:rFonts w:cs="Arial"/>
        </w:rPr>
        <w:t>.</w:t>
      </w:r>
    </w:p>
    <w:p w:rsidR="00306953" w:rsidRPr="00306953" w:rsidRDefault="00C05F7E" w:rsidP="00306953">
      <w:pPr>
        <w:autoSpaceDE w:val="0"/>
        <w:autoSpaceDN w:val="0"/>
        <w:adjustRightInd w:val="0"/>
        <w:spacing w:after="120" w:line="240" w:lineRule="auto"/>
        <w:jc w:val="both"/>
        <w:rPr>
          <w:rFonts w:eastAsia="ChaparralPro-Regular" w:cs="Arial"/>
        </w:rPr>
      </w:pPr>
      <w:r>
        <w:rPr>
          <w:rFonts w:eastAsia="ChaparralPro-Regular" w:cs="Arial"/>
        </w:rPr>
        <w:t xml:space="preserve">Situaci v České republice je možné srovnat se situací v jiných státech, příp. v mezinárodním průměru. V tomto ohledu budeme srovnávat výši </w:t>
      </w:r>
      <w:r w:rsidRPr="00C05F7E">
        <w:rPr>
          <w:rFonts w:eastAsia="ChaparralPro-Regular" w:cs="Arial"/>
          <w:b/>
        </w:rPr>
        <w:t>výdajů na vzdělávací instituce</w:t>
      </w:r>
      <w:r>
        <w:rPr>
          <w:rFonts w:eastAsia="ChaparralPro-Regular" w:cs="Arial"/>
        </w:rPr>
        <w:t xml:space="preserve"> formálního vzdělávání. Na úvod je však třeba upozornit</w:t>
      </w:r>
      <w:r w:rsidR="00306953" w:rsidRPr="00306953">
        <w:rPr>
          <w:rFonts w:eastAsia="ChaparralPro-Regular" w:cs="Arial"/>
        </w:rPr>
        <w:t xml:space="preserve">, že tyto výdaje jsou ovlivněny </w:t>
      </w:r>
      <w:r w:rsidR="00306953" w:rsidRPr="00306953">
        <w:rPr>
          <w:rFonts w:eastAsia="ChaparralPro-Regular" w:cs="Arial"/>
          <w:b/>
        </w:rPr>
        <w:t>řadou faktorů v pozadí</w:t>
      </w:r>
      <w:r w:rsidR="00306953" w:rsidRPr="00306953">
        <w:rPr>
          <w:rFonts w:eastAsia="ChaparralPro-Regular" w:cs="Arial"/>
        </w:rPr>
        <w:t xml:space="preserve">. Mezi ty patří dle publikace </w:t>
      </w:r>
      <w:proofErr w:type="spellStart"/>
      <w:r w:rsidR="00306953" w:rsidRPr="00306953">
        <w:rPr>
          <w:rFonts w:eastAsia="ChaparralPro-Regular" w:cs="Arial"/>
        </w:rPr>
        <w:t>Education</w:t>
      </w:r>
      <w:proofErr w:type="spellEnd"/>
      <w:r w:rsidR="00306953" w:rsidRPr="00306953">
        <w:rPr>
          <w:rFonts w:eastAsia="ChaparralPro-Regular" w:cs="Arial"/>
        </w:rPr>
        <w:t xml:space="preserve"> </w:t>
      </w:r>
      <w:proofErr w:type="spellStart"/>
      <w:r w:rsidR="00306953" w:rsidRPr="00306953">
        <w:rPr>
          <w:rFonts w:eastAsia="ChaparralPro-Regular" w:cs="Arial"/>
        </w:rPr>
        <w:t>at</w:t>
      </w:r>
      <w:proofErr w:type="spellEnd"/>
      <w:r w:rsidR="00306953" w:rsidRPr="00306953">
        <w:rPr>
          <w:rFonts w:eastAsia="ChaparralPro-Regular" w:cs="Arial"/>
        </w:rPr>
        <w:t xml:space="preserve"> a </w:t>
      </w:r>
      <w:proofErr w:type="spellStart"/>
      <w:r w:rsidR="00306953" w:rsidRPr="00306953">
        <w:rPr>
          <w:rFonts w:eastAsia="ChaparralPro-Regular" w:cs="Arial"/>
        </w:rPr>
        <w:t>Glance</w:t>
      </w:r>
      <w:proofErr w:type="spellEnd"/>
      <w:r w:rsidR="00306953" w:rsidRPr="00306953">
        <w:rPr>
          <w:rFonts w:eastAsia="ChaparralPro-Regular" w:cs="Arial"/>
        </w:rPr>
        <w:t xml:space="preserve"> velikost populace </w:t>
      </w:r>
      <w:r w:rsidR="00052582">
        <w:rPr>
          <w:rFonts w:eastAsia="ChaparralPro-Regular" w:cs="Arial"/>
        </w:rPr>
        <w:t>dané země ve věku odpovídajícím</w:t>
      </w:r>
      <w:r w:rsidR="00306953" w:rsidRPr="00306953">
        <w:rPr>
          <w:rFonts w:eastAsia="ChaparralPro-Regular" w:cs="Arial"/>
        </w:rPr>
        <w:t xml:space="preserve"> počátečnímu vzdělávání, počet osob přihlášených ke studiu, výše platů učitelů a výdajů vzdělávacích organizací i způsob poskytování výuky. Ve vzdělávání na úrovni primární a nižší sekundární (která zhruba odpovídá populaci ve věku 5–14 let) je v zemích OECD podíl osob přihlášených ke studiu pochopitelně blízko 100 % a změny v počtu žáků/studentů jsou úzce spojeny s demografickými změnami. To již zcela neplatí pro úroveň vyššího sekundárního a terciárního vzdělávání, protože část dané populační kohorty již ve vzdělávání nepokračuje (viz indikátor C1 v publikaci </w:t>
      </w:r>
      <w:proofErr w:type="spellStart"/>
      <w:r w:rsidR="00306953" w:rsidRPr="00306953">
        <w:rPr>
          <w:rFonts w:eastAsia="ChaparralPro-Regular" w:cs="Arial"/>
        </w:rPr>
        <w:t>Education</w:t>
      </w:r>
      <w:proofErr w:type="spellEnd"/>
      <w:r w:rsidR="00306953" w:rsidRPr="00306953">
        <w:rPr>
          <w:rFonts w:eastAsia="ChaparralPro-Regular" w:cs="Arial"/>
        </w:rPr>
        <w:t xml:space="preserve"> </w:t>
      </w:r>
      <w:proofErr w:type="spellStart"/>
      <w:r w:rsidR="00306953" w:rsidRPr="00306953">
        <w:rPr>
          <w:rFonts w:eastAsia="ChaparralPro-Regular" w:cs="Arial"/>
        </w:rPr>
        <w:t>at</w:t>
      </w:r>
      <w:proofErr w:type="spellEnd"/>
      <w:r w:rsidR="00306953" w:rsidRPr="00306953">
        <w:rPr>
          <w:rFonts w:eastAsia="ChaparralPro-Regular" w:cs="Arial"/>
        </w:rPr>
        <w:t xml:space="preserve"> a </w:t>
      </w:r>
      <w:proofErr w:type="spellStart"/>
      <w:r w:rsidR="00306953" w:rsidRPr="00306953">
        <w:rPr>
          <w:rFonts w:eastAsia="ChaparralPro-Regular" w:cs="Arial"/>
        </w:rPr>
        <w:t>Glance</w:t>
      </w:r>
      <w:proofErr w:type="spellEnd"/>
      <w:r w:rsidR="00306953" w:rsidRPr="00306953">
        <w:rPr>
          <w:rFonts w:eastAsia="ChaparralPro-Regular" w:cs="Arial"/>
        </w:rPr>
        <w:t>). (</w:t>
      </w:r>
      <w:hyperlink r:id="rId50" w:history="1">
        <w:r w:rsidR="00306953" w:rsidRPr="00306953">
          <w:rPr>
            <w:rStyle w:val="Hypertextovodkaz"/>
            <w:rFonts w:eastAsia="ChaparralPro-Regular" w:cs="Arial"/>
          </w:rPr>
          <w:t>OECD 2015</w:t>
        </w:r>
      </w:hyperlink>
      <w:r w:rsidR="00306953" w:rsidRPr="00306953">
        <w:rPr>
          <w:rFonts w:eastAsia="ChaparralPro-Regular" w:cs="Arial"/>
        </w:rPr>
        <w:t>, s. 226).</w:t>
      </w:r>
    </w:p>
    <w:p w:rsidR="00306953" w:rsidRPr="00306953" w:rsidRDefault="00306953" w:rsidP="00306953">
      <w:pPr>
        <w:widowControl w:val="0"/>
        <w:autoSpaceDE w:val="0"/>
        <w:autoSpaceDN w:val="0"/>
        <w:adjustRightInd w:val="0"/>
        <w:spacing w:after="120" w:line="240" w:lineRule="auto"/>
        <w:jc w:val="both"/>
        <w:rPr>
          <w:rFonts w:eastAsia="ChaparralPro-Regular" w:cs="Arial"/>
        </w:rPr>
      </w:pPr>
      <w:r w:rsidRPr="00306953">
        <w:rPr>
          <w:rFonts w:eastAsia="ChaparralPro-Regular" w:cs="Arial"/>
        </w:rPr>
        <w:t xml:space="preserve">Graf č. 1 nabízí mezinárodní srovnání podílu výdajů na </w:t>
      </w:r>
      <w:r w:rsidRPr="00306953">
        <w:rPr>
          <w:rFonts w:eastAsia="ChaparralPro-Regular" w:cs="Arial"/>
          <w:i/>
        </w:rPr>
        <w:t>formální vzdělávání</w:t>
      </w:r>
      <w:r w:rsidRPr="00306953">
        <w:rPr>
          <w:rFonts w:eastAsia="ChaparralPro-Regular" w:cs="Arial"/>
        </w:rPr>
        <w:t xml:space="preserve"> </w:t>
      </w:r>
      <w:r w:rsidRPr="00306953">
        <w:rPr>
          <w:rFonts w:eastAsia="ChaparralPro-Regular" w:cs="Arial"/>
          <w:i/>
        </w:rPr>
        <w:t>primární až terciární úrovně</w:t>
      </w:r>
      <w:r w:rsidRPr="00306953">
        <w:rPr>
          <w:rFonts w:eastAsia="ChaparralPro-Regular" w:cs="Arial"/>
        </w:rPr>
        <w:t xml:space="preserve"> ze státního rozpočtu té které země. </w:t>
      </w:r>
      <w:r w:rsidRPr="00306953">
        <w:rPr>
          <w:rFonts w:cs="Arial"/>
        </w:rPr>
        <w:t xml:space="preserve">V tomto ukazateli jsou již v čitateli zohledněny pouze </w:t>
      </w:r>
      <w:r w:rsidRPr="00306953">
        <w:rPr>
          <w:rFonts w:cs="Arial"/>
          <w:b/>
        </w:rPr>
        <w:t xml:space="preserve">veřejné výdaje na služby a zboží související s vlastním vzděláváním v institucích poskytujících formální vzdělávání, dále na doprovodné služby a výzkum a vývoj na vysokých školách, </w:t>
      </w:r>
      <w:r w:rsidRPr="00017052">
        <w:rPr>
          <w:rFonts w:cs="Arial"/>
        </w:rPr>
        <w:t xml:space="preserve">neboli </w:t>
      </w:r>
      <w:r w:rsidR="00017052" w:rsidRPr="00017052">
        <w:rPr>
          <w:rFonts w:cs="Arial"/>
        </w:rPr>
        <w:t>v případě České republiky</w:t>
      </w:r>
      <w:r w:rsidR="00017052">
        <w:rPr>
          <w:rFonts w:cs="Arial"/>
          <w:b/>
        </w:rPr>
        <w:t xml:space="preserve"> </w:t>
      </w:r>
      <w:r w:rsidRPr="00306953">
        <w:rPr>
          <w:rFonts w:eastAsia="ChaparralPro-Regular" w:cs="Arial"/>
        </w:rPr>
        <w:t>výdaje klasifikované v paragrafech skupin 31 a 32 (vzdělávání) v rozpočtu kapitol 333 a 700 (nejsou zde tedy zahrnuty např. výdaje na sportov</w:t>
      </w:r>
      <w:r w:rsidRPr="00306953">
        <w:rPr>
          <w:rFonts w:cs="Arial"/>
        </w:rPr>
        <w:t xml:space="preserve">ní reprezentaci či podporu činnosti v oblasti mládeže, příp. výzkum a vývoj realizovaný mimo vysoké školy).  Graf je převzatý z publikace </w:t>
      </w:r>
      <w:proofErr w:type="spellStart"/>
      <w:r w:rsidRPr="00306953">
        <w:rPr>
          <w:rFonts w:cs="Arial"/>
        </w:rPr>
        <w:t>Education</w:t>
      </w:r>
      <w:proofErr w:type="spellEnd"/>
      <w:r w:rsidRPr="00306953">
        <w:rPr>
          <w:rFonts w:cs="Arial"/>
        </w:rPr>
        <w:t xml:space="preserve"> </w:t>
      </w:r>
      <w:proofErr w:type="spellStart"/>
      <w:r w:rsidRPr="00306953">
        <w:rPr>
          <w:rFonts w:cs="Arial"/>
        </w:rPr>
        <w:t>at</w:t>
      </w:r>
      <w:proofErr w:type="spellEnd"/>
      <w:r w:rsidRPr="00306953">
        <w:rPr>
          <w:rFonts w:cs="Arial"/>
        </w:rPr>
        <w:t xml:space="preserve"> a </w:t>
      </w:r>
      <w:proofErr w:type="spellStart"/>
      <w:r w:rsidRPr="00306953">
        <w:rPr>
          <w:rFonts w:cs="Arial"/>
        </w:rPr>
        <w:t>Glance</w:t>
      </w:r>
      <w:proofErr w:type="spellEnd"/>
      <w:r w:rsidRPr="00306953">
        <w:rPr>
          <w:rFonts w:cs="Arial"/>
        </w:rPr>
        <w:t xml:space="preserve"> (</w:t>
      </w:r>
      <w:hyperlink r:id="rId51" w:history="1">
        <w:r w:rsidRPr="00306953">
          <w:rPr>
            <w:rStyle w:val="Hypertextovodkaz"/>
            <w:rFonts w:cs="Arial"/>
          </w:rPr>
          <w:t>OECD, 2015</w:t>
        </w:r>
      </w:hyperlink>
      <w:r w:rsidRPr="00306953">
        <w:rPr>
          <w:rFonts w:cs="Arial"/>
        </w:rPr>
        <w:t xml:space="preserve">), kde je navíc uvedeno, že ve výdajích jednotlivých zemí na formální vzdělávání </w:t>
      </w:r>
      <w:r w:rsidRPr="00306953">
        <w:rPr>
          <w:rFonts w:cs="Arial"/>
          <w:b/>
        </w:rPr>
        <w:t xml:space="preserve">nejsou zohledněny platby na splácení </w:t>
      </w:r>
      <w:r w:rsidRPr="00306953">
        <w:rPr>
          <w:rFonts w:eastAsia="ChaparralPro-Regular" w:cs="Arial"/>
          <w:b/>
        </w:rPr>
        <w:t>půjček na toto vzdělávání</w:t>
      </w:r>
      <w:r w:rsidRPr="00306953">
        <w:rPr>
          <w:rFonts w:cs="Arial"/>
        </w:rPr>
        <w:t xml:space="preserve">, </w:t>
      </w:r>
      <w:r w:rsidR="00017052">
        <w:rPr>
          <w:rFonts w:eastAsia="ChaparralPro-Regular" w:cs="Arial"/>
        </w:rPr>
        <w:t>neboť některé země nedokážou</w:t>
      </w:r>
      <w:r w:rsidRPr="00306953">
        <w:rPr>
          <w:rFonts w:eastAsia="ChaparralPro-Regular" w:cs="Arial"/>
        </w:rPr>
        <w:t xml:space="preserve"> oddělit částku věnovanou na splácení úroků za půjčky na vzdělávání od částky věnované na splácení úroků za půjčky na další služby (celkové splátky půjček však jsou zahrnuty do celkových veřejných výdajů, což může způsobovat podhodnocení podílu výdajů na formální vzdělávání z celkových výdajů státního rozpočtu v některých zemích). (</w:t>
      </w:r>
      <w:hyperlink r:id="rId52" w:history="1">
        <w:r w:rsidRPr="00306953">
          <w:rPr>
            <w:rStyle w:val="Hypertextovodkaz"/>
            <w:rFonts w:eastAsia="ChaparralPro-Regular" w:cs="Arial"/>
          </w:rPr>
          <w:t>OECD 2015</w:t>
        </w:r>
      </w:hyperlink>
      <w:r w:rsidRPr="00306953">
        <w:rPr>
          <w:rFonts w:eastAsia="ChaparralPro-Regular" w:cs="Arial"/>
        </w:rPr>
        <w:t xml:space="preserve">, s. 258). </w:t>
      </w:r>
    </w:p>
    <w:p w:rsidR="00306953" w:rsidRDefault="00306953" w:rsidP="009F2B95">
      <w:pPr>
        <w:keepNext/>
        <w:widowControl w:val="0"/>
        <w:autoSpaceDE w:val="0"/>
        <w:autoSpaceDN w:val="0"/>
        <w:adjustRightInd w:val="0"/>
        <w:spacing w:after="120" w:line="240" w:lineRule="auto"/>
        <w:jc w:val="both"/>
        <w:rPr>
          <w:rFonts w:eastAsia="ChaparralPro-Regular" w:cs="Arial"/>
          <w:b/>
          <w:szCs w:val="20"/>
        </w:rPr>
      </w:pPr>
      <w:r w:rsidRPr="00306953">
        <w:rPr>
          <w:rFonts w:eastAsia="ChaparralPro-Regular" w:cs="Arial"/>
          <w:b/>
          <w:bCs/>
          <w:szCs w:val="20"/>
        </w:rPr>
        <w:t xml:space="preserve">Graf č. 1 </w:t>
      </w:r>
      <w:r w:rsidRPr="00306953">
        <w:rPr>
          <w:rFonts w:eastAsia="ChaparralPro-Regular" w:cs="Arial"/>
          <w:b/>
          <w:szCs w:val="20"/>
        </w:rPr>
        <w:t>Celkové veřejné výdaje na vzdělávání primární až terciární úrovně jakožto podíl celkových veřejných výdajů (2005, 2008, 2012)</w:t>
      </w:r>
    </w:p>
    <w:p w:rsidR="00A91F95" w:rsidRDefault="00BA5EE1" w:rsidP="009F2B95">
      <w:pPr>
        <w:keepNext/>
        <w:widowControl w:val="0"/>
        <w:autoSpaceDE w:val="0"/>
        <w:autoSpaceDN w:val="0"/>
        <w:adjustRightInd w:val="0"/>
        <w:spacing w:after="120" w:line="240" w:lineRule="auto"/>
        <w:jc w:val="both"/>
        <w:rPr>
          <w:rFonts w:eastAsia="ChaparralPro-Regular" w:cs="Arial"/>
          <w:b/>
          <w:szCs w:val="20"/>
        </w:rPr>
      </w:pPr>
      <w:r w:rsidRPr="00984E22">
        <w:rPr>
          <w:rFonts w:eastAsia="ChaparralPro-Regular" w:cs="Arial"/>
          <w:b/>
          <w:noProof/>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5pt;height:269.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OvOU93AAAAAUBAAAPAAAAZHJzL2Rvd25y&#10;ZXYueG1sTI9BS8NAEIXvgv9hmUJvdtNqShuzKRIpiLc2Huxtmh2TkOxsyG6b9N+7etHLwOM93vsm&#10;3U2mE1caXGNZwXIRgSAurW64UvBR7B82IJxH1thZJgU3crDL7u9STLQd+UDXo69EKGGXoILa+z6R&#10;0pU1GXQL2xMH78sOBn2QQyX1gGMoN51cRdFaGmw4LNTYU15T2R4vRsHrui9Ob23xiVO+es9vh5Fs&#10;Wyk1n00vzyA8Tf4vDD/4AR2ywHS2F9ZOdArCI/73Bm/7FMUgzgrix00MMkvlf/rsGw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">
            <v:imagedata r:id="rId53" o:title="" croptop="-492f" cropbottom="-3795f" cropleft="-756f" cropright="-806f"/>
            <o:lock v:ext="edit" aspectratio="f"/>
          </v:shape>
        </w:pict>
      </w:r>
    </w:p>
    <w:p w:rsidR="00306953" w:rsidRPr="00306953" w:rsidRDefault="00306953" w:rsidP="00306953">
      <w:pPr>
        <w:widowControl w:val="0"/>
        <w:spacing w:after="0" w:line="240" w:lineRule="auto"/>
        <w:jc w:val="both"/>
        <w:rPr>
          <w:rFonts w:eastAsia="ChaparralPro-Regular" w:cs="Arial"/>
          <w:sz w:val="16"/>
          <w:szCs w:val="16"/>
        </w:rPr>
      </w:pPr>
      <w:r w:rsidRPr="00306953">
        <w:rPr>
          <w:rFonts w:eastAsia="ChaparralPro-Regular" w:cs="Arial"/>
          <w:i/>
          <w:sz w:val="16"/>
          <w:szCs w:val="16"/>
        </w:rPr>
        <w:t>Pozn.: Země jsou řazeny v sestupné posloupnosti podle podílu, který v roce 2012 tvořily celkové veřejné výdaje na primární až terciární vzdělávání ze všech veřejných výdajů.</w:t>
      </w:r>
    </w:p>
    <w:p w:rsidR="00306953" w:rsidRPr="00306953" w:rsidRDefault="00306953" w:rsidP="00306953">
      <w:pPr>
        <w:pStyle w:val="Default"/>
        <w:rPr>
          <w:rFonts w:ascii="Arial" w:eastAsia="ChaparralPro-Regular" w:hAnsi="Arial" w:cs="Arial"/>
          <w:color w:val="auto"/>
          <w:sz w:val="16"/>
          <w:szCs w:val="16"/>
        </w:rPr>
      </w:pPr>
      <w:r w:rsidRPr="00306953">
        <w:rPr>
          <w:rFonts w:ascii="Arial" w:eastAsia="ChaparralPro-Regular" w:hAnsi="Arial" w:cs="Arial"/>
          <w:color w:val="auto"/>
          <w:sz w:val="16"/>
          <w:szCs w:val="16"/>
        </w:rPr>
        <w:t xml:space="preserve">Zdroj: OECD 2015, graf B 4.1, příp. tabulka B4.2. StatLink: </w:t>
      </w:r>
      <w:hyperlink r:id="rId54" w:history="1">
        <w:r w:rsidRPr="00306953">
          <w:rPr>
            <w:rStyle w:val="Hypertextovodkaz"/>
            <w:rFonts w:ascii="Arial" w:eastAsia="ChaparralPro-Regular" w:hAnsi="Arial" w:cs="Arial"/>
            <w:sz w:val="16"/>
            <w:szCs w:val="16"/>
          </w:rPr>
          <w:t>http://dx.doi.org/10.1787/888933284022</w:t>
        </w:r>
      </w:hyperlink>
      <w:r w:rsidRPr="00306953">
        <w:rPr>
          <w:rFonts w:ascii="Arial" w:eastAsia="ChaparralPro-Regular" w:hAnsi="Arial" w:cs="Arial"/>
          <w:color w:val="auto"/>
          <w:sz w:val="16"/>
          <w:szCs w:val="16"/>
        </w:rPr>
        <w:t xml:space="preserve"> </w:t>
      </w:r>
    </w:p>
    <w:p w:rsidR="00306953" w:rsidRPr="00306953" w:rsidRDefault="00306953" w:rsidP="00306953">
      <w:pPr>
        <w:pStyle w:val="Default"/>
        <w:rPr>
          <w:rFonts w:ascii="Arial" w:hAnsi="Arial" w:cs="Arial"/>
          <w:sz w:val="12"/>
          <w:szCs w:val="12"/>
        </w:rPr>
      </w:pPr>
    </w:p>
    <w:p w:rsidR="00306953" w:rsidRPr="00306953" w:rsidRDefault="00306953" w:rsidP="00306953">
      <w:pPr>
        <w:spacing w:after="120" w:line="240" w:lineRule="auto"/>
        <w:jc w:val="both"/>
        <w:rPr>
          <w:rFonts w:cs="Arial"/>
        </w:rPr>
      </w:pPr>
      <w:r w:rsidRPr="00306953">
        <w:rPr>
          <w:rFonts w:eastAsia="ChaparralPro-Regular" w:cs="Arial"/>
        </w:rPr>
        <w:t xml:space="preserve">Z grafu č. 1 vyplývá, že </w:t>
      </w:r>
      <w:r w:rsidRPr="00306953">
        <w:rPr>
          <w:rFonts w:eastAsia="ChaparralPro-Regular" w:cs="Arial"/>
          <w:b/>
          <w:i/>
        </w:rPr>
        <w:t>v ČR byl v mezinárodním srovnání na formální vzdělávání primární až terciární úrovně dlouhodobě věnován z veřejných rozpočtů podprůměrný podíl financí</w:t>
      </w:r>
      <w:r w:rsidRPr="00306953">
        <w:rPr>
          <w:rFonts w:eastAsia="ChaparralPro-Regular" w:cs="Arial"/>
        </w:rPr>
        <w:t xml:space="preserve"> (za rok 2012 je to 8,9 % oproti 11,6 % v průměru za země OECD), který byl např. v sousedním Polsku a také ve Finsku vyšší (10,3 %, resp. 11,2 %). </w:t>
      </w:r>
      <w:r w:rsidR="0077049F">
        <w:rPr>
          <w:rFonts w:eastAsia="ChaparralPro-Regular" w:cs="Arial"/>
        </w:rPr>
        <w:t xml:space="preserve">Lze si však všimnout, že oproti těmto dvěma zemím v ČR podíl veřejných výdajů věnovaný na primární až terciární vzdělávání v uvedených letech stoupal. </w:t>
      </w:r>
      <w:r w:rsidRPr="00306953">
        <w:rPr>
          <w:rFonts w:eastAsia="ChaparralPro-Regular" w:cs="Arial"/>
        </w:rPr>
        <w:t xml:space="preserve">Z Evropských zemí věnovaly </w:t>
      </w:r>
      <w:r w:rsidRPr="00306953">
        <w:rPr>
          <w:rFonts w:eastAsia="ChaparralPro-Regular" w:cs="Arial"/>
        </w:rPr>
        <w:lastRenderedPageBreak/>
        <w:t>v roce 2012 nejvyšší podíl financí ze státního rozpočtu na vzdělávání Švýcarsko, Irsko, Norsko a Island (14 % –15,3 %).</w:t>
      </w:r>
    </w:p>
    <w:p w:rsidR="00306953" w:rsidRPr="00306953" w:rsidRDefault="00306953" w:rsidP="00306953">
      <w:pPr>
        <w:autoSpaceDE w:val="0"/>
        <w:autoSpaceDN w:val="0"/>
        <w:adjustRightInd w:val="0"/>
        <w:spacing w:after="120" w:line="240" w:lineRule="auto"/>
        <w:jc w:val="both"/>
        <w:rPr>
          <w:rFonts w:eastAsia="ChaparralPro-Regular" w:cs="Arial"/>
        </w:rPr>
      </w:pPr>
      <w:r w:rsidRPr="00306953">
        <w:rPr>
          <w:rFonts w:eastAsia="ChaparralPro-Regular" w:cs="Arial"/>
        </w:rPr>
        <w:t>Následující tabulka převzatá z publikace Education at a Gla</w:t>
      </w:r>
      <w:r w:rsidR="009D2BD9">
        <w:rPr>
          <w:rFonts w:eastAsia="ChaparralPro-Regular" w:cs="Arial"/>
        </w:rPr>
        <w:t>nce ukazuje vývoj výsledků za Českou republiku</w:t>
      </w:r>
      <w:r w:rsidRPr="00306953">
        <w:rPr>
          <w:rFonts w:eastAsia="ChaparralPro-Regular" w:cs="Arial"/>
        </w:rPr>
        <w:t>, za další vybrané země a mezinárodní průměry v letech 2000 až 2012:</w:t>
      </w:r>
    </w:p>
    <w:p w:rsidR="00306953" w:rsidRPr="00306953" w:rsidRDefault="00283E06" w:rsidP="00264CB0">
      <w:pPr>
        <w:keepNext/>
        <w:autoSpaceDE w:val="0"/>
        <w:autoSpaceDN w:val="0"/>
        <w:adjustRightInd w:val="0"/>
        <w:spacing w:after="0" w:line="240" w:lineRule="auto"/>
        <w:jc w:val="both"/>
        <w:rPr>
          <w:rFonts w:eastAsia="ChaparralPro-Regular" w:cs="Arial"/>
        </w:rPr>
      </w:pPr>
      <w:r>
        <w:rPr>
          <w:rFonts w:eastAsia="ChaparralPro-Regular" w:cs="Arial"/>
        </w:rPr>
        <w:t xml:space="preserve">Tabulka č. 4 </w:t>
      </w:r>
      <w:r w:rsidR="00306953" w:rsidRPr="00306953">
        <w:rPr>
          <w:rFonts w:eastAsia="ChaparralPro-Regular" w:cs="Arial"/>
          <w:b/>
        </w:rPr>
        <w:t>Vývoj celkových veřejných výdajů na formální vzdělávání na primární až terciární úrovni (2000 až 2012)</w:t>
      </w:r>
    </w:p>
    <w:p w:rsidR="00306953" w:rsidRPr="00306953" w:rsidRDefault="00306953" w:rsidP="00264CB0">
      <w:pPr>
        <w:keepNext/>
        <w:autoSpaceDE w:val="0"/>
        <w:autoSpaceDN w:val="0"/>
        <w:adjustRightInd w:val="0"/>
        <w:spacing w:after="120" w:line="240" w:lineRule="auto"/>
        <w:jc w:val="both"/>
        <w:rPr>
          <w:rFonts w:eastAsia="ChaparralPro-Regular" w:cs="Arial"/>
          <w:i/>
          <w:szCs w:val="20"/>
        </w:rPr>
      </w:pPr>
      <w:r w:rsidRPr="00306953">
        <w:rPr>
          <w:rFonts w:eastAsia="ChaparralPro-Regular" w:cs="Arial"/>
          <w:i/>
          <w:szCs w:val="20"/>
        </w:rPr>
        <w:t>Přímé veřejné výdaje na vzdělávací instituce a veřejné dotace domácnostem a jiným soukromým institucím jakožto podíl z celkových veřejných výdajů a jakožto podíl z HDP uvedených zemí, souhrnně za primární až terciární úroveň vzdělávání, po jednotlivých sledovaných rocích, v %</w:t>
      </w:r>
    </w:p>
    <w:tbl>
      <w:tblPr>
        <w:tblW w:w="9293" w:type="dxa"/>
        <w:tblInd w:w="55"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CellMar>
          <w:left w:w="70" w:type="dxa"/>
          <w:right w:w="70" w:type="dxa"/>
        </w:tblCellMar>
        <w:tblLook w:val="04A0"/>
      </w:tblPr>
      <w:tblGrid>
        <w:gridCol w:w="1986"/>
        <w:gridCol w:w="1573"/>
        <w:gridCol w:w="1104"/>
        <w:gridCol w:w="926"/>
        <w:gridCol w:w="926"/>
        <w:gridCol w:w="926"/>
        <w:gridCol w:w="926"/>
        <w:gridCol w:w="926"/>
      </w:tblGrid>
      <w:tr w:rsidR="00306953" w:rsidRPr="00306953" w:rsidTr="00BF267F">
        <w:trPr>
          <w:trHeight w:val="275"/>
        </w:trPr>
        <w:tc>
          <w:tcPr>
            <w:tcW w:w="3559" w:type="dxa"/>
            <w:gridSpan w:val="2"/>
            <w:tcBorders>
              <w:top w:val="double" w:sz="4" w:space="0" w:color="auto"/>
              <w:bottom w:val="double" w:sz="4" w:space="0" w:color="auto"/>
            </w:tcBorders>
            <w:shd w:val="clear" w:color="auto" w:fill="FFCCCC"/>
            <w:noWrap/>
            <w:vAlign w:val="center"/>
            <w:hideMark/>
          </w:tcPr>
          <w:p w:rsidR="00306953" w:rsidRPr="00306953" w:rsidRDefault="00306953" w:rsidP="00306953">
            <w:pPr>
              <w:keepNext/>
              <w:spacing w:after="0" w:line="240" w:lineRule="auto"/>
              <w:rPr>
                <w:rFonts w:cs="Arial"/>
                <w:b/>
                <w:bCs/>
                <w:color w:val="000000"/>
                <w:sz w:val="16"/>
                <w:szCs w:val="16"/>
              </w:rPr>
            </w:pPr>
            <w:r w:rsidRPr="00306953">
              <w:rPr>
                <w:rFonts w:cs="Arial"/>
                <w:b/>
                <w:bCs/>
                <w:color w:val="000000"/>
                <w:sz w:val="16"/>
                <w:szCs w:val="16"/>
              </w:rPr>
              <w:t> </w:t>
            </w:r>
          </w:p>
        </w:tc>
        <w:tc>
          <w:tcPr>
            <w:tcW w:w="1104" w:type="dxa"/>
            <w:tcBorders>
              <w:top w:val="double" w:sz="4" w:space="0" w:color="auto"/>
              <w:bottom w:val="double" w:sz="4" w:space="0" w:color="auto"/>
            </w:tcBorders>
            <w:shd w:val="clear" w:color="auto" w:fill="FFCCCC"/>
            <w:vAlign w:val="center"/>
            <w:hideMark/>
          </w:tcPr>
          <w:p w:rsidR="00306953" w:rsidRPr="00306953" w:rsidRDefault="00306953" w:rsidP="00306953">
            <w:pPr>
              <w:keepNext/>
              <w:spacing w:after="0" w:line="240" w:lineRule="auto"/>
              <w:jc w:val="center"/>
              <w:rPr>
                <w:rFonts w:cs="Arial"/>
                <w:b/>
                <w:bCs/>
                <w:color w:val="000000"/>
                <w:sz w:val="16"/>
                <w:szCs w:val="16"/>
              </w:rPr>
            </w:pPr>
            <w:r w:rsidRPr="00306953">
              <w:rPr>
                <w:rFonts w:cs="Arial"/>
                <w:b/>
                <w:bCs/>
                <w:color w:val="000000"/>
                <w:sz w:val="16"/>
                <w:szCs w:val="16"/>
              </w:rPr>
              <w:t>2000</w:t>
            </w:r>
          </w:p>
        </w:tc>
        <w:tc>
          <w:tcPr>
            <w:tcW w:w="926" w:type="dxa"/>
            <w:tcBorders>
              <w:top w:val="double" w:sz="4" w:space="0" w:color="auto"/>
              <w:bottom w:val="double" w:sz="4" w:space="0" w:color="auto"/>
            </w:tcBorders>
            <w:shd w:val="clear" w:color="auto" w:fill="FFCCCC"/>
            <w:vAlign w:val="center"/>
            <w:hideMark/>
          </w:tcPr>
          <w:p w:rsidR="00306953" w:rsidRPr="00306953" w:rsidRDefault="00306953" w:rsidP="00306953">
            <w:pPr>
              <w:keepNext/>
              <w:spacing w:after="0" w:line="240" w:lineRule="auto"/>
              <w:jc w:val="center"/>
              <w:rPr>
                <w:rFonts w:cs="Arial"/>
                <w:b/>
                <w:bCs/>
                <w:color w:val="000000"/>
                <w:sz w:val="16"/>
                <w:szCs w:val="16"/>
              </w:rPr>
            </w:pPr>
            <w:r w:rsidRPr="00306953">
              <w:rPr>
                <w:rFonts w:cs="Arial"/>
                <w:b/>
                <w:bCs/>
                <w:color w:val="000000"/>
                <w:sz w:val="16"/>
                <w:szCs w:val="16"/>
              </w:rPr>
              <w:t>2005</w:t>
            </w:r>
          </w:p>
        </w:tc>
        <w:tc>
          <w:tcPr>
            <w:tcW w:w="926" w:type="dxa"/>
            <w:tcBorders>
              <w:top w:val="double" w:sz="4" w:space="0" w:color="auto"/>
              <w:bottom w:val="double" w:sz="4" w:space="0" w:color="auto"/>
            </w:tcBorders>
            <w:shd w:val="clear" w:color="auto" w:fill="FFCCCC"/>
            <w:vAlign w:val="center"/>
            <w:hideMark/>
          </w:tcPr>
          <w:p w:rsidR="00306953" w:rsidRPr="00306953" w:rsidRDefault="00306953" w:rsidP="00306953">
            <w:pPr>
              <w:keepNext/>
              <w:spacing w:after="0" w:line="240" w:lineRule="auto"/>
              <w:jc w:val="center"/>
              <w:rPr>
                <w:rFonts w:cs="Arial"/>
                <w:b/>
                <w:bCs/>
                <w:color w:val="000000"/>
                <w:sz w:val="16"/>
                <w:szCs w:val="16"/>
              </w:rPr>
            </w:pPr>
            <w:r w:rsidRPr="00306953">
              <w:rPr>
                <w:rFonts w:cs="Arial"/>
                <w:b/>
                <w:bCs/>
                <w:color w:val="000000"/>
                <w:sz w:val="16"/>
                <w:szCs w:val="16"/>
              </w:rPr>
              <w:t>2008</w:t>
            </w:r>
          </w:p>
        </w:tc>
        <w:tc>
          <w:tcPr>
            <w:tcW w:w="926" w:type="dxa"/>
            <w:tcBorders>
              <w:top w:val="double" w:sz="4" w:space="0" w:color="auto"/>
              <w:bottom w:val="double" w:sz="4" w:space="0" w:color="auto"/>
            </w:tcBorders>
            <w:shd w:val="clear" w:color="auto" w:fill="FFCCCC"/>
            <w:vAlign w:val="center"/>
            <w:hideMark/>
          </w:tcPr>
          <w:p w:rsidR="00306953" w:rsidRPr="00306953" w:rsidRDefault="00306953" w:rsidP="00306953">
            <w:pPr>
              <w:keepNext/>
              <w:spacing w:after="0" w:line="240" w:lineRule="auto"/>
              <w:jc w:val="center"/>
              <w:rPr>
                <w:rFonts w:cs="Arial"/>
                <w:b/>
                <w:bCs/>
                <w:color w:val="000000"/>
                <w:sz w:val="16"/>
                <w:szCs w:val="16"/>
              </w:rPr>
            </w:pPr>
            <w:r w:rsidRPr="00306953">
              <w:rPr>
                <w:rFonts w:cs="Arial"/>
                <w:b/>
                <w:bCs/>
                <w:color w:val="000000"/>
                <w:sz w:val="16"/>
                <w:szCs w:val="16"/>
              </w:rPr>
              <w:t>2010</w:t>
            </w:r>
          </w:p>
        </w:tc>
        <w:tc>
          <w:tcPr>
            <w:tcW w:w="926" w:type="dxa"/>
            <w:tcBorders>
              <w:top w:val="double" w:sz="4" w:space="0" w:color="auto"/>
              <w:bottom w:val="double" w:sz="4" w:space="0" w:color="auto"/>
            </w:tcBorders>
            <w:shd w:val="clear" w:color="auto" w:fill="FFCCCC"/>
            <w:vAlign w:val="center"/>
            <w:hideMark/>
          </w:tcPr>
          <w:p w:rsidR="00306953" w:rsidRPr="00306953" w:rsidRDefault="00306953" w:rsidP="00306953">
            <w:pPr>
              <w:keepNext/>
              <w:spacing w:after="0" w:line="240" w:lineRule="auto"/>
              <w:jc w:val="center"/>
              <w:rPr>
                <w:rFonts w:cs="Arial"/>
                <w:b/>
                <w:bCs/>
                <w:color w:val="000000"/>
                <w:sz w:val="16"/>
                <w:szCs w:val="16"/>
              </w:rPr>
            </w:pPr>
            <w:r w:rsidRPr="00306953">
              <w:rPr>
                <w:rFonts w:cs="Arial"/>
                <w:b/>
                <w:bCs/>
                <w:color w:val="000000"/>
                <w:sz w:val="16"/>
                <w:szCs w:val="16"/>
              </w:rPr>
              <w:t>2011</w:t>
            </w:r>
          </w:p>
        </w:tc>
        <w:tc>
          <w:tcPr>
            <w:tcW w:w="926" w:type="dxa"/>
            <w:tcBorders>
              <w:top w:val="double" w:sz="4" w:space="0" w:color="auto"/>
              <w:bottom w:val="double" w:sz="4" w:space="0" w:color="auto"/>
            </w:tcBorders>
            <w:shd w:val="clear" w:color="auto" w:fill="FFCCCC"/>
            <w:vAlign w:val="center"/>
            <w:hideMark/>
          </w:tcPr>
          <w:p w:rsidR="00306953" w:rsidRPr="00306953" w:rsidRDefault="00306953" w:rsidP="00306953">
            <w:pPr>
              <w:keepNext/>
              <w:spacing w:after="0" w:line="240" w:lineRule="auto"/>
              <w:jc w:val="center"/>
              <w:rPr>
                <w:rFonts w:cs="Arial"/>
                <w:b/>
                <w:bCs/>
                <w:color w:val="000000"/>
                <w:sz w:val="16"/>
                <w:szCs w:val="16"/>
              </w:rPr>
            </w:pPr>
            <w:r w:rsidRPr="00306953">
              <w:rPr>
                <w:rFonts w:cs="Arial"/>
                <w:b/>
                <w:bCs/>
                <w:color w:val="000000"/>
                <w:sz w:val="16"/>
                <w:szCs w:val="16"/>
              </w:rPr>
              <w:t>2012</w:t>
            </w:r>
          </w:p>
        </w:tc>
      </w:tr>
      <w:tr w:rsidR="00306953" w:rsidRPr="00306953" w:rsidTr="00BF267F">
        <w:trPr>
          <w:trHeight w:val="288"/>
        </w:trPr>
        <w:tc>
          <w:tcPr>
            <w:tcW w:w="1986" w:type="dxa"/>
            <w:vMerge w:val="restart"/>
            <w:tcBorders>
              <w:top w:val="double" w:sz="4" w:space="0" w:color="auto"/>
            </w:tcBorders>
            <w:shd w:val="clear" w:color="auto" w:fill="auto"/>
            <w:vAlign w:val="center"/>
            <w:hideMark/>
          </w:tcPr>
          <w:p w:rsidR="00306953" w:rsidRPr="00306953" w:rsidRDefault="00E361EC" w:rsidP="00306953">
            <w:pPr>
              <w:keepNext/>
              <w:spacing w:after="0" w:line="240" w:lineRule="auto"/>
              <w:rPr>
                <w:rFonts w:cs="Arial"/>
                <w:color w:val="000000"/>
                <w:sz w:val="16"/>
                <w:szCs w:val="16"/>
              </w:rPr>
            </w:pPr>
            <w:r>
              <w:rPr>
                <w:rFonts w:cs="Arial"/>
                <w:color w:val="000000"/>
                <w:sz w:val="16"/>
                <w:szCs w:val="16"/>
              </w:rPr>
              <w:t>v</w:t>
            </w:r>
            <w:r w:rsidR="00306953" w:rsidRPr="00306953">
              <w:rPr>
                <w:rFonts w:cs="Arial"/>
                <w:color w:val="000000"/>
                <w:sz w:val="16"/>
                <w:szCs w:val="16"/>
              </w:rPr>
              <w:t>eřejné výdaje</w:t>
            </w:r>
            <w:r w:rsidR="00306953" w:rsidRPr="00306953">
              <w:rPr>
                <w:rFonts w:cs="Arial"/>
                <w:color w:val="000000"/>
                <w:sz w:val="16"/>
                <w:szCs w:val="16"/>
                <w:vertAlign w:val="superscript"/>
              </w:rPr>
              <w:t>1)</w:t>
            </w:r>
            <w:r w:rsidR="00306953" w:rsidRPr="00306953">
              <w:rPr>
                <w:rFonts w:cs="Arial"/>
                <w:color w:val="000000"/>
                <w:sz w:val="16"/>
                <w:szCs w:val="16"/>
              </w:rPr>
              <w:t xml:space="preserve"> na vzdělávání jakožto podíl z celkových veřejných výdajů</w:t>
            </w:r>
          </w:p>
        </w:tc>
        <w:tc>
          <w:tcPr>
            <w:tcW w:w="1573" w:type="dxa"/>
            <w:tcBorders>
              <w:top w:val="double" w:sz="4" w:space="0" w:color="auto"/>
            </w:tcBorders>
            <w:shd w:val="clear" w:color="auto" w:fill="auto"/>
            <w:noWrap/>
            <w:vAlign w:val="center"/>
            <w:hideMark/>
          </w:tcPr>
          <w:p w:rsidR="00306953" w:rsidRPr="00306953" w:rsidRDefault="00306953" w:rsidP="00306953">
            <w:pPr>
              <w:keepNext/>
              <w:spacing w:after="0" w:line="240" w:lineRule="auto"/>
              <w:rPr>
                <w:rFonts w:cs="Arial"/>
                <w:color w:val="000000"/>
                <w:sz w:val="16"/>
                <w:szCs w:val="16"/>
              </w:rPr>
            </w:pPr>
            <w:r w:rsidRPr="00306953">
              <w:rPr>
                <w:rFonts w:cs="Arial"/>
                <w:color w:val="000000"/>
                <w:sz w:val="16"/>
                <w:szCs w:val="16"/>
              </w:rPr>
              <w:t>Česká republika</w:t>
            </w:r>
          </w:p>
        </w:tc>
        <w:tc>
          <w:tcPr>
            <w:tcW w:w="1104" w:type="dxa"/>
            <w:tcBorders>
              <w:top w:val="double" w:sz="4" w:space="0" w:color="auto"/>
            </w:tcBorders>
            <w:shd w:val="clear" w:color="auto" w:fill="auto"/>
            <w:noWrap/>
            <w:vAlign w:val="center"/>
            <w:hideMark/>
          </w:tcPr>
          <w:p w:rsidR="00306953" w:rsidRPr="00306953" w:rsidRDefault="00306953" w:rsidP="00306953">
            <w:pPr>
              <w:keepNext/>
              <w:spacing w:after="0" w:line="240" w:lineRule="auto"/>
              <w:jc w:val="center"/>
              <w:rPr>
                <w:rFonts w:cs="Arial"/>
                <w:color w:val="000000"/>
                <w:sz w:val="16"/>
                <w:szCs w:val="16"/>
              </w:rPr>
            </w:pPr>
            <w:r w:rsidRPr="00306953">
              <w:rPr>
                <w:rFonts w:cs="Arial"/>
                <w:color w:val="000000"/>
                <w:sz w:val="16"/>
                <w:szCs w:val="16"/>
              </w:rPr>
              <w:t>8,0</w:t>
            </w:r>
          </w:p>
        </w:tc>
        <w:tc>
          <w:tcPr>
            <w:tcW w:w="926" w:type="dxa"/>
            <w:tcBorders>
              <w:top w:val="double" w:sz="4" w:space="0" w:color="auto"/>
            </w:tcBorders>
            <w:shd w:val="clear" w:color="auto" w:fill="auto"/>
            <w:noWrap/>
            <w:vAlign w:val="center"/>
            <w:hideMark/>
          </w:tcPr>
          <w:p w:rsidR="00306953" w:rsidRPr="00306953" w:rsidRDefault="00306953" w:rsidP="00306953">
            <w:pPr>
              <w:keepNext/>
              <w:spacing w:after="0" w:line="240" w:lineRule="auto"/>
              <w:jc w:val="center"/>
              <w:rPr>
                <w:rFonts w:cs="Arial"/>
                <w:color w:val="000000"/>
                <w:sz w:val="16"/>
                <w:szCs w:val="16"/>
              </w:rPr>
            </w:pPr>
            <w:r w:rsidRPr="00306953">
              <w:rPr>
                <w:rFonts w:cs="Arial"/>
                <w:color w:val="000000"/>
                <w:sz w:val="16"/>
                <w:szCs w:val="16"/>
              </w:rPr>
              <w:t>8,3</w:t>
            </w:r>
          </w:p>
        </w:tc>
        <w:tc>
          <w:tcPr>
            <w:tcW w:w="926" w:type="dxa"/>
            <w:tcBorders>
              <w:top w:val="double" w:sz="4" w:space="0" w:color="auto"/>
            </w:tcBorders>
            <w:shd w:val="clear" w:color="auto" w:fill="auto"/>
            <w:noWrap/>
            <w:vAlign w:val="center"/>
            <w:hideMark/>
          </w:tcPr>
          <w:p w:rsidR="00306953" w:rsidRPr="00306953" w:rsidRDefault="00306953" w:rsidP="00306953">
            <w:pPr>
              <w:keepNext/>
              <w:spacing w:after="0" w:line="240" w:lineRule="auto"/>
              <w:jc w:val="center"/>
              <w:rPr>
                <w:rFonts w:cs="Arial"/>
                <w:color w:val="000000"/>
                <w:sz w:val="16"/>
                <w:szCs w:val="16"/>
              </w:rPr>
            </w:pPr>
            <w:r w:rsidRPr="00306953">
              <w:rPr>
                <w:rFonts w:cs="Arial"/>
                <w:color w:val="000000"/>
                <w:sz w:val="16"/>
                <w:szCs w:val="16"/>
              </w:rPr>
              <w:t>8,3</w:t>
            </w:r>
          </w:p>
        </w:tc>
        <w:tc>
          <w:tcPr>
            <w:tcW w:w="926" w:type="dxa"/>
            <w:tcBorders>
              <w:top w:val="double" w:sz="4" w:space="0" w:color="auto"/>
            </w:tcBorders>
            <w:shd w:val="clear" w:color="auto" w:fill="auto"/>
            <w:noWrap/>
            <w:vAlign w:val="center"/>
            <w:hideMark/>
          </w:tcPr>
          <w:p w:rsidR="00306953" w:rsidRPr="00306953" w:rsidRDefault="00306953" w:rsidP="00306953">
            <w:pPr>
              <w:keepNext/>
              <w:spacing w:after="0" w:line="240" w:lineRule="auto"/>
              <w:jc w:val="center"/>
              <w:rPr>
                <w:rFonts w:cs="Arial"/>
                <w:color w:val="000000"/>
                <w:sz w:val="16"/>
                <w:szCs w:val="16"/>
              </w:rPr>
            </w:pPr>
            <w:r w:rsidRPr="00306953">
              <w:rPr>
                <w:rFonts w:cs="Arial"/>
                <w:color w:val="000000"/>
                <w:sz w:val="16"/>
                <w:szCs w:val="16"/>
              </w:rPr>
              <w:t>8,3</w:t>
            </w:r>
          </w:p>
        </w:tc>
        <w:tc>
          <w:tcPr>
            <w:tcW w:w="926" w:type="dxa"/>
            <w:tcBorders>
              <w:top w:val="double" w:sz="4" w:space="0" w:color="auto"/>
            </w:tcBorders>
            <w:shd w:val="clear" w:color="auto" w:fill="auto"/>
            <w:noWrap/>
            <w:vAlign w:val="center"/>
            <w:hideMark/>
          </w:tcPr>
          <w:p w:rsidR="00306953" w:rsidRPr="00306953" w:rsidRDefault="00306953" w:rsidP="00306953">
            <w:pPr>
              <w:keepNext/>
              <w:spacing w:after="0" w:line="240" w:lineRule="auto"/>
              <w:jc w:val="center"/>
              <w:rPr>
                <w:rFonts w:cs="Arial"/>
                <w:color w:val="000000"/>
                <w:sz w:val="16"/>
                <w:szCs w:val="16"/>
              </w:rPr>
            </w:pPr>
            <w:r w:rsidRPr="00306953">
              <w:rPr>
                <w:rFonts w:cs="Arial"/>
                <w:color w:val="000000"/>
                <w:sz w:val="16"/>
                <w:szCs w:val="16"/>
              </w:rPr>
              <w:t>8,9</w:t>
            </w:r>
          </w:p>
        </w:tc>
        <w:tc>
          <w:tcPr>
            <w:tcW w:w="926" w:type="dxa"/>
            <w:tcBorders>
              <w:top w:val="double" w:sz="4" w:space="0" w:color="auto"/>
            </w:tcBorders>
            <w:shd w:val="clear" w:color="auto" w:fill="auto"/>
            <w:noWrap/>
            <w:vAlign w:val="center"/>
            <w:hideMark/>
          </w:tcPr>
          <w:p w:rsidR="00306953" w:rsidRPr="00306953" w:rsidRDefault="00306953" w:rsidP="00306953">
            <w:pPr>
              <w:keepNext/>
              <w:spacing w:after="0" w:line="240" w:lineRule="auto"/>
              <w:jc w:val="center"/>
              <w:rPr>
                <w:rFonts w:cs="Arial"/>
                <w:color w:val="000000"/>
                <w:sz w:val="16"/>
                <w:szCs w:val="16"/>
              </w:rPr>
            </w:pPr>
            <w:r w:rsidRPr="00306953">
              <w:rPr>
                <w:rFonts w:cs="Arial"/>
                <w:color w:val="000000"/>
                <w:sz w:val="16"/>
                <w:szCs w:val="16"/>
              </w:rPr>
              <w:t>8,9</w:t>
            </w:r>
          </w:p>
        </w:tc>
      </w:tr>
      <w:tr w:rsidR="00306953" w:rsidRPr="00306953" w:rsidTr="00BF267F">
        <w:trPr>
          <w:trHeight w:val="270"/>
        </w:trPr>
        <w:tc>
          <w:tcPr>
            <w:tcW w:w="1986" w:type="dxa"/>
            <w:vMerge/>
            <w:vAlign w:val="center"/>
            <w:hideMark/>
          </w:tcPr>
          <w:p w:rsidR="00306953" w:rsidRPr="00306953" w:rsidRDefault="00306953" w:rsidP="00306953">
            <w:pPr>
              <w:keepNext/>
              <w:spacing w:after="0" w:line="240" w:lineRule="auto"/>
              <w:rPr>
                <w:rFonts w:cs="Arial"/>
                <w:color w:val="000000"/>
                <w:sz w:val="16"/>
                <w:szCs w:val="16"/>
              </w:rPr>
            </w:pPr>
          </w:p>
        </w:tc>
        <w:tc>
          <w:tcPr>
            <w:tcW w:w="1573" w:type="dxa"/>
            <w:shd w:val="clear" w:color="auto" w:fill="auto"/>
            <w:noWrap/>
            <w:vAlign w:val="center"/>
            <w:hideMark/>
          </w:tcPr>
          <w:p w:rsidR="00306953" w:rsidRPr="00306953" w:rsidRDefault="00306953" w:rsidP="00306953">
            <w:pPr>
              <w:keepNext/>
              <w:spacing w:after="0" w:line="240" w:lineRule="auto"/>
              <w:rPr>
                <w:rFonts w:cs="Arial"/>
                <w:color w:val="000000"/>
                <w:sz w:val="16"/>
                <w:szCs w:val="16"/>
              </w:rPr>
            </w:pPr>
            <w:r w:rsidRPr="00306953">
              <w:rPr>
                <w:rFonts w:cs="Arial"/>
                <w:color w:val="000000"/>
                <w:sz w:val="16"/>
                <w:szCs w:val="16"/>
              </w:rPr>
              <w:t>Slovensko</w:t>
            </w:r>
          </w:p>
        </w:tc>
        <w:tc>
          <w:tcPr>
            <w:tcW w:w="1104" w:type="dxa"/>
            <w:shd w:val="clear" w:color="auto" w:fill="auto"/>
            <w:noWrap/>
            <w:vAlign w:val="center"/>
            <w:hideMark/>
          </w:tcPr>
          <w:p w:rsidR="00306953" w:rsidRPr="00306953" w:rsidRDefault="00306953" w:rsidP="00306953">
            <w:pPr>
              <w:keepNext/>
              <w:spacing w:after="0" w:line="240" w:lineRule="auto"/>
              <w:jc w:val="center"/>
              <w:rPr>
                <w:rFonts w:cs="Arial"/>
                <w:color w:val="000000"/>
                <w:sz w:val="16"/>
                <w:szCs w:val="16"/>
              </w:rPr>
            </w:pPr>
            <w:r w:rsidRPr="00306953">
              <w:rPr>
                <w:rFonts w:cs="Arial"/>
                <w:color w:val="000000"/>
                <w:sz w:val="16"/>
                <w:szCs w:val="16"/>
              </w:rPr>
              <w:t>6,4</w:t>
            </w:r>
          </w:p>
        </w:tc>
        <w:tc>
          <w:tcPr>
            <w:tcW w:w="926" w:type="dxa"/>
            <w:shd w:val="clear" w:color="auto" w:fill="auto"/>
            <w:noWrap/>
            <w:vAlign w:val="center"/>
            <w:hideMark/>
          </w:tcPr>
          <w:p w:rsidR="00306953" w:rsidRPr="00306953" w:rsidRDefault="00306953" w:rsidP="00306953">
            <w:pPr>
              <w:keepNext/>
              <w:spacing w:after="0" w:line="240" w:lineRule="auto"/>
              <w:jc w:val="center"/>
              <w:rPr>
                <w:rFonts w:cs="Arial"/>
                <w:color w:val="000000"/>
                <w:sz w:val="16"/>
                <w:szCs w:val="16"/>
              </w:rPr>
            </w:pPr>
            <w:r w:rsidRPr="00306953">
              <w:rPr>
                <w:rFonts w:cs="Arial"/>
                <w:color w:val="000000"/>
                <w:sz w:val="16"/>
                <w:szCs w:val="16"/>
              </w:rPr>
              <w:t>8,8</w:t>
            </w:r>
          </w:p>
        </w:tc>
        <w:tc>
          <w:tcPr>
            <w:tcW w:w="926" w:type="dxa"/>
            <w:shd w:val="clear" w:color="auto" w:fill="auto"/>
            <w:noWrap/>
            <w:vAlign w:val="center"/>
            <w:hideMark/>
          </w:tcPr>
          <w:p w:rsidR="00306953" w:rsidRPr="00306953" w:rsidRDefault="00306953" w:rsidP="00306953">
            <w:pPr>
              <w:keepNext/>
              <w:spacing w:after="0" w:line="240" w:lineRule="auto"/>
              <w:jc w:val="center"/>
              <w:rPr>
                <w:rFonts w:cs="Arial"/>
                <w:color w:val="000000"/>
                <w:sz w:val="16"/>
                <w:szCs w:val="16"/>
              </w:rPr>
            </w:pPr>
            <w:r w:rsidRPr="00306953">
              <w:rPr>
                <w:rFonts w:cs="Arial"/>
                <w:color w:val="000000"/>
                <w:sz w:val="16"/>
                <w:szCs w:val="16"/>
              </w:rPr>
              <w:t>8,8</w:t>
            </w:r>
          </w:p>
        </w:tc>
        <w:tc>
          <w:tcPr>
            <w:tcW w:w="926" w:type="dxa"/>
            <w:shd w:val="clear" w:color="auto" w:fill="auto"/>
            <w:noWrap/>
            <w:vAlign w:val="center"/>
            <w:hideMark/>
          </w:tcPr>
          <w:p w:rsidR="00306953" w:rsidRPr="00306953" w:rsidRDefault="00306953" w:rsidP="00306953">
            <w:pPr>
              <w:keepNext/>
              <w:spacing w:after="0" w:line="240" w:lineRule="auto"/>
              <w:jc w:val="center"/>
              <w:rPr>
                <w:rFonts w:cs="Arial"/>
                <w:color w:val="000000"/>
                <w:sz w:val="16"/>
                <w:szCs w:val="16"/>
              </w:rPr>
            </w:pPr>
            <w:r w:rsidRPr="00306953">
              <w:rPr>
                <w:rFonts w:cs="Arial"/>
                <w:color w:val="000000"/>
                <w:sz w:val="16"/>
                <w:szCs w:val="16"/>
              </w:rPr>
              <w:t>9,2</w:t>
            </w:r>
          </w:p>
        </w:tc>
        <w:tc>
          <w:tcPr>
            <w:tcW w:w="926" w:type="dxa"/>
            <w:shd w:val="clear" w:color="auto" w:fill="auto"/>
            <w:noWrap/>
            <w:vAlign w:val="center"/>
            <w:hideMark/>
          </w:tcPr>
          <w:p w:rsidR="00306953" w:rsidRPr="00306953" w:rsidRDefault="00306953" w:rsidP="00306953">
            <w:pPr>
              <w:keepNext/>
              <w:spacing w:after="0" w:line="240" w:lineRule="auto"/>
              <w:jc w:val="center"/>
              <w:rPr>
                <w:rFonts w:cs="Arial"/>
                <w:color w:val="000000"/>
                <w:sz w:val="16"/>
                <w:szCs w:val="16"/>
              </w:rPr>
            </w:pPr>
            <w:r w:rsidRPr="00306953">
              <w:rPr>
                <w:rFonts w:cs="Arial"/>
                <w:color w:val="000000"/>
                <w:sz w:val="16"/>
                <w:szCs w:val="16"/>
              </w:rPr>
              <w:t>9,2</w:t>
            </w:r>
          </w:p>
        </w:tc>
        <w:tc>
          <w:tcPr>
            <w:tcW w:w="926" w:type="dxa"/>
            <w:shd w:val="clear" w:color="auto" w:fill="auto"/>
            <w:noWrap/>
            <w:vAlign w:val="center"/>
            <w:hideMark/>
          </w:tcPr>
          <w:p w:rsidR="00306953" w:rsidRPr="00306953" w:rsidRDefault="00306953" w:rsidP="00306953">
            <w:pPr>
              <w:keepNext/>
              <w:spacing w:after="0" w:line="240" w:lineRule="auto"/>
              <w:jc w:val="center"/>
              <w:rPr>
                <w:rFonts w:cs="Arial"/>
                <w:color w:val="000000"/>
                <w:sz w:val="16"/>
                <w:szCs w:val="16"/>
              </w:rPr>
            </w:pPr>
            <w:r w:rsidRPr="00306953">
              <w:rPr>
                <w:rFonts w:cs="Arial"/>
                <w:color w:val="000000"/>
                <w:sz w:val="16"/>
                <w:szCs w:val="16"/>
              </w:rPr>
              <w:t>9,0</w:t>
            </w:r>
          </w:p>
        </w:tc>
      </w:tr>
      <w:tr w:rsidR="00306953" w:rsidRPr="00306953" w:rsidTr="00BF267F">
        <w:trPr>
          <w:trHeight w:val="270"/>
        </w:trPr>
        <w:tc>
          <w:tcPr>
            <w:tcW w:w="1986" w:type="dxa"/>
            <w:vMerge/>
            <w:vAlign w:val="center"/>
            <w:hideMark/>
          </w:tcPr>
          <w:p w:rsidR="00306953" w:rsidRPr="00306953" w:rsidRDefault="00306953" w:rsidP="00306953">
            <w:pPr>
              <w:keepNext/>
              <w:spacing w:after="0" w:line="240" w:lineRule="auto"/>
              <w:rPr>
                <w:rFonts w:cs="Arial"/>
                <w:color w:val="000000"/>
                <w:sz w:val="16"/>
                <w:szCs w:val="16"/>
              </w:rPr>
            </w:pPr>
          </w:p>
        </w:tc>
        <w:tc>
          <w:tcPr>
            <w:tcW w:w="1573" w:type="dxa"/>
            <w:shd w:val="clear" w:color="auto" w:fill="auto"/>
            <w:noWrap/>
            <w:vAlign w:val="center"/>
            <w:hideMark/>
          </w:tcPr>
          <w:p w:rsidR="00306953" w:rsidRPr="00306953" w:rsidRDefault="00306953" w:rsidP="00306953">
            <w:pPr>
              <w:keepNext/>
              <w:spacing w:after="0" w:line="240" w:lineRule="auto"/>
              <w:rPr>
                <w:rFonts w:cs="Arial"/>
                <w:color w:val="000000"/>
                <w:sz w:val="16"/>
                <w:szCs w:val="16"/>
              </w:rPr>
            </w:pPr>
            <w:r w:rsidRPr="00306953">
              <w:rPr>
                <w:rFonts w:cs="Arial"/>
                <w:color w:val="000000"/>
                <w:sz w:val="16"/>
                <w:szCs w:val="16"/>
              </w:rPr>
              <w:t>Polsko</w:t>
            </w:r>
          </w:p>
        </w:tc>
        <w:tc>
          <w:tcPr>
            <w:tcW w:w="1104" w:type="dxa"/>
            <w:shd w:val="clear" w:color="auto" w:fill="auto"/>
            <w:noWrap/>
            <w:vAlign w:val="center"/>
            <w:hideMark/>
          </w:tcPr>
          <w:p w:rsidR="00306953" w:rsidRPr="00306953" w:rsidRDefault="00306953" w:rsidP="00306953">
            <w:pPr>
              <w:keepNext/>
              <w:spacing w:after="0" w:line="240" w:lineRule="auto"/>
              <w:jc w:val="center"/>
              <w:rPr>
                <w:rFonts w:cs="Arial"/>
                <w:color w:val="000000"/>
                <w:sz w:val="16"/>
                <w:szCs w:val="16"/>
              </w:rPr>
            </w:pPr>
            <w:r w:rsidRPr="00306953">
              <w:rPr>
                <w:rFonts w:cs="Arial"/>
                <w:color w:val="000000"/>
                <w:sz w:val="16"/>
                <w:szCs w:val="16"/>
              </w:rPr>
              <w:t>11,2</w:t>
            </w:r>
          </w:p>
        </w:tc>
        <w:tc>
          <w:tcPr>
            <w:tcW w:w="926" w:type="dxa"/>
            <w:shd w:val="clear" w:color="auto" w:fill="auto"/>
            <w:noWrap/>
            <w:vAlign w:val="center"/>
            <w:hideMark/>
          </w:tcPr>
          <w:p w:rsidR="00306953" w:rsidRPr="00306953" w:rsidRDefault="00306953" w:rsidP="00306953">
            <w:pPr>
              <w:keepNext/>
              <w:spacing w:after="0" w:line="240" w:lineRule="auto"/>
              <w:jc w:val="center"/>
              <w:rPr>
                <w:rFonts w:cs="Arial"/>
                <w:color w:val="000000"/>
                <w:sz w:val="16"/>
                <w:szCs w:val="16"/>
              </w:rPr>
            </w:pPr>
            <w:r w:rsidRPr="00306953">
              <w:rPr>
                <w:rFonts w:cs="Arial"/>
                <w:color w:val="000000"/>
                <w:sz w:val="16"/>
                <w:szCs w:val="16"/>
              </w:rPr>
              <w:t>11,3</w:t>
            </w:r>
          </w:p>
        </w:tc>
        <w:tc>
          <w:tcPr>
            <w:tcW w:w="926" w:type="dxa"/>
            <w:shd w:val="clear" w:color="auto" w:fill="auto"/>
            <w:noWrap/>
            <w:vAlign w:val="center"/>
            <w:hideMark/>
          </w:tcPr>
          <w:p w:rsidR="00306953" w:rsidRPr="00306953" w:rsidRDefault="00306953" w:rsidP="00306953">
            <w:pPr>
              <w:keepNext/>
              <w:spacing w:after="0" w:line="240" w:lineRule="auto"/>
              <w:jc w:val="center"/>
              <w:rPr>
                <w:rFonts w:cs="Arial"/>
                <w:color w:val="000000"/>
                <w:sz w:val="16"/>
                <w:szCs w:val="16"/>
              </w:rPr>
            </w:pPr>
            <w:r w:rsidRPr="00306953">
              <w:rPr>
                <w:rFonts w:cs="Arial"/>
                <w:color w:val="000000"/>
                <w:sz w:val="16"/>
                <w:szCs w:val="16"/>
              </w:rPr>
              <w:t>10,4</w:t>
            </w:r>
          </w:p>
        </w:tc>
        <w:tc>
          <w:tcPr>
            <w:tcW w:w="926" w:type="dxa"/>
            <w:shd w:val="clear" w:color="auto" w:fill="auto"/>
            <w:noWrap/>
            <w:vAlign w:val="center"/>
            <w:hideMark/>
          </w:tcPr>
          <w:p w:rsidR="00306953" w:rsidRPr="00306953" w:rsidRDefault="00306953" w:rsidP="00306953">
            <w:pPr>
              <w:keepNext/>
              <w:spacing w:after="0" w:line="240" w:lineRule="auto"/>
              <w:jc w:val="center"/>
              <w:rPr>
                <w:rFonts w:cs="Arial"/>
                <w:color w:val="000000"/>
                <w:sz w:val="16"/>
                <w:szCs w:val="16"/>
              </w:rPr>
            </w:pPr>
            <w:r w:rsidRPr="00306953">
              <w:rPr>
                <w:rFonts w:cs="Arial"/>
                <w:color w:val="000000"/>
                <w:sz w:val="16"/>
                <w:szCs w:val="16"/>
              </w:rPr>
              <w:t>10,2</w:t>
            </w:r>
          </w:p>
        </w:tc>
        <w:tc>
          <w:tcPr>
            <w:tcW w:w="926" w:type="dxa"/>
            <w:shd w:val="clear" w:color="auto" w:fill="auto"/>
            <w:noWrap/>
            <w:vAlign w:val="center"/>
            <w:hideMark/>
          </w:tcPr>
          <w:p w:rsidR="00306953" w:rsidRPr="00306953" w:rsidRDefault="00306953" w:rsidP="00306953">
            <w:pPr>
              <w:keepNext/>
              <w:spacing w:after="0" w:line="240" w:lineRule="auto"/>
              <w:jc w:val="center"/>
              <w:rPr>
                <w:rFonts w:cs="Arial"/>
                <w:color w:val="000000"/>
                <w:sz w:val="16"/>
                <w:szCs w:val="16"/>
              </w:rPr>
            </w:pPr>
            <w:r w:rsidRPr="00306953">
              <w:rPr>
                <w:rFonts w:cs="Arial"/>
                <w:color w:val="000000"/>
                <w:sz w:val="16"/>
                <w:szCs w:val="16"/>
              </w:rPr>
              <w:t>10,1</w:t>
            </w:r>
          </w:p>
        </w:tc>
        <w:tc>
          <w:tcPr>
            <w:tcW w:w="926" w:type="dxa"/>
            <w:shd w:val="clear" w:color="auto" w:fill="auto"/>
            <w:noWrap/>
            <w:vAlign w:val="center"/>
            <w:hideMark/>
          </w:tcPr>
          <w:p w:rsidR="00306953" w:rsidRPr="00306953" w:rsidRDefault="00306953" w:rsidP="00306953">
            <w:pPr>
              <w:keepNext/>
              <w:spacing w:after="0" w:line="240" w:lineRule="auto"/>
              <w:jc w:val="center"/>
              <w:rPr>
                <w:rFonts w:cs="Arial"/>
                <w:color w:val="000000"/>
                <w:sz w:val="16"/>
                <w:szCs w:val="16"/>
              </w:rPr>
            </w:pPr>
            <w:r w:rsidRPr="00306953">
              <w:rPr>
                <w:rFonts w:cs="Arial"/>
                <w:color w:val="000000"/>
                <w:sz w:val="16"/>
                <w:szCs w:val="16"/>
              </w:rPr>
              <w:t>10,3</w:t>
            </w:r>
          </w:p>
        </w:tc>
      </w:tr>
      <w:tr w:rsidR="00306953" w:rsidRPr="00306953" w:rsidTr="00BF267F">
        <w:trPr>
          <w:trHeight w:val="270"/>
        </w:trPr>
        <w:tc>
          <w:tcPr>
            <w:tcW w:w="1986" w:type="dxa"/>
            <w:vMerge/>
            <w:vAlign w:val="center"/>
            <w:hideMark/>
          </w:tcPr>
          <w:p w:rsidR="00306953" w:rsidRPr="00306953" w:rsidRDefault="00306953" w:rsidP="00306953">
            <w:pPr>
              <w:spacing w:after="0" w:line="240" w:lineRule="auto"/>
              <w:rPr>
                <w:rFonts w:cs="Arial"/>
                <w:color w:val="000000"/>
                <w:sz w:val="16"/>
                <w:szCs w:val="16"/>
              </w:rPr>
            </w:pPr>
          </w:p>
        </w:tc>
        <w:tc>
          <w:tcPr>
            <w:tcW w:w="1573" w:type="dxa"/>
            <w:shd w:val="clear" w:color="auto" w:fill="auto"/>
            <w:noWrap/>
            <w:vAlign w:val="center"/>
            <w:hideMark/>
          </w:tcPr>
          <w:p w:rsidR="00306953" w:rsidRPr="00306953" w:rsidRDefault="00306953" w:rsidP="00306953">
            <w:pPr>
              <w:spacing w:after="0" w:line="240" w:lineRule="auto"/>
              <w:rPr>
                <w:rFonts w:cs="Arial"/>
                <w:color w:val="000000"/>
                <w:sz w:val="16"/>
                <w:szCs w:val="16"/>
              </w:rPr>
            </w:pPr>
            <w:r w:rsidRPr="00306953">
              <w:rPr>
                <w:rFonts w:cs="Arial"/>
                <w:color w:val="000000"/>
                <w:sz w:val="16"/>
                <w:szCs w:val="16"/>
              </w:rPr>
              <w:t>Estonsko</w:t>
            </w:r>
          </w:p>
        </w:tc>
        <w:tc>
          <w:tcPr>
            <w:tcW w:w="1104" w:type="dxa"/>
            <w:shd w:val="clear" w:color="auto" w:fill="auto"/>
            <w:noWrap/>
            <w:vAlign w:val="center"/>
            <w:hideMark/>
          </w:tcPr>
          <w:p w:rsidR="00306953" w:rsidRPr="00306953" w:rsidRDefault="00306953" w:rsidP="00306953">
            <w:pPr>
              <w:spacing w:after="0" w:line="240" w:lineRule="auto"/>
              <w:jc w:val="center"/>
              <w:rPr>
                <w:rFonts w:cs="Arial"/>
                <w:color w:val="000000"/>
                <w:sz w:val="16"/>
                <w:szCs w:val="16"/>
              </w:rPr>
            </w:pPr>
            <w:r w:rsidRPr="00306953">
              <w:rPr>
                <w:rFonts w:cs="Arial"/>
                <w:color w:val="000000"/>
                <w:sz w:val="16"/>
                <w:szCs w:val="16"/>
              </w:rPr>
              <w:t>13,5</w:t>
            </w:r>
          </w:p>
        </w:tc>
        <w:tc>
          <w:tcPr>
            <w:tcW w:w="926" w:type="dxa"/>
            <w:shd w:val="clear" w:color="auto" w:fill="auto"/>
            <w:noWrap/>
            <w:vAlign w:val="center"/>
            <w:hideMark/>
          </w:tcPr>
          <w:p w:rsidR="00306953" w:rsidRPr="00306953" w:rsidRDefault="00306953" w:rsidP="00306953">
            <w:pPr>
              <w:spacing w:after="0" w:line="240" w:lineRule="auto"/>
              <w:jc w:val="center"/>
              <w:rPr>
                <w:rFonts w:cs="Arial"/>
                <w:color w:val="000000"/>
                <w:sz w:val="16"/>
                <w:szCs w:val="16"/>
              </w:rPr>
            </w:pPr>
            <w:r w:rsidRPr="00306953">
              <w:rPr>
                <w:rFonts w:cs="Arial"/>
                <w:color w:val="000000"/>
                <w:sz w:val="16"/>
                <w:szCs w:val="16"/>
              </w:rPr>
              <w:t>13,4</w:t>
            </w:r>
          </w:p>
        </w:tc>
        <w:tc>
          <w:tcPr>
            <w:tcW w:w="926" w:type="dxa"/>
            <w:shd w:val="clear" w:color="auto" w:fill="auto"/>
            <w:noWrap/>
            <w:vAlign w:val="center"/>
            <w:hideMark/>
          </w:tcPr>
          <w:p w:rsidR="00306953" w:rsidRPr="00306953" w:rsidRDefault="00306953" w:rsidP="00306953">
            <w:pPr>
              <w:spacing w:after="0" w:line="240" w:lineRule="auto"/>
              <w:jc w:val="center"/>
              <w:rPr>
                <w:rFonts w:cs="Arial"/>
                <w:color w:val="000000"/>
                <w:sz w:val="16"/>
                <w:szCs w:val="16"/>
              </w:rPr>
            </w:pPr>
            <w:r w:rsidRPr="00306953">
              <w:rPr>
                <w:rFonts w:cs="Arial"/>
                <w:color w:val="000000"/>
                <w:sz w:val="16"/>
                <w:szCs w:val="16"/>
              </w:rPr>
              <w:t>12,8</w:t>
            </w:r>
          </w:p>
        </w:tc>
        <w:tc>
          <w:tcPr>
            <w:tcW w:w="926" w:type="dxa"/>
            <w:shd w:val="clear" w:color="auto" w:fill="auto"/>
            <w:noWrap/>
            <w:vAlign w:val="center"/>
            <w:hideMark/>
          </w:tcPr>
          <w:p w:rsidR="00306953" w:rsidRPr="00306953" w:rsidRDefault="00306953" w:rsidP="00306953">
            <w:pPr>
              <w:spacing w:after="0" w:line="240" w:lineRule="auto"/>
              <w:jc w:val="center"/>
              <w:rPr>
                <w:rFonts w:cs="Arial"/>
                <w:color w:val="000000"/>
                <w:sz w:val="16"/>
                <w:szCs w:val="16"/>
              </w:rPr>
            </w:pPr>
            <w:r w:rsidRPr="00306953">
              <w:rPr>
                <w:rFonts w:cs="Arial"/>
                <w:color w:val="000000"/>
                <w:sz w:val="16"/>
                <w:szCs w:val="16"/>
              </w:rPr>
              <w:t>12,8</w:t>
            </w:r>
          </w:p>
        </w:tc>
        <w:tc>
          <w:tcPr>
            <w:tcW w:w="926" w:type="dxa"/>
            <w:shd w:val="clear" w:color="auto" w:fill="auto"/>
            <w:noWrap/>
            <w:vAlign w:val="center"/>
            <w:hideMark/>
          </w:tcPr>
          <w:p w:rsidR="00306953" w:rsidRPr="00306953" w:rsidRDefault="00306953" w:rsidP="00306953">
            <w:pPr>
              <w:spacing w:after="0" w:line="240" w:lineRule="auto"/>
              <w:jc w:val="center"/>
              <w:rPr>
                <w:rFonts w:cs="Arial"/>
                <w:color w:val="000000"/>
                <w:sz w:val="16"/>
                <w:szCs w:val="16"/>
              </w:rPr>
            </w:pPr>
            <w:r w:rsidRPr="00306953">
              <w:rPr>
                <w:rFonts w:cs="Arial"/>
                <w:color w:val="000000"/>
                <w:sz w:val="16"/>
                <w:szCs w:val="16"/>
              </w:rPr>
              <w:t>12,5</w:t>
            </w:r>
          </w:p>
        </w:tc>
        <w:tc>
          <w:tcPr>
            <w:tcW w:w="926" w:type="dxa"/>
            <w:shd w:val="clear" w:color="auto" w:fill="auto"/>
            <w:noWrap/>
            <w:vAlign w:val="center"/>
            <w:hideMark/>
          </w:tcPr>
          <w:p w:rsidR="00306953" w:rsidRPr="00306953" w:rsidRDefault="00306953" w:rsidP="00306953">
            <w:pPr>
              <w:spacing w:after="0" w:line="240" w:lineRule="auto"/>
              <w:jc w:val="center"/>
              <w:rPr>
                <w:rFonts w:cs="Arial"/>
                <w:color w:val="000000"/>
                <w:sz w:val="16"/>
                <w:szCs w:val="16"/>
              </w:rPr>
            </w:pPr>
            <w:r w:rsidRPr="00306953">
              <w:rPr>
                <w:rFonts w:cs="Arial"/>
                <w:color w:val="000000"/>
                <w:sz w:val="16"/>
                <w:szCs w:val="16"/>
              </w:rPr>
              <w:t>11,2</w:t>
            </w:r>
          </w:p>
        </w:tc>
      </w:tr>
      <w:tr w:rsidR="00306953" w:rsidRPr="00306953" w:rsidTr="00BF267F">
        <w:trPr>
          <w:trHeight w:val="270"/>
        </w:trPr>
        <w:tc>
          <w:tcPr>
            <w:tcW w:w="1986" w:type="dxa"/>
            <w:vMerge/>
            <w:vAlign w:val="center"/>
            <w:hideMark/>
          </w:tcPr>
          <w:p w:rsidR="00306953" w:rsidRPr="00306953" w:rsidRDefault="00306953" w:rsidP="00306953">
            <w:pPr>
              <w:spacing w:after="0" w:line="240" w:lineRule="auto"/>
              <w:rPr>
                <w:rFonts w:cs="Arial"/>
                <w:color w:val="000000"/>
                <w:sz w:val="16"/>
                <w:szCs w:val="16"/>
              </w:rPr>
            </w:pPr>
          </w:p>
        </w:tc>
        <w:tc>
          <w:tcPr>
            <w:tcW w:w="1573" w:type="dxa"/>
            <w:shd w:val="clear" w:color="auto" w:fill="auto"/>
            <w:noWrap/>
            <w:vAlign w:val="center"/>
            <w:hideMark/>
          </w:tcPr>
          <w:p w:rsidR="00306953" w:rsidRPr="00306953" w:rsidRDefault="00306953" w:rsidP="00306953">
            <w:pPr>
              <w:spacing w:after="0" w:line="240" w:lineRule="auto"/>
              <w:rPr>
                <w:rFonts w:cs="Arial"/>
                <w:color w:val="000000"/>
                <w:sz w:val="16"/>
                <w:szCs w:val="16"/>
              </w:rPr>
            </w:pPr>
            <w:r w:rsidRPr="00306953">
              <w:rPr>
                <w:rFonts w:cs="Arial"/>
                <w:color w:val="000000"/>
                <w:sz w:val="16"/>
                <w:szCs w:val="16"/>
              </w:rPr>
              <w:t>Finsko</w:t>
            </w:r>
          </w:p>
        </w:tc>
        <w:tc>
          <w:tcPr>
            <w:tcW w:w="1104" w:type="dxa"/>
            <w:shd w:val="clear" w:color="auto" w:fill="auto"/>
            <w:noWrap/>
            <w:vAlign w:val="center"/>
            <w:hideMark/>
          </w:tcPr>
          <w:p w:rsidR="00306953" w:rsidRPr="00306953" w:rsidRDefault="00306953" w:rsidP="00306953">
            <w:pPr>
              <w:spacing w:after="0" w:line="240" w:lineRule="auto"/>
              <w:jc w:val="center"/>
              <w:rPr>
                <w:rFonts w:cs="Arial"/>
                <w:color w:val="000000"/>
                <w:sz w:val="16"/>
                <w:szCs w:val="16"/>
              </w:rPr>
            </w:pPr>
            <w:r w:rsidRPr="00306953">
              <w:rPr>
                <w:rFonts w:cs="Arial"/>
                <w:color w:val="000000"/>
                <w:sz w:val="16"/>
                <w:szCs w:val="16"/>
              </w:rPr>
              <w:t>11,8</w:t>
            </w:r>
          </w:p>
        </w:tc>
        <w:tc>
          <w:tcPr>
            <w:tcW w:w="926" w:type="dxa"/>
            <w:shd w:val="clear" w:color="auto" w:fill="auto"/>
            <w:noWrap/>
            <w:vAlign w:val="center"/>
            <w:hideMark/>
          </w:tcPr>
          <w:p w:rsidR="00306953" w:rsidRPr="00306953" w:rsidRDefault="00306953" w:rsidP="00306953">
            <w:pPr>
              <w:spacing w:after="0" w:line="240" w:lineRule="auto"/>
              <w:jc w:val="center"/>
              <w:rPr>
                <w:rFonts w:cs="Arial"/>
                <w:color w:val="000000"/>
                <w:sz w:val="16"/>
                <w:szCs w:val="16"/>
              </w:rPr>
            </w:pPr>
            <w:r w:rsidRPr="00306953">
              <w:rPr>
                <w:rFonts w:cs="Arial"/>
                <w:color w:val="000000"/>
                <w:sz w:val="16"/>
                <w:szCs w:val="16"/>
              </w:rPr>
              <w:t>11,8</w:t>
            </w:r>
          </w:p>
        </w:tc>
        <w:tc>
          <w:tcPr>
            <w:tcW w:w="926" w:type="dxa"/>
            <w:shd w:val="clear" w:color="auto" w:fill="auto"/>
            <w:noWrap/>
            <w:vAlign w:val="center"/>
            <w:hideMark/>
          </w:tcPr>
          <w:p w:rsidR="00306953" w:rsidRPr="00306953" w:rsidRDefault="00306953" w:rsidP="00306953">
            <w:pPr>
              <w:spacing w:after="0" w:line="240" w:lineRule="auto"/>
              <w:jc w:val="center"/>
              <w:rPr>
                <w:rFonts w:cs="Arial"/>
                <w:color w:val="000000"/>
                <w:sz w:val="16"/>
                <w:szCs w:val="16"/>
              </w:rPr>
            </w:pPr>
            <w:r w:rsidRPr="00306953">
              <w:rPr>
                <w:rFonts w:cs="Arial"/>
                <w:color w:val="000000"/>
                <w:sz w:val="16"/>
                <w:szCs w:val="16"/>
              </w:rPr>
              <w:t>11,7</w:t>
            </w:r>
          </w:p>
        </w:tc>
        <w:tc>
          <w:tcPr>
            <w:tcW w:w="926" w:type="dxa"/>
            <w:shd w:val="clear" w:color="auto" w:fill="auto"/>
            <w:noWrap/>
            <w:vAlign w:val="center"/>
            <w:hideMark/>
          </w:tcPr>
          <w:p w:rsidR="00306953" w:rsidRPr="00306953" w:rsidRDefault="00306953" w:rsidP="00306953">
            <w:pPr>
              <w:spacing w:after="0" w:line="240" w:lineRule="auto"/>
              <w:jc w:val="center"/>
              <w:rPr>
                <w:rFonts w:cs="Arial"/>
                <w:color w:val="000000"/>
                <w:sz w:val="16"/>
                <w:szCs w:val="16"/>
              </w:rPr>
            </w:pPr>
            <w:r w:rsidRPr="00306953">
              <w:rPr>
                <w:rFonts w:cs="Arial"/>
                <w:color w:val="000000"/>
                <w:sz w:val="16"/>
                <w:szCs w:val="16"/>
              </w:rPr>
              <w:t>11,6</w:t>
            </w:r>
          </w:p>
        </w:tc>
        <w:tc>
          <w:tcPr>
            <w:tcW w:w="926" w:type="dxa"/>
            <w:shd w:val="clear" w:color="auto" w:fill="auto"/>
            <w:noWrap/>
            <w:vAlign w:val="center"/>
            <w:hideMark/>
          </w:tcPr>
          <w:p w:rsidR="00306953" w:rsidRPr="00306953" w:rsidRDefault="00306953" w:rsidP="00306953">
            <w:pPr>
              <w:spacing w:after="0" w:line="240" w:lineRule="auto"/>
              <w:jc w:val="center"/>
              <w:rPr>
                <w:rFonts w:cs="Arial"/>
                <w:color w:val="000000"/>
                <w:sz w:val="16"/>
                <w:szCs w:val="16"/>
              </w:rPr>
            </w:pPr>
            <w:r w:rsidRPr="00306953">
              <w:rPr>
                <w:rFonts w:cs="Arial"/>
                <w:color w:val="000000"/>
                <w:sz w:val="16"/>
                <w:szCs w:val="16"/>
              </w:rPr>
              <w:t>11,5</w:t>
            </w:r>
          </w:p>
        </w:tc>
        <w:tc>
          <w:tcPr>
            <w:tcW w:w="926" w:type="dxa"/>
            <w:shd w:val="clear" w:color="auto" w:fill="auto"/>
            <w:noWrap/>
            <w:vAlign w:val="center"/>
            <w:hideMark/>
          </w:tcPr>
          <w:p w:rsidR="00306953" w:rsidRPr="00306953" w:rsidRDefault="00306953" w:rsidP="00306953">
            <w:pPr>
              <w:spacing w:after="0" w:line="240" w:lineRule="auto"/>
              <w:jc w:val="center"/>
              <w:rPr>
                <w:rFonts w:cs="Arial"/>
                <w:color w:val="000000"/>
                <w:sz w:val="16"/>
                <w:szCs w:val="16"/>
              </w:rPr>
            </w:pPr>
            <w:r w:rsidRPr="00306953">
              <w:rPr>
                <w:rFonts w:cs="Arial"/>
                <w:color w:val="000000"/>
                <w:sz w:val="16"/>
                <w:szCs w:val="16"/>
              </w:rPr>
              <w:t>11,2</w:t>
            </w:r>
          </w:p>
        </w:tc>
      </w:tr>
      <w:tr w:rsidR="00306953" w:rsidRPr="00306953" w:rsidTr="00BF267F">
        <w:trPr>
          <w:trHeight w:val="270"/>
        </w:trPr>
        <w:tc>
          <w:tcPr>
            <w:tcW w:w="1986" w:type="dxa"/>
            <w:vMerge/>
            <w:vAlign w:val="center"/>
            <w:hideMark/>
          </w:tcPr>
          <w:p w:rsidR="00306953" w:rsidRPr="00306953" w:rsidRDefault="00306953" w:rsidP="00306953">
            <w:pPr>
              <w:spacing w:after="0" w:line="240" w:lineRule="auto"/>
              <w:rPr>
                <w:rFonts w:cs="Arial"/>
                <w:color w:val="000000"/>
                <w:sz w:val="16"/>
                <w:szCs w:val="16"/>
              </w:rPr>
            </w:pPr>
          </w:p>
        </w:tc>
        <w:tc>
          <w:tcPr>
            <w:tcW w:w="1573" w:type="dxa"/>
            <w:shd w:val="clear" w:color="auto" w:fill="C6D9F1" w:themeFill="text2" w:themeFillTint="33"/>
            <w:noWrap/>
            <w:vAlign w:val="center"/>
            <w:hideMark/>
          </w:tcPr>
          <w:p w:rsidR="00306953" w:rsidRPr="00631582" w:rsidRDefault="00F53B2E" w:rsidP="00306953">
            <w:pPr>
              <w:spacing w:after="0" w:line="240" w:lineRule="auto"/>
              <w:rPr>
                <w:rFonts w:cs="Arial"/>
                <w:bCs/>
                <w:color w:val="000000"/>
                <w:sz w:val="16"/>
                <w:szCs w:val="16"/>
              </w:rPr>
            </w:pPr>
            <w:r w:rsidRPr="00631582">
              <w:rPr>
                <w:rFonts w:cs="Arial"/>
                <w:bCs/>
                <w:color w:val="000000"/>
                <w:sz w:val="16"/>
                <w:szCs w:val="16"/>
              </w:rPr>
              <w:t>p</w:t>
            </w:r>
            <w:r w:rsidR="00306953" w:rsidRPr="00631582">
              <w:rPr>
                <w:rFonts w:cs="Arial"/>
                <w:bCs/>
                <w:color w:val="000000"/>
                <w:sz w:val="16"/>
                <w:szCs w:val="16"/>
              </w:rPr>
              <w:t>růměr OECD</w:t>
            </w:r>
          </w:p>
        </w:tc>
        <w:tc>
          <w:tcPr>
            <w:tcW w:w="1104" w:type="dxa"/>
            <w:shd w:val="clear" w:color="auto" w:fill="C6D9F1" w:themeFill="text2" w:themeFillTint="33"/>
            <w:noWrap/>
            <w:vAlign w:val="center"/>
            <w:hideMark/>
          </w:tcPr>
          <w:p w:rsidR="00306953" w:rsidRPr="00631582" w:rsidRDefault="00306953" w:rsidP="00306953">
            <w:pPr>
              <w:spacing w:after="0" w:line="240" w:lineRule="auto"/>
              <w:jc w:val="center"/>
              <w:rPr>
                <w:rFonts w:cs="Arial"/>
                <w:bCs/>
                <w:color w:val="000000"/>
                <w:sz w:val="16"/>
                <w:szCs w:val="16"/>
              </w:rPr>
            </w:pPr>
            <w:r w:rsidRPr="00631582">
              <w:rPr>
                <w:rFonts w:cs="Arial"/>
                <w:bCs/>
                <w:color w:val="000000"/>
                <w:sz w:val="16"/>
                <w:szCs w:val="16"/>
              </w:rPr>
              <w:t>11,8</w:t>
            </w:r>
          </w:p>
        </w:tc>
        <w:tc>
          <w:tcPr>
            <w:tcW w:w="926" w:type="dxa"/>
            <w:shd w:val="clear" w:color="auto" w:fill="C6D9F1" w:themeFill="text2" w:themeFillTint="33"/>
            <w:noWrap/>
            <w:vAlign w:val="center"/>
            <w:hideMark/>
          </w:tcPr>
          <w:p w:rsidR="00306953" w:rsidRPr="00631582" w:rsidRDefault="00306953" w:rsidP="00306953">
            <w:pPr>
              <w:spacing w:after="0" w:line="240" w:lineRule="auto"/>
              <w:jc w:val="center"/>
              <w:rPr>
                <w:rFonts w:cs="Arial"/>
                <w:bCs/>
                <w:color w:val="000000"/>
                <w:sz w:val="16"/>
                <w:szCs w:val="16"/>
              </w:rPr>
            </w:pPr>
            <w:r w:rsidRPr="00631582">
              <w:rPr>
                <w:rFonts w:cs="Arial"/>
                <w:bCs/>
                <w:color w:val="000000"/>
                <w:sz w:val="16"/>
                <w:szCs w:val="16"/>
              </w:rPr>
              <w:t>12,0</w:t>
            </w:r>
          </w:p>
        </w:tc>
        <w:tc>
          <w:tcPr>
            <w:tcW w:w="926" w:type="dxa"/>
            <w:shd w:val="clear" w:color="auto" w:fill="C6D9F1" w:themeFill="text2" w:themeFillTint="33"/>
            <w:noWrap/>
            <w:vAlign w:val="center"/>
            <w:hideMark/>
          </w:tcPr>
          <w:p w:rsidR="00306953" w:rsidRPr="00631582" w:rsidRDefault="00306953" w:rsidP="00306953">
            <w:pPr>
              <w:spacing w:after="0" w:line="240" w:lineRule="auto"/>
              <w:jc w:val="center"/>
              <w:rPr>
                <w:rFonts w:cs="Arial"/>
                <w:bCs/>
                <w:color w:val="000000"/>
                <w:sz w:val="16"/>
                <w:szCs w:val="16"/>
              </w:rPr>
            </w:pPr>
            <w:r w:rsidRPr="00631582">
              <w:rPr>
                <w:rFonts w:cs="Arial"/>
                <w:bCs/>
                <w:color w:val="000000"/>
                <w:sz w:val="16"/>
                <w:szCs w:val="16"/>
              </w:rPr>
              <w:t>11,4</w:t>
            </w:r>
          </w:p>
        </w:tc>
        <w:tc>
          <w:tcPr>
            <w:tcW w:w="926" w:type="dxa"/>
            <w:shd w:val="clear" w:color="auto" w:fill="C6D9F1" w:themeFill="text2" w:themeFillTint="33"/>
            <w:noWrap/>
            <w:vAlign w:val="center"/>
            <w:hideMark/>
          </w:tcPr>
          <w:p w:rsidR="00306953" w:rsidRPr="00631582" w:rsidRDefault="00306953" w:rsidP="00306953">
            <w:pPr>
              <w:spacing w:after="0" w:line="240" w:lineRule="auto"/>
              <w:jc w:val="center"/>
              <w:rPr>
                <w:rFonts w:cs="Arial"/>
                <w:bCs/>
                <w:color w:val="000000"/>
                <w:sz w:val="16"/>
                <w:szCs w:val="16"/>
              </w:rPr>
            </w:pPr>
            <w:r w:rsidRPr="00631582">
              <w:rPr>
                <w:rFonts w:cs="Arial"/>
                <w:bCs/>
                <w:color w:val="000000"/>
                <w:sz w:val="16"/>
                <w:szCs w:val="16"/>
              </w:rPr>
              <w:t>11,3</w:t>
            </w:r>
          </w:p>
        </w:tc>
        <w:tc>
          <w:tcPr>
            <w:tcW w:w="926" w:type="dxa"/>
            <w:shd w:val="clear" w:color="auto" w:fill="C6D9F1" w:themeFill="text2" w:themeFillTint="33"/>
            <w:noWrap/>
            <w:vAlign w:val="center"/>
            <w:hideMark/>
          </w:tcPr>
          <w:p w:rsidR="00306953" w:rsidRPr="00631582" w:rsidRDefault="00306953" w:rsidP="00306953">
            <w:pPr>
              <w:spacing w:after="0" w:line="240" w:lineRule="auto"/>
              <w:jc w:val="center"/>
              <w:rPr>
                <w:rFonts w:cs="Arial"/>
                <w:bCs/>
                <w:color w:val="000000"/>
                <w:sz w:val="16"/>
                <w:szCs w:val="16"/>
              </w:rPr>
            </w:pPr>
            <w:r w:rsidRPr="00631582">
              <w:rPr>
                <w:rFonts w:cs="Arial"/>
                <w:bCs/>
                <w:color w:val="000000"/>
                <w:sz w:val="16"/>
                <w:szCs w:val="16"/>
              </w:rPr>
              <w:t>11,5</w:t>
            </w:r>
          </w:p>
        </w:tc>
        <w:tc>
          <w:tcPr>
            <w:tcW w:w="926" w:type="dxa"/>
            <w:shd w:val="clear" w:color="auto" w:fill="C6D9F1" w:themeFill="text2" w:themeFillTint="33"/>
            <w:noWrap/>
            <w:vAlign w:val="center"/>
            <w:hideMark/>
          </w:tcPr>
          <w:p w:rsidR="00306953" w:rsidRPr="00631582" w:rsidRDefault="00306953" w:rsidP="00306953">
            <w:pPr>
              <w:spacing w:after="0" w:line="240" w:lineRule="auto"/>
              <w:jc w:val="center"/>
              <w:rPr>
                <w:rFonts w:cs="Arial"/>
                <w:bCs/>
                <w:color w:val="000000"/>
                <w:sz w:val="16"/>
                <w:szCs w:val="16"/>
              </w:rPr>
            </w:pPr>
            <w:r w:rsidRPr="00631582">
              <w:rPr>
                <w:rFonts w:cs="Arial"/>
                <w:bCs/>
                <w:color w:val="000000"/>
                <w:sz w:val="16"/>
                <w:szCs w:val="16"/>
              </w:rPr>
              <w:t>11,6</w:t>
            </w:r>
          </w:p>
        </w:tc>
      </w:tr>
      <w:tr w:rsidR="00306953" w:rsidRPr="00306953" w:rsidTr="00BF267F">
        <w:trPr>
          <w:trHeight w:val="270"/>
        </w:trPr>
        <w:tc>
          <w:tcPr>
            <w:tcW w:w="1986" w:type="dxa"/>
            <w:vMerge/>
            <w:vAlign w:val="center"/>
            <w:hideMark/>
          </w:tcPr>
          <w:p w:rsidR="00306953" w:rsidRPr="00306953" w:rsidRDefault="00306953" w:rsidP="00306953">
            <w:pPr>
              <w:spacing w:after="0" w:line="240" w:lineRule="auto"/>
              <w:rPr>
                <w:rFonts w:cs="Arial"/>
                <w:color w:val="000000"/>
                <w:sz w:val="16"/>
                <w:szCs w:val="16"/>
              </w:rPr>
            </w:pPr>
          </w:p>
        </w:tc>
        <w:tc>
          <w:tcPr>
            <w:tcW w:w="1573" w:type="dxa"/>
            <w:shd w:val="clear" w:color="auto" w:fill="C6D9F1" w:themeFill="text2" w:themeFillTint="33"/>
            <w:noWrap/>
            <w:vAlign w:val="center"/>
            <w:hideMark/>
          </w:tcPr>
          <w:p w:rsidR="00306953" w:rsidRPr="00631582" w:rsidRDefault="00F53B2E" w:rsidP="00306953">
            <w:pPr>
              <w:spacing w:after="0" w:line="240" w:lineRule="auto"/>
              <w:rPr>
                <w:rFonts w:cs="Arial"/>
                <w:bCs/>
                <w:color w:val="000000"/>
                <w:sz w:val="16"/>
                <w:szCs w:val="16"/>
              </w:rPr>
            </w:pPr>
            <w:r w:rsidRPr="00631582">
              <w:rPr>
                <w:rFonts w:cs="Arial"/>
                <w:bCs/>
                <w:color w:val="000000"/>
                <w:sz w:val="16"/>
                <w:szCs w:val="16"/>
              </w:rPr>
              <w:t>p</w:t>
            </w:r>
            <w:r w:rsidR="00306953" w:rsidRPr="00631582">
              <w:rPr>
                <w:rFonts w:cs="Arial"/>
                <w:bCs/>
                <w:color w:val="000000"/>
                <w:sz w:val="16"/>
                <w:szCs w:val="16"/>
              </w:rPr>
              <w:t>růměr EU21</w:t>
            </w:r>
          </w:p>
        </w:tc>
        <w:tc>
          <w:tcPr>
            <w:tcW w:w="1104" w:type="dxa"/>
            <w:shd w:val="clear" w:color="auto" w:fill="C6D9F1" w:themeFill="text2" w:themeFillTint="33"/>
            <w:noWrap/>
            <w:vAlign w:val="center"/>
            <w:hideMark/>
          </w:tcPr>
          <w:p w:rsidR="00306953" w:rsidRPr="00631582" w:rsidRDefault="00306953" w:rsidP="00306953">
            <w:pPr>
              <w:spacing w:after="0" w:line="240" w:lineRule="auto"/>
              <w:jc w:val="center"/>
              <w:rPr>
                <w:rFonts w:cs="Arial"/>
                <w:bCs/>
                <w:color w:val="000000"/>
                <w:sz w:val="16"/>
                <w:szCs w:val="16"/>
              </w:rPr>
            </w:pPr>
            <w:r w:rsidRPr="00631582">
              <w:rPr>
                <w:rFonts w:cs="Arial"/>
                <w:bCs/>
                <w:color w:val="000000"/>
                <w:sz w:val="16"/>
                <w:szCs w:val="16"/>
              </w:rPr>
              <w:t>10,4</w:t>
            </w:r>
          </w:p>
        </w:tc>
        <w:tc>
          <w:tcPr>
            <w:tcW w:w="926" w:type="dxa"/>
            <w:shd w:val="clear" w:color="auto" w:fill="C6D9F1" w:themeFill="text2" w:themeFillTint="33"/>
            <w:noWrap/>
            <w:vAlign w:val="center"/>
            <w:hideMark/>
          </w:tcPr>
          <w:p w:rsidR="00306953" w:rsidRPr="00631582" w:rsidRDefault="00306953" w:rsidP="00306953">
            <w:pPr>
              <w:spacing w:after="0" w:line="240" w:lineRule="auto"/>
              <w:jc w:val="center"/>
              <w:rPr>
                <w:rFonts w:cs="Arial"/>
                <w:bCs/>
                <w:color w:val="000000"/>
                <w:sz w:val="16"/>
                <w:szCs w:val="16"/>
              </w:rPr>
            </w:pPr>
            <w:r w:rsidRPr="00631582">
              <w:rPr>
                <w:rFonts w:cs="Arial"/>
                <w:bCs/>
                <w:color w:val="000000"/>
                <w:sz w:val="16"/>
                <w:szCs w:val="16"/>
              </w:rPr>
              <w:t>10,7</w:t>
            </w:r>
          </w:p>
        </w:tc>
        <w:tc>
          <w:tcPr>
            <w:tcW w:w="926" w:type="dxa"/>
            <w:shd w:val="clear" w:color="auto" w:fill="C6D9F1" w:themeFill="text2" w:themeFillTint="33"/>
            <w:noWrap/>
            <w:vAlign w:val="center"/>
            <w:hideMark/>
          </w:tcPr>
          <w:p w:rsidR="00306953" w:rsidRPr="00631582" w:rsidRDefault="00306953" w:rsidP="00306953">
            <w:pPr>
              <w:spacing w:after="0" w:line="240" w:lineRule="auto"/>
              <w:jc w:val="center"/>
              <w:rPr>
                <w:rFonts w:cs="Arial"/>
                <w:bCs/>
                <w:color w:val="000000"/>
                <w:sz w:val="16"/>
                <w:szCs w:val="16"/>
              </w:rPr>
            </w:pPr>
            <w:r w:rsidRPr="00631582">
              <w:rPr>
                <w:rFonts w:cs="Arial"/>
                <w:bCs/>
                <w:color w:val="000000"/>
                <w:sz w:val="16"/>
                <w:szCs w:val="16"/>
              </w:rPr>
              <w:t>10,6</w:t>
            </w:r>
          </w:p>
        </w:tc>
        <w:tc>
          <w:tcPr>
            <w:tcW w:w="926" w:type="dxa"/>
            <w:shd w:val="clear" w:color="auto" w:fill="C6D9F1" w:themeFill="text2" w:themeFillTint="33"/>
            <w:noWrap/>
            <w:vAlign w:val="center"/>
            <w:hideMark/>
          </w:tcPr>
          <w:p w:rsidR="00306953" w:rsidRPr="00631582" w:rsidRDefault="00306953" w:rsidP="00306953">
            <w:pPr>
              <w:spacing w:after="0" w:line="240" w:lineRule="auto"/>
              <w:jc w:val="center"/>
              <w:rPr>
                <w:rFonts w:cs="Arial"/>
                <w:bCs/>
                <w:color w:val="000000"/>
                <w:sz w:val="16"/>
                <w:szCs w:val="16"/>
              </w:rPr>
            </w:pPr>
            <w:r w:rsidRPr="00631582">
              <w:rPr>
                <w:rFonts w:cs="Arial"/>
                <w:bCs/>
                <w:color w:val="000000"/>
                <w:sz w:val="16"/>
                <w:szCs w:val="16"/>
              </w:rPr>
              <w:t>10,2</w:t>
            </w:r>
          </w:p>
        </w:tc>
        <w:tc>
          <w:tcPr>
            <w:tcW w:w="926" w:type="dxa"/>
            <w:shd w:val="clear" w:color="auto" w:fill="C6D9F1" w:themeFill="text2" w:themeFillTint="33"/>
            <w:noWrap/>
            <w:vAlign w:val="center"/>
            <w:hideMark/>
          </w:tcPr>
          <w:p w:rsidR="00306953" w:rsidRPr="00631582" w:rsidRDefault="00306953" w:rsidP="00306953">
            <w:pPr>
              <w:spacing w:after="0" w:line="240" w:lineRule="auto"/>
              <w:jc w:val="center"/>
              <w:rPr>
                <w:rFonts w:cs="Arial"/>
                <w:bCs/>
                <w:color w:val="000000"/>
                <w:sz w:val="16"/>
                <w:szCs w:val="16"/>
              </w:rPr>
            </w:pPr>
            <w:r w:rsidRPr="00631582">
              <w:rPr>
                <w:rFonts w:cs="Arial"/>
                <w:bCs/>
                <w:color w:val="000000"/>
                <w:sz w:val="16"/>
                <w:szCs w:val="16"/>
              </w:rPr>
              <w:t>10,2</w:t>
            </w:r>
          </w:p>
        </w:tc>
        <w:tc>
          <w:tcPr>
            <w:tcW w:w="926" w:type="dxa"/>
            <w:shd w:val="clear" w:color="auto" w:fill="C6D9F1" w:themeFill="text2" w:themeFillTint="33"/>
            <w:noWrap/>
            <w:vAlign w:val="center"/>
            <w:hideMark/>
          </w:tcPr>
          <w:p w:rsidR="00306953" w:rsidRPr="00631582" w:rsidRDefault="00306953" w:rsidP="00306953">
            <w:pPr>
              <w:spacing w:after="0" w:line="240" w:lineRule="auto"/>
              <w:jc w:val="center"/>
              <w:rPr>
                <w:rFonts w:cs="Arial"/>
                <w:bCs/>
                <w:color w:val="000000"/>
                <w:sz w:val="16"/>
                <w:szCs w:val="16"/>
              </w:rPr>
            </w:pPr>
            <w:r w:rsidRPr="00631582">
              <w:rPr>
                <w:rFonts w:cs="Arial"/>
                <w:bCs/>
                <w:color w:val="000000"/>
                <w:sz w:val="16"/>
                <w:szCs w:val="16"/>
              </w:rPr>
              <w:t>10,0</w:t>
            </w:r>
          </w:p>
        </w:tc>
      </w:tr>
      <w:tr w:rsidR="00306953" w:rsidRPr="00306953" w:rsidTr="00BF267F">
        <w:trPr>
          <w:trHeight w:val="261"/>
        </w:trPr>
        <w:tc>
          <w:tcPr>
            <w:tcW w:w="1986" w:type="dxa"/>
            <w:vMerge w:val="restart"/>
            <w:shd w:val="clear" w:color="auto" w:fill="auto"/>
            <w:vAlign w:val="center"/>
            <w:hideMark/>
          </w:tcPr>
          <w:p w:rsidR="00306953" w:rsidRPr="00306953" w:rsidRDefault="00E361EC" w:rsidP="00306953">
            <w:pPr>
              <w:spacing w:after="0" w:line="240" w:lineRule="auto"/>
              <w:rPr>
                <w:rFonts w:cs="Arial"/>
                <w:color w:val="000000"/>
                <w:sz w:val="16"/>
                <w:szCs w:val="16"/>
              </w:rPr>
            </w:pPr>
            <w:r>
              <w:rPr>
                <w:rFonts w:cs="Arial"/>
                <w:color w:val="000000"/>
                <w:sz w:val="16"/>
                <w:szCs w:val="16"/>
              </w:rPr>
              <w:t>v</w:t>
            </w:r>
            <w:r w:rsidR="00306953" w:rsidRPr="00306953">
              <w:rPr>
                <w:rFonts w:cs="Arial"/>
                <w:color w:val="000000"/>
                <w:sz w:val="16"/>
                <w:szCs w:val="16"/>
              </w:rPr>
              <w:t>eřejné výdaje</w:t>
            </w:r>
            <w:r w:rsidR="00306953" w:rsidRPr="00306953">
              <w:rPr>
                <w:rFonts w:cs="Arial"/>
                <w:color w:val="000000"/>
                <w:sz w:val="16"/>
                <w:szCs w:val="16"/>
                <w:vertAlign w:val="superscript"/>
              </w:rPr>
              <w:t>1)</w:t>
            </w:r>
            <w:r w:rsidR="00306953" w:rsidRPr="00306953">
              <w:rPr>
                <w:rFonts w:cs="Arial"/>
                <w:color w:val="000000"/>
                <w:sz w:val="16"/>
                <w:szCs w:val="16"/>
              </w:rPr>
              <w:t xml:space="preserve"> na vzdělávání jakožto podíl z HDP</w:t>
            </w:r>
          </w:p>
        </w:tc>
        <w:tc>
          <w:tcPr>
            <w:tcW w:w="1573" w:type="dxa"/>
            <w:shd w:val="clear" w:color="auto" w:fill="auto"/>
            <w:noWrap/>
            <w:vAlign w:val="center"/>
            <w:hideMark/>
          </w:tcPr>
          <w:p w:rsidR="00306953" w:rsidRPr="00631582" w:rsidRDefault="00306953" w:rsidP="00306953">
            <w:pPr>
              <w:spacing w:after="0" w:line="240" w:lineRule="auto"/>
              <w:rPr>
                <w:rFonts w:cs="Arial"/>
                <w:color w:val="000000"/>
                <w:sz w:val="16"/>
                <w:szCs w:val="16"/>
              </w:rPr>
            </w:pPr>
            <w:r w:rsidRPr="00631582">
              <w:rPr>
                <w:rFonts w:cs="Arial"/>
                <w:color w:val="000000"/>
                <w:sz w:val="16"/>
                <w:szCs w:val="16"/>
              </w:rPr>
              <w:t>Česká republika</w:t>
            </w:r>
          </w:p>
        </w:tc>
        <w:tc>
          <w:tcPr>
            <w:tcW w:w="1104" w:type="dxa"/>
            <w:shd w:val="clear" w:color="auto" w:fill="auto"/>
            <w:noWrap/>
            <w:vAlign w:val="center"/>
            <w:hideMark/>
          </w:tcPr>
          <w:p w:rsidR="00306953" w:rsidRPr="00631582" w:rsidRDefault="00306953" w:rsidP="00306953">
            <w:pPr>
              <w:spacing w:after="0" w:line="240" w:lineRule="auto"/>
              <w:jc w:val="center"/>
              <w:rPr>
                <w:rFonts w:cs="Arial"/>
                <w:color w:val="000000"/>
                <w:sz w:val="16"/>
                <w:szCs w:val="16"/>
              </w:rPr>
            </w:pPr>
            <w:r w:rsidRPr="00631582">
              <w:rPr>
                <w:rFonts w:cs="Arial"/>
                <w:color w:val="000000"/>
                <w:sz w:val="16"/>
                <w:szCs w:val="16"/>
              </w:rPr>
              <w:t>3,2</w:t>
            </w:r>
          </w:p>
        </w:tc>
        <w:tc>
          <w:tcPr>
            <w:tcW w:w="926" w:type="dxa"/>
            <w:shd w:val="clear" w:color="auto" w:fill="auto"/>
            <w:noWrap/>
            <w:vAlign w:val="center"/>
            <w:hideMark/>
          </w:tcPr>
          <w:p w:rsidR="00306953" w:rsidRPr="00631582" w:rsidRDefault="00306953" w:rsidP="00306953">
            <w:pPr>
              <w:spacing w:after="0" w:line="240" w:lineRule="auto"/>
              <w:jc w:val="center"/>
              <w:rPr>
                <w:rFonts w:cs="Arial"/>
                <w:color w:val="000000"/>
                <w:sz w:val="16"/>
                <w:szCs w:val="16"/>
              </w:rPr>
            </w:pPr>
            <w:r w:rsidRPr="00631582">
              <w:rPr>
                <w:rFonts w:cs="Arial"/>
                <w:color w:val="000000"/>
                <w:sz w:val="16"/>
                <w:szCs w:val="16"/>
              </w:rPr>
              <w:t>3,4</w:t>
            </w:r>
          </w:p>
        </w:tc>
        <w:tc>
          <w:tcPr>
            <w:tcW w:w="926" w:type="dxa"/>
            <w:shd w:val="clear" w:color="auto" w:fill="auto"/>
            <w:noWrap/>
            <w:vAlign w:val="center"/>
            <w:hideMark/>
          </w:tcPr>
          <w:p w:rsidR="00306953" w:rsidRPr="00631582" w:rsidRDefault="00306953" w:rsidP="00306953">
            <w:pPr>
              <w:spacing w:after="0" w:line="240" w:lineRule="auto"/>
              <w:jc w:val="center"/>
              <w:rPr>
                <w:rFonts w:cs="Arial"/>
                <w:color w:val="000000"/>
                <w:sz w:val="16"/>
                <w:szCs w:val="16"/>
              </w:rPr>
            </w:pPr>
            <w:r w:rsidRPr="00631582">
              <w:rPr>
                <w:rFonts w:cs="Arial"/>
                <w:color w:val="000000"/>
                <w:sz w:val="16"/>
                <w:szCs w:val="16"/>
              </w:rPr>
              <w:t>3,3</w:t>
            </w:r>
          </w:p>
        </w:tc>
        <w:tc>
          <w:tcPr>
            <w:tcW w:w="926" w:type="dxa"/>
            <w:shd w:val="clear" w:color="auto" w:fill="auto"/>
            <w:noWrap/>
            <w:vAlign w:val="center"/>
            <w:hideMark/>
          </w:tcPr>
          <w:p w:rsidR="00306953" w:rsidRPr="00631582" w:rsidRDefault="00306953" w:rsidP="00306953">
            <w:pPr>
              <w:spacing w:after="0" w:line="240" w:lineRule="auto"/>
              <w:jc w:val="center"/>
              <w:rPr>
                <w:rFonts w:cs="Arial"/>
                <w:color w:val="000000"/>
                <w:sz w:val="16"/>
                <w:szCs w:val="16"/>
              </w:rPr>
            </w:pPr>
            <w:r w:rsidRPr="00631582">
              <w:rPr>
                <w:rFonts w:cs="Arial"/>
                <w:color w:val="000000"/>
                <w:sz w:val="16"/>
                <w:szCs w:val="16"/>
              </w:rPr>
              <w:t>3,5</w:t>
            </w:r>
          </w:p>
        </w:tc>
        <w:tc>
          <w:tcPr>
            <w:tcW w:w="926" w:type="dxa"/>
            <w:shd w:val="clear" w:color="auto" w:fill="auto"/>
            <w:noWrap/>
            <w:vAlign w:val="center"/>
            <w:hideMark/>
          </w:tcPr>
          <w:p w:rsidR="00306953" w:rsidRPr="00631582" w:rsidRDefault="00306953" w:rsidP="00306953">
            <w:pPr>
              <w:spacing w:after="0" w:line="240" w:lineRule="auto"/>
              <w:jc w:val="center"/>
              <w:rPr>
                <w:rFonts w:cs="Arial"/>
                <w:color w:val="000000"/>
                <w:sz w:val="16"/>
                <w:szCs w:val="16"/>
              </w:rPr>
            </w:pPr>
            <w:r w:rsidRPr="00631582">
              <w:rPr>
                <w:rFonts w:cs="Arial"/>
                <w:color w:val="000000"/>
                <w:sz w:val="16"/>
                <w:szCs w:val="16"/>
              </w:rPr>
              <w:t>3,7</w:t>
            </w:r>
          </w:p>
        </w:tc>
        <w:tc>
          <w:tcPr>
            <w:tcW w:w="926" w:type="dxa"/>
            <w:shd w:val="clear" w:color="auto" w:fill="auto"/>
            <w:noWrap/>
            <w:vAlign w:val="center"/>
            <w:hideMark/>
          </w:tcPr>
          <w:p w:rsidR="00306953" w:rsidRPr="00631582" w:rsidRDefault="00306953" w:rsidP="00306953">
            <w:pPr>
              <w:spacing w:after="0" w:line="240" w:lineRule="auto"/>
              <w:jc w:val="center"/>
              <w:rPr>
                <w:rFonts w:cs="Arial"/>
                <w:color w:val="000000"/>
                <w:sz w:val="16"/>
                <w:szCs w:val="16"/>
              </w:rPr>
            </w:pPr>
            <w:r w:rsidRPr="00631582">
              <w:rPr>
                <w:rFonts w:cs="Arial"/>
                <w:color w:val="000000"/>
                <w:sz w:val="16"/>
                <w:szCs w:val="16"/>
              </w:rPr>
              <w:t>3,7</w:t>
            </w:r>
          </w:p>
        </w:tc>
      </w:tr>
      <w:tr w:rsidR="00306953" w:rsidRPr="00306953" w:rsidTr="00BF267F">
        <w:trPr>
          <w:trHeight w:val="270"/>
        </w:trPr>
        <w:tc>
          <w:tcPr>
            <w:tcW w:w="1986" w:type="dxa"/>
            <w:vMerge/>
            <w:vAlign w:val="center"/>
            <w:hideMark/>
          </w:tcPr>
          <w:p w:rsidR="00306953" w:rsidRPr="00306953" w:rsidRDefault="00306953" w:rsidP="00306953">
            <w:pPr>
              <w:spacing w:after="0" w:line="240" w:lineRule="auto"/>
              <w:rPr>
                <w:rFonts w:cs="Arial"/>
                <w:color w:val="000000"/>
                <w:sz w:val="16"/>
                <w:szCs w:val="16"/>
              </w:rPr>
            </w:pPr>
          </w:p>
        </w:tc>
        <w:tc>
          <w:tcPr>
            <w:tcW w:w="1573" w:type="dxa"/>
            <w:shd w:val="clear" w:color="auto" w:fill="auto"/>
            <w:noWrap/>
            <w:vAlign w:val="center"/>
            <w:hideMark/>
          </w:tcPr>
          <w:p w:rsidR="00306953" w:rsidRPr="00631582" w:rsidRDefault="00306953" w:rsidP="00306953">
            <w:pPr>
              <w:spacing w:after="0" w:line="240" w:lineRule="auto"/>
              <w:rPr>
                <w:rFonts w:cs="Arial"/>
                <w:color w:val="000000"/>
                <w:sz w:val="16"/>
                <w:szCs w:val="16"/>
              </w:rPr>
            </w:pPr>
            <w:r w:rsidRPr="00631582">
              <w:rPr>
                <w:rFonts w:cs="Arial"/>
                <w:color w:val="000000"/>
                <w:sz w:val="16"/>
                <w:szCs w:val="16"/>
              </w:rPr>
              <w:t>Slovensko</w:t>
            </w:r>
          </w:p>
        </w:tc>
        <w:tc>
          <w:tcPr>
            <w:tcW w:w="1104" w:type="dxa"/>
            <w:shd w:val="clear" w:color="auto" w:fill="auto"/>
            <w:noWrap/>
            <w:vAlign w:val="center"/>
            <w:hideMark/>
          </w:tcPr>
          <w:p w:rsidR="00306953" w:rsidRPr="00631582" w:rsidRDefault="00306953" w:rsidP="00306953">
            <w:pPr>
              <w:spacing w:after="0" w:line="240" w:lineRule="auto"/>
              <w:jc w:val="center"/>
              <w:rPr>
                <w:rFonts w:cs="Arial"/>
                <w:color w:val="000000"/>
                <w:sz w:val="16"/>
                <w:szCs w:val="16"/>
              </w:rPr>
            </w:pPr>
            <w:r w:rsidRPr="00631582">
              <w:rPr>
                <w:rFonts w:cs="Arial"/>
                <w:color w:val="000000"/>
                <w:sz w:val="16"/>
                <w:szCs w:val="16"/>
              </w:rPr>
              <w:t>3,3</w:t>
            </w:r>
          </w:p>
        </w:tc>
        <w:tc>
          <w:tcPr>
            <w:tcW w:w="926" w:type="dxa"/>
            <w:shd w:val="clear" w:color="auto" w:fill="auto"/>
            <w:noWrap/>
            <w:vAlign w:val="center"/>
            <w:hideMark/>
          </w:tcPr>
          <w:p w:rsidR="00306953" w:rsidRPr="00631582" w:rsidRDefault="00306953" w:rsidP="00306953">
            <w:pPr>
              <w:spacing w:after="0" w:line="240" w:lineRule="auto"/>
              <w:jc w:val="center"/>
              <w:rPr>
                <w:rFonts w:cs="Arial"/>
                <w:color w:val="000000"/>
                <w:sz w:val="16"/>
                <w:szCs w:val="16"/>
              </w:rPr>
            </w:pPr>
            <w:r w:rsidRPr="00631582">
              <w:rPr>
                <w:rFonts w:cs="Arial"/>
                <w:color w:val="000000"/>
                <w:sz w:val="16"/>
                <w:szCs w:val="16"/>
              </w:rPr>
              <w:t>3,3</w:t>
            </w:r>
          </w:p>
        </w:tc>
        <w:tc>
          <w:tcPr>
            <w:tcW w:w="926" w:type="dxa"/>
            <w:shd w:val="clear" w:color="auto" w:fill="auto"/>
            <w:noWrap/>
            <w:vAlign w:val="center"/>
            <w:hideMark/>
          </w:tcPr>
          <w:p w:rsidR="00306953" w:rsidRPr="00631582" w:rsidRDefault="00306953" w:rsidP="00306953">
            <w:pPr>
              <w:spacing w:after="0" w:line="240" w:lineRule="auto"/>
              <w:jc w:val="center"/>
              <w:rPr>
                <w:rFonts w:cs="Arial"/>
                <w:color w:val="000000"/>
                <w:sz w:val="16"/>
                <w:szCs w:val="16"/>
              </w:rPr>
            </w:pPr>
            <w:r w:rsidRPr="00631582">
              <w:rPr>
                <w:rFonts w:cs="Arial"/>
                <w:color w:val="000000"/>
                <w:sz w:val="16"/>
                <w:szCs w:val="16"/>
              </w:rPr>
              <w:t>3,0</w:t>
            </w:r>
          </w:p>
        </w:tc>
        <w:tc>
          <w:tcPr>
            <w:tcW w:w="926" w:type="dxa"/>
            <w:shd w:val="clear" w:color="auto" w:fill="auto"/>
            <w:noWrap/>
            <w:vAlign w:val="center"/>
            <w:hideMark/>
          </w:tcPr>
          <w:p w:rsidR="00306953" w:rsidRPr="00631582" w:rsidRDefault="00306953" w:rsidP="00306953">
            <w:pPr>
              <w:spacing w:after="0" w:line="240" w:lineRule="auto"/>
              <w:jc w:val="center"/>
              <w:rPr>
                <w:rFonts w:cs="Arial"/>
                <w:color w:val="000000"/>
                <w:sz w:val="16"/>
                <w:szCs w:val="16"/>
              </w:rPr>
            </w:pPr>
            <w:r w:rsidRPr="00631582">
              <w:rPr>
                <w:rFonts w:cs="Arial"/>
                <w:color w:val="000000"/>
                <w:sz w:val="16"/>
                <w:szCs w:val="16"/>
              </w:rPr>
              <w:t>3,6</w:t>
            </w:r>
          </w:p>
        </w:tc>
        <w:tc>
          <w:tcPr>
            <w:tcW w:w="926" w:type="dxa"/>
            <w:shd w:val="clear" w:color="auto" w:fill="auto"/>
            <w:noWrap/>
            <w:vAlign w:val="center"/>
            <w:hideMark/>
          </w:tcPr>
          <w:p w:rsidR="00306953" w:rsidRPr="00631582" w:rsidRDefault="00306953" w:rsidP="00306953">
            <w:pPr>
              <w:spacing w:after="0" w:line="240" w:lineRule="auto"/>
              <w:jc w:val="center"/>
              <w:rPr>
                <w:rFonts w:cs="Arial"/>
                <w:color w:val="000000"/>
                <w:sz w:val="16"/>
                <w:szCs w:val="16"/>
              </w:rPr>
            </w:pPr>
            <w:r w:rsidRPr="00631582">
              <w:rPr>
                <w:rFonts w:cs="Arial"/>
                <w:color w:val="000000"/>
                <w:sz w:val="16"/>
                <w:szCs w:val="16"/>
              </w:rPr>
              <w:t>3,5</w:t>
            </w:r>
          </w:p>
        </w:tc>
        <w:tc>
          <w:tcPr>
            <w:tcW w:w="926" w:type="dxa"/>
            <w:shd w:val="clear" w:color="auto" w:fill="auto"/>
            <w:noWrap/>
            <w:vAlign w:val="center"/>
            <w:hideMark/>
          </w:tcPr>
          <w:p w:rsidR="00306953" w:rsidRPr="00631582" w:rsidRDefault="00306953" w:rsidP="00306953">
            <w:pPr>
              <w:spacing w:after="0" w:line="240" w:lineRule="auto"/>
              <w:jc w:val="center"/>
              <w:rPr>
                <w:rFonts w:cs="Arial"/>
                <w:color w:val="000000"/>
                <w:sz w:val="16"/>
                <w:szCs w:val="16"/>
              </w:rPr>
            </w:pPr>
            <w:r w:rsidRPr="00631582">
              <w:rPr>
                <w:rFonts w:cs="Arial"/>
                <w:color w:val="000000"/>
                <w:sz w:val="16"/>
                <w:szCs w:val="16"/>
              </w:rPr>
              <w:t>3,5</w:t>
            </w:r>
          </w:p>
        </w:tc>
      </w:tr>
      <w:tr w:rsidR="00306953" w:rsidRPr="00306953" w:rsidTr="00BF267F">
        <w:trPr>
          <w:trHeight w:val="270"/>
        </w:trPr>
        <w:tc>
          <w:tcPr>
            <w:tcW w:w="1986" w:type="dxa"/>
            <w:vMerge/>
            <w:vAlign w:val="center"/>
            <w:hideMark/>
          </w:tcPr>
          <w:p w:rsidR="00306953" w:rsidRPr="00306953" w:rsidRDefault="00306953" w:rsidP="00306953">
            <w:pPr>
              <w:spacing w:after="0" w:line="240" w:lineRule="auto"/>
              <w:rPr>
                <w:rFonts w:cs="Arial"/>
                <w:color w:val="000000"/>
                <w:sz w:val="16"/>
                <w:szCs w:val="16"/>
              </w:rPr>
            </w:pPr>
          </w:p>
        </w:tc>
        <w:tc>
          <w:tcPr>
            <w:tcW w:w="1573" w:type="dxa"/>
            <w:shd w:val="clear" w:color="auto" w:fill="auto"/>
            <w:noWrap/>
            <w:vAlign w:val="center"/>
            <w:hideMark/>
          </w:tcPr>
          <w:p w:rsidR="00306953" w:rsidRPr="00631582" w:rsidRDefault="00306953" w:rsidP="00306953">
            <w:pPr>
              <w:spacing w:after="0" w:line="240" w:lineRule="auto"/>
              <w:rPr>
                <w:rFonts w:cs="Arial"/>
                <w:color w:val="000000"/>
                <w:sz w:val="16"/>
                <w:szCs w:val="16"/>
              </w:rPr>
            </w:pPr>
            <w:r w:rsidRPr="00631582">
              <w:rPr>
                <w:rFonts w:cs="Arial"/>
                <w:color w:val="000000"/>
                <w:sz w:val="16"/>
                <w:szCs w:val="16"/>
              </w:rPr>
              <w:t>Polsko</w:t>
            </w:r>
          </w:p>
        </w:tc>
        <w:tc>
          <w:tcPr>
            <w:tcW w:w="1104" w:type="dxa"/>
            <w:shd w:val="clear" w:color="auto" w:fill="auto"/>
            <w:noWrap/>
            <w:vAlign w:val="center"/>
            <w:hideMark/>
          </w:tcPr>
          <w:p w:rsidR="00306953" w:rsidRPr="00631582" w:rsidRDefault="00306953" w:rsidP="00306953">
            <w:pPr>
              <w:spacing w:after="0" w:line="240" w:lineRule="auto"/>
              <w:jc w:val="center"/>
              <w:rPr>
                <w:rFonts w:cs="Arial"/>
                <w:color w:val="000000"/>
                <w:sz w:val="16"/>
                <w:szCs w:val="16"/>
              </w:rPr>
            </w:pPr>
            <w:r w:rsidRPr="00631582">
              <w:rPr>
                <w:rFonts w:cs="Arial"/>
                <w:color w:val="000000"/>
                <w:sz w:val="16"/>
                <w:szCs w:val="16"/>
              </w:rPr>
              <w:t>4,4</w:t>
            </w:r>
          </w:p>
        </w:tc>
        <w:tc>
          <w:tcPr>
            <w:tcW w:w="926" w:type="dxa"/>
            <w:shd w:val="clear" w:color="auto" w:fill="auto"/>
            <w:noWrap/>
            <w:vAlign w:val="center"/>
            <w:hideMark/>
          </w:tcPr>
          <w:p w:rsidR="00306953" w:rsidRPr="00631582" w:rsidRDefault="00306953" w:rsidP="00306953">
            <w:pPr>
              <w:spacing w:after="0" w:line="240" w:lineRule="auto"/>
              <w:jc w:val="center"/>
              <w:rPr>
                <w:rFonts w:cs="Arial"/>
                <w:color w:val="000000"/>
                <w:sz w:val="16"/>
                <w:szCs w:val="16"/>
              </w:rPr>
            </w:pPr>
            <w:r w:rsidRPr="00631582">
              <w:rPr>
                <w:rFonts w:cs="Arial"/>
                <w:color w:val="000000"/>
                <w:sz w:val="16"/>
                <w:szCs w:val="16"/>
              </w:rPr>
              <w:t>4,9</w:t>
            </w:r>
          </w:p>
        </w:tc>
        <w:tc>
          <w:tcPr>
            <w:tcW w:w="926" w:type="dxa"/>
            <w:shd w:val="clear" w:color="auto" w:fill="auto"/>
            <w:noWrap/>
            <w:vAlign w:val="center"/>
            <w:hideMark/>
          </w:tcPr>
          <w:p w:rsidR="00306953" w:rsidRPr="00631582" w:rsidRDefault="00306953" w:rsidP="00306953">
            <w:pPr>
              <w:spacing w:after="0" w:line="240" w:lineRule="auto"/>
              <w:jc w:val="center"/>
              <w:rPr>
                <w:rFonts w:cs="Arial"/>
                <w:color w:val="000000"/>
                <w:sz w:val="16"/>
                <w:szCs w:val="16"/>
              </w:rPr>
            </w:pPr>
            <w:r w:rsidRPr="00631582">
              <w:rPr>
                <w:rFonts w:cs="Arial"/>
                <w:color w:val="000000"/>
                <w:sz w:val="16"/>
                <w:szCs w:val="16"/>
              </w:rPr>
              <w:t>4,5</w:t>
            </w:r>
          </w:p>
        </w:tc>
        <w:tc>
          <w:tcPr>
            <w:tcW w:w="926" w:type="dxa"/>
            <w:shd w:val="clear" w:color="auto" w:fill="auto"/>
            <w:noWrap/>
            <w:vAlign w:val="center"/>
            <w:hideMark/>
          </w:tcPr>
          <w:p w:rsidR="00306953" w:rsidRPr="00631582" w:rsidRDefault="00306953" w:rsidP="00306953">
            <w:pPr>
              <w:spacing w:after="0" w:line="240" w:lineRule="auto"/>
              <w:jc w:val="center"/>
              <w:rPr>
                <w:rFonts w:cs="Arial"/>
                <w:color w:val="000000"/>
                <w:sz w:val="16"/>
                <w:szCs w:val="16"/>
              </w:rPr>
            </w:pPr>
            <w:r w:rsidRPr="00631582">
              <w:rPr>
                <w:rFonts w:cs="Arial"/>
                <w:color w:val="000000"/>
                <w:sz w:val="16"/>
                <w:szCs w:val="16"/>
              </w:rPr>
              <w:t>4,6</w:t>
            </w:r>
          </w:p>
        </w:tc>
        <w:tc>
          <w:tcPr>
            <w:tcW w:w="926" w:type="dxa"/>
            <w:shd w:val="clear" w:color="auto" w:fill="auto"/>
            <w:noWrap/>
            <w:vAlign w:val="center"/>
            <w:hideMark/>
          </w:tcPr>
          <w:p w:rsidR="00306953" w:rsidRPr="00631582" w:rsidRDefault="00306953" w:rsidP="00306953">
            <w:pPr>
              <w:spacing w:after="0" w:line="240" w:lineRule="auto"/>
              <w:jc w:val="center"/>
              <w:rPr>
                <w:rFonts w:cs="Arial"/>
                <w:color w:val="000000"/>
                <w:sz w:val="16"/>
                <w:szCs w:val="16"/>
              </w:rPr>
            </w:pPr>
            <w:r w:rsidRPr="00631582">
              <w:rPr>
                <w:rFonts w:cs="Arial"/>
                <w:color w:val="000000"/>
                <w:sz w:val="16"/>
                <w:szCs w:val="16"/>
              </w:rPr>
              <w:t>4,3</w:t>
            </w:r>
          </w:p>
        </w:tc>
        <w:tc>
          <w:tcPr>
            <w:tcW w:w="926" w:type="dxa"/>
            <w:shd w:val="clear" w:color="auto" w:fill="auto"/>
            <w:noWrap/>
            <w:vAlign w:val="center"/>
            <w:hideMark/>
          </w:tcPr>
          <w:p w:rsidR="00306953" w:rsidRPr="00631582" w:rsidRDefault="00306953" w:rsidP="00306953">
            <w:pPr>
              <w:spacing w:after="0" w:line="240" w:lineRule="auto"/>
              <w:jc w:val="center"/>
              <w:rPr>
                <w:rFonts w:cs="Arial"/>
                <w:color w:val="000000"/>
                <w:sz w:val="16"/>
                <w:szCs w:val="16"/>
              </w:rPr>
            </w:pPr>
            <w:r w:rsidRPr="00631582">
              <w:rPr>
                <w:rFonts w:cs="Arial"/>
                <w:color w:val="000000"/>
                <w:sz w:val="16"/>
                <w:szCs w:val="16"/>
              </w:rPr>
              <w:t>4,3</w:t>
            </w:r>
          </w:p>
        </w:tc>
      </w:tr>
      <w:tr w:rsidR="00306953" w:rsidRPr="00306953" w:rsidTr="00BF267F">
        <w:trPr>
          <w:trHeight w:val="270"/>
        </w:trPr>
        <w:tc>
          <w:tcPr>
            <w:tcW w:w="1986" w:type="dxa"/>
            <w:vMerge/>
            <w:vAlign w:val="center"/>
            <w:hideMark/>
          </w:tcPr>
          <w:p w:rsidR="00306953" w:rsidRPr="00306953" w:rsidRDefault="00306953" w:rsidP="00306953">
            <w:pPr>
              <w:spacing w:after="0" w:line="240" w:lineRule="auto"/>
              <w:rPr>
                <w:rFonts w:cs="Arial"/>
                <w:color w:val="000000"/>
                <w:sz w:val="16"/>
                <w:szCs w:val="16"/>
              </w:rPr>
            </w:pPr>
          </w:p>
        </w:tc>
        <w:tc>
          <w:tcPr>
            <w:tcW w:w="1573" w:type="dxa"/>
            <w:shd w:val="clear" w:color="auto" w:fill="auto"/>
            <w:noWrap/>
            <w:vAlign w:val="center"/>
            <w:hideMark/>
          </w:tcPr>
          <w:p w:rsidR="00306953" w:rsidRPr="00631582" w:rsidRDefault="00306953" w:rsidP="00306953">
            <w:pPr>
              <w:spacing w:after="0" w:line="240" w:lineRule="auto"/>
              <w:rPr>
                <w:rFonts w:cs="Arial"/>
                <w:color w:val="000000"/>
                <w:sz w:val="16"/>
                <w:szCs w:val="16"/>
              </w:rPr>
            </w:pPr>
            <w:r w:rsidRPr="00631582">
              <w:rPr>
                <w:rFonts w:cs="Arial"/>
                <w:color w:val="000000"/>
                <w:sz w:val="16"/>
                <w:szCs w:val="16"/>
              </w:rPr>
              <w:t>Estonsko</w:t>
            </w:r>
          </w:p>
        </w:tc>
        <w:tc>
          <w:tcPr>
            <w:tcW w:w="1104" w:type="dxa"/>
            <w:shd w:val="clear" w:color="auto" w:fill="auto"/>
            <w:noWrap/>
            <w:vAlign w:val="center"/>
            <w:hideMark/>
          </w:tcPr>
          <w:p w:rsidR="00306953" w:rsidRPr="00631582" w:rsidRDefault="00306953" w:rsidP="00306953">
            <w:pPr>
              <w:spacing w:after="0" w:line="240" w:lineRule="auto"/>
              <w:jc w:val="center"/>
              <w:rPr>
                <w:rFonts w:cs="Arial"/>
                <w:color w:val="000000"/>
                <w:sz w:val="16"/>
                <w:szCs w:val="16"/>
              </w:rPr>
            </w:pPr>
            <w:r w:rsidRPr="00631582">
              <w:rPr>
                <w:rFonts w:cs="Arial"/>
                <w:color w:val="000000"/>
                <w:sz w:val="16"/>
                <w:szCs w:val="16"/>
              </w:rPr>
              <w:t>4,9</w:t>
            </w:r>
          </w:p>
        </w:tc>
        <w:tc>
          <w:tcPr>
            <w:tcW w:w="926" w:type="dxa"/>
            <w:shd w:val="clear" w:color="auto" w:fill="auto"/>
            <w:noWrap/>
            <w:vAlign w:val="center"/>
            <w:hideMark/>
          </w:tcPr>
          <w:p w:rsidR="00306953" w:rsidRPr="00631582" w:rsidRDefault="00306953" w:rsidP="00306953">
            <w:pPr>
              <w:spacing w:after="0" w:line="240" w:lineRule="auto"/>
              <w:jc w:val="center"/>
              <w:rPr>
                <w:rFonts w:cs="Arial"/>
                <w:color w:val="000000"/>
                <w:sz w:val="16"/>
                <w:szCs w:val="16"/>
              </w:rPr>
            </w:pPr>
            <w:r w:rsidRPr="00631582">
              <w:rPr>
                <w:rFonts w:cs="Arial"/>
                <w:color w:val="000000"/>
                <w:sz w:val="16"/>
                <w:szCs w:val="16"/>
              </w:rPr>
              <w:t>4,5</w:t>
            </w:r>
          </w:p>
        </w:tc>
        <w:tc>
          <w:tcPr>
            <w:tcW w:w="926" w:type="dxa"/>
            <w:shd w:val="clear" w:color="auto" w:fill="auto"/>
            <w:noWrap/>
            <w:vAlign w:val="center"/>
            <w:hideMark/>
          </w:tcPr>
          <w:p w:rsidR="00306953" w:rsidRPr="00631582" w:rsidRDefault="00306953" w:rsidP="00306953">
            <w:pPr>
              <w:spacing w:after="0" w:line="240" w:lineRule="auto"/>
              <w:jc w:val="center"/>
              <w:rPr>
                <w:rFonts w:cs="Arial"/>
                <w:color w:val="000000"/>
                <w:sz w:val="16"/>
                <w:szCs w:val="16"/>
              </w:rPr>
            </w:pPr>
            <w:r w:rsidRPr="00631582">
              <w:rPr>
                <w:rFonts w:cs="Arial"/>
                <w:color w:val="000000"/>
                <w:sz w:val="16"/>
                <w:szCs w:val="16"/>
              </w:rPr>
              <w:t>5,0</w:t>
            </w:r>
          </w:p>
        </w:tc>
        <w:tc>
          <w:tcPr>
            <w:tcW w:w="926" w:type="dxa"/>
            <w:shd w:val="clear" w:color="auto" w:fill="auto"/>
            <w:noWrap/>
            <w:vAlign w:val="center"/>
            <w:hideMark/>
          </w:tcPr>
          <w:p w:rsidR="00306953" w:rsidRPr="00631582" w:rsidRDefault="00306953" w:rsidP="00306953">
            <w:pPr>
              <w:spacing w:after="0" w:line="240" w:lineRule="auto"/>
              <w:jc w:val="center"/>
              <w:rPr>
                <w:rFonts w:cs="Arial"/>
                <w:color w:val="000000"/>
                <w:sz w:val="16"/>
                <w:szCs w:val="16"/>
              </w:rPr>
            </w:pPr>
            <w:r w:rsidRPr="00631582">
              <w:rPr>
                <w:rFonts w:cs="Arial"/>
                <w:color w:val="000000"/>
                <w:sz w:val="16"/>
                <w:szCs w:val="16"/>
              </w:rPr>
              <w:t>5,1</w:t>
            </w:r>
          </w:p>
        </w:tc>
        <w:tc>
          <w:tcPr>
            <w:tcW w:w="926" w:type="dxa"/>
            <w:shd w:val="clear" w:color="auto" w:fill="auto"/>
            <w:noWrap/>
            <w:vAlign w:val="center"/>
            <w:hideMark/>
          </w:tcPr>
          <w:p w:rsidR="00306953" w:rsidRPr="00631582" w:rsidRDefault="00306953" w:rsidP="00306953">
            <w:pPr>
              <w:spacing w:after="0" w:line="240" w:lineRule="auto"/>
              <w:jc w:val="center"/>
              <w:rPr>
                <w:rFonts w:cs="Arial"/>
                <w:color w:val="000000"/>
                <w:sz w:val="16"/>
                <w:szCs w:val="16"/>
              </w:rPr>
            </w:pPr>
            <w:r w:rsidRPr="00631582">
              <w:rPr>
                <w:rFonts w:cs="Arial"/>
                <w:color w:val="000000"/>
                <w:sz w:val="16"/>
                <w:szCs w:val="16"/>
              </w:rPr>
              <w:t>4,7</w:t>
            </w:r>
          </w:p>
        </w:tc>
        <w:tc>
          <w:tcPr>
            <w:tcW w:w="926" w:type="dxa"/>
            <w:shd w:val="clear" w:color="auto" w:fill="auto"/>
            <w:noWrap/>
            <w:vAlign w:val="center"/>
            <w:hideMark/>
          </w:tcPr>
          <w:p w:rsidR="00306953" w:rsidRPr="00631582" w:rsidRDefault="00306953" w:rsidP="00306953">
            <w:pPr>
              <w:spacing w:after="0" w:line="240" w:lineRule="auto"/>
              <w:jc w:val="center"/>
              <w:rPr>
                <w:rFonts w:cs="Arial"/>
                <w:color w:val="000000"/>
                <w:sz w:val="16"/>
                <w:szCs w:val="16"/>
              </w:rPr>
            </w:pPr>
            <w:r w:rsidRPr="00631582">
              <w:rPr>
                <w:rFonts w:cs="Arial"/>
                <w:color w:val="000000"/>
                <w:sz w:val="16"/>
                <w:szCs w:val="16"/>
              </w:rPr>
              <w:t>4,4</w:t>
            </w:r>
          </w:p>
        </w:tc>
      </w:tr>
      <w:tr w:rsidR="00306953" w:rsidRPr="00306953" w:rsidTr="00BF267F">
        <w:trPr>
          <w:trHeight w:val="270"/>
        </w:trPr>
        <w:tc>
          <w:tcPr>
            <w:tcW w:w="1986" w:type="dxa"/>
            <w:vMerge/>
            <w:vAlign w:val="center"/>
            <w:hideMark/>
          </w:tcPr>
          <w:p w:rsidR="00306953" w:rsidRPr="00306953" w:rsidRDefault="00306953" w:rsidP="00306953">
            <w:pPr>
              <w:spacing w:after="0" w:line="240" w:lineRule="auto"/>
              <w:rPr>
                <w:rFonts w:cs="Arial"/>
                <w:color w:val="000000"/>
                <w:sz w:val="16"/>
                <w:szCs w:val="16"/>
              </w:rPr>
            </w:pPr>
          </w:p>
        </w:tc>
        <w:tc>
          <w:tcPr>
            <w:tcW w:w="1573" w:type="dxa"/>
            <w:shd w:val="clear" w:color="auto" w:fill="auto"/>
            <w:noWrap/>
            <w:vAlign w:val="center"/>
            <w:hideMark/>
          </w:tcPr>
          <w:p w:rsidR="00306953" w:rsidRPr="00631582" w:rsidRDefault="00306953" w:rsidP="00306953">
            <w:pPr>
              <w:spacing w:after="0" w:line="240" w:lineRule="auto"/>
              <w:rPr>
                <w:rFonts w:cs="Arial"/>
                <w:color w:val="000000"/>
                <w:sz w:val="16"/>
                <w:szCs w:val="16"/>
              </w:rPr>
            </w:pPr>
            <w:r w:rsidRPr="00631582">
              <w:rPr>
                <w:rFonts w:cs="Arial"/>
                <w:color w:val="000000"/>
                <w:sz w:val="16"/>
                <w:szCs w:val="16"/>
              </w:rPr>
              <w:t>Finsko</w:t>
            </w:r>
          </w:p>
        </w:tc>
        <w:tc>
          <w:tcPr>
            <w:tcW w:w="1104" w:type="dxa"/>
            <w:shd w:val="clear" w:color="auto" w:fill="auto"/>
            <w:noWrap/>
            <w:vAlign w:val="center"/>
            <w:hideMark/>
          </w:tcPr>
          <w:p w:rsidR="00306953" w:rsidRPr="00631582" w:rsidRDefault="00306953" w:rsidP="00306953">
            <w:pPr>
              <w:spacing w:after="0" w:line="240" w:lineRule="auto"/>
              <w:jc w:val="center"/>
              <w:rPr>
                <w:rFonts w:cs="Arial"/>
                <w:color w:val="000000"/>
                <w:sz w:val="16"/>
                <w:szCs w:val="16"/>
              </w:rPr>
            </w:pPr>
            <w:r w:rsidRPr="00631582">
              <w:rPr>
                <w:rFonts w:cs="Arial"/>
                <w:color w:val="000000"/>
                <w:sz w:val="16"/>
                <w:szCs w:val="16"/>
              </w:rPr>
              <w:t>5,5</w:t>
            </w:r>
          </w:p>
        </w:tc>
        <w:tc>
          <w:tcPr>
            <w:tcW w:w="926" w:type="dxa"/>
            <w:shd w:val="clear" w:color="auto" w:fill="auto"/>
            <w:noWrap/>
            <w:vAlign w:val="center"/>
            <w:hideMark/>
          </w:tcPr>
          <w:p w:rsidR="00306953" w:rsidRPr="00631582" w:rsidRDefault="00306953" w:rsidP="00306953">
            <w:pPr>
              <w:spacing w:after="0" w:line="240" w:lineRule="auto"/>
              <w:jc w:val="center"/>
              <w:rPr>
                <w:rFonts w:cs="Arial"/>
                <w:color w:val="000000"/>
                <w:sz w:val="16"/>
                <w:szCs w:val="16"/>
              </w:rPr>
            </w:pPr>
            <w:r w:rsidRPr="00631582">
              <w:rPr>
                <w:rFonts w:cs="Arial"/>
                <w:color w:val="000000"/>
                <w:sz w:val="16"/>
                <w:szCs w:val="16"/>
              </w:rPr>
              <w:t>5,7</w:t>
            </w:r>
          </w:p>
        </w:tc>
        <w:tc>
          <w:tcPr>
            <w:tcW w:w="926" w:type="dxa"/>
            <w:shd w:val="clear" w:color="auto" w:fill="auto"/>
            <w:noWrap/>
            <w:vAlign w:val="center"/>
            <w:hideMark/>
          </w:tcPr>
          <w:p w:rsidR="00306953" w:rsidRPr="00631582" w:rsidRDefault="00306953" w:rsidP="00306953">
            <w:pPr>
              <w:spacing w:after="0" w:line="240" w:lineRule="auto"/>
              <w:jc w:val="center"/>
              <w:rPr>
                <w:rFonts w:cs="Arial"/>
                <w:color w:val="000000"/>
                <w:sz w:val="16"/>
                <w:szCs w:val="16"/>
              </w:rPr>
            </w:pPr>
            <w:r w:rsidRPr="00631582">
              <w:rPr>
                <w:rFonts w:cs="Arial"/>
                <w:color w:val="000000"/>
                <w:sz w:val="16"/>
                <w:szCs w:val="16"/>
              </w:rPr>
              <w:t>5,5</w:t>
            </w:r>
          </w:p>
        </w:tc>
        <w:tc>
          <w:tcPr>
            <w:tcW w:w="926" w:type="dxa"/>
            <w:shd w:val="clear" w:color="auto" w:fill="auto"/>
            <w:noWrap/>
            <w:vAlign w:val="center"/>
            <w:hideMark/>
          </w:tcPr>
          <w:p w:rsidR="00306953" w:rsidRPr="00631582" w:rsidRDefault="00306953" w:rsidP="00306953">
            <w:pPr>
              <w:spacing w:after="0" w:line="240" w:lineRule="auto"/>
              <w:jc w:val="center"/>
              <w:rPr>
                <w:rFonts w:cs="Arial"/>
                <w:color w:val="000000"/>
                <w:sz w:val="16"/>
                <w:szCs w:val="16"/>
              </w:rPr>
            </w:pPr>
            <w:r w:rsidRPr="00631582">
              <w:rPr>
                <w:rFonts w:cs="Arial"/>
                <w:color w:val="000000"/>
                <w:sz w:val="16"/>
                <w:szCs w:val="16"/>
              </w:rPr>
              <w:t>6,2</w:t>
            </w:r>
          </w:p>
        </w:tc>
        <w:tc>
          <w:tcPr>
            <w:tcW w:w="926" w:type="dxa"/>
            <w:shd w:val="clear" w:color="auto" w:fill="auto"/>
            <w:noWrap/>
            <w:vAlign w:val="center"/>
            <w:hideMark/>
          </w:tcPr>
          <w:p w:rsidR="00306953" w:rsidRPr="00631582" w:rsidRDefault="00306953" w:rsidP="00306953">
            <w:pPr>
              <w:spacing w:after="0" w:line="240" w:lineRule="auto"/>
              <w:jc w:val="center"/>
              <w:rPr>
                <w:rFonts w:cs="Arial"/>
                <w:color w:val="000000"/>
                <w:sz w:val="16"/>
                <w:szCs w:val="16"/>
              </w:rPr>
            </w:pPr>
            <w:r w:rsidRPr="00631582">
              <w:rPr>
                <w:rFonts w:cs="Arial"/>
                <w:color w:val="000000"/>
                <w:sz w:val="16"/>
                <w:szCs w:val="16"/>
              </w:rPr>
              <w:t>6,1</w:t>
            </w:r>
          </w:p>
        </w:tc>
        <w:tc>
          <w:tcPr>
            <w:tcW w:w="926" w:type="dxa"/>
            <w:shd w:val="clear" w:color="auto" w:fill="auto"/>
            <w:noWrap/>
            <w:vAlign w:val="center"/>
            <w:hideMark/>
          </w:tcPr>
          <w:p w:rsidR="00306953" w:rsidRPr="00631582" w:rsidRDefault="00306953" w:rsidP="00306953">
            <w:pPr>
              <w:spacing w:after="0" w:line="240" w:lineRule="auto"/>
              <w:jc w:val="center"/>
              <w:rPr>
                <w:rFonts w:cs="Arial"/>
                <w:color w:val="000000"/>
                <w:sz w:val="16"/>
                <w:szCs w:val="16"/>
              </w:rPr>
            </w:pPr>
            <w:r w:rsidRPr="00631582">
              <w:rPr>
                <w:rFonts w:cs="Arial"/>
                <w:color w:val="000000"/>
                <w:sz w:val="16"/>
                <w:szCs w:val="16"/>
              </w:rPr>
              <w:t>6,1</w:t>
            </w:r>
          </w:p>
        </w:tc>
      </w:tr>
      <w:tr w:rsidR="00306953" w:rsidRPr="00306953" w:rsidTr="00BF267F">
        <w:trPr>
          <w:trHeight w:val="270"/>
        </w:trPr>
        <w:tc>
          <w:tcPr>
            <w:tcW w:w="1986" w:type="dxa"/>
            <w:vMerge/>
            <w:vAlign w:val="center"/>
            <w:hideMark/>
          </w:tcPr>
          <w:p w:rsidR="00306953" w:rsidRPr="00306953" w:rsidRDefault="00306953" w:rsidP="00306953">
            <w:pPr>
              <w:spacing w:after="0" w:line="240" w:lineRule="auto"/>
              <w:rPr>
                <w:rFonts w:cs="Arial"/>
                <w:color w:val="000000"/>
                <w:sz w:val="16"/>
                <w:szCs w:val="16"/>
              </w:rPr>
            </w:pPr>
          </w:p>
        </w:tc>
        <w:tc>
          <w:tcPr>
            <w:tcW w:w="1573" w:type="dxa"/>
            <w:shd w:val="clear" w:color="auto" w:fill="C6D9F1" w:themeFill="text2" w:themeFillTint="33"/>
            <w:noWrap/>
            <w:vAlign w:val="center"/>
            <w:hideMark/>
          </w:tcPr>
          <w:p w:rsidR="00306953" w:rsidRPr="00631582" w:rsidRDefault="00F53B2E" w:rsidP="00306953">
            <w:pPr>
              <w:spacing w:after="0" w:line="240" w:lineRule="auto"/>
              <w:rPr>
                <w:rFonts w:cs="Arial"/>
                <w:bCs/>
                <w:color w:val="000000"/>
                <w:sz w:val="16"/>
                <w:szCs w:val="16"/>
              </w:rPr>
            </w:pPr>
            <w:r w:rsidRPr="00631582">
              <w:rPr>
                <w:rFonts w:cs="Arial"/>
                <w:bCs/>
                <w:color w:val="000000"/>
                <w:sz w:val="16"/>
                <w:szCs w:val="16"/>
              </w:rPr>
              <w:t>p</w:t>
            </w:r>
            <w:r w:rsidR="00306953" w:rsidRPr="00631582">
              <w:rPr>
                <w:rFonts w:cs="Arial"/>
                <w:bCs/>
                <w:color w:val="000000"/>
                <w:sz w:val="16"/>
                <w:szCs w:val="16"/>
              </w:rPr>
              <w:t>růměr OECD</w:t>
            </w:r>
          </w:p>
        </w:tc>
        <w:tc>
          <w:tcPr>
            <w:tcW w:w="1104" w:type="dxa"/>
            <w:shd w:val="clear" w:color="auto" w:fill="C6D9F1" w:themeFill="text2" w:themeFillTint="33"/>
            <w:noWrap/>
            <w:vAlign w:val="center"/>
            <w:hideMark/>
          </w:tcPr>
          <w:p w:rsidR="00306953" w:rsidRPr="00631582" w:rsidRDefault="00306953" w:rsidP="00306953">
            <w:pPr>
              <w:spacing w:after="0" w:line="240" w:lineRule="auto"/>
              <w:jc w:val="center"/>
              <w:rPr>
                <w:rFonts w:cs="Arial"/>
                <w:bCs/>
                <w:color w:val="000000"/>
                <w:sz w:val="16"/>
                <w:szCs w:val="16"/>
              </w:rPr>
            </w:pPr>
            <w:r w:rsidRPr="00631582">
              <w:rPr>
                <w:rFonts w:cs="Arial"/>
                <w:bCs/>
                <w:color w:val="000000"/>
                <w:sz w:val="16"/>
                <w:szCs w:val="16"/>
              </w:rPr>
              <w:t>4,5</w:t>
            </w:r>
          </w:p>
        </w:tc>
        <w:tc>
          <w:tcPr>
            <w:tcW w:w="926" w:type="dxa"/>
            <w:shd w:val="clear" w:color="auto" w:fill="C6D9F1" w:themeFill="text2" w:themeFillTint="33"/>
            <w:noWrap/>
            <w:vAlign w:val="center"/>
            <w:hideMark/>
          </w:tcPr>
          <w:p w:rsidR="00306953" w:rsidRPr="00631582" w:rsidRDefault="00306953" w:rsidP="00306953">
            <w:pPr>
              <w:spacing w:after="0" w:line="240" w:lineRule="auto"/>
              <w:jc w:val="center"/>
              <w:rPr>
                <w:rFonts w:cs="Arial"/>
                <w:bCs/>
                <w:color w:val="000000"/>
                <w:sz w:val="16"/>
                <w:szCs w:val="16"/>
              </w:rPr>
            </w:pPr>
            <w:r w:rsidRPr="00631582">
              <w:rPr>
                <w:rFonts w:cs="Arial"/>
                <w:bCs/>
                <w:color w:val="000000"/>
                <w:sz w:val="16"/>
                <w:szCs w:val="16"/>
              </w:rPr>
              <w:t>4,7</w:t>
            </w:r>
          </w:p>
        </w:tc>
        <w:tc>
          <w:tcPr>
            <w:tcW w:w="926" w:type="dxa"/>
            <w:shd w:val="clear" w:color="auto" w:fill="C6D9F1" w:themeFill="text2" w:themeFillTint="33"/>
            <w:noWrap/>
            <w:vAlign w:val="center"/>
            <w:hideMark/>
          </w:tcPr>
          <w:p w:rsidR="00306953" w:rsidRPr="00631582" w:rsidRDefault="00306953" w:rsidP="00306953">
            <w:pPr>
              <w:spacing w:after="0" w:line="240" w:lineRule="auto"/>
              <w:jc w:val="center"/>
              <w:rPr>
                <w:rFonts w:cs="Arial"/>
                <w:bCs/>
                <w:color w:val="000000"/>
                <w:sz w:val="16"/>
                <w:szCs w:val="16"/>
              </w:rPr>
            </w:pPr>
            <w:r w:rsidRPr="00631582">
              <w:rPr>
                <w:rFonts w:cs="Arial"/>
                <w:bCs/>
                <w:color w:val="000000"/>
                <w:sz w:val="16"/>
                <w:szCs w:val="16"/>
              </w:rPr>
              <w:t>4,6</w:t>
            </w:r>
          </w:p>
        </w:tc>
        <w:tc>
          <w:tcPr>
            <w:tcW w:w="926" w:type="dxa"/>
            <w:shd w:val="clear" w:color="auto" w:fill="C6D9F1" w:themeFill="text2" w:themeFillTint="33"/>
            <w:noWrap/>
            <w:vAlign w:val="center"/>
            <w:hideMark/>
          </w:tcPr>
          <w:p w:rsidR="00306953" w:rsidRPr="00631582" w:rsidRDefault="00306953" w:rsidP="00306953">
            <w:pPr>
              <w:spacing w:after="0" w:line="240" w:lineRule="auto"/>
              <w:jc w:val="center"/>
              <w:rPr>
                <w:rFonts w:cs="Arial"/>
                <w:bCs/>
                <w:color w:val="000000"/>
                <w:sz w:val="16"/>
                <w:szCs w:val="16"/>
              </w:rPr>
            </w:pPr>
            <w:r w:rsidRPr="00631582">
              <w:rPr>
                <w:rFonts w:cs="Arial"/>
                <w:bCs/>
                <w:color w:val="000000"/>
                <w:sz w:val="16"/>
                <w:szCs w:val="16"/>
              </w:rPr>
              <w:t>4,9</w:t>
            </w:r>
          </w:p>
        </w:tc>
        <w:tc>
          <w:tcPr>
            <w:tcW w:w="926" w:type="dxa"/>
            <w:shd w:val="clear" w:color="auto" w:fill="C6D9F1" w:themeFill="text2" w:themeFillTint="33"/>
            <w:noWrap/>
            <w:vAlign w:val="center"/>
            <w:hideMark/>
          </w:tcPr>
          <w:p w:rsidR="00306953" w:rsidRPr="00631582" w:rsidRDefault="00306953" w:rsidP="00306953">
            <w:pPr>
              <w:spacing w:after="0" w:line="240" w:lineRule="auto"/>
              <w:jc w:val="center"/>
              <w:rPr>
                <w:rFonts w:cs="Arial"/>
                <w:bCs/>
                <w:color w:val="000000"/>
                <w:sz w:val="16"/>
                <w:szCs w:val="16"/>
              </w:rPr>
            </w:pPr>
            <w:r w:rsidRPr="00631582">
              <w:rPr>
                <w:rFonts w:cs="Arial"/>
                <w:bCs/>
                <w:color w:val="000000"/>
                <w:sz w:val="16"/>
                <w:szCs w:val="16"/>
              </w:rPr>
              <w:t>4,8</w:t>
            </w:r>
          </w:p>
        </w:tc>
        <w:tc>
          <w:tcPr>
            <w:tcW w:w="926" w:type="dxa"/>
            <w:shd w:val="clear" w:color="auto" w:fill="C6D9F1" w:themeFill="text2" w:themeFillTint="33"/>
            <w:noWrap/>
            <w:vAlign w:val="center"/>
            <w:hideMark/>
          </w:tcPr>
          <w:p w:rsidR="00306953" w:rsidRPr="00631582" w:rsidRDefault="00306953" w:rsidP="00306953">
            <w:pPr>
              <w:spacing w:after="0" w:line="240" w:lineRule="auto"/>
              <w:jc w:val="center"/>
              <w:rPr>
                <w:rFonts w:cs="Arial"/>
                <w:bCs/>
                <w:color w:val="000000"/>
                <w:sz w:val="16"/>
                <w:szCs w:val="16"/>
              </w:rPr>
            </w:pPr>
            <w:r w:rsidRPr="00631582">
              <w:rPr>
                <w:rFonts w:cs="Arial"/>
                <w:bCs/>
                <w:color w:val="000000"/>
                <w:sz w:val="16"/>
                <w:szCs w:val="16"/>
              </w:rPr>
              <w:t>4,8</w:t>
            </w:r>
          </w:p>
        </w:tc>
      </w:tr>
      <w:tr w:rsidR="00306953" w:rsidRPr="00306953" w:rsidTr="00BF267F">
        <w:trPr>
          <w:trHeight w:val="270"/>
        </w:trPr>
        <w:tc>
          <w:tcPr>
            <w:tcW w:w="1986" w:type="dxa"/>
            <w:vMerge/>
            <w:vAlign w:val="center"/>
            <w:hideMark/>
          </w:tcPr>
          <w:p w:rsidR="00306953" w:rsidRPr="00306953" w:rsidRDefault="00306953" w:rsidP="00306953">
            <w:pPr>
              <w:spacing w:after="0" w:line="240" w:lineRule="auto"/>
              <w:rPr>
                <w:rFonts w:cs="Arial"/>
                <w:color w:val="000000"/>
                <w:sz w:val="16"/>
                <w:szCs w:val="16"/>
              </w:rPr>
            </w:pPr>
          </w:p>
        </w:tc>
        <w:tc>
          <w:tcPr>
            <w:tcW w:w="1573" w:type="dxa"/>
            <w:shd w:val="clear" w:color="auto" w:fill="C6D9F1" w:themeFill="text2" w:themeFillTint="33"/>
            <w:noWrap/>
            <w:vAlign w:val="center"/>
            <w:hideMark/>
          </w:tcPr>
          <w:p w:rsidR="00306953" w:rsidRPr="00631582" w:rsidRDefault="00F53B2E" w:rsidP="00306953">
            <w:pPr>
              <w:spacing w:after="0" w:line="240" w:lineRule="auto"/>
              <w:rPr>
                <w:rFonts w:cs="Arial"/>
                <w:bCs/>
                <w:color w:val="000000"/>
                <w:sz w:val="16"/>
                <w:szCs w:val="16"/>
              </w:rPr>
            </w:pPr>
            <w:r w:rsidRPr="00631582">
              <w:rPr>
                <w:rFonts w:cs="Arial"/>
                <w:bCs/>
                <w:color w:val="000000"/>
                <w:sz w:val="16"/>
                <w:szCs w:val="16"/>
              </w:rPr>
              <w:t>p</w:t>
            </w:r>
            <w:r w:rsidR="00306953" w:rsidRPr="00631582">
              <w:rPr>
                <w:rFonts w:cs="Arial"/>
                <w:bCs/>
                <w:color w:val="000000"/>
                <w:sz w:val="16"/>
                <w:szCs w:val="16"/>
              </w:rPr>
              <w:t>růměr EU21</w:t>
            </w:r>
          </w:p>
        </w:tc>
        <w:tc>
          <w:tcPr>
            <w:tcW w:w="1104" w:type="dxa"/>
            <w:shd w:val="clear" w:color="auto" w:fill="C6D9F1" w:themeFill="text2" w:themeFillTint="33"/>
            <w:noWrap/>
            <w:vAlign w:val="center"/>
            <w:hideMark/>
          </w:tcPr>
          <w:p w:rsidR="00306953" w:rsidRPr="00631582" w:rsidRDefault="00306953" w:rsidP="00306953">
            <w:pPr>
              <w:spacing w:after="0" w:line="240" w:lineRule="auto"/>
              <w:jc w:val="center"/>
              <w:rPr>
                <w:rFonts w:cs="Arial"/>
                <w:bCs/>
                <w:color w:val="000000"/>
                <w:sz w:val="16"/>
                <w:szCs w:val="16"/>
              </w:rPr>
            </w:pPr>
            <w:r w:rsidRPr="00631582">
              <w:rPr>
                <w:rFonts w:cs="Arial"/>
                <w:bCs/>
                <w:color w:val="000000"/>
                <w:sz w:val="16"/>
                <w:szCs w:val="16"/>
              </w:rPr>
              <w:t>4,5</w:t>
            </w:r>
          </w:p>
        </w:tc>
        <w:tc>
          <w:tcPr>
            <w:tcW w:w="926" w:type="dxa"/>
            <w:shd w:val="clear" w:color="auto" w:fill="C6D9F1" w:themeFill="text2" w:themeFillTint="33"/>
            <w:noWrap/>
            <w:vAlign w:val="center"/>
            <w:hideMark/>
          </w:tcPr>
          <w:p w:rsidR="00306953" w:rsidRPr="00631582" w:rsidRDefault="00306953" w:rsidP="00306953">
            <w:pPr>
              <w:spacing w:after="0" w:line="240" w:lineRule="auto"/>
              <w:jc w:val="center"/>
              <w:rPr>
                <w:rFonts w:cs="Arial"/>
                <w:bCs/>
                <w:color w:val="000000"/>
                <w:sz w:val="16"/>
                <w:szCs w:val="16"/>
              </w:rPr>
            </w:pPr>
            <w:r w:rsidRPr="00631582">
              <w:rPr>
                <w:rFonts w:cs="Arial"/>
                <w:bCs/>
                <w:color w:val="000000"/>
                <w:sz w:val="16"/>
                <w:szCs w:val="16"/>
              </w:rPr>
              <w:t>4,7</w:t>
            </w:r>
          </w:p>
        </w:tc>
        <w:tc>
          <w:tcPr>
            <w:tcW w:w="926" w:type="dxa"/>
            <w:shd w:val="clear" w:color="auto" w:fill="C6D9F1" w:themeFill="text2" w:themeFillTint="33"/>
            <w:noWrap/>
            <w:vAlign w:val="center"/>
            <w:hideMark/>
          </w:tcPr>
          <w:p w:rsidR="00306953" w:rsidRPr="00631582" w:rsidRDefault="00306953" w:rsidP="00306953">
            <w:pPr>
              <w:spacing w:after="0" w:line="240" w:lineRule="auto"/>
              <w:jc w:val="center"/>
              <w:rPr>
                <w:rFonts w:cs="Arial"/>
                <w:bCs/>
                <w:color w:val="000000"/>
                <w:sz w:val="16"/>
                <w:szCs w:val="16"/>
              </w:rPr>
            </w:pPr>
            <w:r w:rsidRPr="00631582">
              <w:rPr>
                <w:rFonts w:cs="Arial"/>
                <w:bCs/>
                <w:color w:val="000000"/>
                <w:sz w:val="16"/>
                <w:szCs w:val="16"/>
              </w:rPr>
              <w:t>4,7</w:t>
            </w:r>
          </w:p>
        </w:tc>
        <w:tc>
          <w:tcPr>
            <w:tcW w:w="926" w:type="dxa"/>
            <w:shd w:val="clear" w:color="auto" w:fill="C6D9F1" w:themeFill="text2" w:themeFillTint="33"/>
            <w:noWrap/>
            <w:vAlign w:val="center"/>
            <w:hideMark/>
          </w:tcPr>
          <w:p w:rsidR="00306953" w:rsidRPr="00631582" w:rsidRDefault="00306953" w:rsidP="00306953">
            <w:pPr>
              <w:spacing w:after="0" w:line="240" w:lineRule="auto"/>
              <w:jc w:val="center"/>
              <w:rPr>
                <w:rFonts w:cs="Arial"/>
                <w:bCs/>
                <w:color w:val="000000"/>
                <w:sz w:val="16"/>
                <w:szCs w:val="16"/>
              </w:rPr>
            </w:pPr>
            <w:r w:rsidRPr="00631582">
              <w:rPr>
                <w:rFonts w:cs="Arial"/>
                <w:bCs/>
                <w:color w:val="000000"/>
                <w:sz w:val="16"/>
                <w:szCs w:val="16"/>
              </w:rPr>
              <w:t>5,0</w:t>
            </w:r>
          </w:p>
        </w:tc>
        <w:tc>
          <w:tcPr>
            <w:tcW w:w="926" w:type="dxa"/>
            <w:shd w:val="clear" w:color="auto" w:fill="C6D9F1" w:themeFill="text2" w:themeFillTint="33"/>
            <w:noWrap/>
            <w:vAlign w:val="center"/>
            <w:hideMark/>
          </w:tcPr>
          <w:p w:rsidR="00306953" w:rsidRPr="00631582" w:rsidRDefault="00306953" w:rsidP="00306953">
            <w:pPr>
              <w:spacing w:after="0" w:line="240" w:lineRule="auto"/>
              <w:jc w:val="center"/>
              <w:rPr>
                <w:rFonts w:cs="Arial"/>
                <w:bCs/>
                <w:color w:val="000000"/>
                <w:sz w:val="16"/>
                <w:szCs w:val="16"/>
              </w:rPr>
            </w:pPr>
            <w:r w:rsidRPr="00631582">
              <w:rPr>
                <w:rFonts w:cs="Arial"/>
                <w:bCs/>
                <w:color w:val="000000"/>
                <w:sz w:val="16"/>
                <w:szCs w:val="16"/>
              </w:rPr>
              <w:t>4,8</w:t>
            </w:r>
          </w:p>
        </w:tc>
        <w:tc>
          <w:tcPr>
            <w:tcW w:w="926" w:type="dxa"/>
            <w:shd w:val="clear" w:color="auto" w:fill="C6D9F1" w:themeFill="text2" w:themeFillTint="33"/>
            <w:noWrap/>
            <w:vAlign w:val="center"/>
            <w:hideMark/>
          </w:tcPr>
          <w:p w:rsidR="00306953" w:rsidRPr="00631582" w:rsidRDefault="00306953" w:rsidP="00306953">
            <w:pPr>
              <w:spacing w:after="0" w:line="240" w:lineRule="auto"/>
              <w:jc w:val="center"/>
              <w:rPr>
                <w:rFonts w:cs="Arial"/>
                <w:bCs/>
                <w:color w:val="000000"/>
                <w:sz w:val="16"/>
                <w:szCs w:val="16"/>
              </w:rPr>
            </w:pPr>
            <w:r w:rsidRPr="00631582">
              <w:rPr>
                <w:rFonts w:cs="Arial"/>
                <w:bCs/>
                <w:color w:val="000000"/>
                <w:sz w:val="16"/>
                <w:szCs w:val="16"/>
              </w:rPr>
              <w:t>4,6</w:t>
            </w:r>
          </w:p>
        </w:tc>
      </w:tr>
    </w:tbl>
    <w:p w:rsidR="00306953" w:rsidRPr="00306953" w:rsidRDefault="00306953" w:rsidP="00264CB0">
      <w:pPr>
        <w:autoSpaceDE w:val="0"/>
        <w:autoSpaceDN w:val="0"/>
        <w:adjustRightInd w:val="0"/>
        <w:spacing w:before="120" w:after="0" w:line="240" w:lineRule="auto"/>
        <w:jc w:val="both"/>
        <w:rPr>
          <w:rFonts w:eastAsia="ChaparralPro-Regular" w:cs="Arial"/>
          <w:i/>
          <w:sz w:val="16"/>
          <w:szCs w:val="16"/>
        </w:rPr>
      </w:pPr>
      <w:r w:rsidRPr="00306953">
        <w:rPr>
          <w:rFonts w:cs="Arial"/>
          <w:color w:val="000000"/>
          <w:sz w:val="16"/>
          <w:szCs w:val="16"/>
          <w:vertAlign w:val="superscript"/>
        </w:rPr>
        <w:t>1)</w:t>
      </w:r>
      <w:r w:rsidRPr="00306953">
        <w:rPr>
          <w:rFonts w:eastAsia="ChaparralPro-Regular" w:cs="Arial"/>
          <w:i/>
          <w:sz w:val="16"/>
          <w:szCs w:val="16"/>
        </w:rPr>
        <w:t xml:space="preserve">Veřejné výdaje prezentované v této tabulce zahrnují veřejné dotace domácnostem na životní náklady (stipendia a granty pro studenty/domácnosti a studentské půjčky), které nejsou výdaji na vzdělávací instituce. Podíly, které jsou zde uvedeny, jsou proto zpravidla vyšší než podíly vyjadřující výdaje na vzdělávací instituce v tabulce B2.3 v publikaci Education at a Glance 2015. </w:t>
      </w:r>
    </w:p>
    <w:p w:rsidR="00306953" w:rsidRPr="00306953" w:rsidRDefault="00306953" w:rsidP="00306953">
      <w:pPr>
        <w:autoSpaceDE w:val="0"/>
        <w:autoSpaceDN w:val="0"/>
        <w:adjustRightInd w:val="0"/>
        <w:spacing w:after="0" w:line="240" w:lineRule="auto"/>
        <w:jc w:val="both"/>
        <w:rPr>
          <w:rFonts w:eastAsia="ChaparralPro-Regular" w:cs="Arial"/>
          <w:sz w:val="16"/>
          <w:szCs w:val="16"/>
        </w:rPr>
      </w:pPr>
      <w:r w:rsidRPr="00306953">
        <w:rPr>
          <w:rFonts w:eastAsia="ChaparralPro-Regular" w:cs="Arial"/>
          <w:sz w:val="16"/>
          <w:szCs w:val="16"/>
        </w:rPr>
        <w:t xml:space="preserve">Zdroj: OECD 2015, tabulka B 4.2. StatLink: </w:t>
      </w:r>
      <w:hyperlink r:id="rId55" w:history="1">
        <w:r w:rsidRPr="00306953">
          <w:rPr>
            <w:rStyle w:val="Hypertextovodkaz"/>
            <w:rFonts w:eastAsia="ChaparralPro-Regular" w:cs="Arial"/>
            <w:sz w:val="16"/>
            <w:szCs w:val="16"/>
          </w:rPr>
          <w:t>http://dx.doi.org/10.1787/888933285538</w:t>
        </w:r>
      </w:hyperlink>
      <w:r w:rsidRPr="00306953">
        <w:rPr>
          <w:rFonts w:eastAsia="ChaparralPro-Regular" w:cs="Arial"/>
          <w:sz w:val="16"/>
          <w:szCs w:val="16"/>
        </w:rPr>
        <w:t>, výběr údajů ČSÚ.</w:t>
      </w:r>
    </w:p>
    <w:p w:rsidR="00306953" w:rsidRPr="00306953" w:rsidRDefault="00306953" w:rsidP="00306953">
      <w:pPr>
        <w:autoSpaceDE w:val="0"/>
        <w:autoSpaceDN w:val="0"/>
        <w:adjustRightInd w:val="0"/>
        <w:spacing w:after="0" w:line="240" w:lineRule="auto"/>
        <w:jc w:val="both"/>
        <w:rPr>
          <w:rFonts w:eastAsia="ChaparralPro-Regular" w:cs="Arial"/>
          <w:szCs w:val="20"/>
        </w:rPr>
      </w:pPr>
    </w:p>
    <w:p w:rsidR="00306953" w:rsidRPr="00306953" w:rsidRDefault="00306953" w:rsidP="00306953">
      <w:pPr>
        <w:pStyle w:val="Default"/>
        <w:spacing w:after="120"/>
        <w:jc w:val="both"/>
        <w:rPr>
          <w:rFonts w:ascii="Arial" w:eastAsia="ChaparralPro-Regular" w:hAnsi="Arial" w:cs="Arial"/>
          <w:color w:val="auto"/>
          <w:sz w:val="20"/>
          <w:szCs w:val="20"/>
        </w:rPr>
      </w:pPr>
      <w:r w:rsidRPr="00306953">
        <w:rPr>
          <w:rFonts w:ascii="Arial" w:eastAsia="ChaparralPro-Regular" w:hAnsi="Arial" w:cs="Arial"/>
          <w:color w:val="auto"/>
          <w:sz w:val="20"/>
          <w:szCs w:val="20"/>
        </w:rPr>
        <w:t xml:space="preserve">Jak je patrné, Česká republika i Slovensko vydaly v uvedených letech z veřejného rozpočtu ze zemí uvedených v tabulce nejnižší (a celkově výrazně podprůměrný) podíl financí na primární až terciární vzdělávání – v roce 2012 to bylo 9 % v ČR i na Slovensku. Podobných hodnot dosáhlo z 31 </w:t>
      </w:r>
      <w:r w:rsidR="009D2BD9">
        <w:rPr>
          <w:rFonts w:ascii="Arial" w:eastAsia="ChaparralPro-Regular" w:hAnsi="Arial" w:cs="Arial"/>
          <w:color w:val="auto"/>
          <w:sz w:val="20"/>
          <w:szCs w:val="20"/>
        </w:rPr>
        <w:t>sledovaných států OECD, za které</w:t>
      </w:r>
      <w:r w:rsidRPr="00306953">
        <w:rPr>
          <w:rFonts w:ascii="Arial" w:eastAsia="ChaparralPro-Regular" w:hAnsi="Arial" w:cs="Arial"/>
          <w:color w:val="auto"/>
          <w:sz w:val="20"/>
          <w:szCs w:val="20"/>
        </w:rPr>
        <w:t xml:space="preserve"> jsou dostupná data, Japonsko a Francie, nižších pak pouze Lucembursko, Španělsko, Maďarsko a Itálie (v Itálii tento podíl činil nejméně, tj. 7,4 %). Naopak nejvyšší podíl zaznamenal Nový Zéland a Mexiko (obojí 18,4 %). Průměr za země v EU i OECD je 10 % a průměr za země OECD 11,6 %.</w:t>
      </w:r>
    </w:p>
    <w:p w:rsidR="00306953" w:rsidRPr="00306953" w:rsidRDefault="00306953" w:rsidP="00306953">
      <w:pPr>
        <w:pStyle w:val="Default"/>
        <w:spacing w:after="120"/>
        <w:jc w:val="both"/>
        <w:rPr>
          <w:rFonts w:ascii="Arial" w:eastAsia="ChaparralPro-Regular" w:hAnsi="Arial" w:cs="Arial"/>
          <w:color w:val="auto"/>
          <w:sz w:val="20"/>
          <w:szCs w:val="20"/>
        </w:rPr>
      </w:pPr>
      <w:r w:rsidRPr="00306953">
        <w:rPr>
          <w:rFonts w:ascii="Arial" w:eastAsia="ChaparralPro-Regular" w:hAnsi="Arial" w:cs="Arial"/>
          <w:color w:val="auto"/>
          <w:sz w:val="20"/>
          <w:szCs w:val="20"/>
        </w:rPr>
        <w:t>Navzdory relativně nižším výdajům na vzdělávání ze státního rozpočtu v ČR lze poznamenat, že oproti roku 2005 byl v ČR v roce 2012 podíl výdajů na vzdělávání z celkových veřejných výdajů o 0,6 procentního bodu vyšší. Na Slovensku se zvýšil pouze o 0,2 procentního bodu,</w:t>
      </w:r>
      <w:r w:rsidR="00E52654">
        <w:rPr>
          <w:rFonts w:ascii="Arial" w:eastAsia="ChaparralPro-Regular" w:hAnsi="Arial" w:cs="Arial"/>
          <w:color w:val="auto"/>
          <w:sz w:val="20"/>
          <w:szCs w:val="20"/>
        </w:rPr>
        <w:t xml:space="preserve"> v ostatních zemích v tabulce a </w:t>
      </w:r>
      <w:r w:rsidRPr="00306953">
        <w:rPr>
          <w:rFonts w:ascii="Arial" w:eastAsia="ChaparralPro-Regular" w:hAnsi="Arial" w:cs="Arial"/>
          <w:color w:val="auto"/>
          <w:sz w:val="20"/>
          <w:szCs w:val="20"/>
        </w:rPr>
        <w:t xml:space="preserve">v mezinárodních průměrech došlo ke snížení. </w:t>
      </w:r>
      <w:r w:rsidR="009D2BD9">
        <w:rPr>
          <w:rFonts w:ascii="Arial" w:eastAsia="ChaparralPro-Regular" w:hAnsi="Arial" w:cs="Arial"/>
          <w:color w:val="auto"/>
          <w:sz w:val="20"/>
          <w:szCs w:val="20"/>
        </w:rPr>
        <w:t>V rámci zemí</w:t>
      </w:r>
      <w:r w:rsidRPr="00306953">
        <w:rPr>
          <w:rFonts w:ascii="Arial" w:eastAsia="ChaparralPro-Regular" w:hAnsi="Arial" w:cs="Arial"/>
          <w:color w:val="auto"/>
          <w:sz w:val="20"/>
          <w:szCs w:val="20"/>
        </w:rPr>
        <w:t xml:space="preserve"> OECD se tento podíl snížil ve třech pětinách států, za které jsou dostupná data, nejvíce v Estonsku (o 2,2 procentního bodu). Naopak v Izraeli došlo k nárůstu o 3 procentní body. </w:t>
      </w:r>
    </w:p>
    <w:p w:rsidR="00306953" w:rsidRPr="00306953" w:rsidRDefault="00306953" w:rsidP="00306953">
      <w:pPr>
        <w:pStyle w:val="Default"/>
        <w:spacing w:after="120"/>
        <w:jc w:val="both"/>
        <w:rPr>
          <w:rFonts w:ascii="Arial" w:eastAsia="ChaparralPro-Regular" w:hAnsi="Arial" w:cs="Arial"/>
          <w:color w:val="auto"/>
          <w:sz w:val="20"/>
          <w:szCs w:val="20"/>
        </w:rPr>
      </w:pPr>
      <w:r w:rsidRPr="00306953">
        <w:rPr>
          <w:rFonts w:ascii="Arial" w:eastAsia="ChaparralPro-Regular" w:hAnsi="Arial" w:cs="Arial"/>
          <w:color w:val="auto"/>
          <w:sz w:val="20"/>
          <w:szCs w:val="20"/>
        </w:rPr>
        <w:t>Výdaje na primární až terciární vzdělávání byly v roce 2012 v ČR a na Slovensku v mezinárodním srovnání nízké i v případě, že sledujeme jejich podíl na HDP (tj. 3,7 %, resp. 3,5 %). Ostatní země v tabulce, ale též oba mezinárodní průměry vykazují již vyšší hodnoty (ve Finsku je to dokonce 6,1 %, v mezinárodních průměrech pak 4,8 %, resp. 4,6 %). Slovensko dokonce dosáhlo v tomto ohledu nejnižší hodnoty ze všech 32 zemí OECD, za která jsou dostupná data; naopak nejvyšší hodnotu zaznamenalo Norsko (7,7 %) (viz původní tabulka B</w:t>
      </w:r>
      <w:r w:rsidR="009D2BD9">
        <w:rPr>
          <w:rFonts w:ascii="Arial" w:eastAsia="ChaparralPro-Regular" w:hAnsi="Arial" w:cs="Arial"/>
          <w:color w:val="auto"/>
          <w:sz w:val="20"/>
          <w:szCs w:val="20"/>
        </w:rPr>
        <w:t xml:space="preserve"> </w:t>
      </w:r>
      <w:r w:rsidR="00C261B9">
        <w:rPr>
          <w:rFonts w:ascii="Arial" w:eastAsia="ChaparralPro-Regular" w:hAnsi="Arial" w:cs="Arial"/>
          <w:color w:val="auto"/>
          <w:sz w:val="20"/>
          <w:szCs w:val="20"/>
        </w:rPr>
        <w:t>4.2 v </w:t>
      </w:r>
      <w:hyperlink r:id="rId56" w:history="1">
        <w:r w:rsidR="00C261B9" w:rsidRPr="000037AC">
          <w:rPr>
            <w:rStyle w:val="Hypertextovodkaz"/>
            <w:rFonts w:ascii="Arial" w:eastAsia="ChaparralPro-Regular" w:hAnsi="Arial" w:cs="Arial"/>
            <w:sz w:val="20"/>
            <w:szCs w:val="20"/>
          </w:rPr>
          <w:t>indikátorech k publikaci</w:t>
        </w:r>
        <w:r w:rsidRPr="000037AC">
          <w:rPr>
            <w:rStyle w:val="Hypertextovodkaz"/>
            <w:rFonts w:ascii="Arial" w:eastAsia="ChaparralPro-Regular" w:hAnsi="Arial" w:cs="Arial"/>
            <w:sz w:val="20"/>
            <w:szCs w:val="20"/>
          </w:rPr>
          <w:t xml:space="preserve"> OECD 2015</w:t>
        </w:r>
      </w:hyperlink>
      <w:r w:rsidRPr="00306953">
        <w:rPr>
          <w:rFonts w:ascii="Arial" w:eastAsia="ChaparralPro-Regular" w:hAnsi="Arial" w:cs="Arial"/>
          <w:color w:val="auto"/>
          <w:sz w:val="20"/>
          <w:szCs w:val="20"/>
        </w:rPr>
        <w:t>).</w:t>
      </w:r>
    </w:p>
    <w:p w:rsidR="00306953" w:rsidRPr="00306953" w:rsidRDefault="00306953" w:rsidP="00306953">
      <w:pPr>
        <w:pStyle w:val="Default"/>
        <w:spacing w:after="120"/>
        <w:jc w:val="both"/>
        <w:rPr>
          <w:rFonts w:ascii="Arial" w:eastAsia="ChaparralPro-Regular" w:hAnsi="Arial" w:cs="Arial"/>
          <w:color w:val="auto"/>
          <w:sz w:val="20"/>
          <w:szCs w:val="20"/>
        </w:rPr>
      </w:pPr>
      <w:r w:rsidRPr="00306953">
        <w:rPr>
          <w:rFonts w:ascii="Arial" w:eastAsia="ChaparralPro-Regular" w:hAnsi="Arial" w:cs="Arial"/>
          <w:color w:val="auto"/>
          <w:sz w:val="20"/>
          <w:szCs w:val="20"/>
        </w:rPr>
        <w:t>Ze zemí sledovaných v tabulce č. 4 došlo mezi lety 2005 a 2012 v ČR, na Slovensku, a ve Finsku ke zvýšení podílu, který tvořily veřejné výdaje na vzdělávání z HDP (o 0,3 </w:t>
      </w:r>
      <w:r w:rsidR="004D1B6C">
        <w:rPr>
          <w:rFonts w:ascii="Arial" w:eastAsia="ChaparralPro-Regular" w:hAnsi="Arial" w:cs="Arial"/>
          <w:color w:val="auto"/>
          <w:sz w:val="20"/>
          <w:szCs w:val="20"/>
        </w:rPr>
        <w:t>procentního bodu</w:t>
      </w:r>
      <w:r w:rsidRPr="00306953">
        <w:rPr>
          <w:rFonts w:ascii="Arial" w:eastAsia="ChaparralPro-Regular" w:hAnsi="Arial" w:cs="Arial"/>
          <w:color w:val="auto"/>
          <w:sz w:val="20"/>
          <w:szCs w:val="20"/>
        </w:rPr>
        <w:t xml:space="preserve"> v ČR, resp. </w:t>
      </w:r>
      <w:r w:rsidR="000571CE">
        <w:rPr>
          <w:rFonts w:ascii="Arial" w:eastAsia="ChaparralPro-Regular" w:hAnsi="Arial" w:cs="Arial"/>
          <w:color w:val="auto"/>
          <w:sz w:val="20"/>
          <w:szCs w:val="20"/>
        </w:rPr>
        <w:t xml:space="preserve">o </w:t>
      </w:r>
      <w:r w:rsidRPr="00306953">
        <w:rPr>
          <w:rFonts w:ascii="Arial" w:eastAsia="ChaparralPro-Regular" w:hAnsi="Arial" w:cs="Arial"/>
          <w:color w:val="auto"/>
          <w:sz w:val="20"/>
          <w:szCs w:val="20"/>
        </w:rPr>
        <w:t xml:space="preserve">0,2 </w:t>
      </w:r>
      <w:r w:rsidR="004D1B6C">
        <w:rPr>
          <w:rFonts w:ascii="Arial" w:eastAsia="ChaparralPro-Regular" w:hAnsi="Arial" w:cs="Arial"/>
          <w:color w:val="auto"/>
          <w:sz w:val="20"/>
          <w:szCs w:val="20"/>
        </w:rPr>
        <w:t>procentního bodu</w:t>
      </w:r>
      <w:r w:rsidR="000571CE">
        <w:rPr>
          <w:rFonts w:ascii="Arial" w:eastAsia="ChaparralPro-Regular" w:hAnsi="Arial" w:cs="Arial"/>
          <w:color w:val="auto"/>
          <w:sz w:val="20"/>
          <w:szCs w:val="20"/>
        </w:rPr>
        <w:t xml:space="preserve"> na Slovensku a o 0,4</w:t>
      </w:r>
      <w:r w:rsidR="004D1B6C">
        <w:rPr>
          <w:rFonts w:ascii="Arial" w:eastAsia="ChaparralPro-Regular" w:hAnsi="Arial" w:cs="Arial"/>
          <w:color w:val="auto"/>
          <w:sz w:val="20"/>
          <w:szCs w:val="20"/>
        </w:rPr>
        <w:t> procentního bodu</w:t>
      </w:r>
      <w:r w:rsidR="000571CE">
        <w:rPr>
          <w:rFonts w:ascii="Arial" w:eastAsia="ChaparralPro-Regular" w:hAnsi="Arial" w:cs="Arial"/>
          <w:color w:val="auto"/>
          <w:sz w:val="20"/>
          <w:szCs w:val="20"/>
        </w:rPr>
        <w:t xml:space="preserve"> </w:t>
      </w:r>
      <w:r w:rsidRPr="00306953">
        <w:rPr>
          <w:rFonts w:ascii="Arial" w:eastAsia="ChaparralPro-Regular" w:hAnsi="Arial" w:cs="Arial"/>
          <w:color w:val="auto"/>
          <w:sz w:val="20"/>
          <w:szCs w:val="20"/>
        </w:rPr>
        <w:t>ve Finsku), v Polsku došlo ke snížení o 0,6 </w:t>
      </w:r>
      <w:r w:rsidR="004D1B6C">
        <w:rPr>
          <w:rFonts w:ascii="Arial" w:eastAsia="ChaparralPro-Regular" w:hAnsi="Arial" w:cs="Arial"/>
          <w:color w:val="auto"/>
          <w:sz w:val="20"/>
          <w:szCs w:val="20"/>
        </w:rPr>
        <w:t>procentního bodu</w:t>
      </w:r>
      <w:r w:rsidRPr="00306953">
        <w:rPr>
          <w:rFonts w:ascii="Arial" w:eastAsia="ChaparralPro-Regular" w:hAnsi="Arial" w:cs="Arial"/>
          <w:color w:val="auto"/>
          <w:sz w:val="20"/>
          <w:szCs w:val="20"/>
        </w:rPr>
        <w:t xml:space="preserve"> a v Estonsku se tento podíl s</w:t>
      </w:r>
      <w:r w:rsidR="000571CE">
        <w:rPr>
          <w:rFonts w:ascii="Arial" w:eastAsia="ChaparralPro-Regular" w:hAnsi="Arial" w:cs="Arial"/>
          <w:color w:val="auto"/>
          <w:sz w:val="20"/>
          <w:szCs w:val="20"/>
        </w:rPr>
        <w:t>nížil jen o 0,1</w:t>
      </w:r>
      <w:r w:rsidR="004D1B6C">
        <w:rPr>
          <w:rFonts w:ascii="Arial" w:eastAsia="ChaparralPro-Regular" w:hAnsi="Arial" w:cs="Arial"/>
          <w:color w:val="auto"/>
          <w:sz w:val="20"/>
          <w:szCs w:val="20"/>
        </w:rPr>
        <w:t> procentního bodu</w:t>
      </w:r>
      <w:r w:rsidRPr="00306953">
        <w:rPr>
          <w:rFonts w:ascii="Arial" w:eastAsia="ChaparralPro-Regular" w:hAnsi="Arial" w:cs="Arial"/>
          <w:color w:val="auto"/>
          <w:sz w:val="20"/>
          <w:szCs w:val="20"/>
        </w:rPr>
        <w:t>. V mezinárodním průměru za</w:t>
      </w:r>
      <w:r w:rsidR="00E52654">
        <w:rPr>
          <w:rFonts w:ascii="Arial" w:eastAsia="ChaparralPro-Regular" w:hAnsi="Arial" w:cs="Arial"/>
          <w:color w:val="auto"/>
          <w:sz w:val="20"/>
          <w:szCs w:val="20"/>
        </w:rPr>
        <w:t xml:space="preserve"> země OECD tento podíl stoupl o </w:t>
      </w:r>
      <w:r w:rsidRPr="00306953">
        <w:rPr>
          <w:rFonts w:ascii="Arial" w:eastAsia="ChaparralPro-Regular" w:hAnsi="Arial" w:cs="Arial"/>
          <w:color w:val="auto"/>
          <w:sz w:val="20"/>
          <w:szCs w:val="20"/>
        </w:rPr>
        <w:t>0,1 procentního bodu, v mezinárodním p</w:t>
      </w:r>
      <w:r w:rsidR="004D1B6C">
        <w:rPr>
          <w:rFonts w:ascii="Arial" w:eastAsia="ChaparralPro-Regular" w:hAnsi="Arial" w:cs="Arial"/>
          <w:color w:val="auto"/>
          <w:sz w:val="20"/>
          <w:szCs w:val="20"/>
        </w:rPr>
        <w:t>růměru za země v EU a současně v</w:t>
      </w:r>
      <w:r w:rsidRPr="00306953">
        <w:rPr>
          <w:rFonts w:ascii="Arial" w:eastAsia="ChaparralPro-Regular" w:hAnsi="Arial" w:cs="Arial"/>
          <w:color w:val="auto"/>
          <w:sz w:val="20"/>
          <w:szCs w:val="20"/>
        </w:rPr>
        <w:t xml:space="preserve"> OECD naopak o 0,1 procentního bodu klesl. Celkově došlo k  poklesu o alespoň 0,1 procentního bodu u tří pětin z 28 států OECD, za která jsou dostupná data za rok 2005 i 2012. Nejvyšší pokles zaznamenalo Norsko a Maďarsko (obojí o 0,9 procentního bodu), naopak největší nárůst byl </w:t>
      </w:r>
      <w:r w:rsidRPr="00306953">
        <w:rPr>
          <w:rFonts w:ascii="Arial" w:eastAsia="ChaparralPro-Regular" w:hAnsi="Arial" w:cs="Arial"/>
          <w:color w:val="auto"/>
          <w:sz w:val="20"/>
          <w:szCs w:val="20"/>
        </w:rPr>
        <w:lastRenderedPageBreak/>
        <w:t>zaznamenán v Chile (o 1,3 procentního bodu) a dále v Irsku a Turecku (</w:t>
      </w:r>
      <w:r w:rsidR="003A515E">
        <w:rPr>
          <w:rFonts w:ascii="Arial" w:eastAsia="ChaparralPro-Regular" w:hAnsi="Arial" w:cs="Arial"/>
          <w:color w:val="auto"/>
          <w:sz w:val="20"/>
          <w:szCs w:val="20"/>
        </w:rPr>
        <w:t>obojí o 1,2 procentního bodu) a </w:t>
      </w:r>
      <w:r w:rsidRPr="00306953">
        <w:rPr>
          <w:rFonts w:ascii="Arial" w:eastAsia="ChaparralPro-Regular" w:hAnsi="Arial" w:cs="Arial"/>
          <w:color w:val="auto"/>
          <w:sz w:val="20"/>
          <w:szCs w:val="20"/>
        </w:rPr>
        <w:t xml:space="preserve">v Korejské republice (o 1,1 procentního bodu). </w:t>
      </w:r>
    </w:p>
    <w:p w:rsidR="00306953" w:rsidRPr="00767494" w:rsidRDefault="00306953" w:rsidP="00306953">
      <w:pPr>
        <w:pStyle w:val="Default"/>
        <w:spacing w:after="120"/>
        <w:jc w:val="both"/>
        <w:rPr>
          <w:rFonts w:ascii="Arial" w:eastAsia="ChaparralPro-Regular" w:hAnsi="Arial" w:cs="Arial"/>
          <w:b/>
          <w:sz w:val="20"/>
          <w:szCs w:val="20"/>
        </w:rPr>
      </w:pPr>
      <w:r w:rsidRPr="00306953">
        <w:rPr>
          <w:rFonts w:ascii="Arial" w:eastAsia="ChaparralPro-Regular" w:hAnsi="Arial" w:cs="Arial"/>
          <w:sz w:val="20"/>
          <w:szCs w:val="20"/>
        </w:rPr>
        <w:t xml:space="preserve">Graf č. 2 převzatý z publikace Education at a Glance z roku 2014 dále ukazuje </w:t>
      </w:r>
      <w:r w:rsidRPr="00306953">
        <w:rPr>
          <w:rFonts w:ascii="Arial" w:eastAsia="ChaparralPro-Regular" w:hAnsi="Arial" w:cs="Arial"/>
          <w:b/>
          <w:sz w:val="20"/>
          <w:szCs w:val="20"/>
        </w:rPr>
        <w:t>změnu ve veřejných výdajích</w:t>
      </w:r>
      <w:r w:rsidRPr="00306953">
        <w:rPr>
          <w:rFonts w:ascii="Arial" w:eastAsia="ChaparralPro-Regular" w:hAnsi="Arial" w:cs="Arial"/>
          <w:sz w:val="20"/>
          <w:szCs w:val="20"/>
        </w:rPr>
        <w:t xml:space="preserve"> na vzdělávací instituce v zemích OECD v době ekonomické kr</w:t>
      </w:r>
      <w:r w:rsidR="00E52654">
        <w:rPr>
          <w:rFonts w:ascii="Arial" w:eastAsia="ChaparralPro-Regular" w:hAnsi="Arial" w:cs="Arial"/>
          <w:sz w:val="20"/>
          <w:szCs w:val="20"/>
        </w:rPr>
        <w:t>ize, konkrétně mezi roky 2008 a </w:t>
      </w:r>
      <w:r w:rsidRPr="00306953">
        <w:rPr>
          <w:rFonts w:ascii="Arial" w:eastAsia="ChaparralPro-Regular" w:hAnsi="Arial" w:cs="Arial"/>
          <w:sz w:val="20"/>
          <w:szCs w:val="20"/>
        </w:rPr>
        <w:t>2011. Odhlédneme-li od výše uvedených faktorů v pozadí, které mohou mít skrytý vliv na výsledky (zejména vliv velikosti populace ve věku typickém pro účast ve formálním vzdělávání), můžeme na základě tohoto grafu konstatovat, že </w:t>
      </w:r>
      <w:r w:rsidRPr="00306953">
        <w:rPr>
          <w:rFonts w:ascii="Arial" w:eastAsia="ChaparralPro-Regular" w:hAnsi="Arial" w:cs="Arial"/>
          <w:b/>
          <w:sz w:val="20"/>
          <w:szCs w:val="20"/>
        </w:rPr>
        <w:t>ČR patří mezi země, kde výdaje na formální vzdělávání v relativním vyjádření jakožto podíl HDP mezi roky 2008 a 2011 nejvíce narostly</w:t>
      </w:r>
      <w:r w:rsidR="004D1B6C">
        <w:rPr>
          <w:rFonts w:ascii="Arial" w:eastAsia="ChaparralPro-Regular" w:hAnsi="Arial" w:cs="Arial"/>
          <w:b/>
          <w:sz w:val="20"/>
          <w:szCs w:val="20"/>
        </w:rPr>
        <w:t>,</w:t>
      </w:r>
      <w:r w:rsidRPr="00306953">
        <w:rPr>
          <w:rFonts w:ascii="Arial" w:eastAsia="ChaparralPro-Regular" w:hAnsi="Arial" w:cs="Arial"/>
          <w:b/>
          <w:sz w:val="20"/>
          <w:szCs w:val="20"/>
        </w:rPr>
        <w:t xml:space="preserve"> </w:t>
      </w:r>
      <w:r w:rsidR="004D1B6C">
        <w:rPr>
          <w:rFonts w:ascii="Arial" w:eastAsia="ChaparralPro-Regular" w:hAnsi="Arial" w:cs="Arial"/>
          <w:sz w:val="20"/>
          <w:szCs w:val="20"/>
        </w:rPr>
        <w:t>což mohlo</w:t>
      </w:r>
      <w:r w:rsidRPr="00306953">
        <w:rPr>
          <w:rFonts w:ascii="Arial" w:eastAsia="ChaparralPro-Regular" w:hAnsi="Arial" w:cs="Arial"/>
          <w:sz w:val="20"/>
          <w:szCs w:val="20"/>
        </w:rPr>
        <w:t xml:space="preserve"> být </w:t>
      </w:r>
      <w:r w:rsidR="004D1B6C">
        <w:rPr>
          <w:rFonts w:ascii="Arial" w:eastAsia="ChaparralPro-Regular" w:hAnsi="Arial" w:cs="Arial"/>
          <w:sz w:val="20"/>
          <w:szCs w:val="20"/>
        </w:rPr>
        <w:t xml:space="preserve">mj. </w:t>
      </w:r>
      <w:r w:rsidRPr="00306953">
        <w:rPr>
          <w:rFonts w:ascii="Arial" w:eastAsia="ChaparralPro-Regular" w:hAnsi="Arial" w:cs="Arial"/>
          <w:sz w:val="20"/>
          <w:szCs w:val="20"/>
        </w:rPr>
        <w:t>ovlivněno</w:t>
      </w:r>
      <w:r w:rsidRPr="00306953">
        <w:rPr>
          <w:rFonts w:ascii="Arial" w:eastAsia="ChaparralPro-Regular" w:hAnsi="Arial" w:cs="Arial"/>
          <w:b/>
          <w:sz w:val="20"/>
          <w:szCs w:val="20"/>
        </w:rPr>
        <w:t xml:space="preserve"> </w:t>
      </w:r>
      <w:r w:rsidRPr="00306953">
        <w:rPr>
          <w:rFonts w:ascii="Arial" w:eastAsia="ChaparralPro-Regular" w:hAnsi="Arial" w:cs="Arial"/>
          <w:sz w:val="20"/>
          <w:szCs w:val="20"/>
        </w:rPr>
        <w:t xml:space="preserve">realizací operačních programů OP </w:t>
      </w:r>
      <w:r w:rsidRPr="00767494">
        <w:rPr>
          <w:rFonts w:ascii="Arial" w:eastAsia="ChaparralPro-Regular" w:hAnsi="Arial" w:cs="Arial"/>
          <w:sz w:val="20"/>
          <w:szCs w:val="20"/>
        </w:rPr>
        <w:t xml:space="preserve">VK </w:t>
      </w:r>
      <w:r w:rsidR="00767494" w:rsidRPr="00767494">
        <w:rPr>
          <w:rFonts w:ascii="Arial" w:hAnsi="Arial" w:cs="Arial"/>
          <w:sz w:val="20"/>
          <w:szCs w:val="20"/>
        </w:rPr>
        <w:t>(Vzdělávání pro konkurenceschopnost) a OP VaVpI (Výzkum a vývoj pro inovace).</w:t>
      </w:r>
    </w:p>
    <w:p w:rsidR="00306953" w:rsidRPr="00306953" w:rsidRDefault="00306953" w:rsidP="009F2B95">
      <w:pPr>
        <w:pStyle w:val="Default"/>
        <w:keepNext/>
        <w:jc w:val="both"/>
        <w:rPr>
          <w:rFonts w:ascii="Arial" w:eastAsia="ChaparralPro-Regular" w:hAnsi="Arial" w:cs="Arial"/>
          <w:b/>
          <w:sz w:val="20"/>
          <w:szCs w:val="20"/>
        </w:rPr>
      </w:pPr>
      <w:r w:rsidRPr="00306953">
        <w:rPr>
          <w:rFonts w:ascii="Arial" w:eastAsia="ChaparralPro-Regular" w:hAnsi="Arial" w:cs="Arial"/>
          <w:b/>
          <w:bCs/>
          <w:sz w:val="20"/>
          <w:szCs w:val="20"/>
        </w:rPr>
        <w:t>Graf č. 2 Dopady ekonomické krize na veřejné výdaje na formální vzdělávání</w:t>
      </w:r>
      <w:r w:rsidRPr="00306953">
        <w:rPr>
          <w:rFonts w:ascii="Arial" w:eastAsia="ChaparralPro-Regular" w:hAnsi="Arial" w:cs="Arial"/>
          <w:b/>
          <w:sz w:val="20"/>
          <w:szCs w:val="20"/>
        </w:rPr>
        <w:t xml:space="preserve"> (2008 a 2011)</w:t>
      </w:r>
    </w:p>
    <w:p w:rsidR="00306953" w:rsidRDefault="00680594" w:rsidP="009F2B95">
      <w:pPr>
        <w:pStyle w:val="Default"/>
        <w:keepNext/>
        <w:spacing w:after="120"/>
        <w:jc w:val="both"/>
        <w:rPr>
          <w:rFonts w:ascii="Arial" w:eastAsia="ChaparralPro-Regular" w:hAnsi="Arial" w:cs="Arial"/>
          <w:i/>
          <w:iCs/>
          <w:sz w:val="20"/>
          <w:szCs w:val="20"/>
        </w:rPr>
      </w:pPr>
      <w:r>
        <w:rPr>
          <w:rFonts w:ascii="Arial" w:eastAsia="ChaparralPro-Regular" w:hAnsi="Arial" w:cs="Arial"/>
          <w:i/>
          <w:iCs/>
          <w:sz w:val="20"/>
          <w:szCs w:val="20"/>
        </w:rPr>
        <w:t>i</w:t>
      </w:r>
      <w:r w:rsidR="00306953" w:rsidRPr="00306953">
        <w:rPr>
          <w:rFonts w:ascii="Arial" w:eastAsia="ChaparralPro-Regular" w:hAnsi="Arial" w:cs="Arial"/>
          <w:i/>
          <w:iCs/>
          <w:sz w:val="20"/>
          <w:szCs w:val="20"/>
        </w:rPr>
        <w:t xml:space="preserve">ndex změny mezi roky 2008 a 2011 ve výdajích na vzdělávací instituce </w:t>
      </w:r>
      <w:r w:rsidR="00CB2EA2">
        <w:rPr>
          <w:rFonts w:ascii="Arial" w:eastAsia="ChaparralPro-Regular" w:hAnsi="Arial" w:cs="Arial"/>
          <w:i/>
          <w:iCs/>
          <w:sz w:val="20"/>
          <w:szCs w:val="20"/>
        </w:rPr>
        <w:t>vyjádřených v</w:t>
      </w:r>
      <w:r w:rsidR="00306953" w:rsidRPr="00306953">
        <w:rPr>
          <w:rFonts w:ascii="Arial" w:eastAsia="ChaparralPro-Regular" w:hAnsi="Arial" w:cs="Arial"/>
          <w:i/>
          <w:iCs/>
          <w:sz w:val="20"/>
          <w:szCs w:val="20"/>
        </w:rPr>
        <w:t xml:space="preserve"> podíl</w:t>
      </w:r>
      <w:r w:rsidR="00CB2EA2">
        <w:rPr>
          <w:rFonts w:ascii="Arial" w:eastAsia="ChaparralPro-Regular" w:hAnsi="Arial" w:cs="Arial"/>
          <w:i/>
          <w:iCs/>
          <w:sz w:val="20"/>
          <w:szCs w:val="20"/>
        </w:rPr>
        <w:t>u</w:t>
      </w:r>
      <w:r w:rsidR="003A515E">
        <w:rPr>
          <w:rFonts w:ascii="Arial" w:eastAsia="ChaparralPro-Regular" w:hAnsi="Arial" w:cs="Arial"/>
          <w:i/>
          <w:iCs/>
          <w:sz w:val="20"/>
          <w:szCs w:val="20"/>
        </w:rPr>
        <w:t xml:space="preserve"> HDP, za </w:t>
      </w:r>
      <w:r w:rsidR="00306953" w:rsidRPr="00306953">
        <w:rPr>
          <w:rFonts w:ascii="Arial" w:eastAsia="ChaparralPro-Regular" w:hAnsi="Arial" w:cs="Arial"/>
          <w:i/>
          <w:iCs/>
          <w:sz w:val="20"/>
          <w:szCs w:val="20"/>
        </w:rPr>
        <w:t>všechny úrovně vzdělávání (2008=100, konstantní ceny roku 2011)</w:t>
      </w:r>
    </w:p>
    <w:p w:rsidR="00CB2EA2" w:rsidRDefault="00BA5EE1" w:rsidP="009F2B95">
      <w:pPr>
        <w:pStyle w:val="Default"/>
        <w:keepNext/>
        <w:spacing w:after="120"/>
        <w:jc w:val="both"/>
        <w:rPr>
          <w:rFonts w:ascii="Arial" w:eastAsia="ChaparralPro-Regular" w:hAnsi="Arial" w:cs="Arial"/>
          <w:i/>
          <w:iCs/>
          <w:sz w:val="20"/>
          <w:szCs w:val="20"/>
        </w:rPr>
      </w:pPr>
      <w:r w:rsidRPr="00984E22">
        <w:rPr>
          <w:rFonts w:ascii="Arial" w:eastAsia="ChaparralPro-Regular" w:hAnsi="Arial" w:cs="Arial"/>
          <w:i/>
          <w:noProof/>
          <w:sz w:val="20"/>
          <w:szCs w:val="20"/>
        </w:rPr>
        <w:pict>
          <v:shape id="_x0000_i1026" type="#_x0000_t75" style="width:470.25pt;height:297.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">
            <v:imagedata r:id="rId57" o:title="" croptop="-1545f" cropbottom="-1556f" cropleft="-622f" cropright="-1859f"/>
            <o:lock v:ext="edit" aspectratio="f"/>
          </v:shape>
        </w:pict>
      </w:r>
    </w:p>
    <w:p w:rsidR="00306953" w:rsidRPr="00A26B1E" w:rsidRDefault="00A26B1E" w:rsidP="00CB62B2">
      <w:pPr>
        <w:autoSpaceDE w:val="0"/>
        <w:autoSpaceDN w:val="0"/>
        <w:adjustRightInd w:val="0"/>
        <w:spacing w:after="0" w:line="240" w:lineRule="auto"/>
        <w:jc w:val="both"/>
        <w:rPr>
          <w:rFonts w:cs="Arial"/>
          <w:sz w:val="16"/>
          <w:szCs w:val="16"/>
        </w:rPr>
      </w:pPr>
      <w:r w:rsidRPr="00CB2EA2">
        <w:rPr>
          <w:rFonts w:eastAsia="ChaparralPro-Regular" w:cs="Arial"/>
          <w:iCs/>
          <w:sz w:val="16"/>
          <w:szCs w:val="16"/>
        </w:rPr>
        <w:t>(</w:t>
      </w:r>
      <w:r w:rsidR="00CB62B2" w:rsidRPr="00CB2EA2">
        <w:rPr>
          <w:rFonts w:eastAsia="ChaparralPro-Regular" w:cs="Arial"/>
          <w:iCs/>
          <w:sz w:val="16"/>
          <w:szCs w:val="16"/>
        </w:rPr>
        <w:t>1</w:t>
      </w:r>
      <w:r w:rsidR="00CB62B2" w:rsidRPr="00FE5433">
        <w:rPr>
          <w:rFonts w:eastAsia="ChaparralPro-Regular" w:cs="Arial"/>
          <w:iCs/>
          <w:sz w:val="16"/>
          <w:szCs w:val="16"/>
        </w:rPr>
        <w:t>)</w:t>
      </w:r>
      <w:r w:rsidRPr="00FE5433">
        <w:rPr>
          <w:rFonts w:eastAsia="ChaparralPro-Regular" w:cs="Arial"/>
          <w:iCs/>
          <w:sz w:val="16"/>
          <w:szCs w:val="16"/>
        </w:rPr>
        <w:t xml:space="preserve"> </w:t>
      </w:r>
      <w:r w:rsidR="00306953" w:rsidRPr="00A26B1E">
        <w:rPr>
          <w:rFonts w:eastAsia="ChaparralPro-Regular" w:cs="Arial"/>
          <w:iCs/>
          <w:sz w:val="16"/>
          <w:szCs w:val="16"/>
        </w:rPr>
        <w:t>Data za Chile zachycují změnu mezi lety 2009 a 2012, nikoliv 2008 a 2011.</w:t>
      </w:r>
    </w:p>
    <w:p w:rsidR="00306953" w:rsidRPr="00306953" w:rsidRDefault="00306953" w:rsidP="00306953">
      <w:pPr>
        <w:autoSpaceDE w:val="0"/>
        <w:autoSpaceDN w:val="0"/>
        <w:adjustRightInd w:val="0"/>
        <w:spacing w:after="0" w:line="240" w:lineRule="auto"/>
        <w:jc w:val="both"/>
        <w:rPr>
          <w:rFonts w:eastAsia="ChaparralPro-Regular" w:cs="Arial"/>
          <w:sz w:val="16"/>
          <w:szCs w:val="16"/>
        </w:rPr>
      </w:pPr>
      <w:r w:rsidRPr="00306953">
        <w:rPr>
          <w:rFonts w:eastAsia="ChaparralPro-Regular" w:cs="Arial"/>
          <w:sz w:val="16"/>
          <w:szCs w:val="16"/>
        </w:rPr>
        <w:t xml:space="preserve">Zdroj: OECD 2014, graf B 2.3 (příp. tabulka B2.5). </w:t>
      </w:r>
      <w:r w:rsidRPr="00306953">
        <w:rPr>
          <w:rFonts w:eastAsia="ChaparralPro-Regular" w:cs="Arial"/>
          <w:iCs/>
          <w:sz w:val="16"/>
          <w:szCs w:val="16"/>
        </w:rPr>
        <w:t>StatLink:</w:t>
      </w:r>
      <w:r w:rsidRPr="00306953">
        <w:rPr>
          <w:rFonts w:eastAsia="ChaparralPro-Regular" w:cs="Arial"/>
          <w:i/>
          <w:iCs/>
          <w:sz w:val="16"/>
          <w:szCs w:val="16"/>
        </w:rPr>
        <w:t xml:space="preserve"> </w:t>
      </w:r>
      <w:hyperlink r:id="rId58" w:history="1">
        <w:r w:rsidRPr="00306953">
          <w:rPr>
            <w:rStyle w:val="Hypertextovodkaz"/>
            <w:rFonts w:cs="Arial"/>
            <w:sz w:val="16"/>
            <w:szCs w:val="16"/>
          </w:rPr>
          <w:t>http://dx.doi.org/10.1787/888933117326</w:t>
        </w:r>
      </w:hyperlink>
      <w:r w:rsidRPr="00306953">
        <w:rPr>
          <w:rFonts w:eastAsia="ChaparralPro-Regular" w:cs="Arial"/>
          <w:iCs/>
          <w:sz w:val="16"/>
          <w:szCs w:val="16"/>
        </w:rPr>
        <w:t xml:space="preserve"> </w:t>
      </w:r>
    </w:p>
    <w:p w:rsidR="00306953" w:rsidRPr="00EB166E" w:rsidRDefault="00306953" w:rsidP="00306953">
      <w:pPr>
        <w:autoSpaceDE w:val="0"/>
        <w:autoSpaceDN w:val="0"/>
        <w:adjustRightInd w:val="0"/>
        <w:spacing w:after="0" w:line="240" w:lineRule="auto"/>
        <w:jc w:val="both"/>
        <w:rPr>
          <w:rFonts w:cs="Arial"/>
          <w:sz w:val="12"/>
          <w:szCs w:val="12"/>
        </w:rPr>
      </w:pPr>
    </w:p>
    <w:p w:rsidR="00306953" w:rsidRPr="00306953" w:rsidRDefault="00306953" w:rsidP="002B19E2">
      <w:pPr>
        <w:autoSpaceDE w:val="0"/>
        <w:autoSpaceDN w:val="0"/>
        <w:adjustRightInd w:val="0"/>
        <w:spacing w:before="120" w:after="0" w:line="240" w:lineRule="auto"/>
        <w:jc w:val="both"/>
        <w:rPr>
          <w:rFonts w:eastAsia="ChaparralPro-Regular" w:cs="Arial"/>
        </w:rPr>
      </w:pPr>
      <w:r w:rsidRPr="00306953">
        <w:rPr>
          <w:rFonts w:eastAsia="ChaparralPro-Regular" w:cs="Arial"/>
        </w:rPr>
        <w:t>Jak je patrné, též na Slovensku a ve Finsku byl zaznamenán nadprůměrný nárůst veřejných výdajů na vzdělávání v relativním vyjádření jakožto podíl HDP mezi roky 2008 a 2011, Polsko a Estonsko naopak patří mezi země, které zaznamenaly pokles</w:t>
      </w:r>
      <w:r w:rsidRPr="00306953">
        <w:rPr>
          <w:rStyle w:val="Znakapoznpodarou"/>
          <w:rFonts w:eastAsia="ChaparralPro-Regular" w:cs="Arial"/>
        </w:rPr>
        <w:footnoteReference w:id="8"/>
      </w:r>
      <w:r w:rsidRPr="00306953">
        <w:rPr>
          <w:rFonts w:eastAsia="ChaparralPro-Regular" w:cs="Arial"/>
        </w:rPr>
        <w:t>.</w:t>
      </w:r>
    </w:p>
    <w:p w:rsidR="00306953" w:rsidRPr="00306953" w:rsidRDefault="00306953" w:rsidP="002B19E2">
      <w:pPr>
        <w:autoSpaceDE w:val="0"/>
        <w:autoSpaceDN w:val="0"/>
        <w:adjustRightInd w:val="0"/>
        <w:spacing w:before="120" w:after="0" w:line="240" w:lineRule="auto"/>
        <w:jc w:val="both"/>
        <w:rPr>
          <w:rFonts w:eastAsia="ChaparralPro-Regular" w:cs="Arial"/>
        </w:rPr>
      </w:pPr>
      <w:r w:rsidRPr="00306953">
        <w:rPr>
          <w:rFonts w:eastAsia="ChaparralPro-Regular" w:cs="Arial"/>
        </w:rPr>
        <w:t>Kromě toho se ČR řadí mezi země s nárůstem výdajů na vzdělávací instituce primární až terciární úrovně vyjádřených v podílu HDP mezi roky 2010 a 2012 (tj. relativní nárůst o 4 %; od roku 2008 do roku 2010 došlo v ČR k nárůstu o 7 %). V mezinárodním průměru za země OECD došlo naopak mezi lety 2010 a 2012 k propadu o 3,1 %, přičemž ještě mezi roky 2008 a 2010 byl naopak zaznamenán nárůst o 5,9 % (viz tabulka B2.4</w:t>
      </w:r>
      <w:r w:rsidR="005C533B">
        <w:rPr>
          <w:rFonts w:eastAsia="ChaparralPro-Regular" w:cs="Arial"/>
        </w:rPr>
        <w:t xml:space="preserve"> v </w:t>
      </w:r>
      <w:hyperlink r:id="rId59" w:history="1">
        <w:r w:rsidR="005C533B" w:rsidRPr="005C533B">
          <w:rPr>
            <w:rStyle w:val="Hypertextovodkaz"/>
            <w:rFonts w:eastAsia="ChaparralPro-Regular" w:cs="Arial"/>
          </w:rPr>
          <w:t>indikátorech OECD 2015</w:t>
        </w:r>
      </w:hyperlink>
      <w:r w:rsidRPr="00306953">
        <w:rPr>
          <w:rFonts w:eastAsia="ChaparralPro-Regular" w:cs="Arial"/>
        </w:rPr>
        <w:t xml:space="preserve">; podobný vývoj jako průměr za země OECD zaznamenal i průměr za země v EU i OECD, tj. EU21). </w:t>
      </w:r>
      <w:r w:rsidR="00603791">
        <w:rPr>
          <w:rFonts w:eastAsia="ChaparralPro-Regular" w:cs="Arial"/>
        </w:rPr>
        <w:t>Změnu mezi roky 2010 a 2012 znázorňuje graf č. 3.</w:t>
      </w:r>
    </w:p>
    <w:p w:rsidR="00306953" w:rsidRPr="00306953" w:rsidRDefault="00306953" w:rsidP="00306953">
      <w:pPr>
        <w:pStyle w:val="Default"/>
        <w:jc w:val="both"/>
        <w:rPr>
          <w:rFonts w:ascii="Arial" w:eastAsia="ChaparralPro-Regular" w:hAnsi="Arial" w:cs="Arial"/>
          <w:b/>
          <w:bCs/>
          <w:sz w:val="12"/>
          <w:szCs w:val="12"/>
        </w:rPr>
      </w:pPr>
    </w:p>
    <w:p w:rsidR="00306953" w:rsidRPr="00306953" w:rsidRDefault="00751828" w:rsidP="00CB62B2">
      <w:pPr>
        <w:pStyle w:val="Default"/>
        <w:keepNext/>
        <w:jc w:val="both"/>
        <w:rPr>
          <w:rFonts w:ascii="Arial" w:eastAsia="ChaparralPro-Regular" w:hAnsi="Arial" w:cs="Arial"/>
          <w:b/>
          <w:bCs/>
          <w:sz w:val="20"/>
          <w:szCs w:val="20"/>
        </w:rPr>
      </w:pPr>
      <w:r>
        <w:rPr>
          <w:rFonts w:ascii="Arial" w:eastAsia="ChaparralPro-Regular" w:hAnsi="Arial" w:cs="Arial"/>
          <w:b/>
          <w:bCs/>
          <w:sz w:val="20"/>
          <w:szCs w:val="20"/>
        </w:rPr>
        <w:lastRenderedPageBreak/>
        <w:t>Graf č. </w:t>
      </w:r>
      <w:r w:rsidR="00306953" w:rsidRPr="00306953">
        <w:rPr>
          <w:rFonts w:ascii="Arial" w:eastAsia="ChaparralPro-Regular" w:hAnsi="Arial" w:cs="Arial"/>
          <w:b/>
          <w:bCs/>
          <w:sz w:val="20"/>
          <w:szCs w:val="20"/>
        </w:rPr>
        <w:t>3 Dopady ekonomické krize na veřejné výdaje na primární až terciární vzdělávání</w:t>
      </w:r>
      <w:r w:rsidR="00306953" w:rsidRPr="00306953">
        <w:rPr>
          <w:rFonts w:ascii="Arial" w:eastAsia="ChaparralPro-Regular" w:hAnsi="Arial" w:cs="Arial"/>
          <w:sz w:val="20"/>
          <w:szCs w:val="20"/>
        </w:rPr>
        <w:t xml:space="preserve"> </w:t>
      </w:r>
      <w:r>
        <w:rPr>
          <w:rFonts w:ascii="Arial" w:eastAsia="ChaparralPro-Regular" w:hAnsi="Arial" w:cs="Arial"/>
          <w:b/>
          <w:sz w:val="20"/>
          <w:szCs w:val="20"/>
        </w:rPr>
        <w:t>(2010 a </w:t>
      </w:r>
      <w:r w:rsidR="00306953" w:rsidRPr="00306953">
        <w:rPr>
          <w:rFonts w:ascii="Arial" w:eastAsia="ChaparralPro-Regular" w:hAnsi="Arial" w:cs="Arial"/>
          <w:b/>
          <w:sz w:val="20"/>
          <w:szCs w:val="20"/>
        </w:rPr>
        <w:t>2012</w:t>
      </w:r>
      <w:r>
        <w:rPr>
          <w:rFonts w:ascii="Arial" w:eastAsia="ChaparralPro-Regular" w:hAnsi="Arial" w:cs="Arial"/>
          <w:b/>
          <w:sz w:val="20"/>
          <w:szCs w:val="20"/>
        </w:rPr>
        <w:t>)</w:t>
      </w:r>
    </w:p>
    <w:p w:rsidR="00306953" w:rsidRDefault="00680594" w:rsidP="00CB62B2">
      <w:pPr>
        <w:pStyle w:val="Default"/>
        <w:keepNext/>
        <w:jc w:val="both"/>
        <w:rPr>
          <w:rFonts w:ascii="Arial" w:eastAsia="ChaparralPro-Regular" w:hAnsi="Arial" w:cs="Arial"/>
          <w:i/>
          <w:iCs/>
          <w:sz w:val="20"/>
          <w:szCs w:val="20"/>
        </w:rPr>
      </w:pPr>
      <w:r>
        <w:rPr>
          <w:rFonts w:ascii="Arial" w:eastAsia="ChaparralPro-Regular" w:hAnsi="Arial" w:cs="Arial"/>
          <w:i/>
          <w:iCs/>
          <w:sz w:val="20"/>
          <w:szCs w:val="20"/>
        </w:rPr>
        <w:t>i</w:t>
      </w:r>
      <w:r w:rsidR="00306953" w:rsidRPr="00306953">
        <w:rPr>
          <w:rFonts w:ascii="Arial" w:eastAsia="ChaparralPro-Regular" w:hAnsi="Arial" w:cs="Arial"/>
          <w:i/>
          <w:iCs/>
          <w:sz w:val="20"/>
          <w:szCs w:val="20"/>
        </w:rPr>
        <w:t>ndex změny mezi roky 2010 a 2012 ve výdajích na vzdělávací instituce jakožto podíl HDP, za primární až terciárn</w:t>
      </w:r>
      <w:r w:rsidR="00CB62B2">
        <w:rPr>
          <w:rFonts w:ascii="Arial" w:eastAsia="ChaparralPro-Regular" w:hAnsi="Arial" w:cs="Arial"/>
          <w:i/>
          <w:iCs/>
          <w:sz w:val="20"/>
          <w:szCs w:val="20"/>
        </w:rPr>
        <w:t xml:space="preserve">í úroveň vzdělávání (2010=100, </w:t>
      </w:r>
      <w:r w:rsidR="00306953" w:rsidRPr="00306953">
        <w:rPr>
          <w:rFonts w:ascii="Arial" w:eastAsia="ChaparralPro-Regular" w:hAnsi="Arial" w:cs="Arial"/>
          <w:i/>
          <w:iCs/>
          <w:sz w:val="20"/>
          <w:szCs w:val="20"/>
        </w:rPr>
        <w:t>konstantní ceny roku 2012)</w:t>
      </w:r>
    </w:p>
    <w:p w:rsidR="006D05D2" w:rsidRPr="000155F8" w:rsidRDefault="00BA5EE1" w:rsidP="00CB62B2">
      <w:pPr>
        <w:pStyle w:val="Default"/>
        <w:keepNext/>
        <w:jc w:val="both"/>
        <w:rPr>
          <w:rFonts w:ascii="Arial" w:eastAsia="ChaparralPro-Regular" w:hAnsi="Arial" w:cs="Arial"/>
          <w:i/>
          <w:iCs/>
          <w:sz w:val="12"/>
          <w:szCs w:val="12"/>
        </w:rPr>
      </w:pPr>
      <w:r w:rsidRPr="00984E22">
        <w:rPr>
          <w:rFonts w:ascii="Arial" w:eastAsia="ChaparralPro-Regular" w:hAnsi="Arial" w:cs="Arial"/>
          <w:i/>
          <w:noProof/>
          <w:sz w:val="20"/>
          <w:szCs w:val="20"/>
        </w:rPr>
        <w:pict>
          <v:shape id="_x0000_i1027" type="#_x0000_t75" style="width:470.25pt;height:26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BkXC63AAAAAUBAAAPAAAAZHJzL2Rvd25y&#10;ZXYueG1sTI/NTsMwEITvSLyDtUjcqANK2hLiVIifCxdo4QG28RIH4nWIncZ9ewwXuKw0mtHMt9Um&#10;2l4caPSdYwWXiwwEceN0x62Ct9fHizUIH5A19o5JwZE8bOrTkwpL7Wbe0mEXWpFK2JeowIQwlFL6&#10;xpBFv3ADcfLe3WgxJDm2Uo84p3Lby6ssW0qLHacFgwPdGWo+d5NV8LF6+NoOq/ujeYpTnJfrl+K5&#10;mZU6P4u3NyACxfAXhh/8hA51Ytq7ibUXvYL0SPi9ybvOswLEXkGR5wXIupL/6etvAA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">
            <v:imagedata r:id="rId60" o:title="" croptop="-589f" cropbottom="-663f" cropleft="-1121f" cropright="-1805f"/>
            <o:lock v:ext="edit" aspectratio="f"/>
          </v:shape>
        </w:pict>
      </w:r>
    </w:p>
    <w:p w:rsidR="00306953" w:rsidRPr="00306953" w:rsidRDefault="00A26B1E" w:rsidP="006D05D2">
      <w:pPr>
        <w:autoSpaceDE w:val="0"/>
        <w:autoSpaceDN w:val="0"/>
        <w:adjustRightInd w:val="0"/>
        <w:spacing w:before="120" w:after="0" w:line="240" w:lineRule="auto"/>
        <w:jc w:val="both"/>
        <w:rPr>
          <w:rFonts w:eastAsia="ChaparralPro-Regular" w:cs="Arial"/>
          <w:sz w:val="16"/>
          <w:szCs w:val="16"/>
        </w:rPr>
      </w:pPr>
      <w:r w:rsidRPr="00FE5433">
        <w:rPr>
          <w:rFonts w:eastAsia="ChaparralPro-Regular" w:cs="Arial"/>
          <w:sz w:val="16"/>
          <w:szCs w:val="16"/>
        </w:rPr>
        <w:t>(</w:t>
      </w:r>
      <w:r w:rsidR="00306953" w:rsidRPr="00FE5433">
        <w:rPr>
          <w:rFonts w:eastAsia="ChaparralPro-Regular" w:cs="Arial"/>
          <w:sz w:val="16"/>
          <w:szCs w:val="16"/>
        </w:rPr>
        <w:t>1)</w:t>
      </w:r>
      <w:r w:rsidR="00306953" w:rsidRPr="00306953">
        <w:rPr>
          <w:rFonts w:eastAsia="ChaparralPro-Regular" w:cs="Arial"/>
          <w:sz w:val="16"/>
          <w:szCs w:val="16"/>
        </w:rPr>
        <w:t xml:space="preserve"> Data za Chile vypovídají o změně mezi roky 2011 a 2013 namísto změny mezi roky 2010 a 2012. </w:t>
      </w:r>
    </w:p>
    <w:p w:rsidR="00306953" w:rsidRPr="00306953" w:rsidRDefault="00306953" w:rsidP="006D05D2">
      <w:pPr>
        <w:autoSpaceDE w:val="0"/>
        <w:autoSpaceDN w:val="0"/>
        <w:adjustRightInd w:val="0"/>
        <w:spacing w:after="0" w:line="240" w:lineRule="auto"/>
        <w:jc w:val="both"/>
        <w:rPr>
          <w:rFonts w:cs="Arial"/>
          <w:color w:val="231F20"/>
          <w:sz w:val="16"/>
          <w:szCs w:val="16"/>
        </w:rPr>
      </w:pPr>
      <w:r w:rsidRPr="00306953">
        <w:rPr>
          <w:rFonts w:eastAsia="ChaparralPro-Regular" w:cs="Arial"/>
          <w:sz w:val="16"/>
          <w:szCs w:val="16"/>
        </w:rPr>
        <w:t xml:space="preserve">Zdroj: OECD 2015, graf B 2.4 (tabulka B2.4). StatLink: </w:t>
      </w:r>
      <w:hyperlink r:id="rId61" w:history="1">
        <w:r w:rsidRPr="00306953">
          <w:rPr>
            <w:rStyle w:val="Hypertextovodkaz"/>
            <w:rFonts w:cs="Arial"/>
            <w:sz w:val="16"/>
            <w:szCs w:val="16"/>
          </w:rPr>
          <w:t>http://dx.doi.org/10.1787/888933283976</w:t>
        </w:r>
      </w:hyperlink>
    </w:p>
    <w:p w:rsidR="00306953" w:rsidRPr="00306953" w:rsidRDefault="00306953" w:rsidP="006D05D2">
      <w:pPr>
        <w:autoSpaceDE w:val="0"/>
        <w:autoSpaceDN w:val="0"/>
        <w:adjustRightInd w:val="0"/>
        <w:spacing w:after="0" w:line="240" w:lineRule="auto"/>
        <w:jc w:val="both"/>
        <w:rPr>
          <w:rFonts w:cs="Arial"/>
          <w:sz w:val="12"/>
          <w:szCs w:val="12"/>
        </w:rPr>
      </w:pPr>
    </w:p>
    <w:p w:rsidR="00306953" w:rsidRPr="00306953" w:rsidRDefault="00306953" w:rsidP="00306953">
      <w:pPr>
        <w:autoSpaceDE w:val="0"/>
        <w:autoSpaceDN w:val="0"/>
        <w:adjustRightInd w:val="0"/>
        <w:spacing w:after="0" w:line="240" w:lineRule="auto"/>
        <w:jc w:val="both"/>
        <w:rPr>
          <w:rFonts w:eastAsia="ChaparralPro-Regular" w:cs="Arial"/>
        </w:rPr>
      </w:pPr>
      <w:r w:rsidRPr="00306953">
        <w:rPr>
          <w:rFonts w:cs="Arial"/>
        </w:rPr>
        <w:t xml:space="preserve">Dosud jsme se zabývali pouze výdaji </w:t>
      </w:r>
      <w:r w:rsidRPr="00306953">
        <w:rPr>
          <w:rFonts w:cs="Arial"/>
          <w:b/>
        </w:rPr>
        <w:t>veřejnými</w:t>
      </w:r>
      <w:r w:rsidRPr="00306953">
        <w:rPr>
          <w:rFonts w:cs="Arial"/>
        </w:rPr>
        <w:t xml:space="preserve">. V publikaci Education at a Glance 2015 je však také k dispozici mezinárodní srovnání </w:t>
      </w:r>
      <w:r w:rsidRPr="00306953">
        <w:rPr>
          <w:rFonts w:cs="Arial"/>
          <w:b/>
        </w:rPr>
        <w:t>celkové výše všech</w:t>
      </w:r>
      <w:r w:rsidRPr="00306953">
        <w:rPr>
          <w:rFonts w:cs="Arial"/>
        </w:rPr>
        <w:t xml:space="preserve"> </w:t>
      </w:r>
      <w:r w:rsidRPr="00306953">
        <w:rPr>
          <w:rFonts w:eastAsia="ChaparralPro-Regular" w:cs="Arial"/>
          <w:b/>
        </w:rPr>
        <w:t>výdajů na vzdělávací instituce</w:t>
      </w:r>
      <w:r w:rsidRPr="00306953">
        <w:rPr>
          <w:rFonts w:eastAsia="ChaparralPro-Regular" w:cs="Arial"/>
        </w:rPr>
        <w:t xml:space="preserve"> poskytující formální vzdělávání (tj. celkové množství veřejných výdajů, výdajů podniků a výda</w:t>
      </w:r>
      <w:r w:rsidR="00E52654">
        <w:rPr>
          <w:rFonts w:eastAsia="ChaparralPro-Regular" w:cs="Arial"/>
        </w:rPr>
        <w:t>jů jednotlivých žáků/studentů a </w:t>
      </w:r>
      <w:r w:rsidRPr="00306953">
        <w:rPr>
          <w:rFonts w:eastAsia="ChaparralPro-Regular" w:cs="Arial"/>
        </w:rPr>
        <w:t xml:space="preserve">jejich rodin) </w:t>
      </w:r>
      <w:r w:rsidRPr="00306953">
        <w:rPr>
          <w:rFonts w:eastAsia="ChaparralPro-Regular" w:cs="Arial"/>
          <w:b/>
        </w:rPr>
        <w:t>jakožto podíl HDP uvedených zemí</w:t>
      </w:r>
      <w:r w:rsidRPr="00306953">
        <w:rPr>
          <w:rFonts w:eastAsia="ChaparralPro-Regular" w:cs="Arial"/>
        </w:rPr>
        <w:t xml:space="preserve"> </w:t>
      </w:r>
      <w:r w:rsidRPr="00306953">
        <w:rPr>
          <w:rFonts w:eastAsia="ChaparralPro-Regular" w:cs="Arial"/>
          <w:b/>
        </w:rPr>
        <w:t>v letech 2000, 2008 a 2012</w:t>
      </w:r>
      <w:r w:rsidRPr="00306953">
        <w:rPr>
          <w:rFonts w:eastAsia="ChaparralPro-Regular" w:cs="Arial"/>
        </w:rPr>
        <w:t>:</w:t>
      </w:r>
    </w:p>
    <w:p w:rsidR="00306953" w:rsidRPr="00306953" w:rsidRDefault="00306953" w:rsidP="00306953">
      <w:pPr>
        <w:autoSpaceDE w:val="0"/>
        <w:autoSpaceDN w:val="0"/>
        <w:adjustRightInd w:val="0"/>
        <w:spacing w:after="0" w:line="240" w:lineRule="auto"/>
        <w:jc w:val="both"/>
        <w:rPr>
          <w:rFonts w:eastAsia="ChaparralPro-Regular" w:cs="Arial"/>
          <w:sz w:val="12"/>
          <w:szCs w:val="12"/>
        </w:rPr>
      </w:pPr>
    </w:p>
    <w:p w:rsidR="000155F8" w:rsidRPr="000155F8" w:rsidRDefault="00306953" w:rsidP="000155F8">
      <w:pPr>
        <w:autoSpaceDE w:val="0"/>
        <w:autoSpaceDN w:val="0"/>
        <w:adjustRightInd w:val="0"/>
        <w:spacing w:after="120" w:line="240" w:lineRule="auto"/>
        <w:rPr>
          <w:rFonts w:eastAsia="ChaparralPro-Regular" w:cs="Arial"/>
          <w:b/>
          <w:sz w:val="12"/>
          <w:szCs w:val="12"/>
        </w:rPr>
      </w:pPr>
      <w:r w:rsidRPr="00306953">
        <w:rPr>
          <w:rFonts w:eastAsia="ChaparralPro-Regular" w:cs="Arial"/>
          <w:b/>
        </w:rPr>
        <w:t>Graf č. 4: Soukromé i veřejné výdaje na vzdělávací instituce primární až terciární úrovně jakožto podíl H</w:t>
      </w:r>
      <w:r w:rsidR="000155F8">
        <w:rPr>
          <w:rFonts w:eastAsia="ChaparralPro-Regular" w:cs="Arial"/>
          <w:b/>
        </w:rPr>
        <w:t xml:space="preserve">DP uvedených zemí (2000, 2008 a </w:t>
      </w:r>
      <w:r w:rsidRPr="00306953">
        <w:rPr>
          <w:rFonts w:eastAsia="ChaparralPro-Regular" w:cs="Arial"/>
          <w:b/>
        </w:rPr>
        <w:t>2012</w:t>
      </w:r>
      <w:r w:rsidR="000155F8">
        <w:rPr>
          <w:rFonts w:eastAsia="ChaparralPro-Regular" w:cs="Arial"/>
          <w:b/>
        </w:rPr>
        <w:t xml:space="preserve">) </w:t>
      </w:r>
      <w:r w:rsidR="00BA5EE1" w:rsidRPr="00984E22">
        <w:rPr>
          <w:rFonts w:eastAsia="ChaparralPro-Regular" w:cs="Arial"/>
          <w:b/>
          <w:noProof/>
        </w:rPr>
        <w:pict>
          <v:shape id="_x0000_i1028" type="#_x0000_t75" style="width:470.25pt;height:257.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">
            <v:imagedata r:id="rId62" o:title="" croptop="-2142f" cropbottom="-3893f" cropleft="-411f" cropright="-666f"/>
            <o:lock v:ext="edit" aspectratio="f"/>
          </v:shape>
        </w:pict>
      </w:r>
    </w:p>
    <w:p w:rsidR="00306953" w:rsidRPr="000155F8" w:rsidRDefault="00A26B1E" w:rsidP="000155F8">
      <w:pPr>
        <w:autoSpaceDE w:val="0"/>
        <w:autoSpaceDN w:val="0"/>
        <w:adjustRightInd w:val="0"/>
        <w:spacing w:after="0" w:line="240" w:lineRule="auto"/>
        <w:rPr>
          <w:rFonts w:eastAsia="ChaparralPro-Regular" w:cs="Arial"/>
          <w:b/>
        </w:rPr>
      </w:pPr>
      <w:r w:rsidRPr="00FE5433">
        <w:rPr>
          <w:rFonts w:eastAsia="ChaparralPro-Regular" w:cs="Arial"/>
          <w:sz w:val="16"/>
          <w:szCs w:val="16"/>
        </w:rPr>
        <w:t>(</w:t>
      </w:r>
      <w:r w:rsidR="00306953" w:rsidRPr="00FE5433">
        <w:rPr>
          <w:rFonts w:eastAsia="ChaparralPro-Regular" w:cs="Arial"/>
          <w:sz w:val="16"/>
          <w:szCs w:val="16"/>
        </w:rPr>
        <w:t>1)</w:t>
      </w:r>
      <w:r w:rsidR="00306953" w:rsidRPr="00306953">
        <w:rPr>
          <w:rFonts w:eastAsia="ChaparralPro-Regular" w:cs="Arial"/>
          <w:sz w:val="16"/>
          <w:szCs w:val="16"/>
        </w:rPr>
        <w:t xml:space="preserve"> Pouze veřejné instituce (nemusí se týkat veškerých dat za danou zemi: v případě Švýcarska jsou zahrnuty pouze veřejné instituce v terciárním vzdělávání; v případě Norska v primárním, sekundárním a postsekundárním neterciárním vzdělávání).   </w:t>
      </w:r>
    </w:p>
    <w:p w:rsidR="00306953" w:rsidRPr="00306953" w:rsidRDefault="00306953" w:rsidP="00306953">
      <w:pPr>
        <w:autoSpaceDE w:val="0"/>
        <w:autoSpaceDN w:val="0"/>
        <w:adjustRightInd w:val="0"/>
        <w:spacing w:after="0" w:line="240" w:lineRule="auto"/>
        <w:jc w:val="both"/>
        <w:rPr>
          <w:rFonts w:eastAsia="ChaparralPro-Regular" w:cs="Arial"/>
          <w:sz w:val="16"/>
          <w:szCs w:val="16"/>
        </w:rPr>
      </w:pPr>
      <w:r w:rsidRPr="00306953">
        <w:rPr>
          <w:rFonts w:eastAsia="ChaparralPro-Regular" w:cs="Arial"/>
          <w:sz w:val="16"/>
          <w:szCs w:val="16"/>
        </w:rPr>
        <w:t xml:space="preserve">Zdroj: OECD 2015, graf B 2.3 (příp. tabulka B 2.2). StatLink: </w:t>
      </w:r>
      <w:r w:rsidRPr="00306953">
        <w:rPr>
          <w:rStyle w:val="Hypertextovodkaz"/>
          <w:rFonts w:cs="Arial"/>
          <w:sz w:val="16"/>
          <w:szCs w:val="16"/>
        </w:rPr>
        <w:t>http://dx.doi.org/10.1787/888933283964</w:t>
      </w:r>
    </w:p>
    <w:p w:rsidR="00306953" w:rsidRPr="00306953" w:rsidRDefault="00306953" w:rsidP="00FC13AE">
      <w:pPr>
        <w:spacing w:after="0" w:line="240" w:lineRule="auto"/>
        <w:jc w:val="both"/>
        <w:rPr>
          <w:rFonts w:eastAsia="ChaparralPro-Regular" w:cs="Arial"/>
          <w:szCs w:val="20"/>
        </w:rPr>
      </w:pPr>
    </w:p>
    <w:p w:rsidR="00306953" w:rsidRPr="00306953" w:rsidRDefault="00306953" w:rsidP="00306953">
      <w:pPr>
        <w:spacing w:after="120" w:line="240" w:lineRule="auto"/>
        <w:jc w:val="both"/>
        <w:rPr>
          <w:rFonts w:eastAsia="ChaparralPro-Regular" w:cs="Arial"/>
        </w:rPr>
      </w:pPr>
      <w:r w:rsidRPr="00306953">
        <w:rPr>
          <w:rFonts w:eastAsia="ChaparralPro-Regular" w:cs="Arial"/>
        </w:rPr>
        <w:t xml:space="preserve">Opět je třeba si uvědomit, že tyto výsledky mohou ovlivňovat různé faktory v pozadí. Odhlédneme-li však od nich, můžeme na základě grafu č. 4 konstatovat, že </w:t>
      </w:r>
      <w:r w:rsidRPr="00306953">
        <w:rPr>
          <w:rFonts w:eastAsia="ChaparralPro-Regular" w:cs="Arial"/>
          <w:b/>
          <w:i/>
        </w:rPr>
        <w:t>v České republice</w:t>
      </w:r>
      <w:r w:rsidRPr="00306953">
        <w:rPr>
          <w:rFonts w:eastAsia="ChaparralPro-Regular" w:cs="Arial"/>
        </w:rPr>
        <w:t xml:space="preserve"> byl podíl (soukromých i veřejných) výdajů na instituce poskytující primární až terciární vzdělávání k HDP </w:t>
      </w:r>
      <w:r w:rsidRPr="00306953">
        <w:rPr>
          <w:rFonts w:eastAsia="ChaparralPro-Regular" w:cs="Arial"/>
          <w:b/>
          <w:i/>
        </w:rPr>
        <w:t>ve všech sledovaných rocích</w:t>
      </w:r>
      <w:r w:rsidRPr="00306953">
        <w:rPr>
          <w:rFonts w:eastAsia="ChaparralPro-Regular" w:cs="Arial"/>
        </w:rPr>
        <w:t xml:space="preserve"> </w:t>
      </w:r>
      <w:r w:rsidRPr="00306953">
        <w:rPr>
          <w:rFonts w:eastAsia="ChaparralPro-Regular" w:cs="Arial"/>
          <w:b/>
          <w:i/>
        </w:rPr>
        <w:t>nižší než v mezinárodním průměru</w:t>
      </w:r>
      <w:r w:rsidRPr="00306953">
        <w:rPr>
          <w:rFonts w:eastAsia="ChaparralPro-Regular" w:cs="Arial"/>
        </w:rPr>
        <w:t xml:space="preserve">. Ve shodě s mezinárodním průměrem však tento podíl </w:t>
      </w:r>
      <w:r w:rsidRPr="00306953">
        <w:rPr>
          <w:rFonts w:eastAsia="ChaparralPro-Regular" w:cs="Arial"/>
          <w:b/>
          <w:i/>
        </w:rPr>
        <w:t>stoupal</w:t>
      </w:r>
      <w:r w:rsidRPr="00306953">
        <w:rPr>
          <w:rFonts w:eastAsia="ChaparralPro-Regular" w:cs="Arial"/>
        </w:rPr>
        <w:t xml:space="preserve">, a to dokonce výrazněji. Srovnáme-li Českou republiku s Polskem, zjistíme, že je podíl výdajů na vzdělávací instituce z HDP u nás ve všech sledovaných letech nižší, nicméně na rozdíl od ČR a mezinárodního průměru v Polsku tento podíl v uvedených rocích nestoupal (naopak, mezi lety 2008 a 2012 mírně poklesl). Na Slovensku pak byl podíl výdajů na vzdělávací instituce z HDP v roce 2012 nižší než u nás, nicméně v roce 2000 se tento podíl </w:t>
      </w:r>
      <w:r w:rsidR="000155F8">
        <w:rPr>
          <w:rFonts w:eastAsia="ChaparralPro-Regular" w:cs="Arial"/>
        </w:rPr>
        <w:t xml:space="preserve">téměř </w:t>
      </w:r>
      <w:r w:rsidRPr="00306953">
        <w:rPr>
          <w:rFonts w:eastAsia="ChaparralPro-Regular" w:cs="Arial"/>
        </w:rPr>
        <w:t>nelišil. Ani Slovensko tak ve sledovaných letech nezaznamenalo výrazný nárůst podílu výdajů na instituce poskytující primární až terciární úroveň vzdělávání z HDP.</w:t>
      </w:r>
    </w:p>
    <w:p w:rsidR="00306953" w:rsidRPr="00306953" w:rsidRDefault="00306953" w:rsidP="00306953">
      <w:pPr>
        <w:autoSpaceDE w:val="0"/>
        <w:autoSpaceDN w:val="0"/>
        <w:adjustRightInd w:val="0"/>
        <w:spacing w:after="0" w:line="240" w:lineRule="auto"/>
        <w:jc w:val="both"/>
        <w:rPr>
          <w:rFonts w:eastAsia="ChaparralPro-Regular" w:cs="Arial"/>
        </w:rPr>
      </w:pPr>
      <w:r w:rsidRPr="007263C9">
        <w:rPr>
          <w:rFonts w:eastAsia="ChaparralPro-Regular" w:cs="Arial"/>
        </w:rPr>
        <w:t xml:space="preserve">Tabulka </w:t>
      </w:r>
      <w:r w:rsidR="007263C9" w:rsidRPr="007263C9">
        <w:rPr>
          <w:rFonts w:eastAsia="ChaparralPro-Regular" w:cs="Arial"/>
        </w:rPr>
        <w:t>č. </w:t>
      </w:r>
      <w:r w:rsidRPr="007263C9">
        <w:rPr>
          <w:rFonts w:eastAsia="ChaparralPro-Regular" w:cs="Arial"/>
        </w:rPr>
        <w:t>5</w:t>
      </w:r>
      <w:r w:rsidR="00B12A37">
        <w:rPr>
          <w:rFonts w:eastAsia="ChaparralPro-Regular" w:cs="Arial"/>
        </w:rPr>
        <w:t xml:space="preserve"> </w:t>
      </w:r>
      <w:r w:rsidRPr="00306953">
        <w:rPr>
          <w:rFonts w:eastAsia="ChaparralPro-Regular" w:cs="Arial"/>
        </w:rPr>
        <w:t xml:space="preserve">obsahuje přehledné srovnání </w:t>
      </w:r>
      <w:r w:rsidRPr="00306953">
        <w:rPr>
          <w:rFonts w:eastAsia="ChaparralPro-Regular" w:cs="Arial"/>
          <w:b/>
        </w:rPr>
        <w:t>podílu</w:t>
      </w:r>
      <w:r w:rsidRPr="00306953">
        <w:rPr>
          <w:rFonts w:eastAsia="ChaparralPro-Regular" w:cs="Arial"/>
        </w:rPr>
        <w:t xml:space="preserve"> </w:t>
      </w:r>
      <w:r w:rsidRPr="00306953">
        <w:rPr>
          <w:rFonts w:eastAsia="ChaparralPro-Regular" w:cs="Arial"/>
          <w:b/>
        </w:rPr>
        <w:t>veřejných a soukromých výdajů</w:t>
      </w:r>
      <w:r w:rsidRPr="00306953">
        <w:rPr>
          <w:rFonts w:eastAsia="ChaparralPro-Regular" w:cs="Arial"/>
        </w:rPr>
        <w:t xml:space="preserve"> na vzdělávací instituce primárního až postsekundárního neterciárního vzdělávání a terciárního vzdělávání </w:t>
      </w:r>
      <w:r w:rsidRPr="00306953">
        <w:rPr>
          <w:rFonts w:eastAsia="ChaparralPro-Regular" w:cs="Arial"/>
          <w:b/>
        </w:rPr>
        <w:t>z HDP</w:t>
      </w:r>
      <w:r w:rsidRPr="00306953">
        <w:rPr>
          <w:rFonts w:eastAsia="ChaparralPro-Regular" w:cs="Arial"/>
        </w:rPr>
        <w:t xml:space="preserve"> v ČR, ve vybraných zemích a v mezinárodních průměrech v roce 2012:</w:t>
      </w:r>
    </w:p>
    <w:p w:rsidR="00306953" w:rsidRPr="00306953" w:rsidRDefault="00306953" w:rsidP="00306953">
      <w:pPr>
        <w:spacing w:after="60" w:line="240" w:lineRule="auto"/>
        <w:jc w:val="both"/>
        <w:rPr>
          <w:rFonts w:cs="Arial"/>
          <w:color w:val="FF0000"/>
          <w:sz w:val="12"/>
          <w:szCs w:val="12"/>
        </w:rPr>
      </w:pPr>
    </w:p>
    <w:p w:rsidR="00306953" w:rsidRPr="00306953" w:rsidRDefault="00306953" w:rsidP="00306953">
      <w:pPr>
        <w:spacing w:after="60" w:line="240" w:lineRule="auto"/>
        <w:jc w:val="both"/>
        <w:rPr>
          <w:rFonts w:cs="Arial"/>
          <w:b/>
        </w:rPr>
      </w:pPr>
      <w:r w:rsidRPr="00306953">
        <w:rPr>
          <w:rFonts w:cs="Arial"/>
          <w:b/>
        </w:rPr>
        <w:t xml:space="preserve">Tabulka č. 5 Výdaje na vzdělávací instituce v podílu z HDP (v %), dle zdroje a úrovně vzdělávání (2012) </w:t>
      </w:r>
    </w:p>
    <w:tbl>
      <w:tblPr>
        <w:tblW w:w="9940" w:type="dxa"/>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1300"/>
        <w:gridCol w:w="960"/>
        <w:gridCol w:w="960"/>
        <w:gridCol w:w="960"/>
        <w:gridCol w:w="960"/>
        <w:gridCol w:w="960"/>
        <w:gridCol w:w="960"/>
        <w:gridCol w:w="960"/>
        <w:gridCol w:w="960"/>
        <w:gridCol w:w="960"/>
      </w:tblGrid>
      <w:tr w:rsidR="00306953" w:rsidRPr="00306953" w:rsidTr="00BF267F">
        <w:trPr>
          <w:trHeight w:val="495"/>
        </w:trPr>
        <w:tc>
          <w:tcPr>
            <w:tcW w:w="1300" w:type="dxa"/>
            <w:vMerge w:val="restart"/>
            <w:tcBorders>
              <w:top w:val="double" w:sz="4" w:space="0" w:color="auto"/>
              <w:bottom w:val="single" w:sz="4" w:space="0" w:color="auto"/>
            </w:tcBorders>
            <w:shd w:val="clear" w:color="auto" w:fill="FFCCCC"/>
            <w:noWrap/>
            <w:vAlign w:val="center"/>
            <w:hideMark/>
          </w:tcPr>
          <w:p w:rsidR="00306953" w:rsidRPr="001042AC" w:rsidRDefault="00306953" w:rsidP="00306953">
            <w:pPr>
              <w:spacing w:after="0" w:line="240" w:lineRule="auto"/>
              <w:rPr>
                <w:rFonts w:cs="Arial"/>
                <w:b/>
                <w:color w:val="000000"/>
                <w:sz w:val="16"/>
                <w:szCs w:val="16"/>
              </w:rPr>
            </w:pPr>
            <w:r w:rsidRPr="001042AC">
              <w:rPr>
                <w:rFonts w:cs="Arial"/>
                <w:b/>
                <w:color w:val="000000"/>
                <w:sz w:val="16"/>
                <w:szCs w:val="16"/>
              </w:rPr>
              <w:t> </w:t>
            </w:r>
          </w:p>
        </w:tc>
        <w:tc>
          <w:tcPr>
            <w:tcW w:w="2880" w:type="dxa"/>
            <w:gridSpan w:val="3"/>
            <w:tcBorders>
              <w:top w:val="double" w:sz="4" w:space="0" w:color="auto"/>
              <w:bottom w:val="single" w:sz="4" w:space="0" w:color="auto"/>
            </w:tcBorders>
            <w:shd w:val="clear" w:color="auto" w:fill="FFCCCC"/>
            <w:vAlign w:val="center"/>
            <w:hideMark/>
          </w:tcPr>
          <w:p w:rsidR="00306953" w:rsidRPr="001042AC" w:rsidRDefault="00E361EC" w:rsidP="007E5BD0">
            <w:pPr>
              <w:spacing w:after="0" w:line="240" w:lineRule="auto"/>
              <w:jc w:val="center"/>
              <w:rPr>
                <w:rFonts w:cs="Arial"/>
                <w:b/>
                <w:color w:val="000000"/>
                <w:sz w:val="16"/>
                <w:szCs w:val="16"/>
              </w:rPr>
            </w:pPr>
            <w:r>
              <w:rPr>
                <w:rFonts w:cs="Arial"/>
                <w:b/>
                <w:color w:val="000000"/>
                <w:sz w:val="16"/>
                <w:szCs w:val="16"/>
              </w:rPr>
              <w:t>p</w:t>
            </w:r>
            <w:r w:rsidR="00B12A37">
              <w:rPr>
                <w:rFonts w:cs="Arial"/>
                <w:b/>
                <w:color w:val="000000"/>
                <w:sz w:val="16"/>
                <w:szCs w:val="16"/>
              </w:rPr>
              <w:t>rimární, sekundární a </w:t>
            </w:r>
            <w:r w:rsidR="00306953" w:rsidRPr="001042AC">
              <w:rPr>
                <w:rFonts w:cs="Arial"/>
                <w:b/>
                <w:color w:val="000000"/>
                <w:sz w:val="16"/>
                <w:szCs w:val="16"/>
              </w:rPr>
              <w:t>postsekundární neterciární vzdělávání</w:t>
            </w:r>
          </w:p>
        </w:tc>
        <w:tc>
          <w:tcPr>
            <w:tcW w:w="2880" w:type="dxa"/>
            <w:gridSpan w:val="3"/>
            <w:tcBorders>
              <w:top w:val="double" w:sz="4" w:space="0" w:color="auto"/>
              <w:bottom w:val="single" w:sz="4" w:space="0" w:color="auto"/>
            </w:tcBorders>
            <w:shd w:val="clear" w:color="auto" w:fill="FFCCCC"/>
            <w:vAlign w:val="center"/>
            <w:hideMark/>
          </w:tcPr>
          <w:p w:rsidR="00306953" w:rsidRPr="001042AC" w:rsidRDefault="00E361EC" w:rsidP="007E5BD0">
            <w:pPr>
              <w:spacing w:after="0" w:line="240" w:lineRule="auto"/>
              <w:jc w:val="center"/>
              <w:rPr>
                <w:rFonts w:cs="Arial"/>
                <w:b/>
                <w:color w:val="000000"/>
                <w:sz w:val="16"/>
                <w:szCs w:val="16"/>
              </w:rPr>
            </w:pPr>
            <w:r>
              <w:rPr>
                <w:rFonts w:cs="Arial"/>
                <w:b/>
                <w:color w:val="000000"/>
                <w:sz w:val="16"/>
                <w:szCs w:val="16"/>
              </w:rPr>
              <w:t>t</w:t>
            </w:r>
            <w:r w:rsidR="00306953" w:rsidRPr="001042AC">
              <w:rPr>
                <w:rFonts w:cs="Arial"/>
                <w:b/>
                <w:color w:val="000000"/>
                <w:sz w:val="16"/>
                <w:szCs w:val="16"/>
              </w:rPr>
              <w:t>erciární vzdělávání</w:t>
            </w:r>
          </w:p>
        </w:tc>
        <w:tc>
          <w:tcPr>
            <w:tcW w:w="2880" w:type="dxa"/>
            <w:gridSpan w:val="3"/>
            <w:tcBorders>
              <w:top w:val="double" w:sz="4" w:space="0" w:color="auto"/>
              <w:bottom w:val="single" w:sz="4" w:space="0" w:color="auto"/>
            </w:tcBorders>
            <w:shd w:val="clear" w:color="auto" w:fill="FFCCCC"/>
            <w:vAlign w:val="center"/>
            <w:hideMark/>
          </w:tcPr>
          <w:p w:rsidR="00306953" w:rsidRPr="001042AC" w:rsidRDefault="00E361EC" w:rsidP="007E5BD0">
            <w:pPr>
              <w:spacing w:after="0" w:line="240" w:lineRule="auto"/>
              <w:jc w:val="center"/>
              <w:rPr>
                <w:rFonts w:cs="Arial"/>
                <w:b/>
                <w:color w:val="000000"/>
                <w:sz w:val="16"/>
                <w:szCs w:val="16"/>
              </w:rPr>
            </w:pPr>
            <w:r>
              <w:rPr>
                <w:rFonts w:cs="Arial"/>
                <w:b/>
                <w:color w:val="000000"/>
                <w:sz w:val="16"/>
                <w:szCs w:val="16"/>
              </w:rPr>
              <w:t>p</w:t>
            </w:r>
            <w:r w:rsidR="00306953" w:rsidRPr="001042AC">
              <w:rPr>
                <w:rFonts w:cs="Arial"/>
                <w:b/>
                <w:color w:val="000000"/>
                <w:sz w:val="16"/>
                <w:szCs w:val="16"/>
              </w:rPr>
              <w:t>rimární až terciární vzdělávání</w:t>
            </w:r>
          </w:p>
          <w:p w:rsidR="00306953" w:rsidRPr="001042AC" w:rsidRDefault="00306953" w:rsidP="007E5BD0">
            <w:pPr>
              <w:spacing w:after="0" w:line="240" w:lineRule="auto"/>
              <w:jc w:val="center"/>
              <w:rPr>
                <w:rFonts w:cs="Arial"/>
                <w:b/>
                <w:color w:val="000000"/>
                <w:sz w:val="16"/>
                <w:szCs w:val="16"/>
              </w:rPr>
            </w:pPr>
            <w:r w:rsidRPr="001042AC">
              <w:rPr>
                <w:rFonts w:cs="Arial"/>
                <w:b/>
                <w:color w:val="000000"/>
                <w:sz w:val="16"/>
                <w:szCs w:val="16"/>
              </w:rPr>
              <w:t>(včetně nezatříděných programů)</w:t>
            </w:r>
          </w:p>
        </w:tc>
      </w:tr>
      <w:tr w:rsidR="00306953" w:rsidRPr="00306953" w:rsidTr="00BF267F">
        <w:trPr>
          <w:trHeight w:val="360"/>
        </w:trPr>
        <w:tc>
          <w:tcPr>
            <w:tcW w:w="1300" w:type="dxa"/>
            <w:vMerge/>
            <w:tcBorders>
              <w:top w:val="single" w:sz="4" w:space="0" w:color="auto"/>
              <w:bottom w:val="double" w:sz="4" w:space="0" w:color="auto"/>
            </w:tcBorders>
            <w:shd w:val="clear" w:color="auto" w:fill="FFCCCC"/>
            <w:vAlign w:val="center"/>
            <w:hideMark/>
          </w:tcPr>
          <w:p w:rsidR="00306953" w:rsidRPr="001042AC" w:rsidRDefault="00306953" w:rsidP="00306953">
            <w:pPr>
              <w:spacing w:after="0" w:line="240" w:lineRule="auto"/>
              <w:rPr>
                <w:rFonts w:cs="Arial"/>
                <w:b/>
                <w:color w:val="000000"/>
                <w:sz w:val="16"/>
                <w:szCs w:val="16"/>
              </w:rPr>
            </w:pPr>
          </w:p>
        </w:tc>
        <w:tc>
          <w:tcPr>
            <w:tcW w:w="960" w:type="dxa"/>
            <w:tcBorders>
              <w:top w:val="single" w:sz="4" w:space="0" w:color="auto"/>
              <w:bottom w:val="double" w:sz="4" w:space="0" w:color="auto"/>
            </w:tcBorders>
            <w:shd w:val="clear" w:color="auto" w:fill="FFCCCC"/>
            <w:vAlign w:val="center"/>
            <w:hideMark/>
          </w:tcPr>
          <w:p w:rsidR="00306953" w:rsidRPr="001042AC" w:rsidRDefault="00E361EC" w:rsidP="007E5BD0">
            <w:pPr>
              <w:spacing w:after="0" w:line="240" w:lineRule="auto"/>
              <w:jc w:val="center"/>
              <w:rPr>
                <w:rFonts w:cs="Arial"/>
                <w:b/>
                <w:color w:val="000000"/>
                <w:sz w:val="16"/>
                <w:szCs w:val="16"/>
              </w:rPr>
            </w:pPr>
            <w:r>
              <w:rPr>
                <w:rFonts w:cs="Arial"/>
                <w:b/>
                <w:color w:val="000000"/>
                <w:sz w:val="16"/>
                <w:szCs w:val="16"/>
              </w:rPr>
              <w:t>v</w:t>
            </w:r>
            <w:r w:rsidR="00306953" w:rsidRPr="001042AC">
              <w:rPr>
                <w:rFonts w:cs="Arial"/>
                <w:b/>
                <w:color w:val="000000"/>
                <w:sz w:val="16"/>
                <w:szCs w:val="16"/>
              </w:rPr>
              <w:t>eřejné</w:t>
            </w:r>
            <w:r w:rsidR="00306953" w:rsidRPr="001042AC">
              <w:rPr>
                <w:rFonts w:cs="Arial"/>
                <w:b/>
                <w:color w:val="000000"/>
                <w:sz w:val="16"/>
                <w:szCs w:val="16"/>
                <w:vertAlign w:val="superscript"/>
              </w:rPr>
              <w:t>1)</w:t>
            </w:r>
          </w:p>
        </w:tc>
        <w:tc>
          <w:tcPr>
            <w:tcW w:w="960" w:type="dxa"/>
            <w:tcBorders>
              <w:top w:val="single" w:sz="4" w:space="0" w:color="auto"/>
              <w:bottom w:val="double" w:sz="4" w:space="0" w:color="auto"/>
            </w:tcBorders>
            <w:shd w:val="clear" w:color="auto" w:fill="FFCCCC"/>
            <w:vAlign w:val="center"/>
            <w:hideMark/>
          </w:tcPr>
          <w:p w:rsidR="00306953" w:rsidRPr="001042AC" w:rsidRDefault="00E361EC" w:rsidP="007E5BD0">
            <w:pPr>
              <w:spacing w:after="0" w:line="240" w:lineRule="auto"/>
              <w:jc w:val="center"/>
              <w:rPr>
                <w:rFonts w:cs="Arial"/>
                <w:b/>
                <w:color w:val="000000"/>
                <w:sz w:val="16"/>
                <w:szCs w:val="16"/>
              </w:rPr>
            </w:pPr>
            <w:r>
              <w:rPr>
                <w:rFonts w:cs="Arial"/>
                <w:b/>
                <w:color w:val="000000"/>
                <w:sz w:val="16"/>
                <w:szCs w:val="16"/>
              </w:rPr>
              <w:t>s</w:t>
            </w:r>
            <w:r w:rsidR="00306953" w:rsidRPr="001042AC">
              <w:rPr>
                <w:rFonts w:cs="Arial"/>
                <w:b/>
                <w:color w:val="000000"/>
                <w:sz w:val="16"/>
                <w:szCs w:val="16"/>
              </w:rPr>
              <w:t>oukromé</w:t>
            </w:r>
          </w:p>
        </w:tc>
        <w:tc>
          <w:tcPr>
            <w:tcW w:w="960" w:type="dxa"/>
            <w:tcBorders>
              <w:top w:val="single" w:sz="4" w:space="0" w:color="auto"/>
              <w:bottom w:val="double" w:sz="4" w:space="0" w:color="auto"/>
            </w:tcBorders>
            <w:shd w:val="clear" w:color="auto" w:fill="FFCCCC"/>
            <w:vAlign w:val="center"/>
            <w:hideMark/>
          </w:tcPr>
          <w:p w:rsidR="00306953" w:rsidRPr="001042AC" w:rsidRDefault="00E361EC" w:rsidP="007E5BD0">
            <w:pPr>
              <w:spacing w:after="0" w:line="240" w:lineRule="auto"/>
              <w:jc w:val="center"/>
              <w:rPr>
                <w:rFonts w:cs="Arial"/>
                <w:b/>
                <w:color w:val="000000"/>
                <w:sz w:val="16"/>
                <w:szCs w:val="16"/>
              </w:rPr>
            </w:pPr>
            <w:r>
              <w:rPr>
                <w:rFonts w:cs="Arial"/>
                <w:b/>
                <w:color w:val="000000"/>
                <w:sz w:val="16"/>
                <w:szCs w:val="16"/>
              </w:rPr>
              <w:t>c</w:t>
            </w:r>
            <w:r w:rsidR="00306953" w:rsidRPr="001042AC">
              <w:rPr>
                <w:rFonts w:cs="Arial"/>
                <w:b/>
                <w:color w:val="000000"/>
                <w:sz w:val="16"/>
                <w:szCs w:val="16"/>
              </w:rPr>
              <w:t>elkem</w:t>
            </w:r>
          </w:p>
        </w:tc>
        <w:tc>
          <w:tcPr>
            <w:tcW w:w="960" w:type="dxa"/>
            <w:tcBorders>
              <w:top w:val="single" w:sz="4" w:space="0" w:color="auto"/>
              <w:bottom w:val="double" w:sz="4" w:space="0" w:color="auto"/>
            </w:tcBorders>
            <w:shd w:val="clear" w:color="auto" w:fill="FFCCCC"/>
            <w:vAlign w:val="center"/>
            <w:hideMark/>
          </w:tcPr>
          <w:p w:rsidR="00306953" w:rsidRPr="001042AC" w:rsidRDefault="00E361EC" w:rsidP="007E5BD0">
            <w:pPr>
              <w:spacing w:after="0" w:line="240" w:lineRule="auto"/>
              <w:jc w:val="center"/>
              <w:rPr>
                <w:rFonts w:cs="Arial"/>
                <w:b/>
                <w:color w:val="000000"/>
                <w:sz w:val="16"/>
                <w:szCs w:val="16"/>
              </w:rPr>
            </w:pPr>
            <w:r>
              <w:rPr>
                <w:rFonts w:cs="Arial"/>
                <w:b/>
                <w:color w:val="000000"/>
                <w:sz w:val="16"/>
                <w:szCs w:val="16"/>
              </w:rPr>
              <w:t>v</w:t>
            </w:r>
            <w:r w:rsidR="00306953" w:rsidRPr="001042AC">
              <w:rPr>
                <w:rFonts w:cs="Arial"/>
                <w:b/>
                <w:color w:val="000000"/>
                <w:sz w:val="16"/>
                <w:szCs w:val="16"/>
              </w:rPr>
              <w:t>eřejné</w:t>
            </w:r>
            <w:r w:rsidR="00306953" w:rsidRPr="001042AC">
              <w:rPr>
                <w:rFonts w:cs="Arial"/>
                <w:b/>
                <w:color w:val="000000"/>
                <w:sz w:val="16"/>
                <w:szCs w:val="16"/>
                <w:vertAlign w:val="superscript"/>
              </w:rPr>
              <w:t>1)</w:t>
            </w:r>
          </w:p>
        </w:tc>
        <w:tc>
          <w:tcPr>
            <w:tcW w:w="960" w:type="dxa"/>
            <w:tcBorders>
              <w:top w:val="single" w:sz="4" w:space="0" w:color="auto"/>
              <w:bottom w:val="double" w:sz="4" w:space="0" w:color="auto"/>
            </w:tcBorders>
            <w:shd w:val="clear" w:color="auto" w:fill="FFCCCC"/>
            <w:vAlign w:val="center"/>
            <w:hideMark/>
          </w:tcPr>
          <w:p w:rsidR="00306953" w:rsidRPr="001042AC" w:rsidRDefault="00E361EC" w:rsidP="007E5BD0">
            <w:pPr>
              <w:spacing w:after="0" w:line="240" w:lineRule="auto"/>
              <w:jc w:val="center"/>
              <w:rPr>
                <w:rFonts w:cs="Arial"/>
                <w:b/>
                <w:color w:val="000000"/>
                <w:sz w:val="16"/>
                <w:szCs w:val="16"/>
              </w:rPr>
            </w:pPr>
            <w:r>
              <w:rPr>
                <w:rFonts w:cs="Arial"/>
                <w:b/>
                <w:color w:val="000000"/>
                <w:sz w:val="16"/>
                <w:szCs w:val="16"/>
              </w:rPr>
              <w:t>s</w:t>
            </w:r>
            <w:r w:rsidR="00306953" w:rsidRPr="001042AC">
              <w:rPr>
                <w:rFonts w:cs="Arial"/>
                <w:b/>
                <w:color w:val="000000"/>
                <w:sz w:val="16"/>
                <w:szCs w:val="16"/>
              </w:rPr>
              <w:t>oukromé</w:t>
            </w:r>
          </w:p>
        </w:tc>
        <w:tc>
          <w:tcPr>
            <w:tcW w:w="960" w:type="dxa"/>
            <w:tcBorders>
              <w:top w:val="single" w:sz="4" w:space="0" w:color="auto"/>
              <w:bottom w:val="double" w:sz="4" w:space="0" w:color="auto"/>
            </w:tcBorders>
            <w:shd w:val="clear" w:color="auto" w:fill="FFCCCC"/>
            <w:vAlign w:val="center"/>
            <w:hideMark/>
          </w:tcPr>
          <w:p w:rsidR="00306953" w:rsidRPr="001042AC" w:rsidRDefault="00E361EC" w:rsidP="007E5BD0">
            <w:pPr>
              <w:spacing w:after="0" w:line="240" w:lineRule="auto"/>
              <w:jc w:val="center"/>
              <w:rPr>
                <w:rFonts w:cs="Arial"/>
                <w:b/>
                <w:color w:val="000000"/>
                <w:sz w:val="16"/>
                <w:szCs w:val="16"/>
              </w:rPr>
            </w:pPr>
            <w:r>
              <w:rPr>
                <w:rFonts w:cs="Arial"/>
                <w:b/>
                <w:color w:val="000000"/>
                <w:sz w:val="16"/>
                <w:szCs w:val="16"/>
              </w:rPr>
              <w:t>c</w:t>
            </w:r>
            <w:r w:rsidR="00306953" w:rsidRPr="001042AC">
              <w:rPr>
                <w:rFonts w:cs="Arial"/>
                <w:b/>
                <w:color w:val="000000"/>
                <w:sz w:val="16"/>
                <w:szCs w:val="16"/>
              </w:rPr>
              <w:t>elkem</w:t>
            </w:r>
          </w:p>
        </w:tc>
        <w:tc>
          <w:tcPr>
            <w:tcW w:w="960" w:type="dxa"/>
            <w:tcBorders>
              <w:top w:val="single" w:sz="4" w:space="0" w:color="auto"/>
              <w:bottom w:val="double" w:sz="4" w:space="0" w:color="auto"/>
            </w:tcBorders>
            <w:shd w:val="clear" w:color="auto" w:fill="FFCCCC"/>
            <w:vAlign w:val="center"/>
            <w:hideMark/>
          </w:tcPr>
          <w:p w:rsidR="00306953" w:rsidRPr="001042AC" w:rsidRDefault="00E361EC" w:rsidP="007E5BD0">
            <w:pPr>
              <w:spacing w:after="0" w:line="240" w:lineRule="auto"/>
              <w:jc w:val="center"/>
              <w:rPr>
                <w:rFonts w:cs="Arial"/>
                <w:b/>
                <w:color w:val="000000"/>
                <w:sz w:val="16"/>
                <w:szCs w:val="16"/>
              </w:rPr>
            </w:pPr>
            <w:r>
              <w:rPr>
                <w:rFonts w:cs="Arial"/>
                <w:b/>
                <w:color w:val="000000"/>
                <w:sz w:val="16"/>
                <w:szCs w:val="16"/>
              </w:rPr>
              <w:t>v</w:t>
            </w:r>
            <w:r w:rsidR="00306953" w:rsidRPr="001042AC">
              <w:rPr>
                <w:rFonts w:cs="Arial"/>
                <w:b/>
                <w:color w:val="000000"/>
                <w:sz w:val="16"/>
                <w:szCs w:val="16"/>
              </w:rPr>
              <w:t>eřejné</w:t>
            </w:r>
            <w:r w:rsidR="00306953" w:rsidRPr="001042AC">
              <w:rPr>
                <w:rFonts w:cs="Arial"/>
                <w:b/>
                <w:color w:val="000000"/>
                <w:sz w:val="16"/>
                <w:szCs w:val="16"/>
                <w:vertAlign w:val="superscript"/>
              </w:rPr>
              <w:t>1</w:t>
            </w:r>
            <w:r>
              <w:rPr>
                <w:rFonts w:cs="Arial"/>
                <w:b/>
                <w:color w:val="000000"/>
                <w:sz w:val="16"/>
                <w:szCs w:val="16"/>
                <w:vertAlign w:val="superscript"/>
              </w:rPr>
              <w:t>)</w:t>
            </w:r>
          </w:p>
        </w:tc>
        <w:tc>
          <w:tcPr>
            <w:tcW w:w="960" w:type="dxa"/>
            <w:tcBorders>
              <w:top w:val="single" w:sz="4" w:space="0" w:color="auto"/>
              <w:bottom w:val="double" w:sz="4" w:space="0" w:color="auto"/>
            </w:tcBorders>
            <w:shd w:val="clear" w:color="auto" w:fill="FFCCCC"/>
            <w:vAlign w:val="center"/>
            <w:hideMark/>
          </w:tcPr>
          <w:p w:rsidR="00306953" w:rsidRPr="001042AC" w:rsidRDefault="00E361EC" w:rsidP="007E5BD0">
            <w:pPr>
              <w:spacing w:after="0" w:line="240" w:lineRule="auto"/>
              <w:jc w:val="center"/>
              <w:rPr>
                <w:rFonts w:cs="Arial"/>
                <w:b/>
                <w:color w:val="000000"/>
                <w:sz w:val="16"/>
                <w:szCs w:val="16"/>
              </w:rPr>
            </w:pPr>
            <w:r>
              <w:rPr>
                <w:rFonts w:cs="Arial"/>
                <w:b/>
                <w:color w:val="000000"/>
                <w:sz w:val="16"/>
                <w:szCs w:val="16"/>
              </w:rPr>
              <w:t>s</w:t>
            </w:r>
            <w:r w:rsidR="00306953" w:rsidRPr="001042AC">
              <w:rPr>
                <w:rFonts w:cs="Arial"/>
                <w:b/>
                <w:color w:val="000000"/>
                <w:sz w:val="16"/>
                <w:szCs w:val="16"/>
              </w:rPr>
              <w:t>oukromé</w:t>
            </w:r>
          </w:p>
        </w:tc>
        <w:tc>
          <w:tcPr>
            <w:tcW w:w="960" w:type="dxa"/>
            <w:tcBorders>
              <w:top w:val="single" w:sz="4" w:space="0" w:color="auto"/>
              <w:bottom w:val="double" w:sz="4" w:space="0" w:color="auto"/>
            </w:tcBorders>
            <w:shd w:val="clear" w:color="auto" w:fill="FFCCCC"/>
            <w:vAlign w:val="center"/>
            <w:hideMark/>
          </w:tcPr>
          <w:p w:rsidR="00306953" w:rsidRPr="001042AC" w:rsidRDefault="00E361EC" w:rsidP="007E5BD0">
            <w:pPr>
              <w:spacing w:after="0" w:line="240" w:lineRule="auto"/>
              <w:jc w:val="center"/>
              <w:rPr>
                <w:rFonts w:cs="Arial"/>
                <w:b/>
                <w:color w:val="000000"/>
                <w:sz w:val="16"/>
                <w:szCs w:val="16"/>
              </w:rPr>
            </w:pPr>
            <w:r>
              <w:rPr>
                <w:rFonts w:cs="Arial"/>
                <w:b/>
                <w:color w:val="000000"/>
                <w:sz w:val="16"/>
                <w:szCs w:val="16"/>
              </w:rPr>
              <w:t>c</w:t>
            </w:r>
            <w:r w:rsidR="00306953" w:rsidRPr="001042AC">
              <w:rPr>
                <w:rFonts w:cs="Arial"/>
                <w:b/>
                <w:color w:val="000000"/>
                <w:sz w:val="16"/>
                <w:szCs w:val="16"/>
              </w:rPr>
              <w:t>elkem</w:t>
            </w:r>
          </w:p>
        </w:tc>
      </w:tr>
      <w:tr w:rsidR="00306953" w:rsidRPr="00306953" w:rsidTr="00BF267F">
        <w:trPr>
          <w:trHeight w:val="255"/>
        </w:trPr>
        <w:tc>
          <w:tcPr>
            <w:tcW w:w="1300" w:type="dxa"/>
            <w:tcBorders>
              <w:top w:val="double" w:sz="4" w:space="0" w:color="auto"/>
            </w:tcBorders>
            <w:shd w:val="clear" w:color="000000" w:fill="FFFFFF"/>
            <w:noWrap/>
            <w:vAlign w:val="center"/>
            <w:hideMark/>
          </w:tcPr>
          <w:p w:rsidR="00306953" w:rsidRPr="00306953" w:rsidRDefault="00306953" w:rsidP="007E5BD0">
            <w:pPr>
              <w:spacing w:after="0" w:line="240" w:lineRule="auto"/>
              <w:rPr>
                <w:rFonts w:cs="Arial"/>
                <w:color w:val="000000"/>
                <w:sz w:val="16"/>
                <w:szCs w:val="16"/>
              </w:rPr>
            </w:pPr>
            <w:r w:rsidRPr="00306953">
              <w:rPr>
                <w:rFonts w:cs="Arial"/>
                <w:color w:val="000000"/>
                <w:sz w:val="16"/>
                <w:szCs w:val="16"/>
              </w:rPr>
              <w:t>Česká republika</w:t>
            </w:r>
          </w:p>
        </w:tc>
        <w:tc>
          <w:tcPr>
            <w:tcW w:w="960" w:type="dxa"/>
            <w:tcBorders>
              <w:top w:val="double" w:sz="4" w:space="0" w:color="auto"/>
            </w:tcBorders>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2,60</w:t>
            </w:r>
          </w:p>
        </w:tc>
        <w:tc>
          <w:tcPr>
            <w:tcW w:w="960" w:type="dxa"/>
            <w:tcBorders>
              <w:top w:val="double" w:sz="4" w:space="0" w:color="auto"/>
            </w:tcBorders>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0,16</w:t>
            </w:r>
          </w:p>
        </w:tc>
        <w:tc>
          <w:tcPr>
            <w:tcW w:w="960" w:type="dxa"/>
            <w:tcBorders>
              <w:top w:val="double" w:sz="4" w:space="0" w:color="auto"/>
            </w:tcBorders>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2,76</w:t>
            </w:r>
          </w:p>
        </w:tc>
        <w:tc>
          <w:tcPr>
            <w:tcW w:w="960" w:type="dxa"/>
            <w:tcBorders>
              <w:top w:val="double" w:sz="4" w:space="0" w:color="auto"/>
            </w:tcBorders>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1,20</w:t>
            </w:r>
          </w:p>
        </w:tc>
        <w:tc>
          <w:tcPr>
            <w:tcW w:w="960" w:type="dxa"/>
            <w:tcBorders>
              <w:top w:val="double" w:sz="4" w:space="0" w:color="auto"/>
            </w:tcBorders>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0,24</w:t>
            </w:r>
          </w:p>
        </w:tc>
        <w:tc>
          <w:tcPr>
            <w:tcW w:w="960" w:type="dxa"/>
            <w:tcBorders>
              <w:top w:val="double" w:sz="4" w:space="0" w:color="auto"/>
            </w:tcBorders>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1,44</w:t>
            </w:r>
          </w:p>
        </w:tc>
        <w:tc>
          <w:tcPr>
            <w:tcW w:w="960" w:type="dxa"/>
            <w:tcBorders>
              <w:top w:val="double" w:sz="4" w:space="0" w:color="auto"/>
            </w:tcBorders>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3,95</w:t>
            </w:r>
          </w:p>
        </w:tc>
        <w:tc>
          <w:tcPr>
            <w:tcW w:w="960" w:type="dxa"/>
            <w:tcBorders>
              <w:top w:val="double" w:sz="4" w:space="0" w:color="auto"/>
            </w:tcBorders>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0,43</w:t>
            </w:r>
          </w:p>
        </w:tc>
        <w:tc>
          <w:tcPr>
            <w:tcW w:w="960" w:type="dxa"/>
            <w:tcBorders>
              <w:top w:val="double" w:sz="4" w:space="0" w:color="auto"/>
            </w:tcBorders>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4,38</w:t>
            </w:r>
          </w:p>
        </w:tc>
      </w:tr>
      <w:tr w:rsidR="00306953" w:rsidRPr="00306953" w:rsidTr="00BF267F">
        <w:trPr>
          <w:trHeight w:val="255"/>
        </w:trPr>
        <w:tc>
          <w:tcPr>
            <w:tcW w:w="1300" w:type="dxa"/>
            <w:shd w:val="clear" w:color="000000" w:fill="FFFFFF"/>
            <w:noWrap/>
            <w:vAlign w:val="center"/>
            <w:hideMark/>
          </w:tcPr>
          <w:p w:rsidR="00306953" w:rsidRPr="00306953" w:rsidRDefault="00306953" w:rsidP="007E5BD0">
            <w:pPr>
              <w:spacing w:after="0" w:line="240" w:lineRule="auto"/>
              <w:rPr>
                <w:rFonts w:cs="Arial"/>
                <w:color w:val="000000"/>
                <w:sz w:val="16"/>
                <w:szCs w:val="16"/>
                <w:vertAlign w:val="superscript"/>
              </w:rPr>
            </w:pPr>
            <w:r w:rsidRPr="00306953">
              <w:rPr>
                <w:rFonts w:cs="Arial"/>
                <w:color w:val="000000"/>
                <w:sz w:val="16"/>
                <w:szCs w:val="16"/>
              </w:rPr>
              <w:t>Slovensko</w:t>
            </w:r>
            <w:r w:rsidRPr="00306953">
              <w:rPr>
                <w:rFonts w:cs="Arial"/>
                <w:color w:val="000000"/>
                <w:sz w:val="16"/>
                <w:szCs w:val="16"/>
                <w:vertAlign w:val="superscript"/>
              </w:rPr>
              <w:t>2)</w:t>
            </w:r>
          </w:p>
        </w:tc>
        <w:tc>
          <w:tcPr>
            <w:tcW w:w="960" w:type="dxa"/>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2,48</w:t>
            </w:r>
          </w:p>
        </w:tc>
        <w:tc>
          <w:tcPr>
            <w:tcW w:w="960" w:type="dxa"/>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0,20</w:t>
            </w:r>
          </w:p>
        </w:tc>
        <w:tc>
          <w:tcPr>
            <w:tcW w:w="960" w:type="dxa"/>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2,68</w:t>
            </w:r>
          </w:p>
        </w:tc>
        <w:tc>
          <w:tcPr>
            <w:tcW w:w="960" w:type="dxa"/>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0,96</w:t>
            </w:r>
          </w:p>
        </w:tc>
        <w:tc>
          <w:tcPr>
            <w:tcW w:w="960" w:type="dxa"/>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0,08</w:t>
            </w:r>
          </w:p>
        </w:tc>
        <w:tc>
          <w:tcPr>
            <w:tcW w:w="960" w:type="dxa"/>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1,04</w:t>
            </w:r>
          </w:p>
        </w:tc>
        <w:tc>
          <w:tcPr>
            <w:tcW w:w="960" w:type="dxa"/>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3,54</w:t>
            </w:r>
          </w:p>
        </w:tc>
        <w:tc>
          <w:tcPr>
            <w:tcW w:w="960" w:type="dxa"/>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0,27</w:t>
            </w:r>
          </w:p>
        </w:tc>
        <w:tc>
          <w:tcPr>
            <w:tcW w:w="960" w:type="dxa"/>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3,81</w:t>
            </w:r>
          </w:p>
        </w:tc>
      </w:tr>
      <w:tr w:rsidR="00306953" w:rsidRPr="00306953" w:rsidTr="00BF267F">
        <w:trPr>
          <w:trHeight w:val="255"/>
        </w:trPr>
        <w:tc>
          <w:tcPr>
            <w:tcW w:w="1300" w:type="dxa"/>
            <w:shd w:val="clear" w:color="000000" w:fill="FFFFFF"/>
            <w:noWrap/>
            <w:vAlign w:val="center"/>
            <w:hideMark/>
          </w:tcPr>
          <w:p w:rsidR="00306953" w:rsidRPr="00306953" w:rsidRDefault="00306953" w:rsidP="007E5BD0">
            <w:pPr>
              <w:spacing w:after="0" w:line="240" w:lineRule="auto"/>
              <w:rPr>
                <w:rFonts w:cs="Arial"/>
                <w:color w:val="000000"/>
                <w:sz w:val="16"/>
                <w:szCs w:val="16"/>
              </w:rPr>
            </w:pPr>
            <w:r w:rsidRPr="00306953">
              <w:rPr>
                <w:rFonts w:cs="Arial"/>
                <w:color w:val="000000"/>
                <w:sz w:val="16"/>
                <w:szCs w:val="16"/>
              </w:rPr>
              <w:t xml:space="preserve">Polsko </w:t>
            </w:r>
          </w:p>
        </w:tc>
        <w:tc>
          <w:tcPr>
            <w:tcW w:w="960" w:type="dxa"/>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3,21</w:t>
            </w:r>
          </w:p>
        </w:tc>
        <w:tc>
          <w:tcPr>
            <w:tcW w:w="960" w:type="dxa"/>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0,24</w:t>
            </w:r>
          </w:p>
        </w:tc>
        <w:tc>
          <w:tcPr>
            <w:tcW w:w="960" w:type="dxa"/>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3,45</w:t>
            </w:r>
          </w:p>
        </w:tc>
        <w:tc>
          <w:tcPr>
            <w:tcW w:w="960" w:type="dxa"/>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1,18</w:t>
            </w:r>
          </w:p>
        </w:tc>
        <w:tc>
          <w:tcPr>
            <w:tcW w:w="960" w:type="dxa"/>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0,15</w:t>
            </w:r>
          </w:p>
        </w:tc>
        <w:tc>
          <w:tcPr>
            <w:tcW w:w="960" w:type="dxa"/>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1,33</w:t>
            </w:r>
          </w:p>
        </w:tc>
        <w:tc>
          <w:tcPr>
            <w:tcW w:w="960" w:type="dxa"/>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4,39</w:t>
            </w:r>
          </w:p>
        </w:tc>
        <w:tc>
          <w:tcPr>
            <w:tcW w:w="960" w:type="dxa"/>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0,39</w:t>
            </w:r>
          </w:p>
        </w:tc>
        <w:tc>
          <w:tcPr>
            <w:tcW w:w="960" w:type="dxa"/>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4,78</w:t>
            </w:r>
          </w:p>
        </w:tc>
      </w:tr>
      <w:tr w:rsidR="00306953" w:rsidRPr="00306953" w:rsidTr="00BF267F">
        <w:trPr>
          <w:trHeight w:val="255"/>
        </w:trPr>
        <w:tc>
          <w:tcPr>
            <w:tcW w:w="1300" w:type="dxa"/>
            <w:shd w:val="clear" w:color="000000" w:fill="FFFFFF"/>
            <w:noWrap/>
            <w:vAlign w:val="center"/>
            <w:hideMark/>
          </w:tcPr>
          <w:p w:rsidR="00306953" w:rsidRPr="00306953" w:rsidRDefault="00306953" w:rsidP="007E5BD0">
            <w:pPr>
              <w:spacing w:after="0" w:line="240" w:lineRule="auto"/>
              <w:rPr>
                <w:rFonts w:cs="Arial"/>
                <w:color w:val="000000"/>
                <w:sz w:val="16"/>
                <w:szCs w:val="16"/>
              </w:rPr>
            </w:pPr>
            <w:r w:rsidRPr="00306953">
              <w:rPr>
                <w:rFonts w:cs="Arial"/>
                <w:color w:val="000000"/>
                <w:sz w:val="16"/>
                <w:szCs w:val="16"/>
              </w:rPr>
              <w:t>Estonsko</w:t>
            </w:r>
          </w:p>
        </w:tc>
        <w:tc>
          <w:tcPr>
            <w:tcW w:w="960" w:type="dxa"/>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3,25</w:t>
            </w:r>
          </w:p>
        </w:tc>
        <w:tc>
          <w:tcPr>
            <w:tcW w:w="960" w:type="dxa"/>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0,00</w:t>
            </w:r>
          </w:p>
        </w:tc>
        <w:tc>
          <w:tcPr>
            <w:tcW w:w="960" w:type="dxa"/>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3,24</w:t>
            </w:r>
          </w:p>
        </w:tc>
        <w:tc>
          <w:tcPr>
            <w:tcW w:w="960" w:type="dxa"/>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1,41</w:t>
            </w:r>
          </w:p>
        </w:tc>
        <w:tc>
          <w:tcPr>
            <w:tcW w:w="960" w:type="dxa"/>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0,21</w:t>
            </w:r>
          </w:p>
        </w:tc>
        <w:tc>
          <w:tcPr>
            <w:tcW w:w="960" w:type="dxa"/>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1,62</w:t>
            </w:r>
          </w:p>
        </w:tc>
        <w:tc>
          <w:tcPr>
            <w:tcW w:w="960" w:type="dxa"/>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4,72</w:t>
            </w:r>
          </w:p>
        </w:tc>
        <w:tc>
          <w:tcPr>
            <w:tcW w:w="960" w:type="dxa"/>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0,15</w:t>
            </w:r>
          </w:p>
        </w:tc>
        <w:tc>
          <w:tcPr>
            <w:tcW w:w="960" w:type="dxa"/>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4,87</w:t>
            </w:r>
          </w:p>
        </w:tc>
      </w:tr>
      <w:tr w:rsidR="00306953" w:rsidRPr="00306953" w:rsidTr="00BF267F">
        <w:trPr>
          <w:trHeight w:val="255"/>
        </w:trPr>
        <w:tc>
          <w:tcPr>
            <w:tcW w:w="1300" w:type="dxa"/>
            <w:shd w:val="clear" w:color="000000" w:fill="FFFFFF"/>
            <w:noWrap/>
            <w:vAlign w:val="center"/>
            <w:hideMark/>
          </w:tcPr>
          <w:p w:rsidR="00306953" w:rsidRPr="00306953" w:rsidRDefault="00306953" w:rsidP="007E5BD0">
            <w:pPr>
              <w:spacing w:after="0" w:line="240" w:lineRule="auto"/>
              <w:rPr>
                <w:rFonts w:cs="Arial"/>
                <w:color w:val="000000"/>
                <w:sz w:val="16"/>
                <w:szCs w:val="16"/>
              </w:rPr>
            </w:pPr>
            <w:r w:rsidRPr="00306953">
              <w:rPr>
                <w:rFonts w:cs="Arial"/>
                <w:color w:val="000000"/>
                <w:sz w:val="16"/>
                <w:szCs w:val="16"/>
              </w:rPr>
              <w:t>Finsko</w:t>
            </w:r>
          </w:p>
        </w:tc>
        <w:tc>
          <w:tcPr>
            <w:tcW w:w="960" w:type="dxa"/>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3,92</w:t>
            </w:r>
          </w:p>
        </w:tc>
        <w:tc>
          <w:tcPr>
            <w:tcW w:w="960" w:type="dxa"/>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0,02</w:t>
            </w:r>
          </w:p>
        </w:tc>
        <w:tc>
          <w:tcPr>
            <w:tcW w:w="960" w:type="dxa"/>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3,94</w:t>
            </w:r>
          </w:p>
        </w:tc>
        <w:tc>
          <w:tcPr>
            <w:tcW w:w="960" w:type="dxa"/>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1,78</w:t>
            </w:r>
          </w:p>
        </w:tc>
        <w:tc>
          <w:tcPr>
            <w:tcW w:w="960" w:type="dxa"/>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0,07</w:t>
            </w:r>
          </w:p>
        </w:tc>
        <w:tc>
          <w:tcPr>
            <w:tcW w:w="960" w:type="dxa"/>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1,85</w:t>
            </w:r>
          </w:p>
        </w:tc>
        <w:tc>
          <w:tcPr>
            <w:tcW w:w="960" w:type="dxa"/>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5,70</w:t>
            </w:r>
          </w:p>
        </w:tc>
        <w:tc>
          <w:tcPr>
            <w:tcW w:w="960" w:type="dxa"/>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0,09</w:t>
            </w:r>
          </w:p>
        </w:tc>
        <w:tc>
          <w:tcPr>
            <w:tcW w:w="960" w:type="dxa"/>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5,79</w:t>
            </w:r>
          </w:p>
        </w:tc>
      </w:tr>
      <w:tr w:rsidR="00306953" w:rsidRPr="00306953" w:rsidTr="00BF267F">
        <w:trPr>
          <w:trHeight w:val="255"/>
        </w:trPr>
        <w:tc>
          <w:tcPr>
            <w:tcW w:w="1300" w:type="dxa"/>
            <w:shd w:val="clear" w:color="auto" w:fill="C6D9F1" w:themeFill="text2" w:themeFillTint="33"/>
            <w:noWrap/>
            <w:vAlign w:val="center"/>
            <w:hideMark/>
          </w:tcPr>
          <w:p w:rsidR="00306953" w:rsidRPr="00631582" w:rsidRDefault="00F53B2E" w:rsidP="007E5BD0">
            <w:pPr>
              <w:spacing w:after="0" w:line="240" w:lineRule="auto"/>
              <w:rPr>
                <w:rFonts w:cs="Arial"/>
                <w:bCs/>
                <w:color w:val="000000"/>
                <w:sz w:val="16"/>
                <w:szCs w:val="16"/>
              </w:rPr>
            </w:pPr>
            <w:r w:rsidRPr="00631582">
              <w:rPr>
                <w:rFonts w:cs="Arial"/>
                <w:bCs/>
                <w:color w:val="000000"/>
                <w:sz w:val="16"/>
                <w:szCs w:val="16"/>
              </w:rPr>
              <w:t>p</w:t>
            </w:r>
            <w:r w:rsidR="00306953" w:rsidRPr="00631582">
              <w:rPr>
                <w:rFonts w:cs="Arial"/>
                <w:bCs/>
                <w:color w:val="000000"/>
                <w:sz w:val="16"/>
                <w:szCs w:val="16"/>
              </w:rPr>
              <w:t>růměr OECD</w:t>
            </w:r>
          </w:p>
        </w:tc>
        <w:tc>
          <w:tcPr>
            <w:tcW w:w="960" w:type="dxa"/>
            <w:shd w:val="clear" w:color="auto" w:fill="C6D9F1" w:themeFill="text2" w:themeFillTint="33"/>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3,45</w:t>
            </w:r>
          </w:p>
        </w:tc>
        <w:tc>
          <w:tcPr>
            <w:tcW w:w="960" w:type="dxa"/>
            <w:shd w:val="clear" w:color="auto" w:fill="C6D9F1" w:themeFill="text2" w:themeFillTint="33"/>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0,25</w:t>
            </w:r>
          </w:p>
        </w:tc>
        <w:tc>
          <w:tcPr>
            <w:tcW w:w="960" w:type="dxa"/>
            <w:shd w:val="clear" w:color="auto" w:fill="C6D9F1" w:themeFill="text2" w:themeFillTint="33"/>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3,70</w:t>
            </w:r>
          </w:p>
        </w:tc>
        <w:tc>
          <w:tcPr>
            <w:tcW w:w="960" w:type="dxa"/>
            <w:shd w:val="clear" w:color="auto" w:fill="C6D9F1" w:themeFill="text2" w:themeFillTint="33"/>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1,15</w:t>
            </w:r>
          </w:p>
        </w:tc>
        <w:tc>
          <w:tcPr>
            <w:tcW w:w="960" w:type="dxa"/>
            <w:shd w:val="clear" w:color="auto" w:fill="C6D9F1" w:themeFill="text2" w:themeFillTint="33"/>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0,39</w:t>
            </w:r>
          </w:p>
        </w:tc>
        <w:tc>
          <w:tcPr>
            <w:tcW w:w="960" w:type="dxa"/>
            <w:shd w:val="clear" w:color="auto" w:fill="C6D9F1" w:themeFill="text2" w:themeFillTint="33"/>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1,54</w:t>
            </w:r>
          </w:p>
        </w:tc>
        <w:tc>
          <w:tcPr>
            <w:tcW w:w="960" w:type="dxa"/>
            <w:shd w:val="clear" w:color="auto" w:fill="C6D9F1" w:themeFill="text2" w:themeFillTint="33"/>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4,67</w:t>
            </w:r>
          </w:p>
        </w:tc>
        <w:tc>
          <w:tcPr>
            <w:tcW w:w="960" w:type="dxa"/>
            <w:shd w:val="clear" w:color="auto" w:fill="C6D9F1" w:themeFill="text2" w:themeFillTint="33"/>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0,66</w:t>
            </w:r>
          </w:p>
        </w:tc>
        <w:tc>
          <w:tcPr>
            <w:tcW w:w="960" w:type="dxa"/>
            <w:shd w:val="clear" w:color="auto" w:fill="C6D9F1" w:themeFill="text2" w:themeFillTint="33"/>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5,33</w:t>
            </w:r>
          </w:p>
        </w:tc>
      </w:tr>
      <w:tr w:rsidR="00306953" w:rsidRPr="00306953" w:rsidTr="00BF267F">
        <w:trPr>
          <w:trHeight w:val="255"/>
        </w:trPr>
        <w:tc>
          <w:tcPr>
            <w:tcW w:w="1300" w:type="dxa"/>
            <w:shd w:val="clear" w:color="auto" w:fill="C6D9F1" w:themeFill="text2" w:themeFillTint="33"/>
            <w:noWrap/>
            <w:vAlign w:val="center"/>
            <w:hideMark/>
          </w:tcPr>
          <w:p w:rsidR="00306953" w:rsidRPr="00631582" w:rsidRDefault="00F53B2E" w:rsidP="007E5BD0">
            <w:pPr>
              <w:spacing w:after="0" w:line="240" w:lineRule="auto"/>
              <w:rPr>
                <w:rFonts w:cs="Arial"/>
                <w:bCs/>
                <w:color w:val="000000"/>
                <w:sz w:val="16"/>
                <w:szCs w:val="16"/>
              </w:rPr>
            </w:pPr>
            <w:r w:rsidRPr="00631582">
              <w:rPr>
                <w:rFonts w:cs="Arial"/>
                <w:bCs/>
                <w:color w:val="000000"/>
                <w:sz w:val="16"/>
                <w:szCs w:val="16"/>
              </w:rPr>
              <w:t>p</w:t>
            </w:r>
            <w:r w:rsidR="00306953" w:rsidRPr="00631582">
              <w:rPr>
                <w:rFonts w:cs="Arial"/>
                <w:bCs/>
                <w:color w:val="000000"/>
                <w:sz w:val="16"/>
                <w:szCs w:val="16"/>
              </w:rPr>
              <w:t>růměr EU21</w:t>
            </w:r>
          </w:p>
        </w:tc>
        <w:tc>
          <w:tcPr>
            <w:tcW w:w="960" w:type="dxa"/>
            <w:shd w:val="clear" w:color="auto" w:fill="C6D9F1" w:themeFill="text2" w:themeFillTint="33"/>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3,43</w:t>
            </w:r>
          </w:p>
        </w:tc>
        <w:tc>
          <w:tcPr>
            <w:tcW w:w="960" w:type="dxa"/>
            <w:shd w:val="clear" w:color="auto" w:fill="C6D9F1" w:themeFill="text2" w:themeFillTint="33"/>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0,16</w:t>
            </w:r>
          </w:p>
        </w:tc>
        <w:tc>
          <w:tcPr>
            <w:tcW w:w="960" w:type="dxa"/>
            <w:shd w:val="clear" w:color="auto" w:fill="C6D9F1" w:themeFill="text2" w:themeFillTint="33"/>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3,58</w:t>
            </w:r>
          </w:p>
        </w:tc>
        <w:tc>
          <w:tcPr>
            <w:tcW w:w="960" w:type="dxa"/>
            <w:shd w:val="clear" w:color="auto" w:fill="C6D9F1" w:themeFill="text2" w:themeFillTint="33"/>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1,18</w:t>
            </w:r>
          </w:p>
        </w:tc>
        <w:tc>
          <w:tcPr>
            <w:tcW w:w="960" w:type="dxa"/>
            <w:shd w:val="clear" w:color="auto" w:fill="C6D9F1" w:themeFill="text2" w:themeFillTint="33"/>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0,18</w:t>
            </w:r>
          </w:p>
        </w:tc>
        <w:tc>
          <w:tcPr>
            <w:tcW w:w="960" w:type="dxa"/>
            <w:shd w:val="clear" w:color="auto" w:fill="C6D9F1" w:themeFill="text2" w:themeFillTint="33"/>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1,36</w:t>
            </w:r>
          </w:p>
        </w:tc>
        <w:tc>
          <w:tcPr>
            <w:tcW w:w="960" w:type="dxa"/>
            <w:shd w:val="clear" w:color="auto" w:fill="C6D9F1" w:themeFill="text2" w:themeFillTint="33"/>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4,59</w:t>
            </w:r>
          </w:p>
        </w:tc>
        <w:tc>
          <w:tcPr>
            <w:tcW w:w="960" w:type="dxa"/>
            <w:shd w:val="clear" w:color="auto" w:fill="C6D9F1" w:themeFill="text2" w:themeFillTint="33"/>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0,34</w:t>
            </w:r>
          </w:p>
        </w:tc>
        <w:tc>
          <w:tcPr>
            <w:tcW w:w="960" w:type="dxa"/>
            <w:shd w:val="clear" w:color="auto" w:fill="C6D9F1" w:themeFill="text2" w:themeFillTint="33"/>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4,93</w:t>
            </w:r>
          </w:p>
        </w:tc>
      </w:tr>
    </w:tbl>
    <w:p w:rsidR="00306953" w:rsidRPr="00306953" w:rsidRDefault="00306953" w:rsidP="00FE5433">
      <w:pPr>
        <w:autoSpaceDE w:val="0"/>
        <w:autoSpaceDN w:val="0"/>
        <w:adjustRightInd w:val="0"/>
        <w:spacing w:before="120" w:after="0" w:line="240" w:lineRule="auto"/>
        <w:jc w:val="both"/>
        <w:rPr>
          <w:rFonts w:eastAsia="ChaparralPro-Regular" w:cs="Arial"/>
          <w:sz w:val="16"/>
          <w:szCs w:val="16"/>
        </w:rPr>
      </w:pPr>
      <w:r w:rsidRPr="00306953">
        <w:rPr>
          <w:rFonts w:eastAsia="ChaparralPro-Regular" w:cs="Arial"/>
          <w:sz w:val="16"/>
          <w:szCs w:val="16"/>
          <w:vertAlign w:val="superscript"/>
        </w:rPr>
        <w:t>1)</w:t>
      </w:r>
      <w:r w:rsidRPr="00306953">
        <w:rPr>
          <w:rFonts w:eastAsia="ChaparralPro-Regular" w:cs="Arial"/>
          <w:sz w:val="16"/>
          <w:szCs w:val="16"/>
        </w:rPr>
        <w:t xml:space="preserve"> Včetně veřejných dotací týkajících se výdajů na vzdělávací instituce domácnostem a přímých výdajů na vzdělávací instituce z mezinárodních zdrojů.</w:t>
      </w:r>
    </w:p>
    <w:p w:rsidR="00306953" w:rsidRPr="00306953" w:rsidRDefault="00306953" w:rsidP="00306953">
      <w:pPr>
        <w:spacing w:after="0" w:line="240" w:lineRule="auto"/>
        <w:jc w:val="both"/>
        <w:rPr>
          <w:rFonts w:eastAsia="ChaparralPro-Regular" w:cs="Arial"/>
          <w:sz w:val="16"/>
          <w:szCs w:val="16"/>
        </w:rPr>
      </w:pPr>
      <w:r w:rsidRPr="00306953">
        <w:rPr>
          <w:rFonts w:eastAsia="ChaparralPro-Regular" w:cs="Arial"/>
          <w:sz w:val="16"/>
          <w:szCs w:val="16"/>
          <w:vertAlign w:val="superscript"/>
        </w:rPr>
        <w:t>2)</w:t>
      </w:r>
      <w:r w:rsidRPr="00306953">
        <w:rPr>
          <w:rFonts w:eastAsia="ChaparralPro-Regular" w:cs="Arial"/>
          <w:sz w:val="16"/>
          <w:szCs w:val="16"/>
        </w:rPr>
        <w:t xml:space="preserve"> Postsekundární neterciární vzdělávání a krátký cyklus terciárního vzdělávání je zahrnut do kategorie vyššího sekundárního vzdělávání, viz kód „x“ v tabulce B1.1a</w:t>
      </w:r>
      <w:r w:rsidR="00B12A37">
        <w:rPr>
          <w:rFonts w:eastAsia="ChaparralPro-Regular" w:cs="Arial"/>
          <w:sz w:val="16"/>
          <w:szCs w:val="16"/>
        </w:rPr>
        <w:t xml:space="preserve"> (OECD 2015)</w:t>
      </w:r>
      <w:r w:rsidRPr="00306953">
        <w:rPr>
          <w:rFonts w:eastAsia="ChaparralPro-Regular" w:cs="Arial"/>
          <w:sz w:val="16"/>
          <w:szCs w:val="16"/>
        </w:rPr>
        <w:t>.</w:t>
      </w:r>
    </w:p>
    <w:p w:rsidR="00306953" w:rsidRPr="00306953" w:rsidRDefault="00306953" w:rsidP="00306953">
      <w:pPr>
        <w:autoSpaceDE w:val="0"/>
        <w:autoSpaceDN w:val="0"/>
        <w:adjustRightInd w:val="0"/>
        <w:spacing w:after="0" w:line="240" w:lineRule="auto"/>
        <w:jc w:val="both"/>
        <w:rPr>
          <w:rFonts w:eastAsia="ChaparralPro-Regular" w:cs="Arial"/>
          <w:sz w:val="16"/>
          <w:szCs w:val="16"/>
        </w:rPr>
      </w:pPr>
      <w:r w:rsidRPr="00306953">
        <w:rPr>
          <w:rFonts w:eastAsia="ChaparralPro-Regular" w:cs="Arial"/>
          <w:sz w:val="16"/>
          <w:szCs w:val="16"/>
        </w:rPr>
        <w:t xml:space="preserve">Zdroj: OECD 2015, tabulka B 2.3. StatLink: </w:t>
      </w:r>
      <w:hyperlink r:id="rId63" w:history="1">
        <w:r w:rsidRPr="00306953">
          <w:rPr>
            <w:rStyle w:val="Hypertextovodkaz"/>
            <w:rFonts w:cs="Arial"/>
            <w:sz w:val="16"/>
            <w:szCs w:val="16"/>
          </w:rPr>
          <w:t>http://dx.doi.org/10.1787/888933285443</w:t>
        </w:r>
      </w:hyperlink>
      <w:r w:rsidRPr="00306953">
        <w:rPr>
          <w:rFonts w:cs="Arial"/>
          <w:color w:val="231F20"/>
          <w:sz w:val="16"/>
          <w:szCs w:val="16"/>
        </w:rPr>
        <w:t xml:space="preserve">, </w:t>
      </w:r>
      <w:r w:rsidRPr="00306953">
        <w:rPr>
          <w:rFonts w:eastAsia="ChaparralPro-Regular" w:cs="Arial"/>
          <w:sz w:val="16"/>
          <w:szCs w:val="16"/>
        </w:rPr>
        <w:t>výběr údajů ČSÚ.</w:t>
      </w:r>
    </w:p>
    <w:p w:rsidR="00306953" w:rsidRPr="00306953" w:rsidRDefault="00306953" w:rsidP="00306953">
      <w:pPr>
        <w:autoSpaceDE w:val="0"/>
        <w:autoSpaceDN w:val="0"/>
        <w:adjustRightInd w:val="0"/>
        <w:spacing w:after="0" w:line="240" w:lineRule="auto"/>
        <w:jc w:val="both"/>
        <w:rPr>
          <w:rFonts w:eastAsia="ChaparralPro-Regular" w:cs="Arial"/>
          <w:sz w:val="16"/>
          <w:szCs w:val="16"/>
        </w:rPr>
      </w:pPr>
    </w:p>
    <w:p w:rsidR="00306953" w:rsidRPr="00306953" w:rsidRDefault="00306953" w:rsidP="00306953">
      <w:pPr>
        <w:autoSpaceDE w:val="0"/>
        <w:autoSpaceDN w:val="0"/>
        <w:adjustRightInd w:val="0"/>
        <w:spacing w:after="120" w:line="240" w:lineRule="auto"/>
        <w:jc w:val="both"/>
        <w:rPr>
          <w:rFonts w:eastAsia="ChaparralPro-Regular" w:cs="Arial"/>
        </w:rPr>
      </w:pPr>
      <w:r w:rsidRPr="00306953">
        <w:rPr>
          <w:rFonts w:eastAsia="ChaparralPro-Regular" w:cs="Arial"/>
        </w:rPr>
        <w:t xml:space="preserve">Jak je patrné v tabulce č. 5, v průměru za země OECD činil v roce 2012 </w:t>
      </w:r>
      <w:r w:rsidRPr="00306953">
        <w:rPr>
          <w:rFonts w:eastAsia="ChaparralPro-Regular" w:cs="Arial"/>
          <w:b/>
        </w:rPr>
        <w:t>podíl veřejných výdajů</w:t>
      </w:r>
      <w:r w:rsidRPr="00306953">
        <w:rPr>
          <w:rFonts w:eastAsia="ChaparralPro-Regular" w:cs="Arial"/>
        </w:rPr>
        <w:t xml:space="preserve"> na vzdělávací instituce primárního až postsekundárního neterciárního vzděláv</w:t>
      </w:r>
      <w:r w:rsidR="00974575">
        <w:rPr>
          <w:rFonts w:eastAsia="ChaparralPro-Regular" w:cs="Arial"/>
        </w:rPr>
        <w:t>ání 3,45 % HDP a za země v EU a zároveň v </w:t>
      </w:r>
      <w:r w:rsidRPr="00306953">
        <w:rPr>
          <w:rFonts w:eastAsia="ChaparralPro-Regular" w:cs="Arial"/>
        </w:rPr>
        <w:t>OECD</w:t>
      </w:r>
      <w:r w:rsidR="00974575">
        <w:rPr>
          <w:rFonts w:eastAsia="ChaparralPro-Regular" w:cs="Arial"/>
        </w:rPr>
        <w:t xml:space="preserve"> (EU21)</w:t>
      </w:r>
      <w:r w:rsidRPr="00306953">
        <w:rPr>
          <w:rFonts w:eastAsia="ChaparralPro-Regular" w:cs="Arial"/>
        </w:rPr>
        <w:t xml:space="preserve"> byl tento podíl 3,43 % HDP. S 2,60 % HDP tak Česká republika za těmito </w:t>
      </w:r>
      <w:r w:rsidR="005F6921">
        <w:rPr>
          <w:rFonts w:eastAsia="ChaparralPro-Regular" w:cs="Arial"/>
        </w:rPr>
        <w:t>průměry poměrně výrazně zaostávala</w:t>
      </w:r>
      <w:r w:rsidRPr="00306953">
        <w:rPr>
          <w:rFonts w:eastAsia="ChaparralPro-Regular" w:cs="Arial"/>
        </w:rPr>
        <w:t xml:space="preserve">. </w:t>
      </w:r>
      <w:r w:rsidRPr="00306953">
        <w:rPr>
          <w:rFonts w:eastAsia="ChaparralPro-Regular" w:cs="Arial"/>
          <w:b/>
        </w:rPr>
        <w:t>Podíl soukromých výdajů</w:t>
      </w:r>
      <w:r w:rsidRPr="00306953">
        <w:rPr>
          <w:rFonts w:eastAsia="ChaparralPro-Regular" w:cs="Arial"/>
        </w:rPr>
        <w:t xml:space="preserve"> na instituce primárního až postsekundárního neterciárního vzdělávání z HDP byl pak za země OECD 0,25 % HDP a za země v EU i OECD 0,16 % HDP. V ČR tvořil podíl soukromých výdajů na instituce primárního až postsekundárního neterciárního vzdělávání z HDP 0,16 %, což je shodná hodnota s průměrem za země v EU i OECD, nicméně nižší oproti průměru za všechny sledované země OECD. Podíl HDP, jaký tvořily veřejné i soukromé výdaje na vzdělávací instituce primární až post-sekundární neterciární úrovně, byl pak v ČR oproti oběma mezinárodním průměrům výrazně nižší. Nižších hodno</w:t>
      </w:r>
      <w:r w:rsidR="009000C1">
        <w:rPr>
          <w:rFonts w:eastAsia="ChaparralPro-Regular" w:cs="Arial"/>
        </w:rPr>
        <w:t xml:space="preserve">t než ČR dosáhlo ze </w:t>
      </w:r>
      <w:r w:rsidRPr="00306953">
        <w:rPr>
          <w:rFonts w:eastAsia="ChaparralPro-Regular" w:cs="Arial"/>
        </w:rPr>
        <w:t xml:space="preserve">zemí </w:t>
      </w:r>
      <w:r w:rsidR="009000C1">
        <w:rPr>
          <w:rFonts w:eastAsia="ChaparralPro-Regular" w:cs="Arial"/>
        </w:rPr>
        <w:t xml:space="preserve">sledovaných v publikaci Education at a Glance </w:t>
      </w:r>
      <w:r w:rsidRPr="00306953">
        <w:rPr>
          <w:rFonts w:eastAsia="ChaparralPro-Regular" w:cs="Arial"/>
        </w:rPr>
        <w:t xml:space="preserve">pouze Slovensko, Maďarsko, Indonésie a Ruská federace – viz graf č. 5. </w:t>
      </w:r>
    </w:p>
    <w:p w:rsidR="007263C9" w:rsidRDefault="00306953" w:rsidP="00637184">
      <w:pPr>
        <w:keepNext/>
        <w:autoSpaceDE w:val="0"/>
        <w:autoSpaceDN w:val="0"/>
        <w:adjustRightInd w:val="0"/>
        <w:spacing w:after="120" w:line="240" w:lineRule="auto"/>
        <w:jc w:val="both"/>
        <w:rPr>
          <w:rFonts w:eastAsia="ChaparralPro-Regular" w:cs="Arial"/>
          <w:b/>
          <w:bCs/>
        </w:rPr>
      </w:pPr>
      <w:r w:rsidRPr="00306953">
        <w:rPr>
          <w:rFonts w:eastAsia="ChaparralPro-Regular" w:cs="Arial"/>
          <w:b/>
          <w:bCs/>
        </w:rPr>
        <w:lastRenderedPageBreak/>
        <w:t>Graf č. 5 Výdaje na vzdělávací instituce primární, sekundární a post-sekundární neterciární úrovně jakožto podíl HD</w:t>
      </w:r>
      <w:r>
        <w:rPr>
          <w:rFonts w:eastAsia="ChaparralPro-Regular" w:cs="Arial"/>
          <w:b/>
          <w:bCs/>
        </w:rPr>
        <w:t xml:space="preserve">P, </w:t>
      </w:r>
      <w:r w:rsidRPr="00306953">
        <w:rPr>
          <w:rFonts w:eastAsia="ChaparralPro-Regular" w:cs="Arial"/>
          <w:b/>
          <w:bCs/>
        </w:rPr>
        <w:t>z</w:t>
      </w:r>
      <w:r w:rsidRPr="00306953">
        <w:rPr>
          <w:rFonts w:eastAsia="ChaparralPro-Regular" w:cs="Arial"/>
          <w:b/>
          <w:iCs/>
        </w:rPr>
        <w:t xml:space="preserve"> veřejných i soukromých zdrojů, dle druhu zdroje</w:t>
      </w:r>
      <w:r w:rsidRPr="00306953">
        <w:rPr>
          <w:rFonts w:eastAsia="ChaparralPro-Regular" w:cs="Arial"/>
          <w:b/>
          <w:bCs/>
        </w:rPr>
        <w:t xml:space="preserve"> (2012)</w:t>
      </w:r>
    </w:p>
    <w:p w:rsidR="00637184" w:rsidRPr="00306953" w:rsidRDefault="00BA5EE1" w:rsidP="00637184">
      <w:pPr>
        <w:keepNext/>
        <w:autoSpaceDE w:val="0"/>
        <w:autoSpaceDN w:val="0"/>
        <w:adjustRightInd w:val="0"/>
        <w:spacing w:after="120" w:line="240" w:lineRule="auto"/>
        <w:jc w:val="both"/>
        <w:rPr>
          <w:rFonts w:eastAsia="ChaparralPro-Regular" w:cs="Arial"/>
          <w:b/>
          <w:bCs/>
        </w:rPr>
      </w:pPr>
      <w:r w:rsidRPr="00984E22">
        <w:rPr>
          <w:rFonts w:eastAsia="ChaparralPro-Regular" w:cs="Arial"/>
          <w:b/>
          <w:noProof/>
        </w:rPr>
        <w:pict>
          <v:shape id="_x0000_i1029" type="#_x0000_t75" style="width:470.25pt;height:249.7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">
            <v:imagedata r:id="rId64" o:title="" croptop="-2252f" cropbottom="-1271f" cropleft="-139f" cropright="-3001f"/>
            <o:lock v:ext="edit" aspectratio="f"/>
          </v:shape>
        </w:pict>
      </w:r>
    </w:p>
    <w:p w:rsidR="00637184" w:rsidRDefault="00637184" w:rsidP="00306953">
      <w:pPr>
        <w:autoSpaceDE w:val="0"/>
        <w:autoSpaceDN w:val="0"/>
        <w:adjustRightInd w:val="0"/>
        <w:spacing w:after="0" w:line="240" w:lineRule="auto"/>
        <w:jc w:val="both"/>
        <w:rPr>
          <w:rFonts w:eastAsia="ChaparralPro-Regular" w:cs="Arial"/>
          <w:sz w:val="16"/>
          <w:szCs w:val="16"/>
          <w:vertAlign w:val="superscript"/>
        </w:rPr>
      </w:pPr>
    </w:p>
    <w:p w:rsidR="00306953" w:rsidRPr="00306953" w:rsidRDefault="00A26B1E" w:rsidP="00306953">
      <w:pPr>
        <w:autoSpaceDE w:val="0"/>
        <w:autoSpaceDN w:val="0"/>
        <w:adjustRightInd w:val="0"/>
        <w:spacing w:after="0" w:line="240" w:lineRule="auto"/>
        <w:jc w:val="both"/>
        <w:rPr>
          <w:rFonts w:eastAsia="ChaparralPro-Regular" w:cs="Arial"/>
          <w:sz w:val="16"/>
          <w:szCs w:val="16"/>
        </w:rPr>
      </w:pPr>
      <w:r w:rsidRPr="00FE5433">
        <w:rPr>
          <w:rFonts w:eastAsia="ChaparralPro-Regular" w:cs="Arial"/>
          <w:sz w:val="16"/>
          <w:szCs w:val="16"/>
        </w:rPr>
        <w:t>(</w:t>
      </w:r>
      <w:r w:rsidR="00306953" w:rsidRPr="00FE5433">
        <w:rPr>
          <w:rFonts w:eastAsia="ChaparralPro-Regular" w:cs="Arial"/>
          <w:sz w:val="16"/>
          <w:szCs w:val="16"/>
        </w:rPr>
        <w:t>1)</w:t>
      </w:r>
      <w:r w:rsidR="00637184">
        <w:rPr>
          <w:rFonts w:eastAsia="ChaparralPro-Regular" w:cs="Arial"/>
          <w:sz w:val="16"/>
          <w:szCs w:val="16"/>
        </w:rPr>
        <w:t xml:space="preserve"> pouze veřejné výdaje</w:t>
      </w:r>
    </w:p>
    <w:p w:rsidR="00306953" w:rsidRPr="00306953" w:rsidRDefault="00A26B1E" w:rsidP="00306953">
      <w:pPr>
        <w:autoSpaceDE w:val="0"/>
        <w:autoSpaceDN w:val="0"/>
        <w:adjustRightInd w:val="0"/>
        <w:spacing w:after="0" w:line="240" w:lineRule="auto"/>
        <w:jc w:val="both"/>
        <w:rPr>
          <w:rFonts w:eastAsia="ChaparralPro-Regular" w:cs="Arial"/>
          <w:sz w:val="16"/>
          <w:szCs w:val="16"/>
        </w:rPr>
      </w:pPr>
      <w:r w:rsidRPr="00FE5433">
        <w:rPr>
          <w:rFonts w:eastAsia="ChaparralPro-Regular" w:cs="Arial"/>
          <w:sz w:val="16"/>
          <w:szCs w:val="16"/>
        </w:rPr>
        <w:t>(</w:t>
      </w:r>
      <w:r w:rsidR="00306953" w:rsidRPr="00FE5433">
        <w:rPr>
          <w:rFonts w:eastAsia="ChaparralPro-Regular" w:cs="Arial"/>
          <w:sz w:val="16"/>
          <w:szCs w:val="16"/>
        </w:rPr>
        <w:t>2)</w:t>
      </w:r>
      <w:r w:rsidR="00FE5433">
        <w:rPr>
          <w:rFonts w:eastAsia="ChaparralPro-Regular" w:cs="Arial"/>
          <w:sz w:val="16"/>
          <w:szCs w:val="16"/>
        </w:rPr>
        <w:t xml:space="preserve"> </w:t>
      </w:r>
      <w:r w:rsidR="00306953" w:rsidRPr="00306953">
        <w:rPr>
          <w:rFonts w:eastAsia="ChaparralPro-Regular" w:cs="Arial"/>
          <w:sz w:val="16"/>
          <w:szCs w:val="16"/>
        </w:rPr>
        <w:t>Některé úrovně vzdělávání jsou sloučeny s jinými. Více viz kód "x" u tabulky Table B1.1a</w:t>
      </w:r>
      <w:r w:rsidR="00637184">
        <w:rPr>
          <w:rFonts w:eastAsia="ChaparralPro-Regular" w:cs="Arial"/>
          <w:sz w:val="16"/>
          <w:szCs w:val="16"/>
        </w:rPr>
        <w:t xml:space="preserve"> (OECD 2015)</w:t>
      </w:r>
      <w:r w:rsidR="00306953" w:rsidRPr="00306953">
        <w:rPr>
          <w:rFonts w:eastAsia="ChaparralPro-Regular" w:cs="Arial"/>
          <w:sz w:val="16"/>
          <w:szCs w:val="16"/>
        </w:rPr>
        <w:t>.</w:t>
      </w:r>
    </w:p>
    <w:p w:rsidR="00306953" w:rsidRPr="00306953" w:rsidRDefault="00306953" w:rsidP="00306953">
      <w:pPr>
        <w:autoSpaceDE w:val="0"/>
        <w:autoSpaceDN w:val="0"/>
        <w:adjustRightInd w:val="0"/>
        <w:spacing w:after="0" w:line="240" w:lineRule="auto"/>
        <w:jc w:val="both"/>
        <w:rPr>
          <w:rFonts w:eastAsia="ChaparralPro-Regular" w:cs="Arial"/>
          <w:szCs w:val="20"/>
        </w:rPr>
      </w:pPr>
      <w:r w:rsidRPr="00306953">
        <w:rPr>
          <w:rFonts w:eastAsia="ChaparralPro-Regular" w:cs="Arial"/>
          <w:sz w:val="16"/>
          <w:szCs w:val="16"/>
        </w:rPr>
        <w:t xml:space="preserve">Zdroj: OECD 2015, graf B 2.2. StatLink: </w:t>
      </w:r>
      <w:hyperlink r:id="rId65" w:history="1">
        <w:r w:rsidRPr="00306953">
          <w:rPr>
            <w:rStyle w:val="Hypertextovodkaz"/>
            <w:rFonts w:cs="Arial"/>
            <w:sz w:val="16"/>
            <w:szCs w:val="16"/>
          </w:rPr>
          <w:t>http://dx.doi.org/10.1787/888933283959</w:t>
        </w:r>
      </w:hyperlink>
      <w:r w:rsidRPr="00306953">
        <w:rPr>
          <w:rFonts w:eastAsia="ChaparralPro-Regular" w:cs="Arial"/>
          <w:szCs w:val="20"/>
        </w:rPr>
        <w:t xml:space="preserve">  </w:t>
      </w:r>
    </w:p>
    <w:p w:rsidR="00306953" w:rsidRPr="00306953" w:rsidRDefault="00306953" w:rsidP="00306953">
      <w:pPr>
        <w:autoSpaceDE w:val="0"/>
        <w:autoSpaceDN w:val="0"/>
        <w:adjustRightInd w:val="0"/>
        <w:spacing w:after="0" w:line="240" w:lineRule="auto"/>
        <w:jc w:val="both"/>
        <w:rPr>
          <w:rFonts w:eastAsia="ChaparralPro-Regular" w:cs="Arial"/>
        </w:rPr>
      </w:pPr>
    </w:p>
    <w:p w:rsidR="00306953" w:rsidRPr="00306953" w:rsidRDefault="00306953" w:rsidP="00306953">
      <w:pPr>
        <w:autoSpaceDE w:val="0"/>
        <w:autoSpaceDN w:val="0"/>
        <w:adjustRightInd w:val="0"/>
        <w:spacing w:after="120" w:line="240" w:lineRule="auto"/>
        <w:jc w:val="both"/>
        <w:rPr>
          <w:rFonts w:eastAsia="ChaparralPro-Regular" w:cs="Arial"/>
        </w:rPr>
      </w:pPr>
      <w:r w:rsidRPr="00306953">
        <w:rPr>
          <w:rFonts w:eastAsia="ChaparralPro-Regular" w:cs="Arial"/>
        </w:rPr>
        <w:t xml:space="preserve">Z grafu č. 5 zaměřeného na </w:t>
      </w:r>
      <w:r w:rsidRPr="00081710">
        <w:rPr>
          <w:rFonts w:eastAsia="ChaparralPro-Regular" w:cs="Arial"/>
          <w:b/>
          <w:i/>
        </w:rPr>
        <w:t>primární až</w:t>
      </w:r>
      <w:r w:rsidRPr="00306953">
        <w:rPr>
          <w:rFonts w:eastAsia="ChaparralPro-Regular" w:cs="Arial"/>
        </w:rPr>
        <w:t xml:space="preserve"> </w:t>
      </w:r>
      <w:r w:rsidRPr="00306953">
        <w:rPr>
          <w:rFonts w:eastAsia="ChaparralPro-Regular" w:cs="Arial"/>
          <w:b/>
          <w:i/>
        </w:rPr>
        <w:t xml:space="preserve">postsekundární neterciární </w:t>
      </w:r>
      <w:r w:rsidRPr="00306953">
        <w:rPr>
          <w:rFonts w:eastAsia="ChaparralPro-Regular" w:cs="Arial"/>
        </w:rPr>
        <w:t xml:space="preserve">vzdělávání je také patrné, že ČR se v podílu </w:t>
      </w:r>
      <w:r w:rsidRPr="00306953">
        <w:rPr>
          <w:rFonts w:eastAsia="ChaparralPro-Regular" w:cs="Arial"/>
          <w:b/>
        </w:rPr>
        <w:t>veřejných výdajů</w:t>
      </w:r>
      <w:r w:rsidRPr="00306953">
        <w:rPr>
          <w:rFonts w:eastAsia="ChaparralPro-Regular" w:cs="Arial"/>
        </w:rPr>
        <w:t xml:space="preserve"> vynaložených v roce 2012 z HDP na uvedené úrovně vzdělávání téměř neliší od Maďarska (2,55 % HDP) a jen mírně se odlišuje též od Slovenska (2,48 % HDP). V Polsku však tento podíl činil 3,21 % HDP a ve Finsku dokonce 3,92 % HDP. Celkově nejvyšší podíl HDP tvořily veřejné výdaje na vzdělávání v Dánsku (4,72 %). Co se týče </w:t>
      </w:r>
      <w:r w:rsidRPr="00306953">
        <w:rPr>
          <w:rFonts w:eastAsia="ChaparralPro-Regular" w:cs="Arial"/>
          <w:b/>
        </w:rPr>
        <w:t>soukromých výdajů</w:t>
      </w:r>
      <w:r w:rsidRPr="00306953">
        <w:rPr>
          <w:rFonts w:eastAsia="ChaparralPro-Regular" w:cs="Arial"/>
        </w:rPr>
        <w:t>, ČR s 0,16 % vykázala jen neparně nižší hodnotu než Slovensko (0,20 % HDP) a výrazně se nelišila ani od Polska (0,24 %). Ve Finsku byl pak podíl soukromých výdajů z HDP na uvedené úrovně vzdělávání výrazně nižší (0,02 %). Celkově nejvyšší podíl HDP tvořily soukromé výdaje na instituce primárního až postsekundár</w:t>
      </w:r>
      <w:r w:rsidR="00E52654">
        <w:rPr>
          <w:rFonts w:eastAsia="ChaparralPro-Regular" w:cs="Arial"/>
        </w:rPr>
        <w:t>ního neterciárního vzdělávání v </w:t>
      </w:r>
      <w:r w:rsidRPr="00306953">
        <w:rPr>
          <w:rFonts w:eastAsia="ChaparralPro-Regular" w:cs="Arial"/>
        </w:rPr>
        <w:t>Kolumbii (0,89 %).</w:t>
      </w:r>
    </w:p>
    <w:p w:rsidR="00306953" w:rsidRPr="00306953" w:rsidRDefault="00081710" w:rsidP="00306953">
      <w:pPr>
        <w:autoSpaceDE w:val="0"/>
        <w:autoSpaceDN w:val="0"/>
        <w:adjustRightInd w:val="0"/>
        <w:spacing w:after="0" w:line="240" w:lineRule="auto"/>
        <w:jc w:val="both"/>
        <w:rPr>
          <w:rFonts w:eastAsia="ChaparralPro-Regular" w:cs="Arial"/>
        </w:rPr>
      </w:pPr>
      <w:r>
        <w:rPr>
          <w:rFonts w:eastAsia="ChaparralPro-Regular" w:cs="Arial"/>
        </w:rPr>
        <w:t>V tabulce č. </w:t>
      </w:r>
      <w:r w:rsidR="00306953" w:rsidRPr="00306953">
        <w:rPr>
          <w:rFonts w:eastAsia="ChaparralPro-Regular" w:cs="Arial"/>
        </w:rPr>
        <w:t xml:space="preserve">5 výše je také vyjádřeno, jaký podíl HDP připadal v ČR v roce 2012 na veřejné a soukromé výdaje na vzdělávací instituce </w:t>
      </w:r>
      <w:r w:rsidR="00306953" w:rsidRPr="00306953">
        <w:rPr>
          <w:rFonts w:eastAsia="ChaparralPro-Regular" w:cs="Arial"/>
          <w:b/>
          <w:i/>
        </w:rPr>
        <w:t>terciárního vzdělávání</w:t>
      </w:r>
      <w:r w:rsidR="00306953" w:rsidRPr="00306953">
        <w:rPr>
          <w:rFonts w:eastAsia="ChaparralPro-Regular" w:cs="Arial"/>
        </w:rPr>
        <w:t xml:space="preserve"> ve srovnání s mezinárodními průměry. V průměru za země OECD činil </w:t>
      </w:r>
      <w:r w:rsidR="00306953" w:rsidRPr="00306953">
        <w:rPr>
          <w:rFonts w:eastAsia="ChaparralPro-Regular" w:cs="Arial"/>
          <w:b/>
        </w:rPr>
        <w:t>podíl veřejných výdajů</w:t>
      </w:r>
      <w:r w:rsidR="00306953" w:rsidRPr="00306953">
        <w:rPr>
          <w:rFonts w:eastAsia="ChaparralPro-Regular" w:cs="Arial"/>
        </w:rPr>
        <w:t xml:space="preserve"> na vzdělávací instituce terciá</w:t>
      </w:r>
      <w:r w:rsidR="00E52654">
        <w:rPr>
          <w:rFonts w:eastAsia="ChaparralPro-Regular" w:cs="Arial"/>
        </w:rPr>
        <w:t>rního vzdělávání z HDP 1,15 % a </w:t>
      </w:r>
      <w:r w:rsidR="00306953" w:rsidRPr="00306953">
        <w:rPr>
          <w:rFonts w:eastAsia="ChaparralPro-Regular" w:cs="Arial"/>
        </w:rPr>
        <w:t xml:space="preserve">v průměru za země v EU i OECD 1,18 %. S 1,20 % HDP tak Česká republika oba tyto průměry jen zanedbatelně převýšila. </w:t>
      </w:r>
      <w:r w:rsidR="00306953" w:rsidRPr="00306953">
        <w:rPr>
          <w:rFonts w:eastAsia="ChaparralPro-Regular" w:cs="Arial"/>
          <w:b/>
        </w:rPr>
        <w:t>Podíl soukromých výdajů</w:t>
      </w:r>
      <w:r w:rsidR="00306953" w:rsidRPr="00306953">
        <w:rPr>
          <w:rFonts w:eastAsia="ChaparralPro-Regular" w:cs="Arial"/>
        </w:rPr>
        <w:t xml:space="preserve"> na instituce terciárního vzdělávání z HDP byl pak za země OECD 0,39 % a za země v EU i OECD 0,18 %. V ČR činil podíl soukromých výdajů na instituce terciárního vzdělávání 0,24 % HDP, což je o něco více než v průměru za země v EU i OECD, nicméně méně než v průměru za země v OECD. Přitom na Slovensku byl podíl veřejných i soukromých výdajů na vzdělávání terciární úrovně z HDP o poznání nižší (0,96 %, resp. 0,08 %) než v ČR. V Polsku byl podíl veřejných výdajů z HDP na instituce terciárního vzdělávání s ČR téměř totožný (1,18 %), podíl soukromých výdajů z HDP byl o něco nižší (0,15 %). Ve Finsku byly oproti ČR znatelně vyšší veřejné výdaje (1,78 % HDP) a naopak výrazně nižší výdaje soukromé (0,07 % HDP). Graf č. 6 ukazuje situaci v ČR v kontextu dalších zemí OECD.</w:t>
      </w:r>
    </w:p>
    <w:p w:rsidR="00306953" w:rsidRPr="00306953" w:rsidRDefault="00306953" w:rsidP="00306953">
      <w:pPr>
        <w:autoSpaceDE w:val="0"/>
        <w:autoSpaceDN w:val="0"/>
        <w:adjustRightInd w:val="0"/>
        <w:spacing w:after="0" w:line="240" w:lineRule="auto"/>
        <w:jc w:val="both"/>
        <w:rPr>
          <w:rFonts w:eastAsia="ChaparralPro-Regular" w:cs="Arial"/>
          <w:sz w:val="12"/>
          <w:szCs w:val="12"/>
        </w:rPr>
      </w:pPr>
    </w:p>
    <w:p w:rsidR="00306953" w:rsidRDefault="00306953" w:rsidP="00306953">
      <w:pPr>
        <w:keepNext/>
        <w:autoSpaceDE w:val="0"/>
        <w:autoSpaceDN w:val="0"/>
        <w:adjustRightInd w:val="0"/>
        <w:spacing w:after="0" w:line="240" w:lineRule="auto"/>
        <w:jc w:val="both"/>
        <w:rPr>
          <w:rFonts w:eastAsia="ChaparralPro-Regular" w:cs="Arial"/>
          <w:b/>
          <w:bCs/>
        </w:rPr>
      </w:pPr>
      <w:r w:rsidRPr="00306953">
        <w:rPr>
          <w:rFonts w:eastAsia="ChaparralPro-Regular" w:cs="Arial"/>
          <w:b/>
          <w:bCs/>
        </w:rPr>
        <w:lastRenderedPageBreak/>
        <w:t>Graf č. 6 Výdaje na vzdělávací instituce terciární úrovně jakožto podíl HDP</w:t>
      </w:r>
      <w:r>
        <w:rPr>
          <w:rFonts w:eastAsia="ChaparralPro-Regular" w:cs="Arial"/>
          <w:b/>
          <w:bCs/>
        </w:rPr>
        <w:t xml:space="preserve">, z </w:t>
      </w:r>
      <w:r w:rsidRPr="00306953">
        <w:rPr>
          <w:rFonts w:eastAsia="ChaparralPro-Regular" w:cs="Arial"/>
          <w:b/>
          <w:iCs/>
        </w:rPr>
        <w:t>veřejných i soukromých zdrojů, dle druhu zdroje</w:t>
      </w:r>
      <w:r w:rsidRPr="00306953">
        <w:rPr>
          <w:rFonts w:eastAsia="ChaparralPro-Regular" w:cs="Arial"/>
          <w:b/>
          <w:bCs/>
        </w:rPr>
        <w:t xml:space="preserve"> (2012)</w:t>
      </w:r>
    </w:p>
    <w:p w:rsidR="00306953" w:rsidRPr="00E361EC" w:rsidRDefault="00BA5EE1" w:rsidP="00E361EC">
      <w:pPr>
        <w:keepNext/>
        <w:autoSpaceDE w:val="0"/>
        <w:autoSpaceDN w:val="0"/>
        <w:adjustRightInd w:val="0"/>
        <w:spacing w:after="0" w:line="240" w:lineRule="auto"/>
        <w:jc w:val="both"/>
        <w:rPr>
          <w:rFonts w:eastAsia="ChaparralPro-Regular" w:cs="Arial"/>
          <w:b/>
          <w:bCs/>
        </w:rPr>
      </w:pPr>
      <w:r w:rsidRPr="00984E22">
        <w:rPr>
          <w:rFonts w:eastAsia="ChaparralPro-Regular" w:cs="Arial"/>
          <w:b/>
          <w:noProof/>
        </w:rPr>
        <w:pict>
          <v:shape id="_x0000_i1030" type="#_x0000_t75" style="width:470.25pt;height:245.2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">
            <v:imagedata r:id="rId66" o:title="" croptop="-2133f" cropbottom="-4916f" cropleft="-1043f" cropright="-1513f"/>
            <o:lock v:ext="edit" aspectratio="f"/>
          </v:shape>
        </w:pict>
      </w:r>
    </w:p>
    <w:p w:rsidR="00306953" w:rsidRPr="00306953" w:rsidRDefault="00A26B1E" w:rsidP="00306953">
      <w:pPr>
        <w:autoSpaceDE w:val="0"/>
        <w:autoSpaceDN w:val="0"/>
        <w:adjustRightInd w:val="0"/>
        <w:spacing w:after="0" w:line="240" w:lineRule="auto"/>
        <w:jc w:val="both"/>
        <w:rPr>
          <w:rFonts w:eastAsia="ChaparralPro-Regular" w:cs="Arial"/>
          <w:sz w:val="16"/>
          <w:szCs w:val="16"/>
        </w:rPr>
      </w:pPr>
      <w:r w:rsidRPr="00FE5433">
        <w:rPr>
          <w:rFonts w:eastAsia="ChaparralPro-Regular" w:cs="Arial"/>
          <w:sz w:val="16"/>
          <w:szCs w:val="16"/>
        </w:rPr>
        <w:t>(</w:t>
      </w:r>
      <w:r w:rsidR="00306953" w:rsidRPr="00FE5433">
        <w:rPr>
          <w:rFonts w:eastAsia="ChaparralPro-Regular" w:cs="Arial"/>
          <w:sz w:val="16"/>
          <w:szCs w:val="16"/>
        </w:rPr>
        <w:t>1)</w:t>
      </w:r>
      <w:r w:rsidR="00E361EC">
        <w:rPr>
          <w:rFonts w:eastAsia="ChaparralPro-Regular" w:cs="Arial"/>
          <w:sz w:val="16"/>
          <w:szCs w:val="16"/>
        </w:rPr>
        <w:t xml:space="preserve"> pouze veřejné výdaje</w:t>
      </w:r>
    </w:p>
    <w:p w:rsidR="00306953" w:rsidRPr="00306953" w:rsidRDefault="00A26B1E" w:rsidP="00306953">
      <w:pPr>
        <w:autoSpaceDE w:val="0"/>
        <w:autoSpaceDN w:val="0"/>
        <w:adjustRightInd w:val="0"/>
        <w:spacing w:after="0" w:line="240" w:lineRule="auto"/>
        <w:jc w:val="both"/>
        <w:rPr>
          <w:rFonts w:eastAsia="ChaparralPro-Regular" w:cs="Arial"/>
          <w:sz w:val="16"/>
          <w:szCs w:val="16"/>
        </w:rPr>
      </w:pPr>
      <w:r w:rsidRPr="00FE5433">
        <w:rPr>
          <w:rFonts w:eastAsia="ChaparralPro-Regular" w:cs="Arial"/>
          <w:sz w:val="16"/>
          <w:szCs w:val="16"/>
        </w:rPr>
        <w:t>(</w:t>
      </w:r>
      <w:r w:rsidR="00306953" w:rsidRPr="00FE5433">
        <w:rPr>
          <w:rFonts w:eastAsia="ChaparralPro-Regular" w:cs="Arial"/>
          <w:sz w:val="16"/>
          <w:szCs w:val="16"/>
        </w:rPr>
        <w:t>2)</w:t>
      </w:r>
      <w:r w:rsidR="00306953" w:rsidRPr="00306953">
        <w:rPr>
          <w:rFonts w:eastAsia="ChaparralPro-Regular" w:cs="Arial"/>
          <w:sz w:val="16"/>
          <w:szCs w:val="16"/>
        </w:rPr>
        <w:t xml:space="preserve"> Některé úrovně vzdělávání jsou sloučeny s jinými. V</w:t>
      </w:r>
      <w:r w:rsidR="00FE5433">
        <w:rPr>
          <w:rFonts w:eastAsia="ChaparralPro-Regular" w:cs="Arial"/>
          <w:sz w:val="16"/>
          <w:szCs w:val="16"/>
        </w:rPr>
        <w:t xml:space="preserve">íce viz kód "x" u tabulky </w:t>
      </w:r>
      <w:r w:rsidR="00306953" w:rsidRPr="00306953">
        <w:rPr>
          <w:rFonts w:eastAsia="ChaparralPro-Regular" w:cs="Arial"/>
          <w:sz w:val="16"/>
          <w:szCs w:val="16"/>
        </w:rPr>
        <w:t>B1</w:t>
      </w:r>
      <w:r w:rsidR="00E361EC">
        <w:rPr>
          <w:rFonts w:eastAsia="ChaparralPro-Regular" w:cs="Arial"/>
          <w:sz w:val="16"/>
          <w:szCs w:val="16"/>
        </w:rPr>
        <w:t xml:space="preserve"> (OECD 2015)</w:t>
      </w:r>
      <w:r w:rsidR="00306953" w:rsidRPr="00306953">
        <w:rPr>
          <w:rFonts w:eastAsia="ChaparralPro-Regular" w:cs="Arial"/>
          <w:sz w:val="16"/>
          <w:szCs w:val="16"/>
        </w:rPr>
        <w:t>.</w:t>
      </w:r>
    </w:p>
    <w:p w:rsidR="00306953" w:rsidRPr="00306953" w:rsidRDefault="00306953" w:rsidP="00306953">
      <w:pPr>
        <w:autoSpaceDE w:val="0"/>
        <w:autoSpaceDN w:val="0"/>
        <w:adjustRightInd w:val="0"/>
        <w:spacing w:after="0" w:line="240" w:lineRule="auto"/>
        <w:jc w:val="both"/>
        <w:rPr>
          <w:rFonts w:eastAsia="ChaparralPro-Regular" w:cs="Arial"/>
          <w:sz w:val="16"/>
          <w:szCs w:val="16"/>
        </w:rPr>
      </w:pPr>
      <w:r w:rsidRPr="00306953">
        <w:rPr>
          <w:rFonts w:eastAsia="ChaparralPro-Regular" w:cs="Arial"/>
          <w:sz w:val="16"/>
          <w:szCs w:val="16"/>
        </w:rPr>
        <w:t xml:space="preserve">Zdroj: OECD 2015, graf B 2.2 (tabulka B 2.3), StatLink: </w:t>
      </w:r>
      <w:hyperlink r:id="rId67" w:history="1">
        <w:r w:rsidRPr="00306953">
          <w:rPr>
            <w:rStyle w:val="Hypertextovodkaz"/>
            <w:rFonts w:cs="Arial"/>
            <w:sz w:val="16"/>
            <w:szCs w:val="16"/>
          </w:rPr>
          <w:t>http://dx.doi.org/10.1787/888933283959</w:t>
        </w:r>
      </w:hyperlink>
      <w:r w:rsidRPr="00306953">
        <w:rPr>
          <w:rFonts w:cs="Arial"/>
          <w:color w:val="231F20"/>
          <w:sz w:val="16"/>
          <w:szCs w:val="16"/>
        </w:rPr>
        <w:t xml:space="preserve"> </w:t>
      </w:r>
    </w:p>
    <w:p w:rsidR="00306953" w:rsidRPr="00306953" w:rsidRDefault="00306953" w:rsidP="00306953">
      <w:pPr>
        <w:autoSpaceDE w:val="0"/>
        <w:autoSpaceDN w:val="0"/>
        <w:adjustRightInd w:val="0"/>
        <w:spacing w:after="0" w:line="240" w:lineRule="auto"/>
        <w:jc w:val="both"/>
        <w:rPr>
          <w:rFonts w:eastAsia="ChaparralPro-Regular" w:cs="Arial"/>
        </w:rPr>
      </w:pPr>
    </w:p>
    <w:p w:rsidR="00306953" w:rsidRPr="00306953" w:rsidRDefault="00306953" w:rsidP="00306953">
      <w:pPr>
        <w:autoSpaceDE w:val="0"/>
        <w:autoSpaceDN w:val="0"/>
        <w:adjustRightInd w:val="0"/>
        <w:spacing w:after="120" w:line="240" w:lineRule="auto"/>
        <w:jc w:val="both"/>
        <w:rPr>
          <w:rFonts w:eastAsia="ChaparralPro-Regular" w:cs="Arial"/>
        </w:rPr>
      </w:pPr>
      <w:r w:rsidRPr="00306953">
        <w:rPr>
          <w:rFonts w:eastAsia="ChaparralPro-Regular" w:cs="Arial"/>
        </w:rPr>
        <w:t>Výše uvedená zjištění můžeme doplnit ještě tabulkou s informacemi o celkových (veřejných i soukromých) výdajích na vzdělávací instituce jakožto podíl HDP v roce 2012 v dělení na vzdělávací instituce na úrovni primárního a nižšího sekundárního vzdělávání, vyššího sekundárního vzdělávání, postsekundárního neterciárního vzdělávání a terciárního vzdělávání v krátkém cyklu a dalších programů, a sice v ČR, ve vybraných dalších zemích a v mezinárodních průměrech (viz tabulka č. 6).</w:t>
      </w:r>
    </w:p>
    <w:p w:rsidR="00306953" w:rsidRPr="00306953" w:rsidRDefault="00306953" w:rsidP="00306953">
      <w:pPr>
        <w:keepNext/>
        <w:autoSpaceDE w:val="0"/>
        <w:autoSpaceDN w:val="0"/>
        <w:adjustRightInd w:val="0"/>
        <w:spacing w:after="120" w:line="240" w:lineRule="auto"/>
        <w:jc w:val="both"/>
        <w:rPr>
          <w:rFonts w:eastAsia="ChaparralPro-Regular" w:cs="Arial"/>
          <w:b/>
        </w:rPr>
      </w:pPr>
      <w:r w:rsidRPr="00306953">
        <w:rPr>
          <w:rFonts w:eastAsia="ChaparralPro-Regular" w:cs="Arial"/>
          <w:b/>
        </w:rPr>
        <w:t>Tabulka č. 6 Výdaje na vzdělávací instituce jakožto podíl HDP (v %) z veřejných i soukromých zdrojů, včetně mezinárodních zdrojů (2012) -</w:t>
      </w:r>
    </w:p>
    <w:tbl>
      <w:tblPr>
        <w:tblW w:w="8980" w:type="dxa"/>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1300"/>
        <w:gridCol w:w="960"/>
        <w:gridCol w:w="960"/>
        <w:gridCol w:w="960"/>
        <w:gridCol w:w="960"/>
        <w:gridCol w:w="960"/>
        <w:gridCol w:w="960"/>
        <w:gridCol w:w="960"/>
        <w:gridCol w:w="960"/>
      </w:tblGrid>
      <w:tr w:rsidR="00306953" w:rsidRPr="00306953" w:rsidTr="00C21D0B">
        <w:trPr>
          <w:trHeight w:val="465"/>
        </w:trPr>
        <w:tc>
          <w:tcPr>
            <w:tcW w:w="1300" w:type="dxa"/>
            <w:vMerge w:val="restart"/>
            <w:shd w:val="clear" w:color="auto" w:fill="FFCCCC"/>
            <w:vAlign w:val="center"/>
            <w:hideMark/>
          </w:tcPr>
          <w:p w:rsidR="00306953" w:rsidRPr="001042AC" w:rsidRDefault="00306953" w:rsidP="00306953">
            <w:pPr>
              <w:spacing w:after="0" w:line="240" w:lineRule="auto"/>
              <w:jc w:val="center"/>
              <w:rPr>
                <w:rFonts w:cs="Arial"/>
                <w:b/>
                <w:color w:val="000000"/>
                <w:sz w:val="16"/>
                <w:szCs w:val="16"/>
              </w:rPr>
            </w:pPr>
            <w:r w:rsidRPr="001042AC">
              <w:rPr>
                <w:rFonts w:cs="Arial"/>
                <w:b/>
                <w:color w:val="000000"/>
                <w:sz w:val="16"/>
                <w:szCs w:val="16"/>
              </w:rPr>
              <w:t> </w:t>
            </w:r>
          </w:p>
        </w:tc>
        <w:tc>
          <w:tcPr>
            <w:tcW w:w="3840" w:type="dxa"/>
            <w:gridSpan w:val="4"/>
            <w:shd w:val="clear" w:color="auto" w:fill="FFCCCC"/>
            <w:vAlign w:val="center"/>
            <w:hideMark/>
          </w:tcPr>
          <w:p w:rsidR="00306953" w:rsidRPr="001042AC" w:rsidRDefault="00EA6A4F" w:rsidP="00306953">
            <w:pPr>
              <w:spacing w:after="0" w:line="240" w:lineRule="auto"/>
              <w:rPr>
                <w:rFonts w:cs="Arial"/>
                <w:b/>
                <w:color w:val="000000"/>
                <w:sz w:val="16"/>
                <w:szCs w:val="16"/>
              </w:rPr>
            </w:pPr>
            <w:r>
              <w:rPr>
                <w:rFonts w:cs="Arial"/>
                <w:b/>
                <w:color w:val="000000"/>
                <w:sz w:val="16"/>
                <w:szCs w:val="16"/>
              </w:rPr>
              <w:t>p</w:t>
            </w:r>
            <w:r w:rsidR="00306953" w:rsidRPr="001042AC">
              <w:rPr>
                <w:rFonts w:cs="Arial"/>
                <w:b/>
                <w:color w:val="000000"/>
                <w:sz w:val="16"/>
                <w:szCs w:val="16"/>
              </w:rPr>
              <w:t>rimární, sekundární a postsekundární neterciární vzdělávání</w:t>
            </w:r>
          </w:p>
        </w:tc>
        <w:tc>
          <w:tcPr>
            <w:tcW w:w="2880" w:type="dxa"/>
            <w:gridSpan w:val="3"/>
            <w:shd w:val="clear" w:color="auto" w:fill="FFCCCC"/>
            <w:vAlign w:val="center"/>
            <w:hideMark/>
          </w:tcPr>
          <w:p w:rsidR="00306953" w:rsidRPr="001042AC" w:rsidRDefault="00EA6A4F" w:rsidP="00306953">
            <w:pPr>
              <w:spacing w:after="0" w:line="240" w:lineRule="auto"/>
              <w:rPr>
                <w:rFonts w:cs="Arial"/>
                <w:b/>
                <w:color w:val="000000"/>
                <w:sz w:val="16"/>
                <w:szCs w:val="16"/>
              </w:rPr>
            </w:pPr>
            <w:r>
              <w:rPr>
                <w:rFonts w:cs="Arial"/>
                <w:b/>
                <w:color w:val="000000"/>
                <w:sz w:val="16"/>
                <w:szCs w:val="16"/>
              </w:rPr>
              <w:t>t</w:t>
            </w:r>
            <w:r w:rsidR="00306953" w:rsidRPr="001042AC">
              <w:rPr>
                <w:rFonts w:cs="Arial"/>
                <w:b/>
                <w:color w:val="000000"/>
                <w:sz w:val="16"/>
                <w:szCs w:val="16"/>
              </w:rPr>
              <w:t>erciární vzdělávání</w:t>
            </w:r>
          </w:p>
        </w:tc>
        <w:tc>
          <w:tcPr>
            <w:tcW w:w="960" w:type="dxa"/>
            <w:vMerge w:val="restart"/>
            <w:shd w:val="clear" w:color="auto" w:fill="FFCCCC"/>
            <w:textDirection w:val="btLr"/>
            <w:vAlign w:val="center"/>
            <w:hideMark/>
          </w:tcPr>
          <w:p w:rsidR="00306953" w:rsidRPr="001042AC" w:rsidRDefault="00306953" w:rsidP="00306953">
            <w:pPr>
              <w:spacing w:after="0" w:line="240" w:lineRule="auto"/>
              <w:rPr>
                <w:rFonts w:cs="Arial"/>
                <w:b/>
                <w:color w:val="000000"/>
                <w:sz w:val="16"/>
                <w:szCs w:val="16"/>
              </w:rPr>
            </w:pPr>
            <w:r w:rsidRPr="001042AC">
              <w:rPr>
                <w:rFonts w:cs="Arial"/>
                <w:b/>
                <w:color w:val="000000"/>
                <w:sz w:val="16"/>
                <w:szCs w:val="16"/>
              </w:rPr>
              <w:t>primární až terciární úroveň (včetně nezařazených program)</w:t>
            </w:r>
          </w:p>
        </w:tc>
      </w:tr>
      <w:tr w:rsidR="00306953" w:rsidRPr="00306953" w:rsidTr="00C21D0B">
        <w:trPr>
          <w:trHeight w:val="1350"/>
        </w:trPr>
        <w:tc>
          <w:tcPr>
            <w:tcW w:w="1300" w:type="dxa"/>
            <w:vMerge/>
            <w:shd w:val="clear" w:color="auto" w:fill="FFCCCC"/>
            <w:vAlign w:val="center"/>
            <w:hideMark/>
          </w:tcPr>
          <w:p w:rsidR="00306953" w:rsidRPr="00306953" w:rsidRDefault="00306953" w:rsidP="00306953">
            <w:pPr>
              <w:spacing w:after="0" w:line="240" w:lineRule="auto"/>
              <w:rPr>
                <w:rFonts w:cs="Arial"/>
                <w:color w:val="000000"/>
                <w:sz w:val="16"/>
                <w:szCs w:val="16"/>
              </w:rPr>
            </w:pPr>
          </w:p>
        </w:tc>
        <w:tc>
          <w:tcPr>
            <w:tcW w:w="960" w:type="dxa"/>
            <w:vMerge w:val="restart"/>
            <w:shd w:val="clear" w:color="auto" w:fill="FFCCCC"/>
            <w:textDirection w:val="btLr"/>
            <w:vAlign w:val="center"/>
            <w:hideMark/>
          </w:tcPr>
          <w:p w:rsidR="00306953" w:rsidRPr="001042AC" w:rsidRDefault="00E361EC" w:rsidP="00306953">
            <w:pPr>
              <w:spacing w:after="0" w:line="240" w:lineRule="auto"/>
              <w:rPr>
                <w:rFonts w:cs="Arial"/>
                <w:b/>
                <w:color w:val="000000"/>
                <w:sz w:val="16"/>
                <w:szCs w:val="16"/>
              </w:rPr>
            </w:pPr>
            <w:r>
              <w:rPr>
                <w:rFonts w:cs="Arial"/>
                <w:b/>
                <w:color w:val="000000"/>
                <w:sz w:val="16"/>
                <w:szCs w:val="16"/>
              </w:rPr>
              <w:t>p</w:t>
            </w:r>
            <w:r w:rsidR="00306953" w:rsidRPr="001042AC">
              <w:rPr>
                <w:rFonts w:cs="Arial"/>
                <w:b/>
                <w:color w:val="000000"/>
                <w:sz w:val="16"/>
                <w:szCs w:val="16"/>
              </w:rPr>
              <w:t xml:space="preserve">rimární a nižší sekundární vzdělávání   </w:t>
            </w:r>
          </w:p>
        </w:tc>
        <w:tc>
          <w:tcPr>
            <w:tcW w:w="960" w:type="dxa"/>
            <w:vMerge w:val="restart"/>
            <w:shd w:val="clear" w:color="auto" w:fill="FFCCCC"/>
            <w:textDirection w:val="btLr"/>
            <w:vAlign w:val="center"/>
            <w:hideMark/>
          </w:tcPr>
          <w:p w:rsidR="00306953" w:rsidRPr="001042AC" w:rsidRDefault="00E361EC" w:rsidP="00306953">
            <w:pPr>
              <w:spacing w:after="0" w:line="240" w:lineRule="auto"/>
              <w:rPr>
                <w:rFonts w:cs="Arial"/>
                <w:b/>
                <w:color w:val="000000"/>
                <w:sz w:val="16"/>
                <w:szCs w:val="16"/>
              </w:rPr>
            </w:pPr>
            <w:r>
              <w:rPr>
                <w:rFonts w:cs="Arial"/>
                <w:b/>
                <w:color w:val="000000"/>
                <w:sz w:val="16"/>
                <w:szCs w:val="16"/>
              </w:rPr>
              <w:t>v</w:t>
            </w:r>
            <w:r w:rsidR="00306953" w:rsidRPr="001042AC">
              <w:rPr>
                <w:rFonts w:cs="Arial"/>
                <w:b/>
                <w:color w:val="000000"/>
                <w:sz w:val="16"/>
                <w:szCs w:val="16"/>
              </w:rPr>
              <w:t xml:space="preserve">yšší sekundární vzdělávání  </w:t>
            </w:r>
          </w:p>
        </w:tc>
        <w:tc>
          <w:tcPr>
            <w:tcW w:w="960" w:type="dxa"/>
            <w:vMerge w:val="restart"/>
            <w:shd w:val="clear" w:color="auto" w:fill="FFCCCC"/>
            <w:textDirection w:val="btLr"/>
            <w:vAlign w:val="center"/>
            <w:hideMark/>
          </w:tcPr>
          <w:p w:rsidR="00306953" w:rsidRPr="001042AC" w:rsidRDefault="00306953" w:rsidP="00306953">
            <w:pPr>
              <w:spacing w:after="0" w:line="240" w:lineRule="auto"/>
              <w:rPr>
                <w:rFonts w:cs="Arial"/>
                <w:b/>
                <w:sz w:val="16"/>
                <w:szCs w:val="16"/>
              </w:rPr>
            </w:pPr>
            <w:r w:rsidRPr="001042AC">
              <w:rPr>
                <w:rFonts w:cs="Arial"/>
                <w:b/>
                <w:sz w:val="16"/>
                <w:szCs w:val="16"/>
              </w:rPr>
              <w:t>vzdělávání postsekundární neterciární</w:t>
            </w:r>
          </w:p>
        </w:tc>
        <w:tc>
          <w:tcPr>
            <w:tcW w:w="960" w:type="dxa"/>
            <w:vMerge w:val="restart"/>
            <w:shd w:val="clear" w:color="auto" w:fill="FFCCCC"/>
            <w:textDirection w:val="btLr"/>
            <w:vAlign w:val="center"/>
            <w:hideMark/>
          </w:tcPr>
          <w:p w:rsidR="00306953" w:rsidRPr="001042AC" w:rsidRDefault="00306953" w:rsidP="00306953">
            <w:pPr>
              <w:spacing w:after="0" w:line="240" w:lineRule="auto"/>
              <w:rPr>
                <w:rFonts w:cs="Arial"/>
                <w:b/>
                <w:sz w:val="16"/>
                <w:szCs w:val="16"/>
              </w:rPr>
            </w:pPr>
            <w:r w:rsidRPr="001042AC">
              <w:rPr>
                <w:rFonts w:cs="Arial"/>
                <w:b/>
                <w:sz w:val="16"/>
                <w:szCs w:val="16"/>
              </w:rPr>
              <w:t>vzdělávání primární až postsekundární neterciární</w:t>
            </w:r>
          </w:p>
        </w:tc>
        <w:tc>
          <w:tcPr>
            <w:tcW w:w="960" w:type="dxa"/>
            <w:vMerge w:val="restart"/>
            <w:shd w:val="clear" w:color="auto" w:fill="FFCCCC"/>
            <w:textDirection w:val="btLr"/>
            <w:vAlign w:val="center"/>
            <w:hideMark/>
          </w:tcPr>
          <w:p w:rsidR="00306953" w:rsidRPr="001042AC" w:rsidRDefault="00306953" w:rsidP="00306953">
            <w:pPr>
              <w:spacing w:after="0" w:line="240" w:lineRule="auto"/>
              <w:rPr>
                <w:rFonts w:cs="Arial"/>
                <w:b/>
                <w:sz w:val="16"/>
                <w:szCs w:val="16"/>
              </w:rPr>
            </w:pPr>
            <w:r w:rsidRPr="001042AC">
              <w:rPr>
                <w:rFonts w:cs="Arial"/>
                <w:b/>
                <w:sz w:val="16"/>
                <w:szCs w:val="16"/>
              </w:rPr>
              <w:t>krátký cyklus terciárního</w:t>
            </w:r>
          </w:p>
        </w:tc>
        <w:tc>
          <w:tcPr>
            <w:tcW w:w="960" w:type="dxa"/>
            <w:vMerge w:val="restart"/>
            <w:shd w:val="clear" w:color="auto" w:fill="FFCCCC"/>
            <w:textDirection w:val="btLr"/>
            <w:vAlign w:val="center"/>
            <w:hideMark/>
          </w:tcPr>
          <w:p w:rsidR="00306953" w:rsidRPr="001042AC" w:rsidRDefault="00306953" w:rsidP="00306953">
            <w:pPr>
              <w:spacing w:after="0" w:line="240" w:lineRule="auto"/>
              <w:rPr>
                <w:rFonts w:cs="Arial"/>
                <w:b/>
                <w:color w:val="000000"/>
                <w:sz w:val="16"/>
                <w:szCs w:val="16"/>
              </w:rPr>
            </w:pPr>
            <w:r w:rsidRPr="001042AC">
              <w:rPr>
                <w:rFonts w:cs="Arial"/>
                <w:b/>
                <w:color w:val="000000"/>
                <w:sz w:val="16"/>
                <w:szCs w:val="16"/>
              </w:rPr>
              <w:t>ekvivalenty Bc., Mgr. a doktorských programů</w:t>
            </w:r>
          </w:p>
        </w:tc>
        <w:tc>
          <w:tcPr>
            <w:tcW w:w="960" w:type="dxa"/>
            <w:vMerge w:val="restart"/>
            <w:shd w:val="clear" w:color="auto" w:fill="FFCCCC"/>
            <w:textDirection w:val="btLr"/>
            <w:vAlign w:val="center"/>
            <w:hideMark/>
          </w:tcPr>
          <w:p w:rsidR="00306953" w:rsidRPr="001042AC" w:rsidRDefault="00306953" w:rsidP="00306953">
            <w:pPr>
              <w:spacing w:after="0" w:line="240" w:lineRule="auto"/>
              <w:rPr>
                <w:rFonts w:cs="Arial"/>
                <w:b/>
                <w:color w:val="000000"/>
                <w:sz w:val="16"/>
                <w:szCs w:val="16"/>
              </w:rPr>
            </w:pPr>
            <w:r w:rsidRPr="001042AC">
              <w:rPr>
                <w:rFonts w:cs="Arial"/>
                <w:b/>
                <w:color w:val="000000"/>
                <w:sz w:val="16"/>
                <w:szCs w:val="16"/>
              </w:rPr>
              <w:t>veškeré terciární</w:t>
            </w:r>
          </w:p>
        </w:tc>
        <w:tc>
          <w:tcPr>
            <w:tcW w:w="960" w:type="dxa"/>
            <w:vMerge/>
            <w:shd w:val="clear" w:color="auto" w:fill="FFCCCC"/>
            <w:vAlign w:val="center"/>
            <w:hideMark/>
          </w:tcPr>
          <w:p w:rsidR="00306953" w:rsidRPr="00306953" w:rsidRDefault="00306953" w:rsidP="00306953">
            <w:pPr>
              <w:spacing w:after="0" w:line="240" w:lineRule="auto"/>
              <w:rPr>
                <w:rFonts w:cs="Arial"/>
                <w:color w:val="000000"/>
                <w:sz w:val="16"/>
                <w:szCs w:val="16"/>
              </w:rPr>
            </w:pPr>
          </w:p>
        </w:tc>
      </w:tr>
      <w:tr w:rsidR="00306953" w:rsidRPr="00306953" w:rsidTr="00C21D0B">
        <w:trPr>
          <w:trHeight w:val="184"/>
        </w:trPr>
        <w:tc>
          <w:tcPr>
            <w:tcW w:w="1300" w:type="dxa"/>
            <w:vMerge/>
            <w:tcBorders>
              <w:bottom w:val="double" w:sz="4" w:space="0" w:color="auto"/>
            </w:tcBorders>
            <w:vAlign w:val="center"/>
            <w:hideMark/>
          </w:tcPr>
          <w:p w:rsidR="00306953" w:rsidRPr="00306953" w:rsidRDefault="00306953" w:rsidP="00306953">
            <w:pPr>
              <w:spacing w:after="0" w:line="240" w:lineRule="auto"/>
              <w:rPr>
                <w:rFonts w:cs="Arial"/>
                <w:color w:val="000000"/>
                <w:sz w:val="16"/>
                <w:szCs w:val="16"/>
              </w:rPr>
            </w:pPr>
          </w:p>
        </w:tc>
        <w:tc>
          <w:tcPr>
            <w:tcW w:w="960" w:type="dxa"/>
            <w:vMerge/>
            <w:tcBorders>
              <w:bottom w:val="double" w:sz="4" w:space="0" w:color="auto"/>
            </w:tcBorders>
            <w:vAlign w:val="center"/>
            <w:hideMark/>
          </w:tcPr>
          <w:p w:rsidR="00306953" w:rsidRPr="00306953" w:rsidRDefault="00306953" w:rsidP="00306953">
            <w:pPr>
              <w:spacing w:after="0" w:line="240" w:lineRule="auto"/>
              <w:rPr>
                <w:rFonts w:cs="Arial"/>
                <w:color w:val="000000"/>
                <w:sz w:val="16"/>
                <w:szCs w:val="16"/>
              </w:rPr>
            </w:pPr>
          </w:p>
        </w:tc>
        <w:tc>
          <w:tcPr>
            <w:tcW w:w="960" w:type="dxa"/>
            <w:vMerge/>
            <w:tcBorders>
              <w:bottom w:val="double" w:sz="4" w:space="0" w:color="auto"/>
            </w:tcBorders>
            <w:vAlign w:val="center"/>
            <w:hideMark/>
          </w:tcPr>
          <w:p w:rsidR="00306953" w:rsidRPr="00306953" w:rsidRDefault="00306953" w:rsidP="00306953">
            <w:pPr>
              <w:spacing w:after="0" w:line="240" w:lineRule="auto"/>
              <w:rPr>
                <w:rFonts w:cs="Arial"/>
                <w:color w:val="000000"/>
                <w:sz w:val="16"/>
                <w:szCs w:val="16"/>
              </w:rPr>
            </w:pPr>
          </w:p>
        </w:tc>
        <w:tc>
          <w:tcPr>
            <w:tcW w:w="960" w:type="dxa"/>
            <w:vMerge/>
            <w:tcBorders>
              <w:bottom w:val="double" w:sz="4" w:space="0" w:color="auto"/>
            </w:tcBorders>
            <w:vAlign w:val="center"/>
            <w:hideMark/>
          </w:tcPr>
          <w:p w:rsidR="00306953" w:rsidRPr="00306953" w:rsidRDefault="00306953" w:rsidP="00306953">
            <w:pPr>
              <w:spacing w:after="0" w:line="240" w:lineRule="auto"/>
              <w:rPr>
                <w:rFonts w:cs="Arial"/>
                <w:sz w:val="16"/>
                <w:szCs w:val="16"/>
              </w:rPr>
            </w:pPr>
          </w:p>
        </w:tc>
        <w:tc>
          <w:tcPr>
            <w:tcW w:w="960" w:type="dxa"/>
            <w:vMerge/>
            <w:tcBorders>
              <w:bottom w:val="double" w:sz="4" w:space="0" w:color="auto"/>
            </w:tcBorders>
            <w:vAlign w:val="center"/>
            <w:hideMark/>
          </w:tcPr>
          <w:p w:rsidR="00306953" w:rsidRPr="00306953" w:rsidRDefault="00306953" w:rsidP="00306953">
            <w:pPr>
              <w:spacing w:after="0" w:line="240" w:lineRule="auto"/>
              <w:rPr>
                <w:rFonts w:cs="Arial"/>
                <w:sz w:val="16"/>
                <w:szCs w:val="16"/>
              </w:rPr>
            </w:pPr>
          </w:p>
        </w:tc>
        <w:tc>
          <w:tcPr>
            <w:tcW w:w="960" w:type="dxa"/>
            <w:vMerge/>
            <w:tcBorders>
              <w:bottom w:val="double" w:sz="4" w:space="0" w:color="auto"/>
            </w:tcBorders>
            <w:vAlign w:val="center"/>
            <w:hideMark/>
          </w:tcPr>
          <w:p w:rsidR="00306953" w:rsidRPr="00306953" w:rsidRDefault="00306953" w:rsidP="00306953">
            <w:pPr>
              <w:spacing w:after="0" w:line="240" w:lineRule="auto"/>
              <w:rPr>
                <w:rFonts w:cs="Arial"/>
                <w:sz w:val="16"/>
                <w:szCs w:val="16"/>
              </w:rPr>
            </w:pPr>
          </w:p>
        </w:tc>
        <w:tc>
          <w:tcPr>
            <w:tcW w:w="960" w:type="dxa"/>
            <w:vMerge/>
            <w:tcBorders>
              <w:bottom w:val="double" w:sz="4" w:space="0" w:color="auto"/>
            </w:tcBorders>
            <w:vAlign w:val="center"/>
            <w:hideMark/>
          </w:tcPr>
          <w:p w:rsidR="00306953" w:rsidRPr="00306953" w:rsidRDefault="00306953" w:rsidP="00306953">
            <w:pPr>
              <w:spacing w:after="0" w:line="240" w:lineRule="auto"/>
              <w:rPr>
                <w:rFonts w:cs="Arial"/>
                <w:color w:val="000000"/>
                <w:sz w:val="16"/>
                <w:szCs w:val="16"/>
              </w:rPr>
            </w:pPr>
          </w:p>
        </w:tc>
        <w:tc>
          <w:tcPr>
            <w:tcW w:w="960" w:type="dxa"/>
            <w:vMerge/>
            <w:tcBorders>
              <w:bottom w:val="double" w:sz="4" w:space="0" w:color="auto"/>
            </w:tcBorders>
            <w:vAlign w:val="center"/>
            <w:hideMark/>
          </w:tcPr>
          <w:p w:rsidR="00306953" w:rsidRPr="00306953" w:rsidRDefault="00306953" w:rsidP="00306953">
            <w:pPr>
              <w:spacing w:after="0" w:line="240" w:lineRule="auto"/>
              <w:rPr>
                <w:rFonts w:cs="Arial"/>
                <w:color w:val="000000"/>
                <w:sz w:val="16"/>
                <w:szCs w:val="16"/>
              </w:rPr>
            </w:pPr>
          </w:p>
        </w:tc>
        <w:tc>
          <w:tcPr>
            <w:tcW w:w="960" w:type="dxa"/>
            <w:vMerge/>
            <w:tcBorders>
              <w:bottom w:val="double" w:sz="4" w:space="0" w:color="auto"/>
            </w:tcBorders>
            <w:vAlign w:val="center"/>
            <w:hideMark/>
          </w:tcPr>
          <w:p w:rsidR="00306953" w:rsidRPr="00306953" w:rsidRDefault="00306953" w:rsidP="00306953">
            <w:pPr>
              <w:spacing w:after="0" w:line="240" w:lineRule="auto"/>
              <w:rPr>
                <w:rFonts w:cs="Arial"/>
                <w:color w:val="000000"/>
                <w:sz w:val="16"/>
                <w:szCs w:val="16"/>
              </w:rPr>
            </w:pPr>
          </w:p>
        </w:tc>
      </w:tr>
      <w:tr w:rsidR="00306953" w:rsidRPr="00306953" w:rsidTr="00C21D0B">
        <w:trPr>
          <w:trHeight w:val="255"/>
        </w:trPr>
        <w:tc>
          <w:tcPr>
            <w:tcW w:w="1300" w:type="dxa"/>
            <w:tcBorders>
              <w:top w:val="double" w:sz="4" w:space="0" w:color="auto"/>
              <w:bottom w:val="single" w:sz="4" w:space="0" w:color="auto"/>
            </w:tcBorders>
            <w:shd w:val="clear" w:color="000000" w:fill="FFFFFF"/>
            <w:noWrap/>
            <w:vAlign w:val="center"/>
            <w:hideMark/>
          </w:tcPr>
          <w:p w:rsidR="00306953" w:rsidRPr="00306953" w:rsidRDefault="00306953" w:rsidP="00306953">
            <w:pPr>
              <w:spacing w:after="0" w:line="240" w:lineRule="auto"/>
              <w:rPr>
                <w:rFonts w:cs="Arial"/>
                <w:color w:val="000000"/>
                <w:sz w:val="16"/>
                <w:szCs w:val="16"/>
              </w:rPr>
            </w:pPr>
            <w:r w:rsidRPr="00306953">
              <w:rPr>
                <w:rFonts w:cs="Arial"/>
                <w:color w:val="000000"/>
                <w:sz w:val="16"/>
                <w:szCs w:val="16"/>
              </w:rPr>
              <w:t>Česká republika</w:t>
            </w:r>
          </w:p>
        </w:tc>
        <w:tc>
          <w:tcPr>
            <w:tcW w:w="960" w:type="dxa"/>
            <w:tcBorders>
              <w:top w:val="double" w:sz="4" w:space="0" w:color="auto"/>
              <w:bottom w:val="single" w:sz="4" w:space="0" w:color="auto"/>
            </w:tcBorders>
            <w:shd w:val="clear" w:color="auto" w:fill="auto"/>
            <w:noWrap/>
            <w:vAlign w:val="bottom"/>
            <w:hideMark/>
          </w:tcPr>
          <w:p w:rsidR="00306953" w:rsidRPr="00306953" w:rsidRDefault="00306953" w:rsidP="00306953">
            <w:pPr>
              <w:spacing w:after="0" w:line="240" w:lineRule="auto"/>
              <w:jc w:val="center"/>
              <w:rPr>
                <w:rFonts w:cs="Arial"/>
                <w:color w:val="000000"/>
                <w:sz w:val="16"/>
                <w:szCs w:val="16"/>
              </w:rPr>
            </w:pPr>
            <w:r w:rsidRPr="00306953">
              <w:rPr>
                <w:rFonts w:cs="Arial"/>
                <w:color w:val="000000"/>
                <w:sz w:val="16"/>
                <w:szCs w:val="16"/>
              </w:rPr>
              <w:t>1,70</w:t>
            </w:r>
          </w:p>
        </w:tc>
        <w:tc>
          <w:tcPr>
            <w:tcW w:w="960" w:type="dxa"/>
            <w:tcBorders>
              <w:top w:val="double" w:sz="4" w:space="0" w:color="auto"/>
              <w:bottom w:val="single" w:sz="4" w:space="0" w:color="auto"/>
            </w:tcBorders>
            <w:shd w:val="clear" w:color="auto" w:fill="auto"/>
            <w:noWrap/>
            <w:vAlign w:val="bottom"/>
            <w:hideMark/>
          </w:tcPr>
          <w:p w:rsidR="00306953" w:rsidRPr="00306953" w:rsidRDefault="00306953" w:rsidP="00306953">
            <w:pPr>
              <w:spacing w:after="0" w:line="240" w:lineRule="auto"/>
              <w:jc w:val="center"/>
              <w:rPr>
                <w:rFonts w:cs="Arial"/>
                <w:color w:val="000000"/>
                <w:sz w:val="16"/>
                <w:szCs w:val="16"/>
              </w:rPr>
            </w:pPr>
            <w:r w:rsidRPr="00306953">
              <w:rPr>
                <w:rFonts w:cs="Arial"/>
                <w:color w:val="000000"/>
                <w:sz w:val="16"/>
                <w:szCs w:val="16"/>
              </w:rPr>
              <w:t>1,06</w:t>
            </w:r>
          </w:p>
        </w:tc>
        <w:tc>
          <w:tcPr>
            <w:tcW w:w="960" w:type="dxa"/>
            <w:tcBorders>
              <w:top w:val="double" w:sz="4" w:space="0" w:color="auto"/>
              <w:bottom w:val="single" w:sz="4" w:space="0" w:color="auto"/>
            </w:tcBorders>
            <w:shd w:val="clear" w:color="auto" w:fill="auto"/>
            <w:noWrap/>
            <w:vAlign w:val="bottom"/>
            <w:hideMark/>
          </w:tcPr>
          <w:p w:rsidR="00306953" w:rsidRPr="00306953" w:rsidRDefault="00306953" w:rsidP="00306953">
            <w:pPr>
              <w:spacing w:after="0" w:line="240" w:lineRule="auto"/>
              <w:jc w:val="center"/>
              <w:rPr>
                <w:rFonts w:cs="Arial"/>
                <w:sz w:val="16"/>
                <w:szCs w:val="16"/>
              </w:rPr>
            </w:pPr>
            <w:r w:rsidRPr="00306953">
              <w:rPr>
                <w:rFonts w:cs="Arial"/>
                <w:sz w:val="16"/>
                <w:szCs w:val="16"/>
              </w:rPr>
              <w:t>0,01</w:t>
            </w:r>
          </w:p>
        </w:tc>
        <w:tc>
          <w:tcPr>
            <w:tcW w:w="960" w:type="dxa"/>
            <w:tcBorders>
              <w:top w:val="double" w:sz="4" w:space="0" w:color="auto"/>
              <w:bottom w:val="single" w:sz="4" w:space="0" w:color="auto"/>
            </w:tcBorders>
            <w:shd w:val="clear" w:color="auto" w:fill="auto"/>
            <w:noWrap/>
            <w:vAlign w:val="bottom"/>
            <w:hideMark/>
          </w:tcPr>
          <w:p w:rsidR="00306953" w:rsidRPr="00306953" w:rsidRDefault="00306953" w:rsidP="00306953">
            <w:pPr>
              <w:spacing w:after="0" w:line="240" w:lineRule="auto"/>
              <w:jc w:val="center"/>
              <w:rPr>
                <w:rFonts w:cs="Arial"/>
                <w:sz w:val="16"/>
                <w:szCs w:val="16"/>
              </w:rPr>
            </w:pPr>
            <w:r w:rsidRPr="00306953">
              <w:rPr>
                <w:rFonts w:cs="Arial"/>
                <w:sz w:val="16"/>
                <w:szCs w:val="16"/>
              </w:rPr>
              <w:t>2,76</w:t>
            </w:r>
          </w:p>
        </w:tc>
        <w:tc>
          <w:tcPr>
            <w:tcW w:w="960" w:type="dxa"/>
            <w:tcBorders>
              <w:top w:val="double" w:sz="4" w:space="0" w:color="auto"/>
              <w:bottom w:val="single" w:sz="4" w:space="0" w:color="auto"/>
            </w:tcBorders>
            <w:shd w:val="clear" w:color="auto" w:fill="auto"/>
            <w:noWrap/>
            <w:vAlign w:val="bottom"/>
            <w:hideMark/>
          </w:tcPr>
          <w:p w:rsidR="00306953" w:rsidRPr="00306953" w:rsidRDefault="00306953" w:rsidP="00306953">
            <w:pPr>
              <w:spacing w:after="0" w:line="240" w:lineRule="auto"/>
              <w:jc w:val="center"/>
              <w:rPr>
                <w:rFonts w:cs="Arial"/>
                <w:sz w:val="16"/>
                <w:szCs w:val="16"/>
              </w:rPr>
            </w:pPr>
            <w:r w:rsidRPr="00306953">
              <w:rPr>
                <w:rFonts w:cs="Arial"/>
                <w:sz w:val="16"/>
                <w:szCs w:val="16"/>
              </w:rPr>
              <w:t>0,01</w:t>
            </w:r>
          </w:p>
        </w:tc>
        <w:tc>
          <w:tcPr>
            <w:tcW w:w="960" w:type="dxa"/>
            <w:tcBorders>
              <w:top w:val="double" w:sz="4" w:space="0" w:color="auto"/>
              <w:bottom w:val="single" w:sz="4" w:space="0" w:color="auto"/>
            </w:tcBorders>
            <w:shd w:val="clear" w:color="auto" w:fill="auto"/>
            <w:noWrap/>
            <w:vAlign w:val="bottom"/>
            <w:hideMark/>
          </w:tcPr>
          <w:p w:rsidR="00306953" w:rsidRPr="00306953" w:rsidRDefault="00306953" w:rsidP="00306953">
            <w:pPr>
              <w:spacing w:after="0" w:line="240" w:lineRule="auto"/>
              <w:jc w:val="center"/>
              <w:rPr>
                <w:rFonts w:cs="Arial"/>
                <w:color w:val="000000"/>
                <w:sz w:val="16"/>
                <w:szCs w:val="16"/>
              </w:rPr>
            </w:pPr>
            <w:r w:rsidRPr="00306953">
              <w:rPr>
                <w:rFonts w:cs="Arial"/>
                <w:color w:val="000000"/>
                <w:sz w:val="16"/>
                <w:szCs w:val="16"/>
              </w:rPr>
              <w:t>1,44</w:t>
            </w:r>
          </w:p>
        </w:tc>
        <w:tc>
          <w:tcPr>
            <w:tcW w:w="960" w:type="dxa"/>
            <w:tcBorders>
              <w:top w:val="double" w:sz="4" w:space="0" w:color="auto"/>
              <w:bottom w:val="single" w:sz="4" w:space="0" w:color="auto"/>
            </w:tcBorders>
            <w:shd w:val="clear" w:color="auto" w:fill="auto"/>
            <w:noWrap/>
            <w:vAlign w:val="bottom"/>
            <w:hideMark/>
          </w:tcPr>
          <w:p w:rsidR="00306953" w:rsidRPr="00306953" w:rsidRDefault="00306953" w:rsidP="00306953">
            <w:pPr>
              <w:spacing w:after="0" w:line="240" w:lineRule="auto"/>
              <w:jc w:val="center"/>
              <w:rPr>
                <w:rFonts w:cs="Arial"/>
                <w:color w:val="000000"/>
                <w:sz w:val="16"/>
                <w:szCs w:val="16"/>
              </w:rPr>
            </w:pPr>
            <w:r w:rsidRPr="00306953">
              <w:rPr>
                <w:rFonts w:cs="Arial"/>
                <w:color w:val="000000"/>
                <w:sz w:val="16"/>
                <w:szCs w:val="16"/>
              </w:rPr>
              <w:t>1,44</w:t>
            </w:r>
          </w:p>
        </w:tc>
        <w:tc>
          <w:tcPr>
            <w:tcW w:w="960" w:type="dxa"/>
            <w:tcBorders>
              <w:top w:val="double" w:sz="4" w:space="0" w:color="auto"/>
              <w:bottom w:val="single" w:sz="4" w:space="0" w:color="auto"/>
            </w:tcBorders>
            <w:shd w:val="clear" w:color="auto" w:fill="auto"/>
            <w:noWrap/>
            <w:vAlign w:val="bottom"/>
            <w:hideMark/>
          </w:tcPr>
          <w:p w:rsidR="00306953" w:rsidRPr="00306953" w:rsidRDefault="00306953" w:rsidP="00306953">
            <w:pPr>
              <w:spacing w:after="0" w:line="240" w:lineRule="auto"/>
              <w:jc w:val="center"/>
              <w:rPr>
                <w:rFonts w:cs="Arial"/>
                <w:color w:val="000000"/>
                <w:sz w:val="16"/>
                <w:szCs w:val="16"/>
              </w:rPr>
            </w:pPr>
            <w:r w:rsidRPr="00306953">
              <w:rPr>
                <w:rFonts w:cs="Arial"/>
                <w:color w:val="000000"/>
                <w:sz w:val="16"/>
                <w:szCs w:val="16"/>
              </w:rPr>
              <w:t>4,38</w:t>
            </w:r>
          </w:p>
        </w:tc>
      </w:tr>
      <w:tr w:rsidR="00306953" w:rsidRPr="00306953" w:rsidTr="00C21D0B">
        <w:trPr>
          <w:trHeight w:val="255"/>
        </w:trPr>
        <w:tc>
          <w:tcPr>
            <w:tcW w:w="1300" w:type="dxa"/>
            <w:tcBorders>
              <w:top w:val="single" w:sz="4" w:space="0" w:color="auto"/>
            </w:tcBorders>
            <w:shd w:val="clear" w:color="000000" w:fill="FFFFFF"/>
            <w:noWrap/>
            <w:vAlign w:val="center"/>
            <w:hideMark/>
          </w:tcPr>
          <w:p w:rsidR="00306953" w:rsidRPr="00306953" w:rsidRDefault="00306953" w:rsidP="00306953">
            <w:pPr>
              <w:spacing w:after="0" w:line="240" w:lineRule="auto"/>
              <w:rPr>
                <w:rFonts w:cs="Arial"/>
                <w:color w:val="000000"/>
                <w:sz w:val="16"/>
                <w:szCs w:val="16"/>
              </w:rPr>
            </w:pPr>
            <w:r w:rsidRPr="00306953">
              <w:rPr>
                <w:rFonts w:cs="Arial"/>
                <w:color w:val="000000"/>
                <w:sz w:val="16"/>
                <w:szCs w:val="16"/>
              </w:rPr>
              <w:t>Slovensko</w:t>
            </w:r>
          </w:p>
        </w:tc>
        <w:tc>
          <w:tcPr>
            <w:tcW w:w="960" w:type="dxa"/>
            <w:tcBorders>
              <w:top w:val="single" w:sz="4" w:space="0" w:color="auto"/>
            </w:tcBorders>
            <w:shd w:val="clear" w:color="auto" w:fill="auto"/>
            <w:noWrap/>
            <w:vAlign w:val="bottom"/>
            <w:hideMark/>
          </w:tcPr>
          <w:p w:rsidR="00306953" w:rsidRPr="00306953" w:rsidRDefault="00306953" w:rsidP="00306953">
            <w:pPr>
              <w:spacing w:after="0" w:line="240" w:lineRule="auto"/>
              <w:jc w:val="center"/>
              <w:rPr>
                <w:rFonts w:cs="Arial"/>
                <w:color w:val="000000"/>
                <w:sz w:val="16"/>
                <w:szCs w:val="16"/>
              </w:rPr>
            </w:pPr>
            <w:r w:rsidRPr="00306953">
              <w:rPr>
                <w:rFonts w:cs="Arial"/>
                <w:color w:val="000000"/>
                <w:sz w:val="16"/>
                <w:szCs w:val="16"/>
              </w:rPr>
              <w:t>1,76</w:t>
            </w:r>
          </w:p>
        </w:tc>
        <w:tc>
          <w:tcPr>
            <w:tcW w:w="960" w:type="dxa"/>
            <w:tcBorders>
              <w:top w:val="single" w:sz="4" w:space="0" w:color="auto"/>
            </w:tcBorders>
            <w:shd w:val="clear" w:color="auto" w:fill="auto"/>
            <w:noWrap/>
            <w:vAlign w:val="bottom"/>
            <w:hideMark/>
          </w:tcPr>
          <w:p w:rsidR="00306953" w:rsidRPr="00306953" w:rsidRDefault="00306953" w:rsidP="00306953">
            <w:pPr>
              <w:spacing w:after="0" w:line="240" w:lineRule="auto"/>
              <w:jc w:val="center"/>
              <w:rPr>
                <w:rFonts w:cs="Arial"/>
                <w:color w:val="000000"/>
                <w:sz w:val="16"/>
                <w:szCs w:val="16"/>
              </w:rPr>
            </w:pPr>
            <w:r w:rsidRPr="00306953">
              <w:rPr>
                <w:rFonts w:cs="Arial"/>
                <w:color w:val="000000"/>
                <w:sz w:val="16"/>
                <w:szCs w:val="16"/>
              </w:rPr>
              <w:t>0,92</w:t>
            </w:r>
          </w:p>
        </w:tc>
        <w:tc>
          <w:tcPr>
            <w:tcW w:w="960" w:type="dxa"/>
            <w:tcBorders>
              <w:top w:val="single" w:sz="4" w:space="0" w:color="auto"/>
            </w:tcBorders>
            <w:shd w:val="clear" w:color="auto" w:fill="auto"/>
            <w:noWrap/>
            <w:vAlign w:val="bottom"/>
            <w:hideMark/>
          </w:tcPr>
          <w:p w:rsidR="00306953" w:rsidRPr="00306953" w:rsidRDefault="00306953" w:rsidP="00306953">
            <w:pPr>
              <w:spacing w:after="0" w:line="240" w:lineRule="auto"/>
              <w:jc w:val="center"/>
              <w:rPr>
                <w:rFonts w:cs="Arial"/>
                <w:sz w:val="16"/>
                <w:szCs w:val="16"/>
              </w:rPr>
            </w:pPr>
            <w:r w:rsidRPr="00306953">
              <w:rPr>
                <w:rFonts w:cs="Arial"/>
                <w:sz w:val="16"/>
                <w:szCs w:val="16"/>
              </w:rPr>
              <w:t>x(2)</w:t>
            </w:r>
          </w:p>
        </w:tc>
        <w:tc>
          <w:tcPr>
            <w:tcW w:w="960" w:type="dxa"/>
            <w:tcBorders>
              <w:top w:val="single" w:sz="4" w:space="0" w:color="auto"/>
            </w:tcBorders>
            <w:shd w:val="clear" w:color="auto" w:fill="auto"/>
            <w:noWrap/>
            <w:vAlign w:val="bottom"/>
            <w:hideMark/>
          </w:tcPr>
          <w:p w:rsidR="00306953" w:rsidRPr="00306953" w:rsidRDefault="00306953" w:rsidP="00306953">
            <w:pPr>
              <w:spacing w:after="0" w:line="240" w:lineRule="auto"/>
              <w:jc w:val="center"/>
              <w:rPr>
                <w:rFonts w:cs="Arial"/>
                <w:sz w:val="16"/>
                <w:szCs w:val="16"/>
              </w:rPr>
            </w:pPr>
            <w:r w:rsidRPr="00306953">
              <w:rPr>
                <w:rFonts w:cs="Arial"/>
                <w:sz w:val="16"/>
                <w:szCs w:val="16"/>
              </w:rPr>
              <w:t>2,68</w:t>
            </w:r>
          </w:p>
        </w:tc>
        <w:tc>
          <w:tcPr>
            <w:tcW w:w="960" w:type="dxa"/>
            <w:tcBorders>
              <w:top w:val="single" w:sz="4" w:space="0" w:color="auto"/>
            </w:tcBorders>
            <w:shd w:val="clear" w:color="auto" w:fill="auto"/>
            <w:noWrap/>
            <w:vAlign w:val="bottom"/>
            <w:hideMark/>
          </w:tcPr>
          <w:p w:rsidR="00306953" w:rsidRPr="00306953" w:rsidRDefault="00306953" w:rsidP="00306953">
            <w:pPr>
              <w:spacing w:after="0" w:line="240" w:lineRule="auto"/>
              <w:jc w:val="center"/>
              <w:rPr>
                <w:rFonts w:cs="Arial"/>
                <w:sz w:val="16"/>
                <w:szCs w:val="16"/>
              </w:rPr>
            </w:pPr>
            <w:r w:rsidRPr="00306953">
              <w:rPr>
                <w:rFonts w:cs="Arial"/>
                <w:sz w:val="16"/>
                <w:szCs w:val="16"/>
              </w:rPr>
              <w:t>x(2)</w:t>
            </w:r>
          </w:p>
        </w:tc>
        <w:tc>
          <w:tcPr>
            <w:tcW w:w="960" w:type="dxa"/>
            <w:tcBorders>
              <w:top w:val="single" w:sz="4" w:space="0" w:color="auto"/>
            </w:tcBorders>
            <w:shd w:val="clear" w:color="auto" w:fill="auto"/>
            <w:noWrap/>
            <w:vAlign w:val="bottom"/>
            <w:hideMark/>
          </w:tcPr>
          <w:p w:rsidR="00306953" w:rsidRPr="00306953" w:rsidRDefault="00306953" w:rsidP="00306953">
            <w:pPr>
              <w:spacing w:after="0" w:line="240" w:lineRule="auto"/>
              <w:jc w:val="center"/>
              <w:rPr>
                <w:rFonts w:cs="Arial"/>
                <w:color w:val="000000"/>
                <w:sz w:val="16"/>
                <w:szCs w:val="16"/>
              </w:rPr>
            </w:pPr>
            <w:r w:rsidRPr="00306953">
              <w:rPr>
                <w:rFonts w:cs="Arial"/>
                <w:color w:val="000000"/>
                <w:sz w:val="16"/>
                <w:szCs w:val="16"/>
              </w:rPr>
              <w:t>1,04</w:t>
            </w:r>
          </w:p>
        </w:tc>
        <w:tc>
          <w:tcPr>
            <w:tcW w:w="960" w:type="dxa"/>
            <w:tcBorders>
              <w:top w:val="single" w:sz="4" w:space="0" w:color="auto"/>
            </w:tcBorders>
            <w:shd w:val="clear" w:color="auto" w:fill="auto"/>
            <w:noWrap/>
            <w:vAlign w:val="bottom"/>
            <w:hideMark/>
          </w:tcPr>
          <w:p w:rsidR="00306953" w:rsidRPr="00306953" w:rsidRDefault="00306953" w:rsidP="00306953">
            <w:pPr>
              <w:spacing w:after="0" w:line="240" w:lineRule="auto"/>
              <w:jc w:val="center"/>
              <w:rPr>
                <w:rFonts w:cs="Arial"/>
                <w:color w:val="000000"/>
                <w:sz w:val="16"/>
                <w:szCs w:val="16"/>
              </w:rPr>
            </w:pPr>
            <w:r w:rsidRPr="00306953">
              <w:rPr>
                <w:rFonts w:cs="Arial"/>
                <w:color w:val="000000"/>
                <w:sz w:val="16"/>
                <w:szCs w:val="16"/>
              </w:rPr>
              <w:t>1,04</w:t>
            </w:r>
          </w:p>
        </w:tc>
        <w:tc>
          <w:tcPr>
            <w:tcW w:w="960" w:type="dxa"/>
            <w:tcBorders>
              <w:top w:val="single" w:sz="4" w:space="0" w:color="auto"/>
            </w:tcBorders>
            <w:shd w:val="clear" w:color="auto" w:fill="auto"/>
            <w:noWrap/>
            <w:vAlign w:val="bottom"/>
            <w:hideMark/>
          </w:tcPr>
          <w:p w:rsidR="00306953" w:rsidRPr="00306953" w:rsidRDefault="00306953" w:rsidP="00306953">
            <w:pPr>
              <w:spacing w:after="0" w:line="240" w:lineRule="auto"/>
              <w:jc w:val="center"/>
              <w:rPr>
                <w:rFonts w:cs="Arial"/>
                <w:color w:val="000000"/>
                <w:sz w:val="16"/>
                <w:szCs w:val="16"/>
              </w:rPr>
            </w:pPr>
            <w:r w:rsidRPr="00306953">
              <w:rPr>
                <w:rFonts w:cs="Arial"/>
                <w:color w:val="000000"/>
                <w:sz w:val="16"/>
                <w:szCs w:val="16"/>
              </w:rPr>
              <w:t>3,81</w:t>
            </w:r>
          </w:p>
        </w:tc>
      </w:tr>
      <w:tr w:rsidR="00306953" w:rsidRPr="00306953" w:rsidTr="00C21D0B">
        <w:trPr>
          <w:trHeight w:val="255"/>
        </w:trPr>
        <w:tc>
          <w:tcPr>
            <w:tcW w:w="1300" w:type="dxa"/>
            <w:shd w:val="clear" w:color="000000" w:fill="FFFFFF"/>
            <w:noWrap/>
            <w:vAlign w:val="center"/>
            <w:hideMark/>
          </w:tcPr>
          <w:p w:rsidR="00306953" w:rsidRPr="00306953" w:rsidRDefault="00306953" w:rsidP="00306953">
            <w:pPr>
              <w:spacing w:after="0" w:line="240" w:lineRule="auto"/>
              <w:rPr>
                <w:rFonts w:cs="Arial"/>
                <w:color w:val="000000"/>
                <w:sz w:val="16"/>
                <w:szCs w:val="16"/>
              </w:rPr>
            </w:pPr>
            <w:r w:rsidRPr="00306953">
              <w:rPr>
                <w:rFonts w:cs="Arial"/>
                <w:color w:val="000000"/>
                <w:sz w:val="16"/>
                <w:szCs w:val="16"/>
              </w:rPr>
              <w:t>Polsko</w:t>
            </w:r>
          </w:p>
        </w:tc>
        <w:tc>
          <w:tcPr>
            <w:tcW w:w="960" w:type="dxa"/>
            <w:shd w:val="clear" w:color="auto" w:fill="auto"/>
            <w:noWrap/>
            <w:vAlign w:val="bottom"/>
            <w:hideMark/>
          </w:tcPr>
          <w:p w:rsidR="00306953" w:rsidRPr="00306953" w:rsidRDefault="00306953" w:rsidP="00306953">
            <w:pPr>
              <w:spacing w:after="0" w:line="240" w:lineRule="auto"/>
              <w:jc w:val="center"/>
              <w:rPr>
                <w:rFonts w:cs="Arial"/>
                <w:color w:val="000000"/>
                <w:sz w:val="16"/>
                <w:szCs w:val="16"/>
              </w:rPr>
            </w:pPr>
            <w:r w:rsidRPr="00306953">
              <w:rPr>
                <w:rFonts w:cs="Arial"/>
                <w:color w:val="000000"/>
                <w:sz w:val="16"/>
                <w:szCs w:val="16"/>
              </w:rPr>
              <w:t>2,41</w:t>
            </w:r>
          </w:p>
        </w:tc>
        <w:tc>
          <w:tcPr>
            <w:tcW w:w="960" w:type="dxa"/>
            <w:shd w:val="clear" w:color="auto" w:fill="auto"/>
            <w:noWrap/>
            <w:vAlign w:val="bottom"/>
            <w:hideMark/>
          </w:tcPr>
          <w:p w:rsidR="00306953" w:rsidRPr="00306953" w:rsidRDefault="00306953" w:rsidP="00306953">
            <w:pPr>
              <w:spacing w:after="0" w:line="240" w:lineRule="auto"/>
              <w:jc w:val="center"/>
              <w:rPr>
                <w:rFonts w:cs="Arial"/>
                <w:color w:val="000000"/>
                <w:sz w:val="16"/>
                <w:szCs w:val="16"/>
              </w:rPr>
            </w:pPr>
            <w:r w:rsidRPr="00306953">
              <w:rPr>
                <w:rFonts w:cs="Arial"/>
                <w:color w:val="000000"/>
                <w:sz w:val="16"/>
                <w:szCs w:val="16"/>
              </w:rPr>
              <w:t>0,95</w:t>
            </w:r>
          </w:p>
        </w:tc>
        <w:tc>
          <w:tcPr>
            <w:tcW w:w="960" w:type="dxa"/>
            <w:shd w:val="clear" w:color="auto" w:fill="auto"/>
            <w:noWrap/>
            <w:vAlign w:val="bottom"/>
            <w:hideMark/>
          </w:tcPr>
          <w:p w:rsidR="00306953" w:rsidRPr="00306953" w:rsidRDefault="00306953" w:rsidP="00306953">
            <w:pPr>
              <w:spacing w:after="0" w:line="240" w:lineRule="auto"/>
              <w:jc w:val="center"/>
              <w:rPr>
                <w:rFonts w:cs="Arial"/>
                <w:sz w:val="16"/>
                <w:szCs w:val="16"/>
              </w:rPr>
            </w:pPr>
            <w:r w:rsidRPr="00306953">
              <w:rPr>
                <w:rFonts w:cs="Arial"/>
                <w:sz w:val="16"/>
                <w:szCs w:val="16"/>
              </w:rPr>
              <w:t>0,10</w:t>
            </w:r>
          </w:p>
        </w:tc>
        <w:tc>
          <w:tcPr>
            <w:tcW w:w="960" w:type="dxa"/>
            <w:shd w:val="clear" w:color="auto" w:fill="auto"/>
            <w:noWrap/>
            <w:vAlign w:val="bottom"/>
            <w:hideMark/>
          </w:tcPr>
          <w:p w:rsidR="00306953" w:rsidRPr="00306953" w:rsidRDefault="00306953" w:rsidP="00306953">
            <w:pPr>
              <w:spacing w:after="0" w:line="240" w:lineRule="auto"/>
              <w:jc w:val="center"/>
              <w:rPr>
                <w:rFonts w:cs="Arial"/>
                <w:sz w:val="16"/>
                <w:szCs w:val="16"/>
              </w:rPr>
            </w:pPr>
            <w:r w:rsidRPr="00306953">
              <w:rPr>
                <w:rFonts w:cs="Arial"/>
                <w:sz w:val="16"/>
                <w:szCs w:val="16"/>
              </w:rPr>
              <w:t>3,45</w:t>
            </w:r>
          </w:p>
        </w:tc>
        <w:tc>
          <w:tcPr>
            <w:tcW w:w="960" w:type="dxa"/>
            <w:shd w:val="clear" w:color="auto" w:fill="auto"/>
            <w:noWrap/>
            <w:vAlign w:val="bottom"/>
            <w:hideMark/>
          </w:tcPr>
          <w:p w:rsidR="00306953" w:rsidRPr="00306953" w:rsidRDefault="00306953" w:rsidP="00306953">
            <w:pPr>
              <w:spacing w:after="0" w:line="240" w:lineRule="auto"/>
              <w:jc w:val="center"/>
              <w:rPr>
                <w:rFonts w:cs="Arial"/>
                <w:sz w:val="16"/>
                <w:szCs w:val="16"/>
              </w:rPr>
            </w:pPr>
            <w:r w:rsidRPr="00306953">
              <w:rPr>
                <w:rFonts w:cs="Arial"/>
                <w:sz w:val="16"/>
                <w:szCs w:val="16"/>
              </w:rPr>
              <w:t>0,01</w:t>
            </w:r>
          </w:p>
        </w:tc>
        <w:tc>
          <w:tcPr>
            <w:tcW w:w="960" w:type="dxa"/>
            <w:shd w:val="clear" w:color="auto" w:fill="auto"/>
            <w:noWrap/>
            <w:vAlign w:val="bottom"/>
            <w:hideMark/>
          </w:tcPr>
          <w:p w:rsidR="00306953" w:rsidRPr="00306953" w:rsidRDefault="00306953" w:rsidP="00306953">
            <w:pPr>
              <w:spacing w:after="0" w:line="240" w:lineRule="auto"/>
              <w:jc w:val="center"/>
              <w:rPr>
                <w:rFonts w:cs="Arial"/>
                <w:color w:val="000000"/>
                <w:sz w:val="16"/>
                <w:szCs w:val="16"/>
              </w:rPr>
            </w:pPr>
            <w:r w:rsidRPr="00306953">
              <w:rPr>
                <w:rFonts w:cs="Arial"/>
                <w:color w:val="000000"/>
                <w:sz w:val="16"/>
                <w:szCs w:val="16"/>
              </w:rPr>
              <w:t>1,32</w:t>
            </w:r>
          </w:p>
        </w:tc>
        <w:tc>
          <w:tcPr>
            <w:tcW w:w="960" w:type="dxa"/>
            <w:shd w:val="clear" w:color="auto" w:fill="auto"/>
            <w:noWrap/>
            <w:vAlign w:val="bottom"/>
            <w:hideMark/>
          </w:tcPr>
          <w:p w:rsidR="00306953" w:rsidRPr="00306953" w:rsidRDefault="00306953" w:rsidP="00306953">
            <w:pPr>
              <w:spacing w:after="0" w:line="240" w:lineRule="auto"/>
              <w:jc w:val="center"/>
              <w:rPr>
                <w:rFonts w:cs="Arial"/>
                <w:color w:val="000000"/>
                <w:sz w:val="16"/>
                <w:szCs w:val="16"/>
              </w:rPr>
            </w:pPr>
            <w:r w:rsidRPr="00306953">
              <w:rPr>
                <w:rFonts w:cs="Arial"/>
                <w:color w:val="000000"/>
                <w:sz w:val="16"/>
                <w:szCs w:val="16"/>
              </w:rPr>
              <w:t>1,33</w:t>
            </w:r>
          </w:p>
        </w:tc>
        <w:tc>
          <w:tcPr>
            <w:tcW w:w="960" w:type="dxa"/>
            <w:shd w:val="clear" w:color="auto" w:fill="auto"/>
            <w:noWrap/>
            <w:vAlign w:val="bottom"/>
            <w:hideMark/>
          </w:tcPr>
          <w:p w:rsidR="00306953" w:rsidRPr="00306953" w:rsidRDefault="00306953" w:rsidP="00306953">
            <w:pPr>
              <w:spacing w:after="0" w:line="240" w:lineRule="auto"/>
              <w:jc w:val="center"/>
              <w:rPr>
                <w:rFonts w:cs="Arial"/>
                <w:color w:val="000000"/>
                <w:sz w:val="16"/>
                <w:szCs w:val="16"/>
              </w:rPr>
            </w:pPr>
            <w:r w:rsidRPr="00306953">
              <w:rPr>
                <w:rFonts w:cs="Arial"/>
                <w:color w:val="000000"/>
                <w:sz w:val="16"/>
                <w:szCs w:val="16"/>
              </w:rPr>
              <w:t>4,78</w:t>
            </w:r>
          </w:p>
        </w:tc>
      </w:tr>
      <w:tr w:rsidR="00306953" w:rsidRPr="00306953" w:rsidTr="00C21D0B">
        <w:trPr>
          <w:trHeight w:val="255"/>
        </w:trPr>
        <w:tc>
          <w:tcPr>
            <w:tcW w:w="1300" w:type="dxa"/>
            <w:shd w:val="clear" w:color="000000" w:fill="FFFFFF"/>
            <w:noWrap/>
            <w:vAlign w:val="center"/>
            <w:hideMark/>
          </w:tcPr>
          <w:p w:rsidR="00306953" w:rsidRPr="00306953" w:rsidRDefault="00306953" w:rsidP="00306953">
            <w:pPr>
              <w:spacing w:after="0" w:line="240" w:lineRule="auto"/>
              <w:rPr>
                <w:rFonts w:cs="Arial"/>
                <w:color w:val="000000"/>
                <w:sz w:val="16"/>
                <w:szCs w:val="16"/>
              </w:rPr>
            </w:pPr>
            <w:r w:rsidRPr="00306953">
              <w:rPr>
                <w:rFonts w:cs="Arial"/>
                <w:color w:val="000000"/>
                <w:sz w:val="16"/>
                <w:szCs w:val="16"/>
              </w:rPr>
              <w:t>Finsko</w:t>
            </w:r>
          </w:p>
        </w:tc>
        <w:tc>
          <w:tcPr>
            <w:tcW w:w="960" w:type="dxa"/>
            <w:shd w:val="clear" w:color="auto" w:fill="auto"/>
            <w:noWrap/>
            <w:vAlign w:val="bottom"/>
            <w:hideMark/>
          </w:tcPr>
          <w:p w:rsidR="00306953" w:rsidRPr="00306953" w:rsidRDefault="00306953" w:rsidP="00306953">
            <w:pPr>
              <w:spacing w:after="0" w:line="240" w:lineRule="auto"/>
              <w:jc w:val="center"/>
              <w:rPr>
                <w:rFonts w:cs="Arial"/>
                <w:color w:val="000000"/>
                <w:sz w:val="16"/>
                <w:szCs w:val="16"/>
              </w:rPr>
            </w:pPr>
            <w:r w:rsidRPr="00306953">
              <w:rPr>
                <w:rFonts w:cs="Arial"/>
                <w:color w:val="000000"/>
                <w:sz w:val="16"/>
                <w:szCs w:val="16"/>
              </w:rPr>
              <w:t>2,41</w:t>
            </w:r>
          </w:p>
        </w:tc>
        <w:tc>
          <w:tcPr>
            <w:tcW w:w="960" w:type="dxa"/>
            <w:shd w:val="clear" w:color="auto" w:fill="auto"/>
            <w:noWrap/>
            <w:vAlign w:val="bottom"/>
            <w:hideMark/>
          </w:tcPr>
          <w:p w:rsidR="00306953" w:rsidRPr="00306953" w:rsidRDefault="00306953" w:rsidP="00306953">
            <w:pPr>
              <w:spacing w:after="0" w:line="240" w:lineRule="auto"/>
              <w:jc w:val="center"/>
              <w:rPr>
                <w:rFonts w:cs="Arial"/>
                <w:color w:val="000000"/>
                <w:sz w:val="16"/>
                <w:szCs w:val="16"/>
              </w:rPr>
            </w:pPr>
            <w:r w:rsidRPr="00306953">
              <w:rPr>
                <w:rFonts w:cs="Arial"/>
                <w:color w:val="000000"/>
                <w:sz w:val="16"/>
                <w:szCs w:val="16"/>
              </w:rPr>
              <w:t>1,53</w:t>
            </w:r>
          </w:p>
        </w:tc>
        <w:tc>
          <w:tcPr>
            <w:tcW w:w="960" w:type="dxa"/>
            <w:shd w:val="clear" w:color="auto" w:fill="auto"/>
            <w:noWrap/>
            <w:vAlign w:val="bottom"/>
            <w:hideMark/>
          </w:tcPr>
          <w:p w:rsidR="00306953" w:rsidRPr="00306953" w:rsidRDefault="00306953" w:rsidP="00306953">
            <w:pPr>
              <w:spacing w:after="0" w:line="240" w:lineRule="auto"/>
              <w:jc w:val="center"/>
              <w:rPr>
                <w:rFonts w:cs="Arial"/>
                <w:sz w:val="16"/>
                <w:szCs w:val="16"/>
              </w:rPr>
            </w:pPr>
            <w:r w:rsidRPr="00306953">
              <w:rPr>
                <w:rFonts w:cs="Arial"/>
                <w:sz w:val="16"/>
                <w:szCs w:val="16"/>
              </w:rPr>
              <w:t>x(2)</w:t>
            </w:r>
          </w:p>
        </w:tc>
        <w:tc>
          <w:tcPr>
            <w:tcW w:w="960" w:type="dxa"/>
            <w:shd w:val="clear" w:color="auto" w:fill="auto"/>
            <w:noWrap/>
            <w:vAlign w:val="bottom"/>
            <w:hideMark/>
          </w:tcPr>
          <w:p w:rsidR="00306953" w:rsidRPr="00306953" w:rsidRDefault="00306953" w:rsidP="00306953">
            <w:pPr>
              <w:spacing w:after="0" w:line="240" w:lineRule="auto"/>
              <w:jc w:val="center"/>
              <w:rPr>
                <w:rFonts w:cs="Arial"/>
                <w:sz w:val="16"/>
                <w:szCs w:val="16"/>
              </w:rPr>
            </w:pPr>
            <w:r w:rsidRPr="00306953">
              <w:rPr>
                <w:rFonts w:cs="Arial"/>
                <w:sz w:val="16"/>
                <w:szCs w:val="16"/>
              </w:rPr>
              <w:t>3,94</w:t>
            </w:r>
          </w:p>
        </w:tc>
        <w:tc>
          <w:tcPr>
            <w:tcW w:w="960" w:type="dxa"/>
            <w:shd w:val="clear" w:color="auto" w:fill="auto"/>
            <w:noWrap/>
            <w:vAlign w:val="bottom"/>
            <w:hideMark/>
          </w:tcPr>
          <w:p w:rsidR="00306953" w:rsidRPr="00306953" w:rsidRDefault="00306953" w:rsidP="00306953">
            <w:pPr>
              <w:spacing w:after="0" w:line="240" w:lineRule="auto"/>
              <w:jc w:val="center"/>
              <w:rPr>
                <w:rFonts w:cs="Arial"/>
                <w:sz w:val="16"/>
                <w:szCs w:val="16"/>
              </w:rPr>
            </w:pPr>
            <w:r w:rsidRPr="00306953">
              <w:rPr>
                <w:rFonts w:cs="Arial"/>
                <w:sz w:val="16"/>
                <w:szCs w:val="16"/>
              </w:rPr>
              <w:t>0,00</w:t>
            </w:r>
          </w:p>
        </w:tc>
        <w:tc>
          <w:tcPr>
            <w:tcW w:w="960" w:type="dxa"/>
            <w:shd w:val="clear" w:color="auto" w:fill="auto"/>
            <w:noWrap/>
            <w:vAlign w:val="bottom"/>
            <w:hideMark/>
          </w:tcPr>
          <w:p w:rsidR="00306953" w:rsidRPr="00306953" w:rsidRDefault="00306953" w:rsidP="00306953">
            <w:pPr>
              <w:spacing w:after="0" w:line="240" w:lineRule="auto"/>
              <w:jc w:val="center"/>
              <w:rPr>
                <w:rFonts w:cs="Arial"/>
                <w:color w:val="000000"/>
                <w:sz w:val="16"/>
                <w:szCs w:val="16"/>
              </w:rPr>
            </w:pPr>
            <w:r w:rsidRPr="00306953">
              <w:rPr>
                <w:rFonts w:cs="Arial"/>
                <w:color w:val="000000"/>
                <w:sz w:val="16"/>
                <w:szCs w:val="16"/>
              </w:rPr>
              <w:t>1,85</w:t>
            </w:r>
          </w:p>
        </w:tc>
        <w:tc>
          <w:tcPr>
            <w:tcW w:w="960" w:type="dxa"/>
            <w:shd w:val="clear" w:color="auto" w:fill="auto"/>
            <w:noWrap/>
            <w:vAlign w:val="bottom"/>
            <w:hideMark/>
          </w:tcPr>
          <w:p w:rsidR="00306953" w:rsidRPr="00306953" w:rsidRDefault="00306953" w:rsidP="00306953">
            <w:pPr>
              <w:spacing w:after="0" w:line="240" w:lineRule="auto"/>
              <w:jc w:val="center"/>
              <w:rPr>
                <w:rFonts w:cs="Arial"/>
                <w:color w:val="000000"/>
                <w:sz w:val="16"/>
                <w:szCs w:val="16"/>
              </w:rPr>
            </w:pPr>
            <w:r w:rsidRPr="00306953">
              <w:rPr>
                <w:rFonts w:cs="Arial"/>
                <w:color w:val="000000"/>
                <w:sz w:val="16"/>
                <w:szCs w:val="16"/>
              </w:rPr>
              <w:t>1,85</w:t>
            </w:r>
          </w:p>
        </w:tc>
        <w:tc>
          <w:tcPr>
            <w:tcW w:w="960" w:type="dxa"/>
            <w:shd w:val="clear" w:color="auto" w:fill="auto"/>
            <w:noWrap/>
            <w:vAlign w:val="bottom"/>
            <w:hideMark/>
          </w:tcPr>
          <w:p w:rsidR="00306953" w:rsidRPr="00306953" w:rsidRDefault="00306953" w:rsidP="00306953">
            <w:pPr>
              <w:spacing w:after="0" w:line="240" w:lineRule="auto"/>
              <w:jc w:val="center"/>
              <w:rPr>
                <w:rFonts w:cs="Arial"/>
                <w:color w:val="000000"/>
                <w:sz w:val="16"/>
                <w:szCs w:val="16"/>
              </w:rPr>
            </w:pPr>
            <w:r w:rsidRPr="00306953">
              <w:rPr>
                <w:rFonts w:cs="Arial"/>
                <w:color w:val="000000"/>
                <w:sz w:val="16"/>
                <w:szCs w:val="16"/>
              </w:rPr>
              <w:t>5,79</w:t>
            </w:r>
          </w:p>
        </w:tc>
      </w:tr>
      <w:tr w:rsidR="00306953" w:rsidRPr="00306953" w:rsidTr="00C21D0B">
        <w:trPr>
          <w:trHeight w:val="255"/>
        </w:trPr>
        <w:tc>
          <w:tcPr>
            <w:tcW w:w="1300" w:type="dxa"/>
            <w:shd w:val="clear" w:color="auto" w:fill="C6D9F1" w:themeFill="text2" w:themeFillTint="33"/>
            <w:noWrap/>
            <w:vAlign w:val="center"/>
            <w:hideMark/>
          </w:tcPr>
          <w:p w:rsidR="00306953" w:rsidRPr="00306953" w:rsidRDefault="00F53B2E" w:rsidP="00306953">
            <w:pPr>
              <w:spacing w:after="0" w:line="240" w:lineRule="auto"/>
              <w:rPr>
                <w:rFonts w:cs="Arial"/>
                <w:color w:val="000000"/>
                <w:sz w:val="16"/>
                <w:szCs w:val="16"/>
              </w:rPr>
            </w:pPr>
            <w:r>
              <w:rPr>
                <w:rFonts w:cs="Arial"/>
                <w:color w:val="000000"/>
                <w:sz w:val="16"/>
                <w:szCs w:val="16"/>
              </w:rPr>
              <w:t>p</w:t>
            </w:r>
            <w:r w:rsidR="00306953" w:rsidRPr="00306953">
              <w:rPr>
                <w:rFonts w:cs="Arial"/>
                <w:color w:val="000000"/>
                <w:sz w:val="16"/>
                <w:szCs w:val="16"/>
              </w:rPr>
              <w:t>růměr OECD</w:t>
            </w:r>
          </w:p>
        </w:tc>
        <w:tc>
          <w:tcPr>
            <w:tcW w:w="960" w:type="dxa"/>
            <w:shd w:val="clear" w:color="auto" w:fill="C6D9F1" w:themeFill="text2" w:themeFillTint="33"/>
            <w:noWrap/>
            <w:vAlign w:val="bottom"/>
            <w:hideMark/>
          </w:tcPr>
          <w:p w:rsidR="00306953" w:rsidRPr="00306953" w:rsidRDefault="00306953" w:rsidP="00306953">
            <w:pPr>
              <w:spacing w:after="0" w:line="240" w:lineRule="auto"/>
              <w:jc w:val="center"/>
              <w:rPr>
                <w:rFonts w:cs="Arial"/>
                <w:color w:val="000000"/>
                <w:sz w:val="16"/>
                <w:szCs w:val="16"/>
              </w:rPr>
            </w:pPr>
            <w:r w:rsidRPr="00306953">
              <w:rPr>
                <w:rFonts w:cs="Arial"/>
                <w:color w:val="000000"/>
                <w:sz w:val="16"/>
                <w:szCs w:val="16"/>
              </w:rPr>
              <w:t>2,49</w:t>
            </w:r>
          </w:p>
        </w:tc>
        <w:tc>
          <w:tcPr>
            <w:tcW w:w="960" w:type="dxa"/>
            <w:shd w:val="clear" w:color="auto" w:fill="C6D9F1" w:themeFill="text2" w:themeFillTint="33"/>
            <w:noWrap/>
            <w:vAlign w:val="bottom"/>
            <w:hideMark/>
          </w:tcPr>
          <w:p w:rsidR="00306953" w:rsidRPr="00306953" w:rsidRDefault="00306953" w:rsidP="00306953">
            <w:pPr>
              <w:spacing w:after="0" w:line="240" w:lineRule="auto"/>
              <w:jc w:val="center"/>
              <w:rPr>
                <w:rFonts w:cs="Arial"/>
                <w:color w:val="000000"/>
                <w:sz w:val="16"/>
                <w:szCs w:val="16"/>
              </w:rPr>
            </w:pPr>
            <w:r w:rsidRPr="00306953">
              <w:rPr>
                <w:rFonts w:cs="Arial"/>
                <w:color w:val="000000"/>
                <w:sz w:val="16"/>
                <w:szCs w:val="16"/>
              </w:rPr>
              <w:t>1,16</w:t>
            </w:r>
          </w:p>
        </w:tc>
        <w:tc>
          <w:tcPr>
            <w:tcW w:w="960" w:type="dxa"/>
            <w:shd w:val="clear" w:color="auto" w:fill="C6D9F1" w:themeFill="text2" w:themeFillTint="33"/>
            <w:noWrap/>
            <w:vAlign w:val="bottom"/>
            <w:hideMark/>
          </w:tcPr>
          <w:p w:rsidR="00306953" w:rsidRPr="00306953" w:rsidRDefault="00306953" w:rsidP="00306953">
            <w:pPr>
              <w:spacing w:after="0" w:line="240" w:lineRule="auto"/>
              <w:jc w:val="center"/>
              <w:rPr>
                <w:rFonts w:cs="Arial"/>
                <w:sz w:val="16"/>
                <w:szCs w:val="16"/>
              </w:rPr>
            </w:pPr>
            <w:r w:rsidRPr="00306953">
              <w:rPr>
                <w:rFonts w:cs="Arial"/>
                <w:sz w:val="16"/>
                <w:szCs w:val="16"/>
              </w:rPr>
              <w:t>0,10</w:t>
            </w:r>
          </w:p>
        </w:tc>
        <w:tc>
          <w:tcPr>
            <w:tcW w:w="960" w:type="dxa"/>
            <w:shd w:val="clear" w:color="auto" w:fill="C6D9F1" w:themeFill="text2" w:themeFillTint="33"/>
            <w:noWrap/>
            <w:vAlign w:val="bottom"/>
            <w:hideMark/>
          </w:tcPr>
          <w:p w:rsidR="00306953" w:rsidRPr="00306953" w:rsidRDefault="00306953" w:rsidP="00306953">
            <w:pPr>
              <w:spacing w:after="0" w:line="240" w:lineRule="auto"/>
              <w:jc w:val="center"/>
              <w:rPr>
                <w:rFonts w:cs="Arial"/>
                <w:sz w:val="16"/>
                <w:szCs w:val="16"/>
              </w:rPr>
            </w:pPr>
            <w:r w:rsidRPr="00306953">
              <w:rPr>
                <w:rFonts w:cs="Arial"/>
                <w:sz w:val="16"/>
                <w:szCs w:val="16"/>
              </w:rPr>
              <w:t>3,70</w:t>
            </w:r>
          </w:p>
        </w:tc>
        <w:tc>
          <w:tcPr>
            <w:tcW w:w="960" w:type="dxa"/>
            <w:shd w:val="clear" w:color="auto" w:fill="C6D9F1" w:themeFill="text2" w:themeFillTint="33"/>
            <w:noWrap/>
            <w:vAlign w:val="bottom"/>
            <w:hideMark/>
          </w:tcPr>
          <w:p w:rsidR="00306953" w:rsidRPr="00306953" w:rsidRDefault="00306953" w:rsidP="00306953">
            <w:pPr>
              <w:spacing w:after="0" w:line="240" w:lineRule="auto"/>
              <w:jc w:val="center"/>
              <w:rPr>
                <w:rFonts w:cs="Arial"/>
                <w:sz w:val="16"/>
                <w:szCs w:val="16"/>
              </w:rPr>
            </w:pPr>
            <w:r w:rsidRPr="00306953">
              <w:rPr>
                <w:rFonts w:cs="Arial"/>
                <w:sz w:val="16"/>
                <w:szCs w:val="16"/>
              </w:rPr>
              <w:t>0,16</w:t>
            </w:r>
          </w:p>
        </w:tc>
        <w:tc>
          <w:tcPr>
            <w:tcW w:w="960" w:type="dxa"/>
            <w:shd w:val="clear" w:color="auto" w:fill="C6D9F1" w:themeFill="text2" w:themeFillTint="33"/>
            <w:noWrap/>
            <w:vAlign w:val="bottom"/>
            <w:hideMark/>
          </w:tcPr>
          <w:p w:rsidR="00306953" w:rsidRPr="00306953" w:rsidRDefault="00306953" w:rsidP="00306953">
            <w:pPr>
              <w:spacing w:after="0" w:line="240" w:lineRule="auto"/>
              <w:jc w:val="center"/>
              <w:rPr>
                <w:rFonts w:cs="Arial"/>
                <w:color w:val="000000"/>
                <w:sz w:val="16"/>
                <w:szCs w:val="16"/>
              </w:rPr>
            </w:pPr>
            <w:r w:rsidRPr="00306953">
              <w:rPr>
                <w:rFonts w:cs="Arial"/>
                <w:color w:val="000000"/>
                <w:sz w:val="16"/>
                <w:szCs w:val="16"/>
              </w:rPr>
              <w:t>1,39</w:t>
            </w:r>
          </w:p>
        </w:tc>
        <w:tc>
          <w:tcPr>
            <w:tcW w:w="960" w:type="dxa"/>
            <w:shd w:val="clear" w:color="auto" w:fill="C6D9F1" w:themeFill="text2" w:themeFillTint="33"/>
            <w:noWrap/>
            <w:vAlign w:val="bottom"/>
            <w:hideMark/>
          </w:tcPr>
          <w:p w:rsidR="00306953" w:rsidRPr="00306953" w:rsidRDefault="00306953" w:rsidP="00306953">
            <w:pPr>
              <w:spacing w:after="0" w:line="240" w:lineRule="auto"/>
              <w:jc w:val="center"/>
              <w:rPr>
                <w:rFonts w:cs="Arial"/>
                <w:color w:val="000000"/>
                <w:sz w:val="16"/>
                <w:szCs w:val="16"/>
              </w:rPr>
            </w:pPr>
            <w:r w:rsidRPr="00306953">
              <w:rPr>
                <w:rFonts w:cs="Arial"/>
                <w:color w:val="000000"/>
                <w:sz w:val="16"/>
                <w:szCs w:val="16"/>
              </w:rPr>
              <w:t>1,55</w:t>
            </w:r>
          </w:p>
        </w:tc>
        <w:tc>
          <w:tcPr>
            <w:tcW w:w="960" w:type="dxa"/>
            <w:shd w:val="clear" w:color="auto" w:fill="C6D9F1" w:themeFill="text2" w:themeFillTint="33"/>
            <w:noWrap/>
            <w:vAlign w:val="bottom"/>
            <w:hideMark/>
          </w:tcPr>
          <w:p w:rsidR="00306953" w:rsidRPr="00306953" w:rsidRDefault="00306953" w:rsidP="00306953">
            <w:pPr>
              <w:spacing w:after="0" w:line="240" w:lineRule="auto"/>
              <w:jc w:val="center"/>
              <w:rPr>
                <w:rFonts w:cs="Arial"/>
                <w:color w:val="000000"/>
                <w:sz w:val="16"/>
                <w:szCs w:val="16"/>
              </w:rPr>
            </w:pPr>
            <w:r w:rsidRPr="00306953">
              <w:rPr>
                <w:rFonts w:cs="Arial"/>
                <w:color w:val="000000"/>
                <w:sz w:val="16"/>
                <w:szCs w:val="16"/>
              </w:rPr>
              <w:t>5,33</w:t>
            </w:r>
          </w:p>
        </w:tc>
      </w:tr>
      <w:tr w:rsidR="00306953" w:rsidRPr="00306953" w:rsidTr="00C21D0B">
        <w:trPr>
          <w:trHeight w:val="255"/>
        </w:trPr>
        <w:tc>
          <w:tcPr>
            <w:tcW w:w="1300" w:type="dxa"/>
            <w:shd w:val="clear" w:color="auto" w:fill="C6D9F1" w:themeFill="text2" w:themeFillTint="33"/>
            <w:noWrap/>
            <w:vAlign w:val="center"/>
            <w:hideMark/>
          </w:tcPr>
          <w:p w:rsidR="00306953" w:rsidRPr="00306953" w:rsidRDefault="00F53B2E" w:rsidP="00306953">
            <w:pPr>
              <w:spacing w:after="0" w:line="240" w:lineRule="auto"/>
              <w:rPr>
                <w:rFonts w:cs="Arial"/>
                <w:color w:val="000000"/>
                <w:sz w:val="16"/>
                <w:szCs w:val="16"/>
              </w:rPr>
            </w:pPr>
            <w:r>
              <w:rPr>
                <w:rFonts w:cs="Arial"/>
                <w:color w:val="000000"/>
                <w:sz w:val="16"/>
                <w:szCs w:val="16"/>
              </w:rPr>
              <w:t>p</w:t>
            </w:r>
            <w:r w:rsidR="00306953" w:rsidRPr="00306953">
              <w:rPr>
                <w:rFonts w:cs="Arial"/>
                <w:color w:val="000000"/>
                <w:sz w:val="16"/>
                <w:szCs w:val="16"/>
              </w:rPr>
              <w:t>růměr EU21</w:t>
            </w:r>
          </w:p>
        </w:tc>
        <w:tc>
          <w:tcPr>
            <w:tcW w:w="960" w:type="dxa"/>
            <w:shd w:val="clear" w:color="auto" w:fill="C6D9F1" w:themeFill="text2" w:themeFillTint="33"/>
            <w:noWrap/>
            <w:vAlign w:val="bottom"/>
            <w:hideMark/>
          </w:tcPr>
          <w:p w:rsidR="00306953" w:rsidRPr="00306953" w:rsidRDefault="00306953" w:rsidP="00306953">
            <w:pPr>
              <w:spacing w:after="0" w:line="240" w:lineRule="auto"/>
              <w:jc w:val="center"/>
              <w:rPr>
                <w:rFonts w:cs="Arial"/>
                <w:color w:val="000000"/>
                <w:sz w:val="16"/>
                <w:szCs w:val="16"/>
              </w:rPr>
            </w:pPr>
            <w:r w:rsidRPr="00306953">
              <w:rPr>
                <w:rFonts w:cs="Arial"/>
                <w:color w:val="000000"/>
                <w:sz w:val="16"/>
                <w:szCs w:val="16"/>
              </w:rPr>
              <w:t>2,37</w:t>
            </w:r>
          </w:p>
        </w:tc>
        <w:tc>
          <w:tcPr>
            <w:tcW w:w="960" w:type="dxa"/>
            <w:shd w:val="clear" w:color="auto" w:fill="C6D9F1" w:themeFill="text2" w:themeFillTint="33"/>
            <w:noWrap/>
            <w:vAlign w:val="bottom"/>
            <w:hideMark/>
          </w:tcPr>
          <w:p w:rsidR="00306953" w:rsidRPr="00306953" w:rsidRDefault="00306953" w:rsidP="00306953">
            <w:pPr>
              <w:spacing w:after="0" w:line="240" w:lineRule="auto"/>
              <w:jc w:val="center"/>
              <w:rPr>
                <w:rFonts w:cs="Arial"/>
                <w:color w:val="000000"/>
                <w:sz w:val="16"/>
                <w:szCs w:val="16"/>
              </w:rPr>
            </w:pPr>
            <w:r w:rsidRPr="00306953">
              <w:rPr>
                <w:rFonts w:cs="Arial"/>
                <w:color w:val="000000"/>
                <w:sz w:val="16"/>
                <w:szCs w:val="16"/>
              </w:rPr>
              <w:t>1,15</w:t>
            </w:r>
          </w:p>
        </w:tc>
        <w:tc>
          <w:tcPr>
            <w:tcW w:w="960" w:type="dxa"/>
            <w:shd w:val="clear" w:color="auto" w:fill="C6D9F1" w:themeFill="text2" w:themeFillTint="33"/>
            <w:noWrap/>
            <w:vAlign w:val="bottom"/>
            <w:hideMark/>
          </w:tcPr>
          <w:p w:rsidR="00306953" w:rsidRPr="00306953" w:rsidRDefault="00306953" w:rsidP="00306953">
            <w:pPr>
              <w:spacing w:after="0" w:line="240" w:lineRule="auto"/>
              <w:jc w:val="center"/>
              <w:rPr>
                <w:rFonts w:cs="Arial"/>
                <w:sz w:val="16"/>
                <w:szCs w:val="16"/>
              </w:rPr>
            </w:pPr>
            <w:r w:rsidRPr="00306953">
              <w:rPr>
                <w:rFonts w:cs="Arial"/>
                <w:sz w:val="16"/>
                <w:szCs w:val="16"/>
              </w:rPr>
              <w:t>0,10</w:t>
            </w:r>
          </w:p>
        </w:tc>
        <w:tc>
          <w:tcPr>
            <w:tcW w:w="960" w:type="dxa"/>
            <w:shd w:val="clear" w:color="auto" w:fill="C6D9F1" w:themeFill="text2" w:themeFillTint="33"/>
            <w:noWrap/>
            <w:vAlign w:val="bottom"/>
            <w:hideMark/>
          </w:tcPr>
          <w:p w:rsidR="00306953" w:rsidRPr="00306953" w:rsidRDefault="00306953" w:rsidP="00306953">
            <w:pPr>
              <w:spacing w:after="0" w:line="240" w:lineRule="auto"/>
              <w:jc w:val="center"/>
              <w:rPr>
                <w:rFonts w:cs="Arial"/>
                <w:sz w:val="16"/>
                <w:szCs w:val="16"/>
              </w:rPr>
            </w:pPr>
            <w:r w:rsidRPr="00306953">
              <w:rPr>
                <w:rFonts w:cs="Arial"/>
                <w:sz w:val="16"/>
                <w:szCs w:val="16"/>
              </w:rPr>
              <w:t>3,58</w:t>
            </w:r>
          </w:p>
        </w:tc>
        <w:tc>
          <w:tcPr>
            <w:tcW w:w="960" w:type="dxa"/>
            <w:shd w:val="clear" w:color="auto" w:fill="C6D9F1" w:themeFill="text2" w:themeFillTint="33"/>
            <w:noWrap/>
            <w:vAlign w:val="bottom"/>
            <w:hideMark/>
          </w:tcPr>
          <w:p w:rsidR="00306953" w:rsidRPr="00306953" w:rsidRDefault="00306953" w:rsidP="00306953">
            <w:pPr>
              <w:spacing w:after="0" w:line="240" w:lineRule="auto"/>
              <w:jc w:val="center"/>
              <w:rPr>
                <w:rFonts w:cs="Arial"/>
                <w:sz w:val="16"/>
                <w:szCs w:val="16"/>
              </w:rPr>
            </w:pPr>
            <w:r w:rsidRPr="00306953">
              <w:rPr>
                <w:rFonts w:cs="Arial"/>
                <w:sz w:val="16"/>
                <w:szCs w:val="16"/>
              </w:rPr>
              <w:t>0,08</w:t>
            </w:r>
          </w:p>
        </w:tc>
        <w:tc>
          <w:tcPr>
            <w:tcW w:w="960" w:type="dxa"/>
            <w:shd w:val="clear" w:color="auto" w:fill="C6D9F1" w:themeFill="text2" w:themeFillTint="33"/>
            <w:noWrap/>
            <w:vAlign w:val="bottom"/>
            <w:hideMark/>
          </w:tcPr>
          <w:p w:rsidR="00306953" w:rsidRPr="00306953" w:rsidRDefault="00306953" w:rsidP="00306953">
            <w:pPr>
              <w:spacing w:after="0" w:line="240" w:lineRule="auto"/>
              <w:jc w:val="center"/>
              <w:rPr>
                <w:rFonts w:cs="Arial"/>
                <w:color w:val="000000"/>
                <w:sz w:val="16"/>
                <w:szCs w:val="16"/>
              </w:rPr>
            </w:pPr>
            <w:r w:rsidRPr="00306953">
              <w:rPr>
                <w:rFonts w:cs="Arial"/>
                <w:color w:val="000000"/>
                <w:sz w:val="16"/>
                <w:szCs w:val="16"/>
              </w:rPr>
              <w:t>1,29</w:t>
            </w:r>
          </w:p>
        </w:tc>
        <w:tc>
          <w:tcPr>
            <w:tcW w:w="960" w:type="dxa"/>
            <w:shd w:val="clear" w:color="auto" w:fill="C6D9F1" w:themeFill="text2" w:themeFillTint="33"/>
            <w:noWrap/>
            <w:vAlign w:val="bottom"/>
            <w:hideMark/>
          </w:tcPr>
          <w:p w:rsidR="00306953" w:rsidRPr="00306953" w:rsidRDefault="00306953" w:rsidP="00306953">
            <w:pPr>
              <w:spacing w:after="0" w:line="240" w:lineRule="auto"/>
              <w:jc w:val="center"/>
              <w:rPr>
                <w:rFonts w:cs="Arial"/>
                <w:color w:val="000000"/>
                <w:sz w:val="16"/>
                <w:szCs w:val="16"/>
              </w:rPr>
            </w:pPr>
            <w:r w:rsidRPr="00306953">
              <w:rPr>
                <w:rFonts w:cs="Arial"/>
                <w:color w:val="000000"/>
                <w:sz w:val="16"/>
                <w:szCs w:val="16"/>
              </w:rPr>
              <w:t>1,36</w:t>
            </w:r>
          </w:p>
        </w:tc>
        <w:tc>
          <w:tcPr>
            <w:tcW w:w="960" w:type="dxa"/>
            <w:shd w:val="clear" w:color="auto" w:fill="C6D9F1" w:themeFill="text2" w:themeFillTint="33"/>
            <w:noWrap/>
            <w:vAlign w:val="bottom"/>
            <w:hideMark/>
          </w:tcPr>
          <w:p w:rsidR="00306953" w:rsidRPr="00306953" w:rsidRDefault="00306953" w:rsidP="00306953">
            <w:pPr>
              <w:spacing w:after="0" w:line="240" w:lineRule="auto"/>
              <w:jc w:val="center"/>
              <w:rPr>
                <w:rFonts w:cs="Arial"/>
                <w:color w:val="000000"/>
                <w:sz w:val="16"/>
                <w:szCs w:val="16"/>
              </w:rPr>
            </w:pPr>
            <w:r w:rsidRPr="00306953">
              <w:rPr>
                <w:rFonts w:cs="Arial"/>
                <w:color w:val="000000"/>
                <w:sz w:val="16"/>
                <w:szCs w:val="16"/>
              </w:rPr>
              <w:t>4,93</w:t>
            </w:r>
          </w:p>
        </w:tc>
      </w:tr>
    </w:tbl>
    <w:p w:rsidR="00306953" w:rsidRPr="00306953" w:rsidRDefault="00306953" w:rsidP="00FE5433">
      <w:pPr>
        <w:autoSpaceDE w:val="0"/>
        <w:autoSpaceDN w:val="0"/>
        <w:adjustRightInd w:val="0"/>
        <w:spacing w:before="120" w:after="0" w:line="240" w:lineRule="auto"/>
        <w:rPr>
          <w:rFonts w:eastAsia="ChaparralPro-Regular" w:cs="Arial"/>
          <w:sz w:val="16"/>
          <w:szCs w:val="16"/>
        </w:rPr>
      </w:pPr>
      <w:r w:rsidRPr="00306953">
        <w:rPr>
          <w:rFonts w:eastAsia="ChaparralPro-Regular" w:cs="Arial"/>
          <w:sz w:val="16"/>
          <w:szCs w:val="16"/>
        </w:rPr>
        <w:t xml:space="preserve">X(2)… údaj započten do druhého sloupce (tj. do vyššího sekundárního vzdělávání)     </w:t>
      </w:r>
    </w:p>
    <w:p w:rsidR="00306953" w:rsidRPr="00306953" w:rsidRDefault="00306953" w:rsidP="00306953">
      <w:pPr>
        <w:autoSpaceDE w:val="0"/>
        <w:autoSpaceDN w:val="0"/>
        <w:adjustRightInd w:val="0"/>
        <w:spacing w:after="0" w:line="240" w:lineRule="auto"/>
        <w:jc w:val="both"/>
        <w:rPr>
          <w:rFonts w:eastAsia="ChaparralPro-Regular" w:cs="Arial"/>
          <w:sz w:val="16"/>
          <w:szCs w:val="16"/>
        </w:rPr>
      </w:pPr>
      <w:r w:rsidRPr="00306953">
        <w:rPr>
          <w:rFonts w:eastAsia="ChaparralPro-Regular" w:cs="Arial"/>
          <w:sz w:val="16"/>
          <w:szCs w:val="16"/>
        </w:rPr>
        <w:t xml:space="preserve">Zdroj: Tabulka B 2.1 v OECD 2015, výběr údajů ČSÚ. StatLink: </w:t>
      </w:r>
      <w:hyperlink r:id="rId68" w:history="1">
        <w:r w:rsidRPr="00306953">
          <w:rPr>
            <w:rStyle w:val="Hypertextovodkaz"/>
            <w:rFonts w:cs="Arial"/>
            <w:sz w:val="16"/>
            <w:szCs w:val="16"/>
          </w:rPr>
          <w:t>http://dx.doi.org/10.1787/888933285427</w:t>
        </w:r>
      </w:hyperlink>
      <w:r w:rsidRPr="00306953">
        <w:rPr>
          <w:rFonts w:cs="Arial"/>
          <w:color w:val="231F20"/>
          <w:sz w:val="16"/>
          <w:szCs w:val="16"/>
        </w:rPr>
        <w:t xml:space="preserve"> </w:t>
      </w:r>
    </w:p>
    <w:p w:rsidR="00306953" w:rsidRPr="00306953" w:rsidRDefault="00306953" w:rsidP="00306953">
      <w:pPr>
        <w:autoSpaceDE w:val="0"/>
        <w:autoSpaceDN w:val="0"/>
        <w:adjustRightInd w:val="0"/>
        <w:spacing w:after="0" w:line="240" w:lineRule="auto"/>
        <w:jc w:val="both"/>
        <w:rPr>
          <w:rFonts w:eastAsia="ChaparralPro-Regular" w:cs="Arial"/>
          <w:szCs w:val="20"/>
        </w:rPr>
      </w:pPr>
    </w:p>
    <w:p w:rsidR="00306953" w:rsidRPr="00306953" w:rsidRDefault="00306953" w:rsidP="00306953">
      <w:pPr>
        <w:autoSpaceDE w:val="0"/>
        <w:autoSpaceDN w:val="0"/>
        <w:adjustRightInd w:val="0"/>
        <w:spacing w:after="120" w:line="240" w:lineRule="auto"/>
        <w:jc w:val="both"/>
        <w:rPr>
          <w:rFonts w:eastAsia="ChaparralPro-Regular" w:cs="Arial"/>
          <w:szCs w:val="20"/>
        </w:rPr>
      </w:pPr>
      <w:r w:rsidRPr="00306953">
        <w:rPr>
          <w:rFonts w:eastAsia="ChaparralPro-Regular" w:cs="Arial"/>
        </w:rPr>
        <w:t xml:space="preserve">Na </w:t>
      </w:r>
      <w:r w:rsidRPr="00306953">
        <w:rPr>
          <w:rFonts w:eastAsia="ChaparralPro-Regular" w:cs="Arial"/>
          <w:b/>
          <w:i/>
        </w:rPr>
        <w:t>primární, sekundární a postsekundární</w:t>
      </w:r>
      <w:r w:rsidRPr="00306953">
        <w:rPr>
          <w:rFonts w:eastAsia="ChaparralPro-Regular" w:cs="Arial"/>
        </w:rPr>
        <w:t xml:space="preserve"> </w:t>
      </w:r>
      <w:r w:rsidRPr="00577C98">
        <w:rPr>
          <w:rFonts w:eastAsia="ChaparralPro-Regular" w:cs="Arial"/>
          <w:b/>
          <w:i/>
        </w:rPr>
        <w:t>neterciární</w:t>
      </w:r>
      <w:r w:rsidRPr="00306953">
        <w:rPr>
          <w:rFonts w:eastAsia="ChaparralPro-Regular" w:cs="Arial"/>
        </w:rPr>
        <w:t xml:space="preserve"> vzdělávání vynaložila ČR v roce 2012 celkem 2,76 % HDP, což je výrazně méně než v mezinárodních průměrech a t</w:t>
      </w:r>
      <w:r w:rsidR="00E52654">
        <w:rPr>
          <w:rFonts w:eastAsia="ChaparralPro-Regular" w:cs="Arial"/>
        </w:rPr>
        <w:t>aké výrazně méně než v Polsku a </w:t>
      </w:r>
      <w:r w:rsidRPr="00306953">
        <w:rPr>
          <w:rFonts w:eastAsia="ChaparralPro-Regular" w:cs="Arial"/>
        </w:rPr>
        <w:t xml:space="preserve">Finsku. Pokud z tohoto vzdělávání vydělíme primární a nižší sekundární vzdělávání (což v ČR odpovídá povinné školní docházce), pak byl v ČR podíl výdajů na vzdělávání z HDP mezi zeměmi uvedenými v tabulce nejnižší. Na </w:t>
      </w:r>
      <w:r w:rsidRPr="00306953">
        <w:rPr>
          <w:rFonts w:eastAsia="ChaparralPro-Regular" w:cs="Arial"/>
          <w:b/>
          <w:i/>
        </w:rPr>
        <w:t>terciární vzdělávání</w:t>
      </w:r>
      <w:r w:rsidRPr="00306953">
        <w:rPr>
          <w:rFonts w:eastAsia="ChaparralPro-Regular" w:cs="Arial"/>
        </w:rPr>
        <w:t xml:space="preserve"> pak ČR v roce 2012 vydala 1,44 % HDP, což je více než v mezinárodním průměru za členské země EU i OECD (a více než na Slovensku a v Polsku), ale méně než v mezinárodním průměru za země OECD – a také o poznání méně než ve Finsku. Celkově pak vydala ČR na </w:t>
      </w:r>
      <w:r w:rsidRPr="00306953">
        <w:rPr>
          <w:rFonts w:eastAsia="ChaparralPro-Regular" w:cs="Arial"/>
          <w:b/>
          <w:i/>
        </w:rPr>
        <w:t>primární až terciární</w:t>
      </w:r>
      <w:r w:rsidRPr="00306953">
        <w:rPr>
          <w:rFonts w:eastAsia="ChaparralPro-Regular" w:cs="Arial"/>
        </w:rPr>
        <w:t xml:space="preserve"> úroveň vzdělávání nižší podíl HDP, než jak tomu bylo v obou mezinárodních </w:t>
      </w:r>
      <w:r w:rsidRPr="00306953">
        <w:rPr>
          <w:rFonts w:eastAsia="ChaparralPro-Regular" w:cs="Arial"/>
        </w:rPr>
        <w:lastRenderedPageBreak/>
        <w:t>průměrech a také nižší než v Polsku a Finsku</w:t>
      </w:r>
      <w:r w:rsidR="009B528E">
        <w:rPr>
          <w:rFonts w:eastAsia="ChaparralPro-Regular" w:cs="Arial"/>
        </w:rPr>
        <w:t>. N</w:t>
      </w:r>
      <w:r w:rsidRPr="00306953">
        <w:rPr>
          <w:rFonts w:eastAsia="ChaparralPro-Regular" w:cs="Arial"/>
        </w:rPr>
        <w:t xml:space="preserve">a Slovensku byl tento podíl </w:t>
      </w:r>
      <w:r w:rsidR="009B528E">
        <w:rPr>
          <w:rFonts w:eastAsia="ChaparralPro-Regular" w:cs="Arial"/>
        </w:rPr>
        <w:t xml:space="preserve">oproti ČR </w:t>
      </w:r>
      <w:r w:rsidRPr="00306953">
        <w:rPr>
          <w:rFonts w:eastAsia="ChaparralPro-Regular" w:cs="Arial"/>
        </w:rPr>
        <w:t>naopak o poznání n</w:t>
      </w:r>
      <w:r w:rsidR="009B528E">
        <w:rPr>
          <w:rFonts w:eastAsia="ChaparralPro-Regular" w:cs="Arial"/>
        </w:rPr>
        <w:t>ižší</w:t>
      </w:r>
      <w:r w:rsidRPr="00306953">
        <w:rPr>
          <w:rFonts w:eastAsia="ChaparralPro-Regular" w:cs="Arial"/>
        </w:rPr>
        <w:t xml:space="preserve">.  Jak </w:t>
      </w:r>
      <w:r w:rsidRPr="00306953">
        <w:rPr>
          <w:rFonts w:eastAsia="ChaparralPro-Regular" w:cs="Arial"/>
          <w:szCs w:val="20"/>
        </w:rPr>
        <w:t xml:space="preserve">bylo přitom výše uvedeno, </w:t>
      </w:r>
      <w:r w:rsidRPr="00306953">
        <w:rPr>
          <w:rFonts w:eastAsia="ChaparralPro-Regular" w:cs="Arial"/>
          <w:b/>
          <w:i/>
          <w:szCs w:val="20"/>
        </w:rPr>
        <w:t>od jiných zemí se lišíme především relativně nízkými náklady na vzdělávání, které u nás odpovídá povinné školní docházce</w:t>
      </w:r>
      <w:r w:rsidRPr="00306953">
        <w:rPr>
          <w:rFonts w:eastAsia="ChaparralPro-Regular" w:cs="Arial"/>
          <w:szCs w:val="20"/>
        </w:rPr>
        <w:t>.</w:t>
      </w:r>
    </w:p>
    <w:p w:rsidR="00306953" w:rsidRPr="00306953" w:rsidRDefault="00306953" w:rsidP="00306953">
      <w:pPr>
        <w:pStyle w:val="Default"/>
        <w:jc w:val="both"/>
        <w:rPr>
          <w:rFonts w:ascii="Arial" w:hAnsi="Arial" w:cs="Arial"/>
          <w:sz w:val="20"/>
          <w:szCs w:val="20"/>
        </w:rPr>
      </w:pPr>
      <w:r w:rsidRPr="00306953">
        <w:rPr>
          <w:rFonts w:ascii="Arial" w:eastAsia="ChaparralPro-Regular" w:hAnsi="Arial" w:cs="Arial"/>
          <w:sz w:val="20"/>
          <w:szCs w:val="20"/>
        </w:rPr>
        <w:t xml:space="preserve">Srovnáme-li dále </w:t>
      </w:r>
      <w:r w:rsidR="002B1315">
        <w:rPr>
          <w:rFonts w:ascii="Arial" w:eastAsia="ChaparralPro-Regular" w:hAnsi="Arial" w:cs="Arial"/>
          <w:b/>
          <w:i/>
          <w:sz w:val="20"/>
          <w:szCs w:val="20"/>
        </w:rPr>
        <w:t xml:space="preserve">výdaje na vzdělávací instituce </w:t>
      </w:r>
      <w:r w:rsidRPr="00306953">
        <w:rPr>
          <w:rFonts w:ascii="Arial" w:eastAsia="ChaparralPro-Regular" w:hAnsi="Arial" w:cs="Arial"/>
          <w:b/>
          <w:i/>
          <w:sz w:val="20"/>
          <w:szCs w:val="20"/>
        </w:rPr>
        <w:t>primární až po</w:t>
      </w:r>
      <w:r w:rsidR="002B1315">
        <w:rPr>
          <w:rFonts w:ascii="Arial" w:eastAsia="ChaparralPro-Regular" w:hAnsi="Arial" w:cs="Arial"/>
          <w:b/>
          <w:i/>
          <w:sz w:val="20"/>
          <w:szCs w:val="20"/>
        </w:rPr>
        <w:t>st-sekundární neterciární úrovně</w:t>
      </w:r>
      <w:r w:rsidRPr="00306953">
        <w:rPr>
          <w:rFonts w:ascii="Arial" w:eastAsia="ChaparralPro-Regular" w:hAnsi="Arial" w:cs="Arial"/>
          <w:b/>
          <w:i/>
          <w:sz w:val="20"/>
          <w:szCs w:val="20"/>
        </w:rPr>
        <w:t xml:space="preserve"> v poměru k HDP v ČR </w:t>
      </w:r>
      <w:r w:rsidRPr="00306953">
        <w:rPr>
          <w:rFonts w:ascii="Arial" w:eastAsia="ChaparralPro-Regular" w:hAnsi="Arial" w:cs="Arial"/>
          <w:sz w:val="20"/>
          <w:szCs w:val="20"/>
        </w:rPr>
        <w:t>v čase, můžeme konstatovat, že</w:t>
      </w:r>
      <w:r w:rsidRPr="00306953">
        <w:rPr>
          <w:rFonts w:ascii="Arial" w:eastAsia="ChaparralPro-Regular" w:hAnsi="Arial" w:cs="Arial"/>
          <w:b/>
          <w:i/>
          <w:sz w:val="20"/>
          <w:szCs w:val="20"/>
        </w:rPr>
        <w:t xml:space="preserve"> jsou od roku 2000 relativně stabilní</w:t>
      </w:r>
      <w:r w:rsidRPr="00306953">
        <w:rPr>
          <w:rFonts w:ascii="Arial" w:eastAsia="ChaparralPro-Regular" w:hAnsi="Arial" w:cs="Arial"/>
          <w:sz w:val="20"/>
          <w:szCs w:val="20"/>
        </w:rPr>
        <w:t xml:space="preserve"> (mezi uvedenými roky jsou jen drobné výkyvy), </w:t>
      </w:r>
      <w:r w:rsidRPr="00306953">
        <w:rPr>
          <w:rFonts w:ascii="Arial" w:eastAsia="ChaparralPro-Regular" w:hAnsi="Arial" w:cs="Arial"/>
          <w:b/>
          <w:i/>
          <w:sz w:val="20"/>
          <w:szCs w:val="20"/>
        </w:rPr>
        <w:t>zatímco výdaje na terciární vzdělávání vzrostly</w:t>
      </w:r>
      <w:r w:rsidRPr="00306953">
        <w:rPr>
          <w:rFonts w:ascii="Arial" w:eastAsia="ChaparralPro-Regular" w:hAnsi="Arial" w:cs="Arial"/>
          <w:sz w:val="20"/>
          <w:szCs w:val="20"/>
        </w:rPr>
        <w:t xml:space="preserve"> z 0,76 % HDP v roce 2000 na 1,44 % HDP v roce 2012 (tj. téměř dvojnásobný podíl). Uvedený nárůst byl ovlivněn mj.</w:t>
      </w:r>
      <w:r w:rsidRPr="00306953">
        <w:rPr>
          <w:rFonts w:ascii="Arial" w:hAnsi="Arial" w:cs="Arial"/>
          <w:sz w:val="20"/>
          <w:szCs w:val="20"/>
        </w:rPr>
        <w:t xml:space="preserve"> investicemi do center excelence financovaných z prostředků evropských fondů, svůj vliv mohl mít též rozvoj soukromého vysokého školství.</w:t>
      </w:r>
    </w:p>
    <w:p w:rsidR="00306953" w:rsidRPr="00306953" w:rsidRDefault="00306953" w:rsidP="00306953">
      <w:pPr>
        <w:autoSpaceDE w:val="0"/>
        <w:autoSpaceDN w:val="0"/>
        <w:adjustRightInd w:val="0"/>
        <w:spacing w:after="120" w:line="240" w:lineRule="auto"/>
        <w:jc w:val="both"/>
        <w:rPr>
          <w:rFonts w:eastAsia="ChaparralPro-Regular" w:cs="Arial"/>
          <w:szCs w:val="20"/>
        </w:rPr>
      </w:pPr>
      <w:r w:rsidRPr="00306953">
        <w:rPr>
          <w:rFonts w:eastAsia="ChaparralPro-Regular" w:cs="Arial"/>
          <w:szCs w:val="20"/>
        </w:rPr>
        <w:t>Tabulka č. 7 ukazuje pro srovnání situaci i na sousedním Slovensku, v Polsku, dále ve Finsku a také ve sledovaných mezinárodních průměrech:</w:t>
      </w:r>
    </w:p>
    <w:p w:rsidR="00306953" w:rsidRPr="00306953" w:rsidRDefault="00306953" w:rsidP="00306953">
      <w:pPr>
        <w:keepNext/>
        <w:autoSpaceDE w:val="0"/>
        <w:autoSpaceDN w:val="0"/>
        <w:adjustRightInd w:val="0"/>
        <w:spacing w:after="120" w:line="240" w:lineRule="auto"/>
        <w:jc w:val="both"/>
        <w:rPr>
          <w:rFonts w:eastAsia="ChaparralPro-Regular" w:cs="Arial"/>
          <w:b/>
          <w:szCs w:val="20"/>
        </w:rPr>
      </w:pPr>
      <w:r w:rsidRPr="00306953">
        <w:rPr>
          <w:rFonts w:eastAsia="ChaparralPro-Regular" w:cs="Arial"/>
          <w:b/>
          <w:szCs w:val="20"/>
        </w:rPr>
        <w:t xml:space="preserve">Tabulka č. 7 Vývoj výdajů (veřejných i soukromých) na vzdělávací instituce vyjádřených jakožto podíl k HDP (v %) v čase, dle úrovně poskytovaného vzdělávání (2000 až 2012)                                            </w:t>
      </w:r>
    </w:p>
    <w:tbl>
      <w:tblPr>
        <w:tblW w:w="9502" w:type="dxa"/>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2425"/>
        <w:gridCol w:w="1701"/>
        <w:gridCol w:w="896"/>
        <w:gridCol w:w="896"/>
        <w:gridCol w:w="896"/>
        <w:gridCol w:w="896"/>
        <w:gridCol w:w="896"/>
        <w:gridCol w:w="896"/>
      </w:tblGrid>
      <w:tr w:rsidR="00306953" w:rsidRPr="00306953" w:rsidTr="00BF267F">
        <w:trPr>
          <w:trHeight w:val="255"/>
        </w:trPr>
        <w:tc>
          <w:tcPr>
            <w:tcW w:w="2425" w:type="dxa"/>
            <w:tcBorders>
              <w:top w:val="double" w:sz="4" w:space="0" w:color="auto"/>
              <w:bottom w:val="double" w:sz="4" w:space="0" w:color="auto"/>
            </w:tcBorders>
            <w:shd w:val="clear" w:color="auto" w:fill="FFCCCC"/>
            <w:noWrap/>
            <w:vAlign w:val="center"/>
            <w:hideMark/>
          </w:tcPr>
          <w:p w:rsidR="00306953" w:rsidRPr="002E78B6" w:rsidRDefault="00EA6A4F" w:rsidP="00306953">
            <w:pPr>
              <w:spacing w:after="0" w:line="240" w:lineRule="auto"/>
              <w:rPr>
                <w:rFonts w:cs="Arial"/>
                <w:b/>
                <w:color w:val="000000"/>
                <w:sz w:val="16"/>
                <w:szCs w:val="16"/>
              </w:rPr>
            </w:pPr>
            <w:r>
              <w:rPr>
                <w:rFonts w:cs="Arial"/>
                <w:b/>
                <w:color w:val="000000"/>
                <w:sz w:val="16"/>
                <w:szCs w:val="16"/>
              </w:rPr>
              <w:t>ú</w:t>
            </w:r>
            <w:r w:rsidR="00306953" w:rsidRPr="002E78B6">
              <w:rPr>
                <w:rFonts w:cs="Arial"/>
                <w:b/>
                <w:color w:val="000000"/>
                <w:sz w:val="16"/>
                <w:szCs w:val="16"/>
              </w:rPr>
              <w:t>roveň</w:t>
            </w:r>
          </w:p>
        </w:tc>
        <w:tc>
          <w:tcPr>
            <w:tcW w:w="1701" w:type="dxa"/>
            <w:tcBorders>
              <w:top w:val="double" w:sz="4" w:space="0" w:color="auto"/>
              <w:bottom w:val="double" w:sz="4" w:space="0" w:color="auto"/>
            </w:tcBorders>
            <w:shd w:val="clear" w:color="auto" w:fill="FFCCCC"/>
            <w:noWrap/>
            <w:vAlign w:val="center"/>
            <w:hideMark/>
          </w:tcPr>
          <w:p w:rsidR="00306953" w:rsidRPr="002E78B6" w:rsidRDefault="00306953" w:rsidP="00306953">
            <w:pPr>
              <w:spacing w:after="0" w:line="240" w:lineRule="auto"/>
              <w:rPr>
                <w:rFonts w:cs="Arial"/>
                <w:b/>
                <w:color w:val="000000"/>
                <w:sz w:val="16"/>
                <w:szCs w:val="16"/>
              </w:rPr>
            </w:pPr>
            <w:r w:rsidRPr="002E78B6">
              <w:rPr>
                <w:rFonts w:cs="Arial"/>
                <w:b/>
                <w:color w:val="000000"/>
                <w:sz w:val="16"/>
                <w:szCs w:val="16"/>
              </w:rPr>
              <w:t>země</w:t>
            </w:r>
          </w:p>
        </w:tc>
        <w:tc>
          <w:tcPr>
            <w:tcW w:w="896" w:type="dxa"/>
            <w:tcBorders>
              <w:top w:val="double" w:sz="4" w:space="0" w:color="auto"/>
              <w:bottom w:val="double" w:sz="4" w:space="0" w:color="auto"/>
            </w:tcBorders>
            <w:shd w:val="clear" w:color="auto" w:fill="FFCCCC"/>
            <w:vAlign w:val="center"/>
            <w:hideMark/>
          </w:tcPr>
          <w:p w:rsidR="00306953" w:rsidRPr="002E78B6" w:rsidRDefault="00306953" w:rsidP="00306953">
            <w:pPr>
              <w:spacing w:after="0" w:line="240" w:lineRule="auto"/>
              <w:jc w:val="center"/>
              <w:rPr>
                <w:rFonts w:cs="Arial"/>
                <w:b/>
                <w:color w:val="000000"/>
                <w:sz w:val="16"/>
                <w:szCs w:val="16"/>
              </w:rPr>
            </w:pPr>
            <w:r w:rsidRPr="002E78B6">
              <w:rPr>
                <w:rFonts w:cs="Arial"/>
                <w:b/>
                <w:color w:val="000000"/>
                <w:sz w:val="16"/>
                <w:szCs w:val="16"/>
              </w:rPr>
              <w:t>2000</w:t>
            </w:r>
          </w:p>
        </w:tc>
        <w:tc>
          <w:tcPr>
            <w:tcW w:w="896" w:type="dxa"/>
            <w:tcBorders>
              <w:top w:val="double" w:sz="4" w:space="0" w:color="auto"/>
              <w:bottom w:val="double" w:sz="4" w:space="0" w:color="auto"/>
            </w:tcBorders>
            <w:shd w:val="clear" w:color="auto" w:fill="FFCCCC"/>
            <w:vAlign w:val="center"/>
            <w:hideMark/>
          </w:tcPr>
          <w:p w:rsidR="00306953" w:rsidRPr="002E78B6" w:rsidRDefault="00306953" w:rsidP="00306953">
            <w:pPr>
              <w:spacing w:after="0" w:line="240" w:lineRule="auto"/>
              <w:jc w:val="center"/>
              <w:rPr>
                <w:rFonts w:cs="Arial"/>
                <w:b/>
                <w:color w:val="000000"/>
                <w:sz w:val="16"/>
                <w:szCs w:val="16"/>
              </w:rPr>
            </w:pPr>
            <w:r w:rsidRPr="002E78B6">
              <w:rPr>
                <w:rFonts w:cs="Arial"/>
                <w:b/>
                <w:color w:val="000000"/>
                <w:sz w:val="16"/>
                <w:szCs w:val="16"/>
              </w:rPr>
              <w:t>2005</w:t>
            </w:r>
          </w:p>
        </w:tc>
        <w:tc>
          <w:tcPr>
            <w:tcW w:w="896" w:type="dxa"/>
            <w:tcBorders>
              <w:top w:val="double" w:sz="4" w:space="0" w:color="auto"/>
              <w:bottom w:val="double" w:sz="4" w:space="0" w:color="auto"/>
            </w:tcBorders>
            <w:shd w:val="clear" w:color="auto" w:fill="FFCCCC"/>
            <w:vAlign w:val="center"/>
            <w:hideMark/>
          </w:tcPr>
          <w:p w:rsidR="00306953" w:rsidRPr="002E78B6" w:rsidRDefault="00306953" w:rsidP="00306953">
            <w:pPr>
              <w:spacing w:after="0" w:line="240" w:lineRule="auto"/>
              <w:jc w:val="center"/>
              <w:rPr>
                <w:rFonts w:cs="Arial"/>
                <w:b/>
                <w:color w:val="000000"/>
                <w:sz w:val="16"/>
                <w:szCs w:val="16"/>
              </w:rPr>
            </w:pPr>
            <w:r w:rsidRPr="002E78B6">
              <w:rPr>
                <w:rFonts w:cs="Arial"/>
                <w:b/>
                <w:color w:val="000000"/>
                <w:sz w:val="16"/>
                <w:szCs w:val="16"/>
              </w:rPr>
              <w:t>2008</w:t>
            </w:r>
          </w:p>
        </w:tc>
        <w:tc>
          <w:tcPr>
            <w:tcW w:w="896" w:type="dxa"/>
            <w:tcBorders>
              <w:top w:val="double" w:sz="4" w:space="0" w:color="auto"/>
              <w:bottom w:val="double" w:sz="4" w:space="0" w:color="auto"/>
            </w:tcBorders>
            <w:shd w:val="clear" w:color="auto" w:fill="FFCCCC"/>
            <w:vAlign w:val="center"/>
            <w:hideMark/>
          </w:tcPr>
          <w:p w:rsidR="00306953" w:rsidRPr="002E78B6" w:rsidRDefault="00306953" w:rsidP="00306953">
            <w:pPr>
              <w:spacing w:after="0" w:line="240" w:lineRule="auto"/>
              <w:jc w:val="center"/>
              <w:rPr>
                <w:rFonts w:cs="Arial"/>
                <w:b/>
                <w:color w:val="000000"/>
                <w:sz w:val="16"/>
                <w:szCs w:val="16"/>
              </w:rPr>
            </w:pPr>
            <w:r w:rsidRPr="002E78B6">
              <w:rPr>
                <w:rFonts w:cs="Arial"/>
                <w:b/>
                <w:color w:val="000000"/>
                <w:sz w:val="16"/>
                <w:szCs w:val="16"/>
              </w:rPr>
              <w:t>2010</w:t>
            </w:r>
          </w:p>
        </w:tc>
        <w:tc>
          <w:tcPr>
            <w:tcW w:w="896" w:type="dxa"/>
            <w:tcBorders>
              <w:top w:val="double" w:sz="4" w:space="0" w:color="auto"/>
              <w:bottom w:val="double" w:sz="4" w:space="0" w:color="auto"/>
            </w:tcBorders>
            <w:shd w:val="clear" w:color="auto" w:fill="FFCCCC"/>
            <w:vAlign w:val="center"/>
            <w:hideMark/>
          </w:tcPr>
          <w:p w:rsidR="00306953" w:rsidRPr="002E78B6" w:rsidRDefault="00306953" w:rsidP="00306953">
            <w:pPr>
              <w:spacing w:after="0" w:line="240" w:lineRule="auto"/>
              <w:jc w:val="center"/>
              <w:rPr>
                <w:rFonts w:cs="Arial"/>
                <w:b/>
                <w:color w:val="000000"/>
                <w:sz w:val="16"/>
                <w:szCs w:val="16"/>
              </w:rPr>
            </w:pPr>
            <w:r w:rsidRPr="002E78B6">
              <w:rPr>
                <w:rFonts w:cs="Arial"/>
                <w:b/>
                <w:color w:val="000000"/>
                <w:sz w:val="16"/>
                <w:szCs w:val="16"/>
              </w:rPr>
              <w:t>2011</w:t>
            </w:r>
          </w:p>
        </w:tc>
        <w:tc>
          <w:tcPr>
            <w:tcW w:w="896" w:type="dxa"/>
            <w:tcBorders>
              <w:top w:val="double" w:sz="4" w:space="0" w:color="auto"/>
              <w:bottom w:val="double" w:sz="4" w:space="0" w:color="auto"/>
            </w:tcBorders>
            <w:shd w:val="clear" w:color="auto" w:fill="FFCCCC"/>
            <w:vAlign w:val="center"/>
            <w:hideMark/>
          </w:tcPr>
          <w:p w:rsidR="00306953" w:rsidRPr="002E78B6" w:rsidRDefault="00306953" w:rsidP="00306953">
            <w:pPr>
              <w:spacing w:after="0" w:line="240" w:lineRule="auto"/>
              <w:jc w:val="center"/>
              <w:rPr>
                <w:rFonts w:cs="Arial"/>
                <w:b/>
                <w:color w:val="000000"/>
                <w:sz w:val="16"/>
                <w:szCs w:val="16"/>
              </w:rPr>
            </w:pPr>
            <w:r w:rsidRPr="002E78B6">
              <w:rPr>
                <w:rFonts w:cs="Arial"/>
                <w:b/>
                <w:color w:val="000000"/>
                <w:sz w:val="16"/>
                <w:szCs w:val="16"/>
              </w:rPr>
              <w:t>2012</w:t>
            </w:r>
          </w:p>
        </w:tc>
      </w:tr>
      <w:tr w:rsidR="00306953" w:rsidRPr="00306953" w:rsidTr="00BF267F">
        <w:trPr>
          <w:trHeight w:val="255"/>
        </w:trPr>
        <w:tc>
          <w:tcPr>
            <w:tcW w:w="2425" w:type="dxa"/>
            <w:vMerge w:val="restart"/>
            <w:tcBorders>
              <w:top w:val="double" w:sz="4" w:space="0" w:color="auto"/>
            </w:tcBorders>
            <w:shd w:val="clear" w:color="auto" w:fill="auto"/>
            <w:vAlign w:val="center"/>
            <w:hideMark/>
          </w:tcPr>
          <w:p w:rsidR="00306953" w:rsidRPr="00306953" w:rsidRDefault="00EA6A4F" w:rsidP="007E5BD0">
            <w:pPr>
              <w:spacing w:after="0" w:line="240" w:lineRule="auto"/>
              <w:rPr>
                <w:rFonts w:cs="Arial"/>
                <w:color w:val="000000"/>
                <w:sz w:val="16"/>
                <w:szCs w:val="16"/>
              </w:rPr>
            </w:pPr>
            <w:r>
              <w:rPr>
                <w:rFonts w:cs="Arial"/>
                <w:color w:val="000000"/>
                <w:sz w:val="16"/>
                <w:szCs w:val="16"/>
              </w:rPr>
              <w:t>p</w:t>
            </w:r>
            <w:r w:rsidR="00306953" w:rsidRPr="00306953">
              <w:rPr>
                <w:rFonts w:cs="Arial"/>
                <w:color w:val="000000"/>
                <w:sz w:val="16"/>
                <w:szCs w:val="16"/>
              </w:rPr>
              <w:t>rimární, sekundární a postsekundární neterciární vzdělávání</w:t>
            </w:r>
          </w:p>
        </w:tc>
        <w:tc>
          <w:tcPr>
            <w:tcW w:w="1701" w:type="dxa"/>
            <w:tcBorders>
              <w:top w:val="double" w:sz="4" w:space="0" w:color="auto"/>
            </w:tcBorders>
            <w:shd w:val="clear" w:color="000000" w:fill="FFFFFF"/>
            <w:noWrap/>
            <w:vAlign w:val="center"/>
            <w:hideMark/>
          </w:tcPr>
          <w:p w:rsidR="00306953" w:rsidRPr="00306953" w:rsidRDefault="00306953" w:rsidP="007E5BD0">
            <w:pPr>
              <w:spacing w:after="0" w:line="240" w:lineRule="auto"/>
              <w:rPr>
                <w:rFonts w:cs="Arial"/>
                <w:color w:val="000000"/>
                <w:sz w:val="16"/>
                <w:szCs w:val="16"/>
              </w:rPr>
            </w:pPr>
            <w:r w:rsidRPr="00306953">
              <w:rPr>
                <w:rFonts w:cs="Arial"/>
                <w:color w:val="000000"/>
                <w:sz w:val="16"/>
                <w:szCs w:val="16"/>
              </w:rPr>
              <w:t>Česká republika</w:t>
            </w:r>
          </w:p>
        </w:tc>
        <w:tc>
          <w:tcPr>
            <w:tcW w:w="896" w:type="dxa"/>
            <w:tcBorders>
              <w:top w:val="double" w:sz="4"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2,58</w:t>
            </w:r>
          </w:p>
        </w:tc>
        <w:tc>
          <w:tcPr>
            <w:tcW w:w="896" w:type="dxa"/>
            <w:tcBorders>
              <w:top w:val="double" w:sz="4"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2,77</w:t>
            </w:r>
          </w:p>
        </w:tc>
        <w:tc>
          <w:tcPr>
            <w:tcW w:w="896" w:type="dxa"/>
            <w:tcBorders>
              <w:top w:val="double" w:sz="4"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2,53</w:t>
            </w:r>
          </w:p>
        </w:tc>
        <w:tc>
          <w:tcPr>
            <w:tcW w:w="896" w:type="dxa"/>
            <w:tcBorders>
              <w:top w:val="double" w:sz="4"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2,70</w:t>
            </w:r>
          </w:p>
        </w:tc>
        <w:tc>
          <w:tcPr>
            <w:tcW w:w="896" w:type="dxa"/>
            <w:tcBorders>
              <w:top w:val="double" w:sz="4" w:space="0" w:color="auto"/>
            </w:tcBorders>
            <w:shd w:val="clear" w:color="000000" w:fill="FFFFFF"/>
            <w:noWrap/>
            <w:vAlign w:val="center"/>
            <w:hideMark/>
          </w:tcPr>
          <w:p w:rsidR="00306953" w:rsidRPr="00306953" w:rsidRDefault="00306953" w:rsidP="007E5BD0">
            <w:pPr>
              <w:spacing w:after="0" w:line="240" w:lineRule="auto"/>
              <w:jc w:val="center"/>
              <w:rPr>
                <w:rFonts w:cs="Arial"/>
                <w:sz w:val="16"/>
                <w:szCs w:val="16"/>
              </w:rPr>
            </w:pPr>
            <w:r w:rsidRPr="00306953">
              <w:rPr>
                <w:rFonts w:cs="Arial"/>
                <w:sz w:val="16"/>
                <w:szCs w:val="16"/>
              </w:rPr>
              <w:t>2,72</w:t>
            </w:r>
          </w:p>
        </w:tc>
        <w:tc>
          <w:tcPr>
            <w:tcW w:w="896" w:type="dxa"/>
            <w:tcBorders>
              <w:top w:val="double" w:sz="4" w:space="0" w:color="auto"/>
            </w:tcBorders>
            <w:shd w:val="clear" w:color="000000" w:fill="FFFFFF"/>
            <w:noWrap/>
            <w:vAlign w:val="center"/>
            <w:hideMark/>
          </w:tcPr>
          <w:p w:rsidR="00306953" w:rsidRPr="00306953" w:rsidRDefault="00306953" w:rsidP="007E5BD0">
            <w:pPr>
              <w:spacing w:after="0" w:line="240" w:lineRule="auto"/>
              <w:jc w:val="center"/>
              <w:rPr>
                <w:rFonts w:cs="Arial"/>
                <w:sz w:val="16"/>
                <w:szCs w:val="16"/>
              </w:rPr>
            </w:pPr>
            <w:r w:rsidRPr="00306953">
              <w:rPr>
                <w:rFonts w:cs="Arial"/>
                <w:sz w:val="16"/>
                <w:szCs w:val="16"/>
              </w:rPr>
              <w:t>2,76</w:t>
            </w:r>
          </w:p>
        </w:tc>
      </w:tr>
      <w:tr w:rsidR="00306953" w:rsidRPr="00306953" w:rsidTr="00BF267F">
        <w:trPr>
          <w:trHeight w:val="255"/>
        </w:trPr>
        <w:tc>
          <w:tcPr>
            <w:tcW w:w="2425" w:type="dxa"/>
            <w:vMerge/>
            <w:vAlign w:val="center"/>
            <w:hideMark/>
          </w:tcPr>
          <w:p w:rsidR="00306953" w:rsidRPr="00306953" w:rsidRDefault="00306953" w:rsidP="007E5BD0">
            <w:pPr>
              <w:spacing w:after="0" w:line="240" w:lineRule="auto"/>
              <w:rPr>
                <w:rFonts w:cs="Arial"/>
                <w:color w:val="000000"/>
                <w:sz w:val="16"/>
                <w:szCs w:val="16"/>
              </w:rPr>
            </w:pPr>
          </w:p>
        </w:tc>
        <w:tc>
          <w:tcPr>
            <w:tcW w:w="1701" w:type="dxa"/>
            <w:shd w:val="clear" w:color="000000" w:fill="FFFFFF"/>
            <w:noWrap/>
            <w:vAlign w:val="center"/>
            <w:hideMark/>
          </w:tcPr>
          <w:p w:rsidR="00306953" w:rsidRPr="00306953" w:rsidRDefault="00306953" w:rsidP="007E5BD0">
            <w:pPr>
              <w:spacing w:after="0" w:line="240" w:lineRule="auto"/>
              <w:rPr>
                <w:rFonts w:cs="Arial"/>
                <w:color w:val="000000"/>
                <w:sz w:val="16"/>
                <w:szCs w:val="16"/>
              </w:rPr>
            </w:pPr>
            <w:r w:rsidRPr="00306953">
              <w:rPr>
                <w:rFonts w:cs="Arial"/>
                <w:color w:val="000000"/>
                <w:sz w:val="16"/>
                <w:szCs w:val="16"/>
              </w:rPr>
              <w:t>Polsko</w:t>
            </w:r>
          </w:p>
        </w:tc>
        <w:tc>
          <w:tcPr>
            <w:tcW w:w="896" w:type="dxa"/>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3,88</w:t>
            </w:r>
          </w:p>
        </w:tc>
        <w:tc>
          <w:tcPr>
            <w:tcW w:w="896" w:type="dxa"/>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3,73</w:t>
            </w:r>
          </w:p>
        </w:tc>
        <w:tc>
          <w:tcPr>
            <w:tcW w:w="896" w:type="dxa"/>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3,60</w:t>
            </w:r>
          </w:p>
        </w:tc>
        <w:tc>
          <w:tcPr>
            <w:tcW w:w="896" w:type="dxa"/>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3,60</w:t>
            </w:r>
          </w:p>
        </w:tc>
        <w:tc>
          <w:tcPr>
            <w:tcW w:w="896" w:type="dxa"/>
            <w:shd w:val="clear" w:color="000000" w:fill="FFFFFF"/>
            <w:noWrap/>
            <w:vAlign w:val="center"/>
            <w:hideMark/>
          </w:tcPr>
          <w:p w:rsidR="00306953" w:rsidRPr="00306953" w:rsidRDefault="00306953" w:rsidP="007E5BD0">
            <w:pPr>
              <w:spacing w:after="0" w:line="240" w:lineRule="auto"/>
              <w:jc w:val="center"/>
              <w:rPr>
                <w:rFonts w:cs="Arial"/>
                <w:sz w:val="16"/>
                <w:szCs w:val="16"/>
              </w:rPr>
            </w:pPr>
            <w:r w:rsidRPr="00306953">
              <w:rPr>
                <w:rFonts w:cs="Arial"/>
                <w:sz w:val="16"/>
                <w:szCs w:val="16"/>
              </w:rPr>
              <w:t>3,39</w:t>
            </w:r>
          </w:p>
        </w:tc>
        <w:tc>
          <w:tcPr>
            <w:tcW w:w="896" w:type="dxa"/>
            <w:shd w:val="clear" w:color="000000" w:fill="FFFFFF"/>
            <w:noWrap/>
            <w:vAlign w:val="center"/>
            <w:hideMark/>
          </w:tcPr>
          <w:p w:rsidR="00306953" w:rsidRPr="00306953" w:rsidRDefault="00306953" w:rsidP="007E5BD0">
            <w:pPr>
              <w:spacing w:after="0" w:line="240" w:lineRule="auto"/>
              <w:jc w:val="center"/>
              <w:rPr>
                <w:rFonts w:cs="Arial"/>
                <w:sz w:val="16"/>
                <w:szCs w:val="16"/>
              </w:rPr>
            </w:pPr>
            <w:r w:rsidRPr="00306953">
              <w:rPr>
                <w:rFonts w:cs="Arial"/>
                <w:sz w:val="16"/>
                <w:szCs w:val="16"/>
              </w:rPr>
              <w:t>3,45</w:t>
            </w:r>
          </w:p>
        </w:tc>
      </w:tr>
      <w:tr w:rsidR="00306953" w:rsidRPr="00306953" w:rsidTr="00BF267F">
        <w:trPr>
          <w:trHeight w:val="255"/>
        </w:trPr>
        <w:tc>
          <w:tcPr>
            <w:tcW w:w="2425" w:type="dxa"/>
            <w:vMerge/>
            <w:vAlign w:val="center"/>
            <w:hideMark/>
          </w:tcPr>
          <w:p w:rsidR="00306953" w:rsidRPr="00306953" w:rsidRDefault="00306953" w:rsidP="007E5BD0">
            <w:pPr>
              <w:spacing w:after="0" w:line="240" w:lineRule="auto"/>
              <w:rPr>
                <w:rFonts w:cs="Arial"/>
                <w:color w:val="000000"/>
                <w:sz w:val="16"/>
                <w:szCs w:val="16"/>
              </w:rPr>
            </w:pPr>
          </w:p>
        </w:tc>
        <w:tc>
          <w:tcPr>
            <w:tcW w:w="1701" w:type="dxa"/>
            <w:shd w:val="clear" w:color="000000" w:fill="FFFFFF"/>
            <w:noWrap/>
            <w:vAlign w:val="center"/>
            <w:hideMark/>
          </w:tcPr>
          <w:p w:rsidR="00306953" w:rsidRPr="00306953" w:rsidRDefault="00306953" w:rsidP="007E5BD0">
            <w:pPr>
              <w:spacing w:after="0" w:line="240" w:lineRule="auto"/>
              <w:rPr>
                <w:rFonts w:cs="Arial"/>
                <w:color w:val="000000"/>
                <w:sz w:val="16"/>
                <w:szCs w:val="16"/>
              </w:rPr>
            </w:pPr>
            <w:r w:rsidRPr="00306953">
              <w:rPr>
                <w:rFonts w:cs="Arial"/>
                <w:color w:val="000000"/>
                <w:sz w:val="16"/>
                <w:szCs w:val="16"/>
              </w:rPr>
              <w:t>Slovensko</w:t>
            </w:r>
            <w:r w:rsidRPr="00306953">
              <w:rPr>
                <w:rFonts w:cs="Arial"/>
                <w:color w:val="000000"/>
                <w:sz w:val="16"/>
                <w:szCs w:val="16"/>
                <w:vertAlign w:val="superscript"/>
              </w:rPr>
              <w:t>1)</w:t>
            </w:r>
          </w:p>
        </w:tc>
        <w:tc>
          <w:tcPr>
            <w:tcW w:w="896" w:type="dxa"/>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2,64</w:t>
            </w:r>
          </w:p>
        </w:tc>
        <w:tc>
          <w:tcPr>
            <w:tcW w:w="896" w:type="dxa"/>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2,81</w:t>
            </w:r>
          </w:p>
        </w:tc>
        <w:tc>
          <w:tcPr>
            <w:tcW w:w="896" w:type="dxa"/>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2,57</w:t>
            </w:r>
          </w:p>
        </w:tc>
        <w:tc>
          <w:tcPr>
            <w:tcW w:w="896" w:type="dxa"/>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3,01</w:t>
            </w:r>
          </w:p>
        </w:tc>
        <w:tc>
          <w:tcPr>
            <w:tcW w:w="896" w:type="dxa"/>
            <w:shd w:val="clear" w:color="000000" w:fill="FFFFFF"/>
            <w:noWrap/>
            <w:vAlign w:val="center"/>
            <w:hideMark/>
          </w:tcPr>
          <w:p w:rsidR="00306953" w:rsidRPr="00306953" w:rsidRDefault="00306953" w:rsidP="007E5BD0">
            <w:pPr>
              <w:spacing w:after="0" w:line="240" w:lineRule="auto"/>
              <w:jc w:val="center"/>
              <w:rPr>
                <w:rFonts w:cs="Arial"/>
                <w:sz w:val="16"/>
                <w:szCs w:val="16"/>
              </w:rPr>
            </w:pPr>
            <w:r w:rsidRPr="00306953">
              <w:rPr>
                <w:rFonts w:cs="Arial"/>
                <w:sz w:val="16"/>
                <w:szCs w:val="16"/>
              </w:rPr>
              <w:t>2,73</w:t>
            </w:r>
          </w:p>
        </w:tc>
        <w:tc>
          <w:tcPr>
            <w:tcW w:w="896" w:type="dxa"/>
            <w:shd w:val="clear" w:color="000000" w:fill="FFFFFF"/>
            <w:noWrap/>
            <w:vAlign w:val="center"/>
            <w:hideMark/>
          </w:tcPr>
          <w:p w:rsidR="00306953" w:rsidRPr="00306953" w:rsidRDefault="00306953" w:rsidP="007E5BD0">
            <w:pPr>
              <w:spacing w:after="0" w:line="240" w:lineRule="auto"/>
              <w:jc w:val="center"/>
              <w:rPr>
                <w:rFonts w:cs="Arial"/>
                <w:sz w:val="16"/>
                <w:szCs w:val="16"/>
              </w:rPr>
            </w:pPr>
            <w:r w:rsidRPr="00306953">
              <w:rPr>
                <w:rFonts w:cs="Arial"/>
                <w:sz w:val="16"/>
                <w:szCs w:val="16"/>
              </w:rPr>
              <w:t>2,68</w:t>
            </w:r>
          </w:p>
        </w:tc>
      </w:tr>
      <w:tr w:rsidR="00306953" w:rsidRPr="00306953" w:rsidTr="00BF267F">
        <w:trPr>
          <w:trHeight w:val="255"/>
        </w:trPr>
        <w:tc>
          <w:tcPr>
            <w:tcW w:w="2425" w:type="dxa"/>
            <w:vMerge/>
            <w:vAlign w:val="center"/>
            <w:hideMark/>
          </w:tcPr>
          <w:p w:rsidR="00306953" w:rsidRPr="00306953" w:rsidRDefault="00306953" w:rsidP="007E5BD0">
            <w:pPr>
              <w:spacing w:after="0" w:line="240" w:lineRule="auto"/>
              <w:rPr>
                <w:rFonts w:cs="Arial"/>
                <w:color w:val="000000"/>
                <w:sz w:val="16"/>
                <w:szCs w:val="16"/>
              </w:rPr>
            </w:pPr>
          </w:p>
        </w:tc>
        <w:tc>
          <w:tcPr>
            <w:tcW w:w="1701" w:type="dxa"/>
            <w:shd w:val="clear" w:color="000000" w:fill="FFFFFF"/>
            <w:noWrap/>
            <w:vAlign w:val="center"/>
            <w:hideMark/>
          </w:tcPr>
          <w:p w:rsidR="00306953" w:rsidRPr="00306953" w:rsidRDefault="00306953" w:rsidP="007E5BD0">
            <w:pPr>
              <w:spacing w:after="0" w:line="240" w:lineRule="auto"/>
              <w:rPr>
                <w:rFonts w:cs="Arial"/>
                <w:color w:val="000000"/>
                <w:sz w:val="16"/>
                <w:szCs w:val="16"/>
              </w:rPr>
            </w:pPr>
            <w:r w:rsidRPr="00306953">
              <w:rPr>
                <w:rFonts w:cs="Arial"/>
                <w:color w:val="000000"/>
                <w:sz w:val="16"/>
                <w:szCs w:val="16"/>
              </w:rPr>
              <w:t>Finsko</w:t>
            </w:r>
          </w:p>
        </w:tc>
        <w:tc>
          <w:tcPr>
            <w:tcW w:w="896" w:type="dxa"/>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3,47</w:t>
            </w:r>
          </w:p>
        </w:tc>
        <w:tc>
          <w:tcPr>
            <w:tcW w:w="896" w:type="dxa"/>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3,70</w:t>
            </w:r>
          </w:p>
        </w:tc>
        <w:tc>
          <w:tcPr>
            <w:tcW w:w="896" w:type="dxa"/>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3,60</w:t>
            </w:r>
          </w:p>
        </w:tc>
        <w:tc>
          <w:tcPr>
            <w:tcW w:w="896" w:type="dxa"/>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3,96</w:t>
            </w:r>
          </w:p>
        </w:tc>
        <w:tc>
          <w:tcPr>
            <w:tcW w:w="896" w:type="dxa"/>
            <w:shd w:val="clear" w:color="000000" w:fill="FFFFFF"/>
            <w:noWrap/>
            <w:vAlign w:val="center"/>
            <w:hideMark/>
          </w:tcPr>
          <w:p w:rsidR="00306953" w:rsidRPr="00306953" w:rsidRDefault="00306953" w:rsidP="007E5BD0">
            <w:pPr>
              <w:spacing w:after="0" w:line="240" w:lineRule="auto"/>
              <w:jc w:val="center"/>
              <w:rPr>
                <w:rFonts w:cs="Arial"/>
                <w:sz w:val="16"/>
                <w:szCs w:val="16"/>
              </w:rPr>
            </w:pPr>
            <w:r w:rsidRPr="00306953">
              <w:rPr>
                <w:rFonts w:cs="Arial"/>
                <w:sz w:val="16"/>
                <w:szCs w:val="16"/>
              </w:rPr>
              <w:t>3,91</w:t>
            </w:r>
          </w:p>
        </w:tc>
        <w:tc>
          <w:tcPr>
            <w:tcW w:w="896" w:type="dxa"/>
            <w:shd w:val="clear" w:color="000000" w:fill="FFFFFF"/>
            <w:noWrap/>
            <w:vAlign w:val="center"/>
            <w:hideMark/>
          </w:tcPr>
          <w:p w:rsidR="00306953" w:rsidRPr="00306953" w:rsidRDefault="00306953" w:rsidP="007E5BD0">
            <w:pPr>
              <w:spacing w:after="0" w:line="240" w:lineRule="auto"/>
              <w:jc w:val="center"/>
              <w:rPr>
                <w:rFonts w:cs="Arial"/>
                <w:sz w:val="16"/>
                <w:szCs w:val="16"/>
              </w:rPr>
            </w:pPr>
            <w:r w:rsidRPr="00306953">
              <w:rPr>
                <w:rFonts w:cs="Arial"/>
                <w:sz w:val="16"/>
                <w:szCs w:val="16"/>
              </w:rPr>
              <w:t>3,94</w:t>
            </w:r>
          </w:p>
        </w:tc>
      </w:tr>
      <w:tr w:rsidR="00306953" w:rsidRPr="00306953" w:rsidTr="00BF267F">
        <w:trPr>
          <w:trHeight w:val="255"/>
        </w:trPr>
        <w:tc>
          <w:tcPr>
            <w:tcW w:w="2425" w:type="dxa"/>
            <w:vMerge/>
            <w:vAlign w:val="center"/>
            <w:hideMark/>
          </w:tcPr>
          <w:p w:rsidR="00306953" w:rsidRPr="00306953" w:rsidRDefault="00306953" w:rsidP="007E5BD0">
            <w:pPr>
              <w:spacing w:after="0" w:line="240" w:lineRule="auto"/>
              <w:rPr>
                <w:rFonts w:cs="Arial"/>
                <w:color w:val="000000"/>
                <w:sz w:val="16"/>
                <w:szCs w:val="16"/>
              </w:rPr>
            </w:pPr>
          </w:p>
        </w:tc>
        <w:tc>
          <w:tcPr>
            <w:tcW w:w="1701" w:type="dxa"/>
            <w:shd w:val="clear" w:color="auto" w:fill="C6D9F1" w:themeFill="text2" w:themeFillTint="33"/>
            <w:noWrap/>
            <w:vAlign w:val="center"/>
            <w:hideMark/>
          </w:tcPr>
          <w:p w:rsidR="00306953" w:rsidRPr="00631582" w:rsidRDefault="00F53B2E" w:rsidP="007E5BD0">
            <w:pPr>
              <w:spacing w:after="0" w:line="240" w:lineRule="auto"/>
              <w:rPr>
                <w:rFonts w:cs="Arial"/>
                <w:bCs/>
                <w:color w:val="000000"/>
                <w:sz w:val="16"/>
                <w:szCs w:val="16"/>
              </w:rPr>
            </w:pPr>
            <w:r w:rsidRPr="00631582">
              <w:rPr>
                <w:rFonts w:cs="Arial"/>
                <w:bCs/>
                <w:color w:val="000000"/>
                <w:sz w:val="16"/>
                <w:szCs w:val="16"/>
              </w:rPr>
              <w:t>p</w:t>
            </w:r>
            <w:r w:rsidR="00306953" w:rsidRPr="00631582">
              <w:rPr>
                <w:rFonts w:cs="Arial"/>
                <w:bCs/>
                <w:color w:val="000000"/>
                <w:sz w:val="16"/>
                <w:szCs w:val="16"/>
              </w:rPr>
              <w:t>růměr OECD</w:t>
            </w:r>
          </w:p>
        </w:tc>
        <w:tc>
          <w:tcPr>
            <w:tcW w:w="896"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3,45</w:t>
            </w:r>
          </w:p>
        </w:tc>
        <w:tc>
          <w:tcPr>
            <w:tcW w:w="896"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3,61</w:t>
            </w:r>
          </w:p>
        </w:tc>
        <w:tc>
          <w:tcPr>
            <w:tcW w:w="896"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3,58</w:t>
            </w:r>
          </w:p>
        </w:tc>
        <w:tc>
          <w:tcPr>
            <w:tcW w:w="896"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3,75</w:t>
            </w:r>
          </w:p>
        </w:tc>
        <w:tc>
          <w:tcPr>
            <w:tcW w:w="896"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sz w:val="16"/>
                <w:szCs w:val="16"/>
              </w:rPr>
            </w:pPr>
            <w:r w:rsidRPr="00631582">
              <w:rPr>
                <w:rFonts w:cs="Arial"/>
                <w:bCs/>
                <w:sz w:val="16"/>
                <w:szCs w:val="16"/>
              </w:rPr>
              <w:t>3,64</w:t>
            </w:r>
          </w:p>
        </w:tc>
        <w:tc>
          <w:tcPr>
            <w:tcW w:w="896"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sz w:val="16"/>
                <w:szCs w:val="16"/>
              </w:rPr>
            </w:pPr>
            <w:r w:rsidRPr="00631582">
              <w:rPr>
                <w:rFonts w:cs="Arial"/>
                <w:bCs/>
                <w:sz w:val="16"/>
                <w:szCs w:val="16"/>
              </w:rPr>
              <w:t>3,69</w:t>
            </w:r>
          </w:p>
        </w:tc>
      </w:tr>
      <w:tr w:rsidR="00306953" w:rsidRPr="00306953" w:rsidTr="00BF267F">
        <w:trPr>
          <w:trHeight w:val="255"/>
        </w:trPr>
        <w:tc>
          <w:tcPr>
            <w:tcW w:w="2425" w:type="dxa"/>
            <w:vMerge/>
            <w:vAlign w:val="center"/>
            <w:hideMark/>
          </w:tcPr>
          <w:p w:rsidR="00306953" w:rsidRPr="00306953" w:rsidRDefault="00306953" w:rsidP="007E5BD0">
            <w:pPr>
              <w:spacing w:after="0" w:line="240" w:lineRule="auto"/>
              <w:rPr>
                <w:rFonts w:cs="Arial"/>
                <w:color w:val="000000"/>
                <w:sz w:val="16"/>
                <w:szCs w:val="16"/>
              </w:rPr>
            </w:pPr>
          </w:p>
        </w:tc>
        <w:tc>
          <w:tcPr>
            <w:tcW w:w="1701" w:type="dxa"/>
            <w:shd w:val="clear" w:color="auto" w:fill="C6D9F1" w:themeFill="text2" w:themeFillTint="33"/>
            <w:noWrap/>
            <w:vAlign w:val="center"/>
            <w:hideMark/>
          </w:tcPr>
          <w:p w:rsidR="00306953" w:rsidRPr="00631582" w:rsidRDefault="00F53B2E" w:rsidP="007E5BD0">
            <w:pPr>
              <w:spacing w:after="0" w:line="240" w:lineRule="auto"/>
              <w:rPr>
                <w:rFonts w:cs="Arial"/>
                <w:bCs/>
                <w:color w:val="000000"/>
                <w:sz w:val="16"/>
                <w:szCs w:val="16"/>
              </w:rPr>
            </w:pPr>
            <w:r w:rsidRPr="00631582">
              <w:rPr>
                <w:rFonts w:cs="Arial"/>
                <w:bCs/>
                <w:color w:val="000000"/>
                <w:sz w:val="16"/>
                <w:szCs w:val="16"/>
              </w:rPr>
              <w:t>p</w:t>
            </w:r>
            <w:r w:rsidR="00306953" w:rsidRPr="00631582">
              <w:rPr>
                <w:rFonts w:cs="Arial"/>
                <w:bCs/>
                <w:color w:val="000000"/>
                <w:sz w:val="16"/>
                <w:szCs w:val="16"/>
              </w:rPr>
              <w:t>růměr EU21</w:t>
            </w:r>
          </w:p>
        </w:tc>
        <w:tc>
          <w:tcPr>
            <w:tcW w:w="896"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3,28</w:t>
            </w:r>
          </w:p>
        </w:tc>
        <w:tc>
          <w:tcPr>
            <w:tcW w:w="896"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3,52</w:t>
            </w:r>
          </w:p>
        </w:tc>
        <w:tc>
          <w:tcPr>
            <w:tcW w:w="896"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3,48</w:t>
            </w:r>
          </w:p>
        </w:tc>
        <w:tc>
          <w:tcPr>
            <w:tcW w:w="896"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3,69</w:t>
            </w:r>
          </w:p>
        </w:tc>
        <w:tc>
          <w:tcPr>
            <w:tcW w:w="896"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sz w:val="16"/>
                <w:szCs w:val="16"/>
              </w:rPr>
            </w:pPr>
            <w:r w:rsidRPr="00631582">
              <w:rPr>
                <w:rFonts w:cs="Arial"/>
                <w:bCs/>
                <w:sz w:val="16"/>
                <w:szCs w:val="16"/>
              </w:rPr>
              <w:t>3,53</w:t>
            </w:r>
          </w:p>
        </w:tc>
        <w:tc>
          <w:tcPr>
            <w:tcW w:w="896"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sz w:val="16"/>
                <w:szCs w:val="16"/>
              </w:rPr>
            </w:pPr>
            <w:r w:rsidRPr="00631582">
              <w:rPr>
                <w:rFonts w:cs="Arial"/>
                <w:bCs/>
                <w:sz w:val="16"/>
                <w:szCs w:val="16"/>
              </w:rPr>
              <w:t>3,58</w:t>
            </w:r>
          </w:p>
        </w:tc>
      </w:tr>
      <w:tr w:rsidR="00306953" w:rsidRPr="00306953" w:rsidTr="00BF267F">
        <w:trPr>
          <w:trHeight w:val="255"/>
        </w:trPr>
        <w:tc>
          <w:tcPr>
            <w:tcW w:w="2425" w:type="dxa"/>
            <w:vMerge w:val="restart"/>
            <w:shd w:val="clear" w:color="auto" w:fill="auto"/>
            <w:vAlign w:val="center"/>
            <w:hideMark/>
          </w:tcPr>
          <w:p w:rsidR="00306953" w:rsidRPr="00306953" w:rsidRDefault="00EA6A4F" w:rsidP="007E5BD0">
            <w:pPr>
              <w:spacing w:after="0" w:line="240" w:lineRule="auto"/>
              <w:rPr>
                <w:rFonts w:cs="Arial"/>
                <w:color w:val="000000"/>
                <w:sz w:val="16"/>
                <w:szCs w:val="16"/>
              </w:rPr>
            </w:pPr>
            <w:r>
              <w:rPr>
                <w:rFonts w:cs="Arial"/>
                <w:color w:val="000000"/>
                <w:sz w:val="16"/>
                <w:szCs w:val="16"/>
              </w:rPr>
              <w:t>t</w:t>
            </w:r>
            <w:r w:rsidR="00306953" w:rsidRPr="00306953">
              <w:rPr>
                <w:rFonts w:cs="Arial"/>
                <w:color w:val="000000"/>
                <w:sz w:val="16"/>
                <w:szCs w:val="16"/>
              </w:rPr>
              <w:t>erciární vzdělávání</w:t>
            </w:r>
          </w:p>
        </w:tc>
        <w:tc>
          <w:tcPr>
            <w:tcW w:w="1701" w:type="dxa"/>
            <w:shd w:val="clear" w:color="000000" w:fill="FFFFFF"/>
            <w:noWrap/>
            <w:vAlign w:val="center"/>
            <w:hideMark/>
          </w:tcPr>
          <w:p w:rsidR="00306953" w:rsidRPr="00631582" w:rsidRDefault="00306953" w:rsidP="007E5BD0">
            <w:pPr>
              <w:spacing w:after="0" w:line="240" w:lineRule="auto"/>
              <w:rPr>
                <w:rFonts w:cs="Arial"/>
                <w:color w:val="000000"/>
                <w:sz w:val="16"/>
                <w:szCs w:val="16"/>
              </w:rPr>
            </w:pPr>
            <w:r w:rsidRPr="00631582">
              <w:rPr>
                <w:rFonts w:cs="Arial"/>
                <w:color w:val="000000"/>
                <w:sz w:val="16"/>
                <w:szCs w:val="16"/>
              </w:rPr>
              <w:t>Česká republika</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color w:val="000000"/>
                <w:sz w:val="16"/>
                <w:szCs w:val="16"/>
              </w:rPr>
            </w:pPr>
            <w:r w:rsidRPr="00631582">
              <w:rPr>
                <w:rFonts w:cs="Arial"/>
                <w:color w:val="000000"/>
                <w:sz w:val="16"/>
                <w:szCs w:val="16"/>
              </w:rPr>
              <w:t>0,76</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color w:val="000000"/>
                <w:sz w:val="16"/>
                <w:szCs w:val="16"/>
              </w:rPr>
            </w:pPr>
            <w:r w:rsidRPr="00631582">
              <w:rPr>
                <w:rFonts w:cs="Arial"/>
                <w:color w:val="000000"/>
                <w:sz w:val="16"/>
                <w:szCs w:val="16"/>
              </w:rPr>
              <w:t>0,96</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color w:val="000000"/>
                <w:sz w:val="16"/>
                <w:szCs w:val="16"/>
              </w:rPr>
            </w:pPr>
            <w:r w:rsidRPr="00631582">
              <w:rPr>
                <w:rFonts w:cs="Arial"/>
                <w:color w:val="000000"/>
                <w:sz w:val="16"/>
                <w:szCs w:val="16"/>
              </w:rPr>
              <w:t>1,09</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color w:val="000000"/>
                <w:sz w:val="16"/>
                <w:szCs w:val="16"/>
              </w:rPr>
            </w:pPr>
            <w:r w:rsidRPr="00631582">
              <w:rPr>
                <w:rFonts w:cs="Arial"/>
                <w:color w:val="000000"/>
                <w:sz w:val="16"/>
                <w:szCs w:val="16"/>
              </w:rPr>
              <w:t>1,18</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sz w:val="16"/>
                <w:szCs w:val="16"/>
              </w:rPr>
            </w:pPr>
            <w:r w:rsidRPr="00631582">
              <w:rPr>
                <w:rFonts w:cs="Arial"/>
                <w:sz w:val="16"/>
                <w:szCs w:val="16"/>
              </w:rPr>
              <w:t>1,36</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sz w:val="16"/>
                <w:szCs w:val="16"/>
              </w:rPr>
            </w:pPr>
            <w:r w:rsidRPr="00631582">
              <w:rPr>
                <w:rFonts w:cs="Arial"/>
                <w:sz w:val="16"/>
                <w:szCs w:val="16"/>
              </w:rPr>
              <w:t>1,44</w:t>
            </w:r>
          </w:p>
        </w:tc>
      </w:tr>
      <w:tr w:rsidR="00306953" w:rsidRPr="00306953" w:rsidTr="00BF267F">
        <w:trPr>
          <w:trHeight w:val="255"/>
        </w:trPr>
        <w:tc>
          <w:tcPr>
            <w:tcW w:w="2425" w:type="dxa"/>
            <w:vMerge/>
            <w:vAlign w:val="center"/>
            <w:hideMark/>
          </w:tcPr>
          <w:p w:rsidR="00306953" w:rsidRPr="00306953" w:rsidRDefault="00306953" w:rsidP="007E5BD0">
            <w:pPr>
              <w:spacing w:after="0" w:line="240" w:lineRule="auto"/>
              <w:rPr>
                <w:rFonts w:cs="Arial"/>
                <w:color w:val="000000"/>
                <w:sz w:val="16"/>
                <w:szCs w:val="16"/>
              </w:rPr>
            </w:pPr>
          </w:p>
        </w:tc>
        <w:tc>
          <w:tcPr>
            <w:tcW w:w="1701" w:type="dxa"/>
            <w:shd w:val="clear" w:color="000000" w:fill="FFFFFF"/>
            <w:noWrap/>
            <w:vAlign w:val="center"/>
            <w:hideMark/>
          </w:tcPr>
          <w:p w:rsidR="00306953" w:rsidRPr="00631582" w:rsidRDefault="00306953" w:rsidP="007E5BD0">
            <w:pPr>
              <w:spacing w:after="0" w:line="240" w:lineRule="auto"/>
              <w:rPr>
                <w:rFonts w:cs="Arial"/>
                <w:color w:val="000000"/>
                <w:sz w:val="16"/>
                <w:szCs w:val="16"/>
              </w:rPr>
            </w:pPr>
            <w:r w:rsidRPr="00631582">
              <w:rPr>
                <w:rFonts w:cs="Arial"/>
                <w:color w:val="000000"/>
                <w:sz w:val="16"/>
                <w:szCs w:val="16"/>
              </w:rPr>
              <w:t>Polsko</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color w:val="000000"/>
                <w:sz w:val="16"/>
                <w:szCs w:val="16"/>
              </w:rPr>
            </w:pPr>
            <w:r w:rsidRPr="00631582">
              <w:rPr>
                <w:rFonts w:cs="Arial"/>
                <w:color w:val="000000"/>
                <w:sz w:val="16"/>
                <w:szCs w:val="16"/>
              </w:rPr>
              <w:t>1,06</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color w:val="000000"/>
                <w:sz w:val="16"/>
                <w:szCs w:val="16"/>
              </w:rPr>
            </w:pPr>
            <w:r w:rsidRPr="00631582">
              <w:rPr>
                <w:rFonts w:cs="Arial"/>
                <w:color w:val="000000"/>
                <w:sz w:val="16"/>
                <w:szCs w:val="16"/>
              </w:rPr>
              <w:t>1,58</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color w:val="000000"/>
                <w:sz w:val="16"/>
                <w:szCs w:val="16"/>
              </w:rPr>
            </w:pPr>
            <w:r w:rsidRPr="00631582">
              <w:rPr>
                <w:rFonts w:cs="Arial"/>
                <w:color w:val="000000"/>
                <w:sz w:val="16"/>
                <w:szCs w:val="16"/>
              </w:rPr>
              <w:t>1,49</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color w:val="000000"/>
                <w:sz w:val="16"/>
                <w:szCs w:val="16"/>
              </w:rPr>
            </w:pPr>
            <w:r w:rsidRPr="00631582">
              <w:rPr>
                <w:rFonts w:cs="Arial"/>
                <w:color w:val="000000"/>
                <w:sz w:val="16"/>
                <w:szCs w:val="16"/>
              </w:rPr>
              <w:t>1,49</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sz w:val="16"/>
                <w:szCs w:val="16"/>
              </w:rPr>
            </w:pPr>
            <w:r w:rsidRPr="00631582">
              <w:rPr>
                <w:rFonts w:cs="Arial"/>
                <w:sz w:val="16"/>
                <w:szCs w:val="16"/>
              </w:rPr>
              <w:t>1,28</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sz w:val="16"/>
                <w:szCs w:val="16"/>
              </w:rPr>
            </w:pPr>
            <w:r w:rsidRPr="00631582">
              <w:rPr>
                <w:rFonts w:cs="Arial"/>
                <w:sz w:val="16"/>
                <w:szCs w:val="16"/>
              </w:rPr>
              <w:t>1,33</w:t>
            </w:r>
          </w:p>
        </w:tc>
      </w:tr>
      <w:tr w:rsidR="00306953" w:rsidRPr="00306953" w:rsidTr="00BF267F">
        <w:trPr>
          <w:trHeight w:val="255"/>
        </w:trPr>
        <w:tc>
          <w:tcPr>
            <w:tcW w:w="2425" w:type="dxa"/>
            <w:vMerge/>
            <w:vAlign w:val="center"/>
            <w:hideMark/>
          </w:tcPr>
          <w:p w:rsidR="00306953" w:rsidRPr="00306953" w:rsidRDefault="00306953" w:rsidP="007E5BD0">
            <w:pPr>
              <w:spacing w:after="0" w:line="240" w:lineRule="auto"/>
              <w:rPr>
                <w:rFonts w:cs="Arial"/>
                <w:color w:val="000000"/>
                <w:sz w:val="16"/>
                <w:szCs w:val="16"/>
              </w:rPr>
            </w:pPr>
          </w:p>
        </w:tc>
        <w:tc>
          <w:tcPr>
            <w:tcW w:w="1701" w:type="dxa"/>
            <w:shd w:val="clear" w:color="000000" w:fill="FFFFFF"/>
            <w:noWrap/>
            <w:vAlign w:val="center"/>
            <w:hideMark/>
          </w:tcPr>
          <w:p w:rsidR="00306953" w:rsidRPr="00631582" w:rsidRDefault="00306953" w:rsidP="007E5BD0">
            <w:pPr>
              <w:spacing w:after="0" w:line="240" w:lineRule="auto"/>
              <w:rPr>
                <w:rFonts w:cs="Arial"/>
                <w:color w:val="000000"/>
                <w:sz w:val="16"/>
                <w:szCs w:val="16"/>
              </w:rPr>
            </w:pPr>
            <w:r w:rsidRPr="00631582">
              <w:rPr>
                <w:rFonts w:cs="Arial"/>
                <w:color w:val="000000"/>
                <w:sz w:val="16"/>
                <w:szCs w:val="16"/>
              </w:rPr>
              <w:t>Slovensko</w:t>
            </w:r>
            <w:r w:rsidRPr="00631582">
              <w:rPr>
                <w:rFonts w:cs="Arial"/>
                <w:color w:val="000000"/>
                <w:sz w:val="16"/>
                <w:szCs w:val="16"/>
                <w:vertAlign w:val="superscript"/>
              </w:rPr>
              <w:t>1)</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color w:val="000000"/>
                <w:sz w:val="16"/>
                <w:szCs w:val="16"/>
              </w:rPr>
            </w:pPr>
            <w:r w:rsidRPr="00631582">
              <w:rPr>
                <w:rFonts w:cs="Arial"/>
                <w:color w:val="000000"/>
                <w:sz w:val="16"/>
                <w:szCs w:val="16"/>
              </w:rPr>
              <w:t>0,77</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color w:val="000000"/>
                <w:sz w:val="16"/>
                <w:szCs w:val="16"/>
              </w:rPr>
            </w:pPr>
            <w:r w:rsidRPr="00631582">
              <w:rPr>
                <w:rFonts w:cs="Arial"/>
                <w:color w:val="000000"/>
                <w:sz w:val="16"/>
                <w:szCs w:val="16"/>
              </w:rPr>
              <w:t>0,89</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color w:val="000000"/>
                <w:sz w:val="16"/>
                <w:szCs w:val="16"/>
              </w:rPr>
            </w:pPr>
            <w:r w:rsidRPr="00631582">
              <w:rPr>
                <w:rFonts w:cs="Arial"/>
                <w:color w:val="000000"/>
                <w:sz w:val="16"/>
                <w:szCs w:val="16"/>
              </w:rPr>
              <w:t>0,87</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color w:val="000000"/>
                <w:sz w:val="16"/>
                <w:szCs w:val="16"/>
              </w:rPr>
            </w:pPr>
            <w:r w:rsidRPr="00631582">
              <w:rPr>
                <w:rFonts w:cs="Arial"/>
                <w:color w:val="000000"/>
                <w:sz w:val="16"/>
                <w:szCs w:val="16"/>
              </w:rPr>
              <w:t>0,91</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sz w:val="16"/>
                <w:szCs w:val="16"/>
              </w:rPr>
            </w:pPr>
            <w:r w:rsidRPr="00631582">
              <w:rPr>
                <w:rFonts w:cs="Arial"/>
                <w:sz w:val="16"/>
                <w:szCs w:val="16"/>
              </w:rPr>
              <w:t>0,98</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sz w:val="16"/>
                <w:szCs w:val="16"/>
              </w:rPr>
            </w:pPr>
            <w:r w:rsidRPr="00631582">
              <w:rPr>
                <w:rFonts w:cs="Arial"/>
                <w:sz w:val="16"/>
                <w:szCs w:val="16"/>
              </w:rPr>
              <w:t>1,04</w:t>
            </w:r>
          </w:p>
        </w:tc>
      </w:tr>
      <w:tr w:rsidR="00306953" w:rsidRPr="00306953" w:rsidTr="00BF267F">
        <w:trPr>
          <w:trHeight w:val="255"/>
        </w:trPr>
        <w:tc>
          <w:tcPr>
            <w:tcW w:w="2425" w:type="dxa"/>
            <w:vMerge/>
            <w:vAlign w:val="center"/>
            <w:hideMark/>
          </w:tcPr>
          <w:p w:rsidR="00306953" w:rsidRPr="00306953" w:rsidRDefault="00306953" w:rsidP="007E5BD0">
            <w:pPr>
              <w:spacing w:after="0" w:line="240" w:lineRule="auto"/>
              <w:rPr>
                <w:rFonts w:cs="Arial"/>
                <w:color w:val="000000"/>
                <w:sz w:val="16"/>
                <w:szCs w:val="16"/>
              </w:rPr>
            </w:pPr>
          </w:p>
        </w:tc>
        <w:tc>
          <w:tcPr>
            <w:tcW w:w="1701" w:type="dxa"/>
            <w:shd w:val="clear" w:color="000000" w:fill="FFFFFF"/>
            <w:noWrap/>
            <w:vAlign w:val="center"/>
            <w:hideMark/>
          </w:tcPr>
          <w:p w:rsidR="00306953" w:rsidRPr="00631582" w:rsidRDefault="00306953" w:rsidP="007E5BD0">
            <w:pPr>
              <w:spacing w:after="0" w:line="240" w:lineRule="auto"/>
              <w:rPr>
                <w:rFonts w:cs="Arial"/>
                <w:color w:val="000000"/>
                <w:sz w:val="16"/>
                <w:szCs w:val="16"/>
              </w:rPr>
            </w:pPr>
            <w:r w:rsidRPr="00631582">
              <w:rPr>
                <w:rFonts w:cs="Arial"/>
                <w:color w:val="000000"/>
                <w:sz w:val="16"/>
                <w:szCs w:val="16"/>
              </w:rPr>
              <w:t>Finsko</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color w:val="000000"/>
                <w:sz w:val="16"/>
                <w:szCs w:val="16"/>
              </w:rPr>
            </w:pPr>
            <w:r w:rsidRPr="00631582">
              <w:rPr>
                <w:rFonts w:cs="Arial"/>
                <w:color w:val="000000"/>
                <w:sz w:val="16"/>
                <w:szCs w:val="16"/>
              </w:rPr>
              <w:t>1,65</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color w:val="000000"/>
                <w:sz w:val="16"/>
                <w:szCs w:val="16"/>
              </w:rPr>
            </w:pPr>
            <w:r w:rsidRPr="00631582">
              <w:rPr>
                <w:rFonts w:cs="Arial"/>
                <w:color w:val="000000"/>
                <w:sz w:val="16"/>
                <w:szCs w:val="16"/>
              </w:rPr>
              <w:t>1,66</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color w:val="000000"/>
                <w:sz w:val="16"/>
                <w:szCs w:val="16"/>
              </w:rPr>
            </w:pPr>
            <w:r w:rsidRPr="00631582">
              <w:rPr>
                <w:rFonts w:cs="Arial"/>
                <w:color w:val="000000"/>
                <w:sz w:val="16"/>
                <w:szCs w:val="16"/>
              </w:rPr>
              <w:t>1,62</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color w:val="000000"/>
                <w:sz w:val="16"/>
                <w:szCs w:val="16"/>
              </w:rPr>
            </w:pPr>
            <w:r w:rsidRPr="00631582">
              <w:rPr>
                <w:rFonts w:cs="Arial"/>
                <w:color w:val="000000"/>
                <w:sz w:val="16"/>
                <w:szCs w:val="16"/>
              </w:rPr>
              <w:t>1,84</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sz w:val="16"/>
                <w:szCs w:val="16"/>
              </w:rPr>
            </w:pPr>
            <w:r w:rsidRPr="00631582">
              <w:rPr>
                <w:rFonts w:cs="Arial"/>
                <w:sz w:val="16"/>
                <w:szCs w:val="16"/>
              </w:rPr>
              <w:t>1,86</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sz w:val="16"/>
                <w:szCs w:val="16"/>
              </w:rPr>
            </w:pPr>
            <w:r w:rsidRPr="00631582">
              <w:rPr>
                <w:rFonts w:cs="Arial"/>
                <w:sz w:val="16"/>
                <w:szCs w:val="16"/>
              </w:rPr>
              <w:t>1,85</w:t>
            </w:r>
          </w:p>
        </w:tc>
      </w:tr>
      <w:tr w:rsidR="00306953" w:rsidRPr="00306953" w:rsidTr="00BF267F">
        <w:trPr>
          <w:trHeight w:val="255"/>
        </w:trPr>
        <w:tc>
          <w:tcPr>
            <w:tcW w:w="2425" w:type="dxa"/>
            <w:vMerge/>
            <w:vAlign w:val="center"/>
            <w:hideMark/>
          </w:tcPr>
          <w:p w:rsidR="00306953" w:rsidRPr="00306953" w:rsidRDefault="00306953" w:rsidP="007E5BD0">
            <w:pPr>
              <w:spacing w:after="0" w:line="240" w:lineRule="auto"/>
              <w:rPr>
                <w:rFonts w:cs="Arial"/>
                <w:color w:val="000000"/>
                <w:sz w:val="16"/>
                <w:szCs w:val="16"/>
              </w:rPr>
            </w:pPr>
          </w:p>
        </w:tc>
        <w:tc>
          <w:tcPr>
            <w:tcW w:w="1701" w:type="dxa"/>
            <w:shd w:val="clear" w:color="auto" w:fill="C6D9F1" w:themeFill="text2" w:themeFillTint="33"/>
            <w:noWrap/>
            <w:vAlign w:val="center"/>
            <w:hideMark/>
          </w:tcPr>
          <w:p w:rsidR="00306953" w:rsidRPr="00631582" w:rsidRDefault="00F53B2E" w:rsidP="007E5BD0">
            <w:pPr>
              <w:spacing w:after="0" w:line="240" w:lineRule="auto"/>
              <w:rPr>
                <w:rFonts w:cs="Arial"/>
                <w:bCs/>
                <w:color w:val="000000"/>
                <w:sz w:val="16"/>
                <w:szCs w:val="16"/>
              </w:rPr>
            </w:pPr>
            <w:r w:rsidRPr="00631582">
              <w:rPr>
                <w:rFonts w:cs="Arial"/>
                <w:bCs/>
                <w:color w:val="000000"/>
                <w:sz w:val="16"/>
                <w:szCs w:val="16"/>
              </w:rPr>
              <w:t>p</w:t>
            </w:r>
            <w:r w:rsidR="00306953" w:rsidRPr="00631582">
              <w:rPr>
                <w:rFonts w:cs="Arial"/>
                <w:bCs/>
                <w:color w:val="000000"/>
                <w:sz w:val="16"/>
                <w:szCs w:val="16"/>
              </w:rPr>
              <w:t>růměr OECD</w:t>
            </w:r>
          </w:p>
        </w:tc>
        <w:tc>
          <w:tcPr>
            <w:tcW w:w="896"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1,31</w:t>
            </w:r>
          </w:p>
        </w:tc>
        <w:tc>
          <w:tcPr>
            <w:tcW w:w="896"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1,41</w:t>
            </w:r>
          </w:p>
        </w:tc>
        <w:tc>
          <w:tcPr>
            <w:tcW w:w="896"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1,43</w:t>
            </w:r>
          </w:p>
        </w:tc>
        <w:tc>
          <w:tcPr>
            <w:tcW w:w="896"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1,54</w:t>
            </w:r>
          </w:p>
        </w:tc>
        <w:tc>
          <w:tcPr>
            <w:tcW w:w="896"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sz w:val="16"/>
                <w:szCs w:val="16"/>
              </w:rPr>
            </w:pPr>
            <w:r w:rsidRPr="00631582">
              <w:rPr>
                <w:rFonts w:cs="Arial"/>
                <w:bCs/>
                <w:sz w:val="16"/>
                <w:szCs w:val="16"/>
              </w:rPr>
              <w:t>1,54</w:t>
            </w:r>
          </w:p>
        </w:tc>
        <w:tc>
          <w:tcPr>
            <w:tcW w:w="896"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sz w:val="16"/>
                <w:szCs w:val="16"/>
              </w:rPr>
            </w:pPr>
            <w:r w:rsidRPr="00631582">
              <w:rPr>
                <w:rFonts w:cs="Arial"/>
                <w:bCs/>
                <w:sz w:val="16"/>
                <w:szCs w:val="16"/>
              </w:rPr>
              <w:t>1,54</w:t>
            </w:r>
          </w:p>
        </w:tc>
      </w:tr>
      <w:tr w:rsidR="00306953" w:rsidRPr="00306953" w:rsidTr="00BF267F">
        <w:trPr>
          <w:trHeight w:val="382"/>
        </w:trPr>
        <w:tc>
          <w:tcPr>
            <w:tcW w:w="2425" w:type="dxa"/>
            <w:vMerge/>
            <w:vAlign w:val="center"/>
            <w:hideMark/>
          </w:tcPr>
          <w:p w:rsidR="00306953" w:rsidRPr="00306953" w:rsidRDefault="00306953" w:rsidP="007E5BD0">
            <w:pPr>
              <w:spacing w:after="0" w:line="240" w:lineRule="auto"/>
              <w:rPr>
                <w:rFonts w:cs="Arial"/>
                <w:color w:val="000000"/>
                <w:sz w:val="16"/>
                <w:szCs w:val="16"/>
              </w:rPr>
            </w:pPr>
          </w:p>
        </w:tc>
        <w:tc>
          <w:tcPr>
            <w:tcW w:w="1701" w:type="dxa"/>
            <w:shd w:val="clear" w:color="auto" w:fill="C6D9F1" w:themeFill="text2" w:themeFillTint="33"/>
            <w:noWrap/>
            <w:vAlign w:val="center"/>
            <w:hideMark/>
          </w:tcPr>
          <w:p w:rsidR="00306953" w:rsidRPr="00631582" w:rsidRDefault="00F53B2E" w:rsidP="007E5BD0">
            <w:pPr>
              <w:spacing w:after="0" w:line="240" w:lineRule="auto"/>
              <w:rPr>
                <w:rFonts w:cs="Arial"/>
                <w:bCs/>
                <w:color w:val="000000"/>
                <w:sz w:val="16"/>
                <w:szCs w:val="16"/>
              </w:rPr>
            </w:pPr>
            <w:r w:rsidRPr="00631582">
              <w:rPr>
                <w:rFonts w:cs="Arial"/>
                <w:bCs/>
                <w:color w:val="000000"/>
                <w:sz w:val="16"/>
                <w:szCs w:val="16"/>
              </w:rPr>
              <w:t>p</w:t>
            </w:r>
            <w:r w:rsidR="00306953" w:rsidRPr="00631582">
              <w:rPr>
                <w:rFonts w:cs="Arial"/>
                <w:bCs/>
                <w:color w:val="000000"/>
                <w:sz w:val="16"/>
                <w:szCs w:val="16"/>
              </w:rPr>
              <w:t>růměr EU21</w:t>
            </w:r>
          </w:p>
        </w:tc>
        <w:tc>
          <w:tcPr>
            <w:tcW w:w="896"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1,13</w:t>
            </w:r>
          </w:p>
        </w:tc>
        <w:tc>
          <w:tcPr>
            <w:tcW w:w="896"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1,25</w:t>
            </w:r>
          </w:p>
        </w:tc>
        <w:tc>
          <w:tcPr>
            <w:tcW w:w="896"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1,27</w:t>
            </w:r>
          </w:p>
        </w:tc>
        <w:tc>
          <w:tcPr>
            <w:tcW w:w="896"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1,38</w:t>
            </w:r>
          </w:p>
        </w:tc>
        <w:tc>
          <w:tcPr>
            <w:tcW w:w="896"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sz w:val="16"/>
                <w:szCs w:val="16"/>
              </w:rPr>
            </w:pPr>
            <w:r w:rsidRPr="00631582">
              <w:rPr>
                <w:rFonts w:cs="Arial"/>
                <w:bCs/>
                <w:sz w:val="16"/>
                <w:szCs w:val="16"/>
              </w:rPr>
              <w:t>1,39</w:t>
            </w:r>
          </w:p>
        </w:tc>
        <w:tc>
          <w:tcPr>
            <w:tcW w:w="896"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sz w:val="16"/>
                <w:szCs w:val="16"/>
              </w:rPr>
            </w:pPr>
            <w:r w:rsidRPr="00631582">
              <w:rPr>
                <w:rFonts w:cs="Arial"/>
                <w:bCs/>
                <w:sz w:val="16"/>
                <w:szCs w:val="16"/>
              </w:rPr>
              <w:t>1,36</w:t>
            </w:r>
          </w:p>
        </w:tc>
      </w:tr>
      <w:tr w:rsidR="00306953" w:rsidRPr="00306953" w:rsidTr="00BF267F">
        <w:trPr>
          <w:trHeight w:val="255"/>
        </w:trPr>
        <w:tc>
          <w:tcPr>
            <w:tcW w:w="2425" w:type="dxa"/>
            <w:vMerge w:val="restart"/>
            <w:shd w:val="clear" w:color="auto" w:fill="auto"/>
            <w:vAlign w:val="center"/>
            <w:hideMark/>
          </w:tcPr>
          <w:p w:rsidR="00306953" w:rsidRPr="00306953" w:rsidRDefault="00EA6A4F" w:rsidP="007E5BD0">
            <w:pPr>
              <w:spacing w:after="0" w:line="240" w:lineRule="auto"/>
              <w:rPr>
                <w:rFonts w:cs="Arial"/>
                <w:color w:val="000000"/>
                <w:sz w:val="16"/>
                <w:szCs w:val="16"/>
              </w:rPr>
            </w:pPr>
            <w:r>
              <w:rPr>
                <w:rFonts w:cs="Arial"/>
                <w:color w:val="000000"/>
                <w:sz w:val="16"/>
                <w:szCs w:val="16"/>
              </w:rPr>
              <w:t>c</w:t>
            </w:r>
            <w:r w:rsidR="00306953" w:rsidRPr="00306953">
              <w:rPr>
                <w:rFonts w:cs="Arial"/>
                <w:color w:val="000000"/>
                <w:sz w:val="16"/>
                <w:szCs w:val="16"/>
              </w:rPr>
              <w:t>elkem za všechny úrovně vzdělávání</w:t>
            </w:r>
          </w:p>
          <w:p w:rsidR="00306953" w:rsidRPr="00306953" w:rsidRDefault="00306953" w:rsidP="007E5BD0">
            <w:pPr>
              <w:spacing w:after="0" w:line="240" w:lineRule="auto"/>
              <w:rPr>
                <w:rFonts w:cs="Arial"/>
                <w:color w:val="000000"/>
                <w:sz w:val="16"/>
                <w:szCs w:val="16"/>
              </w:rPr>
            </w:pPr>
            <w:r w:rsidRPr="00306953">
              <w:rPr>
                <w:rFonts w:cs="Arial"/>
                <w:color w:val="000000"/>
                <w:sz w:val="16"/>
                <w:szCs w:val="16"/>
              </w:rPr>
              <w:t>(bez nezatříděných programů)</w:t>
            </w:r>
          </w:p>
        </w:tc>
        <w:tc>
          <w:tcPr>
            <w:tcW w:w="1701" w:type="dxa"/>
            <w:shd w:val="clear" w:color="000000" w:fill="FFFFFF"/>
            <w:noWrap/>
            <w:vAlign w:val="center"/>
            <w:hideMark/>
          </w:tcPr>
          <w:p w:rsidR="00306953" w:rsidRPr="00631582" w:rsidRDefault="00306953" w:rsidP="007E5BD0">
            <w:pPr>
              <w:spacing w:after="0" w:line="240" w:lineRule="auto"/>
              <w:rPr>
                <w:rFonts w:cs="Arial"/>
                <w:color w:val="000000"/>
                <w:sz w:val="16"/>
                <w:szCs w:val="16"/>
              </w:rPr>
            </w:pPr>
            <w:r w:rsidRPr="00631582">
              <w:rPr>
                <w:rFonts w:cs="Arial"/>
                <w:color w:val="000000"/>
                <w:sz w:val="16"/>
                <w:szCs w:val="16"/>
              </w:rPr>
              <w:t>Česká republika</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color w:val="000000"/>
                <w:sz w:val="16"/>
                <w:szCs w:val="16"/>
              </w:rPr>
            </w:pPr>
            <w:r w:rsidRPr="00631582">
              <w:rPr>
                <w:rFonts w:cs="Arial"/>
                <w:color w:val="000000"/>
                <w:sz w:val="16"/>
                <w:szCs w:val="16"/>
              </w:rPr>
              <w:t>3,33</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color w:val="000000"/>
                <w:sz w:val="16"/>
                <w:szCs w:val="16"/>
              </w:rPr>
            </w:pPr>
            <w:r w:rsidRPr="00631582">
              <w:rPr>
                <w:rFonts w:cs="Arial"/>
                <w:color w:val="000000"/>
                <w:sz w:val="16"/>
                <w:szCs w:val="16"/>
              </w:rPr>
              <w:t>3,72</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color w:val="000000"/>
                <w:sz w:val="16"/>
                <w:szCs w:val="16"/>
              </w:rPr>
            </w:pPr>
            <w:r w:rsidRPr="00631582">
              <w:rPr>
                <w:rFonts w:cs="Arial"/>
                <w:color w:val="000000"/>
                <w:sz w:val="16"/>
                <w:szCs w:val="16"/>
              </w:rPr>
              <w:t>3,62</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color w:val="000000"/>
                <w:sz w:val="16"/>
                <w:szCs w:val="16"/>
              </w:rPr>
            </w:pPr>
            <w:r w:rsidRPr="00631582">
              <w:rPr>
                <w:rFonts w:cs="Arial"/>
                <w:color w:val="000000"/>
                <w:sz w:val="16"/>
                <w:szCs w:val="16"/>
              </w:rPr>
              <w:t>3,88</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sz w:val="16"/>
                <w:szCs w:val="16"/>
              </w:rPr>
            </w:pPr>
            <w:r w:rsidRPr="00631582">
              <w:rPr>
                <w:rFonts w:cs="Arial"/>
                <w:sz w:val="16"/>
                <w:szCs w:val="16"/>
              </w:rPr>
              <w:t>4,09</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sz w:val="16"/>
                <w:szCs w:val="16"/>
              </w:rPr>
            </w:pPr>
            <w:r w:rsidRPr="00631582">
              <w:rPr>
                <w:rFonts w:cs="Arial"/>
                <w:sz w:val="16"/>
                <w:szCs w:val="16"/>
              </w:rPr>
              <w:t>4,20</w:t>
            </w:r>
          </w:p>
        </w:tc>
      </w:tr>
      <w:tr w:rsidR="00306953" w:rsidRPr="00306953" w:rsidTr="00BF267F">
        <w:trPr>
          <w:trHeight w:val="255"/>
        </w:trPr>
        <w:tc>
          <w:tcPr>
            <w:tcW w:w="2425" w:type="dxa"/>
            <w:vMerge/>
            <w:vAlign w:val="center"/>
            <w:hideMark/>
          </w:tcPr>
          <w:p w:rsidR="00306953" w:rsidRPr="00306953" w:rsidRDefault="00306953" w:rsidP="007E5BD0">
            <w:pPr>
              <w:spacing w:after="0" w:line="240" w:lineRule="auto"/>
              <w:rPr>
                <w:rFonts w:cs="Arial"/>
                <w:color w:val="000000"/>
                <w:sz w:val="16"/>
                <w:szCs w:val="16"/>
              </w:rPr>
            </w:pPr>
          </w:p>
        </w:tc>
        <w:tc>
          <w:tcPr>
            <w:tcW w:w="1701" w:type="dxa"/>
            <w:shd w:val="clear" w:color="000000" w:fill="FFFFFF"/>
            <w:noWrap/>
            <w:vAlign w:val="center"/>
            <w:hideMark/>
          </w:tcPr>
          <w:p w:rsidR="00306953" w:rsidRPr="00631582" w:rsidRDefault="00306953" w:rsidP="007E5BD0">
            <w:pPr>
              <w:spacing w:after="0" w:line="240" w:lineRule="auto"/>
              <w:rPr>
                <w:rFonts w:cs="Arial"/>
                <w:color w:val="000000"/>
                <w:sz w:val="16"/>
                <w:szCs w:val="16"/>
              </w:rPr>
            </w:pPr>
            <w:r w:rsidRPr="00631582">
              <w:rPr>
                <w:rFonts w:cs="Arial"/>
                <w:color w:val="000000"/>
                <w:sz w:val="16"/>
                <w:szCs w:val="16"/>
              </w:rPr>
              <w:t>Polsko</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color w:val="000000"/>
                <w:sz w:val="16"/>
                <w:szCs w:val="16"/>
              </w:rPr>
            </w:pPr>
            <w:r w:rsidRPr="00631582">
              <w:rPr>
                <w:rFonts w:cs="Arial"/>
                <w:color w:val="000000"/>
                <w:sz w:val="16"/>
                <w:szCs w:val="16"/>
              </w:rPr>
              <w:t>4,93</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color w:val="000000"/>
                <w:sz w:val="16"/>
                <w:szCs w:val="16"/>
              </w:rPr>
            </w:pPr>
            <w:r w:rsidRPr="00631582">
              <w:rPr>
                <w:rFonts w:cs="Arial"/>
                <w:color w:val="000000"/>
                <w:sz w:val="16"/>
                <w:szCs w:val="16"/>
              </w:rPr>
              <w:t>5,31</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color w:val="000000"/>
                <w:sz w:val="16"/>
                <w:szCs w:val="16"/>
              </w:rPr>
            </w:pPr>
            <w:r w:rsidRPr="00631582">
              <w:rPr>
                <w:rFonts w:cs="Arial"/>
                <w:color w:val="000000"/>
                <w:sz w:val="16"/>
                <w:szCs w:val="16"/>
              </w:rPr>
              <w:t>5,09</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color w:val="000000"/>
                <w:sz w:val="16"/>
                <w:szCs w:val="16"/>
              </w:rPr>
            </w:pPr>
            <w:r w:rsidRPr="00631582">
              <w:rPr>
                <w:rFonts w:cs="Arial"/>
                <w:color w:val="000000"/>
                <w:sz w:val="16"/>
                <w:szCs w:val="16"/>
              </w:rPr>
              <w:t>5,09</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sz w:val="16"/>
                <w:szCs w:val="16"/>
              </w:rPr>
            </w:pPr>
            <w:r w:rsidRPr="00631582">
              <w:rPr>
                <w:rFonts w:cs="Arial"/>
                <w:sz w:val="16"/>
                <w:szCs w:val="16"/>
              </w:rPr>
              <w:t>4,67</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sz w:val="16"/>
                <w:szCs w:val="16"/>
              </w:rPr>
            </w:pPr>
            <w:r w:rsidRPr="00631582">
              <w:rPr>
                <w:rFonts w:cs="Arial"/>
                <w:sz w:val="16"/>
                <w:szCs w:val="16"/>
              </w:rPr>
              <w:t>4,78</w:t>
            </w:r>
          </w:p>
        </w:tc>
      </w:tr>
      <w:tr w:rsidR="00306953" w:rsidRPr="00306953" w:rsidTr="00BF267F">
        <w:trPr>
          <w:trHeight w:val="255"/>
        </w:trPr>
        <w:tc>
          <w:tcPr>
            <w:tcW w:w="2425" w:type="dxa"/>
            <w:vMerge/>
            <w:vAlign w:val="center"/>
            <w:hideMark/>
          </w:tcPr>
          <w:p w:rsidR="00306953" w:rsidRPr="00306953" w:rsidRDefault="00306953" w:rsidP="007E5BD0">
            <w:pPr>
              <w:spacing w:after="0" w:line="240" w:lineRule="auto"/>
              <w:rPr>
                <w:rFonts w:cs="Arial"/>
                <w:color w:val="000000"/>
                <w:sz w:val="16"/>
                <w:szCs w:val="16"/>
              </w:rPr>
            </w:pPr>
          </w:p>
        </w:tc>
        <w:tc>
          <w:tcPr>
            <w:tcW w:w="1701" w:type="dxa"/>
            <w:shd w:val="clear" w:color="000000" w:fill="FFFFFF"/>
            <w:noWrap/>
            <w:vAlign w:val="center"/>
            <w:hideMark/>
          </w:tcPr>
          <w:p w:rsidR="00306953" w:rsidRPr="001C5E40" w:rsidRDefault="00306953" w:rsidP="007E5BD0">
            <w:pPr>
              <w:spacing w:after="0" w:line="240" w:lineRule="auto"/>
              <w:rPr>
                <w:rFonts w:cs="Arial"/>
                <w:color w:val="000000"/>
                <w:sz w:val="16"/>
                <w:szCs w:val="16"/>
              </w:rPr>
            </w:pPr>
            <w:r w:rsidRPr="001C5E40">
              <w:rPr>
                <w:rFonts w:cs="Arial"/>
                <w:color w:val="000000"/>
                <w:sz w:val="16"/>
                <w:szCs w:val="16"/>
              </w:rPr>
              <w:t>Slovensko</w:t>
            </w:r>
            <w:r w:rsidRPr="001C5E40">
              <w:rPr>
                <w:rFonts w:cs="Arial"/>
                <w:color w:val="000000"/>
                <w:sz w:val="16"/>
                <w:szCs w:val="16"/>
                <w:vertAlign w:val="superscript"/>
              </w:rPr>
              <w:t>1)</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color w:val="000000"/>
                <w:sz w:val="16"/>
                <w:szCs w:val="16"/>
              </w:rPr>
            </w:pPr>
            <w:r w:rsidRPr="00631582">
              <w:rPr>
                <w:rFonts w:cs="Arial"/>
                <w:color w:val="000000"/>
                <w:sz w:val="16"/>
                <w:szCs w:val="16"/>
              </w:rPr>
              <w:t>3,41</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color w:val="000000"/>
                <w:sz w:val="16"/>
                <w:szCs w:val="16"/>
              </w:rPr>
            </w:pPr>
            <w:r w:rsidRPr="00631582">
              <w:rPr>
                <w:rFonts w:cs="Arial"/>
                <w:color w:val="000000"/>
                <w:sz w:val="16"/>
                <w:szCs w:val="16"/>
              </w:rPr>
              <w:t>3,70</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color w:val="000000"/>
                <w:sz w:val="16"/>
                <w:szCs w:val="16"/>
              </w:rPr>
            </w:pPr>
            <w:r w:rsidRPr="00631582">
              <w:rPr>
                <w:rFonts w:cs="Arial"/>
                <w:color w:val="000000"/>
                <w:sz w:val="16"/>
                <w:szCs w:val="16"/>
              </w:rPr>
              <w:t>3,44</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color w:val="000000"/>
                <w:sz w:val="16"/>
                <w:szCs w:val="16"/>
              </w:rPr>
            </w:pPr>
            <w:r w:rsidRPr="00631582">
              <w:rPr>
                <w:rFonts w:cs="Arial"/>
                <w:color w:val="000000"/>
                <w:sz w:val="16"/>
                <w:szCs w:val="16"/>
              </w:rPr>
              <w:t>3,92</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sz w:val="16"/>
                <w:szCs w:val="16"/>
              </w:rPr>
            </w:pPr>
            <w:r w:rsidRPr="00631582">
              <w:rPr>
                <w:rFonts w:cs="Arial"/>
                <w:sz w:val="16"/>
                <w:szCs w:val="16"/>
              </w:rPr>
              <w:t>3,71</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sz w:val="16"/>
                <w:szCs w:val="16"/>
              </w:rPr>
            </w:pPr>
            <w:r w:rsidRPr="00631582">
              <w:rPr>
                <w:rFonts w:cs="Arial"/>
                <w:sz w:val="16"/>
                <w:szCs w:val="16"/>
              </w:rPr>
              <w:t>3,71</w:t>
            </w:r>
          </w:p>
        </w:tc>
      </w:tr>
      <w:tr w:rsidR="00306953" w:rsidRPr="00306953" w:rsidTr="00BF267F">
        <w:trPr>
          <w:trHeight w:val="255"/>
        </w:trPr>
        <w:tc>
          <w:tcPr>
            <w:tcW w:w="2425" w:type="dxa"/>
            <w:vMerge/>
            <w:vAlign w:val="center"/>
            <w:hideMark/>
          </w:tcPr>
          <w:p w:rsidR="00306953" w:rsidRPr="00306953" w:rsidRDefault="00306953" w:rsidP="007E5BD0">
            <w:pPr>
              <w:spacing w:after="0" w:line="240" w:lineRule="auto"/>
              <w:rPr>
                <w:rFonts w:cs="Arial"/>
                <w:color w:val="000000"/>
                <w:sz w:val="16"/>
                <w:szCs w:val="16"/>
              </w:rPr>
            </w:pPr>
          </w:p>
        </w:tc>
        <w:tc>
          <w:tcPr>
            <w:tcW w:w="1701" w:type="dxa"/>
            <w:shd w:val="clear" w:color="000000" w:fill="FFFFFF"/>
            <w:noWrap/>
            <w:vAlign w:val="center"/>
            <w:hideMark/>
          </w:tcPr>
          <w:p w:rsidR="00306953" w:rsidRPr="00631582" w:rsidRDefault="00306953" w:rsidP="007E5BD0">
            <w:pPr>
              <w:spacing w:after="0" w:line="240" w:lineRule="auto"/>
              <w:rPr>
                <w:rFonts w:cs="Arial"/>
                <w:color w:val="000000"/>
                <w:sz w:val="16"/>
                <w:szCs w:val="16"/>
              </w:rPr>
            </w:pPr>
            <w:r w:rsidRPr="00631582">
              <w:rPr>
                <w:rFonts w:cs="Arial"/>
                <w:color w:val="000000"/>
                <w:sz w:val="16"/>
                <w:szCs w:val="16"/>
              </w:rPr>
              <w:t>Finsko</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color w:val="000000"/>
                <w:sz w:val="16"/>
                <w:szCs w:val="16"/>
              </w:rPr>
            </w:pPr>
            <w:r w:rsidRPr="00631582">
              <w:rPr>
                <w:rFonts w:cs="Arial"/>
                <w:color w:val="000000"/>
                <w:sz w:val="16"/>
                <w:szCs w:val="16"/>
              </w:rPr>
              <w:t>5,12</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color w:val="000000"/>
                <w:sz w:val="16"/>
                <w:szCs w:val="16"/>
              </w:rPr>
            </w:pPr>
            <w:r w:rsidRPr="00631582">
              <w:rPr>
                <w:rFonts w:cs="Arial"/>
                <w:color w:val="000000"/>
                <w:sz w:val="16"/>
                <w:szCs w:val="16"/>
              </w:rPr>
              <w:t>5,35</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color w:val="000000"/>
                <w:sz w:val="16"/>
                <w:szCs w:val="16"/>
              </w:rPr>
            </w:pPr>
            <w:r w:rsidRPr="00631582">
              <w:rPr>
                <w:rFonts w:cs="Arial"/>
                <w:color w:val="000000"/>
                <w:sz w:val="16"/>
                <w:szCs w:val="16"/>
              </w:rPr>
              <w:t>5,22</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color w:val="000000"/>
                <w:sz w:val="16"/>
                <w:szCs w:val="16"/>
              </w:rPr>
            </w:pPr>
            <w:r w:rsidRPr="00631582">
              <w:rPr>
                <w:rFonts w:cs="Arial"/>
                <w:color w:val="000000"/>
                <w:sz w:val="16"/>
                <w:szCs w:val="16"/>
              </w:rPr>
              <w:t>5,80</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sz w:val="16"/>
                <w:szCs w:val="16"/>
              </w:rPr>
            </w:pPr>
            <w:r w:rsidRPr="00631582">
              <w:rPr>
                <w:rFonts w:cs="Arial"/>
                <w:sz w:val="16"/>
                <w:szCs w:val="16"/>
              </w:rPr>
              <w:t>5,77</w:t>
            </w:r>
          </w:p>
        </w:tc>
        <w:tc>
          <w:tcPr>
            <w:tcW w:w="896" w:type="dxa"/>
            <w:shd w:val="clear" w:color="000000" w:fill="FFFFFF"/>
            <w:noWrap/>
            <w:vAlign w:val="center"/>
            <w:hideMark/>
          </w:tcPr>
          <w:p w:rsidR="00306953" w:rsidRPr="00631582" w:rsidRDefault="00306953" w:rsidP="007E5BD0">
            <w:pPr>
              <w:spacing w:after="0" w:line="240" w:lineRule="auto"/>
              <w:jc w:val="center"/>
              <w:rPr>
                <w:rFonts w:cs="Arial"/>
                <w:sz w:val="16"/>
                <w:szCs w:val="16"/>
              </w:rPr>
            </w:pPr>
            <w:r w:rsidRPr="00631582">
              <w:rPr>
                <w:rFonts w:cs="Arial"/>
                <w:sz w:val="16"/>
                <w:szCs w:val="16"/>
              </w:rPr>
              <w:t>5,79</w:t>
            </w:r>
          </w:p>
        </w:tc>
      </w:tr>
      <w:tr w:rsidR="00306953" w:rsidRPr="00306953" w:rsidTr="00BF267F">
        <w:trPr>
          <w:trHeight w:val="258"/>
        </w:trPr>
        <w:tc>
          <w:tcPr>
            <w:tcW w:w="2425" w:type="dxa"/>
            <w:vMerge/>
            <w:vAlign w:val="center"/>
            <w:hideMark/>
          </w:tcPr>
          <w:p w:rsidR="00306953" w:rsidRPr="00306953" w:rsidRDefault="00306953" w:rsidP="007E5BD0">
            <w:pPr>
              <w:spacing w:after="0" w:line="240" w:lineRule="auto"/>
              <w:rPr>
                <w:rFonts w:cs="Arial"/>
                <w:color w:val="000000"/>
                <w:sz w:val="16"/>
                <w:szCs w:val="16"/>
              </w:rPr>
            </w:pPr>
          </w:p>
        </w:tc>
        <w:tc>
          <w:tcPr>
            <w:tcW w:w="1701" w:type="dxa"/>
            <w:shd w:val="clear" w:color="auto" w:fill="C6D9F1" w:themeFill="text2" w:themeFillTint="33"/>
            <w:noWrap/>
            <w:vAlign w:val="center"/>
            <w:hideMark/>
          </w:tcPr>
          <w:p w:rsidR="00306953" w:rsidRPr="00631582" w:rsidRDefault="00F53B2E" w:rsidP="007E5BD0">
            <w:pPr>
              <w:spacing w:after="0" w:line="240" w:lineRule="auto"/>
              <w:rPr>
                <w:rFonts w:cs="Arial"/>
                <w:bCs/>
                <w:color w:val="000000"/>
                <w:sz w:val="16"/>
                <w:szCs w:val="16"/>
              </w:rPr>
            </w:pPr>
            <w:r w:rsidRPr="00631582">
              <w:rPr>
                <w:rFonts w:cs="Arial"/>
                <w:bCs/>
                <w:color w:val="000000"/>
                <w:sz w:val="16"/>
                <w:szCs w:val="16"/>
              </w:rPr>
              <w:t>p</w:t>
            </w:r>
            <w:r w:rsidR="00306953" w:rsidRPr="00631582">
              <w:rPr>
                <w:rFonts w:cs="Arial"/>
                <w:bCs/>
                <w:color w:val="000000"/>
                <w:sz w:val="16"/>
                <w:szCs w:val="16"/>
              </w:rPr>
              <w:t>růměr OECD</w:t>
            </w:r>
          </w:p>
        </w:tc>
        <w:tc>
          <w:tcPr>
            <w:tcW w:w="896"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4,77</w:t>
            </w:r>
          </w:p>
        </w:tc>
        <w:tc>
          <w:tcPr>
            <w:tcW w:w="896"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4,99</w:t>
            </w:r>
          </w:p>
        </w:tc>
        <w:tc>
          <w:tcPr>
            <w:tcW w:w="896"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5,02</w:t>
            </w:r>
          </w:p>
        </w:tc>
        <w:tc>
          <w:tcPr>
            <w:tcW w:w="896"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5,27</w:t>
            </w:r>
          </w:p>
        </w:tc>
        <w:tc>
          <w:tcPr>
            <w:tcW w:w="896"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sz w:val="16"/>
                <w:szCs w:val="16"/>
              </w:rPr>
            </w:pPr>
            <w:r w:rsidRPr="00631582">
              <w:rPr>
                <w:rFonts w:cs="Arial"/>
                <w:bCs/>
                <w:sz w:val="16"/>
                <w:szCs w:val="16"/>
              </w:rPr>
              <w:t>5,18</w:t>
            </w:r>
          </w:p>
        </w:tc>
        <w:tc>
          <w:tcPr>
            <w:tcW w:w="896"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sz w:val="16"/>
                <w:szCs w:val="16"/>
              </w:rPr>
            </w:pPr>
            <w:r w:rsidRPr="00631582">
              <w:rPr>
                <w:rFonts w:cs="Arial"/>
                <w:bCs/>
                <w:sz w:val="16"/>
                <w:szCs w:val="16"/>
              </w:rPr>
              <w:t>5,19</w:t>
            </w:r>
          </w:p>
        </w:tc>
      </w:tr>
      <w:tr w:rsidR="00306953" w:rsidRPr="00306953" w:rsidTr="00BF267F">
        <w:trPr>
          <w:trHeight w:val="255"/>
        </w:trPr>
        <w:tc>
          <w:tcPr>
            <w:tcW w:w="2425" w:type="dxa"/>
            <w:vMerge/>
            <w:vAlign w:val="center"/>
            <w:hideMark/>
          </w:tcPr>
          <w:p w:rsidR="00306953" w:rsidRPr="00306953" w:rsidRDefault="00306953" w:rsidP="007E5BD0">
            <w:pPr>
              <w:spacing w:after="0" w:line="240" w:lineRule="auto"/>
              <w:rPr>
                <w:rFonts w:cs="Arial"/>
                <w:color w:val="000000"/>
                <w:sz w:val="16"/>
                <w:szCs w:val="16"/>
              </w:rPr>
            </w:pPr>
          </w:p>
        </w:tc>
        <w:tc>
          <w:tcPr>
            <w:tcW w:w="1701" w:type="dxa"/>
            <w:shd w:val="clear" w:color="auto" w:fill="C6D9F1" w:themeFill="text2" w:themeFillTint="33"/>
            <w:noWrap/>
            <w:vAlign w:val="center"/>
            <w:hideMark/>
          </w:tcPr>
          <w:p w:rsidR="00306953" w:rsidRPr="00631582" w:rsidRDefault="00F53B2E" w:rsidP="007E5BD0">
            <w:pPr>
              <w:spacing w:after="0" w:line="240" w:lineRule="auto"/>
              <w:rPr>
                <w:rFonts w:cs="Arial"/>
                <w:bCs/>
                <w:color w:val="000000"/>
                <w:sz w:val="16"/>
                <w:szCs w:val="16"/>
              </w:rPr>
            </w:pPr>
            <w:r w:rsidRPr="00631582">
              <w:rPr>
                <w:rFonts w:cs="Arial"/>
                <w:bCs/>
                <w:color w:val="000000"/>
                <w:sz w:val="16"/>
                <w:szCs w:val="16"/>
              </w:rPr>
              <w:t>p</w:t>
            </w:r>
            <w:r w:rsidR="00306953" w:rsidRPr="00631582">
              <w:rPr>
                <w:rFonts w:cs="Arial"/>
                <w:bCs/>
                <w:color w:val="000000"/>
                <w:sz w:val="16"/>
                <w:szCs w:val="16"/>
              </w:rPr>
              <w:t>růměr EU21</w:t>
            </w:r>
          </w:p>
        </w:tc>
        <w:tc>
          <w:tcPr>
            <w:tcW w:w="896"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4,41</w:t>
            </w:r>
          </w:p>
        </w:tc>
        <w:tc>
          <w:tcPr>
            <w:tcW w:w="896"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4,74</w:t>
            </w:r>
          </w:p>
        </w:tc>
        <w:tc>
          <w:tcPr>
            <w:tcW w:w="896"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4,75</w:t>
            </w:r>
          </w:p>
        </w:tc>
        <w:tc>
          <w:tcPr>
            <w:tcW w:w="896"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5,03</w:t>
            </w:r>
          </w:p>
        </w:tc>
        <w:tc>
          <w:tcPr>
            <w:tcW w:w="896"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sz w:val="16"/>
                <w:szCs w:val="16"/>
              </w:rPr>
            </w:pPr>
            <w:r w:rsidRPr="00631582">
              <w:rPr>
                <w:rFonts w:cs="Arial"/>
                <w:bCs/>
                <w:sz w:val="16"/>
                <w:szCs w:val="16"/>
              </w:rPr>
              <w:t>4,88</w:t>
            </w:r>
          </w:p>
        </w:tc>
        <w:tc>
          <w:tcPr>
            <w:tcW w:w="896"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sz w:val="16"/>
                <w:szCs w:val="16"/>
              </w:rPr>
            </w:pPr>
            <w:r w:rsidRPr="00631582">
              <w:rPr>
                <w:rFonts w:cs="Arial"/>
                <w:bCs/>
                <w:sz w:val="16"/>
                <w:szCs w:val="16"/>
              </w:rPr>
              <w:t>4,89</w:t>
            </w:r>
          </w:p>
        </w:tc>
      </w:tr>
    </w:tbl>
    <w:p w:rsidR="00306953" w:rsidRPr="00306953" w:rsidRDefault="00306953" w:rsidP="00FE5433">
      <w:pPr>
        <w:spacing w:before="120" w:after="0" w:line="240" w:lineRule="auto"/>
        <w:jc w:val="both"/>
        <w:rPr>
          <w:rFonts w:eastAsia="ChaparralPro-Regular" w:cs="Arial"/>
          <w:sz w:val="16"/>
          <w:szCs w:val="16"/>
        </w:rPr>
      </w:pPr>
      <w:r w:rsidRPr="00306953">
        <w:rPr>
          <w:rFonts w:eastAsia="ChaparralPro-Regular" w:cs="Arial"/>
          <w:sz w:val="16"/>
          <w:szCs w:val="16"/>
          <w:vertAlign w:val="superscript"/>
        </w:rPr>
        <w:t>1)</w:t>
      </w:r>
      <w:r w:rsidRPr="00306953">
        <w:rPr>
          <w:rFonts w:eastAsia="ChaparralPro-Regular" w:cs="Arial"/>
          <w:sz w:val="16"/>
          <w:szCs w:val="16"/>
        </w:rPr>
        <w:t xml:space="preserve"> Postsekundární neterciární vzdělávání a krátký cyklus terciárního vzdělávání je zahrnut do kategorie vyššího sekundárního vzdělávání, viz kód „x“ v tabulce B1.1a</w:t>
      </w:r>
      <w:r w:rsidR="002B1315">
        <w:rPr>
          <w:rFonts w:eastAsia="ChaparralPro-Regular" w:cs="Arial"/>
          <w:sz w:val="16"/>
          <w:szCs w:val="16"/>
        </w:rPr>
        <w:t xml:space="preserve"> (OECD 2015)</w:t>
      </w:r>
      <w:r w:rsidRPr="00306953">
        <w:rPr>
          <w:rFonts w:eastAsia="ChaparralPro-Regular" w:cs="Arial"/>
          <w:sz w:val="16"/>
          <w:szCs w:val="16"/>
        </w:rPr>
        <w:t xml:space="preserve">. </w:t>
      </w:r>
    </w:p>
    <w:p w:rsidR="00306953" w:rsidRPr="00306953" w:rsidRDefault="00306953" w:rsidP="00306953">
      <w:pPr>
        <w:autoSpaceDE w:val="0"/>
        <w:autoSpaceDN w:val="0"/>
        <w:adjustRightInd w:val="0"/>
        <w:spacing w:after="0" w:line="240" w:lineRule="auto"/>
        <w:jc w:val="both"/>
        <w:rPr>
          <w:rFonts w:eastAsia="ChaparralPro-Regular" w:cs="Arial"/>
          <w:sz w:val="16"/>
          <w:szCs w:val="16"/>
        </w:rPr>
      </w:pPr>
      <w:r w:rsidRPr="00306953">
        <w:rPr>
          <w:rFonts w:eastAsia="ChaparralPro-Regular" w:cs="Arial"/>
          <w:sz w:val="16"/>
          <w:szCs w:val="16"/>
        </w:rPr>
        <w:t xml:space="preserve">Zdroj: Tabulka B 2.2, OECD 2015, výběr údajů ČSÚ. StatLink: </w:t>
      </w:r>
      <w:r w:rsidRPr="00306953">
        <w:rPr>
          <w:rStyle w:val="Hypertextovodkaz"/>
          <w:rFonts w:cs="Arial"/>
          <w:sz w:val="16"/>
          <w:szCs w:val="16"/>
        </w:rPr>
        <w:t>http://dx.doi.org/10.1787/888933285434</w:t>
      </w:r>
    </w:p>
    <w:p w:rsidR="00306953" w:rsidRPr="00306953" w:rsidRDefault="00306953" w:rsidP="00306953">
      <w:pPr>
        <w:autoSpaceDE w:val="0"/>
        <w:autoSpaceDN w:val="0"/>
        <w:adjustRightInd w:val="0"/>
        <w:spacing w:after="0" w:line="240" w:lineRule="auto"/>
        <w:jc w:val="both"/>
        <w:rPr>
          <w:rFonts w:eastAsia="ChaparralPro-Regular" w:cs="Arial"/>
          <w:sz w:val="12"/>
          <w:szCs w:val="12"/>
        </w:rPr>
      </w:pPr>
    </w:p>
    <w:p w:rsidR="00306953" w:rsidRPr="00306953" w:rsidRDefault="00306953" w:rsidP="00306953">
      <w:pPr>
        <w:autoSpaceDE w:val="0"/>
        <w:autoSpaceDN w:val="0"/>
        <w:adjustRightInd w:val="0"/>
        <w:spacing w:after="120" w:line="240" w:lineRule="auto"/>
        <w:jc w:val="both"/>
        <w:rPr>
          <w:rFonts w:eastAsia="ChaparralPro-Regular" w:cs="Arial"/>
        </w:rPr>
      </w:pPr>
      <w:r w:rsidRPr="00306953">
        <w:rPr>
          <w:rFonts w:eastAsia="ChaparralPro-Regular" w:cs="Arial"/>
        </w:rPr>
        <w:t xml:space="preserve">Podíváme-li se v tabulce č. 7 na situaci ve Finsku, pak můžeme konstatovat, že se vývoj výdajů na vzdělávání na primární, sekundární a postsekundární neterciární úrovni a na vzdělávání na terciární úrovni příliš neliší a též v mezinárodním průměru za země v EU i OECD je vývoj těchto výdajů vyrovnanější než v České republice. Lze však také vysledovat, že výdaje na primární až postsekundární neterciární vzdělávání vyjádřené jakožto podíl HDP ve sledovaných zemích i v mezinárodních průměrech mezi lety 2010 a 2012 o něco poklesly, </w:t>
      </w:r>
      <w:r w:rsidR="004B5A99">
        <w:rPr>
          <w:rFonts w:eastAsia="ChaparralPro-Regular" w:cs="Arial"/>
        </w:rPr>
        <w:t xml:space="preserve">zatímco v ČR </w:t>
      </w:r>
      <w:r w:rsidRPr="00306953">
        <w:rPr>
          <w:rFonts w:eastAsia="ChaparralPro-Regular" w:cs="Arial"/>
        </w:rPr>
        <w:t>naopak došlo k mírnému nárůstu.</w:t>
      </w:r>
    </w:p>
    <w:p w:rsidR="00306953" w:rsidRPr="00306953" w:rsidRDefault="00A052C4" w:rsidP="00306953">
      <w:pPr>
        <w:autoSpaceDE w:val="0"/>
        <w:autoSpaceDN w:val="0"/>
        <w:adjustRightInd w:val="0"/>
        <w:spacing w:after="120" w:line="240" w:lineRule="auto"/>
        <w:jc w:val="both"/>
        <w:rPr>
          <w:rFonts w:eastAsia="ChaparralPro-Regular" w:cs="Arial"/>
        </w:rPr>
      </w:pPr>
      <w:r>
        <w:rPr>
          <w:rFonts w:eastAsia="ChaparralPro-Regular" w:cs="Arial"/>
        </w:rPr>
        <w:t xml:space="preserve">Výše uvedená zjištění doplňme poznámkou uvedenou </w:t>
      </w:r>
      <w:r w:rsidR="00306953" w:rsidRPr="00306953">
        <w:rPr>
          <w:rFonts w:eastAsia="ChaparralPro-Regular" w:cs="Arial"/>
        </w:rPr>
        <w:t>v publi</w:t>
      </w:r>
      <w:r>
        <w:rPr>
          <w:rFonts w:eastAsia="ChaparralPro-Regular" w:cs="Arial"/>
        </w:rPr>
        <w:t>kaci Education at a Glance 2015, že</w:t>
      </w:r>
      <w:r w:rsidR="00306953" w:rsidRPr="00306953">
        <w:rPr>
          <w:rFonts w:eastAsia="ChaparralPro-Regular" w:cs="Arial"/>
        </w:rPr>
        <w:t xml:space="preserve"> při interpretaci rozdílů mezi různými zeměmi (případně při srovnávání jedné země s mezinárodními průměry) je třeba vzít v úvahu, že </w:t>
      </w:r>
      <w:r w:rsidR="00306953" w:rsidRPr="00306953">
        <w:rPr>
          <w:rFonts w:eastAsia="ChaparralPro-Regular" w:cs="Arial"/>
          <w:b/>
          <w:i/>
        </w:rPr>
        <w:t>země, jejichž výdaje v poměru k HDP jsou nadprůměrné, jsou většinou těmi zeměmi, které mají nadprůměrný podíl obyvatel ve věku, který koresponduje s účastí v příslušné úrovni vzdělávání</w:t>
      </w:r>
      <w:r w:rsidR="00306953" w:rsidRPr="00306953">
        <w:rPr>
          <w:rFonts w:eastAsia="ChaparralPro-Regular" w:cs="Arial"/>
        </w:rPr>
        <w:t xml:space="preserve"> (</w:t>
      </w:r>
      <w:hyperlink r:id="rId69" w:history="1">
        <w:r w:rsidR="00306953" w:rsidRPr="00306953">
          <w:rPr>
            <w:rStyle w:val="Hypertextovodkaz"/>
            <w:rFonts w:eastAsia="ChaparralPro-Regular" w:cs="Arial"/>
          </w:rPr>
          <w:t>OECD 2015</w:t>
        </w:r>
      </w:hyperlink>
      <w:r w:rsidR="004641FB">
        <w:rPr>
          <w:rFonts w:eastAsia="ChaparralPro-Regular" w:cs="Arial"/>
        </w:rPr>
        <w:t>, s. 229</w:t>
      </w:r>
      <w:r w:rsidR="00306953" w:rsidRPr="00306953">
        <w:rPr>
          <w:rFonts w:eastAsia="ChaparralPro-Regular" w:cs="Arial"/>
        </w:rPr>
        <w:t>). Tato publikace pro orientaci také uvádí, že na primární a nižší sekundární vzdělávání (tj. u nás povinná školní docházka) připadá v průměru mezi zeměmi OECD 47 % všech výdajů na vzdělávání (</w:t>
      </w:r>
      <w:hyperlink r:id="rId70" w:history="1">
        <w:r w:rsidR="00306953" w:rsidRPr="00306953">
          <w:rPr>
            <w:rStyle w:val="Hypertextovodkaz"/>
            <w:rFonts w:eastAsia="ChaparralPro-Regular" w:cs="Arial"/>
          </w:rPr>
          <w:t>OECD 2015</w:t>
        </w:r>
      </w:hyperlink>
      <w:r w:rsidR="004641FB">
        <w:rPr>
          <w:rFonts w:eastAsia="ChaparralPro-Regular" w:cs="Arial"/>
        </w:rPr>
        <w:t>, s. 229</w:t>
      </w:r>
      <w:r w:rsidR="00306953" w:rsidRPr="00306953">
        <w:rPr>
          <w:rFonts w:eastAsia="ChaparralPro-Regular" w:cs="Arial"/>
        </w:rPr>
        <w:t>).</w:t>
      </w:r>
    </w:p>
    <w:p w:rsidR="00306953" w:rsidRPr="00306953" w:rsidRDefault="00306953" w:rsidP="00306953">
      <w:pPr>
        <w:autoSpaceDE w:val="0"/>
        <w:autoSpaceDN w:val="0"/>
        <w:adjustRightInd w:val="0"/>
        <w:spacing w:after="120" w:line="240" w:lineRule="auto"/>
        <w:jc w:val="both"/>
        <w:rPr>
          <w:rFonts w:eastAsia="ChaparralPro-Regular" w:cs="Arial"/>
        </w:rPr>
      </w:pPr>
      <w:r w:rsidRPr="00306953">
        <w:rPr>
          <w:rFonts w:eastAsia="ChaparralPro-Regular" w:cs="Arial"/>
        </w:rPr>
        <w:t xml:space="preserve">V publikaci </w:t>
      </w:r>
      <w:proofErr w:type="spellStart"/>
      <w:r w:rsidRPr="00306953">
        <w:rPr>
          <w:rFonts w:eastAsia="ChaparralPro-Regular" w:cs="Arial"/>
        </w:rPr>
        <w:t>Education</w:t>
      </w:r>
      <w:proofErr w:type="spellEnd"/>
      <w:r w:rsidRPr="00306953">
        <w:rPr>
          <w:rFonts w:eastAsia="ChaparralPro-Regular" w:cs="Arial"/>
        </w:rPr>
        <w:t xml:space="preserve"> </w:t>
      </w:r>
      <w:proofErr w:type="spellStart"/>
      <w:r w:rsidRPr="00306953">
        <w:rPr>
          <w:rFonts w:eastAsia="ChaparralPro-Regular" w:cs="Arial"/>
        </w:rPr>
        <w:t>at</w:t>
      </w:r>
      <w:proofErr w:type="spellEnd"/>
      <w:r w:rsidRPr="00306953">
        <w:rPr>
          <w:rFonts w:eastAsia="ChaparralPro-Regular" w:cs="Arial"/>
        </w:rPr>
        <w:t xml:space="preserve"> a </w:t>
      </w:r>
      <w:proofErr w:type="spellStart"/>
      <w:r w:rsidRPr="00306953">
        <w:rPr>
          <w:rFonts w:eastAsia="ChaparralPro-Regular" w:cs="Arial"/>
        </w:rPr>
        <w:t>Glance</w:t>
      </w:r>
      <w:proofErr w:type="spellEnd"/>
      <w:r w:rsidRPr="00306953">
        <w:rPr>
          <w:rFonts w:eastAsia="ChaparralPro-Regular" w:cs="Arial"/>
        </w:rPr>
        <w:t xml:space="preserve"> 2014 (</w:t>
      </w:r>
      <w:hyperlink r:id="rId71" w:history="1">
        <w:r w:rsidRPr="00306953">
          <w:rPr>
            <w:rStyle w:val="Hypertextovodkaz"/>
            <w:rFonts w:eastAsia="ChaparralPro-Regular" w:cs="Arial"/>
          </w:rPr>
          <w:t>OECD 2014</w:t>
        </w:r>
      </w:hyperlink>
      <w:r w:rsidR="00A052C4">
        <w:rPr>
          <w:rFonts w:eastAsia="ChaparralPro-Regular" w:cs="Arial"/>
        </w:rPr>
        <w:t>) byla dále</w:t>
      </w:r>
      <w:r w:rsidRPr="00306953">
        <w:rPr>
          <w:rFonts w:eastAsia="ChaparralPro-Regular" w:cs="Arial"/>
        </w:rPr>
        <w:t xml:space="preserve"> věnována pozornost </w:t>
      </w:r>
      <w:r w:rsidRPr="00306953">
        <w:rPr>
          <w:rFonts w:eastAsia="ChaparralPro-Regular" w:cs="Arial"/>
          <w:b/>
          <w:i/>
        </w:rPr>
        <w:t>systémům, které veřejnost skrze veřejné rozpočty nabízí domácnostem a dalším soukromým subjektům na podporu terciárního vzdělávání</w:t>
      </w:r>
      <w:r w:rsidRPr="00306953">
        <w:rPr>
          <w:rFonts w:eastAsia="ChaparralPro-Regular" w:cs="Arial"/>
        </w:rPr>
        <w:t>. Jedná se o příspěvky formou různých stipendií či jiných příspěvků/grantů domácnostem, transfery a poplatky jiným soukromým subjektů</w:t>
      </w:r>
      <w:r w:rsidR="00A052C4">
        <w:rPr>
          <w:rFonts w:eastAsia="ChaparralPro-Regular" w:cs="Arial"/>
        </w:rPr>
        <w:t>m či výhodné studentské půjčky – viz graf č. 7 níže</w:t>
      </w:r>
      <w:r w:rsidRPr="00306953">
        <w:rPr>
          <w:rFonts w:eastAsia="ChaparralPro-Regular" w:cs="Arial"/>
        </w:rPr>
        <w:t xml:space="preserve">. </w:t>
      </w:r>
    </w:p>
    <w:p w:rsidR="00306953" w:rsidRPr="00306953" w:rsidRDefault="00306953" w:rsidP="00E361EC">
      <w:pPr>
        <w:keepNext/>
        <w:autoSpaceDE w:val="0"/>
        <w:autoSpaceDN w:val="0"/>
        <w:adjustRightInd w:val="0"/>
        <w:spacing w:after="120" w:line="240" w:lineRule="auto"/>
        <w:jc w:val="both"/>
        <w:rPr>
          <w:rFonts w:eastAsia="ChaparralPro-Regular" w:cs="Arial"/>
          <w:b/>
          <w:bCs/>
        </w:rPr>
      </w:pPr>
      <w:r w:rsidRPr="00306953">
        <w:rPr>
          <w:rFonts w:eastAsia="ChaparralPro-Regular" w:cs="Arial"/>
          <w:b/>
          <w:bCs/>
        </w:rPr>
        <w:lastRenderedPageBreak/>
        <w:t>Graf č. 7 Veřejná podpora terciárního vzdělávání (2011)</w:t>
      </w:r>
    </w:p>
    <w:p w:rsidR="00306953" w:rsidRDefault="00680594" w:rsidP="00E361EC">
      <w:pPr>
        <w:keepNext/>
        <w:autoSpaceDE w:val="0"/>
        <w:autoSpaceDN w:val="0"/>
        <w:adjustRightInd w:val="0"/>
        <w:spacing w:after="120" w:line="240" w:lineRule="auto"/>
        <w:jc w:val="both"/>
        <w:rPr>
          <w:rFonts w:eastAsia="ChaparralPro-Regular" w:cs="Arial"/>
          <w:i/>
          <w:iCs/>
        </w:rPr>
      </w:pPr>
      <w:r>
        <w:rPr>
          <w:rFonts w:eastAsia="ChaparralPro-Regular" w:cs="Arial"/>
          <w:i/>
          <w:iCs/>
        </w:rPr>
        <w:t>v</w:t>
      </w:r>
      <w:r w:rsidR="00306953" w:rsidRPr="00306953">
        <w:rPr>
          <w:rFonts w:eastAsia="ChaparralPro-Regular" w:cs="Arial"/>
          <w:i/>
          <w:iCs/>
        </w:rPr>
        <w:t xml:space="preserve">eřejná podpora poskytovaná domácnostem a jiným soukromým subjektům jakožto podíl celkových veřejných výdajů na terciární vzdělávání, dle typu poskytnuté podpory </w:t>
      </w:r>
    </w:p>
    <w:p w:rsidR="00ED59B5" w:rsidRPr="00306953" w:rsidRDefault="00BA5EE1" w:rsidP="00E361EC">
      <w:pPr>
        <w:keepNext/>
        <w:autoSpaceDE w:val="0"/>
        <w:autoSpaceDN w:val="0"/>
        <w:adjustRightInd w:val="0"/>
        <w:spacing w:after="120" w:line="240" w:lineRule="auto"/>
        <w:jc w:val="both"/>
        <w:rPr>
          <w:rFonts w:eastAsia="ChaparralPro-Regular" w:cs="Arial"/>
          <w:i/>
          <w:iCs/>
        </w:rPr>
      </w:pPr>
      <w:r w:rsidRPr="00984E22">
        <w:rPr>
          <w:rFonts w:eastAsia="ChaparralPro-Regular" w:cs="Arial"/>
          <w:i/>
          <w:noProof/>
        </w:rPr>
        <w:pict>
          <v:shape id="_x0000_i1031" type="#_x0000_t75" style="width:470.25pt;height:297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">
            <v:imagedata r:id="rId72" o:title="" croptop="-2079f" cropbottom="-3786f" cropleft="-1891f" cropright="-1248f"/>
            <o:lock v:ext="edit" aspectratio="f"/>
          </v:shape>
        </w:pict>
      </w:r>
    </w:p>
    <w:p w:rsidR="00ED59B5" w:rsidRDefault="00ED59B5" w:rsidP="00306953">
      <w:pPr>
        <w:autoSpaceDE w:val="0"/>
        <w:autoSpaceDN w:val="0"/>
        <w:adjustRightInd w:val="0"/>
        <w:spacing w:after="0" w:line="240" w:lineRule="auto"/>
        <w:jc w:val="both"/>
        <w:rPr>
          <w:rFonts w:eastAsia="ChaparralPro-Regular" w:cs="Arial"/>
          <w:sz w:val="16"/>
          <w:szCs w:val="16"/>
        </w:rPr>
      </w:pPr>
      <w:r>
        <w:rPr>
          <w:rFonts w:eastAsia="ChaparralPro-Regular" w:cs="Arial"/>
          <w:sz w:val="16"/>
          <w:szCs w:val="16"/>
        </w:rPr>
        <w:t>Pozn.: Země jsou řazeny sestupně dle podílu stipendií a jiných příspěvků či grantů domácnostem spolu s transfery a poplatky jiným soukromým subjektům z celkových veřejných výdajů na vzdělávání.</w:t>
      </w:r>
    </w:p>
    <w:p w:rsidR="00306953" w:rsidRPr="00306953" w:rsidRDefault="00306953" w:rsidP="00306953">
      <w:pPr>
        <w:autoSpaceDE w:val="0"/>
        <w:autoSpaceDN w:val="0"/>
        <w:adjustRightInd w:val="0"/>
        <w:spacing w:after="0" w:line="240" w:lineRule="auto"/>
        <w:jc w:val="both"/>
        <w:rPr>
          <w:rFonts w:eastAsia="ChaparralPro-Regular" w:cs="Arial"/>
          <w:sz w:val="16"/>
          <w:szCs w:val="16"/>
        </w:rPr>
      </w:pPr>
      <w:r w:rsidRPr="00306953">
        <w:rPr>
          <w:rFonts w:eastAsia="ChaparralPro-Regular" w:cs="Arial"/>
          <w:sz w:val="16"/>
          <w:szCs w:val="16"/>
        </w:rPr>
        <w:t xml:space="preserve">Zdroj: OECD 2014, graf B 5.3 (příp. tabulka B 5.4). StatLink: </w:t>
      </w:r>
      <w:hyperlink r:id="rId73" w:history="1">
        <w:r w:rsidRPr="00306953">
          <w:rPr>
            <w:rStyle w:val="Hypertextovodkaz"/>
            <w:rFonts w:cs="Arial"/>
            <w:sz w:val="16"/>
            <w:szCs w:val="16"/>
          </w:rPr>
          <w:t>http://dx.doi.org/10.1787/888933117839</w:t>
        </w:r>
      </w:hyperlink>
      <w:r w:rsidRPr="00306953">
        <w:rPr>
          <w:rFonts w:cs="Arial"/>
          <w:sz w:val="16"/>
          <w:szCs w:val="16"/>
        </w:rPr>
        <w:t xml:space="preserve"> </w:t>
      </w:r>
    </w:p>
    <w:p w:rsidR="00306953" w:rsidRPr="00306953" w:rsidRDefault="00306953" w:rsidP="00306953">
      <w:pPr>
        <w:autoSpaceDE w:val="0"/>
        <w:autoSpaceDN w:val="0"/>
        <w:adjustRightInd w:val="0"/>
        <w:spacing w:after="0" w:line="240" w:lineRule="auto"/>
        <w:jc w:val="both"/>
        <w:rPr>
          <w:rFonts w:eastAsia="ChaparralPro-Regular" w:cs="Arial"/>
          <w:szCs w:val="20"/>
        </w:rPr>
      </w:pPr>
    </w:p>
    <w:p w:rsidR="00306953" w:rsidRDefault="00306953" w:rsidP="00306953">
      <w:pPr>
        <w:spacing w:after="120" w:line="240" w:lineRule="auto"/>
        <w:jc w:val="both"/>
        <w:rPr>
          <w:rFonts w:eastAsia="ChaparralPro-Regular" w:cs="Arial"/>
        </w:rPr>
      </w:pPr>
      <w:r w:rsidRPr="00306953">
        <w:rPr>
          <w:rFonts w:eastAsia="ChaparralPro-Regular" w:cs="Arial"/>
        </w:rPr>
        <w:t>Graf č. 7 ukazuje, že </w:t>
      </w:r>
      <w:r w:rsidRPr="00306953">
        <w:rPr>
          <w:rFonts w:eastAsia="ChaparralPro-Regular" w:cs="Arial"/>
          <w:b/>
          <w:i/>
        </w:rPr>
        <w:t>Česká republika patří mezi země, ve kterých byl podíl veřejných výdajů</w:t>
      </w:r>
      <w:r w:rsidRPr="00306953">
        <w:rPr>
          <w:rFonts w:eastAsia="ChaparralPro-Regular" w:cs="Arial"/>
        </w:rPr>
        <w:t xml:space="preserve">, které byly v roce 2011 investovány do podpory studentů terciárního vzdělávání formou různých stipendií či jiných příspěvků/grantů domácnostem, transfery a poplatky jiným soukromým subjektům či podporu studentských půjček, </w:t>
      </w:r>
      <w:r w:rsidRPr="00306953">
        <w:rPr>
          <w:rFonts w:eastAsia="ChaparralPro-Regular" w:cs="Arial"/>
          <w:b/>
          <w:i/>
        </w:rPr>
        <w:t>jeden z nejnižších</w:t>
      </w:r>
      <w:r w:rsidRPr="00306953">
        <w:rPr>
          <w:rFonts w:eastAsia="ChaparralPro-Regular" w:cs="Arial"/>
        </w:rPr>
        <w:t>. Česká republika však patří mezi země, ve kterých naprostá většina studentů terciárního vzdělávání neplatí školné a komentář v publikaci OECD doplňuje, že v České republice je finanční podpora určená pro granty (stipendia) studentům zasílána přímo vzdělávacím institucím (nikoliv soukromým subjektům), jejichž zodpovědností je rozdělit je mezi studenty (</w:t>
      </w:r>
      <w:hyperlink r:id="rId74" w:history="1">
        <w:r w:rsidRPr="00306953">
          <w:rPr>
            <w:rStyle w:val="Hypertextovodkaz"/>
            <w:rFonts w:eastAsia="ChaparralPro-Regular" w:cs="Arial"/>
          </w:rPr>
          <w:t>OECD 2014</w:t>
        </w:r>
      </w:hyperlink>
      <w:r w:rsidRPr="00306953">
        <w:rPr>
          <w:rFonts w:eastAsia="ChaparralPro-Regular" w:cs="Arial"/>
        </w:rPr>
        <w:t>, s. 264).</w:t>
      </w:r>
    </w:p>
    <w:p w:rsidR="009F2B95" w:rsidRPr="009F2B95" w:rsidRDefault="009F2B95" w:rsidP="009F2B95">
      <w:pPr>
        <w:pStyle w:val="Nadpis3"/>
        <w:spacing w:line="240" w:lineRule="auto"/>
        <w:rPr>
          <w:sz w:val="20"/>
          <w:szCs w:val="20"/>
        </w:rPr>
      </w:pPr>
    </w:p>
    <w:p w:rsidR="009F2B95" w:rsidRPr="00306953" w:rsidRDefault="002C4A87" w:rsidP="009F2B95">
      <w:pPr>
        <w:pStyle w:val="Nadpis3"/>
        <w:spacing w:after="120"/>
      </w:pPr>
      <w:bookmarkStart w:id="11" w:name="_Toc460424376"/>
      <w:r>
        <w:t>Shrnutí</w:t>
      </w:r>
      <w:bookmarkEnd w:id="11"/>
    </w:p>
    <w:p w:rsidR="00306953" w:rsidRPr="00306953" w:rsidRDefault="00306953" w:rsidP="002C4A87">
      <w:pPr>
        <w:spacing w:after="0" w:line="20" w:lineRule="atLeast"/>
        <w:jc w:val="both"/>
        <w:rPr>
          <w:rFonts w:eastAsia="ChaparralPro-Regular" w:cs="Arial"/>
        </w:rPr>
      </w:pPr>
      <w:r w:rsidRPr="00306953">
        <w:rPr>
          <w:rFonts w:eastAsia="ChaparralPro-Regular" w:cs="Arial"/>
        </w:rPr>
        <w:t xml:space="preserve">Tato kapitola ukázala, že v ČR byl v mezinárodním srovnání na formální vzdělávání </w:t>
      </w:r>
      <w:r w:rsidR="0011742F">
        <w:rPr>
          <w:rFonts w:eastAsia="ChaparralPro-Regular" w:cs="Arial"/>
        </w:rPr>
        <w:t xml:space="preserve">na primární až terciární úrovni </w:t>
      </w:r>
      <w:r w:rsidRPr="00306953">
        <w:rPr>
          <w:rFonts w:eastAsia="ChaparralPro-Regular" w:cs="Arial"/>
        </w:rPr>
        <w:t xml:space="preserve">v letech 2005 až 2012 věnován </w:t>
      </w:r>
      <w:r w:rsidRPr="00306953">
        <w:rPr>
          <w:rFonts w:eastAsia="ChaparralPro-Regular" w:cs="Arial"/>
          <w:b/>
        </w:rPr>
        <w:t>z veřejných rozpočtů</w:t>
      </w:r>
      <w:r w:rsidRPr="00306953">
        <w:rPr>
          <w:rFonts w:eastAsia="ChaparralPro-Regular" w:cs="Arial"/>
        </w:rPr>
        <w:t xml:space="preserve"> podprůměrný podíl financí, který byl např. v sousedním Polsku a také ve Finsku vyšší</w:t>
      </w:r>
      <w:r w:rsidR="0011742F">
        <w:rPr>
          <w:rFonts w:eastAsia="ChaparralPro-Regular" w:cs="Arial"/>
        </w:rPr>
        <w:t xml:space="preserve"> (na rozdíl od těchto zemí však v ČR v čase mírně stoupal)</w:t>
      </w:r>
      <w:r w:rsidRPr="00306953">
        <w:rPr>
          <w:rFonts w:eastAsia="ChaparralPro-Regular" w:cs="Arial"/>
        </w:rPr>
        <w:t>. Veřejné výdaje na vzdělávání byly v roce 2012 v ČR a na Slovensku v mezinárodním srovnání nízké i v případě, že sledujeme jejich podíl z HDP. Slovensko dokonce dosáhlo v tomto ohledu nejnižší hodnoty ze všech sledovaných zemí OECD, za které jsou dostupná data (ve Finsku byla tato hodnota téměř dvojnásobná a v Norsku více než dvojnásobná). Pokud se však jedná o dopady ekonomické krize, ČR patří mezi země, kde veřejné výdaje na formální vzdělávání v relativním vyjádření jakožto podíl HDP mezi roky 2008 a 2011 nejvíce narostly. Kromě toho se ČR řadí též mezi země s pozitivním nárůstem veřejných výdajů na vzdělávací instituce vyjádřených v podílu HDP mezi roky 2010 a 2012 (relativně o 4 %). V mezinárodním průměru za země OECD došlo naopak mezi lety 2010 a 2012 k mírnému poklesu (o 3,1 %).</w:t>
      </w:r>
    </w:p>
    <w:p w:rsidR="00306953" w:rsidRPr="00306953" w:rsidRDefault="00306953" w:rsidP="002C4A87">
      <w:pPr>
        <w:spacing w:after="0" w:line="20" w:lineRule="atLeast"/>
        <w:jc w:val="both"/>
        <w:rPr>
          <w:rFonts w:eastAsia="ChaparralPro-Regular" w:cs="Arial"/>
        </w:rPr>
      </w:pPr>
      <w:r w:rsidRPr="00306953">
        <w:rPr>
          <w:rFonts w:eastAsia="ChaparralPro-Regular" w:cs="Arial"/>
        </w:rPr>
        <w:t xml:space="preserve">Pokud se jedná o </w:t>
      </w:r>
      <w:r w:rsidRPr="00306953">
        <w:rPr>
          <w:rFonts w:eastAsia="ChaparralPro-Regular" w:cs="Arial"/>
          <w:b/>
        </w:rPr>
        <w:t>veřejné i soukromé výdaje</w:t>
      </w:r>
      <w:r w:rsidRPr="00306953">
        <w:rPr>
          <w:rFonts w:eastAsia="ChaparralPro-Regular" w:cs="Arial"/>
        </w:rPr>
        <w:t xml:space="preserve"> dohromady, i zde lze říci, že v České republice byl podíl (soukromých i veřejných) výdajů na instituce poskytující formální vzdělávání z HDP v roce 2012, 2008 i 2000 nižší než v mezinárodním průměru za země OECD. V souladu s mezinárodním průměrem však v uve</w:t>
      </w:r>
      <w:r w:rsidR="009F3FFC">
        <w:rPr>
          <w:rFonts w:eastAsia="ChaparralPro-Regular" w:cs="Arial"/>
        </w:rPr>
        <w:t>dených letech postupně stoupal, a to dokonce výrazněji</w:t>
      </w:r>
      <w:r w:rsidRPr="00306953">
        <w:rPr>
          <w:rFonts w:eastAsia="ChaparralPro-Regular" w:cs="Arial"/>
        </w:rPr>
        <w:t>. Srovnáme-li Českou republiku s Polskem, zjistíme, že i v porovnání s touto zemí byl podíl výdajů na vzdělávací instituce z HDP u nás ve všech sledovaných rocích nižší, nicméně na rozdíl od ČR a mezinárodního průměru v Polsku tento podíl v uvedených rocích nestoupal</w:t>
      </w:r>
      <w:r w:rsidR="009F3FFC">
        <w:rPr>
          <w:rFonts w:eastAsia="ChaparralPro-Regular" w:cs="Arial"/>
        </w:rPr>
        <w:t xml:space="preserve">, </w:t>
      </w:r>
      <w:r w:rsidRPr="00306953">
        <w:rPr>
          <w:rFonts w:eastAsia="ChaparralPro-Regular" w:cs="Arial"/>
        </w:rPr>
        <w:lastRenderedPageBreak/>
        <w:t>naopak, mezi</w:t>
      </w:r>
      <w:r w:rsidR="009F3FFC">
        <w:rPr>
          <w:rFonts w:eastAsia="ChaparralPro-Regular" w:cs="Arial"/>
        </w:rPr>
        <w:t xml:space="preserve"> lety 2008 a 2012 mírně poklesl</w:t>
      </w:r>
      <w:r w:rsidRPr="00306953">
        <w:rPr>
          <w:rFonts w:eastAsia="ChaparralPro-Regular" w:cs="Arial"/>
        </w:rPr>
        <w:t>. Na Slovensku pak byl podíl výdajů na vzdělávací instituce z HDP v roce 2012 nižší než u nás, nicméně v roce 2000 se tento podíl nelišil. Ani Slovensko tak ve sledovaných letech nezaznamenalo výrazný nárůst podílu výdajů na instituce poskytující formální vzdělávání z HDP.  Celkově vydala Česká republika v roce 2012 na primární až terciární úroveň vzdělávání z veřejných i soukromých zdrojů nižší podíl HDP, než jak tomu bylo v obou mezinárodních průměrech a také nižší než v Polsku a Finsku.  Od jiných zemí se přitom lišíme především relativně nízkými náklady na povinnou školní docházku (tj. primární a nižší sekundární vzdělávání); oproti tomu ve veřejných výdajích na terciární vzdělávání vyjádřených jakožto podíl HDP dosahuje naše země mezi zeměmi OECD i zeměmi v EU i OECD zhruba průměrných hodnot. Zároveň lze konstatovat, že veřejné i soukromé výdaje na vzdělávání na primární až post-sekundární neterciární úrovni v poměru k HDP v ČR v čase jsou od roku 2000 relativně stabilní, zatímco výdaje na terciární vzdělávání vzrostly z 0,76 % HDP v roce 2000 na 1,44 % HDP v roce 2012. V mezinárodních průmě</w:t>
      </w:r>
      <w:r w:rsidR="008F4DEB">
        <w:rPr>
          <w:rFonts w:eastAsia="ChaparralPro-Regular" w:cs="Arial"/>
        </w:rPr>
        <w:t>rech, ale též např. ve Finsku byl</w:t>
      </w:r>
      <w:r w:rsidRPr="00306953">
        <w:rPr>
          <w:rFonts w:eastAsia="ChaparralPro-Regular" w:cs="Arial"/>
        </w:rPr>
        <w:t xml:space="preserve"> vývoj těchto </w:t>
      </w:r>
      <w:r w:rsidR="009F3FFC">
        <w:rPr>
          <w:rFonts w:eastAsia="ChaparralPro-Regular" w:cs="Arial"/>
        </w:rPr>
        <w:t xml:space="preserve">dvou druhů </w:t>
      </w:r>
      <w:r w:rsidRPr="00306953">
        <w:rPr>
          <w:rFonts w:eastAsia="ChaparralPro-Regular" w:cs="Arial"/>
        </w:rPr>
        <w:t>výdajů ve srovnání s Českou republikou vyrovnanější.</w:t>
      </w:r>
    </w:p>
    <w:p w:rsidR="00E031F1" w:rsidRDefault="00E031F1" w:rsidP="00E031F1">
      <w:pPr>
        <w:pStyle w:val="Nadpis2"/>
        <w:spacing w:line="240" w:lineRule="auto"/>
        <w:rPr>
          <w:rFonts w:eastAsia="ChaparralPro-Regular" w:cs="Arial"/>
        </w:rPr>
      </w:pPr>
      <w:bookmarkStart w:id="12" w:name="_Toc457225388"/>
    </w:p>
    <w:p w:rsidR="00306953" w:rsidRPr="00306953" w:rsidRDefault="00306953" w:rsidP="00306953">
      <w:pPr>
        <w:pStyle w:val="Nadpis2"/>
        <w:spacing w:before="360"/>
        <w:rPr>
          <w:rFonts w:eastAsia="ChaparralPro-Regular" w:cs="Arial"/>
        </w:rPr>
      </w:pPr>
      <w:bookmarkStart w:id="13" w:name="_Toc460424377"/>
      <w:r w:rsidRPr="00306953">
        <w:rPr>
          <w:rFonts w:eastAsia="ChaparralPro-Regular" w:cs="Arial"/>
        </w:rPr>
        <w:t>Výdaje na jednoho žáka/studenta</w:t>
      </w:r>
      <w:bookmarkEnd w:id="12"/>
      <w:bookmarkEnd w:id="13"/>
    </w:p>
    <w:p w:rsidR="00306953" w:rsidRPr="00306953" w:rsidRDefault="00306953" w:rsidP="00306953">
      <w:pPr>
        <w:keepNext/>
        <w:tabs>
          <w:tab w:val="left" w:pos="2955"/>
        </w:tabs>
        <w:spacing w:after="0" w:line="240" w:lineRule="auto"/>
        <w:rPr>
          <w:rFonts w:cs="Arial"/>
        </w:rPr>
      </w:pPr>
      <w:r w:rsidRPr="00306953">
        <w:rPr>
          <w:rFonts w:cs="Arial"/>
        </w:rPr>
        <w:tab/>
      </w:r>
    </w:p>
    <w:p w:rsidR="002C4A87" w:rsidRDefault="002C4A87" w:rsidP="002C4A87">
      <w:pPr>
        <w:pStyle w:val="Nadpis3"/>
        <w:spacing w:line="240" w:lineRule="auto"/>
      </w:pPr>
    </w:p>
    <w:p w:rsidR="002C4A87" w:rsidRDefault="002C4A87" w:rsidP="002C4A87">
      <w:pPr>
        <w:pStyle w:val="Nadpis3"/>
        <w:spacing w:after="120"/>
      </w:pPr>
      <w:bookmarkStart w:id="14" w:name="_Toc460424378"/>
      <w:r>
        <w:t>Úvod</w:t>
      </w:r>
      <w:bookmarkEnd w:id="14"/>
    </w:p>
    <w:p w:rsidR="002C4A87" w:rsidRDefault="00306953" w:rsidP="002C4A87">
      <w:pPr>
        <w:spacing w:line="240" w:lineRule="auto"/>
        <w:jc w:val="both"/>
        <w:rPr>
          <w:rFonts w:eastAsia="ChaparralPro-Regular" w:cs="Arial"/>
        </w:rPr>
      </w:pPr>
      <w:r w:rsidRPr="00306953">
        <w:rPr>
          <w:rFonts w:cs="Arial"/>
        </w:rPr>
        <w:t>V této kapitole nejprve uvedeme počty žáků a studentů v ČR na různých úrovních vzdělávání ve školních rocích 2007/08–2015/16 a celkové výdaje na školství na jednoho obyvatele ČR v letech 2008–2015. Dále představíme v mezinárodním srovnání výdaje vzdělávacích institucí na jednoho žáka/studenta dle druhu poskytnuté služby za rok 2012 a za stejný rok též</w:t>
      </w:r>
      <w:r w:rsidRPr="00306953">
        <w:rPr>
          <w:rFonts w:cs="Arial"/>
          <w:b/>
        </w:rPr>
        <w:t xml:space="preserve"> </w:t>
      </w:r>
      <w:r w:rsidRPr="00306953">
        <w:rPr>
          <w:rFonts w:cs="Arial"/>
        </w:rPr>
        <w:t xml:space="preserve">výdaje vzdělávacích institucí (veřejných i soukromých) na jednoho žáka/studenta dle různých úrovní vzdělávání. Poté ukážeme v mezinárodním srovnání celkové veřejné výdaje na veřejné i soukromé instituce formálního vzdělávání </w:t>
      </w:r>
      <w:r w:rsidR="0011742F">
        <w:rPr>
          <w:rFonts w:cs="Arial"/>
        </w:rPr>
        <w:t xml:space="preserve">primární až terciární úrovně </w:t>
      </w:r>
      <w:r w:rsidRPr="00306953">
        <w:rPr>
          <w:rFonts w:cs="Arial"/>
        </w:rPr>
        <w:t xml:space="preserve">na jednoho žáka za rok 2012. Nakonec představíme </w:t>
      </w:r>
      <w:r w:rsidRPr="00306953">
        <w:rPr>
          <w:rFonts w:eastAsia="ChaparralPro-Regular" w:cs="Arial"/>
        </w:rPr>
        <w:t>vývoj výdajů vzdělávacích institucí na jednoho žáka v primárním, sekundárním a postsekundárním neterciárním vzdělávání a výdajů na jednoho studenta v terciárním vzdělávání v letech 2000, 2008, 2009, 2010, 2011 a 2012, a sice v procentech k roku 2005.</w:t>
      </w:r>
    </w:p>
    <w:p w:rsidR="002C4A87" w:rsidRDefault="002C4A87" w:rsidP="002C4A87">
      <w:pPr>
        <w:spacing w:after="0" w:line="240" w:lineRule="auto"/>
        <w:jc w:val="both"/>
        <w:rPr>
          <w:rFonts w:eastAsia="ChaparralPro-Regular" w:cs="Arial"/>
        </w:rPr>
      </w:pPr>
    </w:p>
    <w:p w:rsidR="002C4A87" w:rsidRPr="002C4A87" w:rsidRDefault="002C4A87" w:rsidP="002C4A87">
      <w:pPr>
        <w:pStyle w:val="Nadpis3"/>
        <w:spacing w:after="120"/>
      </w:pPr>
      <w:bookmarkStart w:id="15" w:name="_Toc460424379"/>
      <w:r>
        <w:t>Prezentace indikátorů</w:t>
      </w:r>
      <w:bookmarkEnd w:id="15"/>
    </w:p>
    <w:p w:rsidR="00306953" w:rsidRPr="00306953" w:rsidRDefault="00306953" w:rsidP="00306953">
      <w:pPr>
        <w:spacing w:after="120" w:line="240" w:lineRule="auto"/>
        <w:jc w:val="both"/>
        <w:rPr>
          <w:rFonts w:eastAsia="ChaparralPro-Regular" w:cs="Arial"/>
        </w:rPr>
      </w:pPr>
      <w:r w:rsidRPr="00306953">
        <w:rPr>
          <w:rFonts w:eastAsia="ChaparralPro-Regular" w:cs="Arial"/>
        </w:rPr>
        <w:t xml:space="preserve">V předešlé kapitole jsme upozornili, že při </w:t>
      </w:r>
      <w:r w:rsidRPr="00306953">
        <w:rPr>
          <w:rFonts w:eastAsia="ChaparralPro-Regular" w:cs="Arial"/>
          <w:b/>
        </w:rPr>
        <w:t>interpretaci výše výdajů na vzdělávání v r</w:t>
      </w:r>
      <w:r w:rsidR="00E52654">
        <w:rPr>
          <w:rFonts w:eastAsia="ChaparralPro-Regular" w:cs="Arial"/>
          <w:b/>
        </w:rPr>
        <w:t>ůzných zemích a </w:t>
      </w:r>
      <w:r w:rsidRPr="00306953">
        <w:rPr>
          <w:rFonts w:eastAsia="ChaparralPro-Regular" w:cs="Arial"/>
          <w:b/>
        </w:rPr>
        <w:t>jejich změn v čase</w:t>
      </w:r>
      <w:r w:rsidRPr="00306953">
        <w:rPr>
          <w:rFonts w:eastAsia="ChaparralPro-Regular" w:cs="Arial"/>
        </w:rPr>
        <w:t xml:space="preserve"> je třeba přihlédnout k </w:t>
      </w:r>
      <w:r w:rsidRPr="00306953">
        <w:rPr>
          <w:rFonts w:eastAsia="ChaparralPro-Regular" w:cs="Arial"/>
          <w:b/>
          <w:i/>
        </w:rPr>
        <w:t>řadě faktorů, zejména pak k velikosti populace účastnící se formálního vzdělávání</w:t>
      </w:r>
      <w:r w:rsidRPr="00306953">
        <w:rPr>
          <w:rFonts w:eastAsia="ChaparralPro-Regular" w:cs="Arial"/>
        </w:rPr>
        <w:t xml:space="preserve"> a celkové velikosti populace v dané zemi (pakliže vztahujeme výsledky k HDP dané země). </w:t>
      </w:r>
      <w:r w:rsidR="007F0F04">
        <w:rPr>
          <w:rFonts w:cs="Arial"/>
        </w:rPr>
        <w:t>Tyto údaje znázorňují za ČR tabulky</w:t>
      </w:r>
      <w:r w:rsidRPr="00306953">
        <w:rPr>
          <w:rFonts w:cs="Arial"/>
        </w:rPr>
        <w:t xml:space="preserve"> č. 8 </w:t>
      </w:r>
      <w:r w:rsidR="001C42CF">
        <w:rPr>
          <w:rFonts w:cs="Arial"/>
        </w:rPr>
        <w:t xml:space="preserve">(počet dětí/žáků/studentů) </w:t>
      </w:r>
      <w:r w:rsidRPr="00306953">
        <w:rPr>
          <w:rFonts w:cs="Arial"/>
        </w:rPr>
        <w:t>a 9</w:t>
      </w:r>
      <w:r w:rsidR="001C42CF">
        <w:rPr>
          <w:rFonts w:cs="Arial"/>
        </w:rPr>
        <w:t xml:space="preserve"> (poměrová vyjádření výdajů)</w:t>
      </w:r>
      <w:r w:rsidRPr="00306953">
        <w:rPr>
          <w:rFonts w:cs="Arial"/>
        </w:rPr>
        <w:t xml:space="preserve">. </w:t>
      </w:r>
    </w:p>
    <w:p w:rsidR="00306953" w:rsidRPr="00306953" w:rsidRDefault="00306953" w:rsidP="00306953">
      <w:pPr>
        <w:keepNext/>
        <w:spacing w:after="0" w:line="240" w:lineRule="auto"/>
        <w:jc w:val="both"/>
        <w:rPr>
          <w:rFonts w:cs="Arial"/>
          <w:b/>
        </w:rPr>
      </w:pPr>
      <w:r w:rsidRPr="00306953">
        <w:rPr>
          <w:rFonts w:cs="Arial"/>
          <w:b/>
        </w:rPr>
        <w:t xml:space="preserve">Tabulka č. 8 Vývoj počtu dětí/žáků/studentů v ČR v různých úrovních vzdělávání (školní roky 2007/08–2015/16) </w:t>
      </w:r>
    </w:p>
    <w:p w:rsidR="00306953" w:rsidRPr="00306953" w:rsidRDefault="00306953" w:rsidP="00306953">
      <w:pPr>
        <w:keepNext/>
        <w:spacing w:after="0" w:line="240" w:lineRule="auto"/>
        <w:jc w:val="both"/>
        <w:rPr>
          <w:rFonts w:cs="Arial"/>
          <w:sz w:val="12"/>
          <w:szCs w:val="12"/>
        </w:rPr>
      </w:pPr>
    </w:p>
    <w:tbl>
      <w:tblPr>
        <w:tblW w:w="9941" w:type="dxa"/>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1600"/>
        <w:gridCol w:w="850"/>
        <w:gridCol w:w="851"/>
        <w:gridCol w:w="850"/>
        <w:gridCol w:w="851"/>
        <w:gridCol w:w="850"/>
        <w:gridCol w:w="851"/>
        <w:gridCol w:w="850"/>
        <w:gridCol w:w="851"/>
        <w:gridCol w:w="850"/>
        <w:gridCol w:w="687"/>
      </w:tblGrid>
      <w:tr w:rsidR="00306953" w:rsidRPr="00306953" w:rsidTr="00BF267F">
        <w:trPr>
          <w:trHeight w:val="300"/>
        </w:trPr>
        <w:tc>
          <w:tcPr>
            <w:tcW w:w="1600" w:type="dxa"/>
            <w:vMerge w:val="restart"/>
            <w:tcBorders>
              <w:top w:val="double" w:sz="4" w:space="0" w:color="auto"/>
              <w:bottom w:val="single" w:sz="4" w:space="0" w:color="auto"/>
            </w:tcBorders>
            <w:shd w:val="clear" w:color="auto" w:fill="FFCCCC"/>
            <w:vAlign w:val="center"/>
            <w:hideMark/>
          </w:tcPr>
          <w:p w:rsidR="00306953" w:rsidRPr="00306953" w:rsidRDefault="00EA6A4F" w:rsidP="007E5BD0">
            <w:pPr>
              <w:keepNext/>
              <w:spacing w:after="0" w:line="240" w:lineRule="auto"/>
              <w:rPr>
                <w:rFonts w:cs="Arial"/>
                <w:b/>
                <w:bCs/>
                <w:color w:val="000000"/>
                <w:sz w:val="16"/>
                <w:szCs w:val="16"/>
              </w:rPr>
            </w:pPr>
            <w:r>
              <w:rPr>
                <w:rFonts w:cs="Arial"/>
                <w:b/>
                <w:bCs/>
                <w:color w:val="000000"/>
                <w:sz w:val="16"/>
                <w:szCs w:val="16"/>
              </w:rPr>
              <w:t>d</w:t>
            </w:r>
            <w:r w:rsidR="00306953" w:rsidRPr="00306953">
              <w:rPr>
                <w:rFonts w:cs="Arial"/>
                <w:b/>
                <w:bCs/>
                <w:color w:val="000000"/>
                <w:sz w:val="16"/>
                <w:szCs w:val="16"/>
              </w:rPr>
              <w:t>ruh vzdělávání</w:t>
            </w:r>
          </w:p>
        </w:tc>
        <w:tc>
          <w:tcPr>
            <w:tcW w:w="7654" w:type="dxa"/>
            <w:gridSpan w:val="9"/>
            <w:tcBorders>
              <w:top w:val="double" w:sz="4" w:space="0" w:color="auto"/>
              <w:bottom w:val="single" w:sz="4" w:space="0" w:color="auto"/>
            </w:tcBorders>
            <w:shd w:val="clear" w:color="auto" w:fill="FFCCCC"/>
            <w:noWrap/>
            <w:vAlign w:val="center"/>
            <w:hideMark/>
          </w:tcPr>
          <w:p w:rsidR="00306953" w:rsidRPr="00306953" w:rsidRDefault="00EA6A4F" w:rsidP="007E5BD0">
            <w:pPr>
              <w:keepNext/>
              <w:spacing w:after="0" w:line="240" w:lineRule="auto"/>
              <w:jc w:val="center"/>
              <w:rPr>
                <w:rFonts w:cs="Arial"/>
                <w:b/>
                <w:bCs/>
                <w:color w:val="000000"/>
                <w:sz w:val="16"/>
                <w:szCs w:val="16"/>
              </w:rPr>
            </w:pPr>
            <w:r>
              <w:rPr>
                <w:rFonts w:cs="Arial"/>
                <w:b/>
                <w:bCs/>
                <w:color w:val="000000"/>
                <w:sz w:val="16"/>
                <w:szCs w:val="16"/>
              </w:rPr>
              <w:t>p</w:t>
            </w:r>
            <w:r w:rsidR="00306953" w:rsidRPr="00306953">
              <w:rPr>
                <w:rFonts w:cs="Arial"/>
                <w:b/>
                <w:bCs/>
                <w:color w:val="000000"/>
                <w:sz w:val="16"/>
                <w:szCs w:val="16"/>
              </w:rPr>
              <w:t>očty žáků/studentů ve školních rocích (u VŠ v kalendářních rocích)</w:t>
            </w:r>
          </w:p>
        </w:tc>
        <w:tc>
          <w:tcPr>
            <w:tcW w:w="687" w:type="dxa"/>
            <w:vMerge w:val="restart"/>
            <w:tcBorders>
              <w:top w:val="double" w:sz="4" w:space="0" w:color="auto"/>
              <w:bottom w:val="single" w:sz="4" w:space="0" w:color="auto"/>
            </w:tcBorders>
            <w:shd w:val="clear" w:color="auto" w:fill="FFCCCC"/>
            <w:noWrap/>
            <w:vAlign w:val="center"/>
            <w:hideMark/>
          </w:tcPr>
          <w:p w:rsidR="00306953" w:rsidRPr="00306953" w:rsidRDefault="00306953" w:rsidP="007E5BD0">
            <w:pPr>
              <w:keepNext/>
              <w:spacing w:after="0" w:line="240" w:lineRule="auto"/>
              <w:jc w:val="center"/>
              <w:rPr>
                <w:rFonts w:cs="Arial"/>
                <w:b/>
                <w:bCs/>
                <w:color w:val="000000"/>
                <w:sz w:val="16"/>
                <w:szCs w:val="16"/>
              </w:rPr>
            </w:pPr>
            <w:r w:rsidRPr="00306953">
              <w:rPr>
                <w:rFonts w:cs="Arial"/>
                <w:b/>
                <w:bCs/>
                <w:color w:val="000000"/>
                <w:sz w:val="16"/>
                <w:szCs w:val="16"/>
              </w:rPr>
              <w:t>Index</w:t>
            </w:r>
            <w:r w:rsidRPr="00306953">
              <w:rPr>
                <w:rFonts w:cs="Arial"/>
                <w:b/>
                <w:bCs/>
                <w:color w:val="000000"/>
                <w:sz w:val="16"/>
                <w:szCs w:val="16"/>
                <w:vertAlign w:val="superscript"/>
              </w:rPr>
              <w:t>1)</w:t>
            </w:r>
          </w:p>
        </w:tc>
      </w:tr>
      <w:tr w:rsidR="00306953" w:rsidRPr="00306953" w:rsidTr="00BF267F">
        <w:trPr>
          <w:trHeight w:val="300"/>
        </w:trPr>
        <w:tc>
          <w:tcPr>
            <w:tcW w:w="1600" w:type="dxa"/>
            <w:vMerge/>
            <w:tcBorders>
              <w:top w:val="single" w:sz="4" w:space="0" w:color="auto"/>
              <w:bottom w:val="double" w:sz="4" w:space="0" w:color="auto"/>
            </w:tcBorders>
            <w:shd w:val="clear" w:color="auto" w:fill="FFCCCC"/>
            <w:vAlign w:val="center"/>
            <w:hideMark/>
          </w:tcPr>
          <w:p w:rsidR="00306953" w:rsidRPr="00306953" w:rsidRDefault="00306953" w:rsidP="007E5BD0">
            <w:pPr>
              <w:keepNext/>
              <w:spacing w:after="0" w:line="240" w:lineRule="auto"/>
              <w:rPr>
                <w:rFonts w:cs="Arial"/>
                <w:b/>
                <w:bCs/>
                <w:color w:val="000000"/>
                <w:sz w:val="16"/>
                <w:szCs w:val="16"/>
              </w:rPr>
            </w:pPr>
          </w:p>
        </w:tc>
        <w:tc>
          <w:tcPr>
            <w:tcW w:w="850" w:type="dxa"/>
            <w:tcBorders>
              <w:top w:val="single" w:sz="4" w:space="0" w:color="auto"/>
              <w:bottom w:val="double" w:sz="4" w:space="0" w:color="auto"/>
            </w:tcBorders>
            <w:shd w:val="clear" w:color="auto" w:fill="FFCCCC"/>
            <w:vAlign w:val="center"/>
            <w:hideMark/>
          </w:tcPr>
          <w:p w:rsidR="00306953" w:rsidRPr="00306953" w:rsidRDefault="00306953" w:rsidP="007E5BD0">
            <w:pPr>
              <w:keepNext/>
              <w:spacing w:after="0" w:line="240" w:lineRule="auto"/>
              <w:jc w:val="center"/>
              <w:rPr>
                <w:rFonts w:cs="Arial"/>
                <w:b/>
                <w:bCs/>
                <w:color w:val="000000"/>
                <w:sz w:val="16"/>
                <w:szCs w:val="16"/>
              </w:rPr>
            </w:pPr>
            <w:r w:rsidRPr="00306953">
              <w:rPr>
                <w:rFonts w:cs="Arial"/>
                <w:b/>
                <w:bCs/>
                <w:color w:val="000000"/>
                <w:sz w:val="16"/>
                <w:szCs w:val="16"/>
              </w:rPr>
              <w:t>2007/08</w:t>
            </w:r>
          </w:p>
        </w:tc>
        <w:tc>
          <w:tcPr>
            <w:tcW w:w="851" w:type="dxa"/>
            <w:tcBorders>
              <w:top w:val="single" w:sz="4" w:space="0" w:color="auto"/>
              <w:bottom w:val="double" w:sz="4" w:space="0" w:color="auto"/>
            </w:tcBorders>
            <w:shd w:val="clear" w:color="auto" w:fill="FFCCCC"/>
            <w:vAlign w:val="center"/>
            <w:hideMark/>
          </w:tcPr>
          <w:p w:rsidR="00306953" w:rsidRPr="00306953" w:rsidRDefault="00306953" w:rsidP="007E5BD0">
            <w:pPr>
              <w:keepNext/>
              <w:spacing w:after="0" w:line="240" w:lineRule="auto"/>
              <w:jc w:val="center"/>
              <w:rPr>
                <w:rFonts w:cs="Arial"/>
                <w:b/>
                <w:bCs/>
                <w:color w:val="000000"/>
                <w:sz w:val="16"/>
                <w:szCs w:val="16"/>
              </w:rPr>
            </w:pPr>
            <w:r w:rsidRPr="00306953">
              <w:rPr>
                <w:rFonts w:cs="Arial"/>
                <w:b/>
                <w:bCs/>
                <w:color w:val="000000"/>
                <w:sz w:val="16"/>
                <w:szCs w:val="16"/>
              </w:rPr>
              <w:t>2008/09</w:t>
            </w:r>
          </w:p>
        </w:tc>
        <w:tc>
          <w:tcPr>
            <w:tcW w:w="850" w:type="dxa"/>
            <w:tcBorders>
              <w:top w:val="single" w:sz="4" w:space="0" w:color="auto"/>
              <w:bottom w:val="double" w:sz="4" w:space="0" w:color="auto"/>
            </w:tcBorders>
            <w:shd w:val="clear" w:color="auto" w:fill="FFCCCC"/>
            <w:vAlign w:val="center"/>
            <w:hideMark/>
          </w:tcPr>
          <w:p w:rsidR="00306953" w:rsidRPr="00306953" w:rsidRDefault="00306953" w:rsidP="007E5BD0">
            <w:pPr>
              <w:keepNext/>
              <w:spacing w:after="0" w:line="240" w:lineRule="auto"/>
              <w:jc w:val="center"/>
              <w:rPr>
                <w:rFonts w:cs="Arial"/>
                <w:b/>
                <w:bCs/>
                <w:color w:val="000000"/>
                <w:sz w:val="16"/>
                <w:szCs w:val="16"/>
              </w:rPr>
            </w:pPr>
            <w:r w:rsidRPr="00306953">
              <w:rPr>
                <w:rFonts w:cs="Arial"/>
                <w:b/>
                <w:bCs/>
                <w:color w:val="000000"/>
                <w:sz w:val="16"/>
                <w:szCs w:val="16"/>
              </w:rPr>
              <w:t>2009/10</w:t>
            </w:r>
          </w:p>
        </w:tc>
        <w:tc>
          <w:tcPr>
            <w:tcW w:w="851" w:type="dxa"/>
            <w:tcBorders>
              <w:top w:val="single" w:sz="4" w:space="0" w:color="auto"/>
              <w:bottom w:val="double" w:sz="4" w:space="0" w:color="auto"/>
            </w:tcBorders>
            <w:shd w:val="clear" w:color="auto" w:fill="FFCCCC"/>
            <w:vAlign w:val="center"/>
            <w:hideMark/>
          </w:tcPr>
          <w:p w:rsidR="00306953" w:rsidRPr="00306953" w:rsidRDefault="00306953" w:rsidP="007E5BD0">
            <w:pPr>
              <w:keepNext/>
              <w:spacing w:after="0" w:line="240" w:lineRule="auto"/>
              <w:jc w:val="center"/>
              <w:rPr>
                <w:rFonts w:cs="Arial"/>
                <w:b/>
                <w:bCs/>
                <w:color w:val="000000"/>
                <w:sz w:val="16"/>
                <w:szCs w:val="16"/>
              </w:rPr>
            </w:pPr>
            <w:r w:rsidRPr="00306953">
              <w:rPr>
                <w:rFonts w:cs="Arial"/>
                <w:b/>
                <w:bCs/>
                <w:color w:val="000000"/>
                <w:sz w:val="16"/>
                <w:szCs w:val="16"/>
              </w:rPr>
              <w:t>2010/11</w:t>
            </w:r>
          </w:p>
        </w:tc>
        <w:tc>
          <w:tcPr>
            <w:tcW w:w="850" w:type="dxa"/>
            <w:tcBorders>
              <w:top w:val="single" w:sz="4" w:space="0" w:color="auto"/>
              <w:bottom w:val="double" w:sz="4" w:space="0" w:color="auto"/>
            </w:tcBorders>
            <w:shd w:val="clear" w:color="auto" w:fill="FFCCCC"/>
            <w:vAlign w:val="center"/>
            <w:hideMark/>
          </w:tcPr>
          <w:p w:rsidR="00306953" w:rsidRPr="00306953" w:rsidRDefault="00306953" w:rsidP="007E5BD0">
            <w:pPr>
              <w:keepNext/>
              <w:spacing w:after="0" w:line="240" w:lineRule="auto"/>
              <w:jc w:val="center"/>
              <w:rPr>
                <w:rFonts w:cs="Arial"/>
                <w:b/>
                <w:bCs/>
                <w:color w:val="000000"/>
                <w:sz w:val="16"/>
                <w:szCs w:val="16"/>
              </w:rPr>
            </w:pPr>
            <w:r w:rsidRPr="00306953">
              <w:rPr>
                <w:rFonts w:cs="Arial"/>
                <w:b/>
                <w:bCs/>
                <w:color w:val="000000"/>
                <w:sz w:val="16"/>
                <w:szCs w:val="16"/>
              </w:rPr>
              <w:t>2011/12</w:t>
            </w:r>
          </w:p>
        </w:tc>
        <w:tc>
          <w:tcPr>
            <w:tcW w:w="851" w:type="dxa"/>
            <w:tcBorders>
              <w:top w:val="single" w:sz="4" w:space="0" w:color="auto"/>
              <w:bottom w:val="double" w:sz="4" w:space="0" w:color="auto"/>
            </w:tcBorders>
            <w:shd w:val="clear" w:color="auto" w:fill="FFCCCC"/>
            <w:vAlign w:val="center"/>
            <w:hideMark/>
          </w:tcPr>
          <w:p w:rsidR="00306953" w:rsidRPr="00306953" w:rsidRDefault="00306953" w:rsidP="007E5BD0">
            <w:pPr>
              <w:keepNext/>
              <w:spacing w:after="0" w:line="240" w:lineRule="auto"/>
              <w:jc w:val="center"/>
              <w:rPr>
                <w:rFonts w:cs="Arial"/>
                <w:b/>
                <w:bCs/>
                <w:color w:val="000000"/>
                <w:sz w:val="16"/>
                <w:szCs w:val="16"/>
              </w:rPr>
            </w:pPr>
            <w:r w:rsidRPr="00306953">
              <w:rPr>
                <w:rFonts w:cs="Arial"/>
                <w:b/>
                <w:bCs/>
                <w:color w:val="000000"/>
                <w:sz w:val="16"/>
                <w:szCs w:val="16"/>
              </w:rPr>
              <w:t>2012/13</w:t>
            </w:r>
          </w:p>
        </w:tc>
        <w:tc>
          <w:tcPr>
            <w:tcW w:w="850" w:type="dxa"/>
            <w:tcBorders>
              <w:top w:val="single" w:sz="4" w:space="0" w:color="auto"/>
              <w:bottom w:val="double" w:sz="4" w:space="0" w:color="auto"/>
            </w:tcBorders>
            <w:shd w:val="clear" w:color="auto" w:fill="FFCCCC"/>
            <w:vAlign w:val="center"/>
            <w:hideMark/>
          </w:tcPr>
          <w:p w:rsidR="00306953" w:rsidRPr="00306953" w:rsidRDefault="00306953" w:rsidP="007E5BD0">
            <w:pPr>
              <w:keepNext/>
              <w:spacing w:after="0" w:line="240" w:lineRule="auto"/>
              <w:jc w:val="center"/>
              <w:rPr>
                <w:rFonts w:cs="Arial"/>
                <w:b/>
                <w:bCs/>
                <w:color w:val="000000"/>
                <w:sz w:val="16"/>
                <w:szCs w:val="16"/>
              </w:rPr>
            </w:pPr>
            <w:r w:rsidRPr="00306953">
              <w:rPr>
                <w:rFonts w:cs="Arial"/>
                <w:b/>
                <w:bCs/>
                <w:color w:val="000000"/>
                <w:sz w:val="16"/>
                <w:szCs w:val="16"/>
              </w:rPr>
              <w:t>2013/14</w:t>
            </w:r>
          </w:p>
        </w:tc>
        <w:tc>
          <w:tcPr>
            <w:tcW w:w="851" w:type="dxa"/>
            <w:tcBorders>
              <w:top w:val="single" w:sz="4" w:space="0" w:color="auto"/>
              <w:bottom w:val="double" w:sz="4" w:space="0" w:color="auto"/>
            </w:tcBorders>
            <w:shd w:val="clear" w:color="auto" w:fill="FFCCCC"/>
            <w:vAlign w:val="center"/>
            <w:hideMark/>
          </w:tcPr>
          <w:p w:rsidR="00306953" w:rsidRPr="00306953" w:rsidRDefault="00306953" w:rsidP="007E5BD0">
            <w:pPr>
              <w:keepNext/>
              <w:spacing w:after="0" w:line="240" w:lineRule="auto"/>
              <w:jc w:val="center"/>
              <w:rPr>
                <w:rFonts w:cs="Arial"/>
                <w:b/>
                <w:bCs/>
                <w:color w:val="000000"/>
                <w:sz w:val="16"/>
                <w:szCs w:val="16"/>
              </w:rPr>
            </w:pPr>
            <w:r w:rsidRPr="00306953">
              <w:rPr>
                <w:rFonts w:cs="Arial"/>
                <w:b/>
                <w:bCs/>
                <w:color w:val="000000"/>
                <w:sz w:val="16"/>
                <w:szCs w:val="16"/>
              </w:rPr>
              <w:t>2014/15</w:t>
            </w:r>
          </w:p>
        </w:tc>
        <w:tc>
          <w:tcPr>
            <w:tcW w:w="850" w:type="dxa"/>
            <w:tcBorders>
              <w:top w:val="single" w:sz="4" w:space="0" w:color="auto"/>
              <w:bottom w:val="double" w:sz="4" w:space="0" w:color="auto"/>
            </w:tcBorders>
            <w:shd w:val="clear" w:color="auto" w:fill="FFCCCC"/>
            <w:vAlign w:val="center"/>
            <w:hideMark/>
          </w:tcPr>
          <w:p w:rsidR="00306953" w:rsidRPr="00306953" w:rsidRDefault="00306953" w:rsidP="007E5BD0">
            <w:pPr>
              <w:keepNext/>
              <w:spacing w:after="0" w:line="240" w:lineRule="auto"/>
              <w:jc w:val="center"/>
              <w:rPr>
                <w:rFonts w:cs="Arial"/>
                <w:b/>
                <w:bCs/>
                <w:color w:val="000000"/>
                <w:sz w:val="16"/>
                <w:szCs w:val="16"/>
              </w:rPr>
            </w:pPr>
            <w:r w:rsidRPr="00306953">
              <w:rPr>
                <w:rFonts w:cs="Arial"/>
                <w:b/>
                <w:bCs/>
                <w:color w:val="000000"/>
                <w:sz w:val="16"/>
                <w:szCs w:val="16"/>
              </w:rPr>
              <w:t>2015/16</w:t>
            </w:r>
          </w:p>
        </w:tc>
        <w:tc>
          <w:tcPr>
            <w:tcW w:w="687" w:type="dxa"/>
            <w:vMerge/>
            <w:tcBorders>
              <w:top w:val="single" w:sz="4" w:space="0" w:color="auto"/>
              <w:bottom w:val="double" w:sz="4" w:space="0" w:color="auto"/>
            </w:tcBorders>
            <w:shd w:val="clear" w:color="auto" w:fill="FFCCCC"/>
            <w:vAlign w:val="center"/>
            <w:hideMark/>
          </w:tcPr>
          <w:p w:rsidR="00306953" w:rsidRPr="00306953" w:rsidRDefault="00306953" w:rsidP="007E5BD0">
            <w:pPr>
              <w:keepNext/>
              <w:spacing w:after="0" w:line="240" w:lineRule="auto"/>
              <w:jc w:val="center"/>
              <w:rPr>
                <w:rFonts w:cs="Arial"/>
                <w:b/>
                <w:bCs/>
                <w:color w:val="000000"/>
                <w:sz w:val="16"/>
                <w:szCs w:val="16"/>
              </w:rPr>
            </w:pPr>
          </w:p>
        </w:tc>
      </w:tr>
      <w:tr w:rsidR="00306953" w:rsidRPr="00306953" w:rsidTr="00BF267F">
        <w:trPr>
          <w:trHeight w:val="300"/>
        </w:trPr>
        <w:tc>
          <w:tcPr>
            <w:tcW w:w="1600" w:type="dxa"/>
            <w:tcBorders>
              <w:top w:val="double" w:sz="4" w:space="0" w:color="auto"/>
            </w:tcBorders>
            <w:shd w:val="clear" w:color="auto" w:fill="auto"/>
            <w:vAlign w:val="center"/>
            <w:hideMark/>
          </w:tcPr>
          <w:p w:rsidR="00306953" w:rsidRPr="00306953" w:rsidRDefault="00EA6A4F" w:rsidP="00F83F57">
            <w:pPr>
              <w:spacing w:before="30" w:after="30" w:line="240" w:lineRule="auto"/>
              <w:rPr>
                <w:rFonts w:cs="Arial"/>
                <w:color w:val="000000"/>
                <w:sz w:val="16"/>
                <w:szCs w:val="16"/>
              </w:rPr>
            </w:pPr>
            <w:r>
              <w:rPr>
                <w:rFonts w:cs="Arial"/>
                <w:color w:val="000000"/>
                <w:sz w:val="16"/>
                <w:szCs w:val="16"/>
              </w:rPr>
              <w:t>p</w:t>
            </w:r>
            <w:r w:rsidR="00306953" w:rsidRPr="00306953">
              <w:rPr>
                <w:rFonts w:cs="Arial"/>
                <w:color w:val="000000"/>
                <w:sz w:val="16"/>
                <w:szCs w:val="16"/>
              </w:rPr>
              <w:t>ředškolní vzdělávání</w:t>
            </w:r>
          </w:p>
        </w:tc>
        <w:tc>
          <w:tcPr>
            <w:tcW w:w="850" w:type="dxa"/>
            <w:tcBorders>
              <w:top w:val="double" w:sz="4" w:space="0" w:color="auto"/>
            </w:tcBorders>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293 383</w:t>
            </w:r>
          </w:p>
        </w:tc>
        <w:tc>
          <w:tcPr>
            <w:tcW w:w="851" w:type="dxa"/>
            <w:tcBorders>
              <w:top w:val="double" w:sz="4" w:space="0" w:color="auto"/>
            </w:tcBorders>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303 899</w:t>
            </w:r>
          </w:p>
        </w:tc>
        <w:tc>
          <w:tcPr>
            <w:tcW w:w="850" w:type="dxa"/>
            <w:tcBorders>
              <w:top w:val="double" w:sz="4" w:space="0" w:color="auto"/>
            </w:tcBorders>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316 671</w:t>
            </w:r>
          </w:p>
        </w:tc>
        <w:tc>
          <w:tcPr>
            <w:tcW w:w="851" w:type="dxa"/>
            <w:tcBorders>
              <w:top w:val="double" w:sz="4" w:space="0" w:color="auto"/>
            </w:tcBorders>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331 782</w:t>
            </w:r>
          </w:p>
        </w:tc>
        <w:tc>
          <w:tcPr>
            <w:tcW w:w="850" w:type="dxa"/>
            <w:tcBorders>
              <w:top w:val="double" w:sz="4" w:space="0" w:color="auto"/>
            </w:tcBorders>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345 850</w:t>
            </w:r>
          </w:p>
        </w:tc>
        <w:tc>
          <w:tcPr>
            <w:tcW w:w="851" w:type="dxa"/>
            <w:tcBorders>
              <w:top w:val="double" w:sz="4" w:space="0" w:color="auto"/>
            </w:tcBorders>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358 104</w:t>
            </w:r>
          </w:p>
        </w:tc>
        <w:tc>
          <w:tcPr>
            <w:tcW w:w="850" w:type="dxa"/>
            <w:tcBorders>
              <w:top w:val="double" w:sz="4" w:space="0" w:color="auto"/>
            </w:tcBorders>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367 352</w:t>
            </w:r>
          </w:p>
        </w:tc>
        <w:tc>
          <w:tcPr>
            <w:tcW w:w="851" w:type="dxa"/>
            <w:tcBorders>
              <w:top w:val="double" w:sz="4" w:space="0" w:color="auto"/>
            </w:tcBorders>
            <w:shd w:val="clear" w:color="auto" w:fill="auto"/>
            <w:noWrap/>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371 690</w:t>
            </w:r>
          </w:p>
        </w:tc>
        <w:tc>
          <w:tcPr>
            <w:tcW w:w="850" w:type="dxa"/>
            <w:tcBorders>
              <w:top w:val="double" w:sz="4" w:space="0" w:color="auto"/>
            </w:tcBorders>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372 137</w:t>
            </w:r>
          </w:p>
        </w:tc>
        <w:tc>
          <w:tcPr>
            <w:tcW w:w="687" w:type="dxa"/>
            <w:tcBorders>
              <w:top w:val="double" w:sz="4" w:space="0" w:color="auto"/>
            </w:tcBorders>
            <w:shd w:val="clear" w:color="auto" w:fill="C6D9F1" w:themeFill="text2" w:themeFillTint="33"/>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1,27</w:t>
            </w:r>
          </w:p>
        </w:tc>
      </w:tr>
      <w:tr w:rsidR="00306953" w:rsidRPr="00306953" w:rsidTr="00BF267F">
        <w:trPr>
          <w:trHeight w:val="300"/>
        </w:trPr>
        <w:tc>
          <w:tcPr>
            <w:tcW w:w="1600" w:type="dxa"/>
            <w:shd w:val="clear" w:color="auto" w:fill="auto"/>
            <w:vAlign w:val="center"/>
            <w:hideMark/>
          </w:tcPr>
          <w:p w:rsidR="00306953" w:rsidRPr="00306953" w:rsidRDefault="00EA6A4F" w:rsidP="00F83F57">
            <w:pPr>
              <w:spacing w:before="30" w:after="30" w:line="240" w:lineRule="auto"/>
              <w:rPr>
                <w:rFonts w:cs="Arial"/>
                <w:color w:val="000000"/>
                <w:sz w:val="16"/>
                <w:szCs w:val="16"/>
              </w:rPr>
            </w:pPr>
            <w:r>
              <w:rPr>
                <w:rFonts w:cs="Arial"/>
                <w:color w:val="000000"/>
                <w:sz w:val="16"/>
                <w:szCs w:val="16"/>
              </w:rPr>
              <w:t>p</w:t>
            </w:r>
            <w:r w:rsidR="00306953" w:rsidRPr="00306953">
              <w:rPr>
                <w:rFonts w:cs="Arial"/>
                <w:color w:val="000000"/>
                <w:sz w:val="16"/>
                <w:szCs w:val="16"/>
              </w:rPr>
              <w:t>ovinná školní docházka</w:t>
            </w:r>
          </w:p>
        </w:tc>
        <w:tc>
          <w:tcPr>
            <w:tcW w:w="850" w:type="dxa"/>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888 000</w:t>
            </w:r>
          </w:p>
        </w:tc>
        <w:tc>
          <w:tcPr>
            <w:tcW w:w="851" w:type="dxa"/>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858 627</w:t>
            </w:r>
          </w:p>
        </w:tc>
        <w:tc>
          <w:tcPr>
            <w:tcW w:w="850" w:type="dxa"/>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836 372</w:t>
            </w:r>
          </w:p>
        </w:tc>
        <w:tc>
          <w:tcPr>
            <w:tcW w:w="851" w:type="dxa"/>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830 908</w:t>
            </w:r>
          </w:p>
        </w:tc>
        <w:tc>
          <w:tcPr>
            <w:tcW w:w="850" w:type="dxa"/>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835 796</w:t>
            </w:r>
          </w:p>
        </w:tc>
        <w:tc>
          <w:tcPr>
            <w:tcW w:w="851" w:type="dxa"/>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848 755</w:t>
            </w:r>
          </w:p>
        </w:tc>
        <w:tc>
          <w:tcPr>
            <w:tcW w:w="850" w:type="dxa"/>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868 324</w:t>
            </w:r>
          </w:p>
        </w:tc>
        <w:tc>
          <w:tcPr>
            <w:tcW w:w="851" w:type="dxa"/>
            <w:shd w:val="clear" w:color="auto" w:fill="auto"/>
            <w:noWrap/>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894 815</w:t>
            </w:r>
          </w:p>
        </w:tc>
        <w:tc>
          <w:tcPr>
            <w:tcW w:w="850" w:type="dxa"/>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921 054</w:t>
            </w:r>
          </w:p>
        </w:tc>
        <w:tc>
          <w:tcPr>
            <w:tcW w:w="687" w:type="dxa"/>
            <w:shd w:val="clear" w:color="auto" w:fill="C6D9F1" w:themeFill="text2" w:themeFillTint="33"/>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1,04</w:t>
            </w:r>
          </w:p>
        </w:tc>
      </w:tr>
      <w:tr w:rsidR="00780E35" w:rsidRPr="00306953" w:rsidTr="00BF267F">
        <w:trPr>
          <w:trHeight w:val="495"/>
        </w:trPr>
        <w:tc>
          <w:tcPr>
            <w:tcW w:w="1600" w:type="dxa"/>
            <w:shd w:val="clear" w:color="auto" w:fill="auto"/>
            <w:vAlign w:val="center"/>
            <w:hideMark/>
          </w:tcPr>
          <w:p w:rsidR="00780E35" w:rsidRPr="00306953" w:rsidRDefault="00780E35" w:rsidP="00F83F57">
            <w:pPr>
              <w:spacing w:before="30" w:after="30" w:line="240" w:lineRule="auto"/>
              <w:rPr>
                <w:rFonts w:cs="Arial"/>
                <w:color w:val="000000"/>
                <w:sz w:val="16"/>
                <w:szCs w:val="16"/>
              </w:rPr>
            </w:pPr>
            <w:r>
              <w:rPr>
                <w:rFonts w:cs="Arial"/>
                <w:color w:val="000000"/>
                <w:sz w:val="16"/>
                <w:szCs w:val="16"/>
              </w:rPr>
              <w:t>ž</w:t>
            </w:r>
            <w:r w:rsidRPr="00306953">
              <w:rPr>
                <w:rFonts w:cs="Arial"/>
                <w:color w:val="000000"/>
                <w:sz w:val="16"/>
                <w:szCs w:val="16"/>
              </w:rPr>
              <w:t>áci v ročnící</w:t>
            </w:r>
            <w:r w:rsidR="00740420">
              <w:rPr>
                <w:rFonts w:cs="Arial"/>
                <w:color w:val="000000"/>
                <w:sz w:val="16"/>
                <w:szCs w:val="16"/>
              </w:rPr>
              <w:t>ch odpovídajících středoškolskému vzdělávání</w:t>
            </w:r>
          </w:p>
        </w:tc>
        <w:tc>
          <w:tcPr>
            <w:tcW w:w="850" w:type="dxa"/>
            <w:shd w:val="clear" w:color="auto" w:fill="auto"/>
            <w:vAlign w:val="center"/>
            <w:hideMark/>
          </w:tcPr>
          <w:p w:rsidR="00780E35" w:rsidRPr="003F515A" w:rsidRDefault="00780E35" w:rsidP="00481740">
            <w:pPr>
              <w:spacing w:after="0" w:line="240" w:lineRule="auto"/>
              <w:jc w:val="center"/>
              <w:rPr>
                <w:rFonts w:cs="Arial"/>
                <w:sz w:val="16"/>
                <w:szCs w:val="16"/>
              </w:rPr>
            </w:pPr>
            <w:r w:rsidRPr="003F515A">
              <w:rPr>
                <w:rFonts w:cs="Arial"/>
                <w:sz w:val="16"/>
                <w:szCs w:val="16"/>
              </w:rPr>
              <w:t>470 749</w:t>
            </w:r>
          </w:p>
        </w:tc>
        <w:tc>
          <w:tcPr>
            <w:tcW w:w="851" w:type="dxa"/>
            <w:shd w:val="clear" w:color="auto" w:fill="auto"/>
            <w:vAlign w:val="center"/>
            <w:hideMark/>
          </w:tcPr>
          <w:p w:rsidR="00780E35" w:rsidRPr="003F515A" w:rsidRDefault="00780E35" w:rsidP="00481740">
            <w:pPr>
              <w:spacing w:after="0" w:line="240" w:lineRule="auto"/>
              <w:jc w:val="center"/>
              <w:rPr>
                <w:rFonts w:cs="Arial"/>
                <w:sz w:val="16"/>
                <w:szCs w:val="16"/>
              </w:rPr>
            </w:pPr>
            <w:r w:rsidRPr="003F515A">
              <w:rPr>
                <w:rFonts w:cs="Arial"/>
                <w:sz w:val="16"/>
                <w:szCs w:val="16"/>
              </w:rPr>
              <w:t>464 749</w:t>
            </w:r>
          </w:p>
        </w:tc>
        <w:tc>
          <w:tcPr>
            <w:tcW w:w="850" w:type="dxa"/>
            <w:shd w:val="clear" w:color="auto" w:fill="auto"/>
            <w:vAlign w:val="center"/>
            <w:hideMark/>
          </w:tcPr>
          <w:p w:rsidR="00780E35" w:rsidRPr="003F515A" w:rsidRDefault="00780E35" w:rsidP="00481740">
            <w:pPr>
              <w:spacing w:after="0" w:line="240" w:lineRule="auto"/>
              <w:jc w:val="center"/>
              <w:rPr>
                <w:rFonts w:cs="Arial"/>
                <w:sz w:val="16"/>
                <w:szCs w:val="16"/>
              </w:rPr>
            </w:pPr>
            <w:r w:rsidRPr="003F515A">
              <w:rPr>
                <w:rFonts w:cs="Arial"/>
                <w:sz w:val="16"/>
                <w:szCs w:val="16"/>
              </w:rPr>
              <w:t>457 908</w:t>
            </w:r>
          </w:p>
        </w:tc>
        <w:tc>
          <w:tcPr>
            <w:tcW w:w="851" w:type="dxa"/>
            <w:shd w:val="clear" w:color="auto" w:fill="auto"/>
            <w:vAlign w:val="center"/>
            <w:hideMark/>
          </w:tcPr>
          <w:p w:rsidR="00780E35" w:rsidRPr="003F515A" w:rsidRDefault="00780E35" w:rsidP="00481740">
            <w:pPr>
              <w:spacing w:after="0" w:line="240" w:lineRule="auto"/>
              <w:jc w:val="center"/>
              <w:rPr>
                <w:rFonts w:cs="Arial"/>
                <w:sz w:val="16"/>
                <w:szCs w:val="16"/>
              </w:rPr>
            </w:pPr>
            <w:r w:rsidRPr="003F515A">
              <w:rPr>
                <w:rFonts w:cs="Arial"/>
                <w:sz w:val="16"/>
                <w:szCs w:val="16"/>
              </w:rPr>
              <w:t>436 172</w:t>
            </w:r>
          </w:p>
        </w:tc>
        <w:tc>
          <w:tcPr>
            <w:tcW w:w="850" w:type="dxa"/>
            <w:shd w:val="clear" w:color="auto" w:fill="auto"/>
            <w:vAlign w:val="center"/>
            <w:hideMark/>
          </w:tcPr>
          <w:p w:rsidR="00780E35" w:rsidRPr="003F515A" w:rsidRDefault="00780E35" w:rsidP="00481740">
            <w:pPr>
              <w:spacing w:after="0" w:line="240" w:lineRule="auto"/>
              <w:jc w:val="center"/>
              <w:rPr>
                <w:rFonts w:cs="Arial"/>
                <w:sz w:val="16"/>
                <w:szCs w:val="16"/>
              </w:rPr>
            </w:pPr>
            <w:r w:rsidRPr="003F515A">
              <w:rPr>
                <w:rFonts w:cs="Arial"/>
                <w:sz w:val="16"/>
                <w:szCs w:val="16"/>
              </w:rPr>
              <w:t>412 061</w:t>
            </w:r>
          </w:p>
        </w:tc>
        <w:tc>
          <w:tcPr>
            <w:tcW w:w="851" w:type="dxa"/>
            <w:shd w:val="clear" w:color="auto" w:fill="auto"/>
            <w:vAlign w:val="center"/>
            <w:hideMark/>
          </w:tcPr>
          <w:p w:rsidR="00780E35" w:rsidRPr="003F515A" w:rsidRDefault="00780E35" w:rsidP="00481740">
            <w:pPr>
              <w:spacing w:after="0" w:line="240" w:lineRule="auto"/>
              <w:jc w:val="center"/>
              <w:rPr>
                <w:rFonts w:cs="Arial"/>
                <w:sz w:val="16"/>
                <w:szCs w:val="16"/>
              </w:rPr>
            </w:pPr>
            <w:r w:rsidRPr="003F515A">
              <w:rPr>
                <w:rFonts w:cs="Arial"/>
                <w:sz w:val="16"/>
                <w:szCs w:val="16"/>
              </w:rPr>
              <w:t>388 036</w:t>
            </w:r>
          </w:p>
        </w:tc>
        <w:tc>
          <w:tcPr>
            <w:tcW w:w="850" w:type="dxa"/>
            <w:shd w:val="clear" w:color="auto" w:fill="auto"/>
            <w:vAlign w:val="center"/>
            <w:hideMark/>
          </w:tcPr>
          <w:p w:rsidR="00780E35" w:rsidRPr="003F515A" w:rsidRDefault="00780E35" w:rsidP="00481740">
            <w:pPr>
              <w:spacing w:after="0" w:line="240" w:lineRule="auto"/>
              <w:jc w:val="center"/>
              <w:rPr>
                <w:rFonts w:cs="Arial"/>
                <w:sz w:val="16"/>
                <w:szCs w:val="16"/>
              </w:rPr>
            </w:pPr>
            <w:r w:rsidRPr="003F515A">
              <w:rPr>
                <w:rFonts w:cs="Arial"/>
                <w:sz w:val="16"/>
                <w:szCs w:val="16"/>
              </w:rPr>
              <w:t>369 282</w:t>
            </w:r>
          </w:p>
        </w:tc>
        <w:tc>
          <w:tcPr>
            <w:tcW w:w="851" w:type="dxa"/>
            <w:shd w:val="clear" w:color="auto" w:fill="auto"/>
            <w:noWrap/>
            <w:vAlign w:val="center"/>
            <w:hideMark/>
          </w:tcPr>
          <w:p w:rsidR="00780E35" w:rsidRPr="003F515A" w:rsidRDefault="00780E35" w:rsidP="00481740">
            <w:pPr>
              <w:spacing w:after="0" w:line="240" w:lineRule="auto"/>
              <w:jc w:val="center"/>
              <w:rPr>
                <w:rFonts w:cs="Arial"/>
                <w:sz w:val="16"/>
                <w:szCs w:val="16"/>
              </w:rPr>
            </w:pPr>
            <w:r w:rsidRPr="003F515A">
              <w:rPr>
                <w:rFonts w:cs="Arial"/>
                <w:sz w:val="16"/>
                <w:szCs w:val="16"/>
              </w:rPr>
              <w:t>359 284</w:t>
            </w:r>
          </w:p>
        </w:tc>
        <w:tc>
          <w:tcPr>
            <w:tcW w:w="850" w:type="dxa"/>
            <w:shd w:val="clear" w:color="auto" w:fill="auto"/>
            <w:vAlign w:val="center"/>
            <w:hideMark/>
          </w:tcPr>
          <w:p w:rsidR="00780E35" w:rsidRPr="003F515A" w:rsidRDefault="00780E35" w:rsidP="00481740">
            <w:pPr>
              <w:spacing w:after="0" w:line="240" w:lineRule="auto"/>
              <w:jc w:val="center"/>
              <w:rPr>
                <w:rFonts w:cs="Arial"/>
                <w:sz w:val="16"/>
                <w:szCs w:val="16"/>
              </w:rPr>
            </w:pPr>
            <w:r w:rsidRPr="003F515A">
              <w:rPr>
                <w:rFonts w:cs="Arial"/>
                <w:sz w:val="16"/>
                <w:szCs w:val="16"/>
              </w:rPr>
              <w:t>353 515</w:t>
            </w:r>
          </w:p>
        </w:tc>
        <w:tc>
          <w:tcPr>
            <w:tcW w:w="687" w:type="dxa"/>
            <w:shd w:val="clear" w:color="auto" w:fill="C6D9F1" w:themeFill="text2" w:themeFillTint="33"/>
            <w:noWrap/>
            <w:vAlign w:val="center"/>
            <w:hideMark/>
          </w:tcPr>
          <w:p w:rsidR="00780E35" w:rsidRPr="00306953" w:rsidRDefault="00780E35" w:rsidP="007E5BD0">
            <w:pPr>
              <w:spacing w:after="0" w:line="240" w:lineRule="auto"/>
              <w:jc w:val="center"/>
              <w:rPr>
                <w:rFonts w:cs="Arial"/>
                <w:color w:val="000000"/>
                <w:sz w:val="16"/>
                <w:szCs w:val="16"/>
              </w:rPr>
            </w:pPr>
            <w:r>
              <w:rPr>
                <w:rFonts w:cs="Arial"/>
                <w:color w:val="000000"/>
                <w:sz w:val="16"/>
                <w:szCs w:val="16"/>
              </w:rPr>
              <w:t>0,75</w:t>
            </w:r>
          </w:p>
        </w:tc>
      </w:tr>
      <w:tr w:rsidR="00306953" w:rsidRPr="00306953" w:rsidTr="00BF267F">
        <w:trPr>
          <w:trHeight w:val="300"/>
        </w:trPr>
        <w:tc>
          <w:tcPr>
            <w:tcW w:w="1600" w:type="dxa"/>
            <w:shd w:val="clear" w:color="auto" w:fill="auto"/>
            <w:vAlign w:val="center"/>
            <w:hideMark/>
          </w:tcPr>
          <w:p w:rsidR="00306953" w:rsidRPr="00306953" w:rsidRDefault="00EA6A4F" w:rsidP="00F83F57">
            <w:pPr>
              <w:spacing w:before="30" w:after="30" w:line="240" w:lineRule="auto"/>
              <w:rPr>
                <w:rFonts w:cs="Arial"/>
                <w:color w:val="000000"/>
                <w:sz w:val="16"/>
                <w:szCs w:val="16"/>
              </w:rPr>
            </w:pPr>
            <w:r>
              <w:rPr>
                <w:rFonts w:cs="Arial"/>
                <w:color w:val="000000"/>
                <w:sz w:val="16"/>
                <w:szCs w:val="16"/>
              </w:rPr>
              <w:t>k</w:t>
            </w:r>
            <w:r w:rsidR="00306953" w:rsidRPr="00306953">
              <w:rPr>
                <w:rFonts w:cs="Arial"/>
                <w:color w:val="000000"/>
                <w:sz w:val="16"/>
                <w:szCs w:val="16"/>
              </w:rPr>
              <w:t xml:space="preserve">onzervatoře </w:t>
            </w:r>
          </w:p>
        </w:tc>
        <w:tc>
          <w:tcPr>
            <w:tcW w:w="850" w:type="dxa"/>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3 606</w:t>
            </w:r>
          </w:p>
        </w:tc>
        <w:tc>
          <w:tcPr>
            <w:tcW w:w="851" w:type="dxa"/>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3 535</w:t>
            </w:r>
          </w:p>
        </w:tc>
        <w:tc>
          <w:tcPr>
            <w:tcW w:w="850" w:type="dxa"/>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3 435</w:t>
            </w:r>
          </w:p>
        </w:tc>
        <w:tc>
          <w:tcPr>
            <w:tcW w:w="851" w:type="dxa"/>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3 560</w:t>
            </w:r>
          </w:p>
        </w:tc>
        <w:tc>
          <w:tcPr>
            <w:tcW w:w="850" w:type="dxa"/>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3 557</w:t>
            </w:r>
          </w:p>
        </w:tc>
        <w:tc>
          <w:tcPr>
            <w:tcW w:w="851" w:type="dxa"/>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3 655</w:t>
            </w:r>
          </w:p>
        </w:tc>
        <w:tc>
          <w:tcPr>
            <w:tcW w:w="850" w:type="dxa"/>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3 690</w:t>
            </w:r>
          </w:p>
        </w:tc>
        <w:tc>
          <w:tcPr>
            <w:tcW w:w="851" w:type="dxa"/>
            <w:shd w:val="clear" w:color="auto" w:fill="auto"/>
            <w:noWrap/>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3</w:t>
            </w:r>
            <w:r w:rsidR="00062E27">
              <w:rPr>
                <w:rFonts w:cs="Arial"/>
                <w:color w:val="000000"/>
                <w:sz w:val="16"/>
                <w:szCs w:val="16"/>
              </w:rPr>
              <w:t xml:space="preserve"> </w:t>
            </w:r>
            <w:r w:rsidRPr="00306953">
              <w:rPr>
                <w:rFonts w:cs="Arial"/>
                <w:color w:val="000000"/>
                <w:sz w:val="16"/>
                <w:szCs w:val="16"/>
              </w:rPr>
              <w:t>752</w:t>
            </w:r>
          </w:p>
        </w:tc>
        <w:tc>
          <w:tcPr>
            <w:tcW w:w="850" w:type="dxa"/>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3</w:t>
            </w:r>
            <w:r w:rsidR="00062E27">
              <w:rPr>
                <w:rFonts w:cs="Arial"/>
                <w:color w:val="000000"/>
                <w:sz w:val="16"/>
                <w:szCs w:val="16"/>
              </w:rPr>
              <w:t xml:space="preserve"> </w:t>
            </w:r>
            <w:r w:rsidRPr="00306953">
              <w:rPr>
                <w:rFonts w:cs="Arial"/>
                <w:color w:val="000000"/>
                <w:sz w:val="16"/>
                <w:szCs w:val="16"/>
              </w:rPr>
              <w:t>733</w:t>
            </w:r>
          </w:p>
        </w:tc>
        <w:tc>
          <w:tcPr>
            <w:tcW w:w="687" w:type="dxa"/>
            <w:shd w:val="clear" w:color="auto" w:fill="C6D9F1" w:themeFill="text2" w:themeFillTint="33"/>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1,04</w:t>
            </w:r>
          </w:p>
        </w:tc>
      </w:tr>
      <w:tr w:rsidR="00306953" w:rsidRPr="00306953" w:rsidTr="00BF267F">
        <w:trPr>
          <w:trHeight w:val="300"/>
        </w:trPr>
        <w:tc>
          <w:tcPr>
            <w:tcW w:w="1600" w:type="dxa"/>
            <w:shd w:val="clear" w:color="auto" w:fill="auto"/>
            <w:vAlign w:val="center"/>
            <w:hideMark/>
          </w:tcPr>
          <w:p w:rsidR="00306953" w:rsidRPr="00306953" w:rsidRDefault="00EA6A4F" w:rsidP="00F83F57">
            <w:pPr>
              <w:spacing w:before="30" w:after="30" w:line="240" w:lineRule="auto"/>
              <w:rPr>
                <w:rFonts w:cs="Arial"/>
                <w:color w:val="000000"/>
                <w:sz w:val="16"/>
                <w:szCs w:val="16"/>
              </w:rPr>
            </w:pPr>
            <w:r>
              <w:rPr>
                <w:rFonts w:cs="Arial"/>
                <w:color w:val="000000"/>
                <w:sz w:val="16"/>
                <w:szCs w:val="16"/>
              </w:rPr>
              <w:t>v</w:t>
            </w:r>
            <w:r w:rsidR="00306953" w:rsidRPr="00306953">
              <w:rPr>
                <w:rFonts w:cs="Arial"/>
                <w:color w:val="000000"/>
                <w:sz w:val="16"/>
                <w:szCs w:val="16"/>
              </w:rPr>
              <w:t xml:space="preserve">yšší odborné vzdělávání </w:t>
            </w:r>
          </w:p>
        </w:tc>
        <w:tc>
          <w:tcPr>
            <w:tcW w:w="850" w:type="dxa"/>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28 774</w:t>
            </w:r>
          </w:p>
        </w:tc>
        <w:tc>
          <w:tcPr>
            <w:tcW w:w="851" w:type="dxa"/>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28 027</w:t>
            </w:r>
          </w:p>
        </w:tc>
        <w:tc>
          <w:tcPr>
            <w:tcW w:w="850" w:type="dxa"/>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28 749</w:t>
            </w:r>
          </w:p>
        </w:tc>
        <w:tc>
          <w:tcPr>
            <w:tcW w:w="851" w:type="dxa"/>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29 800</w:t>
            </w:r>
          </w:p>
        </w:tc>
        <w:tc>
          <w:tcPr>
            <w:tcW w:w="850" w:type="dxa"/>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29 335</w:t>
            </w:r>
          </w:p>
        </w:tc>
        <w:tc>
          <w:tcPr>
            <w:tcW w:w="851" w:type="dxa"/>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28 980</w:t>
            </w:r>
          </w:p>
        </w:tc>
        <w:tc>
          <w:tcPr>
            <w:tcW w:w="850" w:type="dxa"/>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28 332</w:t>
            </w:r>
          </w:p>
        </w:tc>
        <w:tc>
          <w:tcPr>
            <w:tcW w:w="851" w:type="dxa"/>
            <w:shd w:val="clear" w:color="auto" w:fill="auto"/>
            <w:noWrap/>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26964</w:t>
            </w:r>
          </w:p>
        </w:tc>
        <w:tc>
          <w:tcPr>
            <w:tcW w:w="850" w:type="dxa"/>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24786</w:t>
            </w:r>
          </w:p>
        </w:tc>
        <w:tc>
          <w:tcPr>
            <w:tcW w:w="687" w:type="dxa"/>
            <w:shd w:val="clear" w:color="auto" w:fill="C6D9F1" w:themeFill="text2" w:themeFillTint="33"/>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0,86</w:t>
            </w:r>
          </w:p>
        </w:tc>
      </w:tr>
      <w:tr w:rsidR="00306953" w:rsidRPr="00306953" w:rsidTr="00E30747">
        <w:trPr>
          <w:trHeight w:val="589"/>
        </w:trPr>
        <w:tc>
          <w:tcPr>
            <w:tcW w:w="1600" w:type="dxa"/>
            <w:shd w:val="clear" w:color="auto" w:fill="auto"/>
            <w:vAlign w:val="center"/>
            <w:hideMark/>
          </w:tcPr>
          <w:p w:rsidR="00306953" w:rsidRPr="00306953" w:rsidRDefault="00EA6A4F" w:rsidP="00F83F57">
            <w:pPr>
              <w:spacing w:before="30" w:after="30" w:line="240" w:lineRule="auto"/>
              <w:rPr>
                <w:rFonts w:cs="Arial"/>
                <w:color w:val="000000"/>
                <w:sz w:val="16"/>
                <w:szCs w:val="16"/>
              </w:rPr>
            </w:pPr>
            <w:r>
              <w:rPr>
                <w:rFonts w:cs="Arial"/>
                <w:color w:val="000000"/>
                <w:sz w:val="16"/>
                <w:szCs w:val="16"/>
              </w:rPr>
              <w:t>v</w:t>
            </w:r>
            <w:r w:rsidR="00306953" w:rsidRPr="00306953">
              <w:rPr>
                <w:rFonts w:cs="Arial"/>
                <w:color w:val="000000"/>
                <w:sz w:val="16"/>
                <w:szCs w:val="16"/>
              </w:rPr>
              <w:t>ysokoškolské vzdělávání  (veřejné a soukromé školy)</w:t>
            </w:r>
          </w:p>
        </w:tc>
        <w:tc>
          <w:tcPr>
            <w:tcW w:w="850" w:type="dxa"/>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343 938</w:t>
            </w:r>
          </w:p>
        </w:tc>
        <w:tc>
          <w:tcPr>
            <w:tcW w:w="851" w:type="dxa"/>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368 051</w:t>
            </w:r>
          </w:p>
        </w:tc>
        <w:tc>
          <w:tcPr>
            <w:tcW w:w="850" w:type="dxa"/>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388 992</w:t>
            </w:r>
          </w:p>
        </w:tc>
        <w:tc>
          <w:tcPr>
            <w:tcW w:w="851" w:type="dxa"/>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395 979</w:t>
            </w:r>
          </w:p>
        </w:tc>
        <w:tc>
          <w:tcPr>
            <w:tcW w:w="850" w:type="dxa"/>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392 100</w:t>
            </w:r>
          </w:p>
        </w:tc>
        <w:tc>
          <w:tcPr>
            <w:tcW w:w="851" w:type="dxa"/>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381 021</w:t>
            </w:r>
          </w:p>
        </w:tc>
        <w:tc>
          <w:tcPr>
            <w:tcW w:w="850" w:type="dxa"/>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367 898</w:t>
            </w:r>
          </w:p>
        </w:tc>
        <w:tc>
          <w:tcPr>
            <w:tcW w:w="851" w:type="dxa"/>
            <w:shd w:val="clear" w:color="auto" w:fill="auto"/>
            <w:noWrap/>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347 096</w:t>
            </w:r>
          </w:p>
        </w:tc>
        <w:tc>
          <w:tcPr>
            <w:tcW w:w="850" w:type="dxa"/>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326 909</w:t>
            </w:r>
          </w:p>
        </w:tc>
        <w:tc>
          <w:tcPr>
            <w:tcW w:w="687" w:type="dxa"/>
            <w:shd w:val="clear" w:color="auto" w:fill="C6D9F1" w:themeFill="text2" w:themeFillTint="33"/>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0,95</w:t>
            </w:r>
          </w:p>
        </w:tc>
      </w:tr>
      <w:tr w:rsidR="00306953" w:rsidRPr="00306953" w:rsidTr="00E30747">
        <w:trPr>
          <w:trHeight w:val="657"/>
        </w:trPr>
        <w:tc>
          <w:tcPr>
            <w:tcW w:w="1600" w:type="dxa"/>
            <w:shd w:val="clear" w:color="auto" w:fill="auto"/>
            <w:vAlign w:val="center"/>
            <w:hideMark/>
          </w:tcPr>
          <w:p w:rsidR="00E30747" w:rsidRDefault="00EA6A4F" w:rsidP="00F83F57">
            <w:pPr>
              <w:spacing w:before="30" w:after="30" w:line="240" w:lineRule="auto"/>
              <w:rPr>
                <w:rFonts w:cs="Arial"/>
                <w:color w:val="000000"/>
                <w:sz w:val="16"/>
                <w:szCs w:val="16"/>
              </w:rPr>
            </w:pPr>
            <w:r>
              <w:rPr>
                <w:rFonts w:cs="Arial"/>
                <w:color w:val="000000"/>
                <w:sz w:val="16"/>
                <w:szCs w:val="16"/>
              </w:rPr>
              <w:t>v</w:t>
            </w:r>
            <w:r w:rsidR="00306953" w:rsidRPr="00306953">
              <w:rPr>
                <w:rFonts w:cs="Arial"/>
                <w:color w:val="000000"/>
                <w:sz w:val="16"/>
                <w:szCs w:val="16"/>
              </w:rPr>
              <w:t xml:space="preserve">ysokoškolské vzdělávání  </w:t>
            </w:r>
          </w:p>
          <w:p w:rsidR="00306953" w:rsidRPr="00306953" w:rsidRDefault="00306953" w:rsidP="00F83F57">
            <w:pPr>
              <w:spacing w:before="30" w:after="30" w:line="240" w:lineRule="auto"/>
              <w:rPr>
                <w:rFonts w:cs="Arial"/>
                <w:color w:val="000000"/>
                <w:sz w:val="16"/>
                <w:szCs w:val="16"/>
              </w:rPr>
            </w:pPr>
            <w:r w:rsidRPr="00306953">
              <w:rPr>
                <w:rFonts w:cs="Arial"/>
                <w:color w:val="000000"/>
                <w:sz w:val="16"/>
                <w:szCs w:val="16"/>
              </w:rPr>
              <w:t>(státní školy)</w:t>
            </w:r>
            <w:r w:rsidR="00477BFC">
              <w:rPr>
                <w:rFonts w:cs="Arial"/>
                <w:color w:val="000000"/>
                <w:sz w:val="16"/>
                <w:szCs w:val="16"/>
              </w:rPr>
              <w:t xml:space="preserve"> </w:t>
            </w:r>
            <w:r w:rsidR="00477BFC" w:rsidRPr="00477BFC">
              <w:rPr>
                <w:rFonts w:cs="Arial"/>
                <w:color w:val="000000"/>
                <w:sz w:val="16"/>
                <w:szCs w:val="16"/>
                <w:vertAlign w:val="superscript"/>
              </w:rPr>
              <w:t>2)</w:t>
            </w:r>
          </w:p>
        </w:tc>
        <w:tc>
          <w:tcPr>
            <w:tcW w:w="850" w:type="dxa"/>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4</w:t>
            </w:r>
            <w:r w:rsidR="00062E27">
              <w:rPr>
                <w:rFonts w:cs="Arial"/>
                <w:color w:val="000000"/>
                <w:sz w:val="16"/>
                <w:szCs w:val="16"/>
              </w:rPr>
              <w:t xml:space="preserve"> </w:t>
            </w:r>
            <w:r w:rsidRPr="00306953">
              <w:rPr>
                <w:rFonts w:cs="Arial"/>
                <w:color w:val="000000"/>
                <w:sz w:val="16"/>
                <w:szCs w:val="16"/>
              </w:rPr>
              <w:t>005</w:t>
            </w:r>
          </w:p>
        </w:tc>
        <w:tc>
          <w:tcPr>
            <w:tcW w:w="851" w:type="dxa"/>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4</w:t>
            </w:r>
            <w:r w:rsidR="00062E27">
              <w:rPr>
                <w:rFonts w:cs="Arial"/>
                <w:color w:val="000000"/>
                <w:sz w:val="16"/>
                <w:szCs w:val="16"/>
              </w:rPr>
              <w:t xml:space="preserve"> </w:t>
            </w:r>
            <w:r w:rsidRPr="00306953">
              <w:rPr>
                <w:rFonts w:cs="Arial"/>
                <w:color w:val="000000"/>
                <w:sz w:val="16"/>
                <w:szCs w:val="16"/>
              </w:rPr>
              <w:t>445</w:t>
            </w:r>
          </w:p>
        </w:tc>
        <w:tc>
          <w:tcPr>
            <w:tcW w:w="850" w:type="dxa"/>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4</w:t>
            </w:r>
            <w:r w:rsidR="00062E27">
              <w:rPr>
                <w:rFonts w:cs="Arial"/>
                <w:color w:val="000000"/>
                <w:sz w:val="16"/>
                <w:szCs w:val="16"/>
              </w:rPr>
              <w:t xml:space="preserve"> </w:t>
            </w:r>
            <w:r w:rsidRPr="00306953">
              <w:rPr>
                <w:rFonts w:cs="Arial"/>
                <w:color w:val="000000"/>
                <w:sz w:val="16"/>
                <w:szCs w:val="16"/>
              </w:rPr>
              <w:t>918</w:t>
            </w:r>
          </w:p>
        </w:tc>
        <w:tc>
          <w:tcPr>
            <w:tcW w:w="851" w:type="dxa"/>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5</w:t>
            </w:r>
            <w:r w:rsidR="00062E27">
              <w:rPr>
                <w:rFonts w:cs="Arial"/>
                <w:color w:val="000000"/>
                <w:sz w:val="16"/>
                <w:szCs w:val="16"/>
              </w:rPr>
              <w:t xml:space="preserve"> </w:t>
            </w:r>
            <w:r w:rsidRPr="00306953">
              <w:rPr>
                <w:rFonts w:cs="Arial"/>
                <w:color w:val="000000"/>
                <w:sz w:val="16"/>
                <w:szCs w:val="16"/>
              </w:rPr>
              <w:t>163</w:t>
            </w:r>
          </w:p>
        </w:tc>
        <w:tc>
          <w:tcPr>
            <w:tcW w:w="850" w:type="dxa"/>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5</w:t>
            </w:r>
            <w:r w:rsidR="00062E27">
              <w:rPr>
                <w:rFonts w:cs="Arial"/>
                <w:color w:val="000000"/>
                <w:sz w:val="16"/>
                <w:szCs w:val="16"/>
              </w:rPr>
              <w:t xml:space="preserve"> </w:t>
            </w:r>
            <w:r w:rsidRPr="00306953">
              <w:rPr>
                <w:rFonts w:cs="Arial"/>
                <w:color w:val="000000"/>
                <w:sz w:val="16"/>
                <w:szCs w:val="16"/>
              </w:rPr>
              <w:t>091</w:t>
            </w:r>
          </w:p>
        </w:tc>
        <w:tc>
          <w:tcPr>
            <w:tcW w:w="851" w:type="dxa"/>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4</w:t>
            </w:r>
            <w:r w:rsidR="00062E27">
              <w:rPr>
                <w:rFonts w:cs="Arial"/>
                <w:color w:val="000000"/>
                <w:sz w:val="16"/>
                <w:szCs w:val="16"/>
              </w:rPr>
              <w:t xml:space="preserve"> </w:t>
            </w:r>
            <w:r w:rsidRPr="00306953">
              <w:rPr>
                <w:rFonts w:cs="Arial"/>
                <w:color w:val="000000"/>
                <w:sz w:val="16"/>
                <w:szCs w:val="16"/>
              </w:rPr>
              <w:t>788</w:t>
            </w:r>
          </w:p>
        </w:tc>
        <w:tc>
          <w:tcPr>
            <w:tcW w:w="850" w:type="dxa"/>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4</w:t>
            </w:r>
            <w:r w:rsidR="00062E27">
              <w:rPr>
                <w:rFonts w:cs="Arial"/>
                <w:color w:val="000000"/>
                <w:sz w:val="16"/>
                <w:szCs w:val="16"/>
              </w:rPr>
              <w:t xml:space="preserve"> </w:t>
            </w:r>
            <w:r w:rsidRPr="00306953">
              <w:rPr>
                <w:rFonts w:cs="Arial"/>
                <w:color w:val="000000"/>
                <w:sz w:val="16"/>
                <w:szCs w:val="16"/>
              </w:rPr>
              <w:t>304</w:t>
            </w:r>
          </w:p>
        </w:tc>
        <w:tc>
          <w:tcPr>
            <w:tcW w:w="851" w:type="dxa"/>
            <w:shd w:val="clear" w:color="auto" w:fill="auto"/>
            <w:noWrap/>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4</w:t>
            </w:r>
            <w:r w:rsidR="00062E27">
              <w:rPr>
                <w:rFonts w:cs="Arial"/>
                <w:color w:val="000000"/>
                <w:sz w:val="16"/>
                <w:szCs w:val="16"/>
              </w:rPr>
              <w:t xml:space="preserve"> </w:t>
            </w:r>
            <w:r w:rsidRPr="00306953">
              <w:rPr>
                <w:rFonts w:cs="Arial"/>
                <w:color w:val="000000"/>
                <w:sz w:val="16"/>
                <w:szCs w:val="16"/>
              </w:rPr>
              <w:t>179</w:t>
            </w:r>
          </w:p>
        </w:tc>
        <w:tc>
          <w:tcPr>
            <w:tcW w:w="850" w:type="dxa"/>
            <w:shd w:val="clear" w:color="auto" w:fill="auto"/>
            <w:vAlign w:val="center"/>
            <w:hideMark/>
          </w:tcPr>
          <w:p w:rsidR="00306953" w:rsidRPr="00306953" w:rsidRDefault="00306953" w:rsidP="00481740">
            <w:pPr>
              <w:spacing w:after="0" w:line="240" w:lineRule="auto"/>
              <w:jc w:val="center"/>
              <w:rPr>
                <w:rFonts w:cs="Arial"/>
                <w:color w:val="000000"/>
                <w:sz w:val="16"/>
                <w:szCs w:val="16"/>
              </w:rPr>
            </w:pPr>
            <w:r w:rsidRPr="00306953">
              <w:rPr>
                <w:rFonts w:cs="Arial"/>
                <w:color w:val="000000"/>
                <w:sz w:val="16"/>
                <w:szCs w:val="16"/>
              </w:rPr>
              <w:t>3</w:t>
            </w:r>
            <w:r w:rsidR="00062E27">
              <w:rPr>
                <w:rFonts w:cs="Arial"/>
                <w:color w:val="000000"/>
                <w:sz w:val="16"/>
                <w:szCs w:val="16"/>
              </w:rPr>
              <w:t xml:space="preserve"> </w:t>
            </w:r>
            <w:r w:rsidRPr="00306953">
              <w:rPr>
                <w:rFonts w:cs="Arial"/>
                <w:color w:val="000000"/>
                <w:sz w:val="16"/>
                <w:szCs w:val="16"/>
              </w:rPr>
              <w:t>883</w:t>
            </w:r>
          </w:p>
        </w:tc>
        <w:tc>
          <w:tcPr>
            <w:tcW w:w="687" w:type="dxa"/>
            <w:shd w:val="clear" w:color="auto" w:fill="C6D9F1" w:themeFill="text2" w:themeFillTint="33"/>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0,97</w:t>
            </w:r>
          </w:p>
        </w:tc>
      </w:tr>
    </w:tbl>
    <w:p w:rsidR="00306953" w:rsidRPr="00306953" w:rsidRDefault="00306953" w:rsidP="00306953">
      <w:pPr>
        <w:spacing w:before="120" w:after="0" w:line="240" w:lineRule="auto"/>
        <w:rPr>
          <w:rFonts w:cs="Arial"/>
          <w:sz w:val="16"/>
          <w:szCs w:val="16"/>
        </w:rPr>
      </w:pPr>
      <w:r w:rsidRPr="00306953">
        <w:rPr>
          <w:rFonts w:cs="Arial"/>
          <w:sz w:val="16"/>
          <w:szCs w:val="16"/>
          <w:vertAlign w:val="superscript"/>
        </w:rPr>
        <w:lastRenderedPageBreak/>
        <w:t xml:space="preserve">1) </w:t>
      </w:r>
      <w:r w:rsidRPr="00306953">
        <w:rPr>
          <w:rFonts w:cs="Arial"/>
          <w:sz w:val="16"/>
          <w:szCs w:val="16"/>
        </w:rPr>
        <w:t>Školní rok 2007/08=100 %; např.: 1,15 = zvýšení o 15 %, 0,85 = snížení o 15 %.</w:t>
      </w:r>
    </w:p>
    <w:p w:rsidR="00306953" w:rsidRPr="00306953" w:rsidRDefault="00477BFC" w:rsidP="00306953">
      <w:pPr>
        <w:spacing w:after="0" w:line="240" w:lineRule="auto"/>
        <w:jc w:val="both"/>
        <w:rPr>
          <w:rFonts w:cs="Arial"/>
          <w:sz w:val="16"/>
          <w:szCs w:val="16"/>
        </w:rPr>
      </w:pPr>
      <w:r w:rsidRPr="00477BFC">
        <w:rPr>
          <w:rFonts w:cs="Arial"/>
          <w:sz w:val="16"/>
          <w:szCs w:val="16"/>
          <w:vertAlign w:val="superscript"/>
        </w:rPr>
        <w:t>2)</w:t>
      </w:r>
      <w:r>
        <w:rPr>
          <w:rFonts w:cs="Arial"/>
          <w:sz w:val="16"/>
          <w:szCs w:val="16"/>
        </w:rPr>
        <w:t xml:space="preserve"> </w:t>
      </w:r>
      <w:r w:rsidR="00306953" w:rsidRPr="00306953">
        <w:rPr>
          <w:rFonts w:cs="Arial"/>
          <w:sz w:val="16"/>
          <w:szCs w:val="16"/>
        </w:rPr>
        <w:t>Státní vysoké školy jsou prezentovány ve zvláštním řádku z důvodu odlišného výkaznictví od soukromých a veřejných vysokých škol. Počet studentů na těchto školách nelze jednoduše sečíst s počtem studentů na soukromých a veřejných vysokých školách, neboť studenti státních škol mohou studovat zároveň veřejnou či soukromou vysokou školu a byli by tak v celkovém počtu zahrnuti dvakrát. Zároveň jsou studenti státních vysokých škol vykazováni v počtech studií, zatímco studenti soukromých a veřejných škol v počtech fyzických osob.</w:t>
      </w:r>
    </w:p>
    <w:p w:rsidR="00306953" w:rsidRPr="00306953" w:rsidRDefault="00306953" w:rsidP="00306953">
      <w:pPr>
        <w:spacing w:after="0" w:line="240" w:lineRule="auto"/>
        <w:jc w:val="both"/>
        <w:rPr>
          <w:rFonts w:cs="Arial"/>
          <w:sz w:val="16"/>
          <w:szCs w:val="16"/>
        </w:rPr>
      </w:pPr>
      <w:r w:rsidRPr="00306953">
        <w:rPr>
          <w:rFonts w:cs="Arial"/>
          <w:sz w:val="16"/>
          <w:szCs w:val="16"/>
        </w:rPr>
        <w:t xml:space="preserve">Zdroj: Vývojová ročenka školství MŠMT </w:t>
      </w:r>
      <w:r w:rsidR="00780E35">
        <w:rPr>
          <w:rFonts w:cs="Arial"/>
          <w:sz w:val="16"/>
          <w:szCs w:val="16"/>
        </w:rPr>
        <w:t xml:space="preserve">2015 </w:t>
      </w:r>
      <w:r w:rsidRPr="00306953">
        <w:rPr>
          <w:rFonts w:cs="Arial"/>
          <w:sz w:val="16"/>
          <w:szCs w:val="16"/>
        </w:rPr>
        <w:t xml:space="preserve">(VyvB3.1, </w:t>
      </w:r>
      <w:proofErr w:type="spellStart"/>
      <w:r w:rsidRPr="00306953">
        <w:rPr>
          <w:rFonts w:cs="Arial"/>
          <w:sz w:val="16"/>
          <w:szCs w:val="16"/>
        </w:rPr>
        <w:t>Vyv</w:t>
      </w:r>
      <w:proofErr w:type="spellEnd"/>
      <w:r w:rsidRPr="00306953">
        <w:rPr>
          <w:rFonts w:cs="Arial"/>
          <w:sz w:val="16"/>
          <w:szCs w:val="16"/>
        </w:rPr>
        <w:t xml:space="preserve"> B4.1,Vyv.B5.1.1, VyvB6.3, VyvB7.1.1), Statistická ročenka ČSÚ (údaje za státní školy – odpovídají rokům 2007 až 2015).</w:t>
      </w:r>
    </w:p>
    <w:p w:rsidR="00306953" w:rsidRDefault="00306953" w:rsidP="00306953">
      <w:pPr>
        <w:spacing w:after="0" w:line="240" w:lineRule="auto"/>
        <w:jc w:val="both"/>
        <w:rPr>
          <w:rFonts w:eastAsia="ChaparralPro-Regular" w:cs="Arial"/>
        </w:rPr>
      </w:pPr>
    </w:p>
    <w:p w:rsidR="00306953" w:rsidRDefault="001C42CF" w:rsidP="00306953">
      <w:pPr>
        <w:spacing w:after="120" w:line="240" w:lineRule="auto"/>
        <w:jc w:val="both"/>
        <w:rPr>
          <w:rFonts w:eastAsia="ChaparralPro-Regular" w:cs="Arial"/>
        </w:rPr>
      </w:pPr>
      <w:r>
        <w:rPr>
          <w:rFonts w:eastAsia="ChaparralPro-Regular" w:cs="Arial"/>
        </w:rPr>
        <w:t>Z tabulky č. 8</w:t>
      </w:r>
      <w:r w:rsidR="00306953" w:rsidRPr="00306953">
        <w:rPr>
          <w:rFonts w:eastAsia="ChaparralPro-Regular" w:cs="Arial"/>
        </w:rPr>
        <w:t xml:space="preserve"> je patrné, ve sledovaných školních rocích v ČR postupně narůstal počet dětí v </w:t>
      </w:r>
      <w:r w:rsidR="00306953" w:rsidRPr="00306953">
        <w:rPr>
          <w:rFonts w:eastAsia="ChaparralPro-Regular" w:cs="Arial"/>
          <w:b/>
        </w:rPr>
        <w:t>předškolním</w:t>
      </w:r>
      <w:r w:rsidR="00306953" w:rsidRPr="00306953">
        <w:rPr>
          <w:rFonts w:eastAsia="ChaparralPro-Regular" w:cs="Arial"/>
        </w:rPr>
        <w:t xml:space="preserve"> vzdělávání a od roku 2010/11 též postupně stoupal počet žáků v </w:t>
      </w:r>
      <w:r w:rsidR="00306953" w:rsidRPr="00306953">
        <w:rPr>
          <w:rFonts w:eastAsia="ChaparralPro-Regular" w:cs="Arial"/>
          <w:b/>
        </w:rPr>
        <w:t>povinné školní docházce</w:t>
      </w:r>
      <w:r w:rsidR="00306953" w:rsidRPr="00306953">
        <w:rPr>
          <w:rFonts w:eastAsia="ChaparralPro-Regular" w:cs="Arial"/>
        </w:rPr>
        <w:t xml:space="preserve"> (v předchozích letech jejich počet naopak klesal). Počet žáků v ročnících odpovídajících </w:t>
      </w:r>
      <w:r w:rsidR="00306953" w:rsidRPr="00306953">
        <w:rPr>
          <w:rFonts w:eastAsia="ChaparralPro-Regular" w:cs="Arial"/>
          <w:b/>
        </w:rPr>
        <w:t>střednímu</w:t>
      </w:r>
      <w:r w:rsidR="00306953" w:rsidRPr="00306953">
        <w:rPr>
          <w:rFonts w:eastAsia="ChaparralPro-Regular" w:cs="Arial"/>
        </w:rPr>
        <w:t xml:space="preserve"> vzděl</w:t>
      </w:r>
      <w:r w:rsidR="00D841D1">
        <w:rPr>
          <w:rFonts w:eastAsia="ChaparralPro-Regular" w:cs="Arial"/>
        </w:rPr>
        <w:t>ávání od roku 2007/2008</w:t>
      </w:r>
      <w:r w:rsidR="00306953" w:rsidRPr="00306953">
        <w:rPr>
          <w:rFonts w:eastAsia="ChaparralPro-Regular" w:cs="Arial"/>
        </w:rPr>
        <w:t xml:space="preserve"> postupně klesal. Počet žáků </w:t>
      </w:r>
      <w:r w:rsidR="00306953" w:rsidRPr="00306953">
        <w:rPr>
          <w:rFonts w:eastAsia="ChaparralPro-Regular" w:cs="Arial"/>
          <w:b/>
        </w:rPr>
        <w:t>vyšších odborných</w:t>
      </w:r>
      <w:r w:rsidR="00306953" w:rsidRPr="00306953">
        <w:rPr>
          <w:rFonts w:eastAsia="ChaparralPro-Regular" w:cs="Arial"/>
        </w:rPr>
        <w:t xml:space="preserve"> škol se ve školních rocích 2007/08 a 2014/15 pohyboval zhruba mezi 27 a 30 tisíci, v roce 2015/16 pak poklesl na 24 786. Počet studentů </w:t>
      </w:r>
      <w:r w:rsidR="00306953" w:rsidRPr="00306953">
        <w:rPr>
          <w:rFonts w:eastAsia="ChaparralPro-Regular" w:cs="Arial"/>
          <w:b/>
        </w:rPr>
        <w:t>vysokých škol</w:t>
      </w:r>
      <w:r w:rsidR="00306953" w:rsidRPr="00306953">
        <w:rPr>
          <w:rFonts w:eastAsia="ChaparralPro-Regular" w:cs="Arial"/>
        </w:rPr>
        <w:t xml:space="preserve"> (ať již na soukromých a veřejných školách, nebo na státních školách) vykázal opačnou tendenci, než počet žáků v základních školách. Od školního roku 2007/08 do roku 2010/011 jejich počet postupně rostl, po vrcholu v roce 2010/11 začal však opět klesat. V roce 2015/16 byl pak jejich počet již nižší než v roce 2007/08. </w:t>
      </w:r>
    </w:p>
    <w:p w:rsidR="001C42CF" w:rsidRDefault="001C42CF" w:rsidP="00306953">
      <w:pPr>
        <w:spacing w:after="120" w:line="240" w:lineRule="auto"/>
        <w:jc w:val="both"/>
        <w:rPr>
          <w:rFonts w:eastAsia="ChaparralPro-Regular" w:cs="Arial"/>
        </w:rPr>
      </w:pPr>
      <w:r>
        <w:rPr>
          <w:rFonts w:eastAsia="ChaparralPro-Regular" w:cs="Arial"/>
        </w:rPr>
        <w:t>Tabulka č. 9 dále ukazuje vyjádření výdajů na školství v poměru na jednoho obyvatele.</w:t>
      </w:r>
    </w:p>
    <w:p w:rsidR="00E54E60" w:rsidRDefault="00E54E60" w:rsidP="00E54E60">
      <w:pPr>
        <w:keepNext/>
        <w:spacing w:after="0" w:line="240" w:lineRule="auto"/>
        <w:jc w:val="both"/>
        <w:rPr>
          <w:rFonts w:cs="Arial"/>
          <w:b/>
        </w:rPr>
      </w:pPr>
      <w:r w:rsidRPr="00306953">
        <w:rPr>
          <w:rFonts w:cs="Arial"/>
          <w:b/>
        </w:rPr>
        <w:t>Tabulka č. 9 Vývoj výdajů na školství na jednoho obyvatele v běžných a stálých cenách (2008–2015)</w:t>
      </w:r>
    </w:p>
    <w:p w:rsidR="00E54E60" w:rsidRPr="00A26B1E" w:rsidRDefault="00E54E60" w:rsidP="00E54E60">
      <w:pPr>
        <w:keepNext/>
        <w:spacing w:after="0" w:line="240" w:lineRule="auto"/>
        <w:jc w:val="both"/>
        <w:rPr>
          <w:rFonts w:cs="Arial"/>
          <w:b/>
          <w:sz w:val="12"/>
          <w:szCs w:val="12"/>
        </w:rPr>
      </w:pPr>
    </w:p>
    <w:tbl>
      <w:tblPr>
        <w:tblW w:w="929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2492"/>
        <w:gridCol w:w="709"/>
        <w:gridCol w:w="850"/>
        <w:gridCol w:w="851"/>
        <w:gridCol w:w="708"/>
        <w:gridCol w:w="851"/>
        <w:gridCol w:w="709"/>
        <w:gridCol w:w="708"/>
        <w:gridCol w:w="709"/>
        <w:gridCol w:w="709"/>
      </w:tblGrid>
      <w:tr w:rsidR="00E54E60" w:rsidRPr="00306953" w:rsidTr="006F60A3">
        <w:trPr>
          <w:trHeight w:val="300"/>
        </w:trPr>
        <w:tc>
          <w:tcPr>
            <w:tcW w:w="2492" w:type="dxa"/>
            <w:tcBorders>
              <w:top w:val="double" w:sz="4" w:space="0" w:color="auto"/>
              <w:bottom w:val="double" w:sz="4" w:space="0" w:color="auto"/>
            </w:tcBorders>
            <w:shd w:val="clear" w:color="auto" w:fill="FFCCCC"/>
            <w:vAlign w:val="center"/>
            <w:hideMark/>
          </w:tcPr>
          <w:p w:rsidR="00E54E60" w:rsidRDefault="00E54E60" w:rsidP="006F60A3">
            <w:pPr>
              <w:keepNext/>
              <w:spacing w:after="0" w:line="240" w:lineRule="auto"/>
              <w:rPr>
                <w:rFonts w:cs="Arial"/>
                <w:color w:val="000000"/>
                <w:sz w:val="16"/>
                <w:szCs w:val="16"/>
              </w:rPr>
            </w:pPr>
          </w:p>
        </w:tc>
        <w:tc>
          <w:tcPr>
            <w:tcW w:w="709" w:type="dxa"/>
            <w:tcBorders>
              <w:top w:val="double" w:sz="4" w:space="0" w:color="auto"/>
              <w:bottom w:val="double" w:sz="4" w:space="0" w:color="auto"/>
            </w:tcBorders>
            <w:shd w:val="clear" w:color="auto" w:fill="FFCCCC"/>
            <w:noWrap/>
            <w:vAlign w:val="center"/>
            <w:hideMark/>
          </w:tcPr>
          <w:p w:rsidR="00E54E60" w:rsidRPr="00306953" w:rsidRDefault="00E54E60" w:rsidP="006F60A3">
            <w:pPr>
              <w:keepNext/>
              <w:shd w:val="clear" w:color="auto" w:fill="FFCCCC"/>
              <w:spacing w:after="0" w:line="240" w:lineRule="auto"/>
              <w:jc w:val="center"/>
              <w:rPr>
                <w:rFonts w:cs="Arial"/>
                <w:b/>
                <w:bCs/>
                <w:color w:val="000000"/>
                <w:sz w:val="16"/>
                <w:szCs w:val="16"/>
              </w:rPr>
            </w:pPr>
            <w:r w:rsidRPr="00306953">
              <w:rPr>
                <w:rFonts w:cs="Arial"/>
                <w:b/>
                <w:bCs/>
                <w:color w:val="000000"/>
                <w:sz w:val="16"/>
                <w:szCs w:val="16"/>
              </w:rPr>
              <w:t>2008</w:t>
            </w:r>
          </w:p>
        </w:tc>
        <w:tc>
          <w:tcPr>
            <w:tcW w:w="850" w:type="dxa"/>
            <w:tcBorders>
              <w:top w:val="double" w:sz="4" w:space="0" w:color="auto"/>
              <w:bottom w:val="double" w:sz="4" w:space="0" w:color="auto"/>
            </w:tcBorders>
            <w:shd w:val="clear" w:color="auto" w:fill="FFCCCC"/>
            <w:noWrap/>
            <w:vAlign w:val="center"/>
            <w:hideMark/>
          </w:tcPr>
          <w:p w:rsidR="00E54E60" w:rsidRPr="00306953" w:rsidRDefault="00E54E60" w:rsidP="006F60A3">
            <w:pPr>
              <w:keepNext/>
              <w:shd w:val="clear" w:color="auto" w:fill="FFCCCC"/>
              <w:spacing w:after="0" w:line="240" w:lineRule="auto"/>
              <w:jc w:val="center"/>
              <w:rPr>
                <w:rFonts w:cs="Arial"/>
                <w:b/>
                <w:bCs/>
                <w:color w:val="000000"/>
                <w:sz w:val="16"/>
                <w:szCs w:val="16"/>
              </w:rPr>
            </w:pPr>
            <w:r w:rsidRPr="00306953">
              <w:rPr>
                <w:rFonts w:cs="Arial"/>
                <w:b/>
                <w:bCs/>
                <w:color w:val="000000"/>
                <w:sz w:val="16"/>
                <w:szCs w:val="16"/>
              </w:rPr>
              <w:t>2009</w:t>
            </w:r>
          </w:p>
        </w:tc>
        <w:tc>
          <w:tcPr>
            <w:tcW w:w="851" w:type="dxa"/>
            <w:tcBorders>
              <w:top w:val="double" w:sz="4" w:space="0" w:color="auto"/>
              <w:bottom w:val="double" w:sz="4" w:space="0" w:color="auto"/>
            </w:tcBorders>
            <w:shd w:val="clear" w:color="auto" w:fill="FFCCCC"/>
            <w:noWrap/>
            <w:vAlign w:val="center"/>
            <w:hideMark/>
          </w:tcPr>
          <w:p w:rsidR="00E54E60" w:rsidRPr="00306953" w:rsidRDefault="00E54E60" w:rsidP="006F60A3">
            <w:pPr>
              <w:keepNext/>
              <w:shd w:val="clear" w:color="auto" w:fill="FFCCCC"/>
              <w:spacing w:after="0" w:line="240" w:lineRule="auto"/>
              <w:jc w:val="center"/>
              <w:rPr>
                <w:rFonts w:cs="Arial"/>
                <w:b/>
                <w:bCs/>
                <w:color w:val="000000"/>
                <w:sz w:val="16"/>
                <w:szCs w:val="16"/>
              </w:rPr>
            </w:pPr>
            <w:r w:rsidRPr="00306953">
              <w:rPr>
                <w:rFonts w:cs="Arial"/>
                <w:b/>
                <w:bCs/>
                <w:color w:val="000000"/>
                <w:sz w:val="16"/>
                <w:szCs w:val="16"/>
              </w:rPr>
              <w:t>2010</w:t>
            </w:r>
          </w:p>
        </w:tc>
        <w:tc>
          <w:tcPr>
            <w:tcW w:w="708" w:type="dxa"/>
            <w:tcBorders>
              <w:top w:val="double" w:sz="4" w:space="0" w:color="auto"/>
              <w:bottom w:val="double" w:sz="4" w:space="0" w:color="auto"/>
            </w:tcBorders>
            <w:shd w:val="clear" w:color="auto" w:fill="FFCCCC"/>
            <w:noWrap/>
            <w:vAlign w:val="center"/>
            <w:hideMark/>
          </w:tcPr>
          <w:p w:rsidR="00E54E60" w:rsidRPr="00306953" w:rsidRDefault="00E54E60" w:rsidP="006F60A3">
            <w:pPr>
              <w:keepNext/>
              <w:shd w:val="clear" w:color="auto" w:fill="FFCCCC"/>
              <w:spacing w:after="0" w:line="240" w:lineRule="auto"/>
              <w:jc w:val="center"/>
              <w:rPr>
                <w:rFonts w:cs="Arial"/>
                <w:b/>
                <w:bCs/>
                <w:color w:val="000000"/>
                <w:sz w:val="16"/>
                <w:szCs w:val="16"/>
              </w:rPr>
            </w:pPr>
            <w:r w:rsidRPr="00306953">
              <w:rPr>
                <w:rFonts w:cs="Arial"/>
                <w:b/>
                <w:bCs/>
                <w:color w:val="000000"/>
                <w:sz w:val="16"/>
                <w:szCs w:val="16"/>
              </w:rPr>
              <w:t>2011</w:t>
            </w:r>
          </w:p>
        </w:tc>
        <w:tc>
          <w:tcPr>
            <w:tcW w:w="851" w:type="dxa"/>
            <w:tcBorders>
              <w:top w:val="double" w:sz="4" w:space="0" w:color="auto"/>
              <w:bottom w:val="double" w:sz="4" w:space="0" w:color="auto"/>
            </w:tcBorders>
            <w:shd w:val="clear" w:color="auto" w:fill="FFCCCC"/>
            <w:noWrap/>
            <w:vAlign w:val="center"/>
            <w:hideMark/>
          </w:tcPr>
          <w:p w:rsidR="00E54E60" w:rsidRPr="00306953" w:rsidRDefault="00E54E60" w:rsidP="006F60A3">
            <w:pPr>
              <w:keepNext/>
              <w:shd w:val="clear" w:color="auto" w:fill="FFCCCC"/>
              <w:spacing w:after="0" w:line="240" w:lineRule="auto"/>
              <w:jc w:val="center"/>
              <w:rPr>
                <w:rFonts w:cs="Arial"/>
                <w:b/>
                <w:bCs/>
                <w:color w:val="000000"/>
                <w:sz w:val="16"/>
                <w:szCs w:val="16"/>
              </w:rPr>
            </w:pPr>
            <w:r w:rsidRPr="00306953">
              <w:rPr>
                <w:rFonts w:cs="Arial"/>
                <w:b/>
                <w:bCs/>
                <w:color w:val="000000"/>
                <w:sz w:val="16"/>
                <w:szCs w:val="16"/>
              </w:rPr>
              <w:t>2012</w:t>
            </w:r>
          </w:p>
        </w:tc>
        <w:tc>
          <w:tcPr>
            <w:tcW w:w="709" w:type="dxa"/>
            <w:tcBorders>
              <w:top w:val="double" w:sz="4" w:space="0" w:color="auto"/>
              <w:bottom w:val="double" w:sz="4" w:space="0" w:color="auto"/>
            </w:tcBorders>
            <w:shd w:val="clear" w:color="auto" w:fill="FFCCCC"/>
            <w:noWrap/>
            <w:vAlign w:val="center"/>
            <w:hideMark/>
          </w:tcPr>
          <w:p w:rsidR="00E54E60" w:rsidRPr="00306953" w:rsidRDefault="00E54E60" w:rsidP="006F60A3">
            <w:pPr>
              <w:keepNext/>
              <w:shd w:val="clear" w:color="auto" w:fill="FFCCCC"/>
              <w:spacing w:after="0" w:line="240" w:lineRule="auto"/>
              <w:jc w:val="center"/>
              <w:rPr>
                <w:rFonts w:cs="Arial"/>
                <w:b/>
                <w:bCs/>
                <w:color w:val="000000"/>
                <w:sz w:val="16"/>
                <w:szCs w:val="16"/>
              </w:rPr>
            </w:pPr>
            <w:r w:rsidRPr="00306953">
              <w:rPr>
                <w:rFonts w:cs="Arial"/>
                <w:b/>
                <w:bCs/>
                <w:color w:val="000000"/>
                <w:sz w:val="16"/>
                <w:szCs w:val="16"/>
              </w:rPr>
              <w:t>2013</w:t>
            </w:r>
          </w:p>
        </w:tc>
        <w:tc>
          <w:tcPr>
            <w:tcW w:w="708" w:type="dxa"/>
            <w:tcBorders>
              <w:top w:val="double" w:sz="4" w:space="0" w:color="auto"/>
              <w:bottom w:val="double" w:sz="4" w:space="0" w:color="auto"/>
            </w:tcBorders>
            <w:shd w:val="clear" w:color="auto" w:fill="FFCCCC"/>
            <w:noWrap/>
            <w:vAlign w:val="center"/>
            <w:hideMark/>
          </w:tcPr>
          <w:p w:rsidR="00E54E60" w:rsidRPr="00306953" w:rsidRDefault="00E54E60" w:rsidP="006F60A3">
            <w:pPr>
              <w:keepNext/>
              <w:shd w:val="clear" w:color="auto" w:fill="FFCCCC"/>
              <w:spacing w:after="0" w:line="240" w:lineRule="auto"/>
              <w:jc w:val="center"/>
              <w:rPr>
                <w:rFonts w:cs="Arial"/>
                <w:b/>
                <w:bCs/>
                <w:color w:val="000000"/>
                <w:sz w:val="16"/>
                <w:szCs w:val="16"/>
              </w:rPr>
            </w:pPr>
            <w:r w:rsidRPr="00306953">
              <w:rPr>
                <w:rFonts w:cs="Arial"/>
                <w:b/>
                <w:bCs/>
                <w:color w:val="000000"/>
                <w:sz w:val="16"/>
                <w:szCs w:val="16"/>
              </w:rPr>
              <w:t>2014</w:t>
            </w:r>
          </w:p>
        </w:tc>
        <w:tc>
          <w:tcPr>
            <w:tcW w:w="709" w:type="dxa"/>
            <w:tcBorders>
              <w:top w:val="double" w:sz="4" w:space="0" w:color="auto"/>
              <w:bottom w:val="double" w:sz="4" w:space="0" w:color="auto"/>
            </w:tcBorders>
            <w:shd w:val="clear" w:color="auto" w:fill="FFCCCC"/>
            <w:vAlign w:val="center"/>
            <w:hideMark/>
          </w:tcPr>
          <w:p w:rsidR="00E54E60" w:rsidRPr="00306953" w:rsidRDefault="00E54E60" w:rsidP="006F60A3">
            <w:pPr>
              <w:keepNext/>
              <w:shd w:val="clear" w:color="auto" w:fill="FFCCCC"/>
              <w:spacing w:after="0" w:line="240" w:lineRule="auto"/>
              <w:jc w:val="center"/>
              <w:rPr>
                <w:rFonts w:cs="Arial"/>
                <w:b/>
                <w:bCs/>
                <w:color w:val="000000"/>
                <w:sz w:val="16"/>
                <w:szCs w:val="16"/>
              </w:rPr>
            </w:pPr>
            <w:r w:rsidRPr="00306953">
              <w:rPr>
                <w:rFonts w:cs="Arial"/>
                <w:b/>
                <w:bCs/>
                <w:color w:val="000000"/>
                <w:sz w:val="16"/>
                <w:szCs w:val="16"/>
              </w:rPr>
              <w:t>2015</w:t>
            </w:r>
          </w:p>
        </w:tc>
        <w:tc>
          <w:tcPr>
            <w:tcW w:w="709" w:type="dxa"/>
            <w:tcBorders>
              <w:top w:val="double" w:sz="4" w:space="0" w:color="auto"/>
              <w:bottom w:val="double" w:sz="4" w:space="0" w:color="auto"/>
            </w:tcBorders>
            <w:shd w:val="clear" w:color="auto" w:fill="FFCCCC"/>
            <w:noWrap/>
            <w:vAlign w:val="center"/>
            <w:hideMark/>
          </w:tcPr>
          <w:p w:rsidR="00E54E60" w:rsidRPr="00306953" w:rsidRDefault="00E54E60" w:rsidP="006F60A3">
            <w:pPr>
              <w:keepNext/>
              <w:shd w:val="clear" w:color="auto" w:fill="FFCCCC"/>
              <w:spacing w:after="0" w:line="240" w:lineRule="auto"/>
              <w:jc w:val="center"/>
              <w:rPr>
                <w:rFonts w:cs="Arial"/>
                <w:b/>
                <w:bCs/>
                <w:color w:val="000000"/>
                <w:sz w:val="16"/>
                <w:szCs w:val="16"/>
              </w:rPr>
            </w:pPr>
            <w:r w:rsidRPr="00306953">
              <w:rPr>
                <w:rFonts w:cs="Arial"/>
                <w:b/>
                <w:bCs/>
                <w:color w:val="000000"/>
                <w:sz w:val="16"/>
                <w:szCs w:val="16"/>
              </w:rPr>
              <w:t>Index</w:t>
            </w:r>
            <w:r w:rsidRPr="00306953">
              <w:rPr>
                <w:rFonts w:cs="Arial"/>
                <w:b/>
                <w:bCs/>
                <w:color w:val="000000"/>
                <w:sz w:val="16"/>
                <w:szCs w:val="16"/>
                <w:vertAlign w:val="superscript"/>
              </w:rPr>
              <w:t>1)</w:t>
            </w:r>
          </w:p>
        </w:tc>
      </w:tr>
      <w:tr w:rsidR="00E54E60" w:rsidRPr="00306953" w:rsidTr="006F60A3">
        <w:trPr>
          <w:trHeight w:val="300"/>
        </w:trPr>
        <w:tc>
          <w:tcPr>
            <w:tcW w:w="2492" w:type="dxa"/>
            <w:tcBorders>
              <w:top w:val="double" w:sz="4" w:space="0" w:color="auto"/>
            </w:tcBorders>
            <w:shd w:val="clear" w:color="auto" w:fill="auto"/>
            <w:vAlign w:val="center"/>
            <w:hideMark/>
          </w:tcPr>
          <w:p w:rsidR="00E54E60" w:rsidRPr="00306953" w:rsidRDefault="00E54E60" w:rsidP="006F60A3">
            <w:pPr>
              <w:keepNext/>
              <w:spacing w:before="30" w:after="30" w:line="240" w:lineRule="auto"/>
              <w:rPr>
                <w:rFonts w:cs="Arial"/>
                <w:color w:val="000000"/>
                <w:sz w:val="16"/>
                <w:szCs w:val="16"/>
              </w:rPr>
            </w:pPr>
            <w:r>
              <w:rPr>
                <w:rFonts w:cs="Arial"/>
                <w:color w:val="000000"/>
                <w:sz w:val="16"/>
                <w:szCs w:val="16"/>
              </w:rPr>
              <w:t>s</w:t>
            </w:r>
            <w:r w:rsidRPr="00306953">
              <w:rPr>
                <w:rFonts w:cs="Arial"/>
                <w:color w:val="000000"/>
                <w:sz w:val="16"/>
                <w:szCs w:val="16"/>
              </w:rPr>
              <w:t>třední stav obyvatelstva (v tis.)</w:t>
            </w:r>
          </w:p>
        </w:tc>
        <w:tc>
          <w:tcPr>
            <w:tcW w:w="709" w:type="dxa"/>
            <w:tcBorders>
              <w:top w:val="double" w:sz="4" w:space="0" w:color="auto"/>
            </w:tcBorders>
            <w:shd w:val="clear" w:color="auto" w:fill="auto"/>
            <w:noWrap/>
            <w:vAlign w:val="center"/>
            <w:hideMark/>
          </w:tcPr>
          <w:p w:rsidR="00E54E60" w:rsidRPr="00306953" w:rsidRDefault="00E54E60" w:rsidP="006F60A3">
            <w:pPr>
              <w:keepNext/>
              <w:spacing w:after="0" w:line="240" w:lineRule="auto"/>
              <w:jc w:val="center"/>
              <w:rPr>
                <w:rFonts w:cs="Arial"/>
                <w:color w:val="000000"/>
                <w:sz w:val="16"/>
                <w:szCs w:val="16"/>
              </w:rPr>
            </w:pPr>
            <w:r w:rsidRPr="00306953">
              <w:rPr>
                <w:rFonts w:cs="Arial"/>
                <w:color w:val="000000"/>
                <w:sz w:val="16"/>
                <w:szCs w:val="16"/>
              </w:rPr>
              <w:t>10 430</w:t>
            </w:r>
          </w:p>
        </w:tc>
        <w:tc>
          <w:tcPr>
            <w:tcW w:w="850" w:type="dxa"/>
            <w:tcBorders>
              <w:top w:val="double" w:sz="4" w:space="0" w:color="auto"/>
            </w:tcBorders>
            <w:shd w:val="clear" w:color="auto" w:fill="auto"/>
            <w:noWrap/>
            <w:vAlign w:val="center"/>
            <w:hideMark/>
          </w:tcPr>
          <w:p w:rsidR="00E54E60" w:rsidRPr="00306953" w:rsidRDefault="00E54E60" w:rsidP="006F60A3">
            <w:pPr>
              <w:keepNext/>
              <w:spacing w:after="0" w:line="240" w:lineRule="auto"/>
              <w:jc w:val="center"/>
              <w:rPr>
                <w:rFonts w:cs="Arial"/>
                <w:color w:val="000000"/>
                <w:sz w:val="16"/>
                <w:szCs w:val="16"/>
              </w:rPr>
            </w:pPr>
            <w:r w:rsidRPr="00306953">
              <w:rPr>
                <w:rFonts w:cs="Arial"/>
                <w:color w:val="000000"/>
                <w:sz w:val="16"/>
                <w:szCs w:val="16"/>
              </w:rPr>
              <w:t>10 491</w:t>
            </w:r>
          </w:p>
        </w:tc>
        <w:tc>
          <w:tcPr>
            <w:tcW w:w="851" w:type="dxa"/>
            <w:tcBorders>
              <w:top w:val="double" w:sz="4" w:space="0" w:color="auto"/>
            </w:tcBorders>
            <w:shd w:val="clear" w:color="auto" w:fill="auto"/>
            <w:noWrap/>
            <w:vAlign w:val="center"/>
            <w:hideMark/>
          </w:tcPr>
          <w:p w:rsidR="00E54E60" w:rsidRPr="00306953" w:rsidRDefault="00E54E60" w:rsidP="006F60A3">
            <w:pPr>
              <w:keepNext/>
              <w:spacing w:after="0" w:line="240" w:lineRule="auto"/>
              <w:jc w:val="center"/>
              <w:rPr>
                <w:rFonts w:cs="Arial"/>
                <w:color w:val="000000"/>
                <w:sz w:val="16"/>
                <w:szCs w:val="16"/>
              </w:rPr>
            </w:pPr>
            <w:r w:rsidRPr="00306953">
              <w:rPr>
                <w:rFonts w:cs="Arial"/>
                <w:color w:val="000000"/>
                <w:sz w:val="16"/>
                <w:szCs w:val="16"/>
              </w:rPr>
              <w:t>10 517</w:t>
            </w:r>
          </w:p>
        </w:tc>
        <w:tc>
          <w:tcPr>
            <w:tcW w:w="708" w:type="dxa"/>
            <w:tcBorders>
              <w:top w:val="double" w:sz="4" w:space="0" w:color="auto"/>
            </w:tcBorders>
            <w:shd w:val="clear" w:color="auto" w:fill="auto"/>
            <w:noWrap/>
            <w:vAlign w:val="center"/>
            <w:hideMark/>
          </w:tcPr>
          <w:p w:rsidR="00E54E60" w:rsidRPr="00306953" w:rsidRDefault="00E54E60" w:rsidP="006F60A3">
            <w:pPr>
              <w:keepNext/>
              <w:spacing w:after="0" w:line="240" w:lineRule="auto"/>
              <w:jc w:val="center"/>
              <w:rPr>
                <w:rFonts w:cs="Arial"/>
                <w:color w:val="000000"/>
                <w:sz w:val="16"/>
                <w:szCs w:val="16"/>
              </w:rPr>
            </w:pPr>
            <w:r w:rsidRPr="00306953">
              <w:rPr>
                <w:rFonts w:cs="Arial"/>
                <w:color w:val="000000"/>
                <w:sz w:val="16"/>
                <w:szCs w:val="16"/>
              </w:rPr>
              <w:t>10 497</w:t>
            </w:r>
          </w:p>
        </w:tc>
        <w:tc>
          <w:tcPr>
            <w:tcW w:w="851" w:type="dxa"/>
            <w:tcBorders>
              <w:top w:val="double" w:sz="4" w:space="0" w:color="auto"/>
            </w:tcBorders>
            <w:shd w:val="clear" w:color="auto" w:fill="auto"/>
            <w:noWrap/>
            <w:vAlign w:val="center"/>
            <w:hideMark/>
          </w:tcPr>
          <w:p w:rsidR="00E54E60" w:rsidRPr="00306953" w:rsidRDefault="00E54E60" w:rsidP="006F60A3">
            <w:pPr>
              <w:keepNext/>
              <w:spacing w:after="0" w:line="240" w:lineRule="auto"/>
              <w:jc w:val="center"/>
              <w:rPr>
                <w:rFonts w:cs="Arial"/>
                <w:color w:val="000000"/>
                <w:sz w:val="16"/>
                <w:szCs w:val="16"/>
              </w:rPr>
            </w:pPr>
            <w:r w:rsidRPr="00306953">
              <w:rPr>
                <w:rFonts w:cs="Arial"/>
                <w:color w:val="000000"/>
                <w:sz w:val="16"/>
                <w:szCs w:val="16"/>
              </w:rPr>
              <w:t>10 509</w:t>
            </w:r>
          </w:p>
        </w:tc>
        <w:tc>
          <w:tcPr>
            <w:tcW w:w="709" w:type="dxa"/>
            <w:tcBorders>
              <w:top w:val="double" w:sz="4" w:space="0" w:color="auto"/>
            </w:tcBorders>
            <w:shd w:val="clear" w:color="auto" w:fill="auto"/>
            <w:noWrap/>
            <w:vAlign w:val="center"/>
            <w:hideMark/>
          </w:tcPr>
          <w:p w:rsidR="00E54E60" w:rsidRPr="00306953" w:rsidRDefault="00E54E60" w:rsidP="006F60A3">
            <w:pPr>
              <w:keepNext/>
              <w:spacing w:after="0" w:line="240" w:lineRule="auto"/>
              <w:jc w:val="center"/>
              <w:rPr>
                <w:rFonts w:cs="Arial"/>
                <w:color w:val="000000"/>
                <w:sz w:val="16"/>
                <w:szCs w:val="16"/>
              </w:rPr>
            </w:pPr>
            <w:r w:rsidRPr="00306953">
              <w:rPr>
                <w:rFonts w:cs="Arial"/>
                <w:color w:val="000000"/>
                <w:sz w:val="16"/>
                <w:szCs w:val="16"/>
              </w:rPr>
              <w:t>10 512</w:t>
            </w:r>
          </w:p>
        </w:tc>
        <w:tc>
          <w:tcPr>
            <w:tcW w:w="708" w:type="dxa"/>
            <w:tcBorders>
              <w:top w:val="double" w:sz="4" w:space="0" w:color="auto"/>
            </w:tcBorders>
            <w:shd w:val="clear" w:color="auto" w:fill="auto"/>
            <w:noWrap/>
            <w:vAlign w:val="center"/>
            <w:hideMark/>
          </w:tcPr>
          <w:p w:rsidR="00E54E60" w:rsidRPr="00306953" w:rsidRDefault="00E54E60" w:rsidP="006F60A3">
            <w:pPr>
              <w:keepNext/>
              <w:spacing w:after="0" w:line="240" w:lineRule="auto"/>
              <w:jc w:val="center"/>
              <w:rPr>
                <w:rFonts w:cs="Arial"/>
                <w:color w:val="000000"/>
                <w:sz w:val="16"/>
                <w:szCs w:val="16"/>
              </w:rPr>
            </w:pPr>
            <w:r w:rsidRPr="00306953">
              <w:rPr>
                <w:rFonts w:cs="Arial"/>
                <w:color w:val="000000"/>
                <w:sz w:val="16"/>
                <w:szCs w:val="16"/>
              </w:rPr>
              <w:t>10 538</w:t>
            </w:r>
          </w:p>
        </w:tc>
        <w:tc>
          <w:tcPr>
            <w:tcW w:w="709" w:type="dxa"/>
            <w:tcBorders>
              <w:top w:val="double" w:sz="4" w:space="0" w:color="auto"/>
            </w:tcBorders>
            <w:shd w:val="clear" w:color="auto" w:fill="auto"/>
            <w:vAlign w:val="center"/>
            <w:hideMark/>
          </w:tcPr>
          <w:p w:rsidR="00E54E60" w:rsidRPr="00306953" w:rsidRDefault="00E54E60" w:rsidP="006F60A3">
            <w:pPr>
              <w:keepNext/>
              <w:spacing w:after="0" w:line="240" w:lineRule="auto"/>
              <w:jc w:val="center"/>
              <w:rPr>
                <w:rFonts w:cs="Arial"/>
                <w:i/>
                <w:iCs/>
                <w:color w:val="000000"/>
                <w:sz w:val="16"/>
                <w:szCs w:val="16"/>
              </w:rPr>
            </w:pPr>
            <w:r w:rsidRPr="00306953">
              <w:rPr>
                <w:rFonts w:cs="Arial"/>
                <w:i/>
                <w:iCs/>
                <w:color w:val="000000"/>
                <w:sz w:val="16"/>
                <w:szCs w:val="16"/>
              </w:rPr>
              <w:t>10 554</w:t>
            </w:r>
          </w:p>
        </w:tc>
        <w:tc>
          <w:tcPr>
            <w:tcW w:w="709" w:type="dxa"/>
            <w:tcBorders>
              <w:top w:val="double" w:sz="4" w:space="0" w:color="auto"/>
            </w:tcBorders>
            <w:shd w:val="clear" w:color="auto" w:fill="C6D9F1" w:themeFill="text2" w:themeFillTint="33"/>
            <w:noWrap/>
            <w:vAlign w:val="center"/>
            <w:hideMark/>
          </w:tcPr>
          <w:p w:rsidR="00E54E60" w:rsidRPr="00306953" w:rsidRDefault="00E54E60" w:rsidP="006F60A3">
            <w:pPr>
              <w:keepNext/>
              <w:spacing w:after="0" w:line="240" w:lineRule="auto"/>
              <w:jc w:val="center"/>
              <w:rPr>
                <w:rFonts w:cs="Arial"/>
                <w:color w:val="000000"/>
                <w:sz w:val="16"/>
                <w:szCs w:val="16"/>
              </w:rPr>
            </w:pPr>
            <w:r w:rsidRPr="00306953">
              <w:rPr>
                <w:rFonts w:cs="Arial"/>
                <w:color w:val="000000"/>
                <w:sz w:val="16"/>
                <w:szCs w:val="16"/>
              </w:rPr>
              <w:t>1,01</w:t>
            </w:r>
          </w:p>
        </w:tc>
      </w:tr>
      <w:tr w:rsidR="00E54E60" w:rsidRPr="00306953" w:rsidTr="006F60A3">
        <w:trPr>
          <w:trHeight w:val="525"/>
        </w:trPr>
        <w:tc>
          <w:tcPr>
            <w:tcW w:w="2492" w:type="dxa"/>
            <w:shd w:val="clear" w:color="auto" w:fill="auto"/>
            <w:vAlign w:val="center"/>
            <w:hideMark/>
          </w:tcPr>
          <w:p w:rsidR="00E54E60" w:rsidRPr="00306953" w:rsidRDefault="00E54E60" w:rsidP="006F60A3">
            <w:pPr>
              <w:spacing w:before="30" w:after="30" w:line="240" w:lineRule="auto"/>
              <w:rPr>
                <w:rFonts w:cs="Arial"/>
                <w:bCs/>
                <w:color w:val="000000"/>
                <w:sz w:val="16"/>
                <w:szCs w:val="16"/>
              </w:rPr>
            </w:pPr>
            <w:r>
              <w:rPr>
                <w:rFonts w:cs="Arial"/>
                <w:bCs/>
                <w:color w:val="000000"/>
                <w:sz w:val="16"/>
                <w:szCs w:val="16"/>
              </w:rPr>
              <w:t>v</w:t>
            </w:r>
            <w:r w:rsidRPr="00306953">
              <w:rPr>
                <w:rFonts w:cs="Arial"/>
                <w:bCs/>
                <w:color w:val="000000"/>
                <w:sz w:val="16"/>
                <w:szCs w:val="16"/>
              </w:rPr>
              <w:t>eřejné výdaje na školství na jednoho obyvatele v běžných cenách (Kč)</w:t>
            </w:r>
          </w:p>
        </w:tc>
        <w:tc>
          <w:tcPr>
            <w:tcW w:w="709" w:type="dxa"/>
            <w:shd w:val="clear" w:color="auto" w:fill="auto"/>
            <w:noWrap/>
            <w:vAlign w:val="center"/>
            <w:hideMark/>
          </w:tcPr>
          <w:p w:rsidR="00E54E60" w:rsidRPr="00306953" w:rsidRDefault="00E54E60" w:rsidP="006F60A3">
            <w:pPr>
              <w:spacing w:after="0" w:line="240" w:lineRule="auto"/>
              <w:jc w:val="center"/>
              <w:rPr>
                <w:rFonts w:cs="Arial"/>
                <w:bCs/>
                <w:color w:val="000000"/>
                <w:sz w:val="16"/>
                <w:szCs w:val="16"/>
              </w:rPr>
            </w:pPr>
            <w:r w:rsidRPr="00306953">
              <w:rPr>
                <w:rFonts w:cs="Arial"/>
                <w:bCs/>
                <w:color w:val="000000"/>
                <w:sz w:val="16"/>
                <w:szCs w:val="16"/>
              </w:rPr>
              <w:t>14 478</w:t>
            </w:r>
          </w:p>
        </w:tc>
        <w:tc>
          <w:tcPr>
            <w:tcW w:w="850" w:type="dxa"/>
            <w:shd w:val="clear" w:color="auto" w:fill="auto"/>
            <w:noWrap/>
            <w:vAlign w:val="center"/>
            <w:hideMark/>
          </w:tcPr>
          <w:p w:rsidR="00E54E60" w:rsidRPr="00306953" w:rsidRDefault="00E54E60" w:rsidP="006F60A3">
            <w:pPr>
              <w:spacing w:after="0" w:line="240" w:lineRule="auto"/>
              <w:jc w:val="center"/>
              <w:rPr>
                <w:rFonts w:cs="Arial"/>
                <w:bCs/>
                <w:color w:val="000000"/>
                <w:sz w:val="16"/>
                <w:szCs w:val="16"/>
              </w:rPr>
            </w:pPr>
            <w:r w:rsidRPr="00306953">
              <w:rPr>
                <w:rFonts w:cs="Arial"/>
                <w:bCs/>
                <w:color w:val="000000"/>
                <w:sz w:val="16"/>
                <w:szCs w:val="16"/>
              </w:rPr>
              <w:t>15 626</w:t>
            </w:r>
          </w:p>
        </w:tc>
        <w:tc>
          <w:tcPr>
            <w:tcW w:w="851" w:type="dxa"/>
            <w:shd w:val="clear" w:color="auto" w:fill="auto"/>
            <w:noWrap/>
            <w:vAlign w:val="center"/>
            <w:hideMark/>
          </w:tcPr>
          <w:p w:rsidR="00E54E60" w:rsidRPr="00306953" w:rsidRDefault="00E54E60" w:rsidP="006F60A3">
            <w:pPr>
              <w:spacing w:after="0" w:line="240" w:lineRule="auto"/>
              <w:jc w:val="center"/>
              <w:rPr>
                <w:rFonts w:cs="Arial"/>
                <w:bCs/>
                <w:color w:val="000000"/>
                <w:sz w:val="16"/>
                <w:szCs w:val="16"/>
              </w:rPr>
            </w:pPr>
            <w:r w:rsidRPr="00306953">
              <w:rPr>
                <w:rFonts w:cs="Arial"/>
                <w:bCs/>
                <w:color w:val="000000"/>
                <w:sz w:val="16"/>
                <w:szCs w:val="16"/>
              </w:rPr>
              <w:t>15 495</w:t>
            </w:r>
          </w:p>
        </w:tc>
        <w:tc>
          <w:tcPr>
            <w:tcW w:w="708" w:type="dxa"/>
            <w:shd w:val="clear" w:color="auto" w:fill="auto"/>
            <w:noWrap/>
            <w:vAlign w:val="center"/>
            <w:hideMark/>
          </w:tcPr>
          <w:p w:rsidR="00E54E60" w:rsidRPr="00306953" w:rsidRDefault="00E54E60" w:rsidP="006F60A3">
            <w:pPr>
              <w:spacing w:after="0" w:line="240" w:lineRule="auto"/>
              <w:jc w:val="center"/>
              <w:rPr>
                <w:rFonts w:cs="Arial"/>
                <w:bCs/>
                <w:color w:val="000000"/>
                <w:sz w:val="16"/>
                <w:szCs w:val="16"/>
              </w:rPr>
            </w:pPr>
            <w:r w:rsidRPr="00306953">
              <w:rPr>
                <w:rFonts w:cs="Arial"/>
                <w:bCs/>
                <w:color w:val="000000"/>
                <w:sz w:val="16"/>
                <w:szCs w:val="16"/>
              </w:rPr>
              <w:t>16 550</w:t>
            </w:r>
          </w:p>
        </w:tc>
        <w:tc>
          <w:tcPr>
            <w:tcW w:w="851" w:type="dxa"/>
            <w:shd w:val="clear" w:color="auto" w:fill="auto"/>
            <w:noWrap/>
            <w:vAlign w:val="center"/>
            <w:hideMark/>
          </w:tcPr>
          <w:p w:rsidR="00E54E60" w:rsidRPr="00306953" w:rsidRDefault="00E54E60" w:rsidP="006F60A3">
            <w:pPr>
              <w:spacing w:after="0" w:line="240" w:lineRule="auto"/>
              <w:jc w:val="center"/>
              <w:rPr>
                <w:rFonts w:cs="Arial"/>
                <w:bCs/>
                <w:color w:val="000000"/>
                <w:sz w:val="16"/>
                <w:szCs w:val="16"/>
              </w:rPr>
            </w:pPr>
            <w:r w:rsidRPr="00306953">
              <w:rPr>
                <w:rFonts w:cs="Arial"/>
                <w:bCs/>
                <w:color w:val="000000"/>
                <w:sz w:val="16"/>
                <w:szCs w:val="16"/>
              </w:rPr>
              <w:t>16 307</w:t>
            </w:r>
          </w:p>
        </w:tc>
        <w:tc>
          <w:tcPr>
            <w:tcW w:w="709" w:type="dxa"/>
            <w:shd w:val="clear" w:color="auto" w:fill="auto"/>
            <w:noWrap/>
            <w:vAlign w:val="center"/>
            <w:hideMark/>
          </w:tcPr>
          <w:p w:rsidR="00E54E60" w:rsidRPr="00306953" w:rsidRDefault="00E54E60" w:rsidP="006F60A3">
            <w:pPr>
              <w:spacing w:after="0" w:line="240" w:lineRule="auto"/>
              <w:jc w:val="center"/>
              <w:rPr>
                <w:rFonts w:cs="Arial"/>
                <w:bCs/>
                <w:color w:val="000000"/>
                <w:sz w:val="16"/>
                <w:szCs w:val="16"/>
              </w:rPr>
            </w:pPr>
            <w:r w:rsidRPr="00306953">
              <w:rPr>
                <w:rFonts w:cs="Arial"/>
                <w:bCs/>
                <w:color w:val="000000"/>
                <w:sz w:val="16"/>
                <w:szCs w:val="16"/>
              </w:rPr>
              <w:t>16 438</w:t>
            </w:r>
          </w:p>
        </w:tc>
        <w:tc>
          <w:tcPr>
            <w:tcW w:w="708" w:type="dxa"/>
            <w:shd w:val="clear" w:color="auto" w:fill="auto"/>
            <w:noWrap/>
            <w:vAlign w:val="center"/>
            <w:hideMark/>
          </w:tcPr>
          <w:p w:rsidR="00E54E60" w:rsidRPr="00306953" w:rsidRDefault="00E54E60" w:rsidP="006F60A3">
            <w:pPr>
              <w:spacing w:after="0" w:line="240" w:lineRule="auto"/>
              <w:jc w:val="center"/>
              <w:rPr>
                <w:rFonts w:cs="Arial"/>
                <w:bCs/>
                <w:color w:val="000000"/>
                <w:sz w:val="16"/>
                <w:szCs w:val="16"/>
              </w:rPr>
            </w:pPr>
            <w:r w:rsidRPr="00306953">
              <w:rPr>
                <w:rFonts w:cs="Arial"/>
                <w:bCs/>
                <w:color w:val="000000"/>
                <w:sz w:val="16"/>
                <w:szCs w:val="16"/>
              </w:rPr>
              <w:t>16 958</w:t>
            </w:r>
          </w:p>
        </w:tc>
        <w:tc>
          <w:tcPr>
            <w:tcW w:w="709" w:type="dxa"/>
            <w:shd w:val="clear" w:color="auto" w:fill="auto"/>
            <w:vAlign w:val="center"/>
            <w:hideMark/>
          </w:tcPr>
          <w:p w:rsidR="00E54E60" w:rsidRPr="00306953" w:rsidRDefault="00E54E60" w:rsidP="006F60A3">
            <w:pPr>
              <w:spacing w:after="0" w:line="240" w:lineRule="auto"/>
              <w:jc w:val="center"/>
              <w:rPr>
                <w:rFonts w:cs="Arial"/>
                <w:bCs/>
                <w:color w:val="000000"/>
                <w:sz w:val="16"/>
                <w:szCs w:val="16"/>
              </w:rPr>
            </w:pPr>
            <w:r w:rsidRPr="00306953">
              <w:rPr>
                <w:rFonts w:cs="Arial"/>
                <w:bCs/>
                <w:color w:val="000000"/>
                <w:sz w:val="16"/>
                <w:szCs w:val="16"/>
              </w:rPr>
              <w:t>17 325</w:t>
            </w:r>
          </w:p>
        </w:tc>
        <w:tc>
          <w:tcPr>
            <w:tcW w:w="709" w:type="dxa"/>
            <w:shd w:val="clear" w:color="auto" w:fill="C6D9F1" w:themeFill="text2" w:themeFillTint="33"/>
            <w:noWrap/>
            <w:vAlign w:val="center"/>
            <w:hideMark/>
          </w:tcPr>
          <w:p w:rsidR="00E54E60" w:rsidRPr="00306953" w:rsidRDefault="00E54E60" w:rsidP="006F60A3">
            <w:pPr>
              <w:spacing w:after="0" w:line="240" w:lineRule="auto"/>
              <w:jc w:val="center"/>
              <w:rPr>
                <w:rFonts w:cs="Arial"/>
                <w:color w:val="000000"/>
                <w:sz w:val="16"/>
                <w:szCs w:val="16"/>
              </w:rPr>
            </w:pPr>
            <w:r w:rsidRPr="00306953">
              <w:rPr>
                <w:rFonts w:cs="Arial"/>
                <w:color w:val="000000"/>
                <w:sz w:val="16"/>
                <w:szCs w:val="16"/>
              </w:rPr>
              <w:t>1,2</w:t>
            </w:r>
          </w:p>
        </w:tc>
      </w:tr>
      <w:tr w:rsidR="00E54E60" w:rsidRPr="00306953" w:rsidTr="006F60A3">
        <w:trPr>
          <w:trHeight w:val="525"/>
        </w:trPr>
        <w:tc>
          <w:tcPr>
            <w:tcW w:w="2492" w:type="dxa"/>
            <w:shd w:val="clear" w:color="auto" w:fill="auto"/>
            <w:vAlign w:val="center"/>
            <w:hideMark/>
          </w:tcPr>
          <w:p w:rsidR="00E54E60" w:rsidRPr="00306953" w:rsidRDefault="00E54E60" w:rsidP="006F60A3">
            <w:pPr>
              <w:spacing w:before="30" w:after="30" w:line="240" w:lineRule="auto"/>
              <w:rPr>
                <w:rFonts w:cs="Arial"/>
                <w:bCs/>
                <w:color w:val="000000"/>
                <w:sz w:val="16"/>
                <w:szCs w:val="16"/>
              </w:rPr>
            </w:pPr>
            <w:r>
              <w:rPr>
                <w:rFonts w:cs="Arial"/>
                <w:bCs/>
                <w:color w:val="000000"/>
                <w:sz w:val="16"/>
                <w:szCs w:val="16"/>
              </w:rPr>
              <w:t>v</w:t>
            </w:r>
            <w:r w:rsidRPr="00306953">
              <w:rPr>
                <w:rFonts w:cs="Arial"/>
                <w:bCs/>
                <w:color w:val="000000"/>
                <w:sz w:val="16"/>
                <w:szCs w:val="16"/>
              </w:rPr>
              <w:t xml:space="preserve">eřejné výdaje na školství na jednoho obyvatele </w:t>
            </w:r>
            <w:r w:rsidRPr="00306953">
              <w:rPr>
                <w:rFonts w:cs="Arial"/>
                <w:color w:val="000000"/>
                <w:sz w:val="16"/>
                <w:szCs w:val="16"/>
              </w:rPr>
              <w:t> </w:t>
            </w:r>
            <w:r w:rsidRPr="00306953">
              <w:rPr>
                <w:rFonts w:cs="Arial"/>
                <w:bCs/>
                <w:color w:val="000000"/>
                <w:sz w:val="16"/>
                <w:szCs w:val="16"/>
              </w:rPr>
              <w:t>ve stálých cenách roku 2005 (Kč)</w:t>
            </w:r>
          </w:p>
        </w:tc>
        <w:tc>
          <w:tcPr>
            <w:tcW w:w="709" w:type="dxa"/>
            <w:shd w:val="clear" w:color="auto" w:fill="auto"/>
            <w:noWrap/>
            <w:vAlign w:val="center"/>
            <w:hideMark/>
          </w:tcPr>
          <w:p w:rsidR="00E54E60" w:rsidRPr="00306953" w:rsidRDefault="00E54E60" w:rsidP="006F60A3">
            <w:pPr>
              <w:spacing w:after="0" w:line="240" w:lineRule="auto"/>
              <w:jc w:val="center"/>
              <w:rPr>
                <w:rFonts w:cs="Arial"/>
                <w:bCs/>
                <w:color w:val="000000"/>
                <w:sz w:val="16"/>
                <w:szCs w:val="16"/>
              </w:rPr>
            </w:pPr>
            <w:r w:rsidRPr="00306953">
              <w:rPr>
                <w:rFonts w:cs="Arial"/>
                <w:bCs/>
                <w:color w:val="000000"/>
                <w:sz w:val="16"/>
                <w:szCs w:val="16"/>
              </w:rPr>
              <w:t>12 915</w:t>
            </w:r>
          </w:p>
        </w:tc>
        <w:tc>
          <w:tcPr>
            <w:tcW w:w="850" w:type="dxa"/>
            <w:shd w:val="clear" w:color="auto" w:fill="auto"/>
            <w:noWrap/>
            <w:vAlign w:val="center"/>
            <w:hideMark/>
          </w:tcPr>
          <w:p w:rsidR="00E54E60" w:rsidRPr="00306953" w:rsidRDefault="00E54E60" w:rsidP="006F60A3">
            <w:pPr>
              <w:spacing w:after="0" w:line="240" w:lineRule="auto"/>
              <w:jc w:val="center"/>
              <w:rPr>
                <w:rFonts w:cs="Arial"/>
                <w:bCs/>
                <w:color w:val="000000"/>
                <w:sz w:val="16"/>
                <w:szCs w:val="16"/>
              </w:rPr>
            </w:pPr>
            <w:r w:rsidRPr="00306953">
              <w:rPr>
                <w:rFonts w:cs="Arial"/>
                <w:bCs/>
                <w:color w:val="000000"/>
                <w:sz w:val="16"/>
                <w:szCs w:val="16"/>
              </w:rPr>
              <w:t>13 792</w:t>
            </w:r>
          </w:p>
        </w:tc>
        <w:tc>
          <w:tcPr>
            <w:tcW w:w="851" w:type="dxa"/>
            <w:shd w:val="clear" w:color="auto" w:fill="auto"/>
            <w:noWrap/>
            <w:vAlign w:val="center"/>
            <w:hideMark/>
          </w:tcPr>
          <w:p w:rsidR="00E54E60" w:rsidRPr="00306953" w:rsidRDefault="00E54E60" w:rsidP="006F60A3">
            <w:pPr>
              <w:spacing w:after="0" w:line="240" w:lineRule="auto"/>
              <w:jc w:val="center"/>
              <w:rPr>
                <w:rFonts w:cs="Arial"/>
                <w:bCs/>
                <w:color w:val="000000"/>
                <w:sz w:val="16"/>
                <w:szCs w:val="16"/>
              </w:rPr>
            </w:pPr>
            <w:r w:rsidRPr="00306953">
              <w:rPr>
                <w:rFonts w:cs="Arial"/>
                <w:bCs/>
                <w:color w:val="000000"/>
                <w:sz w:val="16"/>
                <w:szCs w:val="16"/>
              </w:rPr>
              <w:t>13 486</w:t>
            </w:r>
          </w:p>
        </w:tc>
        <w:tc>
          <w:tcPr>
            <w:tcW w:w="708" w:type="dxa"/>
            <w:shd w:val="clear" w:color="auto" w:fill="auto"/>
            <w:noWrap/>
            <w:vAlign w:val="center"/>
            <w:hideMark/>
          </w:tcPr>
          <w:p w:rsidR="00E54E60" w:rsidRPr="00306953" w:rsidRDefault="00E54E60" w:rsidP="006F60A3">
            <w:pPr>
              <w:spacing w:after="0" w:line="240" w:lineRule="auto"/>
              <w:jc w:val="center"/>
              <w:rPr>
                <w:rFonts w:cs="Arial"/>
                <w:bCs/>
                <w:color w:val="000000"/>
                <w:sz w:val="16"/>
                <w:szCs w:val="16"/>
              </w:rPr>
            </w:pPr>
            <w:r w:rsidRPr="00306953">
              <w:rPr>
                <w:rFonts w:cs="Arial"/>
                <w:bCs/>
                <w:color w:val="000000"/>
                <w:sz w:val="16"/>
                <w:szCs w:val="16"/>
              </w:rPr>
              <w:t>14 133</w:t>
            </w:r>
          </w:p>
        </w:tc>
        <w:tc>
          <w:tcPr>
            <w:tcW w:w="851" w:type="dxa"/>
            <w:shd w:val="clear" w:color="auto" w:fill="auto"/>
            <w:noWrap/>
            <w:vAlign w:val="center"/>
            <w:hideMark/>
          </w:tcPr>
          <w:p w:rsidR="00E54E60" w:rsidRPr="00306953" w:rsidRDefault="00E54E60" w:rsidP="006F60A3">
            <w:pPr>
              <w:spacing w:after="0" w:line="240" w:lineRule="auto"/>
              <w:jc w:val="center"/>
              <w:rPr>
                <w:rFonts w:cs="Arial"/>
                <w:bCs/>
                <w:color w:val="000000"/>
                <w:sz w:val="16"/>
                <w:szCs w:val="16"/>
              </w:rPr>
            </w:pPr>
            <w:r w:rsidRPr="00306953">
              <w:rPr>
                <w:rFonts w:cs="Arial"/>
                <w:bCs/>
                <w:color w:val="000000"/>
                <w:sz w:val="16"/>
                <w:szCs w:val="16"/>
              </w:rPr>
              <w:t>13 476</w:t>
            </w:r>
          </w:p>
        </w:tc>
        <w:tc>
          <w:tcPr>
            <w:tcW w:w="709" w:type="dxa"/>
            <w:shd w:val="clear" w:color="auto" w:fill="auto"/>
            <w:noWrap/>
            <w:vAlign w:val="center"/>
            <w:hideMark/>
          </w:tcPr>
          <w:p w:rsidR="00E54E60" w:rsidRPr="00306953" w:rsidRDefault="00E54E60" w:rsidP="006F60A3">
            <w:pPr>
              <w:spacing w:after="0" w:line="240" w:lineRule="auto"/>
              <w:jc w:val="center"/>
              <w:rPr>
                <w:rFonts w:cs="Arial"/>
                <w:bCs/>
                <w:color w:val="000000"/>
                <w:sz w:val="16"/>
                <w:szCs w:val="16"/>
              </w:rPr>
            </w:pPr>
            <w:r w:rsidRPr="00306953">
              <w:rPr>
                <w:rFonts w:cs="Arial"/>
                <w:bCs/>
                <w:color w:val="000000"/>
                <w:sz w:val="16"/>
                <w:szCs w:val="16"/>
              </w:rPr>
              <w:t>13 397</w:t>
            </w:r>
          </w:p>
        </w:tc>
        <w:tc>
          <w:tcPr>
            <w:tcW w:w="708" w:type="dxa"/>
            <w:shd w:val="clear" w:color="auto" w:fill="auto"/>
            <w:noWrap/>
            <w:vAlign w:val="center"/>
            <w:hideMark/>
          </w:tcPr>
          <w:p w:rsidR="00E54E60" w:rsidRPr="00306953" w:rsidRDefault="00E54E60" w:rsidP="006F60A3">
            <w:pPr>
              <w:spacing w:after="0" w:line="240" w:lineRule="auto"/>
              <w:jc w:val="center"/>
              <w:rPr>
                <w:rFonts w:cs="Arial"/>
                <w:bCs/>
                <w:color w:val="000000"/>
                <w:sz w:val="16"/>
                <w:szCs w:val="16"/>
              </w:rPr>
            </w:pPr>
            <w:r w:rsidRPr="00306953">
              <w:rPr>
                <w:rFonts w:cs="Arial"/>
                <w:bCs/>
                <w:color w:val="000000"/>
                <w:sz w:val="16"/>
                <w:szCs w:val="16"/>
              </w:rPr>
              <w:t>13 765</w:t>
            </w:r>
          </w:p>
        </w:tc>
        <w:tc>
          <w:tcPr>
            <w:tcW w:w="709" w:type="dxa"/>
            <w:shd w:val="clear" w:color="auto" w:fill="auto"/>
            <w:vAlign w:val="center"/>
            <w:hideMark/>
          </w:tcPr>
          <w:p w:rsidR="00E54E60" w:rsidRPr="00306953" w:rsidRDefault="00E54E60" w:rsidP="006F60A3">
            <w:pPr>
              <w:spacing w:after="0" w:line="240" w:lineRule="auto"/>
              <w:jc w:val="center"/>
              <w:rPr>
                <w:rFonts w:cs="Arial"/>
                <w:bCs/>
                <w:color w:val="000000"/>
                <w:sz w:val="16"/>
                <w:szCs w:val="16"/>
              </w:rPr>
            </w:pPr>
            <w:r w:rsidRPr="00306953">
              <w:rPr>
                <w:rFonts w:cs="Arial"/>
                <w:bCs/>
                <w:color w:val="000000"/>
                <w:sz w:val="16"/>
                <w:szCs w:val="16"/>
              </w:rPr>
              <w:t>14 017</w:t>
            </w:r>
          </w:p>
        </w:tc>
        <w:tc>
          <w:tcPr>
            <w:tcW w:w="709" w:type="dxa"/>
            <w:shd w:val="clear" w:color="auto" w:fill="C6D9F1" w:themeFill="text2" w:themeFillTint="33"/>
            <w:noWrap/>
            <w:vAlign w:val="center"/>
            <w:hideMark/>
          </w:tcPr>
          <w:p w:rsidR="00E54E60" w:rsidRPr="00306953" w:rsidRDefault="00E54E60" w:rsidP="006F60A3">
            <w:pPr>
              <w:spacing w:after="0" w:line="240" w:lineRule="auto"/>
              <w:jc w:val="center"/>
              <w:rPr>
                <w:rFonts w:cs="Arial"/>
                <w:color w:val="000000"/>
                <w:sz w:val="16"/>
                <w:szCs w:val="16"/>
              </w:rPr>
            </w:pPr>
            <w:r w:rsidRPr="00306953">
              <w:rPr>
                <w:rFonts w:cs="Arial"/>
                <w:color w:val="000000"/>
                <w:sz w:val="16"/>
                <w:szCs w:val="16"/>
              </w:rPr>
              <w:t>1,09</w:t>
            </w:r>
          </w:p>
        </w:tc>
      </w:tr>
      <w:tr w:rsidR="00E54E60" w:rsidRPr="00306953" w:rsidTr="006F60A3">
        <w:trPr>
          <w:trHeight w:val="619"/>
        </w:trPr>
        <w:tc>
          <w:tcPr>
            <w:tcW w:w="2492" w:type="dxa"/>
            <w:shd w:val="clear" w:color="auto" w:fill="auto"/>
            <w:vAlign w:val="center"/>
            <w:hideMark/>
          </w:tcPr>
          <w:p w:rsidR="00E54E60" w:rsidRPr="00306953" w:rsidRDefault="00E54E60" w:rsidP="006F60A3">
            <w:pPr>
              <w:spacing w:before="30" w:after="30" w:line="240" w:lineRule="auto"/>
              <w:rPr>
                <w:rFonts w:cs="Arial"/>
                <w:bCs/>
                <w:sz w:val="16"/>
                <w:szCs w:val="16"/>
              </w:rPr>
            </w:pPr>
            <w:r>
              <w:rPr>
                <w:rFonts w:cs="Arial"/>
                <w:bCs/>
                <w:sz w:val="16"/>
                <w:szCs w:val="16"/>
              </w:rPr>
              <w:t>v</w:t>
            </w:r>
            <w:r w:rsidRPr="00306953">
              <w:rPr>
                <w:rFonts w:cs="Arial"/>
                <w:bCs/>
                <w:sz w:val="16"/>
                <w:szCs w:val="16"/>
              </w:rPr>
              <w:t>ýdaje na školství na jednoho obyvatele ve věku 5-29 let</w:t>
            </w:r>
            <w:r w:rsidRPr="00306953">
              <w:rPr>
                <w:rFonts w:cs="Arial"/>
                <w:bCs/>
                <w:sz w:val="16"/>
                <w:szCs w:val="16"/>
                <w:vertAlign w:val="superscript"/>
              </w:rPr>
              <w:t>2)</w:t>
            </w:r>
            <w:r>
              <w:rPr>
                <w:rFonts w:cs="Arial"/>
                <w:bCs/>
                <w:sz w:val="16"/>
                <w:szCs w:val="16"/>
              </w:rPr>
              <w:t xml:space="preserve"> v </w:t>
            </w:r>
            <w:r w:rsidRPr="00306953">
              <w:rPr>
                <w:rFonts w:cs="Arial"/>
                <w:bCs/>
                <w:sz w:val="16"/>
                <w:szCs w:val="16"/>
              </w:rPr>
              <w:t>běžných cenách (Kč)</w:t>
            </w:r>
          </w:p>
        </w:tc>
        <w:tc>
          <w:tcPr>
            <w:tcW w:w="709" w:type="dxa"/>
            <w:shd w:val="clear" w:color="auto" w:fill="auto"/>
            <w:noWrap/>
            <w:vAlign w:val="center"/>
            <w:hideMark/>
          </w:tcPr>
          <w:p w:rsidR="00E54E60" w:rsidRPr="00306953" w:rsidRDefault="00E54E60" w:rsidP="006F60A3">
            <w:pPr>
              <w:spacing w:after="0" w:line="240" w:lineRule="auto"/>
              <w:jc w:val="center"/>
              <w:rPr>
                <w:rFonts w:cs="Arial"/>
                <w:bCs/>
                <w:sz w:val="16"/>
                <w:szCs w:val="16"/>
              </w:rPr>
            </w:pPr>
            <w:r w:rsidRPr="00306953">
              <w:rPr>
                <w:rFonts w:cs="Arial"/>
                <w:bCs/>
                <w:sz w:val="16"/>
                <w:szCs w:val="16"/>
              </w:rPr>
              <w:t>48 476</w:t>
            </w:r>
          </w:p>
        </w:tc>
        <w:tc>
          <w:tcPr>
            <w:tcW w:w="850" w:type="dxa"/>
            <w:shd w:val="clear" w:color="auto" w:fill="auto"/>
            <w:noWrap/>
            <w:vAlign w:val="center"/>
            <w:hideMark/>
          </w:tcPr>
          <w:p w:rsidR="00E54E60" w:rsidRPr="00306953" w:rsidRDefault="00E54E60" w:rsidP="006F60A3">
            <w:pPr>
              <w:spacing w:after="0" w:line="240" w:lineRule="auto"/>
              <w:jc w:val="center"/>
              <w:rPr>
                <w:rFonts w:cs="Arial"/>
                <w:bCs/>
                <w:sz w:val="16"/>
                <w:szCs w:val="16"/>
              </w:rPr>
            </w:pPr>
            <w:r w:rsidRPr="00306953">
              <w:rPr>
                <w:rFonts w:cs="Arial"/>
                <w:bCs/>
                <w:sz w:val="16"/>
                <w:szCs w:val="16"/>
              </w:rPr>
              <w:t>53 468</w:t>
            </w:r>
          </w:p>
        </w:tc>
        <w:tc>
          <w:tcPr>
            <w:tcW w:w="851" w:type="dxa"/>
            <w:shd w:val="clear" w:color="auto" w:fill="auto"/>
            <w:noWrap/>
            <w:vAlign w:val="center"/>
            <w:hideMark/>
          </w:tcPr>
          <w:p w:rsidR="00E54E60" w:rsidRPr="00306953" w:rsidRDefault="00E54E60" w:rsidP="006F60A3">
            <w:pPr>
              <w:spacing w:after="0" w:line="240" w:lineRule="auto"/>
              <w:jc w:val="center"/>
              <w:rPr>
                <w:rFonts w:cs="Arial"/>
                <w:bCs/>
                <w:sz w:val="16"/>
                <w:szCs w:val="16"/>
              </w:rPr>
            </w:pPr>
            <w:r w:rsidRPr="00306953">
              <w:rPr>
                <w:rFonts w:cs="Arial"/>
                <w:bCs/>
                <w:sz w:val="16"/>
                <w:szCs w:val="16"/>
              </w:rPr>
              <w:t>54 223</w:t>
            </w:r>
          </w:p>
        </w:tc>
        <w:tc>
          <w:tcPr>
            <w:tcW w:w="708" w:type="dxa"/>
            <w:shd w:val="clear" w:color="auto" w:fill="auto"/>
            <w:noWrap/>
            <w:vAlign w:val="center"/>
            <w:hideMark/>
          </w:tcPr>
          <w:p w:rsidR="00E54E60" w:rsidRPr="00306953" w:rsidRDefault="00E54E60" w:rsidP="006F60A3">
            <w:pPr>
              <w:spacing w:after="0" w:line="240" w:lineRule="auto"/>
              <w:jc w:val="center"/>
              <w:rPr>
                <w:rFonts w:cs="Arial"/>
                <w:bCs/>
                <w:sz w:val="16"/>
                <w:szCs w:val="16"/>
              </w:rPr>
            </w:pPr>
            <w:r w:rsidRPr="00306953">
              <w:rPr>
                <w:rFonts w:cs="Arial"/>
                <w:bCs/>
                <w:sz w:val="16"/>
                <w:szCs w:val="16"/>
              </w:rPr>
              <w:t>59 581</w:t>
            </w:r>
          </w:p>
        </w:tc>
        <w:tc>
          <w:tcPr>
            <w:tcW w:w="851" w:type="dxa"/>
            <w:shd w:val="clear" w:color="auto" w:fill="auto"/>
            <w:noWrap/>
            <w:vAlign w:val="center"/>
            <w:hideMark/>
          </w:tcPr>
          <w:p w:rsidR="00E54E60" w:rsidRPr="00306953" w:rsidRDefault="00E54E60" w:rsidP="006F60A3">
            <w:pPr>
              <w:spacing w:after="0" w:line="240" w:lineRule="auto"/>
              <w:jc w:val="center"/>
              <w:rPr>
                <w:rFonts w:cs="Arial"/>
                <w:bCs/>
                <w:sz w:val="16"/>
                <w:szCs w:val="16"/>
              </w:rPr>
            </w:pPr>
            <w:r w:rsidRPr="00306953">
              <w:rPr>
                <w:rFonts w:cs="Arial"/>
                <w:bCs/>
                <w:sz w:val="16"/>
                <w:szCs w:val="16"/>
              </w:rPr>
              <w:t>59 414</w:t>
            </w:r>
          </w:p>
        </w:tc>
        <w:tc>
          <w:tcPr>
            <w:tcW w:w="709" w:type="dxa"/>
            <w:shd w:val="clear" w:color="auto" w:fill="auto"/>
            <w:noWrap/>
            <w:vAlign w:val="center"/>
            <w:hideMark/>
          </w:tcPr>
          <w:p w:rsidR="00E54E60" w:rsidRPr="00306953" w:rsidRDefault="00E54E60" w:rsidP="006F60A3">
            <w:pPr>
              <w:spacing w:after="0" w:line="240" w:lineRule="auto"/>
              <w:jc w:val="center"/>
              <w:rPr>
                <w:rFonts w:cs="Arial"/>
                <w:bCs/>
                <w:sz w:val="16"/>
                <w:szCs w:val="16"/>
              </w:rPr>
            </w:pPr>
            <w:r w:rsidRPr="00306953">
              <w:rPr>
                <w:rFonts w:cs="Arial"/>
                <w:bCs/>
                <w:sz w:val="16"/>
                <w:szCs w:val="16"/>
              </w:rPr>
              <w:t>60 412</w:t>
            </w:r>
          </w:p>
        </w:tc>
        <w:tc>
          <w:tcPr>
            <w:tcW w:w="708" w:type="dxa"/>
            <w:shd w:val="clear" w:color="auto" w:fill="auto"/>
            <w:noWrap/>
            <w:vAlign w:val="center"/>
            <w:hideMark/>
          </w:tcPr>
          <w:p w:rsidR="00E54E60" w:rsidRPr="00306953" w:rsidRDefault="00E54E60" w:rsidP="006F60A3">
            <w:pPr>
              <w:spacing w:after="0" w:line="240" w:lineRule="auto"/>
              <w:jc w:val="center"/>
              <w:rPr>
                <w:rFonts w:cs="Arial"/>
                <w:bCs/>
                <w:sz w:val="16"/>
                <w:szCs w:val="16"/>
              </w:rPr>
            </w:pPr>
            <w:r w:rsidRPr="00306953">
              <w:rPr>
                <w:rFonts w:cs="Arial"/>
                <w:bCs/>
                <w:sz w:val="16"/>
                <w:szCs w:val="16"/>
              </w:rPr>
              <w:t>62 908</w:t>
            </w:r>
          </w:p>
        </w:tc>
        <w:tc>
          <w:tcPr>
            <w:tcW w:w="709" w:type="dxa"/>
            <w:shd w:val="clear" w:color="auto" w:fill="auto"/>
            <w:vAlign w:val="center"/>
            <w:hideMark/>
          </w:tcPr>
          <w:p w:rsidR="00E54E60" w:rsidRPr="00306953" w:rsidRDefault="00E54E60" w:rsidP="006F60A3">
            <w:pPr>
              <w:spacing w:after="0" w:line="240" w:lineRule="auto"/>
              <w:jc w:val="center"/>
              <w:rPr>
                <w:rFonts w:cs="Arial"/>
                <w:bCs/>
                <w:sz w:val="16"/>
                <w:szCs w:val="16"/>
              </w:rPr>
            </w:pPr>
            <w:r w:rsidRPr="00306953">
              <w:rPr>
                <w:rFonts w:cs="Arial"/>
                <w:bCs/>
                <w:sz w:val="16"/>
                <w:szCs w:val="16"/>
              </w:rPr>
              <w:t>64 657</w:t>
            </w:r>
          </w:p>
        </w:tc>
        <w:tc>
          <w:tcPr>
            <w:tcW w:w="709" w:type="dxa"/>
            <w:shd w:val="clear" w:color="auto" w:fill="C6D9F1" w:themeFill="text2" w:themeFillTint="33"/>
            <w:noWrap/>
            <w:vAlign w:val="center"/>
            <w:hideMark/>
          </w:tcPr>
          <w:p w:rsidR="00E54E60" w:rsidRPr="00306953" w:rsidRDefault="00E54E60" w:rsidP="006F60A3">
            <w:pPr>
              <w:spacing w:after="0" w:line="240" w:lineRule="auto"/>
              <w:jc w:val="center"/>
              <w:rPr>
                <w:rFonts w:cs="Arial"/>
                <w:sz w:val="16"/>
                <w:szCs w:val="16"/>
              </w:rPr>
            </w:pPr>
            <w:r w:rsidRPr="00306953">
              <w:rPr>
                <w:rFonts w:cs="Arial"/>
                <w:sz w:val="16"/>
                <w:szCs w:val="16"/>
              </w:rPr>
              <w:t>1,33</w:t>
            </w:r>
          </w:p>
        </w:tc>
      </w:tr>
    </w:tbl>
    <w:p w:rsidR="00306953" w:rsidRPr="00306953" w:rsidRDefault="00306953" w:rsidP="003140F9">
      <w:pPr>
        <w:spacing w:before="120" w:after="0" w:line="240" w:lineRule="auto"/>
        <w:rPr>
          <w:rFonts w:cs="Arial"/>
          <w:sz w:val="16"/>
          <w:szCs w:val="16"/>
        </w:rPr>
      </w:pPr>
      <w:r w:rsidRPr="00306953">
        <w:rPr>
          <w:rFonts w:cs="Arial"/>
          <w:sz w:val="16"/>
          <w:szCs w:val="16"/>
          <w:vertAlign w:val="superscript"/>
        </w:rPr>
        <w:t xml:space="preserve">1) </w:t>
      </w:r>
      <w:r w:rsidR="00DF5055">
        <w:rPr>
          <w:rFonts w:cs="Arial"/>
          <w:sz w:val="16"/>
          <w:szCs w:val="16"/>
        </w:rPr>
        <w:t>r</w:t>
      </w:r>
      <w:r w:rsidRPr="00306953">
        <w:rPr>
          <w:rFonts w:cs="Arial"/>
          <w:sz w:val="16"/>
          <w:szCs w:val="16"/>
        </w:rPr>
        <w:t xml:space="preserve">ok 2008=100 %; např.: 1,15 = zvýšení o 15 %, 0,85 </w:t>
      </w:r>
      <w:r w:rsidR="00DF5055">
        <w:rPr>
          <w:rFonts w:cs="Arial"/>
          <w:sz w:val="16"/>
          <w:szCs w:val="16"/>
        </w:rPr>
        <w:t>= snížení o 15 %</w:t>
      </w:r>
    </w:p>
    <w:p w:rsidR="00306953" w:rsidRPr="00306953" w:rsidRDefault="00306953" w:rsidP="00306953">
      <w:pPr>
        <w:spacing w:after="0" w:line="240" w:lineRule="auto"/>
        <w:rPr>
          <w:rFonts w:cs="Arial"/>
          <w:sz w:val="16"/>
          <w:szCs w:val="16"/>
        </w:rPr>
      </w:pPr>
      <w:r w:rsidRPr="00306953">
        <w:rPr>
          <w:rFonts w:cs="Arial"/>
          <w:sz w:val="16"/>
          <w:szCs w:val="16"/>
          <w:vertAlign w:val="superscript"/>
        </w:rPr>
        <w:t>2)</w:t>
      </w:r>
      <w:r w:rsidRPr="00306953">
        <w:rPr>
          <w:rFonts w:cs="Arial"/>
          <w:sz w:val="16"/>
          <w:szCs w:val="16"/>
        </w:rPr>
        <w:t xml:space="preserve"> Údaj </w:t>
      </w:r>
      <w:r w:rsidR="00DF5055">
        <w:rPr>
          <w:rFonts w:cs="Arial"/>
          <w:sz w:val="16"/>
          <w:szCs w:val="16"/>
        </w:rPr>
        <w:t xml:space="preserve">je </w:t>
      </w:r>
      <w:r w:rsidRPr="00306953">
        <w:rPr>
          <w:rFonts w:cs="Arial"/>
          <w:sz w:val="16"/>
          <w:szCs w:val="16"/>
        </w:rPr>
        <w:t>k 1. lednu daného roku.</w:t>
      </w:r>
    </w:p>
    <w:p w:rsidR="00306953" w:rsidRPr="00306953" w:rsidRDefault="00306953" w:rsidP="00306953">
      <w:pPr>
        <w:spacing w:after="0" w:line="240" w:lineRule="auto"/>
        <w:jc w:val="both"/>
        <w:rPr>
          <w:rFonts w:cs="Arial"/>
          <w:sz w:val="16"/>
          <w:szCs w:val="16"/>
        </w:rPr>
      </w:pPr>
      <w:r w:rsidRPr="00306953">
        <w:rPr>
          <w:rFonts w:cs="Arial"/>
          <w:sz w:val="16"/>
          <w:szCs w:val="16"/>
        </w:rPr>
        <w:t xml:space="preserve">Zdroj: MŠMT, </w:t>
      </w:r>
      <w:r w:rsidR="00DC690F">
        <w:rPr>
          <w:rFonts w:cs="Arial"/>
          <w:sz w:val="16"/>
          <w:szCs w:val="16"/>
        </w:rPr>
        <w:t xml:space="preserve">Statistická ročenka školství – </w:t>
      </w:r>
      <w:r w:rsidRPr="00306953">
        <w:rPr>
          <w:rFonts w:cs="Arial"/>
          <w:sz w:val="16"/>
          <w:szCs w:val="16"/>
        </w:rPr>
        <w:t xml:space="preserve">Soubor ekonomických ukazatelů (Eko_a3); ukazatel </w:t>
      </w:r>
      <w:r w:rsidRPr="00306953">
        <w:rPr>
          <w:rFonts w:cs="Arial"/>
          <w:bCs/>
          <w:sz w:val="16"/>
          <w:szCs w:val="16"/>
        </w:rPr>
        <w:t>v</w:t>
      </w:r>
      <w:r w:rsidRPr="00306953">
        <w:rPr>
          <w:rFonts w:cs="Arial"/>
          <w:bCs/>
          <w:color w:val="000000"/>
          <w:sz w:val="16"/>
          <w:szCs w:val="16"/>
        </w:rPr>
        <w:t xml:space="preserve">ýdajů na školství na 1 obyvatele ve věku 5-29 let v běžných cenách dopočten ČSÚ s vyžitím dat publikovaných </w:t>
      </w:r>
      <w:hyperlink r:id="rId75" w:history="1">
        <w:r w:rsidRPr="00306953">
          <w:rPr>
            <w:rStyle w:val="Hypertextovodkaz"/>
            <w:rFonts w:cs="Arial"/>
            <w:bCs/>
            <w:sz w:val="16"/>
            <w:szCs w:val="16"/>
          </w:rPr>
          <w:t>zde</w:t>
        </w:r>
      </w:hyperlink>
      <w:r w:rsidRPr="00306953">
        <w:rPr>
          <w:rFonts w:cs="Arial"/>
          <w:bCs/>
          <w:color w:val="000000"/>
          <w:sz w:val="16"/>
          <w:szCs w:val="16"/>
        </w:rPr>
        <w:t xml:space="preserve">. </w:t>
      </w:r>
      <w:r w:rsidRPr="00306953">
        <w:rPr>
          <w:rFonts w:cs="Arial"/>
          <w:sz w:val="16"/>
          <w:szCs w:val="16"/>
        </w:rPr>
        <w:t>Data o rozpočtu vychází ze Závěrečného účtu – kapitola 333-MŠMT, 700-Obce a DSO; KÚ, 380-OkÚ, 307-MO.</w:t>
      </w:r>
    </w:p>
    <w:p w:rsidR="00306953" w:rsidRPr="00306953" w:rsidRDefault="00306953" w:rsidP="00306953">
      <w:pPr>
        <w:spacing w:after="0" w:line="240" w:lineRule="auto"/>
        <w:jc w:val="both"/>
        <w:rPr>
          <w:rFonts w:cs="Arial"/>
          <w:szCs w:val="20"/>
        </w:rPr>
      </w:pPr>
    </w:p>
    <w:p w:rsidR="00306953" w:rsidRDefault="00306953" w:rsidP="00306953">
      <w:pPr>
        <w:spacing w:after="120" w:line="240" w:lineRule="auto"/>
        <w:jc w:val="both"/>
        <w:rPr>
          <w:rFonts w:eastAsia="ChaparralPro-Regular" w:cs="Arial"/>
        </w:rPr>
      </w:pPr>
      <w:r w:rsidRPr="00306953">
        <w:rPr>
          <w:rFonts w:eastAsia="ChaparralPro-Regular" w:cs="Arial"/>
          <w:b/>
        </w:rPr>
        <w:t>Výdaje na školství</w:t>
      </w:r>
      <w:r w:rsidRPr="00306953">
        <w:rPr>
          <w:rFonts w:eastAsia="ChaparralPro-Regular" w:cs="Arial"/>
        </w:rPr>
        <w:t xml:space="preserve"> </w:t>
      </w:r>
      <w:r w:rsidRPr="00306953">
        <w:rPr>
          <w:rFonts w:eastAsia="ChaparralPro-Regular" w:cs="Arial"/>
          <w:b/>
        </w:rPr>
        <w:t>na jednoho obyvatele</w:t>
      </w:r>
      <w:r w:rsidRPr="00306953">
        <w:rPr>
          <w:rFonts w:eastAsia="ChaparralPro-Regular" w:cs="Arial"/>
        </w:rPr>
        <w:t xml:space="preserve"> ČR se výrazněji navýšily mezi roky 2008 a 2009 a také mezi roky 2010 a 2011 (vždy o více než tisíc Kč v běžných cenách). Toto navýšení je ještě zřetelnější, sledujeme-li běžné výdaje na školství na jednoho obyvatele ve věku 5 až 29 let (ve stavu k 1. lednu daného roku). Mezi rokem 2011 a 2012 lze naopak sledovat mírný pokles výdajů</w:t>
      </w:r>
      <w:r w:rsidR="001C42CF" w:rsidRPr="001C42CF">
        <w:rPr>
          <w:rFonts w:eastAsia="ChaparralPro-Regular" w:cs="Arial"/>
        </w:rPr>
        <w:t xml:space="preserve"> na jednoho obyvatele ve věku 5-29 let</w:t>
      </w:r>
      <w:r w:rsidRPr="00306953">
        <w:rPr>
          <w:rFonts w:eastAsia="ChaparralPro-Regular" w:cs="Arial"/>
        </w:rPr>
        <w:t xml:space="preserve">.  </w:t>
      </w:r>
    </w:p>
    <w:p w:rsidR="00E94BA7" w:rsidRPr="00E94BA7" w:rsidRDefault="00E94BA7" w:rsidP="00E94BA7">
      <w:pPr>
        <w:spacing w:after="0" w:line="240" w:lineRule="auto"/>
        <w:jc w:val="both"/>
        <w:rPr>
          <w:rFonts w:eastAsia="ChaparralPro-Regular" w:cs="Arial"/>
          <w:sz w:val="12"/>
          <w:szCs w:val="12"/>
        </w:rPr>
      </w:pPr>
    </w:p>
    <w:p w:rsidR="00306953" w:rsidRPr="00306953" w:rsidRDefault="00306953" w:rsidP="00E94BA7">
      <w:pPr>
        <w:spacing w:after="120" w:line="240" w:lineRule="auto"/>
        <w:jc w:val="both"/>
        <w:rPr>
          <w:rFonts w:eastAsia="ChaparralPro-Regular" w:cs="Arial"/>
        </w:rPr>
      </w:pPr>
      <w:r w:rsidRPr="00306953">
        <w:rPr>
          <w:rFonts w:eastAsia="ChaparralPro-Regular" w:cs="Arial"/>
        </w:rPr>
        <w:t>Abychom zohlednili velikost cílové populace v tom kterém roce a v různých zemích, budeme dále porovnávat,</w:t>
      </w:r>
      <w:r w:rsidRPr="00306953">
        <w:rPr>
          <w:rFonts w:eastAsia="ChaparralPro-Regular" w:cs="Arial"/>
          <w:b/>
        </w:rPr>
        <w:t xml:space="preserve"> jak se ČR od (vybraných) zemí OECD, příp. mezinárodních průměrů liší ve výši</w:t>
      </w:r>
      <w:r w:rsidRPr="00306953">
        <w:rPr>
          <w:rFonts w:eastAsia="ChaparralPro-Regular" w:cs="Arial"/>
        </w:rPr>
        <w:t xml:space="preserve"> </w:t>
      </w:r>
      <w:r w:rsidRPr="00306953">
        <w:rPr>
          <w:rFonts w:eastAsia="ChaparralPro-Regular" w:cs="Arial"/>
          <w:b/>
        </w:rPr>
        <w:t>výdajů vzdělávacích institucí</w:t>
      </w:r>
      <w:r w:rsidRPr="00306953">
        <w:rPr>
          <w:rFonts w:eastAsia="ChaparralPro-Regular" w:cs="Arial"/>
        </w:rPr>
        <w:t xml:space="preserve"> </w:t>
      </w:r>
      <w:r w:rsidRPr="00306953">
        <w:rPr>
          <w:rFonts w:eastAsia="ChaparralPro-Regular" w:cs="Arial"/>
          <w:b/>
        </w:rPr>
        <w:t xml:space="preserve">na jednoho žáka/studenta </w:t>
      </w:r>
      <w:r w:rsidRPr="00306953">
        <w:rPr>
          <w:rFonts w:eastAsia="ChaparralPro-Regular" w:cs="Arial"/>
        </w:rPr>
        <w:t>a zmíníme i</w:t>
      </w:r>
      <w:r w:rsidRPr="00306953">
        <w:rPr>
          <w:rFonts w:eastAsia="ChaparralPro-Regular" w:cs="Arial"/>
          <w:b/>
        </w:rPr>
        <w:t xml:space="preserve"> srovnání vývoje těchto výdajů v čase.</w:t>
      </w:r>
      <w:r w:rsidRPr="00306953">
        <w:rPr>
          <w:rFonts w:eastAsia="ChaparralPro-Regular" w:cs="Arial"/>
        </w:rPr>
        <w:t xml:space="preserve"> Je však třeba stále mít na paměti, že kromě počtu žáků/studentů mohou výdaje ovlivňovat nejrůznější faktory, jako jsou platy učitelů (viz indikátory B7 a D3 v</w:t>
      </w:r>
      <w:r w:rsidR="00714D23">
        <w:rPr>
          <w:rFonts w:eastAsia="ChaparralPro-Regular" w:cs="Arial"/>
        </w:rPr>
        <w:t xml:space="preserve"> publikaci </w:t>
      </w:r>
      <w:r w:rsidRPr="00306953">
        <w:rPr>
          <w:rFonts w:eastAsia="ChaparralPro-Regular" w:cs="Arial"/>
        </w:rPr>
        <w:t xml:space="preserve">Education at a Glance), systém penzí, stanovený počet vyučovacích hodin na žáka a počet hodin výuky na učitele (viz indikátor B7), náklady na vyučovací materiály a prostředky, struktura a druhy studijních programů (např. obecných či odborně zaměřených) apod. Ke změnám ve výdajích vzdělávacích institucí na žáka/studenta přispívají v čase také politická opatření cílená např. na přilákání nových učitelů, na snížení počtu žáků ve třídách nebo na změnu složení personálu (viz indikátor D2). Kromě toho má na výdaje institucí na jednoho žáka/studenta vliv též poskytování služeb žákům/studentům souvisejících s jejich studiem (např. stravování, ubytování a doprava) a financování výzkumu a vývoje (viz </w:t>
      </w:r>
      <w:hyperlink r:id="rId76" w:history="1">
        <w:r w:rsidRPr="00306953">
          <w:rPr>
            <w:rStyle w:val="Hypertextovodkaz"/>
            <w:rFonts w:eastAsia="ChaparralPro-Regular" w:cs="Arial"/>
          </w:rPr>
          <w:t>OECD 2015</w:t>
        </w:r>
      </w:hyperlink>
      <w:r w:rsidRPr="00306953">
        <w:rPr>
          <w:rFonts w:eastAsia="ChaparralPro-Regular" w:cs="Arial"/>
        </w:rPr>
        <w:t xml:space="preserve">, s. 209). </w:t>
      </w:r>
    </w:p>
    <w:p w:rsidR="00306953" w:rsidRPr="00306953" w:rsidRDefault="00306953" w:rsidP="00306953">
      <w:pPr>
        <w:spacing w:line="240" w:lineRule="auto"/>
        <w:jc w:val="both"/>
        <w:rPr>
          <w:rFonts w:cs="Arial"/>
        </w:rPr>
      </w:pPr>
      <w:r w:rsidRPr="00306953">
        <w:rPr>
          <w:rFonts w:eastAsia="ChaparralPro-Regular" w:cs="Arial"/>
        </w:rPr>
        <w:t xml:space="preserve">To vše je tedy třeba vzít v úvahu při interpretaci grafu č. 8. Ten ukazuje, že </w:t>
      </w:r>
      <w:r w:rsidRPr="00306953">
        <w:rPr>
          <w:rFonts w:cs="Arial"/>
        </w:rPr>
        <w:t xml:space="preserve">v mezinárodním srovnání byly v roce 2012 </w:t>
      </w:r>
      <w:r w:rsidRPr="00306953">
        <w:rPr>
          <w:rFonts w:cs="Arial"/>
          <w:b/>
        </w:rPr>
        <w:t>výdaje na formální vzdělávání v ČR na jednoho žáka/studenta v USD po zohlednění PPP relativně nízké, což bylo především dáno menším objemem financí vydaných na vlastní vzdělávání</w:t>
      </w:r>
      <w:r w:rsidR="003140F9">
        <w:rPr>
          <w:rFonts w:cs="Arial"/>
        </w:rPr>
        <w:t>.</w:t>
      </w:r>
    </w:p>
    <w:p w:rsidR="00306953" w:rsidRPr="00306953" w:rsidRDefault="00306953" w:rsidP="003140F9">
      <w:pPr>
        <w:keepNext/>
        <w:spacing w:after="0" w:line="240" w:lineRule="auto"/>
        <w:jc w:val="both"/>
        <w:rPr>
          <w:rFonts w:cs="Arial"/>
        </w:rPr>
      </w:pPr>
      <w:r w:rsidRPr="00306953">
        <w:rPr>
          <w:rFonts w:cs="Arial"/>
          <w:b/>
          <w:bCs/>
        </w:rPr>
        <w:lastRenderedPageBreak/>
        <w:t>Graf č. 8 Roční výdaje vzdělávacích institucí primárního až terciárního vzdělávání na jednoho žáka/studenta, dle druhu poskytnuté služby (2012)</w:t>
      </w:r>
    </w:p>
    <w:p w:rsidR="00306953" w:rsidRDefault="00A635AF" w:rsidP="003140F9">
      <w:pPr>
        <w:keepNext/>
        <w:spacing w:after="0" w:line="240" w:lineRule="auto"/>
        <w:jc w:val="both"/>
        <w:rPr>
          <w:rFonts w:cs="Arial"/>
          <w:i/>
          <w:iCs/>
        </w:rPr>
      </w:pPr>
      <w:r>
        <w:rPr>
          <w:rFonts w:cs="Arial"/>
          <w:i/>
          <w:iCs/>
        </w:rPr>
        <w:t>p</w:t>
      </w:r>
      <w:r w:rsidR="00306953" w:rsidRPr="00306953">
        <w:rPr>
          <w:rFonts w:cs="Arial"/>
          <w:i/>
          <w:iCs/>
        </w:rPr>
        <w:t>řepočtené na USD a paritu kupní síly (přepočteno na žáka/studenta věnujícího se studiu v plném rozsahu denního studia)</w:t>
      </w:r>
    </w:p>
    <w:p w:rsidR="00B02845" w:rsidRDefault="00BA5EE1" w:rsidP="003140F9">
      <w:pPr>
        <w:keepNext/>
        <w:spacing w:after="0" w:line="240" w:lineRule="auto"/>
        <w:jc w:val="both"/>
        <w:rPr>
          <w:rFonts w:cs="Arial"/>
          <w:i/>
          <w:iCs/>
        </w:rPr>
      </w:pPr>
      <w:r w:rsidRPr="00984E22">
        <w:rPr>
          <w:rFonts w:cs="Arial"/>
          <w:i/>
          <w:noProof/>
        </w:rPr>
        <w:pict>
          <v:shape id="_x0000_i1032" type="#_x0000_t75" style="width:470.25pt;height:26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bRqSP2wAAAAUBAAAPAAAAZHJzL2Rvd25y&#10;ZXYueG1sTI/BTsMwEETvSPyDtUjcqN1AqxLiVIBUkDjRwgds422SEq+D7bbm7zFc4LLSaEYzb6tl&#10;soM4kg+9Yw3TiQJB3DjTc6vh/W11tQARIrLBwTFp+KIAy/r8rMLSuBOv6biJrcglHErU0MU4llKG&#10;piOLYeJG4uztnLcYs/StNB5PudwOslBqLi32nBc6HOmxo+Zjc7AaMO3Vw7R4CvNrv2qeX3fr/ctn&#10;0vryIt3fgYiU4l8YfvAzOtSZaesObIIYNORH4u/N3u2NmoHYapgVCwWyruR/+vob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">
            <v:imagedata r:id="rId77" o:title="" croptop="-3885f" cropbottom="-1848f" cropleft="-1174f" cropright="-1022f"/>
            <o:lock v:ext="edit" aspectratio="f"/>
          </v:shape>
        </w:pict>
      </w:r>
    </w:p>
    <w:p w:rsidR="00306953" w:rsidRPr="00306953" w:rsidRDefault="00EA6A4F" w:rsidP="00306953">
      <w:pPr>
        <w:spacing w:after="0" w:line="240" w:lineRule="auto"/>
        <w:jc w:val="both"/>
        <w:rPr>
          <w:rFonts w:cs="Arial"/>
          <w:sz w:val="16"/>
          <w:szCs w:val="16"/>
        </w:rPr>
      </w:pPr>
      <w:r w:rsidRPr="00FE5433">
        <w:rPr>
          <w:rFonts w:cs="Arial"/>
          <w:sz w:val="16"/>
          <w:szCs w:val="16"/>
        </w:rPr>
        <w:t>(</w:t>
      </w:r>
      <w:r w:rsidR="00306953" w:rsidRPr="00FE5433">
        <w:rPr>
          <w:rFonts w:cs="Arial"/>
          <w:sz w:val="16"/>
          <w:szCs w:val="16"/>
        </w:rPr>
        <w:t>1)</w:t>
      </w:r>
      <w:r w:rsidR="00DF5055">
        <w:rPr>
          <w:rFonts w:cs="Arial"/>
          <w:sz w:val="16"/>
          <w:szCs w:val="16"/>
        </w:rPr>
        <w:t xml:space="preserve"> p</w:t>
      </w:r>
      <w:r w:rsidR="00306953" w:rsidRPr="00306953">
        <w:rPr>
          <w:rFonts w:cs="Arial"/>
          <w:sz w:val="16"/>
          <w:szCs w:val="16"/>
        </w:rPr>
        <w:t>ouze veřejné instituce</w:t>
      </w:r>
    </w:p>
    <w:p w:rsidR="00306953" w:rsidRPr="00306953" w:rsidRDefault="00306953" w:rsidP="00306953">
      <w:pPr>
        <w:spacing w:after="0" w:line="240" w:lineRule="auto"/>
        <w:jc w:val="both"/>
        <w:rPr>
          <w:rFonts w:eastAsia="ChaparralPro-Regular" w:cs="Arial"/>
          <w:sz w:val="16"/>
          <w:szCs w:val="16"/>
        </w:rPr>
      </w:pPr>
      <w:r w:rsidRPr="00306953">
        <w:rPr>
          <w:rFonts w:eastAsia="ChaparralPro-Regular" w:cs="Arial"/>
          <w:sz w:val="16"/>
          <w:szCs w:val="16"/>
        </w:rPr>
        <w:t xml:space="preserve">Zdroj: OECD 2015, graf B 1.1 (tabulka B 1.2). StatLink: </w:t>
      </w:r>
      <w:hyperlink r:id="rId78" w:history="1">
        <w:r w:rsidRPr="00306953">
          <w:rPr>
            <w:rStyle w:val="Hypertextovodkaz"/>
            <w:rFonts w:cs="Arial"/>
            <w:sz w:val="16"/>
            <w:szCs w:val="16"/>
          </w:rPr>
          <w:t>http://dx.doi.org/10.1787/888933283897</w:t>
        </w:r>
      </w:hyperlink>
      <w:r w:rsidRPr="00306953">
        <w:rPr>
          <w:rFonts w:cs="Arial"/>
          <w:color w:val="231F20"/>
          <w:sz w:val="16"/>
          <w:szCs w:val="16"/>
        </w:rPr>
        <w:t xml:space="preserve"> </w:t>
      </w:r>
    </w:p>
    <w:p w:rsidR="00306953" w:rsidRPr="00306953" w:rsidRDefault="00306953" w:rsidP="00306953">
      <w:pPr>
        <w:autoSpaceDE w:val="0"/>
        <w:autoSpaceDN w:val="0"/>
        <w:adjustRightInd w:val="0"/>
        <w:spacing w:after="0" w:line="240" w:lineRule="auto"/>
        <w:jc w:val="both"/>
        <w:rPr>
          <w:rFonts w:eastAsia="ChaparralPro-Regular" w:cs="Arial"/>
          <w:sz w:val="16"/>
          <w:szCs w:val="16"/>
        </w:rPr>
      </w:pPr>
    </w:p>
    <w:p w:rsidR="00306953" w:rsidRPr="00306953" w:rsidRDefault="00306953" w:rsidP="00306953">
      <w:pPr>
        <w:spacing w:after="120" w:line="240" w:lineRule="auto"/>
        <w:jc w:val="both"/>
        <w:rPr>
          <w:rFonts w:cs="Arial"/>
        </w:rPr>
      </w:pPr>
      <w:r w:rsidRPr="00306953">
        <w:rPr>
          <w:rFonts w:cs="Arial"/>
        </w:rPr>
        <w:t xml:space="preserve">Tabulka č. 10 ukazuje </w:t>
      </w:r>
      <w:r w:rsidRPr="00306953">
        <w:rPr>
          <w:rFonts w:cs="Arial"/>
          <w:b/>
        </w:rPr>
        <w:t>celkové výdaje vzdělávacích institucí (veřejných i soukromých) na jednoho žáka/studenta různých vzdělávacích úrovní v roce 2012</w:t>
      </w:r>
      <w:r w:rsidRPr="00306953">
        <w:rPr>
          <w:rFonts w:cs="Arial"/>
        </w:rPr>
        <w:t xml:space="preserve"> za ČR, vybrané další země a mezinárodní prů</w:t>
      </w:r>
      <w:r w:rsidR="00D841D1">
        <w:rPr>
          <w:rFonts w:cs="Arial"/>
        </w:rPr>
        <w:t>měry, a sice přepočtené na USD v paritě</w:t>
      </w:r>
      <w:r w:rsidRPr="00306953">
        <w:rPr>
          <w:rFonts w:cs="Arial"/>
        </w:rPr>
        <w:t xml:space="preserve"> kupní síly: </w:t>
      </w:r>
    </w:p>
    <w:p w:rsidR="00306953" w:rsidRPr="00306953" w:rsidRDefault="00306953" w:rsidP="00306953">
      <w:pPr>
        <w:spacing w:after="60" w:line="240" w:lineRule="auto"/>
        <w:jc w:val="both"/>
        <w:rPr>
          <w:rFonts w:cs="Arial"/>
          <w:b/>
        </w:rPr>
      </w:pPr>
      <w:r w:rsidRPr="00306953">
        <w:rPr>
          <w:rFonts w:cs="Arial"/>
          <w:b/>
        </w:rPr>
        <w:t xml:space="preserve">Tabulka č. 10 Roční výdaje vzdělávacích institucí na jednoho žáka/studenta za všechny poskytované služby dle úrovně vzdělávání (2012)   </w:t>
      </w:r>
    </w:p>
    <w:p w:rsidR="00306953" w:rsidRPr="00306953" w:rsidRDefault="00A635AF" w:rsidP="00306953">
      <w:pPr>
        <w:spacing w:after="120" w:line="240" w:lineRule="auto"/>
        <w:jc w:val="both"/>
        <w:rPr>
          <w:rFonts w:cs="Arial"/>
          <w:i/>
          <w:szCs w:val="20"/>
        </w:rPr>
      </w:pPr>
      <w:r>
        <w:rPr>
          <w:rFonts w:cs="Arial"/>
          <w:i/>
          <w:szCs w:val="20"/>
        </w:rPr>
        <w:t>p</w:t>
      </w:r>
      <w:r w:rsidR="00D841D1">
        <w:rPr>
          <w:rFonts w:cs="Arial"/>
          <w:i/>
          <w:szCs w:val="20"/>
        </w:rPr>
        <w:t>řepočtené na USD v paritě</w:t>
      </w:r>
      <w:r w:rsidR="00306953" w:rsidRPr="00306953">
        <w:rPr>
          <w:rFonts w:cs="Arial"/>
          <w:i/>
          <w:szCs w:val="20"/>
        </w:rPr>
        <w:t xml:space="preserve"> kupní síly pro HDP (přepočteno na žáka/studenta věnujícího se studiu v plném rozsahu denního studia)  </w:t>
      </w:r>
    </w:p>
    <w:tbl>
      <w:tblPr>
        <w:tblW w:w="9916" w:type="dxa"/>
        <w:tblInd w:w="55" w:type="dxa"/>
        <w:tblCellMar>
          <w:left w:w="70" w:type="dxa"/>
          <w:right w:w="70" w:type="dxa"/>
        </w:tblCellMar>
        <w:tblLook w:val="04A0"/>
      </w:tblPr>
      <w:tblGrid>
        <w:gridCol w:w="1433"/>
        <w:gridCol w:w="835"/>
        <w:gridCol w:w="854"/>
        <w:gridCol w:w="854"/>
        <w:gridCol w:w="835"/>
        <w:gridCol w:w="835"/>
        <w:gridCol w:w="854"/>
        <w:gridCol w:w="854"/>
        <w:gridCol w:w="854"/>
        <w:gridCol w:w="854"/>
        <w:gridCol w:w="734"/>
        <w:gridCol w:w="120"/>
      </w:tblGrid>
      <w:tr w:rsidR="00306953" w:rsidRPr="00306953" w:rsidTr="00BF267F">
        <w:trPr>
          <w:cantSplit/>
          <w:trHeight w:val="998"/>
        </w:trPr>
        <w:tc>
          <w:tcPr>
            <w:tcW w:w="1433" w:type="dxa"/>
            <w:vMerge w:val="restart"/>
            <w:tcBorders>
              <w:top w:val="double" w:sz="4" w:space="0" w:color="auto"/>
              <w:left w:val="double" w:sz="4" w:space="0" w:color="auto"/>
              <w:bottom w:val="single" w:sz="8" w:space="0" w:color="auto"/>
              <w:right w:val="single" w:sz="8" w:space="0" w:color="auto"/>
            </w:tcBorders>
            <w:shd w:val="clear" w:color="auto" w:fill="FFCCCC"/>
            <w:noWrap/>
            <w:vAlign w:val="center"/>
            <w:hideMark/>
          </w:tcPr>
          <w:p w:rsidR="00306953" w:rsidRPr="001042AC" w:rsidRDefault="00306953" w:rsidP="00306953">
            <w:pPr>
              <w:keepNext/>
              <w:spacing w:after="0" w:line="240" w:lineRule="auto"/>
              <w:rPr>
                <w:rFonts w:cs="Arial"/>
                <w:b/>
                <w:color w:val="000000"/>
                <w:sz w:val="16"/>
                <w:szCs w:val="16"/>
              </w:rPr>
            </w:pPr>
            <w:r w:rsidRPr="001042AC">
              <w:rPr>
                <w:rFonts w:cs="Arial"/>
                <w:b/>
                <w:color w:val="000000"/>
                <w:sz w:val="16"/>
                <w:szCs w:val="16"/>
              </w:rPr>
              <w:t> </w:t>
            </w:r>
          </w:p>
        </w:tc>
        <w:tc>
          <w:tcPr>
            <w:tcW w:w="835" w:type="dxa"/>
            <w:vMerge w:val="restart"/>
            <w:tcBorders>
              <w:top w:val="double" w:sz="4" w:space="0" w:color="auto"/>
              <w:left w:val="single" w:sz="8" w:space="0" w:color="auto"/>
              <w:bottom w:val="single" w:sz="8" w:space="0" w:color="auto"/>
              <w:right w:val="single" w:sz="8" w:space="0" w:color="auto"/>
            </w:tcBorders>
            <w:shd w:val="clear" w:color="auto" w:fill="FFCCCC"/>
            <w:textDirection w:val="btLr"/>
            <w:vAlign w:val="center"/>
            <w:hideMark/>
          </w:tcPr>
          <w:p w:rsidR="00306953" w:rsidRPr="001042AC" w:rsidRDefault="00EA6A4F" w:rsidP="00306953">
            <w:pPr>
              <w:keepNext/>
              <w:spacing w:after="0" w:line="240" w:lineRule="auto"/>
              <w:jc w:val="center"/>
              <w:rPr>
                <w:rFonts w:cs="Arial"/>
                <w:b/>
                <w:color w:val="000000"/>
                <w:sz w:val="16"/>
                <w:szCs w:val="16"/>
              </w:rPr>
            </w:pPr>
            <w:r>
              <w:rPr>
                <w:rFonts w:cs="Arial"/>
                <w:b/>
                <w:color w:val="000000"/>
                <w:sz w:val="16"/>
                <w:szCs w:val="16"/>
              </w:rPr>
              <w:t>p</w:t>
            </w:r>
            <w:r w:rsidR="00306953" w:rsidRPr="001042AC">
              <w:rPr>
                <w:rFonts w:cs="Arial"/>
                <w:b/>
                <w:color w:val="000000"/>
                <w:sz w:val="16"/>
                <w:szCs w:val="16"/>
              </w:rPr>
              <w:t>rimární vzdělávání</w:t>
            </w:r>
          </w:p>
        </w:tc>
        <w:tc>
          <w:tcPr>
            <w:tcW w:w="2543" w:type="dxa"/>
            <w:gridSpan w:val="3"/>
            <w:tcBorders>
              <w:top w:val="double" w:sz="4" w:space="0" w:color="auto"/>
              <w:left w:val="single" w:sz="8" w:space="0" w:color="auto"/>
              <w:bottom w:val="single" w:sz="8" w:space="0" w:color="auto"/>
              <w:right w:val="single" w:sz="8" w:space="0" w:color="auto"/>
            </w:tcBorders>
            <w:shd w:val="clear" w:color="auto" w:fill="FFCCCC"/>
            <w:vAlign w:val="center"/>
            <w:hideMark/>
          </w:tcPr>
          <w:p w:rsidR="00306953" w:rsidRPr="001042AC" w:rsidRDefault="00EA6A4F" w:rsidP="00306953">
            <w:pPr>
              <w:keepNext/>
              <w:spacing w:after="0" w:line="240" w:lineRule="auto"/>
              <w:jc w:val="center"/>
              <w:rPr>
                <w:rFonts w:cs="Arial"/>
                <w:b/>
                <w:color w:val="000000"/>
                <w:sz w:val="16"/>
                <w:szCs w:val="16"/>
              </w:rPr>
            </w:pPr>
            <w:r>
              <w:rPr>
                <w:rFonts w:cs="Arial"/>
                <w:b/>
                <w:color w:val="000000"/>
                <w:sz w:val="16"/>
                <w:szCs w:val="16"/>
              </w:rPr>
              <w:t>s</w:t>
            </w:r>
            <w:r w:rsidR="00306953" w:rsidRPr="001042AC">
              <w:rPr>
                <w:rFonts w:cs="Arial"/>
                <w:b/>
                <w:color w:val="000000"/>
                <w:sz w:val="16"/>
                <w:szCs w:val="16"/>
              </w:rPr>
              <w:t>ekundární vzdělávání</w:t>
            </w:r>
          </w:p>
        </w:tc>
        <w:tc>
          <w:tcPr>
            <w:tcW w:w="835" w:type="dxa"/>
            <w:vMerge w:val="restart"/>
            <w:tcBorders>
              <w:top w:val="double" w:sz="4" w:space="0" w:color="auto"/>
              <w:left w:val="single" w:sz="8" w:space="0" w:color="auto"/>
              <w:bottom w:val="single" w:sz="8" w:space="0" w:color="auto"/>
              <w:right w:val="single" w:sz="8" w:space="0" w:color="auto"/>
            </w:tcBorders>
            <w:shd w:val="clear" w:color="auto" w:fill="FFCCCC"/>
            <w:textDirection w:val="btLr"/>
            <w:vAlign w:val="center"/>
            <w:hideMark/>
          </w:tcPr>
          <w:p w:rsidR="00306953" w:rsidRPr="001042AC" w:rsidRDefault="00EA6A4F" w:rsidP="00306953">
            <w:pPr>
              <w:keepNext/>
              <w:spacing w:after="0" w:line="240" w:lineRule="auto"/>
              <w:jc w:val="center"/>
              <w:rPr>
                <w:rFonts w:cs="Arial"/>
                <w:b/>
                <w:color w:val="000000"/>
                <w:sz w:val="16"/>
                <w:szCs w:val="16"/>
              </w:rPr>
            </w:pPr>
            <w:r>
              <w:rPr>
                <w:rFonts w:cs="Arial"/>
                <w:b/>
                <w:color w:val="000000"/>
                <w:sz w:val="16"/>
                <w:szCs w:val="16"/>
              </w:rPr>
              <w:t>p</w:t>
            </w:r>
            <w:r w:rsidR="00306953" w:rsidRPr="001042AC">
              <w:rPr>
                <w:rFonts w:cs="Arial"/>
                <w:b/>
                <w:color w:val="000000"/>
                <w:sz w:val="16"/>
                <w:szCs w:val="16"/>
              </w:rPr>
              <w:t>ostsekundární neterciární vzdělávání </w:t>
            </w:r>
          </w:p>
        </w:tc>
        <w:tc>
          <w:tcPr>
            <w:tcW w:w="2562" w:type="dxa"/>
            <w:gridSpan w:val="3"/>
            <w:tcBorders>
              <w:top w:val="double" w:sz="4" w:space="0" w:color="auto"/>
              <w:left w:val="single" w:sz="8" w:space="0" w:color="auto"/>
              <w:bottom w:val="single" w:sz="8" w:space="0" w:color="auto"/>
              <w:right w:val="single" w:sz="8" w:space="0" w:color="auto"/>
            </w:tcBorders>
            <w:shd w:val="clear" w:color="auto" w:fill="FFCCCC"/>
            <w:vAlign w:val="center"/>
            <w:hideMark/>
          </w:tcPr>
          <w:p w:rsidR="00306953" w:rsidRPr="001042AC" w:rsidRDefault="00EA6A4F" w:rsidP="00306953">
            <w:pPr>
              <w:keepNext/>
              <w:spacing w:after="0" w:line="240" w:lineRule="auto"/>
              <w:jc w:val="center"/>
              <w:rPr>
                <w:rFonts w:cs="Arial"/>
                <w:b/>
                <w:color w:val="000000"/>
                <w:sz w:val="16"/>
                <w:szCs w:val="16"/>
              </w:rPr>
            </w:pPr>
            <w:r>
              <w:rPr>
                <w:rFonts w:cs="Arial"/>
                <w:b/>
                <w:color w:val="000000"/>
                <w:sz w:val="16"/>
                <w:szCs w:val="16"/>
              </w:rPr>
              <w:t>t</w:t>
            </w:r>
            <w:r w:rsidR="00306953" w:rsidRPr="001042AC">
              <w:rPr>
                <w:rFonts w:cs="Arial"/>
                <w:b/>
                <w:color w:val="000000"/>
                <w:sz w:val="16"/>
                <w:szCs w:val="16"/>
              </w:rPr>
              <w:t xml:space="preserve">erciární vzdělávání </w:t>
            </w:r>
          </w:p>
          <w:p w:rsidR="00306953" w:rsidRPr="001042AC" w:rsidRDefault="00306953" w:rsidP="00306953">
            <w:pPr>
              <w:keepNext/>
              <w:spacing w:after="0" w:line="240" w:lineRule="auto"/>
              <w:jc w:val="center"/>
              <w:rPr>
                <w:rFonts w:cs="Arial"/>
                <w:b/>
                <w:color w:val="000000"/>
                <w:sz w:val="16"/>
                <w:szCs w:val="16"/>
              </w:rPr>
            </w:pPr>
            <w:r w:rsidRPr="001042AC">
              <w:rPr>
                <w:rFonts w:cs="Arial"/>
                <w:b/>
                <w:color w:val="000000"/>
                <w:sz w:val="16"/>
                <w:szCs w:val="16"/>
              </w:rPr>
              <w:t>(včetně výzkumu a vývoje)</w:t>
            </w:r>
          </w:p>
        </w:tc>
        <w:tc>
          <w:tcPr>
            <w:tcW w:w="854" w:type="dxa"/>
            <w:vMerge w:val="restart"/>
            <w:tcBorders>
              <w:top w:val="double" w:sz="4" w:space="0" w:color="auto"/>
              <w:left w:val="single" w:sz="8" w:space="0" w:color="auto"/>
              <w:bottom w:val="single" w:sz="8" w:space="0" w:color="auto"/>
              <w:right w:val="single" w:sz="8" w:space="0" w:color="auto"/>
            </w:tcBorders>
            <w:shd w:val="clear" w:color="auto" w:fill="FFCCCC"/>
            <w:textDirection w:val="btLr"/>
            <w:vAlign w:val="center"/>
            <w:hideMark/>
          </w:tcPr>
          <w:p w:rsidR="00306953" w:rsidRPr="001042AC" w:rsidRDefault="00EA6A4F" w:rsidP="00306953">
            <w:pPr>
              <w:keepNext/>
              <w:spacing w:after="0" w:line="240" w:lineRule="auto"/>
              <w:jc w:val="center"/>
              <w:rPr>
                <w:rFonts w:cs="Arial"/>
                <w:b/>
                <w:color w:val="000000"/>
                <w:sz w:val="16"/>
                <w:szCs w:val="16"/>
              </w:rPr>
            </w:pPr>
            <w:r>
              <w:rPr>
                <w:rFonts w:cs="Arial"/>
                <w:b/>
                <w:color w:val="000000"/>
                <w:sz w:val="16"/>
                <w:szCs w:val="16"/>
              </w:rPr>
              <w:t>v</w:t>
            </w:r>
            <w:r w:rsidR="00306953" w:rsidRPr="001042AC">
              <w:rPr>
                <w:rFonts w:cs="Arial"/>
                <w:b/>
                <w:color w:val="000000"/>
                <w:sz w:val="16"/>
                <w:szCs w:val="16"/>
              </w:rPr>
              <w:t>eškeré terciární vzdělávání bez výzkumu a vývoje</w:t>
            </w:r>
          </w:p>
        </w:tc>
        <w:tc>
          <w:tcPr>
            <w:tcW w:w="854" w:type="dxa"/>
            <w:gridSpan w:val="2"/>
            <w:vMerge w:val="restart"/>
            <w:tcBorders>
              <w:top w:val="double" w:sz="4" w:space="0" w:color="auto"/>
              <w:left w:val="single" w:sz="8" w:space="0" w:color="auto"/>
              <w:bottom w:val="single" w:sz="8" w:space="0" w:color="auto"/>
              <w:right w:val="double" w:sz="4" w:space="0" w:color="auto"/>
            </w:tcBorders>
            <w:shd w:val="clear" w:color="auto" w:fill="FFCCCC"/>
            <w:textDirection w:val="btLr"/>
            <w:vAlign w:val="center"/>
            <w:hideMark/>
          </w:tcPr>
          <w:p w:rsidR="003140F9" w:rsidRDefault="00EA6A4F" w:rsidP="00306953">
            <w:pPr>
              <w:keepNext/>
              <w:spacing w:after="0" w:line="240" w:lineRule="auto"/>
              <w:jc w:val="center"/>
              <w:rPr>
                <w:rFonts w:cs="Arial"/>
                <w:b/>
                <w:color w:val="000000"/>
                <w:sz w:val="16"/>
                <w:szCs w:val="16"/>
              </w:rPr>
            </w:pPr>
            <w:r>
              <w:rPr>
                <w:rFonts w:cs="Arial"/>
                <w:b/>
                <w:color w:val="000000"/>
                <w:sz w:val="16"/>
                <w:szCs w:val="16"/>
              </w:rPr>
              <w:t>p</w:t>
            </w:r>
            <w:r w:rsidR="00306953" w:rsidRPr="001042AC">
              <w:rPr>
                <w:rFonts w:cs="Arial"/>
                <w:b/>
                <w:color w:val="000000"/>
                <w:sz w:val="16"/>
                <w:szCs w:val="16"/>
              </w:rPr>
              <w:t>rimární až t</w:t>
            </w:r>
            <w:r w:rsidR="003140F9">
              <w:rPr>
                <w:rFonts w:cs="Arial"/>
                <w:b/>
                <w:color w:val="000000"/>
                <w:sz w:val="16"/>
                <w:szCs w:val="16"/>
              </w:rPr>
              <w:t xml:space="preserve">erciární vzdělávání  </w:t>
            </w:r>
          </w:p>
          <w:p w:rsidR="00306953" w:rsidRPr="001042AC" w:rsidRDefault="00306953" w:rsidP="00306953">
            <w:pPr>
              <w:keepNext/>
              <w:spacing w:after="0" w:line="240" w:lineRule="auto"/>
              <w:jc w:val="center"/>
              <w:rPr>
                <w:rFonts w:cs="Arial"/>
                <w:b/>
                <w:color w:val="000000"/>
                <w:sz w:val="16"/>
                <w:szCs w:val="16"/>
              </w:rPr>
            </w:pPr>
            <w:r w:rsidRPr="001042AC">
              <w:rPr>
                <w:rFonts w:cs="Arial"/>
                <w:b/>
                <w:color w:val="000000"/>
                <w:sz w:val="16"/>
                <w:szCs w:val="16"/>
              </w:rPr>
              <w:t>(včetně výzkumu a vývoje)</w:t>
            </w:r>
          </w:p>
        </w:tc>
      </w:tr>
      <w:tr w:rsidR="00306953" w:rsidRPr="00306953" w:rsidTr="00BF267F">
        <w:trPr>
          <w:trHeight w:val="1228"/>
        </w:trPr>
        <w:tc>
          <w:tcPr>
            <w:tcW w:w="1433" w:type="dxa"/>
            <w:vMerge/>
            <w:tcBorders>
              <w:top w:val="single" w:sz="8" w:space="0" w:color="auto"/>
              <w:left w:val="double" w:sz="4" w:space="0" w:color="auto"/>
              <w:bottom w:val="double" w:sz="4" w:space="0" w:color="auto"/>
              <w:right w:val="single" w:sz="8" w:space="0" w:color="auto"/>
            </w:tcBorders>
            <w:vAlign w:val="center"/>
            <w:hideMark/>
          </w:tcPr>
          <w:p w:rsidR="00306953" w:rsidRPr="00306953" w:rsidRDefault="00306953" w:rsidP="00306953">
            <w:pPr>
              <w:spacing w:after="0" w:line="240" w:lineRule="auto"/>
              <w:rPr>
                <w:rFonts w:cs="Arial"/>
                <w:color w:val="000000"/>
                <w:sz w:val="16"/>
                <w:szCs w:val="16"/>
              </w:rPr>
            </w:pPr>
          </w:p>
        </w:tc>
        <w:tc>
          <w:tcPr>
            <w:tcW w:w="835" w:type="dxa"/>
            <w:vMerge/>
            <w:tcBorders>
              <w:top w:val="single" w:sz="8" w:space="0" w:color="auto"/>
              <w:left w:val="single" w:sz="8" w:space="0" w:color="auto"/>
              <w:bottom w:val="double" w:sz="4" w:space="0" w:color="auto"/>
              <w:right w:val="single" w:sz="8" w:space="0" w:color="auto"/>
            </w:tcBorders>
            <w:shd w:val="clear" w:color="000000" w:fill="FFFFFF"/>
            <w:textDirection w:val="btLr"/>
            <w:vAlign w:val="center"/>
            <w:hideMark/>
          </w:tcPr>
          <w:p w:rsidR="00306953" w:rsidRPr="00306953" w:rsidRDefault="00306953" w:rsidP="00306953">
            <w:pPr>
              <w:spacing w:after="0" w:line="240" w:lineRule="auto"/>
              <w:rPr>
                <w:rFonts w:cs="Arial"/>
                <w:color w:val="000000"/>
                <w:sz w:val="16"/>
                <w:szCs w:val="16"/>
              </w:rPr>
            </w:pPr>
          </w:p>
        </w:tc>
        <w:tc>
          <w:tcPr>
            <w:tcW w:w="854" w:type="dxa"/>
            <w:tcBorders>
              <w:top w:val="single" w:sz="8" w:space="0" w:color="auto"/>
              <w:left w:val="single" w:sz="8" w:space="0" w:color="auto"/>
              <w:bottom w:val="double" w:sz="4" w:space="0" w:color="auto"/>
              <w:right w:val="single" w:sz="8" w:space="0" w:color="auto"/>
            </w:tcBorders>
            <w:shd w:val="clear" w:color="auto" w:fill="FFCCCC"/>
            <w:textDirection w:val="btLr"/>
            <w:vAlign w:val="center"/>
            <w:hideMark/>
          </w:tcPr>
          <w:p w:rsidR="00306953" w:rsidRPr="001042AC" w:rsidRDefault="00EA6A4F" w:rsidP="007E5BD0">
            <w:pPr>
              <w:spacing w:after="0" w:line="240" w:lineRule="auto"/>
              <w:jc w:val="center"/>
              <w:rPr>
                <w:rFonts w:cs="Arial"/>
                <w:b/>
                <w:color w:val="000000"/>
                <w:sz w:val="16"/>
                <w:szCs w:val="16"/>
              </w:rPr>
            </w:pPr>
            <w:r>
              <w:rPr>
                <w:rFonts w:cs="Arial"/>
                <w:b/>
                <w:color w:val="000000"/>
                <w:sz w:val="16"/>
                <w:szCs w:val="16"/>
              </w:rPr>
              <w:t>n</w:t>
            </w:r>
            <w:r w:rsidR="00306953" w:rsidRPr="001042AC">
              <w:rPr>
                <w:rFonts w:cs="Arial"/>
                <w:b/>
                <w:color w:val="000000"/>
                <w:sz w:val="16"/>
                <w:szCs w:val="16"/>
              </w:rPr>
              <w:t>ižší sekundární vzdělávání</w:t>
            </w:r>
          </w:p>
        </w:tc>
        <w:tc>
          <w:tcPr>
            <w:tcW w:w="854" w:type="dxa"/>
            <w:tcBorders>
              <w:top w:val="single" w:sz="8" w:space="0" w:color="auto"/>
              <w:left w:val="single" w:sz="8" w:space="0" w:color="auto"/>
              <w:bottom w:val="double" w:sz="4" w:space="0" w:color="auto"/>
              <w:right w:val="single" w:sz="8" w:space="0" w:color="auto"/>
            </w:tcBorders>
            <w:shd w:val="clear" w:color="auto" w:fill="FFCCCC"/>
            <w:textDirection w:val="btLr"/>
            <w:vAlign w:val="center"/>
            <w:hideMark/>
          </w:tcPr>
          <w:p w:rsidR="00306953" w:rsidRPr="001042AC" w:rsidRDefault="00EA6A4F" w:rsidP="007E5BD0">
            <w:pPr>
              <w:spacing w:after="0" w:line="240" w:lineRule="auto"/>
              <w:jc w:val="center"/>
              <w:rPr>
                <w:rFonts w:cs="Arial"/>
                <w:b/>
                <w:color w:val="000000"/>
                <w:sz w:val="16"/>
                <w:szCs w:val="16"/>
              </w:rPr>
            </w:pPr>
            <w:r>
              <w:rPr>
                <w:rFonts w:cs="Arial"/>
                <w:b/>
                <w:color w:val="000000"/>
                <w:sz w:val="16"/>
                <w:szCs w:val="16"/>
              </w:rPr>
              <w:t>v</w:t>
            </w:r>
            <w:r w:rsidR="00306953" w:rsidRPr="001042AC">
              <w:rPr>
                <w:rFonts w:cs="Arial"/>
                <w:b/>
                <w:color w:val="000000"/>
                <w:sz w:val="16"/>
                <w:szCs w:val="16"/>
              </w:rPr>
              <w:t>yšší sekundární vzdělávání</w:t>
            </w:r>
          </w:p>
        </w:tc>
        <w:tc>
          <w:tcPr>
            <w:tcW w:w="835" w:type="dxa"/>
            <w:tcBorders>
              <w:top w:val="single" w:sz="8" w:space="0" w:color="auto"/>
              <w:left w:val="single" w:sz="8" w:space="0" w:color="auto"/>
              <w:bottom w:val="double" w:sz="4" w:space="0" w:color="auto"/>
              <w:right w:val="single" w:sz="8" w:space="0" w:color="auto"/>
            </w:tcBorders>
            <w:shd w:val="clear" w:color="auto" w:fill="FFCCCC"/>
            <w:textDirection w:val="btLr"/>
            <w:vAlign w:val="center"/>
            <w:hideMark/>
          </w:tcPr>
          <w:p w:rsidR="00306953" w:rsidRPr="001042AC" w:rsidRDefault="00EA6A4F" w:rsidP="007E5BD0">
            <w:pPr>
              <w:spacing w:after="0" w:line="240" w:lineRule="auto"/>
              <w:jc w:val="center"/>
              <w:rPr>
                <w:rFonts w:cs="Arial"/>
                <w:b/>
                <w:color w:val="000000"/>
                <w:sz w:val="16"/>
                <w:szCs w:val="16"/>
              </w:rPr>
            </w:pPr>
            <w:r>
              <w:rPr>
                <w:rFonts w:cs="Arial"/>
                <w:b/>
                <w:color w:val="000000"/>
                <w:sz w:val="16"/>
                <w:szCs w:val="16"/>
              </w:rPr>
              <w:t>v</w:t>
            </w:r>
            <w:r w:rsidR="00306953" w:rsidRPr="001042AC">
              <w:rPr>
                <w:rFonts w:cs="Arial"/>
                <w:b/>
                <w:color w:val="000000"/>
                <w:sz w:val="16"/>
                <w:szCs w:val="16"/>
              </w:rPr>
              <w:t>eškeré sekundární vzdělávání</w:t>
            </w:r>
          </w:p>
        </w:tc>
        <w:tc>
          <w:tcPr>
            <w:tcW w:w="835" w:type="dxa"/>
            <w:vMerge/>
            <w:tcBorders>
              <w:top w:val="single" w:sz="8" w:space="0" w:color="auto"/>
              <w:left w:val="single" w:sz="8" w:space="0" w:color="auto"/>
              <w:bottom w:val="double" w:sz="4" w:space="0" w:color="auto"/>
              <w:right w:val="single" w:sz="8" w:space="0" w:color="auto"/>
            </w:tcBorders>
            <w:shd w:val="clear" w:color="000000" w:fill="FFFFFF"/>
            <w:textDirection w:val="btLr"/>
            <w:vAlign w:val="center"/>
            <w:hideMark/>
          </w:tcPr>
          <w:p w:rsidR="00306953" w:rsidRPr="001042AC" w:rsidRDefault="00306953" w:rsidP="007E5BD0">
            <w:pPr>
              <w:spacing w:after="0" w:line="240" w:lineRule="auto"/>
              <w:jc w:val="center"/>
              <w:rPr>
                <w:rFonts w:cs="Arial"/>
                <w:b/>
                <w:color w:val="000000"/>
                <w:sz w:val="16"/>
                <w:szCs w:val="16"/>
              </w:rPr>
            </w:pPr>
          </w:p>
        </w:tc>
        <w:tc>
          <w:tcPr>
            <w:tcW w:w="854" w:type="dxa"/>
            <w:tcBorders>
              <w:top w:val="single" w:sz="8" w:space="0" w:color="auto"/>
              <w:left w:val="single" w:sz="8" w:space="0" w:color="auto"/>
              <w:bottom w:val="double" w:sz="4" w:space="0" w:color="auto"/>
              <w:right w:val="single" w:sz="8" w:space="0" w:color="auto"/>
            </w:tcBorders>
            <w:shd w:val="clear" w:color="auto" w:fill="FFCCCC"/>
            <w:textDirection w:val="btLr"/>
            <w:vAlign w:val="center"/>
            <w:hideMark/>
          </w:tcPr>
          <w:p w:rsidR="00306953" w:rsidRPr="001042AC" w:rsidRDefault="00EA6A4F" w:rsidP="007E5BD0">
            <w:pPr>
              <w:spacing w:after="0" w:line="240" w:lineRule="auto"/>
              <w:jc w:val="center"/>
              <w:rPr>
                <w:rFonts w:cs="Arial"/>
                <w:b/>
                <w:color w:val="000000"/>
                <w:sz w:val="16"/>
                <w:szCs w:val="16"/>
              </w:rPr>
            </w:pPr>
            <w:r>
              <w:rPr>
                <w:rFonts w:cs="Arial"/>
                <w:b/>
                <w:color w:val="000000"/>
                <w:sz w:val="16"/>
                <w:szCs w:val="16"/>
              </w:rPr>
              <w:t>k</w:t>
            </w:r>
            <w:r w:rsidR="00306953" w:rsidRPr="001042AC">
              <w:rPr>
                <w:rFonts w:cs="Arial"/>
                <w:b/>
                <w:color w:val="000000"/>
                <w:sz w:val="16"/>
                <w:szCs w:val="16"/>
              </w:rPr>
              <w:t>rátký cyklus terciárního vzdělávání</w:t>
            </w:r>
          </w:p>
        </w:tc>
        <w:tc>
          <w:tcPr>
            <w:tcW w:w="854" w:type="dxa"/>
            <w:tcBorders>
              <w:top w:val="single" w:sz="8" w:space="0" w:color="auto"/>
              <w:left w:val="single" w:sz="8" w:space="0" w:color="auto"/>
              <w:bottom w:val="double" w:sz="4" w:space="0" w:color="auto"/>
              <w:right w:val="single" w:sz="8" w:space="0" w:color="auto"/>
            </w:tcBorders>
            <w:shd w:val="clear" w:color="auto" w:fill="FFCCCC"/>
            <w:textDirection w:val="btLr"/>
            <w:vAlign w:val="center"/>
            <w:hideMark/>
          </w:tcPr>
          <w:p w:rsidR="00306953" w:rsidRPr="001042AC" w:rsidRDefault="00DF5055" w:rsidP="007E5BD0">
            <w:pPr>
              <w:spacing w:after="0" w:line="240" w:lineRule="auto"/>
              <w:jc w:val="center"/>
              <w:rPr>
                <w:rFonts w:cs="Arial"/>
                <w:b/>
                <w:color w:val="000000"/>
                <w:sz w:val="16"/>
                <w:szCs w:val="16"/>
              </w:rPr>
            </w:pPr>
            <w:r>
              <w:rPr>
                <w:rFonts w:cs="Arial"/>
                <w:b/>
                <w:color w:val="000000"/>
                <w:sz w:val="16"/>
                <w:szCs w:val="16"/>
              </w:rPr>
              <w:t>bakalářské, magisterské a </w:t>
            </w:r>
            <w:r w:rsidR="00306953" w:rsidRPr="001042AC">
              <w:rPr>
                <w:rFonts w:cs="Arial"/>
                <w:b/>
                <w:color w:val="000000"/>
                <w:sz w:val="16"/>
                <w:szCs w:val="16"/>
              </w:rPr>
              <w:t>doktorské studium</w:t>
            </w:r>
          </w:p>
        </w:tc>
        <w:tc>
          <w:tcPr>
            <w:tcW w:w="854" w:type="dxa"/>
            <w:tcBorders>
              <w:top w:val="single" w:sz="8" w:space="0" w:color="auto"/>
              <w:left w:val="single" w:sz="8" w:space="0" w:color="auto"/>
              <w:bottom w:val="double" w:sz="4" w:space="0" w:color="auto"/>
              <w:right w:val="single" w:sz="8" w:space="0" w:color="auto"/>
            </w:tcBorders>
            <w:shd w:val="clear" w:color="auto" w:fill="FFCCCC"/>
            <w:textDirection w:val="btLr"/>
            <w:vAlign w:val="center"/>
            <w:hideMark/>
          </w:tcPr>
          <w:p w:rsidR="00306953" w:rsidRPr="001042AC" w:rsidRDefault="00EA6A4F" w:rsidP="007E5BD0">
            <w:pPr>
              <w:spacing w:after="0" w:line="240" w:lineRule="auto"/>
              <w:jc w:val="center"/>
              <w:rPr>
                <w:rFonts w:cs="Arial"/>
                <w:b/>
                <w:color w:val="000000"/>
                <w:sz w:val="16"/>
                <w:szCs w:val="16"/>
              </w:rPr>
            </w:pPr>
            <w:r>
              <w:rPr>
                <w:rFonts w:cs="Arial"/>
                <w:b/>
                <w:color w:val="000000"/>
                <w:sz w:val="16"/>
                <w:szCs w:val="16"/>
              </w:rPr>
              <w:t>v</w:t>
            </w:r>
            <w:r w:rsidR="00306953" w:rsidRPr="001042AC">
              <w:rPr>
                <w:rFonts w:cs="Arial"/>
                <w:b/>
                <w:color w:val="000000"/>
                <w:sz w:val="16"/>
                <w:szCs w:val="16"/>
              </w:rPr>
              <w:t>eškeré terciární vzdělávání</w:t>
            </w:r>
          </w:p>
        </w:tc>
        <w:tc>
          <w:tcPr>
            <w:tcW w:w="854" w:type="dxa"/>
            <w:vMerge/>
            <w:tcBorders>
              <w:top w:val="single" w:sz="8" w:space="0" w:color="auto"/>
              <w:left w:val="single" w:sz="8" w:space="0" w:color="auto"/>
              <w:bottom w:val="double" w:sz="4" w:space="0" w:color="auto"/>
              <w:right w:val="single" w:sz="8" w:space="0" w:color="auto"/>
            </w:tcBorders>
            <w:vAlign w:val="center"/>
            <w:hideMark/>
          </w:tcPr>
          <w:p w:rsidR="00306953" w:rsidRPr="00306953" w:rsidRDefault="00306953" w:rsidP="00306953">
            <w:pPr>
              <w:spacing w:after="0" w:line="240" w:lineRule="auto"/>
              <w:rPr>
                <w:rFonts w:cs="Arial"/>
                <w:color w:val="000000"/>
                <w:sz w:val="16"/>
                <w:szCs w:val="16"/>
              </w:rPr>
            </w:pPr>
          </w:p>
        </w:tc>
        <w:tc>
          <w:tcPr>
            <w:tcW w:w="854" w:type="dxa"/>
            <w:gridSpan w:val="2"/>
            <w:vMerge/>
            <w:tcBorders>
              <w:top w:val="single" w:sz="8" w:space="0" w:color="auto"/>
              <w:left w:val="single" w:sz="8" w:space="0" w:color="auto"/>
              <w:bottom w:val="double" w:sz="4" w:space="0" w:color="auto"/>
              <w:right w:val="double" w:sz="4" w:space="0" w:color="auto"/>
            </w:tcBorders>
            <w:vAlign w:val="center"/>
            <w:hideMark/>
          </w:tcPr>
          <w:p w:rsidR="00306953" w:rsidRPr="00306953" w:rsidRDefault="00306953" w:rsidP="00306953">
            <w:pPr>
              <w:spacing w:after="0" w:line="240" w:lineRule="auto"/>
              <w:rPr>
                <w:rFonts w:cs="Arial"/>
                <w:color w:val="000000"/>
                <w:sz w:val="16"/>
                <w:szCs w:val="16"/>
              </w:rPr>
            </w:pPr>
          </w:p>
        </w:tc>
      </w:tr>
      <w:tr w:rsidR="00306953" w:rsidRPr="00306953" w:rsidTr="00BF267F">
        <w:trPr>
          <w:trHeight w:val="270"/>
        </w:trPr>
        <w:tc>
          <w:tcPr>
            <w:tcW w:w="1433" w:type="dxa"/>
            <w:tcBorders>
              <w:top w:val="double" w:sz="4" w:space="0" w:color="auto"/>
              <w:left w:val="double" w:sz="4" w:space="0" w:color="auto"/>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rPr>
                <w:rFonts w:cs="Arial"/>
                <w:color w:val="000000"/>
                <w:sz w:val="16"/>
                <w:szCs w:val="16"/>
              </w:rPr>
            </w:pPr>
            <w:r w:rsidRPr="00306953">
              <w:rPr>
                <w:rFonts w:cs="Arial"/>
                <w:color w:val="000000"/>
                <w:sz w:val="16"/>
                <w:szCs w:val="16"/>
              </w:rPr>
              <w:t>Česká republika</w:t>
            </w:r>
          </w:p>
        </w:tc>
        <w:tc>
          <w:tcPr>
            <w:tcW w:w="835" w:type="dxa"/>
            <w:tcBorders>
              <w:top w:val="double" w:sz="4" w:space="0" w:color="auto"/>
              <w:left w:val="nil"/>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4728</w:t>
            </w:r>
          </w:p>
        </w:tc>
        <w:tc>
          <w:tcPr>
            <w:tcW w:w="854" w:type="dxa"/>
            <w:tcBorders>
              <w:top w:val="double" w:sz="4" w:space="0" w:color="auto"/>
              <w:left w:val="nil"/>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7902</w:t>
            </w:r>
          </w:p>
        </w:tc>
        <w:tc>
          <w:tcPr>
            <w:tcW w:w="854" w:type="dxa"/>
            <w:tcBorders>
              <w:top w:val="double" w:sz="4" w:space="0" w:color="auto"/>
              <w:left w:val="nil"/>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7119</w:t>
            </w:r>
          </w:p>
        </w:tc>
        <w:tc>
          <w:tcPr>
            <w:tcW w:w="835" w:type="dxa"/>
            <w:tcBorders>
              <w:top w:val="double" w:sz="4" w:space="0" w:color="auto"/>
              <w:left w:val="nil"/>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7469</w:t>
            </w:r>
          </w:p>
        </w:tc>
        <w:tc>
          <w:tcPr>
            <w:tcW w:w="835" w:type="dxa"/>
            <w:tcBorders>
              <w:top w:val="double" w:sz="4" w:space="0" w:color="auto"/>
              <w:left w:val="nil"/>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jc w:val="center"/>
              <w:rPr>
                <w:rFonts w:cs="Arial"/>
                <w:sz w:val="16"/>
                <w:szCs w:val="16"/>
              </w:rPr>
            </w:pPr>
            <w:r w:rsidRPr="00306953">
              <w:rPr>
                <w:rFonts w:cs="Arial"/>
                <w:sz w:val="16"/>
                <w:szCs w:val="16"/>
              </w:rPr>
              <w:t>2445</w:t>
            </w:r>
          </w:p>
        </w:tc>
        <w:tc>
          <w:tcPr>
            <w:tcW w:w="854" w:type="dxa"/>
            <w:tcBorders>
              <w:top w:val="double" w:sz="4" w:space="0" w:color="auto"/>
              <w:left w:val="nil"/>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jc w:val="center"/>
              <w:rPr>
                <w:rFonts w:cs="Arial"/>
                <w:sz w:val="16"/>
                <w:szCs w:val="16"/>
              </w:rPr>
            </w:pPr>
            <w:r w:rsidRPr="00306953">
              <w:rPr>
                <w:rFonts w:cs="Arial"/>
                <w:sz w:val="16"/>
                <w:szCs w:val="16"/>
              </w:rPr>
              <w:t>16645</w:t>
            </w:r>
          </w:p>
        </w:tc>
        <w:tc>
          <w:tcPr>
            <w:tcW w:w="854" w:type="dxa"/>
            <w:tcBorders>
              <w:top w:val="double" w:sz="4" w:space="0" w:color="auto"/>
              <w:left w:val="nil"/>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10304</w:t>
            </w:r>
          </w:p>
        </w:tc>
        <w:tc>
          <w:tcPr>
            <w:tcW w:w="854" w:type="dxa"/>
            <w:tcBorders>
              <w:top w:val="double" w:sz="4" w:space="0" w:color="auto"/>
              <w:left w:val="nil"/>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10319</w:t>
            </w:r>
          </w:p>
        </w:tc>
        <w:tc>
          <w:tcPr>
            <w:tcW w:w="854" w:type="dxa"/>
            <w:tcBorders>
              <w:top w:val="double" w:sz="4" w:space="0" w:color="auto"/>
              <w:left w:val="nil"/>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6807</w:t>
            </w:r>
          </w:p>
        </w:tc>
        <w:tc>
          <w:tcPr>
            <w:tcW w:w="854" w:type="dxa"/>
            <w:gridSpan w:val="2"/>
            <w:tcBorders>
              <w:top w:val="double" w:sz="4" w:space="0" w:color="auto"/>
              <w:left w:val="nil"/>
              <w:bottom w:val="single" w:sz="8" w:space="0" w:color="auto"/>
              <w:right w:val="double" w:sz="4" w:space="0" w:color="auto"/>
            </w:tcBorders>
            <w:shd w:val="clear" w:color="000000" w:fill="FFFFFF"/>
            <w:noWrap/>
            <w:vAlign w:val="center"/>
            <w:hideMark/>
          </w:tcPr>
          <w:p w:rsidR="00306953" w:rsidRPr="00306953" w:rsidRDefault="00306953" w:rsidP="007E5BD0">
            <w:pPr>
              <w:spacing w:after="0" w:line="240" w:lineRule="auto"/>
              <w:jc w:val="center"/>
              <w:rPr>
                <w:rFonts w:cs="Arial"/>
                <w:b/>
                <w:bCs/>
                <w:color w:val="000000"/>
                <w:sz w:val="16"/>
                <w:szCs w:val="16"/>
              </w:rPr>
            </w:pPr>
            <w:r w:rsidRPr="00306953">
              <w:rPr>
                <w:rFonts w:cs="Arial"/>
                <w:b/>
                <w:bCs/>
                <w:color w:val="000000"/>
                <w:sz w:val="16"/>
                <w:szCs w:val="16"/>
              </w:rPr>
              <w:t>7684</w:t>
            </w:r>
          </w:p>
        </w:tc>
      </w:tr>
      <w:tr w:rsidR="00306953" w:rsidRPr="00306953" w:rsidTr="00BF267F">
        <w:trPr>
          <w:trHeight w:val="270"/>
        </w:trPr>
        <w:tc>
          <w:tcPr>
            <w:tcW w:w="1433" w:type="dxa"/>
            <w:tcBorders>
              <w:top w:val="single" w:sz="8" w:space="0" w:color="auto"/>
              <w:left w:val="double" w:sz="4" w:space="0" w:color="auto"/>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rPr>
                <w:rFonts w:cs="Arial"/>
                <w:color w:val="000000"/>
                <w:sz w:val="16"/>
                <w:szCs w:val="16"/>
              </w:rPr>
            </w:pPr>
            <w:r w:rsidRPr="00306953">
              <w:rPr>
                <w:rFonts w:cs="Arial"/>
                <w:color w:val="000000"/>
                <w:sz w:val="16"/>
                <w:szCs w:val="16"/>
              </w:rPr>
              <w:t>Slovensko</w:t>
            </w:r>
          </w:p>
        </w:tc>
        <w:tc>
          <w:tcPr>
            <w:tcW w:w="835" w:type="dxa"/>
            <w:tcBorders>
              <w:top w:val="single" w:sz="8" w:space="0" w:color="auto"/>
              <w:left w:val="nil"/>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5415</w:t>
            </w:r>
          </w:p>
        </w:tc>
        <w:tc>
          <w:tcPr>
            <w:tcW w:w="854" w:type="dxa"/>
            <w:tcBorders>
              <w:top w:val="single" w:sz="8" w:space="0" w:color="auto"/>
              <w:left w:val="nil"/>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5283</w:t>
            </w:r>
          </w:p>
        </w:tc>
        <w:tc>
          <w:tcPr>
            <w:tcW w:w="854" w:type="dxa"/>
            <w:tcBorders>
              <w:top w:val="single" w:sz="8" w:space="0" w:color="auto"/>
              <w:left w:val="nil"/>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5027</w:t>
            </w:r>
          </w:p>
        </w:tc>
        <w:tc>
          <w:tcPr>
            <w:tcW w:w="835" w:type="dxa"/>
            <w:tcBorders>
              <w:top w:val="single" w:sz="8" w:space="0" w:color="auto"/>
              <w:left w:val="nil"/>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5152</w:t>
            </w:r>
          </w:p>
        </w:tc>
        <w:tc>
          <w:tcPr>
            <w:tcW w:w="835" w:type="dxa"/>
            <w:tcBorders>
              <w:top w:val="single" w:sz="8" w:space="0" w:color="auto"/>
              <w:left w:val="nil"/>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x</w:t>
            </w:r>
          </w:p>
        </w:tc>
        <w:tc>
          <w:tcPr>
            <w:tcW w:w="854" w:type="dxa"/>
            <w:tcBorders>
              <w:top w:val="single" w:sz="8" w:space="0" w:color="auto"/>
              <w:left w:val="nil"/>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x</w:t>
            </w:r>
          </w:p>
        </w:tc>
        <w:tc>
          <w:tcPr>
            <w:tcW w:w="854" w:type="dxa"/>
            <w:tcBorders>
              <w:top w:val="single" w:sz="8" w:space="0" w:color="auto"/>
              <w:left w:val="nil"/>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9022</w:t>
            </w:r>
          </w:p>
        </w:tc>
        <w:tc>
          <w:tcPr>
            <w:tcW w:w="854" w:type="dxa"/>
            <w:tcBorders>
              <w:top w:val="single" w:sz="8" w:space="0" w:color="auto"/>
              <w:left w:val="nil"/>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9022</w:t>
            </w:r>
          </w:p>
        </w:tc>
        <w:tc>
          <w:tcPr>
            <w:tcW w:w="854" w:type="dxa"/>
            <w:tcBorders>
              <w:top w:val="single" w:sz="8" w:space="0" w:color="auto"/>
              <w:left w:val="nil"/>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6191</w:t>
            </w:r>
          </w:p>
        </w:tc>
        <w:tc>
          <w:tcPr>
            <w:tcW w:w="854" w:type="dxa"/>
            <w:gridSpan w:val="2"/>
            <w:tcBorders>
              <w:top w:val="single" w:sz="8" w:space="0" w:color="auto"/>
              <w:left w:val="nil"/>
              <w:bottom w:val="single" w:sz="8" w:space="0" w:color="auto"/>
              <w:right w:val="double" w:sz="4" w:space="0" w:color="auto"/>
            </w:tcBorders>
            <w:shd w:val="clear" w:color="000000" w:fill="FFFFFF"/>
            <w:noWrap/>
            <w:vAlign w:val="center"/>
            <w:hideMark/>
          </w:tcPr>
          <w:p w:rsidR="00306953" w:rsidRPr="00306953" w:rsidRDefault="00306953" w:rsidP="007E5BD0">
            <w:pPr>
              <w:spacing w:after="0" w:line="240" w:lineRule="auto"/>
              <w:jc w:val="center"/>
              <w:rPr>
                <w:rFonts w:cs="Arial"/>
                <w:b/>
                <w:bCs/>
                <w:color w:val="000000"/>
                <w:sz w:val="16"/>
                <w:szCs w:val="16"/>
              </w:rPr>
            </w:pPr>
            <w:r w:rsidRPr="00306953">
              <w:rPr>
                <w:rFonts w:cs="Arial"/>
                <w:b/>
                <w:bCs/>
                <w:color w:val="000000"/>
                <w:sz w:val="16"/>
                <w:szCs w:val="16"/>
              </w:rPr>
              <w:t>6072</w:t>
            </w:r>
          </w:p>
        </w:tc>
      </w:tr>
      <w:tr w:rsidR="00306953" w:rsidRPr="00306953" w:rsidTr="00BF267F">
        <w:trPr>
          <w:trHeight w:val="270"/>
        </w:trPr>
        <w:tc>
          <w:tcPr>
            <w:tcW w:w="1433" w:type="dxa"/>
            <w:tcBorders>
              <w:top w:val="single" w:sz="8" w:space="0" w:color="auto"/>
              <w:left w:val="double" w:sz="4" w:space="0" w:color="auto"/>
              <w:bottom w:val="single" w:sz="8" w:space="0" w:color="auto"/>
              <w:right w:val="single" w:sz="8" w:space="0" w:color="auto"/>
            </w:tcBorders>
            <w:shd w:val="clear" w:color="000000" w:fill="FFFFFF"/>
            <w:noWrap/>
            <w:vAlign w:val="center"/>
            <w:hideMark/>
          </w:tcPr>
          <w:p w:rsidR="00306953" w:rsidRPr="00306953" w:rsidRDefault="00306953" w:rsidP="00F83F57">
            <w:pPr>
              <w:spacing w:before="30" w:after="30" w:line="240" w:lineRule="auto"/>
              <w:rPr>
                <w:rFonts w:cs="Arial"/>
                <w:color w:val="000000"/>
                <w:sz w:val="16"/>
                <w:szCs w:val="16"/>
              </w:rPr>
            </w:pPr>
            <w:r w:rsidRPr="00306953">
              <w:rPr>
                <w:rFonts w:cs="Arial"/>
                <w:color w:val="000000"/>
                <w:sz w:val="16"/>
                <w:szCs w:val="16"/>
              </w:rPr>
              <w:t>Polsko (jen veřejné instituce)</w:t>
            </w:r>
          </w:p>
        </w:tc>
        <w:tc>
          <w:tcPr>
            <w:tcW w:w="835" w:type="dxa"/>
            <w:tcBorders>
              <w:top w:val="single" w:sz="8" w:space="0" w:color="auto"/>
              <w:left w:val="nil"/>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6721</w:t>
            </w:r>
          </w:p>
        </w:tc>
        <w:tc>
          <w:tcPr>
            <w:tcW w:w="854" w:type="dxa"/>
            <w:tcBorders>
              <w:top w:val="single" w:sz="8" w:space="0" w:color="auto"/>
              <w:left w:val="nil"/>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6682</w:t>
            </w:r>
          </w:p>
        </w:tc>
        <w:tc>
          <w:tcPr>
            <w:tcW w:w="854" w:type="dxa"/>
            <w:tcBorders>
              <w:top w:val="single" w:sz="8" w:space="0" w:color="auto"/>
              <w:left w:val="nil"/>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6419</w:t>
            </w:r>
          </w:p>
        </w:tc>
        <w:tc>
          <w:tcPr>
            <w:tcW w:w="835" w:type="dxa"/>
            <w:tcBorders>
              <w:top w:val="single" w:sz="8" w:space="0" w:color="auto"/>
              <w:left w:val="nil"/>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6540</w:t>
            </w:r>
          </w:p>
        </w:tc>
        <w:tc>
          <w:tcPr>
            <w:tcW w:w="835" w:type="dxa"/>
            <w:tcBorders>
              <w:top w:val="single" w:sz="8" w:space="0" w:color="auto"/>
              <w:left w:val="nil"/>
              <w:bottom w:val="single" w:sz="8" w:space="0" w:color="auto"/>
              <w:right w:val="single" w:sz="8" w:space="0" w:color="auto"/>
            </w:tcBorders>
            <w:shd w:val="clear" w:color="000000" w:fill="FFFFFF"/>
            <w:noWrap/>
            <w:vAlign w:val="center"/>
            <w:hideMark/>
          </w:tcPr>
          <w:p w:rsidR="00306953" w:rsidRPr="006F1110" w:rsidRDefault="006F1110" w:rsidP="007E5BD0">
            <w:pPr>
              <w:spacing w:after="0" w:line="240" w:lineRule="auto"/>
              <w:jc w:val="center"/>
              <w:rPr>
                <w:rFonts w:cs="Arial"/>
                <w:b/>
                <w:color w:val="000000"/>
                <w:sz w:val="16"/>
                <w:szCs w:val="16"/>
              </w:rPr>
            </w:pPr>
            <w:r w:rsidRPr="006F1110">
              <w:rPr>
                <w:rFonts w:cs="Arial"/>
                <w:b/>
                <w:color w:val="000000"/>
                <w:sz w:val="16"/>
                <w:szCs w:val="16"/>
              </w:rPr>
              <w:t>.</w:t>
            </w:r>
          </w:p>
        </w:tc>
        <w:tc>
          <w:tcPr>
            <w:tcW w:w="854" w:type="dxa"/>
            <w:tcBorders>
              <w:top w:val="single" w:sz="8" w:space="0" w:color="auto"/>
              <w:left w:val="nil"/>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8229</w:t>
            </w:r>
          </w:p>
        </w:tc>
        <w:tc>
          <w:tcPr>
            <w:tcW w:w="854" w:type="dxa"/>
            <w:tcBorders>
              <w:top w:val="single" w:sz="8" w:space="0" w:color="auto"/>
              <w:left w:val="nil"/>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9811</w:t>
            </w:r>
          </w:p>
        </w:tc>
        <w:tc>
          <w:tcPr>
            <w:tcW w:w="854" w:type="dxa"/>
            <w:tcBorders>
              <w:top w:val="single" w:sz="8" w:space="0" w:color="auto"/>
              <w:left w:val="nil"/>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9799</w:t>
            </w:r>
          </w:p>
        </w:tc>
        <w:tc>
          <w:tcPr>
            <w:tcW w:w="854" w:type="dxa"/>
            <w:tcBorders>
              <w:top w:val="single" w:sz="8" w:space="0" w:color="auto"/>
              <w:left w:val="nil"/>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7692</w:t>
            </w:r>
          </w:p>
        </w:tc>
        <w:tc>
          <w:tcPr>
            <w:tcW w:w="854" w:type="dxa"/>
            <w:gridSpan w:val="2"/>
            <w:tcBorders>
              <w:top w:val="single" w:sz="8" w:space="0" w:color="auto"/>
              <w:left w:val="nil"/>
              <w:bottom w:val="single" w:sz="8" w:space="0" w:color="auto"/>
              <w:right w:val="double" w:sz="4" w:space="0" w:color="auto"/>
            </w:tcBorders>
            <w:shd w:val="clear" w:color="000000" w:fill="FFFFFF"/>
            <w:noWrap/>
            <w:vAlign w:val="center"/>
            <w:hideMark/>
          </w:tcPr>
          <w:p w:rsidR="00306953" w:rsidRPr="00306953" w:rsidRDefault="00306953" w:rsidP="007E5BD0">
            <w:pPr>
              <w:spacing w:after="0" w:line="240" w:lineRule="auto"/>
              <w:jc w:val="center"/>
              <w:rPr>
                <w:rFonts w:cs="Arial"/>
                <w:b/>
                <w:bCs/>
                <w:color w:val="000000"/>
                <w:sz w:val="16"/>
                <w:szCs w:val="16"/>
              </w:rPr>
            </w:pPr>
            <w:r w:rsidRPr="00306953">
              <w:rPr>
                <w:rFonts w:cs="Arial"/>
                <w:b/>
                <w:bCs/>
                <w:color w:val="000000"/>
                <w:sz w:val="16"/>
                <w:szCs w:val="16"/>
              </w:rPr>
              <w:t>7398</w:t>
            </w:r>
          </w:p>
        </w:tc>
      </w:tr>
      <w:tr w:rsidR="00306953" w:rsidRPr="00306953" w:rsidTr="00BF267F">
        <w:trPr>
          <w:trHeight w:val="270"/>
        </w:trPr>
        <w:tc>
          <w:tcPr>
            <w:tcW w:w="1433" w:type="dxa"/>
            <w:tcBorders>
              <w:top w:val="single" w:sz="8" w:space="0" w:color="auto"/>
              <w:left w:val="double" w:sz="4" w:space="0" w:color="auto"/>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rPr>
                <w:rFonts w:cs="Arial"/>
                <w:color w:val="000000"/>
                <w:sz w:val="16"/>
                <w:szCs w:val="16"/>
              </w:rPr>
            </w:pPr>
            <w:r w:rsidRPr="00306953">
              <w:rPr>
                <w:rFonts w:cs="Arial"/>
                <w:color w:val="000000"/>
                <w:sz w:val="16"/>
                <w:szCs w:val="16"/>
              </w:rPr>
              <w:t>Estonsko</w:t>
            </w:r>
          </w:p>
        </w:tc>
        <w:tc>
          <w:tcPr>
            <w:tcW w:w="835" w:type="dxa"/>
            <w:tcBorders>
              <w:top w:val="single" w:sz="8" w:space="0" w:color="auto"/>
              <w:left w:val="nil"/>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5668</w:t>
            </w:r>
          </w:p>
        </w:tc>
        <w:tc>
          <w:tcPr>
            <w:tcW w:w="854" w:type="dxa"/>
            <w:tcBorders>
              <w:top w:val="single" w:sz="8" w:space="0" w:color="auto"/>
              <w:left w:val="nil"/>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6524</w:t>
            </w:r>
          </w:p>
        </w:tc>
        <w:tc>
          <w:tcPr>
            <w:tcW w:w="854" w:type="dxa"/>
            <w:tcBorders>
              <w:top w:val="single" w:sz="8" w:space="0" w:color="auto"/>
              <w:left w:val="nil"/>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7013</w:t>
            </w:r>
          </w:p>
        </w:tc>
        <w:tc>
          <w:tcPr>
            <w:tcW w:w="835" w:type="dxa"/>
            <w:tcBorders>
              <w:top w:val="single" w:sz="8" w:space="0" w:color="auto"/>
              <w:left w:val="nil"/>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6791</w:t>
            </w:r>
          </w:p>
        </w:tc>
        <w:tc>
          <w:tcPr>
            <w:tcW w:w="835" w:type="dxa"/>
            <w:tcBorders>
              <w:top w:val="single" w:sz="8" w:space="0" w:color="auto"/>
              <w:left w:val="nil"/>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7478</w:t>
            </w:r>
          </w:p>
        </w:tc>
        <w:tc>
          <w:tcPr>
            <w:tcW w:w="854" w:type="dxa"/>
            <w:tcBorders>
              <w:top w:val="single" w:sz="8" w:space="0" w:color="auto"/>
              <w:left w:val="nil"/>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_</w:t>
            </w:r>
          </w:p>
        </w:tc>
        <w:tc>
          <w:tcPr>
            <w:tcW w:w="854" w:type="dxa"/>
            <w:tcBorders>
              <w:top w:val="single" w:sz="8" w:space="0" w:color="auto"/>
              <w:left w:val="nil"/>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8206</w:t>
            </w:r>
          </w:p>
        </w:tc>
        <w:tc>
          <w:tcPr>
            <w:tcW w:w="854" w:type="dxa"/>
            <w:tcBorders>
              <w:top w:val="single" w:sz="8" w:space="0" w:color="auto"/>
              <w:left w:val="nil"/>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8206</w:t>
            </w:r>
          </w:p>
        </w:tc>
        <w:tc>
          <w:tcPr>
            <w:tcW w:w="854" w:type="dxa"/>
            <w:tcBorders>
              <w:top w:val="single" w:sz="8" w:space="0" w:color="auto"/>
              <w:left w:val="nil"/>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4690</w:t>
            </w:r>
          </w:p>
        </w:tc>
        <w:tc>
          <w:tcPr>
            <w:tcW w:w="854" w:type="dxa"/>
            <w:gridSpan w:val="2"/>
            <w:tcBorders>
              <w:top w:val="single" w:sz="8" w:space="0" w:color="auto"/>
              <w:left w:val="nil"/>
              <w:bottom w:val="single" w:sz="8" w:space="0" w:color="auto"/>
              <w:right w:val="double" w:sz="4" w:space="0" w:color="auto"/>
            </w:tcBorders>
            <w:shd w:val="clear" w:color="000000" w:fill="FFFFFF"/>
            <w:noWrap/>
            <w:vAlign w:val="center"/>
            <w:hideMark/>
          </w:tcPr>
          <w:p w:rsidR="00306953" w:rsidRPr="00306953" w:rsidRDefault="00306953" w:rsidP="007E5BD0">
            <w:pPr>
              <w:spacing w:after="0" w:line="240" w:lineRule="auto"/>
              <w:jc w:val="center"/>
              <w:rPr>
                <w:rFonts w:cs="Arial"/>
                <w:b/>
                <w:bCs/>
                <w:color w:val="000000"/>
                <w:sz w:val="16"/>
                <w:szCs w:val="16"/>
              </w:rPr>
            </w:pPr>
            <w:r w:rsidRPr="00306953">
              <w:rPr>
                <w:rFonts w:cs="Arial"/>
                <w:b/>
                <w:bCs/>
                <w:color w:val="000000"/>
                <w:sz w:val="16"/>
                <w:szCs w:val="16"/>
              </w:rPr>
              <w:t>6878</w:t>
            </w:r>
          </w:p>
        </w:tc>
      </w:tr>
      <w:tr w:rsidR="00306953" w:rsidRPr="00306953" w:rsidTr="00BF267F">
        <w:trPr>
          <w:trHeight w:val="270"/>
        </w:trPr>
        <w:tc>
          <w:tcPr>
            <w:tcW w:w="1433" w:type="dxa"/>
            <w:tcBorders>
              <w:top w:val="single" w:sz="8" w:space="0" w:color="auto"/>
              <w:left w:val="double" w:sz="4" w:space="0" w:color="auto"/>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rPr>
                <w:rFonts w:cs="Arial"/>
                <w:color w:val="000000"/>
                <w:sz w:val="16"/>
                <w:szCs w:val="16"/>
              </w:rPr>
            </w:pPr>
            <w:r w:rsidRPr="00306953">
              <w:rPr>
                <w:rFonts w:cs="Arial"/>
                <w:color w:val="000000"/>
                <w:sz w:val="16"/>
                <w:szCs w:val="16"/>
              </w:rPr>
              <w:t>Finsko</w:t>
            </w:r>
          </w:p>
        </w:tc>
        <w:tc>
          <w:tcPr>
            <w:tcW w:w="835" w:type="dxa"/>
            <w:tcBorders>
              <w:top w:val="single" w:sz="8" w:space="0" w:color="auto"/>
              <w:left w:val="nil"/>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8316</w:t>
            </w:r>
          </w:p>
        </w:tc>
        <w:tc>
          <w:tcPr>
            <w:tcW w:w="854" w:type="dxa"/>
            <w:tcBorders>
              <w:top w:val="single" w:sz="8" w:space="0" w:color="auto"/>
              <w:left w:val="nil"/>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12909</w:t>
            </w:r>
          </w:p>
        </w:tc>
        <w:tc>
          <w:tcPr>
            <w:tcW w:w="854" w:type="dxa"/>
            <w:tcBorders>
              <w:top w:val="single" w:sz="8" w:space="0" w:color="auto"/>
              <w:left w:val="nil"/>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8599</w:t>
            </w:r>
          </w:p>
        </w:tc>
        <w:tc>
          <w:tcPr>
            <w:tcW w:w="835" w:type="dxa"/>
            <w:tcBorders>
              <w:top w:val="single" w:sz="8" w:space="0" w:color="auto"/>
              <w:left w:val="nil"/>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9985</w:t>
            </w:r>
          </w:p>
        </w:tc>
        <w:tc>
          <w:tcPr>
            <w:tcW w:w="835" w:type="dxa"/>
            <w:tcBorders>
              <w:top w:val="single" w:sz="8" w:space="0" w:color="auto"/>
              <w:left w:val="nil"/>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x</w:t>
            </w:r>
          </w:p>
        </w:tc>
        <w:tc>
          <w:tcPr>
            <w:tcW w:w="854" w:type="dxa"/>
            <w:tcBorders>
              <w:top w:val="single" w:sz="8" w:space="0" w:color="auto"/>
              <w:left w:val="nil"/>
              <w:bottom w:val="single" w:sz="8" w:space="0" w:color="auto"/>
              <w:right w:val="single" w:sz="8" w:space="0" w:color="auto"/>
            </w:tcBorders>
            <w:shd w:val="clear" w:color="000000" w:fill="FFFFFF"/>
            <w:noWrap/>
            <w:vAlign w:val="center"/>
            <w:hideMark/>
          </w:tcPr>
          <w:p w:rsidR="00306953" w:rsidRPr="006F1110" w:rsidRDefault="00306953" w:rsidP="007E5BD0">
            <w:pPr>
              <w:spacing w:after="0" w:line="240" w:lineRule="auto"/>
              <w:jc w:val="center"/>
              <w:rPr>
                <w:rFonts w:cs="Arial"/>
                <w:b/>
                <w:color w:val="000000"/>
                <w:sz w:val="16"/>
                <w:szCs w:val="16"/>
              </w:rPr>
            </w:pPr>
            <w:r w:rsidRPr="006F1110">
              <w:rPr>
                <w:rFonts w:cs="Arial"/>
                <w:b/>
                <w:color w:val="000000"/>
                <w:sz w:val="16"/>
                <w:szCs w:val="16"/>
              </w:rPr>
              <w:t>.</w:t>
            </w:r>
          </w:p>
        </w:tc>
        <w:tc>
          <w:tcPr>
            <w:tcW w:w="854" w:type="dxa"/>
            <w:tcBorders>
              <w:top w:val="single" w:sz="8" w:space="0" w:color="auto"/>
              <w:left w:val="nil"/>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17863</w:t>
            </w:r>
          </w:p>
        </w:tc>
        <w:tc>
          <w:tcPr>
            <w:tcW w:w="854" w:type="dxa"/>
            <w:tcBorders>
              <w:top w:val="single" w:sz="8" w:space="0" w:color="auto"/>
              <w:left w:val="nil"/>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17863</w:t>
            </w:r>
          </w:p>
        </w:tc>
        <w:tc>
          <w:tcPr>
            <w:tcW w:w="854" w:type="dxa"/>
            <w:tcBorders>
              <w:top w:val="single" w:sz="8" w:space="0" w:color="auto"/>
              <w:left w:val="nil"/>
              <w:bottom w:val="single" w:sz="8" w:space="0" w:color="auto"/>
              <w:right w:val="single" w:sz="8" w:space="0" w:color="auto"/>
            </w:tcBorders>
            <w:shd w:val="clear" w:color="000000" w:fill="FFFFFF"/>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10728</w:t>
            </w:r>
          </w:p>
        </w:tc>
        <w:tc>
          <w:tcPr>
            <w:tcW w:w="854" w:type="dxa"/>
            <w:gridSpan w:val="2"/>
            <w:tcBorders>
              <w:top w:val="single" w:sz="8" w:space="0" w:color="auto"/>
              <w:left w:val="nil"/>
              <w:bottom w:val="single" w:sz="8" w:space="0" w:color="auto"/>
              <w:right w:val="double" w:sz="4" w:space="0" w:color="auto"/>
            </w:tcBorders>
            <w:shd w:val="clear" w:color="000000" w:fill="FFFFFF"/>
            <w:noWrap/>
            <w:vAlign w:val="center"/>
            <w:hideMark/>
          </w:tcPr>
          <w:p w:rsidR="00306953" w:rsidRPr="00306953" w:rsidRDefault="00306953" w:rsidP="007E5BD0">
            <w:pPr>
              <w:spacing w:after="0" w:line="240" w:lineRule="auto"/>
              <w:jc w:val="center"/>
              <w:rPr>
                <w:rFonts w:cs="Arial"/>
                <w:b/>
                <w:bCs/>
                <w:color w:val="000000"/>
                <w:sz w:val="16"/>
                <w:szCs w:val="16"/>
              </w:rPr>
            </w:pPr>
            <w:r w:rsidRPr="00306953">
              <w:rPr>
                <w:rFonts w:cs="Arial"/>
                <w:b/>
                <w:bCs/>
                <w:color w:val="000000"/>
                <w:sz w:val="16"/>
                <w:szCs w:val="16"/>
              </w:rPr>
              <w:t>11030</w:t>
            </w:r>
          </w:p>
        </w:tc>
      </w:tr>
      <w:tr w:rsidR="00306953" w:rsidRPr="00306953" w:rsidTr="00BF267F">
        <w:trPr>
          <w:trHeight w:val="270"/>
        </w:trPr>
        <w:tc>
          <w:tcPr>
            <w:tcW w:w="1433" w:type="dxa"/>
            <w:tcBorders>
              <w:top w:val="single" w:sz="8" w:space="0" w:color="auto"/>
              <w:left w:val="double" w:sz="4" w:space="0" w:color="auto"/>
              <w:bottom w:val="single" w:sz="8" w:space="0" w:color="auto"/>
              <w:right w:val="single" w:sz="8" w:space="0" w:color="auto"/>
            </w:tcBorders>
            <w:shd w:val="clear" w:color="auto" w:fill="C6D9F1" w:themeFill="text2" w:themeFillTint="33"/>
            <w:noWrap/>
            <w:vAlign w:val="center"/>
            <w:hideMark/>
          </w:tcPr>
          <w:p w:rsidR="00306953" w:rsidRPr="00631582" w:rsidRDefault="00F53B2E" w:rsidP="007E5BD0">
            <w:pPr>
              <w:spacing w:after="0" w:line="240" w:lineRule="auto"/>
              <w:rPr>
                <w:rFonts w:cs="Arial"/>
                <w:bCs/>
                <w:color w:val="000000"/>
                <w:sz w:val="16"/>
                <w:szCs w:val="16"/>
              </w:rPr>
            </w:pPr>
            <w:r w:rsidRPr="00631582">
              <w:rPr>
                <w:rFonts w:cs="Arial"/>
                <w:bCs/>
                <w:color w:val="000000"/>
                <w:sz w:val="16"/>
                <w:szCs w:val="16"/>
              </w:rPr>
              <w:t>p</w:t>
            </w:r>
            <w:r w:rsidR="00306953" w:rsidRPr="00631582">
              <w:rPr>
                <w:rFonts w:cs="Arial"/>
                <w:bCs/>
                <w:color w:val="000000"/>
                <w:sz w:val="16"/>
                <w:szCs w:val="16"/>
              </w:rPr>
              <w:t>růměr OECD</w:t>
            </w:r>
          </w:p>
        </w:tc>
        <w:tc>
          <w:tcPr>
            <w:tcW w:w="835" w:type="dxa"/>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8247</w:t>
            </w:r>
          </w:p>
        </w:tc>
        <w:tc>
          <w:tcPr>
            <w:tcW w:w="854" w:type="dxa"/>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9627</w:t>
            </w:r>
          </w:p>
        </w:tc>
        <w:tc>
          <w:tcPr>
            <w:tcW w:w="854" w:type="dxa"/>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9876</w:t>
            </w:r>
          </w:p>
        </w:tc>
        <w:tc>
          <w:tcPr>
            <w:tcW w:w="835" w:type="dxa"/>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9518</w:t>
            </w:r>
          </w:p>
        </w:tc>
        <w:tc>
          <w:tcPr>
            <w:tcW w:w="835" w:type="dxa"/>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6734</w:t>
            </w:r>
          </w:p>
        </w:tc>
        <w:tc>
          <w:tcPr>
            <w:tcW w:w="854" w:type="dxa"/>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8968</w:t>
            </w:r>
          </w:p>
        </w:tc>
        <w:tc>
          <w:tcPr>
            <w:tcW w:w="854" w:type="dxa"/>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15111</w:t>
            </w:r>
          </w:p>
        </w:tc>
        <w:tc>
          <w:tcPr>
            <w:tcW w:w="854" w:type="dxa"/>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15028</w:t>
            </w:r>
          </w:p>
        </w:tc>
        <w:tc>
          <w:tcPr>
            <w:tcW w:w="854" w:type="dxa"/>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10309</w:t>
            </w:r>
          </w:p>
        </w:tc>
        <w:tc>
          <w:tcPr>
            <w:tcW w:w="854" w:type="dxa"/>
            <w:gridSpan w:val="2"/>
            <w:tcBorders>
              <w:top w:val="single" w:sz="8" w:space="0" w:color="auto"/>
              <w:left w:val="nil"/>
              <w:bottom w:val="single" w:sz="8" w:space="0" w:color="auto"/>
              <w:right w:val="double" w:sz="4" w:space="0" w:color="auto"/>
            </w:tcBorders>
            <w:shd w:val="clear" w:color="auto" w:fill="C6D9F1" w:themeFill="text2" w:themeFillTint="33"/>
            <w:noWrap/>
            <w:vAlign w:val="center"/>
            <w:hideMark/>
          </w:tcPr>
          <w:p w:rsidR="00306953" w:rsidRPr="00306953" w:rsidRDefault="00306953" w:rsidP="007E5BD0">
            <w:pPr>
              <w:spacing w:after="0" w:line="240" w:lineRule="auto"/>
              <w:jc w:val="center"/>
              <w:rPr>
                <w:rFonts w:cs="Arial"/>
                <w:b/>
                <w:bCs/>
                <w:color w:val="000000"/>
                <w:sz w:val="16"/>
                <w:szCs w:val="16"/>
              </w:rPr>
            </w:pPr>
            <w:r w:rsidRPr="00306953">
              <w:rPr>
                <w:rFonts w:cs="Arial"/>
                <w:b/>
                <w:bCs/>
                <w:color w:val="000000"/>
                <w:sz w:val="16"/>
                <w:szCs w:val="16"/>
              </w:rPr>
              <w:t>10220</w:t>
            </w:r>
          </w:p>
        </w:tc>
      </w:tr>
      <w:tr w:rsidR="00306953" w:rsidRPr="00306953" w:rsidTr="00BF267F">
        <w:trPr>
          <w:trHeight w:val="270"/>
        </w:trPr>
        <w:tc>
          <w:tcPr>
            <w:tcW w:w="1433" w:type="dxa"/>
            <w:tcBorders>
              <w:top w:val="single" w:sz="8" w:space="0" w:color="auto"/>
              <w:left w:val="double" w:sz="4" w:space="0" w:color="auto"/>
              <w:bottom w:val="double" w:sz="4" w:space="0" w:color="auto"/>
              <w:right w:val="single" w:sz="8" w:space="0" w:color="auto"/>
            </w:tcBorders>
            <w:shd w:val="clear" w:color="auto" w:fill="C6D9F1" w:themeFill="text2" w:themeFillTint="33"/>
            <w:noWrap/>
            <w:vAlign w:val="center"/>
            <w:hideMark/>
          </w:tcPr>
          <w:p w:rsidR="00306953" w:rsidRPr="00631582" w:rsidRDefault="00F53B2E" w:rsidP="007E5BD0">
            <w:pPr>
              <w:spacing w:after="0" w:line="240" w:lineRule="auto"/>
              <w:rPr>
                <w:rFonts w:cs="Arial"/>
                <w:bCs/>
                <w:color w:val="000000"/>
                <w:sz w:val="16"/>
                <w:szCs w:val="16"/>
              </w:rPr>
            </w:pPr>
            <w:r w:rsidRPr="00631582">
              <w:rPr>
                <w:rFonts w:cs="Arial"/>
                <w:bCs/>
                <w:color w:val="000000"/>
                <w:sz w:val="16"/>
                <w:szCs w:val="16"/>
              </w:rPr>
              <w:t>p</w:t>
            </w:r>
            <w:r w:rsidR="00306953" w:rsidRPr="00631582">
              <w:rPr>
                <w:rFonts w:cs="Arial"/>
                <w:bCs/>
                <w:color w:val="000000"/>
                <w:sz w:val="16"/>
                <w:szCs w:val="16"/>
              </w:rPr>
              <w:t>růměr EU21</w:t>
            </w:r>
          </w:p>
        </w:tc>
        <w:tc>
          <w:tcPr>
            <w:tcW w:w="835" w:type="dxa"/>
            <w:tcBorders>
              <w:top w:val="single" w:sz="8" w:space="0" w:color="auto"/>
              <w:left w:val="nil"/>
              <w:bottom w:val="double" w:sz="4" w:space="0" w:color="auto"/>
              <w:right w:val="single" w:sz="8" w:space="0" w:color="auto"/>
            </w:tcBorders>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8372</w:t>
            </w:r>
          </w:p>
        </w:tc>
        <w:tc>
          <w:tcPr>
            <w:tcW w:w="854" w:type="dxa"/>
            <w:tcBorders>
              <w:top w:val="single" w:sz="8" w:space="0" w:color="auto"/>
              <w:left w:val="nil"/>
              <w:bottom w:val="double" w:sz="4" w:space="0" w:color="auto"/>
              <w:right w:val="single" w:sz="8" w:space="0" w:color="auto"/>
            </w:tcBorders>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10040</w:t>
            </w:r>
          </w:p>
        </w:tc>
        <w:tc>
          <w:tcPr>
            <w:tcW w:w="854" w:type="dxa"/>
            <w:tcBorders>
              <w:top w:val="single" w:sz="8" w:space="0" w:color="auto"/>
              <w:left w:val="nil"/>
              <w:bottom w:val="double" w:sz="4" w:space="0" w:color="auto"/>
              <w:right w:val="single" w:sz="8" w:space="0" w:color="auto"/>
            </w:tcBorders>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10011</w:t>
            </w:r>
          </w:p>
        </w:tc>
        <w:tc>
          <w:tcPr>
            <w:tcW w:w="835" w:type="dxa"/>
            <w:tcBorders>
              <w:top w:val="single" w:sz="8" w:space="0" w:color="auto"/>
              <w:left w:val="nil"/>
              <w:bottom w:val="double" w:sz="4" w:space="0" w:color="auto"/>
              <w:right w:val="single" w:sz="8" w:space="0" w:color="auto"/>
            </w:tcBorders>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9931</w:t>
            </w:r>
          </w:p>
        </w:tc>
        <w:tc>
          <w:tcPr>
            <w:tcW w:w="835" w:type="dxa"/>
            <w:tcBorders>
              <w:top w:val="single" w:sz="8" w:space="0" w:color="auto"/>
              <w:left w:val="nil"/>
              <w:bottom w:val="double" w:sz="4" w:space="0" w:color="auto"/>
              <w:right w:val="single" w:sz="8" w:space="0" w:color="auto"/>
            </w:tcBorders>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6461</w:t>
            </w:r>
          </w:p>
        </w:tc>
        <w:tc>
          <w:tcPr>
            <w:tcW w:w="854" w:type="dxa"/>
            <w:tcBorders>
              <w:top w:val="single" w:sz="8" w:space="0" w:color="auto"/>
              <w:left w:val="nil"/>
              <w:bottom w:val="double" w:sz="4" w:space="0" w:color="auto"/>
              <w:right w:val="single" w:sz="8" w:space="0" w:color="auto"/>
            </w:tcBorders>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9097</w:t>
            </w:r>
          </w:p>
        </w:tc>
        <w:tc>
          <w:tcPr>
            <w:tcW w:w="854" w:type="dxa"/>
            <w:tcBorders>
              <w:top w:val="single" w:sz="8" w:space="0" w:color="auto"/>
              <w:left w:val="nil"/>
              <w:bottom w:val="double" w:sz="4" w:space="0" w:color="auto"/>
              <w:right w:val="single" w:sz="8" w:space="0" w:color="auto"/>
            </w:tcBorders>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14807</w:t>
            </w:r>
          </w:p>
        </w:tc>
        <w:tc>
          <w:tcPr>
            <w:tcW w:w="854" w:type="dxa"/>
            <w:tcBorders>
              <w:top w:val="single" w:sz="8" w:space="0" w:color="auto"/>
              <w:left w:val="nil"/>
              <w:bottom w:val="double" w:sz="4" w:space="0" w:color="auto"/>
              <w:right w:val="single" w:sz="8" w:space="0" w:color="auto"/>
            </w:tcBorders>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14955</w:t>
            </w:r>
          </w:p>
        </w:tc>
        <w:tc>
          <w:tcPr>
            <w:tcW w:w="854" w:type="dxa"/>
            <w:tcBorders>
              <w:top w:val="single" w:sz="8" w:space="0" w:color="auto"/>
              <w:left w:val="nil"/>
              <w:bottom w:val="double" w:sz="4" w:space="0" w:color="auto"/>
              <w:right w:val="single" w:sz="8" w:space="0" w:color="auto"/>
            </w:tcBorders>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9963</w:t>
            </w:r>
          </w:p>
        </w:tc>
        <w:tc>
          <w:tcPr>
            <w:tcW w:w="854" w:type="dxa"/>
            <w:gridSpan w:val="2"/>
            <w:tcBorders>
              <w:top w:val="single" w:sz="8" w:space="0" w:color="auto"/>
              <w:left w:val="nil"/>
              <w:bottom w:val="double" w:sz="4" w:space="0" w:color="auto"/>
              <w:right w:val="double" w:sz="4" w:space="0" w:color="auto"/>
            </w:tcBorders>
            <w:shd w:val="clear" w:color="auto" w:fill="C6D9F1" w:themeFill="text2" w:themeFillTint="33"/>
            <w:noWrap/>
            <w:vAlign w:val="center"/>
            <w:hideMark/>
          </w:tcPr>
          <w:p w:rsidR="00306953" w:rsidRPr="00306953" w:rsidRDefault="00306953" w:rsidP="007E5BD0">
            <w:pPr>
              <w:spacing w:after="0" w:line="240" w:lineRule="auto"/>
              <w:jc w:val="center"/>
              <w:rPr>
                <w:rFonts w:cs="Arial"/>
                <w:b/>
                <w:bCs/>
                <w:color w:val="000000"/>
                <w:sz w:val="16"/>
                <w:szCs w:val="16"/>
              </w:rPr>
            </w:pPr>
            <w:r w:rsidRPr="00306953">
              <w:rPr>
                <w:rFonts w:cs="Arial"/>
                <w:b/>
                <w:bCs/>
                <w:color w:val="000000"/>
                <w:sz w:val="16"/>
                <w:szCs w:val="16"/>
              </w:rPr>
              <w:t>10361</w:t>
            </w:r>
          </w:p>
        </w:tc>
      </w:tr>
      <w:tr w:rsidR="00306953" w:rsidRPr="00306953" w:rsidTr="00442515">
        <w:trPr>
          <w:gridAfter w:val="1"/>
          <w:wAfter w:w="120" w:type="dxa"/>
          <w:trHeight w:val="255"/>
        </w:trPr>
        <w:tc>
          <w:tcPr>
            <w:tcW w:w="9796" w:type="dxa"/>
            <w:gridSpan w:val="11"/>
            <w:tcBorders>
              <w:top w:val="nil"/>
              <w:left w:val="nil"/>
              <w:bottom w:val="nil"/>
              <w:right w:val="nil"/>
            </w:tcBorders>
            <w:shd w:val="clear" w:color="auto" w:fill="auto"/>
            <w:noWrap/>
            <w:vAlign w:val="bottom"/>
            <w:hideMark/>
          </w:tcPr>
          <w:p w:rsidR="00306953" w:rsidRPr="00306953" w:rsidRDefault="00306953" w:rsidP="00306953">
            <w:pPr>
              <w:spacing w:after="0" w:line="240" w:lineRule="auto"/>
              <w:rPr>
                <w:rFonts w:cs="Arial"/>
                <w:color w:val="000000"/>
                <w:sz w:val="16"/>
                <w:szCs w:val="16"/>
              </w:rPr>
            </w:pPr>
            <w:r w:rsidRPr="00306953">
              <w:rPr>
                <w:rFonts w:cs="Arial"/>
                <w:color w:val="000000"/>
                <w:sz w:val="16"/>
                <w:szCs w:val="16"/>
              </w:rPr>
              <w:t>x   ...... data za uvedené vzdělávání jsou zahrnuta v kategorii vyššího sekundárního vzdělávání a nelze je vydělit</w:t>
            </w:r>
          </w:p>
        </w:tc>
      </w:tr>
      <w:tr w:rsidR="00306953" w:rsidRPr="00306953" w:rsidTr="00442515">
        <w:trPr>
          <w:gridAfter w:val="1"/>
          <w:wAfter w:w="120" w:type="dxa"/>
          <w:trHeight w:val="255"/>
        </w:trPr>
        <w:tc>
          <w:tcPr>
            <w:tcW w:w="9796" w:type="dxa"/>
            <w:gridSpan w:val="11"/>
            <w:tcBorders>
              <w:top w:val="nil"/>
              <w:left w:val="nil"/>
              <w:bottom w:val="nil"/>
              <w:right w:val="nil"/>
            </w:tcBorders>
            <w:shd w:val="clear" w:color="auto" w:fill="auto"/>
            <w:noWrap/>
            <w:vAlign w:val="bottom"/>
            <w:hideMark/>
          </w:tcPr>
          <w:p w:rsidR="00306953" w:rsidRPr="00306953" w:rsidRDefault="00306953" w:rsidP="00306953">
            <w:pPr>
              <w:spacing w:after="0" w:line="240" w:lineRule="auto"/>
              <w:rPr>
                <w:rFonts w:cs="Arial"/>
                <w:color w:val="000000"/>
                <w:sz w:val="16"/>
                <w:szCs w:val="16"/>
              </w:rPr>
            </w:pPr>
            <w:r w:rsidRPr="00306953">
              <w:rPr>
                <w:rFonts w:cs="Arial"/>
                <w:color w:val="000000"/>
                <w:sz w:val="16"/>
                <w:szCs w:val="16"/>
              </w:rPr>
              <w:t>– ...... data nejsou k dispozici, uvedená kategorie se v dané zemi nevyskytuje</w:t>
            </w:r>
          </w:p>
        </w:tc>
      </w:tr>
      <w:tr w:rsidR="00306953" w:rsidRPr="00306953" w:rsidTr="00442515">
        <w:trPr>
          <w:gridAfter w:val="1"/>
          <w:wAfter w:w="120" w:type="dxa"/>
          <w:trHeight w:val="255"/>
        </w:trPr>
        <w:tc>
          <w:tcPr>
            <w:tcW w:w="9796" w:type="dxa"/>
            <w:gridSpan w:val="11"/>
            <w:tcBorders>
              <w:top w:val="nil"/>
              <w:left w:val="nil"/>
              <w:bottom w:val="nil"/>
              <w:right w:val="nil"/>
            </w:tcBorders>
            <w:shd w:val="clear" w:color="auto" w:fill="auto"/>
            <w:noWrap/>
            <w:vAlign w:val="bottom"/>
            <w:hideMark/>
          </w:tcPr>
          <w:p w:rsidR="00306953" w:rsidRPr="00306953" w:rsidRDefault="00306953" w:rsidP="00306953">
            <w:pPr>
              <w:spacing w:after="0" w:line="240" w:lineRule="auto"/>
              <w:rPr>
                <w:rFonts w:cs="Arial"/>
                <w:color w:val="000000"/>
                <w:sz w:val="16"/>
                <w:szCs w:val="16"/>
              </w:rPr>
            </w:pPr>
            <w:r w:rsidRPr="00A635AF">
              <w:rPr>
                <w:rFonts w:cs="Arial"/>
                <w:b/>
                <w:color w:val="000000"/>
                <w:sz w:val="16"/>
                <w:szCs w:val="16"/>
              </w:rPr>
              <w:t>.</w:t>
            </w:r>
            <w:r w:rsidRPr="00306953">
              <w:rPr>
                <w:rFonts w:cs="Arial"/>
                <w:color w:val="000000"/>
                <w:sz w:val="16"/>
                <w:szCs w:val="16"/>
              </w:rPr>
              <w:t xml:space="preserve">    ... data nejsou k dispozici</w:t>
            </w:r>
          </w:p>
          <w:p w:rsidR="00306953" w:rsidRPr="00306953" w:rsidRDefault="00306953" w:rsidP="00306953">
            <w:pPr>
              <w:autoSpaceDE w:val="0"/>
              <w:autoSpaceDN w:val="0"/>
              <w:adjustRightInd w:val="0"/>
              <w:spacing w:after="0" w:line="240" w:lineRule="auto"/>
              <w:jc w:val="both"/>
              <w:rPr>
                <w:rFonts w:eastAsia="ChaparralPro-Regular" w:cs="Arial"/>
                <w:sz w:val="16"/>
                <w:szCs w:val="16"/>
              </w:rPr>
            </w:pPr>
            <w:r w:rsidRPr="00306953">
              <w:rPr>
                <w:rFonts w:eastAsia="ChaparralPro-Regular" w:cs="Arial"/>
                <w:sz w:val="16"/>
                <w:szCs w:val="16"/>
              </w:rPr>
              <w:t xml:space="preserve">Zdroj: OECD 2015, </w:t>
            </w:r>
            <w:r w:rsidR="006F1110">
              <w:rPr>
                <w:rFonts w:eastAsia="ChaparralPro-Regular" w:cs="Arial"/>
                <w:sz w:val="16"/>
                <w:szCs w:val="16"/>
              </w:rPr>
              <w:t>tabulka B 1.1a</w:t>
            </w:r>
            <w:r w:rsidRPr="00306953">
              <w:rPr>
                <w:rFonts w:eastAsia="ChaparralPro-Regular" w:cs="Arial"/>
                <w:sz w:val="16"/>
                <w:szCs w:val="16"/>
              </w:rPr>
              <w:t>. StatLink:</w:t>
            </w:r>
            <w:r w:rsidRPr="00306953">
              <w:rPr>
                <w:rFonts w:eastAsia="ChaparralPro-Regular" w:cs="Arial"/>
                <w:color w:val="FF0000"/>
                <w:sz w:val="16"/>
                <w:szCs w:val="16"/>
              </w:rPr>
              <w:t xml:space="preserve"> </w:t>
            </w:r>
            <w:hyperlink r:id="rId79" w:history="1">
              <w:r w:rsidRPr="00306953">
                <w:rPr>
                  <w:rStyle w:val="Hypertextovodkaz"/>
                  <w:rFonts w:cs="Arial"/>
                  <w:sz w:val="16"/>
                  <w:szCs w:val="16"/>
                </w:rPr>
                <w:t>http://dx.doi.org/10.1787/888933285351</w:t>
              </w:r>
            </w:hyperlink>
            <w:r w:rsidRPr="00306953">
              <w:rPr>
                <w:rFonts w:cs="Arial"/>
                <w:color w:val="231F20"/>
                <w:sz w:val="16"/>
                <w:szCs w:val="16"/>
              </w:rPr>
              <w:t>, výběr údajů ČSU</w:t>
            </w:r>
            <w:r w:rsidR="006F1110">
              <w:rPr>
                <w:rFonts w:cs="Arial"/>
                <w:color w:val="231F20"/>
                <w:sz w:val="16"/>
                <w:szCs w:val="16"/>
              </w:rPr>
              <w:t>.</w:t>
            </w:r>
          </w:p>
        </w:tc>
      </w:tr>
    </w:tbl>
    <w:p w:rsidR="00306953" w:rsidRPr="00306953" w:rsidRDefault="00306953" w:rsidP="00306953">
      <w:pPr>
        <w:spacing w:after="0" w:line="240" w:lineRule="auto"/>
        <w:jc w:val="both"/>
        <w:rPr>
          <w:rFonts w:eastAsia="ChaparralPro-Regular" w:cs="Arial"/>
          <w:sz w:val="16"/>
          <w:szCs w:val="16"/>
        </w:rPr>
      </w:pPr>
    </w:p>
    <w:p w:rsidR="00306953" w:rsidRPr="00306953" w:rsidRDefault="00306953" w:rsidP="00306953">
      <w:pPr>
        <w:spacing w:after="120" w:line="240" w:lineRule="auto"/>
        <w:jc w:val="both"/>
        <w:rPr>
          <w:rFonts w:cs="Arial"/>
        </w:rPr>
      </w:pPr>
      <w:r w:rsidRPr="00306953">
        <w:rPr>
          <w:rFonts w:cs="Arial"/>
        </w:rPr>
        <w:lastRenderedPageBreak/>
        <w:t xml:space="preserve">Lze si všimnout, že na Slovensku byly v roce 2012 výdaje na jednoho žáka na úrovni primárního vzdělávání vyšší než v ČR, výdaje na jednoho žáka/studenta ostatních úrovní byly naopak vyšší v ČR než na Slovensku (celkově tak byly roční výdaje na žáka v povinné školní docházce v ČR téměř o pětinu vyšší než na Slovensku). Pokud se jedná pouze o primární vzdělávání, ještě výrazněji vyšší byly oproti ČR výdaje na jednoho žáka v Polsku a i v Polsku byly výdaje na jednoho žáka v nižším a vyšším sekundárním vzdělávání oproti ČR naopak nižší, přestože již ne tak výrazně. Co se týče terciárního vzdělávání, při započtení výdajů na výzkum a vývoj byly výdaje vzdělávacích institucí na jednoho studenta vyšší v ČR než v Polsku, bez započtení výdajů na výzkum a vývoj tomu bylo naopak. Nutno však upozornit, že data za Polsko vypovídají jen o situaci ve veřejných institucích. Celkově pak lze konstatovat, že </w:t>
      </w:r>
      <w:r w:rsidRPr="00306953">
        <w:rPr>
          <w:rFonts w:cs="Arial"/>
          <w:b/>
        </w:rPr>
        <w:t>ve Finsku a ve sledovaných mezinárodních průměrech byly útraty na jednoho žáka/stud</w:t>
      </w:r>
      <w:r w:rsidR="00E52654">
        <w:rPr>
          <w:rFonts w:cs="Arial"/>
          <w:b/>
        </w:rPr>
        <w:t>enta v primárním, sekundárním a </w:t>
      </w:r>
      <w:r w:rsidRPr="00306953">
        <w:rPr>
          <w:rFonts w:cs="Arial"/>
          <w:b/>
        </w:rPr>
        <w:t>terciárním vzdělávání výrazně vyšší než v ČR</w:t>
      </w:r>
      <w:r w:rsidRPr="00306953">
        <w:rPr>
          <w:rFonts w:cs="Arial"/>
        </w:rPr>
        <w:t xml:space="preserve">, na Slovensku i v Polsku, ale též v Estonsku. </w:t>
      </w:r>
    </w:p>
    <w:p w:rsidR="00E52654" w:rsidRPr="00306953" w:rsidRDefault="00306953" w:rsidP="00306953">
      <w:pPr>
        <w:spacing w:after="120" w:line="240" w:lineRule="auto"/>
        <w:jc w:val="both"/>
        <w:rPr>
          <w:rFonts w:cs="Arial"/>
        </w:rPr>
      </w:pPr>
      <w:r w:rsidRPr="00306953">
        <w:rPr>
          <w:rFonts w:cs="Arial"/>
        </w:rPr>
        <w:t xml:space="preserve">Tabulka č. 11 dále ukazuje celkové </w:t>
      </w:r>
      <w:r w:rsidRPr="00306953">
        <w:rPr>
          <w:rFonts w:cs="Arial"/>
          <w:b/>
        </w:rPr>
        <w:t>veřejné</w:t>
      </w:r>
      <w:r w:rsidRPr="00306953">
        <w:rPr>
          <w:rFonts w:cs="Arial"/>
        </w:rPr>
        <w:t xml:space="preserve"> výdaje na veřejné i soukromé instituce formálního vzdělávání na jednoho žáka/studenta za rok 2012 v ČR a v mezinárodních průměrech.</w:t>
      </w:r>
    </w:p>
    <w:p w:rsidR="00306953" w:rsidRPr="00306953" w:rsidRDefault="00306953" w:rsidP="00306953">
      <w:pPr>
        <w:spacing w:after="120" w:line="240" w:lineRule="auto"/>
        <w:rPr>
          <w:rFonts w:cs="Arial"/>
          <w:i/>
          <w:szCs w:val="20"/>
        </w:rPr>
      </w:pPr>
      <w:r w:rsidRPr="00306953">
        <w:rPr>
          <w:rFonts w:eastAsiaTheme="minorHAnsi" w:cs="Arial"/>
          <w:b/>
        </w:rPr>
        <w:t>Tabulka č. 11 Roční veřejné výdaje na vzdělávací instituce v průměr</w:t>
      </w:r>
      <w:r w:rsidR="003A515E">
        <w:rPr>
          <w:rFonts w:eastAsiaTheme="minorHAnsi" w:cs="Arial"/>
          <w:b/>
        </w:rPr>
        <w:t>u na jednoho žáka/studenta, dle </w:t>
      </w:r>
      <w:r w:rsidRPr="00306953">
        <w:rPr>
          <w:rFonts w:eastAsiaTheme="minorHAnsi" w:cs="Arial"/>
          <w:b/>
        </w:rPr>
        <w:t xml:space="preserve">druhu instituce a úrovně vzdělávání (2012) </w:t>
      </w:r>
      <w:r w:rsidRPr="00306953">
        <w:rPr>
          <w:rFonts w:cs="Arial"/>
          <w:i/>
          <w:szCs w:val="20"/>
        </w:rPr>
        <w:t xml:space="preserve">přepočtené na </w:t>
      </w:r>
      <w:r w:rsidR="00D841D1">
        <w:rPr>
          <w:rFonts w:cs="Arial"/>
          <w:i/>
          <w:szCs w:val="20"/>
        </w:rPr>
        <w:t>USD v paritě</w:t>
      </w:r>
      <w:r w:rsidR="00680594">
        <w:rPr>
          <w:rFonts w:cs="Arial"/>
          <w:i/>
          <w:szCs w:val="20"/>
        </w:rPr>
        <w:t xml:space="preserve"> kupní síly pro HDP</w:t>
      </w:r>
    </w:p>
    <w:tbl>
      <w:tblPr>
        <w:tblW w:w="9645" w:type="dxa"/>
        <w:tblInd w:w="65" w:type="dxa"/>
        <w:tblCellMar>
          <w:left w:w="70" w:type="dxa"/>
          <w:right w:w="70" w:type="dxa"/>
        </w:tblCellMar>
        <w:tblLook w:val="04A0"/>
      </w:tblPr>
      <w:tblGrid>
        <w:gridCol w:w="2982"/>
        <w:gridCol w:w="1540"/>
        <w:gridCol w:w="1154"/>
        <w:gridCol w:w="1134"/>
        <w:gridCol w:w="1417"/>
        <w:gridCol w:w="1418"/>
      </w:tblGrid>
      <w:tr w:rsidR="00306953" w:rsidRPr="00306953" w:rsidTr="00BF267F">
        <w:trPr>
          <w:trHeight w:val="396"/>
        </w:trPr>
        <w:tc>
          <w:tcPr>
            <w:tcW w:w="4522" w:type="dxa"/>
            <w:gridSpan w:val="2"/>
            <w:tcBorders>
              <w:top w:val="double" w:sz="4" w:space="0" w:color="auto"/>
              <w:left w:val="double" w:sz="4" w:space="0" w:color="auto"/>
              <w:bottom w:val="double" w:sz="4" w:space="0" w:color="auto"/>
              <w:right w:val="single" w:sz="4" w:space="0" w:color="auto"/>
            </w:tcBorders>
            <w:shd w:val="clear" w:color="auto" w:fill="FFCCCC"/>
            <w:noWrap/>
            <w:vAlign w:val="center"/>
            <w:hideMark/>
          </w:tcPr>
          <w:p w:rsidR="00306953" w:rsidRPr="001042AC" w:rsidRDefault="00306953" w:rsidP="00306953">
            <w:pPr>
              <w:spacing w:after="0" w:line="240" w:lineRule="auto"/>
              <w:rPr>
                <w:rFonts w:cs="Arial"/>
                <w:b/>
                <w:color w:val="000000"/>
              </w:rPr>
            </w:pPr>
            <w:r w:rsidRPr="001042AC">
              <w:rPr>
                <w:rFonts w:cs="Arial"/>
                <w:b/>
                <w:color w:val="000000"/>
              </w:rPr>
              <w:t> </w:t>
            </w:r>
          </w:p>
        </w:tc>
        <w:tc>
          <w:tcPr>
            <w:tcW w:w="1154" w:type="dxa"/>
            <w:tcBorders>
              <w:top w:val="double" w:sz="4" w:space="0" w:color="auto"/>
              <w:left w:val="nil"/>
              <w:bottom w:val="double" w:sz="4" w:space="0" w:color="auto"/>
              <w:right w:val="single" w:sz="4" w:space="0" w:color="auto"/>
            </w:tcBorders>
            <w:shd w:val="clear" w:color="auto" w:fill="FFCCCC"/>
            <w:vAlign w:val="center"/>
            <w:hideMark/>
          </w:tcPr>
          <w:p w:rsidR="00306953" w:rsidRPr="001042AC" w:rsidRDefault="00EA6A4F" w:rsidP="00306953">
            <w:pPr>
              <w:spacing w:after="0" w:line="240" w:lineRule="auto"/>
              <w:jc w:val="center"/>
              <w:rPr>
                <w:rFonts w:cs="Arial"/>
                <w:b/>
                <w:color w:val="000000"/>
                <w:sz w:val="16"/>
                <w:szCs w:val="16"/>
              </w:rPr>
            </w:pPr>
            <w:r>
              <w:rPr>
                <w:rFonts w:cs="Arial"/>
                <w:b/>
                <w:color w:val="000000"/>
                <w:sz w:val="16"/>
                <w:szCs w:val="16"/>
              </w:rPr>
              <w:t>v</w:t>
            </w:r>
            <w:r w:rsidR="00306953" w:rsidRPr="001042AC">
              <w:rPr>
                <w:rFonts w:cs="Arial"/>
                <w:b/>
                <w:color w:val="000000"/>
                <w:sz w:val="16"/>
                <w:szCs w:val="16"/>
              </w:rPr>
              <w:t>eřejné instituce</w:t>
            </w:r>
          </w:p>
        </w:tc>
        <w:tc>
          <w:tcPr>
            <w:tcW w:w="1134" w:type="dxa"/>
            <w:tcBorders>
              <w:top w:val="double" w:sz="4" w:space="0" w:color="auto"/>
              <w:left w:val="nil"/>
              <w:bottom w:val="double" w:sz="4" w:space="0" w:color="auto"/>
              <w:right w:val="single" w:sz="4" w:space="0" w:color="auto"/>
            </w:tcBorders>
            <w:shd w:val="clear" w:color="auto" w:fill="FFCCCC"/>
            <w:vAlign w:val="center"/>
            <w:hideMark/>
          </w:tcPr>
          <w:p w:rsidR="00306953" w:rsidRPr="001042AC" w:rsidRDefault="00EA6A4F" w:rsidP="00306953">
            <w:pPr>
              <w:spacing w:after="0" w:line="240" w:lineRule="auto"/>
              <w:jc w:val="center"/>
              <w:rPr>
                <w:rFonts w:cs="Arial"/>
                <w:b/>
                <w:sz w:val="16"/>
                <w:szCs w:val="16"/>
              </w:rPr>
            </w:pPr>
            <w:r>
              <w:rPr>
                <w:rFonts w:cs="Arial"/>
                <w:b/>
                <w:sz w:val="16"/>
                <w:szCs w:val="16"/>
              </w:rPr>
              <w:t>s</w:t>
            </w:r>
            <w:r w:rsidR="00306953" w:rsidRPr="001042AC">
              <w:rPr>
                <w:rFonts w:cs="Arial"/>
                <w:b/>
                <w:sz w:val="16"/>
                <w:szCs w:val="16"/>
              </w:rPr>
              <w:t>oukromé instituce</w:t>
            </w:r>
          </w:p>
        </w:tc>
        <w:tc>
          <w:tcPr>
            <w:tcW w:w="1417" w:type="dxa"/>
            <w:tcBorders>
              <w:top w:val="double" w:sz="4" w:space="0" w:color="auto"/>
              <w:left w:val="nil"/>
              <w:bottom w:val="double" w:sz="4" w:space="0" w:color="auto"/>
              <w:right w:val="single" w:sz="4" w:space="0" w:color="auto"/>
            </w:tcBorders>
            <w:shd w:val="clear" w:color="auto" w:fill="FFCCCC"/>
            <w:vAlign w:val="center"/>
            <w:hideMark/>
          </w:tcPr>
          <w:p w:rsidR="00306953" w:rsidRPr="001042AC" w:rsidRDefault="00EA6A4F" w:rsidP="00306953">
            <w:pPr>
              <w:spacing w:after="0" w:line="240" w:lineRule="auto"/>
              <w:jc w:val="center"/>
              <w:rPr>
                <w:rFonts w:cs="Arial"/>
                <w:b/>
                <w:sz w:val="16"/>
                <w:szCs w:val="16"/>
              </w:rPr>
            </w:pPr>
            <w:r>
              <w:rPr>
                <w:rFonts w:cs="Arial"/>
                <w:b/>
                <w:sz w:val="16"/>
                <w:szCs w:val="16"/>
              </w:rPr>
              <w:t>c</w:t>
            </w:r>
            <w:r w:rsidR="00306953" w:rsidRPr="001042AC">
              <w:rPr>
                <w:rFonts w:cs="Arial"/>
                <w:b/>
                <w:sz w:val="16"/>
                <w:szCs w:val="16"/>
              </w:rPr>
              <w:t>elkem (veřejné i soukromé)</w:t>
            </w:r>
          </w:p>
        </w:tc>
        <w:tc>
          <w:tcPr>
            <w:tcW w:w="1418" w:type="dxa"/>
            <w:tcBorders>
              <w:top w:val="double" w:sz="4" w:space="0" w:color="auto"/>
              <w:left w:val="nil"/>
              <w:bottom w:val="double" w:sz="4" w:space="0" w:color="auto"/>
              <w:right w:val="double" w:sz="4" w:space="0" w:color="auto"/>
            </w:tcBorders>
            <w:shd w:val="clear" w:color="auto" w:fill="FFCCCC"/>
            <w:vAlign w:val="center"/>
            <w:hideMark/>
          </w:tcPr>
          <w:p w:rsidR="00306953" w:rsidRPr="001042AC" w:rsidRDefault="00EA6A4F" w:rsidP="00306953">
            <w:pPr>
              <w:spacing w:after="0" w:line="240" w:lineRule="auto"/>
              <w:jc w:val="center"/>
              <w:rPr>
                <w:rFonts w:cs="Arial"/>
                <w:b/>
                <w:i/>
                <w:iCs/>
                <w:color w:val="000000"/>
                <w:sz w:val="16"/>
                <w:szCs w:val="16"/>
              </w:rPr>
            </w:pPr>
            <w:r>
              <w:rPr>
                <w:rFonts w:cs="Arial"/>
                <w:b/>
                <w:i/>
                <w:iCs/>
                <w:color w:val="000000"/>
                <w:sz w:val="16"/>
                <w:szCs w:val="16"/>
              </w:rPr>
              <w:t>z</w:t>
            </w:r>
            <w:r w:rsidR="00306953" w:rsidRPr="001042AC">
              <w:rPr>
                <w:rFonts w:cs="Arial"/>
                <w:b/>
                <w:i/>
                <w:iCs/>
                <w:color w:val="000000"/>
                <w:sz w:val="16"/>
                <w:szCs w:val="16"/>
              </w:rPr>
              <w:t xml:space="preserve"> toho: výzkum a vývoj</w:t>
            </w:r>
          </w:p>
        </w:tc>
      </w:tr>
      <w:tr w:rsidR="00306953" w:rsidRPr="00306953" w:rsidTr="00BF267F">
        <w:trPr>
          <w:trHeight w:val="255"/>
        </w:trPr>
        <w:tc>
          <w:tcPr>
            <w:tcW w:w="2982" w:type="dxa"/>
            <w:vMerge w:val="restart"/>
            <w:tcBorders>
              <w:top w:val="double" w:sz="4" w:space="0" w:color="auto"/>
              <w:left w:val="double" w:sz="4" w:space="0" w:color="auto"/>
              <w:bottom w:val="single" w:sz="4" w:space="0" w:color="auto"/>
              <w:right w:val="single" w:sz="4" w:space="0" w:color="auto"/>
            </w:tcBorders>
            <w:shd w:val="clear" w:color="000000" w:fill="FFFFFF"/>
            <w:vAlign w:val="center"/>
            <w:hideMark/>
          </w:tcPr>
          <w:p w:rsidR="00306953" w:rsidRPr="00306953" w:rsidRDefault="00EA6A4F" w:rsidP="007E5BD0">
            <w:pPr>
              <w:spacing w:after="0" w:line="240" w:lineRule="auto"/>
              <w:rPr>
                <w:rFonts w:cs="Arial"/>
                <w:color w:val="000000"/>
                <w:sz w:val="16"/>
                <w:szCs w:val="16"/>
              </w:rPr>
            </w:pPr>
            <w:r>
              <w:rPr>
                <w:rFonts w:cs="Arial"/>
                <w:color w:val="000000"/>
                <w:sz w:val="16"/>
                <w:szCs w:val="16"/>
              </w:rPr>
              <w:t>p</w:t>
            </w:r>
            <w:r w:rsidR="00306953" w:rsidRPr="00306953">
              <w:rPr>
                <w:rFonts w:cs="Arial"/>
                <w:color w:val="000000"/>
                <w:sz w:val="16"/>
                <w:szCs w:val="16"/>
              </w:rPr>
              <w:t>rimární, sekundární a postsekundární neterciární vzdělávání</w:t>
            </w:r>
          </w:p>
        </w:tc>
        <w:tc>
          <w:tcPr>
            <w:tcW w:w="1540" w:type="dxa"/>
            <w:tcBorders>
              <w:top w:val="double" w:sz="4" w:space="0" w:color="auto"/>
              <w:left w:val="nil"/>
              <w:bottom w:val="single" w:sz="4" w:space="0" w:color="auto"/>
              <w:right w:val="single" w:sz="4" w:space="0" w:color="auto"/>
            </w:tcBorders>
            <w:shd w:val="clear" w:color="000000" w:fill="FFFFFF"/>
            <w:noWrap/>
            <w:vAlign w:val="center"/>
            <w:hideMark/>
          </w:tcPr>
          <w:p w:rsidR="00306953" w:rsidRPr="00306953" w:rsidRDefault="00306953" w:rsidP="007E5BD0">
            <w:pPr>
              <w:spacing w:after="0" w:line="240" w:lineRule="auto"/>
              <w:rPr>
                <w:rFonts w:cs="Arial"/>
                <w:color w:val="000000"/>
                <w:sz w:val="16"/>
                <w:szCs w:val="16"/>
              </w:rPr>
            </w:pPr>
            <w:r w:rsidRPr="00306953">
              <w:rPr>
                <w:rFonts w:cs="Arial"/>
                <w:color w:val="000000"/>
                <w:sz w:val="16"/>
                <w:szCs w:val="16"/>
              </w:rPr>
              <w:t>Česká republika</w:t>
            </w:r>
          </w:p>
        </w:tc>
        <w:tc>
          <w:tcPr>
            <w:tcW w:w="1154" w:type="dxa"/>
            <w:tcBorders>
              <w:top w:val="doub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spacing w:after="0" w:line="240" w:lineRule="auto"/>
              <w:jc w:val="center"/>
              <w:rPr>
                <w:rFonts w:cs="Arial"/>
                <w:color w:val="000000"/>
                <w:sz w:val="18"/>
                <w:szCs w:val="18"/>
              </w:rPr>
            </w:pPr>
            <w:r w:rsidRPr="00306953">
              <w:rPr>
                <w:rFonts w:cs="Arial"/>
                <w:color w:val="000000"/>
                <w:sz w:val="18"/>
                <w:szCs w:val="18"/>
              </w:rPr>
              <w:t>5 971</w:t>
            </w:r>
          </w:p>
        </w:tc>
        <w:tc>
          <w:tcPr>
            <w:tcW w:w="1134" w:type="dxa"/>
            <w:tcBorders>
              <w:top w:val="doub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spacing w:after="0" w:line="240" w:lineRule="auto"/>
              <w:jc w:val="center"/>
              <w:rPr>
                <w:rFonts w:cs="Arial"/>
                <w:sz w:val="18"/>
                <w:szCs w:val="18"/>
              </w:rPr>
            </w:pPr>
            <w:r w:rsidRPr="00306953">
              <w:rPr>
                <w:rFonts w:cs="Arial"/>
                <w:sz w:val="18"/>
                <w:szCs w:val="18"/>
              </w:rPr>
              <w:t>3 975</w:t>
            </w:r>
          </w:p>
        </w:tc>
        <w:tc>
          <w:tcPr>
            <w:tcW w:w="1417" w:type="dxa"/>
            <w:tcBorders>
              <w:top w:val="doub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spacing w:after="0" w:line="240" w:lineRule="auto"/>
              <w:jc w:val="center"/>
              <w:rPr>
                <w:rFonts w:cs="Arial"/>
                <w:sz w:val="18"/>
                <w:szCs w:val="18"/>
              </w:rPr>
            </w:pPr>
            <w:r w:rsidRPr="00306953">
              <w:rPr>
                <w:rFonts w:cs="Arial"/>
                <w:sz w:val="18"/>
                <w:szCs w:val="18"/>
              </w:rPr>
              <w:t>5 839</w:t>
            </w:r>
          </w:p>
        </w:tc>
        <w:tc>
          <w:tcPr>
            <w:tcW w:w="1418" w:type="dxa"/>
            <w:vMerge w:val="restart"/>
            <w:tcBorders>
              <w:top w:val="double" w:sz="4" w:space="0" w:color="auto"/>
              <w:left w:val="single" w:sz="4" w:space="0" w:color="auto"/>
              <w:bottom w:val="single" w:sz="4" w:space="0" w:color="auto"/>
              <w:right w:val="double" w:sz="4" w:space="0" w:color="auto"/>
            </w:tcBorders>
            <w:shd w:val="clear" w:color="000000" w:fill="D9D9D9"/>
            <w:noWrap/>
            <w:vAlign w:val="bottom"/>
            <w:hideMark/>
          </w:tcPr>
          <w:p w:rsidR="00306953" w:rsidRPr="00306953" w:rsidRDefault="00306953" w:rsidP="00306953">
            <w:pPr>
              <w:spacing w:after="0" w:line="240" w:lineRule="auto"/>
              <w:rPr>
                <w:rFonts w:cs="Arial"/>
                <w:color w:val="000000"/>
                <w:szCs w:val="20"/>
              </w:rPr>
            </w:pPr>
            <w:r w:rsidRPr="00306953">
              <w:rPr>
                <w:rFonts w:cs="Arial"/>
                <w:color w:val="000000"/>
                <w:szCs w:val="20"/>
              </w:rPr>
              <w:t> </w:t>
            </w:r>
          </w:p>
        </w:tc>
      </w:tr>
      <w:tr w:rsidR="00306953" w:rsidRPr="00306953" w:rsidTr="00BF267F">
        <w:trPr>
          <w:trHeight w:val="255"/>
        </w:trPr>
        <w:tc>
          <w:tcPr>
            <w:tcW w:w="2982" w:type="dxa"/>
            <w:vMerge/>
            <w:tcBorders>
              <w:top w:val="single" w:sz="4" w:space="0" w:color="auto"/>
              <w:left w:val="double" w:sz="4" w:space="0" w:color="auto"/>
              <w:bottom w:val="single" w:sz="4" w:space="0" w:color="auto"/>
              <w:right w:val="single" w:sz="4" w:space="0" w:color="auto"/>
            </w:tcBorders>
            <w:vAlign w:val="center"/>
            <w:hideMark/>
          </w:tcPr>
          <w:p w:rsidR="00306953" w:rsidRPr="00306953" w:rsidRDefault="00306953" w:rsidP="007E5BD0">
            <w:pPr>
              <w:spacing w:after="0" w:line="240" w:lineRule="auto"/>
              <w:rPr>
                <w:rFonts w:cs="Arial"/>
                <w:color w:val="000000"/>
                <w:sz w:val="16"/>
                <w:szCs w:val="16"/>
              </w:rPr>
            </w:pPr>
          </w:p>
        </w:tc>
        <w:tc>
          <w:tcPr>
            <w:tcW w:w="154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306953" w:rsidRPr="00306953" w:rsidRDefault="00F53B2E" w:rsidP="007E5BD0">
            <w:pPr>
              <w:spacing w:after="0" w:line="240" w:lineRule="auto"/>
              <w:rPr>
                <w:rFonts w:cs="Arial"/>
                <w:color w:val="000000"/>
                <w:sz w:val="16"/>
                <w:szCs w:val="16"/>
              </w:rPr>
            </w:pPr>
            <w:r>
              <w:rPr>
                <w:rFonts w:cs="Arial"/>
                <w:color w:val="000000"/>
                <w:sz w:val="16"/>
                <w:szCs w:val="16"/>
              </w:rPr>
              <w:t>p</w:t>
            </w:r>
            <w:r w:rsidR="00306953" w:rsidRPr="00306953">
              <w:rPr>
                <w:rFonts w:cs="Arial"/>
                <w:color w:val="000000"/>
                <w:sz w:val="16"/>
                <w:szCs w:val="16"/>
              </w:rPr>
              <w:t>růměr OECD</w:t>
            </w:r>
          </w:p>
        </w:tc>
        <w:tc>
          <w:tcPr>
            <w:tcW w:w="1154"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306953" w:rsidRPr="00306953" w:rsidRDefault="00306953" w:rsidP="007E5BD0">
            <w:pPr>
              <w:spacing w:after="0" w:line="240" w:lineRule="auto"/>
              <w:jc w:val="center"/>
              <w:rPr>
                <w:rFonts w:cs="Arial"/>
                <w:color w:val="000000"/>
                <w:sz w:val="18"/>
                <w:szCs w:val="18"/>
              </w:rPr>
            </w:pPr>
            <w:r w:rsidRPr="00306953">
              <w:rPr>
                <w:rFonts w:cs="Arial"/>
                <w:color w:val="000000"/>
                <w:sz w:val="18"/>
                <w:szCs w:val="18"/>
              </w:rPr>
              <w:t>8 683</w:t>
            </w:r>
          </w:p>
        </w:tc>
        <w:tc>
          <w:tcPr>
            <w:tcW w:w="1134" w:type="dxa"/>
            <w:tcBorders>
              <w:top w:val="nil"/>
              <w:left w:val="nil"/>
              <w:bottom w:val="single" w:sz="4" w:space="0" w:color="auto"/>
              <w:right w:val="single" w:sz="4" w:space="0" w:color="auto"/>
            </w:tcBorders>
            <w:shd w:val="clear" w:color="auto" w:fill="C6D9F1" w:themeFill="text2" w:themeFillTint="33"/>
            <w:noWrap/>
            <w:vAlign w:val="center"/>
            <w:hideMark/>
          </w:tcPr>
          <w:p w:rsidR="00306953" w:rsidRPr="00306953" w:rsidRDefault="00306953" w:rsidP="007E5BD0">
            <w:pPr>
              <w:spacing w:after="0" w:line="240" w:lineRule="auto"/>
              <w:jc w:val="center"/>
              <w:rPr>
                <w:rFonts w:cs="Arial"/>
                <w:sz w:val="18"/>
                <w:szCs w:val="18"/>
              </w:rPr>
            </w:pPr>
            <w:r w:rsidRPr="00306953">
              <w:rPr>
                <w:rFonts w:cs="Arial"/>
                <w:sz w:val="18"/>
                <w:szCs w:val="18"/>
              </w:rPr>
              <w:t>5 284</w:t>
            </w:r>
          </w:p>
        </w:tc>
        <w:tc>
          <w:tcPr>
            <w:tcW w:w="1417" w:type="dxa"/>
            <w:tcBorders>
              <w:top w:val="nil"/>
              <w:left w:val="nil"/>
              <w:bottom w:val="single" w:sz="4" w:space="0" w:color="auto"/>
              <w:right w:val="single" w:sz="4" w:space="0" w:color="auto"/>
            </w:tcBorders>
            <w:shd w:val="clear" w:color="auto" w:fill="C6D9F1" w:themeFill="text2" w:themeFillTint="33"/>
            <w:noWrap/>
            <w:vAlign w:val="center"/>
            <w:hideMark/>
          </w:tcPr>
          <w:p w:rsidR="00306953" w:rsidRPr="00306953" w:rsidRDefault="00306953" w:rsidP="007E5BD0">
            <w:pPr>
              <w:spacing w:after="0" w:line="240" w:lineRule="auto"/>
              <w:jc w:val="center"/>
              <w:rPr>
                <w:rFonts w:cs="Arial"/>
                <w:sz w:val="18"/>
                <w:szCs w:val="18"/>
              </w:rPr>
            </w:pPr>
            <w:r w:rsidRPr="00306953">
              <w:rPr>
                <w:rFonts w:cs="Arial"/>
                <w:sz w:val="18"/>
                <w:szCs w:val="18"/>
              </w:rPr>
              <w:t>8 039</w:t>
            </w:r>
          </w:p>
        </w:tc>
        <w:tc>
          <w:tcPr>
            <w:tcW w:w="1418" w:type="dxa"/>
            <w:vMerge/>
            <w:tcBorders>
              <w:top w:val="single" w:sz="4" w:space="0" w:color="auto"/>
              <w:left w:val="single" w:sz="4" w:space="0" w:color="auto"/>
              <w:bottom w:val="single" w:sz="4" w:space="0" w:color="auto"/>
              <w:right w:val="double" w:sz="4" w:space="0" w:color="auto"/>
            </w:tcBorders>
            <w:vAlign w:val="center"/>
            <w:hideMark/>
          </w:tcPr>
          <w:p w:rsidR="00306953" w:rsidRPr="00306953" w:rsidRDefault="00306953" w:rsidP="00306953">
            <w:pPr>
              <w:spacing w:after="0" w:line="240" w:lineRule="auto"/>
              <w:rPr>
                <w:rFonts w:cs="Arial"/>
                <w:color w:val="000000"/>
                <w:szCs w:val="20"/>
              </w:rPr>
            </w:pPr>
          </w:p>
        </w:tc>
      </w:tr>
      <w:tr w:rsidR="00306953" w:rsidRPr="00306953" w:rsidTr="00BF267F">
        <w:trPr>
          <w:trHeight w:val="255"/>
        </w:trPr>
        <w:tc>
          <w:tcPr>
            <w:tcW w:w="2982" w:type="dxa"/>
            <w:vMerge/>
            <w:tcBorders>
              <w:top w:val="single" w:sz="4" w:space="0" w:color="auto"/>
              <w:left w:val="double" w:sz="4" w:space="0" w:color="auto"/>
              <w:bottom w:val="single" w:sz="4" w:space="0" w:color="auto"/>
              <w:right w:val="single" w:sz="4" w:space="0" w:color="auto"/>
            </w:tcBorders>
            <w:vAlign w:val="center"/>
            <w:hideMark/>
          </w:tcPr>
          <w:p w:rsidR="00306953" w:rsidRPr="00306953" w:rsidRDefault="00306953" w:rsidP="007E5BD0">
            <w:pPr>
              <w:spacing w:after="0" w:line="240" w:lineRule="auto"/>
              <w:rPr>
                <w:rFonts w:cs="Arial"/>
                <w:color w:val="000000"/>
                <w:sz w:val="16"/>
                <w:szCs w:val="16"/>
              </w:rPr>
            </w:pPr>
          </w:p>
        </w:tc>
        <w:tc>
          <w:tcPr>
            <w:tcW w:w="154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306953" w:rsidRPr="00306953" w:rsidRDefault="00F53B2E" w:rsidP="007E5BD0">
            <w:pPr>
              <w:spacing w:after="0" w:line="240" w:lineRule="auto"/>
              <w:rPr>
                <w:rFonts w:cs="Arial"/>
                <w:color w:val="000000"/>
                <w:sz w:val="16"/>
                <w:szCs w:val="16"/>
              </w:rPr>
            </w:pPr>
            <w:r>
              <w:rPr>
                <w:rFonts w:cs="Arial"/>
                <w:color w:val="000000"/>
                <w:sz w:val="16"/>
                <w:szCs w:val="16"/>
              </w:rPr>
              <w:t>p</w:t>
            </w:r>
            <w:r w:rsidR="00306953" w:rsidRPr="00306953">
              <w:rPr>
                <w:rFonts w:cs="Arial"/>
                <w:color w:val="000000"/>
                <w:sz w:val="16"/>
                <w:szCs w:val="16"/>
              </w:rPr>
              <w:t>růměr EU21</w:t>
            </w:r>
          </w:p>
        </w:tc>
        <w:tc>
          <w:tcPr>
            <w:tcW w:w="1154"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306953" w:rsidRPr="00306953" w:rsidRDefault="00306953" w:rsidP="007E5BD0">
            <w:pPr>
              <w:spacing w:after="0" w:line="240" w:lineRule="auto"/>
              <w:jc w:val="center"/>
              <w:rPr>
                <w:rFonts w:cs="Arial"/>
                <w:color w:val="000000"/>
                <w:sz w:val="18"/>
                <w:szCs w:val="18"/>
              </w:rPr>
            </w:pPr>
            <w:r w:rsidRPr="00306953">
              <w:rPr>
                <w:rFonts w:cs="Arial"/>
                <w:color w:val="000000"/>
                <w:sz w:val="18"/>
                <w:szCs w:val="18"/>
              </w:rPr>
              <w:t>9 066</w:t>
            </w:r>
          </w:p>
        </w:tc>
        <w:tc>
          <w:tcPr>
            <w:tcW w:w="1134" w:type="dxa"/>
            <w:tcBorders>
              <w:top w:val="nil"/>
              <w:left w:val="nil"/>
              <w:bottom w:val="single" w:sz="4" w:space="0" w:color="auto"/>
              <w:right w:val="single" w:sz="4" w:space="0" w:color="auto"/>
            </w:tcBorders>
            <w:shd w:val="clear" w:color="auto" w:fill="C6D9F1" w:themeFill="text2" w:themeFillTint="33"/>
            <w:noWrap/>
            <w:vAlign w:val="center"/>
            <w:hideMark/>
          </w:tcPr>
          <w:p w:rsidR="00306953" w:rsidRPr="00306953" w:rsidRDefault="00306953" w:rsidP="007E5BD0">
            <w:pPr>
              <w:spacing w:after="0" w:line="240" w:lineRule="auto"/>
              <w:jc w:val="center"/>
              <w:rPr>
                <w:rFonts w:cs="Arial"/>
                <w:sz w:val="18"/>
                <w:szCs w:val="18"/>
              </w:rPr>
            </w:pPr>
            <w:r w:rsidRPr="00306953">
              <w:rPr>
                <w:rFonts w:cs="Arial"/>
                <w:sz w:val="18"/>
                <w:szCs w:val="18"/>
              </w:rPr>
              <w:t>5 664</w:t>
            </w:r>
          </w:p>
        </w:tc>
        <w:tc>
          <w:tcPr>
            <w:tcW w:w="1417" w:type="dxa"/>
            <w:tcBorders>
              <w:top w:val="nil"/>
              <w:left w:val="nil"/>
              <w:bottom w:val="single" w:sz="4" w:space="0" w:color="auto"/>
              <w:right w:val="single" w:sz="4" w:space="0" w:color="auto"/>
            </w:tcBorders>
            <w:shd w:val="clear" w:color="auto" w:fill="C6D9F1" w:themeFill="text2" w:themeFillTint="33"/>
            <w:noWrap/>
            <w:vAlign w:val="center"/>
            <w:hideMark/>
          </w:tcPr>
          <w:p w:rsidR="00306953" w:rsidRPr="00306953" w:rsidRDefault="00306953" w:rsidP="007E5BD0">
            <w:pPr>
              <w:spacing w:after="0" w:line="240" w:lineRule="auto"/>
              <w:jc w:val="center"/>
              <w:rPr>
                <w:rFonts w:cs="Arial"/>
                <w:sz w:val="18"/>
                <w:szCs w:val="18"/>
              </w:rPr>
            </w:pPr>
            <w:r w:rsidRPr="00306953">
              <w:rPr>
                <w:rFonts w:cs="Arial"/>
                <w:sz w:val="18"/>
                <w:szCs w:val="18"/>
              </w:rPr>
              <w:t>8 550</w:t>
            </w:r>
          </w:p>
        </w:tc>
        <w:tc>
          <w:tcPr>
            <w:tcW w:w="1418" w:type="dxa"/>
            <w:vMerge/>
            <w:tcBorders>
              <w:top w:val="single" w:sz="4" w:space="0" w:color="auto"/>
              <w:left w:val="single" w:sz="4" w:space="0" w:color="auto"/>
              <w:bottom w:val="single" w:sz="4" w:space="0" w:color="auto"/>
              <w:right w:val="double" w:sz="4" w:space="0" w:color="auto"/>
            </w:tcBorders>
            <w:vAlign w:val="center"/>
            <w:hideMark/>
          </w:tcPr>
          <w:p w:rsidR="00306953" w:rsidRPr="00306953" w:rsidRDefault="00306953" w:rsidP="00306953">
            <w:pPr>
              <w:spacing w:after="0" w:line="240" w:lineRule="auto"/>
              <w:rPr>
                <w:rFonts w:cs="Arial"/>
                <w:color w:val="000000"/>
                <w:szCs w:val="20"/>
              </w:rPr>
            </w:pPr>
          </w:p>
        </w:tc>
      </w:tr>
      <w:tr w:rsidR="00306953" w:rsidRPr="00306953" w:rsidTr="00BF267F">
        <w:trPr>
          <w:trHeight w:val="255"/>
        </w:trPr>
        <w:tc>
          <w:tcPr>
            <w:tcW w:w="2982" w:type="dxa"/>
            <w:vMerge w:val="restart"/>
            <w:tcBorders>
              <w:top w:val="single" w:sz="4" w:space="0" w:color="auto"/>
              <w:left w:val="double" w:sz="4" w:space="0" w:color="auto"/>
              <w:bottom w:val="single" w:sz="4" w:space="0" w:color="auto"/>
              <w:right w:val="single" w:sz="4" w:space="0" w:color="auto"/>
            </w:tcBorders>
            <w:shd w:val="clear" w:color="000000" w:fill="FFFFFF"/>
            <w:vAlign w:val="center"/>
            <w:hideMark/>
          </w:tcPr>
          <w:p w:rsidR="00306953" w:rsidRPr="00306953" w:rsidRDefault="00EA6A4F" w:rsidP="007E5BD0">
            <w:pPr>
              <w:spacing w:after="0" w:line="240" w:lineRule="auto"/>
              <w:rPr>
                <w:rFonts w:cs="Arial"/>
                <w:color w:val="000000"/>
                <w:sz w:val="16"/>
                <w:szCs w:val="16"/>
              </w:rPr>
            </w:pPr>
            <w:r>
              <w:rPr>
                <w:rFonts w:cs="Arial"/>
                <w:color w:val="000000"/>
                <w:sz w:val="16"/>
                <w:szCs w:val="16"/>
              </w:rPr>
              <w:t>t</w:t>
            </w:r>
            <w:r w:rsidR="00306953" w:rsidRPr="00306953">
              <w:rPr>
                <w:rFonts w:cs="Arial"/>
                <w:color w:val="000000"/>
                <w:sz w:val="16"/>
                <w:szCs w:val="16"/>
              </w:rPr>
              <w:t xml:space="preserve">erciární vzdělávání </w:t>
            </w:r>
          </w:p>
        </w:tc>
        <w:tc>
          <w:tcPr>
            <w:tcW w:w="1540" w:type="dxa"/>
            <w:tcBorders>
              <w:top w:val="single" w:sz="4" w:space="0" w:color="auto"/>
              <w:left w:val="nil"/>
              <w:bottom w:val="single" w:sz="4" w:space="0" w:color="auto"/>
              <w:right w:val="single" w:sz="4" w:space="0" w:color="auto"/>
            </w:tcBorders>
            <w:shd w:val="clear" w:color="000000" w:fill="FFFFFF"/>
            <w:noWrap/>
            <w:vAlign w:val="center"/>
            <w:hideMark/>
          </w:tcPr>
          <w:p w:rsidR="00306953" w:rsidRPr="00306953" w:rsidRDefault="00306953" w:rsidP="007E5BD0">
            <w:pPr>
              <w:spacing w:after="0" w:line="240" w:lineRule="auto"/>
              <w:rPr>
                <w:rFonts w:cs="Arial"/>
                <w:color w:val="000000"/>
                <w:sz w:val="16"/>
                <w:szCs w:val="16"/>
              </w:rPr>
            </w:pPr>
            <w:r w:rsidRPr="00306953">
              <w:rPr>
                <w:rFonts w:cs="Arial"/>
                <w:color w:val="000000"/>
                <w:sz w:val="16"/>
                <w:szCs w:val="16"/>
              </w:rPr>
              <w:t>Česká republika</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spacing w:after="0" w:line="240" w:lineRule="auto"/>
              <w:jc w:val="center"/>
              <w:rPr>
                <w:rFonts w:cs="Arial"/>
                <w:color w:val="000000"/>
                <w:sz w:val="18"/>
                <w:szCs w:val="18"/>
              </w:rPr>
            </w:pPr>
            <w:r w:rsidRPr="00306953">
              <w:rPr>
                <w:rFonts w:cs="Arial"/>
                <w:color w:val="000000"/>
                <w:sz w:val="18"/>
                <w:szCs w:val="18"/>
              </w:rPr>
              <w:t>8 097</w:t>
            </w:r>
          </w:p>
        </w:tc>
        <w:tc>
          <w:tcPr>
            <w:tcW w:w="1134" w:type="dxa"/>
            <w:tcBorders>
              <w:top w:val="nil"/>
              <w:left w:val="nil"/>
              <w:bottom w:val="single" w:sz="4" w:space="0" w:color="auto"/>
              <w:right w:val="single" w:sz="4" w:space="0" w:color="auto"/>
            </w:tcBorders>
            <w:shd w:val="clear" w:color="auto" w:fill="auto"/>
            <w:noWrap/>
            <w:vAlign w:val="center"/>
            <w:hideMark/>
          </w:tcPr>
          <w:p w:rsidR="00306953" w:rsidRPr="00306953" w:rsidRDefault="00306953" w:rsidP="007E5BD0">
            <w:pPr>
              <w:spacing w:after="0" w:line="240" w:lineRule="auto"/>
              <w:jc w:val="center"/>
              <w:rPr>
                <w:rFonts w:cs="Arial"/>
                <w:sz w:val="18"/>
                <w:szCs w:val="18"/>
              </w:rPr>
            </w:pPr>
            <w:r w:rsidRPr="00306953">
              <w:rPr>
                <w:rFonts w:cs="Arial"/>
                <w:sz w:val="18"/>
                <w:szCs w:val="18"/>
              </w:rPr>
              <w:t>402</w:t>
            </w:r>
          </w:p>
        </w:tc>
        <w:tc>
          <w:tcPr>
            <w:tcW w:w="1417" w:type="dxa"/>
            <w:tcBorders>
              <w:top w:val="nil"/>
              <w:left w:val="nil"/>
              <w:bottom w:val="single" w:sz="4" w:space="0" w:color="auto"/>
              <w:right w:val="single" w:sz="4" w:space="0" w:color="auto"/>
            </w:tcBorders>
            <w:shd w:val="clear" w:color="auto" w:fill="auto"/>
            <w:noWrap/>
            <w:vAlign w:val="center"/>
            <w:hideMark/>
          </w:tcPr>
          <w:p w:rsidR="00306953" w:rsidRPr="00306953" w:rsidRDefault="00306953" w:rsidP="007E5BD0">
            <w:pPr>
              <w:spacing w:after="0" w:line="240" w:lineRule="auto"/>
              <w:jc w:val="center"/>
              <w:rPr>
                <w:rFonts w:cs="Arial"/>
                <w:sz w:val="18"/>
                <w:szCs w:val="18"/>
              </w:rPr>
            </w:pPr>
            <w:r w:rsidRPr="00306953">
              <w:rPr>
                <w:rFonts w:cs="Arial"/>
                <w:sz w:val="18"/>
                <w:szCs w:val="18"/>
              </w:rPr>
              <w:t>7 016</w:t>
            </w:r>
          </w:p>
        </w:tc>
        <w:tc>
          <w:tcPr>
            <w:tcW w:w="1418" w:type="dxa"/>
            <w:tcBorders>
              <w:top w:val="single" w:sz="4" w:space="0" w:color="auto"/>
              <w:left w:val="nil"/>
              <w:bottom w:val="single" w:sz="4" w:space="0" w:color="auto"/>
              <w:right w:val="double" w:sz="4" w:space="0" w:color="auto"/>
            </w:tcBorders>
            <w:shd w:val="clear" w:color="auto" w:fill="auto"/>
            <w:noWrap/>
            <w:vAlign w:val="center"/>
            <w:hideMark/>
          </w:tcPr>
          <w:p w:rsidR="00306953" w:rsidRPr="00306953" w:rsidRDefault="00306953" w:rsidP="007E5BD0">
            <w:pPr>
              <w:spacing w:after="0" w:line="240" w:lineRule="auto"/>
              <w:jc w:val="center"/>
              <w:rPr>
                <w:rFonts w:cs="Arial"/>
                <w:color w:val="000000"/>
                <w:sz w:val="18"/>
                <w:szCs w:val="18"/>
              </w:rPr>
            </w:pPr>
            <w:r w:rsidRPr="00306953">
              <w:rPr>
                <w:rFonts w:cs="Arial"/>
                <w:color w:val="000000"/>
                <w:sz w:val="18"/>
                <w:szCs w:val="18"/>
              </w:rPr>
              <w:t>2 168</w:t>
            </w:r>
          </w:p>
        </w:tc>
      </w:tr>
      <w:tr w:rsidR="00306953" w:rsidRPr="00306953" w:rsidTr="00BF267F">
        <w:trPr>
          <w:trHeight w:val="255"/>
        </w:trPr>
        <w:tc>
          <w:tcPr>
            <w:tcW w:w="2982" w:type="dxa"/>
            <w:vMerge/>
            <w:tcBorders>
              <w:top w:val="single" w:sz="4" w:space="0" w:color="auto"/>
              <w:left w:val="double" w:sz="4" w:space="0" w:color="auto"/>
              <w:bottom w:val="single" w:sz="4" w:space="0" w:color="auto"/>
              <w:right w:val="single" w:sz="4" w:space="0" w:color="auto"/>
            </w:tcBorders>
            <w:vAlign w:val="center"/>
            <w:hideMark/>
          </w:tcPr>
          <w:p w:rsidR="00306953" w:rsidRPr="00306953" w:rsidRDefault="00306953" w:rsidP="007E5BD0">
            <w:pPr>
              <w:spacing w:after="0" w:line="240" w:lineRule="auto"/>
              <w:rPr>
                <w:rFonts w:cs="Arial"/>
                <w:color w:val="000000"/>
                <w:sz w:val="16"/>
                <w:szCs w:val="16"/>
              </w:rPr>
            </w:pPr>
          </w:p>
        </w:tc>
        <w:tc>
          <w:tcPr>
            <w:tcW w:w="154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306953" w:rsidRPr="00306953" w:rsidRDefault="00F53B2E" w:rsidP="007E5BD0">
            <w:pPr>
              <w:spacing w:after="0" w:line="240" w:lineRule="auto"/>
              <w:rPr>
                <w:rFonts w:cs="Arial"/>
                <w:color w:val="000000"/>
                <w:sz w:val="16"/>
                <w:szCs w:val="16"/>
              </w:rPr>
            </w:pPr>
            <w:r>
              <w:rPr>
                <w:rFonts w:cs="Arial"/>
                <w:color w:val="000000"/>
                <w:sz w:val="16"/>
                <w:szCs w:val="16"/>
              </w:rPr>
              <w:t>p</w:t>
            </w:r>
            <w:r w:rsidR="00306953" w:rsidRPr="00306953">
              <w:rPr>
                <w:rFonts w:cs="Arial"/>
                <w:color w:val="000000"/>
                <w:sz w:val="16"/>
                <w:szCs w:val="16"/>
              </w:rPr>
              <w:t>růměr OECD</w:t>
            </w:r>
          </w:p>
        </w:tc>
        <w:tc>
          <w:tcPr>
            <w:tcW w:w="1154"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306953" w:rsidRPr="00306953" w:rsidRDefault="00306953" w:rsidP="007E5BD0">
            <w:pPr>
              <w:spacing w:after="0" w:line="240" w:lineRule="auto"/>
              <w:jc w:val="center"/>
              <w:rPr>
                <w:rFonts w:cs="Arial"/>
                <w:color w:val="000000"/>
                <w:sz w:val="18"/>
                <w:szCs w:val="18"/>
              </w:rPr>
            </w:pPr>
            <w:r w:rsidRPr="00306953">
              <w:rPr>
                <w:rFonts w:cs="Arial"/>
                <w:color w:val="000000"/>
                <w:sz w:val="18"/>
                <w:szCs w:val="18"/>
              </w:rPr>
              <w:t>11 913</w:t>
            </w:r>
          </w:p>
        </w:tc>
        <w:tc>
          <w:tcPr>
            <w:tcW w:w="1134" w:type="dxa"/>
            <w:tcBorders>
              <w:top w:val="nil"/>
              <w:left w:val="nil"/>
              <w:bottom w:val="single" w:sz="4" w:space="0" w:color="auto"/>
              <w:right w:val="single" w:sz="4" w:space="0" w:color="auto"/>
            </w:tcBorders>
            <w:shd w:val="clear" w:color="auto" w:fill="C6D9F1" w:themeFill="text2" w:themeFillTint="33"/>
            <w:noWrap/>
            <w:vAlign w:val="center"/>
            <w:hideMark/>
          </w:tcPr>
          <w:p w:rsidR="00306953" w:rsidRPr="00306953" w:rsidRDefault="00306953" w:rsidP="007E5BD0">
            <w:pPr>
              <w:spacing w:after="0" w:line="240" w:lineRule="auto"/>
              <w:jc w:val="center"/>
              <w:rPr>
                <w:rFonts w:cs="Arial"/>
                <w:sz w:val="18"/>
                <w:szCs w:val="18"/>
              </w:rPr>
            </w:pPr>
            <w:r w:rsidRPr="00306953">
              <w:rPr>
                <w:rFonts w:cs="Arial"/>
                <w:sz w:val="18"/>
                <w:szCs w:val="18"/>
              </w:rPr>
              <w:t>4 751</w:t>
            </w:r>
          </w:p>
        </w:tc>
        <w:tc>
          <w:tcPr>
            <w:tcW w:w="1417" w:type="dxa"/>
            <w:tcBorders>
              <w:top w:val="nil"/>
              <w:left w:val="nil"/>
              <w:bottom w:val="single" w:sz="4" w:space="0" w:color="auto"/>
              <w:right w:val="single" w:sz="4" w:space="0" w:color="auto"/>
            </w:tcBorders>
            <w:shd w:val="clear" w:color="auto" w:fill="C6D9F1" w:themeFill="text2" w:themeFillTint="33"/>
            <w:noWrap/>
            <w:vAlign w:val="center"/>
            <w:hideMark/>
          </w:tcPr>
          <w:p w:rsidR="00306953" w:rsidRPr="00306953" w:rsidRDefault="00306953" w:rsidP="007E5BD0">
            <w:pPr>
              <w:spacing w:after="0" w:line="240" w:lineRule="auto"/>
              <w:jc w:val="center"/>
              <w:rPr>
                <w:rFonts w:cs="Arial"/>
                <w:sz w:val="18"/>
                <w:szCs w:val="18"/>
              </w:rPr>
            </w:pPr>
            <w:r w:rsidRPr="00306953">
              <w:rPr>
                <w:rFonts w:cs="Arial"/>
                <w:sz w:val="18"/>
                <w:szCs w:val="18"/>
              </w:rPr>
              <w:t>9 223</w:t>
            </w:r>
          </w:p>
        </w:tc>
        <w:tc>
          <w:tcPr>
            <w:tcW w:w="1418" w:type="dxa"/>
            <w:tcBorders>
              <w:top w:val="single" w:sz="4" w:space="0" w:color="auto"/>
              <w:left w:val="nil"/>
              <w:bottom w:val="single" w:sz="4" w:space="0" w:color="auto"/>
              <w:right w:val="double" w:sz="4" w:space="0" w:color="auto"/>
            </w:tcBorders>
            <w:shd w:val="clear" w:color="auto" w:fill="C6D9F1" w:themeFill="text2" w:themeFillTint="33"/>
            <w:noWrap/>
            <w:vAlign w:val="center"/>
            <w:hideMark/>
          </w:tcPr>
          <w:p w:rsidR="00306953" w:rsidRPr="00306953" w:rsidRDefault="00306953" w:rsidP="007E5BD0">
            <w:pPr>
              <w:spacing w:after="0" w:line="240" w:lineRule="auto"/>
              <w:jc w:val="center"/>
              <w:rPr>
                <w:rFonts w:cs="Arial"/>
                <w:color w:val="000000"/>
                <w:sz w:val="18"/>
                <w:szCs w:val="18"/>
              </w:rPr>
            </w:pPr>
            <w:r w:rsidRPr="00306953">
              <w:rPr>
                <w:rFonts w:cs="Arial"/>
                <w:color w:val="000000"/>
                <w:sz w:val="18"/>
                <w:szCs w:val="18"/>
              </w:rPr>
              <w:t>3 433</w:t>
            </w:r>
          </w:p>
        </w:tc>
      </w:tr>
      <w:tr w:rsidR="00306953" w:rsidRPr="00306953" w:rsidTr="00BF267F">
        <w:trPr>
          <w:trHeight w:val="255"/>
        </w:trPr>
        <w:tc>
          <w:tcPr>
            <w:tcW w:w="2982" w:type="dxa"/>
            <w:vMerge/>
            <w:tcBorders>
              <w:top w:val="single" w:sz="4" w:space="0" w:color="auto"/>
              <w:left w:val="double" w:sz="4" w:space="0" w:color="auto"/>
              <w:bottom w:val="single" w:sz="4" w:space="0" w:color="auto"/>
              <w:right w:val="single" w:sz="4" w:space="0" w:color="auto"/>
            </w:tcBorders>
            <w:vAlign w:val="center"/>
            <w:hideMark/>
          </w:tcPr>
          <w:p w:rsidR="00306953" w:rsidRPr="00306953" w:rsidRDefault="00306953" w:rsidP="007E5BD0">
            <w:pPr>
              <w:spacing w:after="0" w:line="240" w:lineRule="auto"/>
              <w:rPr>
                <w:rFonts w:cs="Arial"/>
                <w:color w:val="000000"/>
                <w:sz w:val="16"/>
                <w:szCs w:val="16"/>
              </w:rPr>
            </w:pPr>
          </w:p>
        </w:tc>
        <w:tc>
          <w:tcPr>
            <w:tcW w:w="154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306953" w:rsidRPr="00306953" w:rsidRDefault="00F53B2E" w:rsidP="007E5BD0">
            <w:pPr>
              <w:spacing w:after="0" w:line="240" w:lineRule="auto"/>
              <w:rPr>
                <w:rFonts w:cs="Arial"/>
                <w:color w:val="000000"/>
                <w:sz w:val="16"/>
                <w:szCs w:val="16"/>
              </w:rPr>
            </w:pPr>
            <w:r>
              <w:rPr>
                <w:rFonts w:cs="Arial"/>
                <w:color w:val="000000"/>
                <w:sz w:val="16"/>
                <w:szCs w:val="16"/>
              </w:rPr>
              <w:t>p</w:t>
            </w:r>
            <w:r w:rsidR="00306953" w:rsidRPr="00306953">
              <w:rPr>
                <w:rFonts w:cs="Arial"/>
                <w:color w:val="000000"/>
                <w:sz w:val="16"/>
                <w:szCs w:val="16"/>
              </w:rPr>
              <w:t>růměr EU21</w:t>
            </w:r>
          </w:p>
        </w:tc>
        <w:tc>
          <w:tcPr>
            <w:tcW w:w="1154"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306953" w:rsidRPr="00306953" w:rsidRDefault="00306953" w:rsidP="007E5BD0">
            <w:pPr>
              <w:spacing w:after="0" w:line="240" w:lineRule="auto"/>
              <w:jc w:val="center"/>
              <w:rPr>
                <w:rFonts w:cs="Arial"/>
                <w:color w:val="000000"/>
                <w:sz w:val="18"/>
                <w:szCs w:val="18"/>
              </w:rPr>
            </w:pPr>
            <w:r w:rsidRPr="00306953">
              <w:rPr>
                <w:rFonts w:cs="Arial"/>
                <w:color w:val="000000"/>
                <w:sz w:val="18"/>
                <w:szCs w:val="18"/>
              </w:rPr>
              <w:t>12 294</w:t>
            </w:r>
          </w:p>
        </w:tc>
        <w:tc>
          <w:tcPr>
            <w:tcW w:w="1134" w:type="dxa"/>
            <w:tcBorders>
              <w:top w:val="nil"/>
              <w:left w:val="nil"/>
              <w:bottom w:val="single" w:sz="4" w:space="0" w:color="auto"/>
              <w:right w:val="single" w:sz="4" w:space="0" w:color="auto"/>
            </w:tcBorders>
            <w:shd w:val="clear" w:color="auto" w:fill="C6D9F1" w:themeFill="text2" w:themeFillTint="33"/>
            <w:noWrap/>
            <w:vAlign w:val="center"/>
            <w:hideMark/>
          </w:tcPr>
          <w:p w:rsidR="00306953" w:rsidRPr="00306953" w:rsidRDefault="00306953" w:rsidP="007E5BD0">
            <w:pPr>
              <w:spacing w:after="0" w:line="240" w:lineRule="auto"/>
              <w:jc w:val="center"/>
              <w:rPr>
                <w:rFonts w:cs="Arial"/>
                <w:sz w:val="18"/>
                <w:szCs w:val="18"/>
              </w:rPr>
            </w:pPr>
            <w:r w:rsidRPr="00306953">
              <w:rPr>
                <w:rFonts w:cs="Arial"/>
                <w:sz w:val="18"/>
                <w:szCs w:val="18"/>
              </w:rPr>
              <w:t>5 227</w:t>
            </w:r>
          </w:p>
        </w:tc>
        <w:tc>
          <w:tcPr>
            <w:tcW w:w="1417" w:type="dxa"/>
            <w:tcBorders>
              <w:top w:val="nil"/>
              <w:left w:val="nil"/>
              <w:bottom w:val="single" w:sz="4" w:space="0" w:color="auto"/>
              <w:right w:val="single" w:sz="4" w:space="0" w:color="auto"/>
            </w:tcBorders>
            <w:shd w:val="clear" w:color="auto" w:fill="C6D9F1" w:themeFill="text2" w:themeFillTint="33"/>
            <w:noWrap/>
            <w:vAlign w:val="center"/>
            <w:hideMark/>
          </w:tcPr>
          <w:p w:rsidR="00306953" w:rsidRPr="00306953" w:rsidRDefault="00306953" w:rsidP="007E5BD0">
            <w:pPr>
              <w:spacing w:after="0" w:line="240" w:lineRule="auto"/>
              <w:jc w:val="center"/>
              <w:rPr>
                <w:rFonts w:cs="Arial"/>
                <w:sz w:val="18"/>
                <w:szCs w:val="18"/>
              </w:rPr>
            </w:pPr>
            <w:r w:rsidRPr="00306953">
              <w:rPr>
                <w:rFonts w:cs="Arial"/>
                <w:sz w:val="18"/>
                <w:szCs w:val="18"/>
              </w:rPr>
              <w:t>10 294</w:t>
            </w:r>
          </w:p>
        </w:tc>
        <w:tc>
          <w:tcPr>
            <w:tcW w:w="1418" w:type="dxa"/>
            <w:tcBorders>
              <w:top w:val="single" w:sz="4" w:space="0" w:color="auto"/>
              <w:left w:val="nil"/>
              <w:bottom w:val="single" w:sz="4" w:space="0" w:color="auto"/>
              <w:right w:val="double" w:sz="4" w:space="0" w:color="auto"/>
            </w:tcBorders>
            <w:shd w:val="clear" w:color="auto" w:fill="C6D9F1" w:themeFill="text2" w:themeFillTint="33"/>
            <w:noWrap/>
            <w:vAlign w:val="center"/>
            <w:hideMark/>
          </w:tcPr>
          <w:p w:rsidR="00306953" w:rsidRPr="00306953" w:rsidRDefault="00306953" w:rsidP="007E5BD0">
            <w:pPr>
              <w:spacing w:after="0" w:line="240" w:lineRule="auto"/>
              <w:jc w:val="center"/>
              <w:rPr>
                <w:rFonts w:cs="Arial"/>
                <w:color w:val="000000"/>
                <w:sz w:val="18"/>
                <w:szCs w:val="18"/>
              </w:rPr>
            </w:pPr>
            <w:r w:rsidRPr="00306953">
              <w:rPr>
                <w:rFonts w:cs="Arial"/>
                <w:color w:val="000000"/>
                <w:sz w:val="18"/>
                <w:szCs w:val="18"/>
              </w:rPr>
              <w:t>3 572</w:t>
            </w:r>
          </w:p>
        </w:tc>
      </w:tr>
      <w:tr w:rsidR="00306953" w:rsidRPr="00306953" w:rsidTr="00BF267F">
        <w:trPr>
          <w:trHeight w:val="255"/>
        </w:trPr>
        <w:tc>
          <w:tcPr>
            <w:tcW w:w="2982" w:type="dxa"/>
            <w:vMerge w:val="restart"/>
            <w:tcBorders>
              <w:top w:val="single" w:sz="4" w:space="0" w:color="auto"/>
              <w:left w:val="double" w:sz="4" w:space="0" w:color="auto"/>
              <w:bottom w:val="single" w:sz="4" w:space="0" w:color="auto"/>
              <w:right w:val="single" w:sz="4" w:space="0" w:color="auto"/>
            </w:tcBorders>
            <w:shd w:val="clear" w:color="000000" w:fill="FFFFFF"/>
            <w:vAlign w:val="center"/>
            <w:hideMark/>
          </w:tcPr>
          <w:p w:rsidR="00306953" w:rsidRPr="00306953" w:rsidRDefault="00EA6A4F" w:rsidP="007E5BD0">
            <w:pPr>
              <w:spacing w:after="0" w:line="240" w:lineRule="auto"/>
              <w:rPr>
                <w:rFonts w:cs="Arial"/>
                <w:color w:val="000000"/>
                <w:sz w:val="16"/>
                <w:szCs w:val="16"/>
              </w:rPr>
            </w:pPr>
            <w:r>
              <w:rPr>
                <w:rFonts w:cs="Arial"/>
                <w:color w:val="000000"/>
                <w:sz w:val="16"/>
                <w:szCs w:val="16"/>
              </w:rPr>
              <w:t>p</w:t>
            </w:r>
            <w:r w:rsidR="00306953" w:rsidRPr="00306953">
              <w:rPr>
                <w:rFonts w:cs="Arial"/>
                <w:color w:val="000000"/>
                <w:sz w:val="16"/>
                <w:szCs w:val="16"/>
              </w:rPr>
              <w:t>rimární až terciární</w:t>
            </w:r>
          </w:p>
        </w:tc>
        <w:tc>
          <w:tcPr>
            <w:tcW w:w="1540" w:type="dxa"/>
            <w:tcBorders>
              <w:top w:val="single" w:sz="4" w:space="0" w:color="auto"/>
              <w:left w:val="nil"/>
              <w:bottom w:val="single" w:sz="4" w:space="0" w:color="auto"/>
              <w:right w:val="single" w:sz="4" w:space="0" w:color="auto"/>
            </w:tcBorders>
            <w:shd w:val="clear" w:color="000000" w:fill="FFFFFF"/>
            <w:noWrap/>
            <w:vAlign w:val="center"/>
            <w:hideMark/>
          </w:tcPr>
          <w:p w:rsidR="00306953" w:rsidRPr="00306953" w:rsidRDefault="00306953" w:rsidP="007E5BD0">
            <w:pPr>
              <w:spacing w:after="0" w:line="240" w:lineRule="auto"/>
              <w:rPr>
                <w:rFonts w:cs="Arial"/>
                <w:color w:val="000000"/>
                <w:sz w:val="16"/>
                <w:szCs w:val="16"/>
              </w:rPr>
            </w:pPr>
            <w:r w:rsidRPr="00306953">
              <w:rPr>
                <w:rFonts w:cs="Arial"/>
                <w:color w:val="000000"/>
                <w:sz w:val="16"/>
                <w:szCs w:val="16"/>
              </w:rPr>
              <w:t>Česká republika</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spacing w:after="0" w:line="240" w:lineRule="auto"/>
              <w:jc w:val="center"/>
              <w:rPr>
                <w:rFonts w:cs="Arial"/>
                <w:color w:val="000000"/>
                <w:sz w:val="18"/>
                <w:szCs w:val="18"/>
              </w:rPr>
            </w:pPr>
            <w:r w:rsidRPr="00306953">
              <w:rPr>
                <w:rFonts w:cs="Arial"/>
                <w:color w:val="000000"/>
                <w:sz w:val="18"/>
                <w:szCs w:val="18"/>
              </w:rPr>
              <w:t>6 751</w:t>
            </w:r>
          </w:p>
        </w:tc>
        <w:tc>
          <w:tcPr>
            <w:tcW w:w="1134" w:type="dxa"/>
            <w:tcBorders>
              <w:top w:val="nil"/>
              <w:left w:val="nil"/>
              <w:bottom w:val="single" w:sz="4" w:space="0" w:color="auto"/>
              <w:right w:val="single" w:sz="4" w:space="0" w:color="auto"/>
            </w:tcBorders>
            <w:shd w:val="clear" w:color="auto" w:fill="auto"/>
            <w:noWrap/>
            <w:vAlign w:val="center"/>
            <w:hideMark/>
          </w:tcPr>
          <w:p w:rsidR="00306953" w:rsidRPr="00306953" w:rsidRDefault="00306953" w:rsidP="007E5BD0">
            <w:pPr>
              <w:spacing w:after="0" w:line="240" w:lineRule="auto"/>
              <w:jc w:val="center"/>
              <w:rPr>
                <w:rFonts w:cs="Arial"/>
                <w:sz w:val="18"/>
                <w:szCs w:val="18"/>
              </w:rPr>
            </w:pPr>
            <w:r w:rsidRPr="00306953">
              <w:rPr>
                <w:rFonts w:cs="Arial"/>
                <w:sz w:val="18"/>
                <w:szCs w:val="18"/>
              </w:rPr>
              <w:t>2 537</w:t>
            </w:r>
          </w:p>
        </w:tc>
        <w:tc>
          <w:tcPr>
            <w:tcW w:w="1417" w:type="dxa"/>
            <w:tcBorders>
              <w:top w:val="nil"/>
              <w:left w:val="nil"/>
              <w:bottom w:val="single" w:sz="4" w:space="0" w:color="auto"/>
              <w:right w:val="single" w:sz="4" w:space="0" w:color="auto"/>
            </w:tcBorders>
            <w:shd w:val="clear" w:color="auto" w:fill="auto"/>
            <w:noWrap/>
            <w:vAlign w:val="center"/>
            <w:hideMark/>
          </w:tcPr>
          <w:p w:rsidR="00306953" w:rsidRPr="00306953" w:rsidRDefault="00306953" w:rsidP="007E5BD0">
            <w:pPr>
              <w:spacing w:after="0" w:line="240" w:lineRule="auto"/>
              <w:jc w:val="center"/>
              <w:rPr>
                <w:rFonts w:cs="Arial"/>
                <w:sz w:val="18"/>
                <w:szCs w:val="18"/>
              </w:rPr>
            </w:pPr>
            <w:r w:rsidRPr="00306953">
              <w:rPr>
                <w:rFonts w:cs="Arial"/>
                <w:sz w:val="18"/>
                <w:szCs w:val="18"/>
              </w:rPr>
              <w:t>6 395</w:t>
            </w:r>
          </w:p>
        </w:tc>
        <w:tc>
          <w:tcPr>
            <w:tcW w:w="1418" w:type="dxa"/>
            <w:vMerge w:val="restart"/>
            <w:tcBorders>
              <w:top w:val="single" w:sz="4" w:space="0" w:color="auto"/>
              <w:left w:val="single" w:sz="4" w:space="0" w:color="auto"/>
              <w:bottom w:val="double" w:sz="4" w:space="0" w:color="auto"/>
              <w:right w:val="double" w:sz="4" w:space="0" w:color="auto"/>
            </w:tcBorders>
            <w:shd w:val="clear" w:color="000000" w:fill="D9D9D9"/>
            <w:noWrap/>
            <w:vAlign w:val="bottom"/>
            <w:hideMark/>
          </w:tcPr>
          <w:p w:rsidR="00306953" w:rsidRPr="00306953" w:rsidRDefault="00306953" w:rsidP="00306953">
            <w:pPr>
              <w:spacing w:after="0" w:line="240" w:lineRule="auto"/>
              <w:rPr>
                <w:rFonts w:cs="Arial"/>
                <w:color w:val="000000"/>
                <w:szCs w:val="20"/>
              </w:rPr>
            </w:pPr>
            <w:r w:rsidRPr="00306953">
              <w:rPr>
                <w:rFonts w:cs="Arial"/>
                <w:color w:val="000000"/>
                <w:szCs w:val="20"/>
              </w:rPr>
              <w:t> </w:t>
            </w:r>
          </w:p>
        </w:tc>
      </w:tr>
      <w:tr w:rsidR="00306953" w:rsidRPr="00306953" w:rsidTr="00BF267F">
        <w:trPr>
          <w:trHeight w:val="255"/>
        </w:trPr>
        <w:tc>
          <w:tcPr>
            <w:tcW w:w="2982" w:type="dxa"/>
            <w:vMerge/>
            <w:tcBorders>
              <w:top w:val="single" w:sz="4" w:space="0" w:color="auto"/>
              <w:left w:val="double" w:sz="4" w:space="0" w:color="auto"/>
              <w:bottom w:val="single" w:sz="4" w:space="0" w:color="auto"/>
              <w:right w:val="single" w:sz="4" w:space="0" w:color="auto"/>
            </w:tcBorders>
            <w:vAlign w:val="center"/>
            <w:hideMark/>
          </w:tcPr>
          <w:p w:rsidR="00306953" w:rsidRPr="00306953" w:rsidRDefault="00306953" w:rsidP="007E5BD0">
            <w:pPr>
              <w:spacing w:after="0" w:line="240" w:lineRule="auto"/>
              <w:rPr>
                <w:rFonts w:cs="Arial"/>
                <w:color w:val="000000"/>
                <w:sz w:val="16"/>
                <w:szCs w:val="16"/>
              </w:rPr>
            </w:pPr>
          </w:p>
        </w:tc>
        <w:tc>
          <w:tcPr>
            <w:tcW w:w="154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306953" w:rsidRPr="00306953" w:rsidRDefault="00F53B2E" w:rsidP="007E5BD0">
            <w:pPr>
              <w:spacing w:after="0" w:line="240" w:lineRule="auto"/>
              <w:rPr>
                <w:rFonts w:cs="Arial"/>
                <w:color w:val="000000"/>
                <w:sz w:val="16"/>
                <w:szCs w:val="16"/>
              </w:rPr>
            </w:pPr>
            <w:r>
              <w:rPr>
                <w:rFonts w:cs="Arial"/>
                <w:color w:val="000000"/>
                <w:sz w:val="16"/>
                <w:szCs w:val="16"/>
              </w:rPr>
              <w:t>p</w:t>
            </w:r>
            <w:r w:rsidR="00306953" w:rsidRPr="00306953">
              <w:rPr>
                <w:rFonts w:cs="Arial"/>
                <w:color w:val="000000"/>
                <w:sz w:val="16"/>
                <w:szCs w:val="16"/>
              </w:rPr>
              <w:t>růměr OECD</w:t>
            </w:r>
          </w:p>
        </w:tc>
        <w:tc>
          <w:tcPr>
            <w:tcW w:w="1154"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306953" w:rsidRPr="00306953" w:rsidRDefault="00306953" w:rsidP="007E5BD0">
            <w:pPr>
              <w:spacing w:after="0" w:line="240" w:lineRule="auto"/>
              <w:jc w:val="center"/>
              <w:rPr>
                <w:rFonts w:cs="Arial"/>
                <w:color w:val="000000"/>
                <w:sz w:val="18"/>
                <w:szCs w:val="18"/>
              </w:rPr>
            </w:pPr>
            <w:r w:rsidRPr="00306953">
              <w:rPr>
                <w:rFonts w:cs="Arial"/>
                <w:color w:val="000000"/>
                <w:sz w:val="18"/>
                <w:szCs w:val="18"/>
              </w:rPr>
              <w:t>9 317</w:t>
            </w:r>
          </w:p>
        </w:tc>
        <w:tc>
          <w:tcPr>
            <w:tcW w:w="1134"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306953" w:rsidRPr="00306953" w:rsidRDefault="00306953" w:rsidP="007E5BD0">
            <w:pPr>
              <w:spacing w:after="0" w:line="240" w:lineRule="auto"/>
              <w:jc w:val="center"/>
              <w:rPr>
                <w:rFonts w:cs="Arial"/>
                <w:sz w:val="18"/>
                <w:szCs w:val="18"/>
              </w:rPr>
            </w:pPr>
            <w:r w:rsidRPr="00306953">
              <w:rPr>
                <w:rFonts w:cs="Arial"/>
                <w:sz w:val="18"/>
                <w:szCs w:val="18"/>
              </w:rPr>
              <w:t>4 889</w:t>
            </w:r>
          </w:p>
        </w:tc>
        <w:tc>
          <w:tcPr>
            <w:tcW w:w="1417"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306953" w:rsidRPr="00306953" w:rsidRDefault="00306953" w:rsidP="007E5BD0">
            <w:pPr>
              <w:spacing w:after="0" w:line="240" w:lineRule="auto"/>
              <w:jc w:val="center"/>
              <w:rPr>
                <w:rFonts w:cs="Arial"/>
                <w:sz w:val="18"/>
                <w:szCs w:val="18"/>
              </w:rPr>
            </w:pPr>
            <w:r w:rsidRPr="00306953">
              <w:rPr>
                <w:rFonts w:cs="Arial"/>
                <w:sz w:val="18"/>
                <w:szCs w:val="18"/>
              </w:rPr>
              <w:t>7 971</w:t>
            </w:r>
          </w:p>
        </w:tc>
        <w:tc>
          <w:tcPr>
            <w:tcW w:w="1418" w:type="dxa"/>
            <w:vMerge/>
            <w:tcBorders>
              <w:top w:val="single" w:sz="4" w:space="0" w:color="auto"/>
              <w:left w:val="single" w:sz="4" w:space="0" w:color="auto"/>
              <w:bottom w:val="double" w:sz="4" w:space="0" w:color="auto"/>
              <w:right w:val="double" w:sz="4" w:space="0" w:color="auto"/>
            </w:tcBorders>
            <w:vAlign w:val="center"/>
            <w:hideMark/>
          </w:tcPr>
          <w:p w:rsidR="00306953" w:rsidRPr="00306953" w:rsidRDefault="00306953" w:rsidP="00306953">
            <w:pPr>
              <w:spacing w:after="0" w:line="240" w:lineRule="auto"/>
              <w:rPr>
                <w:rFonts w:cs="Arial"/>
                <w:color w:val="000000"/>
                <w:szCs w:val="20"/>
              </w:rPr>
            </w:pPr>
          </w:p>
        </w:tc>
      </w:tr>
      <w:tr w:rsidR="00306953" w:rsidRPr="00306953" w:rsidTr="00BF267F">
        <w:trPr>
          <w:trHeight w:val="255"/>
        </w:trPr>
        <w:tc>
          <w:tcPr>
            <w:tcW w:w="2982" w:type="dxa"/>
            <w:vMerge/>
            <w:tcBorders>
              <w:top w:val="single" w:sz="4" w:space="0" w:color="auto"/>
              <w:left w:val="double" w:sz="4" w:space="0" w:color="auto"/>
              <w:bottom w:val="double" w:sz="4" w:space="0" w:color="auto"/>
              <w:right w:val="single" w:sz="4" w:space="0" w:color="auto"/>
            </w:tcBorders>
            <w:vAlign w:val="center"/>
            <w:hideMark/>
          </w:tcPr>
          <w:p w:rsidR="00306953" w:rsidRPr="00306953" w:rsidRDefault="00306953" w:rsidP="007E5BD0">
            <w:pPr>
              <w:spacing w:after="0" w:line="240" w:lineRule="auto"/>
              <w:rPr>
                <w:rFonts w:cs="Arial"/>
                <w:color w:val="000000"/>
                <w:sz w:val="16"/>
                <w:szCs w:val="16"/>
              </w:rPr>
            </w:pPr>
          </w:p>
        </w:tc>
        <w:tc>
          <w:tcPr>
            <w:tcW w:w="1540" w:type="dxa"/>
            <w:tcBorders>
              <w:top w:val="single" w:sz="4" w:space="0" w:color="auto"/>
              <w:left w:val="nil"/>
              <w:bottom w:val="double" w:sz="4" w:space="0" w:color="auto"/>
              <w:right w:val="single" w:sz="4" w:space="0" w:color="auto"/>
            </w:tcBorders>
            <w:shd w:val="clear" w:color="auto" w:fill="C6D9F1" w:themeFill="text2" w:themeFillTint="33"/>
            <w:noWrap/>
            <w:vAlign w:val="center"/>
            <w:hideMark/>
          </w:tcPr>
          <w:p w:rsidR="00306953" w:rsidRPr="00306953" w:rsidRDefault="00F53B2E" w:rsidP="007E5BD0">
            <w:pPr>
              <w:spacing w:after="0" w:line="240" w:lineRule="auto"/>
              <w:rPr>
                <w:rFonts w:cs="Arial"/>
                <w:color w:val="000000"/>
                <w:sz w:val="16"/>
                <w:szCs w:val="16"/>
              </w:rPr>
            </w:pPr>
            <w:r>
              <w:rPr>
                <w:rFonts w:cs="Arial"/>
                <w:color w:val="000000"/>
                <w:sz w:val="16"/>
                <w:szCs w:val="16"/>
              </w:rPr>
              <w:t>p</w:t>
            </w:r>
            <w:r w:rsidR="00306953" w:rsidRPr="00306953">
              <w:rPr>
                <w:rFonts w:cs="Arial"/>
                <w:color w:val="000000"/>
                <w:sz w:val="16"/>
                <w:szCs w:val="16"/>
              </w:rPr>
              <w:t>růměr EU21</w:t>
            </w:r>
          </w:p>
        </w:tc>
        <w:tc>
          <w:tcPr>
            <w:tcW w:w="1154" w:type="dxa"/>
            <w:tcBorders>
              <w:top w:val="single" w:sz="4" w:space="0" w:color="auto"/>
              <w:left w:val="nil"/>
              <w:bottom w:val="double" w:sz="4" w:space="0" w:color="auto"/>
              <w:right w:val="single" w:sz="4" w:space="0" w:color="auto"/>
            </w:tcBorders>
            <w:shd w:val="clear" w:color="auto" w:fill="C6D9F1" w:themeFill="text2" w:themeFillTint="33"/>
            <w:noWrap/>
            <w:vAlign w:val="center"/>
            <w:hideMark/>
          </w:tcPr>
          <w:p w:rsidR="00306953" w:rsidRPr="00306953" w:rsidRDefault="00306953" w:rsidP="007E5BD0">
            <w:pPr>
              <w:spacing w:after="0" w:line="240" w:lineRule="auto"/>
              <w:jc w:val="center"/>
              <w:rPr>
                <w:rFonts w:cs="Arial"/>
                <w:color w:val="000000"/>
                <w:sz w:val="18"/>
                <w:szCs w:val="18"/>
              </w:rPr>
            </w:pPr>
            <w:r w:rsidRPr="00306953">
              <w:rPr>
                <w:rFonts w:cs="Arial"/>
                <w:color w:val="000000"/>
                <w:sz w:val="18"/>
                <w:szCs w:val="18"/>
              </w:rPr>
              <w:t>9 592</w:t>
            </w:r>
          </w:p>
        </w:tc>
        <w:tc>
          <w:tcPr>
            <w:tcW w:w="1134" w:type="dxa"/>
            <w:tcBorders>
              <w:top w:val="single" w:sz="4" w:space="0" w:color="auto"/>
              <w:left w:val="nil"/>
              <w:bottom w:val="double" w:sz="4" w:space="0" w:color="auto"/>
              <w:right w:val="single" w:sz="4" w:space="0" w:color="auto"/>
            </w:tcBorders>
            <w:shd w:val="clear" w:color="auto" w:fill="C6D9F1" w:themeFill="text2" w:themeFillTint="33"/>
            <w:noWrap/>
            <w:vAlign w:val="center"/>
            <w:hideMark/>
          </w:tcPr>
          <w:p w:rsidR="00306953" w:rsidRPr="00306953" w:rsidRDefault="00306953" w:rsidP="007E5BD0">
            <w:pPr>
              <w:spacing w:after="0" w:line="240" w:lineRule="auto"/>
              <w:jc w:val="center"/>
              <w:rPr>
                <w:rFonts w:cs="Arial"/>
                <w:sz w:val="18"/>
                <w:szCs w:val="18"/>
              </w:rPr>
            </w:pPr>
            <w:r w:rsidRPr="00306953">
              <w:rPr>
                <w:rFonts w:cs="Arial"/>
                <w:sz w:val="18"/>
                <w:szCs w:val="18"/>
              </w:rPr>
              <w:t>5 052</w:t>
            </w:r>
          </w:p>
        </w:tc>
        <w:tc>
          <w:tcPr>
            <w:tcW w:w="1417" w:type="dxa"/>
            <w:tcBorders>
              <w:top w:val="single" w:sz="4" w:space="0" w:color="auto"/>
              <w:left w:val="nil"/>
              <w:bottom w:val="double" w:sz="4" w:space="0" w:color="auto"/>
              <w:right w:val="single" w:sz="4" w:space="0" w:color="auto"/>
            </w:tcBorders>
            <w:shd w:val="clear" w:color="auto" w:fill="C6D9F1" w:themeFill="text2" w:themeFillTint="33"/>
            <w:noWrap/>
            <w:vAlign w:val="center"/>
            <w:hideMark/>
          </w:tcPr>
          <w:p w:rsidR="00306953" w:rsidRPr="00306953" w:rsidRDefault="00306953" w:rsidP="007E5BD0">
            <w:pPr>
              <w:spacing w:after="0" w:line="240" w:lineRule="auto"/>
              <w:jc w:val="center"/>
              <w:rPr>
                <w:rFonts w:cs="Arial"/>
                <w:sz w:val="18"/>
                <w:szCs w:val="18"/>
              </w:rPr>
            </w:pPr>
            <w:r w:rsidRPr="00306953">
              <w:rPr>
                <w:rFonts w:cs="Arial"/>
                <w:sz w:val="18"/>
                <w:szCs w:val="18"/>
              </w:rPr>
              <w:t>8 336</w:t>
            </w:r>
          </w:p>
        </w:tc>
        <w:tc>
          <w:tcPr>
            <w:tcW w:w="1418" w:type="dxa"/>
            <w:vMerge/>
            <w:tcBorders>
              <w:top w:val="single" w:sz="4" w:space="0" w:color="auto"/>
              <w:left w:val="single" w:sz="4" w:space="0" w:color="auto"/>
              <w:bottom w:val="double" w:sz="4" w:space="0" w:color="auto"/>
              <w:right w:val="double" w:sz="4" w:space="0" w:color="auto"/>
            </w:tcBorders>
            <w:vAlign w:val="center"/>
            <w:hideMark/>
          </w:tcPr>
          <w:p w:rsidR="00306953" w:rsidRPr="00306953" w:rsidRDefault="00306953" w:rsidP="00306953">
            <w:pPr>
              <w:spacing w:after="0" w:line="240" w:lineRule="auto"/>
              <w:rPr>
                <w:rFonts w:cs="Arial"/>
                <w:color w:val="000000"/>
                <w:szCs w:val="20"/>
              </w:rPr>
            </w:pPr>
          </w:p>
        </w:tc>
      </w:tr>
    </w:tbl>
    <w:p w:rsidR="00306953" w:rsidRPr="008E59C3" w:rsidRDefault="00306953" w:rsidP="00E031F1">
      <w:pPr>
        <w:autoSpaceDE w:val="0"/>
        <w:autoSpaceDN w:val="0"/>
        <w:adjustRightInd w:val="0"/>
        <w:spacing w:before="120" w:after="0" w:line="240" w:lineRule="auto"/>
        <w:jc w:val="both"/>
        <w:rPr>
          <w:rFonts w:eastAsia="ChaparralPro-Regular" w:cs="Arial"/>
          <w:sz w:val="16"/>
          <w:szCs w:val="16"/>
        </w:rPr>
      </w:pPr>
      <w:r w:rsidRPr="008E59C3">
        <w:rPr>
          <w:rFonts w:eastAsia="ChaparralPro-Regular" w:cs="Arial"/>
          <w:sz w:val="16"/>
          <w:szCs w:val="16"/>
        </w:rPr>
        <w:t xml:space="preserve">Zdroj: OECD 2015, tabulka B 3.3. StatLink: </w:t>
      </w:r>
      <w:hyperlink r:id="rId80" w:history="1">
        <w:r w:rsidRPr="008E59C3">
          <w:rPr>
            <w:rStyle w:val="Hypertextovodkaz"/>
            <w:rFonts w:cs="Arial"/>
            <w:sz w:val="16"/>
            <w:szCs w:val="16"/>
          </w:rPr>
          <w:t>http://dx.doi.org/10.1787/888933285509</w:t>
        </w:r>
      </w:hyperlink>
      <w:r w:rsidRPr="008E59C3">
        <w:rPr>
          <w:rFonts w:eastAsia="ChaparralPro-Regular" w:cs="Arial"/>
          <w:sz w:val="16"/>
          <w:szCs w:val="16"/>
        </w:rPr>
        <w:t>, výběr údajů ČSÚ.</w:t>
      </w:r>
      <w:r w:rsidRPr="008E59C3">
        <w:rPr>
          <w:rFonts w:cs="Arial"/>
          <w:color w:val="231F20"/>
          <w:sz w:val="16"/>
          <w:szCs w:val="16"/>
        </w:rPr>
        <w:t xml:space="preserve"> </w:t>
      </w:r>
      <w:r w:rsidRPr="008E59C3">
        <w:rPr>
          <w:rFonts w:eastAsia="ChaparralPro-Regular" w:cs="Arial"/>
          <w:sz w:val="16"/>
          <w:szCs w:val="16"/>
        </w:rPr>
        <w:t xml:space="preserve">    </w:t>
      </w:r>
    </w:p>
    <w:p w:rsidR="00306953" w:rsidRPr="00E52654" w:rsidRDefault="00306953" w:rsidP="00306953">
      <w:pPr>
        <w:spacing w:after="0" w:line="240" w:lineRule="auto"/>
        <w:jc w:val="both"/>
        <w:rPr>
          <w:rFonts w:cs="Arial"/>
          <w:sz w:val="24"/>
        </w:rPr>
      </w:pPr>
    </w:p>
    <w:p w:rsidR="00306953" w:rsidRPr="00306953" w:rsidRDefault="00306953" w:rsidP="00306953">
      <w:pPr>
        <w:spacing w:after="120" w:line="240" w:lineRule="auto"/>
        <w:jc w:val="both"/>
        <w:rPr>
          <w:rFonts w:cs="Arial"/>
        </w:rPr>
      </w:pPr>
      <w:r w:rsidRPr="00306953">
        <w:rPr>
          <w:rFonts w:cs="Arial"/>
        </w:rPr>
        <w:t xml:space="preserve">Jak je zřejmé, </w:t>
      </w:r>
      <w:r w:rsidRPr="00306953">
        <w:rPr>
          <w:rFonts w:cs="Arial"/>
          <w:b/>
        </w:rPr>
        <w:t>v České republice</w:t>
      </w:r>
      <w:r w:rsidRPr="00306953">
        <w:rPr>
          <w:rFonts w:cs="Arial"/>
        </w:rPr>
        <w:t xml:space="preserve"> byly v roce 2012 tyto veř</w:t>
      </w:r>
      <w:r w:rsidR="00D841D1">
        <w:rPr>
          <w:rFonts w:cs="Arial"/>
        </w:rPr>
        <w:t>ejné výdaje (přepočtené na USD v paritě</w:t>
      </w:r>
      <w:r w:rsidRPr="00306953">
        <w:rPr>
          <w:rFonts w:cs="Arial"/>
        </w:rPr>
        <w:t xml:space="preserve"> kupní síly pro HDP) </w:t>
      </w:r>
      <w:r w:rsidRPr="00306953">
        <w:rPr>
          <w:rFonts w:cs="Arial"/>
          <w:b/>
        </w:rPr>
        <w:t>oproti průměru za země v OECD i průměru za země v OECD a EU na všech úrovních vzdělávání (ve veřejných i soukromých institucích) výrazně nižší</w:t>
      </w:r>
      <w:r w:rsidRPr="00306953">
        <w:rPr>
          <w:rFonts w:cs="Arial"/>
        </w:rPr>
        <w:t xml:space="preserve">. Zejména je patrná výrazně nižší veřejná finanční podpora soukromého terciárního vzdělávání na jednoho studenta v ČR. Zde lze konstatovat, že soukromé vysoké školy nejsou v ČR financované z veřejných zdrojů, ovšem s výjimkou dotací na ubytovací a sociální stipendia. Ve výjimečných případech je financován také vybraný studijní program, který je v tzv. veřejném zájmu, to znamená, že ho neposkytuje žádná veřejná vysoká škola (např. umělecké restaurátorství, nebo dočasně vzdělávání zdravotních sester, když se jednorázově zvýšil požadavek na jejich kvalifikaci). Takových případů je však velmi málo. Srovnáme-li </w:t>
      </w:r>
      <w:r w:rsidRPr="00306953">
        <w:rPr>
          <w:rFonts w:cs="Arial"/>
          <w:b/>
        </w:rPr>
        <w:t>celkové veřejné výdaje na jednoho žáka/s</w:t>
      </w:r>
      <w:r w:rsidR="00680594">
        <w:rPr>
          <w:rFonts w:cs="Arial"/>
          <w:b/>
        </w:rPr>
        <w:t>tudenta v institucích primárního až terciárního</w:t>
      </w:r>
      <w:r w:rsidRPr="00306953">
        <w:rPr>
          <w:rFonts w:cs="Arial"/>
          <w:b/>
        </w:rPr>
        <w:t xml:space="preserve"> vzdělávání za rok 2012</w:t>
      </w:r>
      <w:r w:rsidRPr="00306953">
        <w:rPr>
          <w:rFonts w:cs="Arial"/>
        </w:rPr>
        <w:t xml:space="preserve"> v ČR a na Slovensku, v Polsku, Estonsku a Finsku, zjistíme, že celkově </w:t>
      </w:r>
      <w:r w:rsidRPr="00306953">
        <w:rPr>
          <w:rFonts w:cs="Arial"/>
          <w:b/>
        </w:rPr>
        <w:t xml:space="preserve">vyšší veřejné výdaje </w:t>
      </w:r>
      <w:r w:rsidR="00680594">
        <w:rPr>
          <w:rFonts w:cs="Arial"/>
          <w:b/>
        </w:rPr>
        <w:t xml:space="preserve">než v ČR </w:t>
      </w:r>
      <w:r w:rsidRPr="00306953">
        <w:rPr>
          <w:rFonts w:cs="Arial"/>
          <w:b/>
        </w:rPr>
        <w:t>byly na jednoho žáka/studenta poskytovány pouze ve Finsku (týká se všech úrovní) a u primárního až postsekundárního neterciárního vzdělávání též v Estonsku</w:t>
      </w:r>
      <w:r w:rsidRPr="00306953">
        <w:rPr>
          <w:rFonts w:cs="Arial"/>
        </w:rPr>
        <w:t xml:space="preserve"> (viz tabulku č. 12).</w:t>
      </w:r>
    </w:p>
    <w:p w:rsidR="00306953" w:rsidRPr="00306953" w:rsidRDefault="00306953" w:rsidP="008E59C3">
      <w:pPr>
        <w:keepNext/>
        <w:spacing w:after="120" w:line="240" w:lineRule="auto"/>
        <w:rPr>
          <w:rFonts w:cs="Arial"/>
          <w:i/>
          <w:sz w:val="18"/>
          <w:szCs w:val="18"/>
        </w:rPr>
      </w:pPr>
      <w:r w:rsidRPr="00306953">
        <w:rPr>
          <w:rFonts w:eastAsiaTheme="minorHAnsi" w:cs="Arial"/>
          <w:b/>
        </w:rPr>
        <w:lastRenderedPageBreak/>
        <w:t>Tabulka č. 12 Roční veřejné výdaje na vzdělávací instituce v průměr</w:t>
      </w:r>
      <w:r w:rsidR="003A515E">
        <w:rPr>
          <w:rFonts w:eastAsiaTheme="minorHAnsi" w:cs="Arial"/>
          <w:b/>
        </w:rPr>
        <w:t>u na jednoho žáka/studenta, dle </w:t>
      </w:r>
      <w:r w:rsidRPr="00306953">
        <w:rPr>
          <w:rFonts w:eastAsiaTheme="minorHAnsi" w:cs="Arial"/>
          <w:b/>
        </w:rPr>
        <w:t>druhu instituce a úrovně vzdělávání (2012)</w:t>
      </w:r>
      <w:r w:rsidRPr="00306953">
        <w:rPr>
          <w:rFonts w:eastAsiaTheme="minorHAnsi" w:cs="Arial"/>
        </w:rPr>
        <w:t xml:space="preserve"> </w:t>
      </w:r>
      <w:r w:rsidRPr="00306953">
        <w:rPr>
          <w:rFonts w:cs="Arial"/>
          <w:i/>
          <w:sz w:val="18"/>
          <w:szCs w:val="18"/>
        </w:rPr>
        <w:t>přepočtené na USD</w:t>
      </w:r>
      <w:r w:rsidR="00680594">
        <w:rPr>
          <w:rFonts w:cs="Arial"/>
          <w:i/>
          <w:sz w:val="18"/>
          <w:szCs w:val="18"/>
        </w:rPr>
        <w:t xml:space="preserve"> a paritu kupní síly pro HDP</w:t>
      </w:r>
    </w:p>
    <w:tbl>
      <w:tblPr>
        <w:tblW w:w="9644" w:type="dxa"/>
        <w:tblInd w:w="65" w:type="dxa"/>
        <w:tblCellMar>
          <w:left w:w="70" w:type="dxa"/>
          <w:right w:w="70" w:type="dxa"/>
        </w:tblCellMar>
        <w:tblLook w:val="04A0"/>
      </w:tblPr>
      <w:tblGrid>
        <w:gridCol w:w="1848"/>
        <w:gridCol w:w="1560"/>
        <w:gridCol w:w="1417"/>
        <w:gridCol w:w="1559"/>
        <w:gridCol w:w="1701"/>
        <w:gridCol w:w="1559"/>
      </w:tblGrid>
      <w:tr w:rsidR="00306953" w:rsidRPr="00306953" w:rsidTr="00B75C16">
        <w:trPr>
          <w:trHeight w:val="440"/>
        </w:trPr>
        <w:tc>
          <w:tcPr>
            <w:tcW w:w="3408" w:type="dxa"/>
            <w:gridSpan w:val="2"/>
            <w:tcBorders>
              <w:top w:val="double" w:sz="4" w:space="0" w:color="auto"/>
              <w:left w:val="double" w:sz="4" w:space="0" w:color="auto"/>
              <w:bottom w:val="double" w:sz="4" w:space="0" w:color="auto"/>
              <w:right w:val="single" w:sz="4" w:space="0" w:color="auto"/>
            </w:tcBorders>
            <w:shd w:val="clear" w:color="auto" w:fill="FFCCCC"/>
            <w:noWrap/>
            <w:vAlign w:val="center"/>
            <w:hideMark/>
          </w:tcPr>
          <w:p w:rsidR="00306953" w:rsidRPr="001042AC" w:rsidRDefault="00306953" w:rsidP="008E59C3">
            <w:pPr>
              <w:keepNext/>
              <w:spacing w:after="0" w:line="240" w:lineRule="auto"/>
              <w:rPr>
                <w:rFonts w:cs="Arial"/>
                <w:b/>
                <w:color w:val="000000"/>
                <w:sz w:val="16"/>
                <w:szCs w:val="16"/>
              </w:rPr>
            </w:pPr>
            <w:r w:rsidRPr="001042AC">
              <w:rPr>
                <w:rFonts w:cs="Arial"/>
                <w:b/>
                <w:color w:val="000000"/>
                <w:sz w:val="16"/>
                <w:szCs w:val="16"/>
              </w:rPr>
              <w:t> </w:t>
            </w:r>
          </w:p>
        </w:tc>
        <w:tc>
          <w:tcPr>
            <w:tcW w:w="1417" w:type="dxa"/>
            <w:tcBorders>
              <w:top w:val="double" w:sz="4" w:space="0" w:color="auto"/>
              <w:left w:val="nil"/>
              <w:bottom w:val="double" w:sz="4" w:space="0" w:color="auto"/>
              <w:right w:val="single" w:sz="4" w:space="0" w:color="auto"/>
            </w:tcBorders>
            <w:shd w:val="clear" w:color="auto" w:fill="FFCCCC"/>
            <w:vAlign w:val="center"/>
            <w:hideMark/>
          </w:tcPr>
          <w:p w:rsidR="00306953" w:rsidRPr="001042AC" w:rsidRDefault="00EA6A4F" w:rsidP="008E59C3">
            <w:pPr>
              <w:keepNext/>
              <w:spacing w:after="0" w:line="240" w:lineRule="auto"/>
              <w:jc w:val="center"/>
              <w:rPr>
                <w:rFonts w:cs="Arial"/>
                <w:b/>
                <w:color w:val="000000"/>
                <w:sz w:val="16"/>
                <w:szCs w:val="16"/>
              </w:rPr>
            </w:pPr>
            <w:r>
              <w:rPr>
                <w:rFonts w:cs="Arial"/>
                <w:b/>
                <w:color w:val="000000"/>
                <w:sz w:val="16"/>
                <w:szCs w:val="16"/>
              </w:rPr>
              <w:t>v</w:t>
            </w:r>
            <w:r w:rsidR="00306953" w:rsidRPr="001042AC">
              <w:rPr>
                <w:rFonts w:cs="Arial"/>
                <w:b/>
                <w:color w:val="000000"/>
                <w:sz w:val="16"/>
                <w:szCs w:val="16"/>
              </w:rPr>
              <w:t>eřejné instituce</w:t>
            </w:r>
          </w:p>
        </w:tc>
        <w:tc>
          <w:tcPr>
            <w:tcW w:w="1559" w:type="dxa"/>
            <w:tcBorders>
              <w:top w:val="double" w:sz="4" w:space="0" w:color="auto"/>
              <w:left w:val="nil"/>
              <w:bottom w:val="double" w:sz="4" w:space="0" w:color="auto"/>
              <w:right w:val="single" w:sz="4" w:space="0" w:color="auto"/>
            </w:tcBorders>
            <w:shd w:val="clear" w:color="auto" w:fill="FFCCCC"/>
            <w:vAlign w:val="center"/>
            <w:hideMark/>
          </w:tcPr>
          <w:p w:rsidR="00306953" w:rsidRPr="001042AC" w:rsidRDefault="00EA6A4F" w:rsidP="008E59C3">
            <w:pPr>
              <w:keepNext/>
              <w:spacing w:after="0" w:line="240" w:lineRule="auto"/>
              <w:jc w:val="center"/>
              <w:rPr>
                <w:rFonts w:cs="Arial"/>
                <w:b/>
                <w:sz w:val="16"/>
                <w:szCs w:val="16"/>
              </w:rPr>
            </w:pPr>
            <w:r>
              <w:rPr>
                <w:rFonts w:cs="Arial"/>
                <w:b/>
                <w:sz w:val="16"/>
                <w:szCs w:val="16"/>
              </w:rPr>
              <w:t>s</w:t>
            </w:r>
            <w:r w:rsidR="00306953" w:rsidRPr="001042AC">
              <w:rPr>
                <w:rFonts w:cs="Arial"/>
                <w:b/>
                <w:sz w:val="16"/>
                <w:szCs w:val="16"/>
              </w:rPr>
              <w:t>oukromé instituce</w:t>
            </w:r>
          </w:p>
        </w:tc>
        <w:tc>
          <w:tcPr>
            <w:tcW w:w="1701" w:type="dxa"/>
            <w:tcBorders>
              <w:top w:val="double" w:sz="4" w:space="0" w:color="auto"/>
              <w:left w:val="nil"/>
              <w:bottom w:val="double" w:sz="4" w:space="0" w:color="auto"/>
              <w:right w:val="single" w:sz="4" w:space="0" w:color="auto"/>
            </w:tcBorders>
            <w:shd w:val="clear" w:color="auto" w:fill="FFCCCC"/>
            <w:vAlign w:val="center"/>
            <w:hideMark/>
          </w:tcPr>
          <w:p w:rsidR="00442515" w:rsidRPr="001042AC" w:rsidRDefault="00EA6A4F" w:rsidP="008E59C3">
            <w:pPr>
              <w:keepNext/>
              <w:spacing w:after="0" w:line="240" w:lineRule="auto"/>
              <w:jc w:val="center"/>
              <w:rPr>
                <w:rFonts w:cs="Arial"/>
                <w:b/>
                <w:sz w:val="16"/>
                <w:szCs w:val="16"/>
              </w:rPr>
            </w:pPr>
            <w:r>
              <w:rPr>
                <w:rFonts w:cs="Arial"/>
                <w:b/>
                <w:sz w:val="16"/>
                <w:szCs w:val="16"/>
              </w:rPr>
              <w:t>c</w:t>
            </w:r>
            <w:r w:rsidR="00306953" w:rsidRPr="001042AC">
              <w:rPr>
                <w:rFonts w:cs="Arial"/>
                <w:b/>
                <w:sz w:val="16"/>
                <w:szCs w:val="16"/>
              </w:rPr>
              <w:t xml:space="preserve">elkem </w:t>
            </w:r>
          </w:p>
          <w:p w:rsidR="00306953" w:rsidRPr="001042AC" w:rsidRDefault="00306953" w:rsidP="008E59C3">
            <w:pPr>
              <w:keepNext/>
              <w:spacing w:after="0" w:line="240" w:lineRule="auto"/>
              <w:jc w:val="center"/>
              <w:rPr>
                <w:rFonts w:cs="Arial"/>
                <w:b/>
                <w:sz w:val="16"/>
                <w:szCs w:val="16"/>
              </w:rPr>
            </w:pPr>
            <w:r w:rsidRPr="001042AC">
              <w:rPr>
                <w:rFonts w:cs="Arial"/>
                <w:b/>
                <w:sz w:val="16"/>
                <w:szCs w:val="16"/>
              </w:rPr>
              <w:t>(veřejné i soukromé)</w:t>
            </w:r>
          </w:p>
        </w:tc>
        <w:tc>
          <w:tcPr>
            <w:tcW w:w="1559" w:type="dxa"/>
            <w:tcBorders>
              <w:top w:val="double" w:sz="4" w:space="0" w:color="auto"/>
              <w:left w:val="nil"/>
              <w:bottom w:val="double" w:sz="4" w:space="0" w:color="auto"/>
              <w:right w:val="double" w:sz="4" w:space="0" w:color="auto"/>
            </w:tcBorders>
            <w:shd w:val="clear" w:color="auto" w:fill="FFCCCC"/>
            <w:vAlign w:val="center"/>
            <w:hideMark/>
          </w:tcPr>
          <w:p w:rsidR="00306953" w:rsidRPr="001042AC" w:rsidRDefault="00EA6A4F" w:rsidP="008E59C3">
            <w:pPr>
              <w:keepNext/>
              <w:spacing w:after="0" w:line="240" w:lineRule="auto"/>
              <w:jc w:val="center"/>
              <w:rPr>
                <w:rFonts w:cs="Arial"/>
                <w:b/>
                <w:i/>
                <w:iCs/>
                <w:color w:val="000000"/>
                <w:sz w:val="16"/>
                <w:szCs w:val="16"/>
              </w:rPr>
            </w:pPr>
            <w:r>
              <w:rPr>
                <w:rFonts w:cs="Arial"/>
                <w:b/>
                <w:i/>
                <w:iCs/>
                <w:color w:val="000000"/>
                <w:sz w:val="16"/>
                <w:szCs w:val="16"/>
              </w:rPr>
              <w:t>z</w:t>
            </w:r>
            <w:r w:rsidR="00B07DEE">
              <w:rPr>
                <w:rFonts w:cs="Arial"/>
                <w:b/>
                <w:i/>
                <w:iCs/>
                <w:color w:val="000000"/>
                <w:sz w:val="16"/>
                <w:szCs w:val="16"/>
              </w:rPr>
              <w:t xml:space="preserve"> toho: výzkum a </w:t>
            </w:r>
            <w:r w:rsidR="00306953" w:rsidRPr="001042AC">
              <w:rPr>
                <w:rFonts w:cs="Arial"/>
                <w:b/>
                <w:i/>
                <w:iCs/>
                <w:color w:val="000000"/>
                <w:sz w:val="16"/>
                <w:szCs w:val="16"/>
              </w:rPr>
              <w:t>vývoj</w:t>
            </w:r>
          </w:p>
        </w:tc>
      </w:tr>
      <w:tr w:rsidR="00306953" w:rsidRPr="00306953" w:rsidTr="00B75C16">
        <w:trPr>
          <w:trHeight w:val="255"/>
        </w:trPr>
        <w:tc>
          <w:tcPr>
            <w:tcW w:w="1848" w:type="dxa"/>
            <w:vMerge w:val="restart"/>
            <w:tcBorders>
              <w:top w:val="double" w:sz="4" w:space="0" w:color="auto"/>
              <w:left w:val="double" w:sz="4" w:space="0" w:color="auto"/>
              <w:bottom w:val="single" w:sz="4" w:space="0" w:color="auto"/>
              <w:right w:val="single" w:sz="4" w:space="0" w:color="auto"/>
            </w:tcBorders>
            <w:shd w:val="clear" w:color="000000" w:fill="FFFFFF"/>
            <w:vAlign w:val="center"/>
            <w:hideMark/>
          </w:tcPr>
          <w:p w:rsidR="00306953" w:rsidRPr="00306953" w:rsidRDefault="00EA6A4F" w:rsidP="008E59C3">
            <w:pPr>
              <w:keepNext/>
              <w:spacing w:after="0" w:line="240" w:lineRule="auto"/>
              <w:rPr>
                <w:rFonts w:cs="Arial"/>
                <w:color w:val="000000"/>
                <w:sz w:val="16"/>
                <w:szCs w:val="16"/>
              </w:rPr>
            </w:pPr>
            <w:r>
              <w:rPr>
                <w:rFonts w:cs="Arial"/>
                <w:color w:val="000000"/>
                <w:sz w:val="16"/>
                <w:szCs w:val="16"/>
              </w:rPr>
              <w:t>p</w:t>
            </w:r>
            <w:r w:rsidR="00306953" w:rsidRPr="00306953">
              <w:rPr>
                <w:rFonts w:cs="Arial"/>
                <w:color w:val="000000"/>
                <w:sz w:val="16"/>
                <w:szCs w:val="16"/>
              </w:rPr>
              <w:t>rimární, sekundární a postsekundární neterciární vzdělávání</w:t>
            </w:r>
          </w:p>
        </w:tc>
        <w:tc>
          <w:tcPr>
            <w:tcW w:w="1560" w:type="dxa"/>
            <w:tcBorders>
              <w:top w:val="double" w:sz="4" w:space="0" w:color="auto"/>
              <w:left w:val="nil"/>
              <w:bottom w:val="single" w:sz="4" w:space="0" w:color="auto"/>
              <w:right w:val="single" w:sz="4" w:space="0" w:color="auto"/>
            </w:tcBorders>
            <w:shd w:val="clear" w:color="000000" w:fill="FFFFFF"/>
            <w:noWrap/>
            <w:vAlign w:val="center"/>
            <w:hideMark/>
          </w:tcPr>
          <w:p w:rsidR="00306953" w:rsidRPr="00306953" w:rsidRDefault="00306953" w:rsidP="008E59C3">
            <w:pPr>
              <w:keepNext/>
              <w:spacing w:after="0" w:line="240" w:lineRule="auto"/>
              <w:rPr>
                <w:rFonts w:cs="Arial"/>
                <w:color w:val="000000"/>
                <w:sz w:val="16"/>
                <w:szCs w:val="16"/>
              </w:rPr>
            </w:pPr>
            <w:r w:rsidRPr="00306953">
              <w:rPr>
                <w:rFonts w:cs="Arial"/>
                <w:color w:val="000000"/>
                <w:sz w:val="16"/>
                <w:szCs w:val="16"/>
              </w:rPr>
              <w:t>Česká republika</w:t>
            </w:r>
          </w:p>
        </w:tc>
        <w:tc>
          <w:tcPr>
            <w:tcW w:w="1417" w:type="dxa"/>
            <w:tcBorders>
              <w:top w:val="doub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keepNext/>
              <w:spacing w:after="0" w:line="240" w:lineRule="auto"/>
              <w:jc w:val="center"/>
              <w:rPr>
                <w:rFonts w:cs="Arial"/>
                <w:color w:val="000000"/>
                <w:sz w:val="16"/>
                <w:szCs w:val="16"/>
              </w:rPr>
            </w:pPr>
            <w:r w:rsidRPr="00306953">
              <w:rPr>
                <w:rFonts w:cs="Arial"/>
                <w:color w:val="000000"/>
                <w:sz w:val="16"/>
                <w:szCs w:val="16"/>
              </w:rPr>
              <w:t>5 971</w:t>
            </w:r>
          </w:p>
        </w:tc>
        <w:tc>
          <w:tcPr>
            <w:tcW w:w="1559" w:type="dxa"/>
            <w:tcBorders>
              <w:top w:val="doub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keepNext/>
              <w:spacing w:after="0" w:line="240" w:lineRule="auto"/>
              <w:jc w:val="center"/>
              <w:rPr>
                <w:rFonts w:cs="Arial"/>
                <w:sz w:val="16"/>
                <w:szCs w:val="16"/>
              </w:rPr>
            </w:pPr>
            <w:r w:rsidRPr="00306953">
              <w:rPr>
                <w:rFonts w:cs="Arial"/>
                <w:sz w:val="16"/>
                <w:szCs w:val="16"/>
              </w:rPr>
              <w:t>3 975</w:t>
            </w:r>
          </w:p>
        </w:tc>
        <w:tc>
          <w:tcPr>
            <w:tcW w:w="1701" w:type="dxa"/>
            <w:tcBorders>
              <w:top w:val="doub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keepNext/>
              <w:spacing w:after="0" w:line="240" w:lineRule="auto"/>
              <w:jc w:val="center"/>
              <w:rPr>
                <w:rFonts w:cs="Arial"/>
                <w:sz w:val="16"/>
                <w:szCs w:val="16"/>
              </w:rPr>
            </w:pPr>
            <w:r w:rsidRPr="00306953">
              <w:rPr>
                <w:rFonts w:cs="Arial"/>
                <w:sz w:val="16"/>
                <w:szCs w:val="16"/>
              </w:rPr>
              <w:t>5 839</w:t>
            </w:r>
          </w:p>
        </w:tc>
        <w:tc>
          <w:tcPr>
            <w:tcW w:w="1559" w:type="dxa"/>
            <w:vMerge w:val="restart"/>
            <w:tcBorders>
              <w:top w:val="double" w:sz="4" w:space="0" w:color="auto"/>
              <w:left w:val="single" w:sz="4" w:space="0" w:color="auto"/>
              <w:bottom w:val="double" w:sz="4" w:space="0" w:color="auto"/>
              <w:right w:val="double" w:sz="4" w:space="0" w:color="auto"/>
            </w:tcBorders>
            <w:shd w:val="clear" w:color="000000" w:fill="D9D9D9"/>
            <w:noWrap/>
            <w:vAlign w:val="bottom"/>
            <w:hideMark/>
          </w:tcPr>
          <w:p w:rsidR="00306953" w:rsidRPr="00306953" w:rsidRDefault="00306953" w:rsidP="008E59C3">
            <w:pPr>
              <w:keepNext/>
              <w:spacing w:after="0" w:line="240" w:lineRule="auto"/>
              <w:rPr>
                <w:rFonts w:cs="Arial"/>
                <w:color w:val="000000"/>
                <w:sz w:val="18"/>
                <w:szCs w:val="18"/>
              </w:rPr>
            </w:pPr>
            <w:r w:rsidRPr="00306953">
              <w:rPr>
                <w:rFonts w:cs="Arial"/>
                <w:color w:val="000000"/>
                <w:sz w:val="18"/>
                <w:szCs w:val="18"/>
              </w:rPr>
              <w:t> </w:t>
            </w:r>
          </w:p>
        </w:tc>
      </w:tr>
      <w:tr w:rsidR="00306953" w:rsidRPr="00306953" w:rsidTr="00BF267F">
        <w:trPr>
          <w:trHeight w:val="255"/>
        </w:trPr>
        <w:tc>
          <w:tcPr>
            <w:tcW w:w="1848" w:type="dxa"/>
            <w:vMerge/>
            <w:tcBorders>
              <w:top w:val="single" w:sz="4" w:space="0" w:color="auto"/>
              <w:left w:val="double" w:sz="4" w:space="0" w:color="auto"/>
              <w:bottom w:val="single" w:sz="4" w:space="0" w:color="auto"/>
              <w:right w:val="single" w:sz="4" w:space="0" w:color="auto"/>
            </w:tcBorders>
            <w:vAlign w:val="center"/>
            <w:hideMark/>
          </w:tcPr>
          <w:p w:rsidR="00306953" w:rsidRPr="00306953" w:rsidRDefault="00306953" w:rsidP="008E59C3">
            <w:pPr>
              <w:keepNext/>
              <w:spacing w:after="0" w:line="240" w:lineRule="auto"/>
              <w:rPr>
                <w:rFonts w:cs="Arial"/>
                <w:color w:val="000000"/>
                <w:sz w:val="16"/>
                <w:szCs w:val="16"/>
              </w:rPr>
            </w:pP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rsidR="00306953" w:rsidRPr="00306953" w:rsidRDefault="00306953" w:rsidP="008E59C3">
            <w:pPr>
              <w:keepNext/>
              <w:spacing w:after="0" w:line="240" w:lineRule="auto"/>
              <w:rPr>
                <w:rFonts w:cs="Arial"/>
                <w:color w:val="000000"/>
                <w:sz w:val="16"/>
                <w:szCs w:val="16"/>
              </w:rPr>
            </w:pPr>
            <w:r w:rsidRPr="00306953">
              <w:rPr>
                <w:rFonts w:cs="Arial"/>
                <w:color w:val="000000"/>
                <w:sz w:val="16"/>
                <w:szCs w:val="16"/>
              </w:rPr>
              <w:t>Estonsko</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keepNext/>
              <w:spacing w:after="0" w:line="240" w:lineRule="auto"/>
              <w:jc w:val="center"/>
              <w:rPr>
                <w:rFonts w:cs="Arial"/>
                <w:color w:val="000000"/>
                <w:sz w:val="16"/>
                <w:szCs w:val="16"/>
              </w:rPr>
            </w:pPr>
            <w:r w:rsidRPr="00306953">
              <w:rPr>
                <w:rFonts w:cs="Arial"/>
                <w:color w:val="000000"/>
                <w:sz w:val="16"/>
                <w:szCs w:val="16"/>
              </w:rPr>
              <w:t>6 309</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keepNext/>
              <w:spacing w:after="0" w:line="240" w:lineRule="auto"/>
              <w:jc w:val="center"/>
              <w:rPr>
                <w:rFonts w:cs="Arial"/>
                <w:sz w:val="16"/>
                <w:szCs w:val="16"/>
              </w:rPr>
            </w:pPr>
            <w:r w:rsidRPr="00306953">
              <w:rPr>
                <w:rFonts w:cs="Arial"/>
                <w:sz w:val="16"/>
                <w:szCs w:val="16"/>
              </w:rPr>
              <w:t>4 799</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keepNext/>
              <w:spacing w:after="0" w:line="240" w:lineRule="auto"/>
              <w:jc w:val="center"/>
              <w:rPr>
                <w:rFonts w:cs="Arial"/>
                <w:sz w:val="16"/>
                <w:szCs w:val="16"/>
              </w:rPr>
            </w:pPr>
            <w:r w:rsidRPr="00306953">
              <w:rPr>
                <w:rFonts w:cs="Arial"/>
                <w:sz w:val="16"/>
                <w:szCs w:val="16"/>
              </w:rPr>
              <w:t>6 244</w:t>
            </w:r>
          </w:p>
        </w:tc>
        <w:tc>
          <w:tcPr>
            <w:tcW w:w="1559" w:type="dxa"/>
            <w:vMerge/>
            <w:tcBorders>
              <w:top w:val="single" w:sz="4" w:space="0" w:color="auto"/>
              <w:left w:val="single" w:sz="4" w:space="0" w:color="auto"/>
              <w:bottom w:val="double" w:sz="4" w:space="0" w:color="auto"/>
              <w:right w:val="double" w:sz="4" w:space="0" w:color="auto"/>
            </w:tcBorders>
            <w:vAlign w:val="center"/>
            <w:hideMark/>
          </w:tcPr>
          <w:p w:rsidR="00306953" w:rsidRPr="00306953" w:rsidRDefault="00306953" w:rsidP="008E59C3">
            <w:pPr>
              <w:keepNext/>
              <w:spacing w:after="0" w:line="240" w:lineRule="auto"/>
              <w:rPr>
                <w:rFonts w:cs="Arial"/>
                <w:color w:val="000000"/>
                <w:sz w:val="18"/>
                <w:szCs w:val="18"/>
              </w:rPr>
            </w:pPr>
          </w:p>
        </w:tc>
      </w:tr>
      <w:tr w:rsidR="00306953" w:rsidRPr="00306953" w:rsidTr="00BF267F">
        <w:trPr>
          <w:trHeight w:val="255"/>
        </w:trPr>
        <w:tc>
          <w:tcPr>
            <w:tcW w:w="1848" w:type="dxa"/>
            <w:vMerge/>
            <w:tcBorders>
              <w:top w:val="single" w:sz="4" w:space="0" w:color="auto"/>
              <w:left w:val="double" w:sz="4" w:space="0" w:color="auto"/>
              <w:bottom w:val="single" w:sz="4" w:space="0" w:color="auto"/>
              <w:right w:val="single" w:sz="4" w:space="0" w:color="auto"/>
            </w:tcBorders>
            <w:vAlign w:val="center"/>
            <w:hideMark/>
          </w:tcPr>
          <w:p w:rsidR="00306953" w:rsidRPr="00306953" w:rsidRDefault="00306953" w:rsidP="008E59C3">
            <w:pPr>
              <w:keepNext/>
              <w:spacing w:after="0" w:line="240" w:lineRule="auto"/>
              <w:rPr>
                <w:rFonts w:cs="Arial"/>
                <w:color w:val="000000"/>
                <w:sz w:val="16"/>
                <w:szCs w:val="16"/>
              </w:rPr>
            </w:pP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rsidR="00306953" w:rsidRPr="00306953" w:rsidRDefault="00306953" w:rsidP="008E59C3">
            <w:pPr>
              <w:keepNext/>
              <w:spacing w:after="0" w:line="240" w:lineRule="auto"/>
              <w:rPr>
                <w:rFonts w:cs="Arial"/>
                <w:color w:val="000000"/>
                <w:sz w:val="16"/>
                <w:szCs w:val="16"/>
              </w:rPr>
            </w:pPr>
            <w:r w:rsidRPr="00306953">
              <w:rPr>
                <w:rFonts w:cs="Arial"/>
                <w:color w:val="000000"/>
                <w:sz w:val="16"/>
                <w:szCs w:val="16"/>
              </w:rPr>
              <w:t>Finsko</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keepNext/>
              <w:spacing w:after="0" w:line="240" w:lineRule="auto"/>
              <w:jc w:val="center"/>
              <w:rPr>
                <w:rFonts w:cs="Arial"/>
                <w:color w:val="000000"/>
                <w:sz w:val="16"/>
                <w:szCs w:val="16"/>
              </w:rPr>
            </w:pPr>
            <w:r w:rsidRPr="00306953">
              <w:rPr>
                <w:rFonts w:cs="Arial"/>
                <w:color w:val="000000"/>
                <w:sz w:val="16"/>
                <w:szCs w:val="16"/>
              </w:rPr>
              <w:t>9 284</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keepNext/>
              <w:spacing w:after="0" w:line="240" w:lineRule="auto"/>
              <w:jc w:val="center"/>
              <w:rPr>
                <w:rFonts w:cs="Arial"/>
                <w:sz w:val="16"/>
                <w:szCs w:val="16"/>
              </w:rPr>
            </w:pPr>
            <w:r w:rsidRPr="00306953">
              <w:rPr>
                <w:rFonts w:cs="Arial"/>
                <w:sz w:val="16"/>
                <w:szCs w:val="16"/>
              </w:rPr>
              <w:t>9 266</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keepNext/>
              <w:spacing w:after="0" w:line="240" w:lineRule="auto"/>
              <w:jc w:val="center"/>
              <w:rPr>
                <w:rFonts w:cs="Arial"/>
                <w:sz w:val="16"/>
                <w:szCs w:val="16"/>
              </w:rPr>
            </w:pPr>
            <w:r w:rsidRPr="00306953">
              <w:rPr>
                <w:rFonts w:cs="Arial"/>
                <w:sz w:val="16"/>
                <w:szCs w:val="16"/>
              </w:rPr>
              <w:t>9 283</w:t>
            </w:r>
          </w:p>
        </w:tc>
        <w:tc>
          <w:tcPr>
            <w:tcW w:w="1559" w:type="dxa"/>
            <w:vMerge/>
            <w:tcBorders>
              <w:top w:val="single" w:sz="4" w:space="0" w:color="auto"/>
              <w:left w:val="single" w:sz="4" w:space="0" w:color="auto"/>
              <w:bottom w:val="double" w:sz="4" w:space="0" w:color="auto"/>
              <w:right w:val="double" w:sz="4" w:space="0" w:color="auto"/>
            </w:tcBorders>
            <w:vAlign w:val="center"/>
            <w:hideMark/>
          </w:tcPr>
          <w:p w:rsidR="00306953" w:rsidRPr="00306953" w:rsidRDefault="00306953" w:rsidP="008E59C3">
            <w:pPr>
              <w:keepNext/>
              <w:spacing w:after="0" w:line="240" w:lineRule="auto"/>
              <w:rPr>
                <w:rFonts w:cs="Arial"/>
                <w:color w:val="000000"/>
                <w:sz w:val="18"/>
                <w:szCs w:val="18"/>
              </w:rPr>
            </w:pPr>
          </w:p>
        </w:tc>
      </w:tr>
      <w:tr w:rsidR="00306953" w:rsidRPr="00306953" w:rsidTr="00BF267F">
        <w:trPr>
          <w:trHeight w:val="255"/>
        </w:trPr>
        <w:tc>
          <w:tcPr>
            <w:tcW w:w="1848" w:type="dxa"/>
            <w:vMerge/>
            <w:tcBorders>
              <w:top w:val="single" w:sz="4" w:space="0" w:color="auto"/>
              <w:left w:val="double" w:sz="4" w:space="0" w:color="auto"/>
              <w:bottom w:val="single" w:sz="4" w:space="0" w:color="auto"/>
              <w:right w:val="single" w:sz="4" w:space="0" w:color="auto"/>
            </w:tcBorders>
            <w:vAlign w:val="center"/>
            <w:hideMark/>
          </w:tcPr>
          <w:p w:rsidR="00306953" w:rsidRPr="00306953" w:rsidRDefault="00306953" w:rsidP="008E59C3">
            <w:pPr>
              <w:keepNext/>
              <w:spacing w:after="0" w:line="240" w:lineRule="auto"/>
              <w:rPr>
                <w:rFonts w:cs="Arial"/>
                <w:color w:val="000000"/>
                <w:sz w:val="16"/>
                <w:szCs w:val="16"/>
              </w:rPr>
            </w:pP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rsidR="00306953" w:rsidRPr="00306953" w:rsidRDefault="00306953" w:rsidP="008E59C3">
            <w:pPr>
              <w:keepNext/>
              <w:spacing w:after="0" w:line="240" w:lineRule="auto"/>
              <w:rPr>
                <w:rFonts w:cs="Arial"/>
                <w:color w:val="000000"/>
                <w:sz w:val="16"/>
                <w:szCs w:val="16"/>
              </w:rPr>
            </w:pPr>
            <w:r w:rsidRPr="00306953">
              <w:rPr>
                <w:rFonts w:cs="Arial"/>
                <w:color w:val="000000"/>
                <w:sz w:val="16"/>
                <w:szCs w:val="16"/>
              </w:rPr>
              <w:t>Polsko</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keepNext/>
              <w:spacing w:after="0" w:line="240" w:lineRule="auto"/>
              <w:jc w:val="center"/>
              <w:rPr>
                <w:rFonts w:cs="Arial"/>
                <w:color w:val="000000"/>
                <w:sz w:val="16"/>
                <w:szCs w:val="16"/>
              </w:rPr>
            </w:pPr>
            <w:r w:rsidRPr="00306953">
              <w:rPr>
                <w:rFonts w:cs="Arial"/>
                <w:color w:val="000000"/>
                <w:sz w:val="16"/>
                <w:szCs w:val="16"/>
              </w:rPr>
              <w:t>5 809</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keepNext/>
              <w:spacing w:after="0" w:line="240" w:lineRule="auto"/>
              <w:jc w:val="center"/>
              <w:rPr>
                <w:rFonts w:cs="Arial"/>
                <w:sz w:val="16"/>
                <w:szCs w:val="16"/>
              </w:rPr>
            </w:pPr>
            <w:r w:rsidRPr="00306953">
              <w:rPr>
                <w:rFonts w:cs="Arial"/>
                <w:sz w:val="16"/>
                <w:szCs w:val="16"/>
              </w:rPr>
              <w:t>3 610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keepNext/>
              <w:spacing w:after="0" w:line="240" w:lineRule="auto"/>
              <w:jc w:val="center"/>
              <w:rPr>
                <w:rFonts w:cs="Arial"/>
                <w:sz w:val="16"/>
                <w:szCs w:val="16"/>
              </w:rPr>
            </w:pPr>
            <w:r w:rsidRPr="00306953">
              <w:rPr>
                <w:rFonts w:cs="Arial"/>
                <w:sz w:val="16"/>
                <w:szCs w:val="16"/>
              </w:rPr>
              <w:t>5 636</w:t>
            </w:r>
          </w:p>
        </w:tc>
        <w:tc>
          <w:tcPr>
            <w:tcW w:w="1559" w:type="dxa"/>
            <w:vMerge/>
            <w:tcBorders>
              <w:top w:val="single" w:sz="4" w:space="0" w:color="auto"/>
              <w:left w:val="single" w:sz="4" w:space="0" w:color="auto"/>
              <w:bottom w:val="double" w:sz="4" w:space="0" w:color="auto"/>
              <w:right w:val="double" w:sz="4" w:space="0" w:color="auto"/>
            </w:tcBorders>
            <w:vAlign w:val="center"/>
            <w:hideMark/>
          </w:tcPr>
          <w:p w:rsidR="00306953" w:rsidRPr="00306953" w:rsidRDefault="00306953" w:rsidP="008E59C3">
            <w:pPr>
              <w:keepNext/>
              <w:spacing w:after="0" w:line="240" w:lineRule="auto"/>
              <w:rPr>
                <w:rFonts w:cs="Arial"/>
                <w:color w:val="000000"/>
                <w:sz w:val="18"/>
                <w:szCs w:val="18"/>
              </w:rPr>
            </w:pPr>
          </w:p>
        </w:tc>
      </w:tr>
      <w:tr w:rsidR="00306953" w:rsidRPr="00306953" w:rsidTr="00B75C16">
        <w:trPr>
          <w:trHeight w:val="255"/>
        </w:trPr>
        <w:tc>
          <w:tcPr>
            <w:tcW w:w="1848" w:type="dxa"/>
            <w:vMerge/>
            <w:tcBorders>
              <w:top w:val="single" w:sz="4" w:space="0" w:color="auto"/>
              <w:left w:val="double" w:sz="4" w:space="0" w:color="auto"/>
              <w:bottom w:val="single" w:sz="4" w:space="0" w:color="auto"/>
              <w:right w:val="single" w:sz="4" w:space="0" w:color="auto"/>
            </w:tcBorders>
            <w:vAlign w:val="center"/>
            <w:hideMark/>
          </w:tcPr>
          <w:p w:rsidR="00306953" w:rsidRPr="00306953" w:rsidRDefault="00306953" w:rsidP="008E59C3">
            <w:pPr>
              <w:keepNext/>
              <w:spacing w:after="0" w:line="240" w:lineRule="auto"/>
              <w:rPr>
                <w:rFonts w:cs="Arial"/>
                <w:color w:val="000000"/>
                <w:sz w:val="16"/>
                <w:szCs w:val="16"/>
              </w:rPr>
            </w:pP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rsidR="00306953" w:rsidRPr="00306953" w:rsidRDefault="00306953" w:rsidP="008E59C3">
            <w:pPr>
              <w:keepNext/>
              <w:spacing w:after="0" w:line="240" w:lineRule="auto"/>
              <w:rPr>
                <w:rFonts w:cs="Arial"/>
                <w:color w:val="000000"/>
                <w:sz w:val="16"/>
                <w:szCs w:val="16"/>
                <w:vertAlign w:val="superscript"/>
              </w:rPr>
            </w:pPr>
            <w:r w:rsidRPr="00306953">
              <w:rPr>
                <w:rFonts w:cs="Arial"/>
                <w:color w:val="000000"/>
                <w:sz w:val="16"/>
                <w:szCs w:val="16"/>
              </w:rPr>
              <w:t>Slovensko</w:t>
            </w:r>
            <w:r w:rsidRPr="00306953">
              <w:rPr>
                <w:rFonts w:cs="Arial"/>
                <w:color w:val="000000"/>
                <w:sz w:val="16"/>
                <w:szCs w:val="16"/>
                <w:vertAlign w:val="superscript"/>
              </w:rPr>
              <w:t>1</w:t>
            </w:r>
            <w:r w:rsidR="0059117B">
              <w:rPr>
                <w:rFonts w:cs="Arial"/>
                <w:color w:val="000000"/>
                <w:sz w:val="16"/>
                <w:szCs w:val="16"/>
                <w:vertAlign w:val="superscript"/>
              </w:rPr>
              <w:t>)</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keepNext/>
              <w:spacing w:after="0" w:line="240" w:lineRule="auto"/>
              <w:jc w:val="center"/>
              <w:rPr>
                <w:rFonts w:cs="Arial"/>
                <w:color w:val="000000"/>
                <w:sz w:val="16"/>
                <w:szCs w:val="16"/>
              </w:rPr>
            </w:pPr>
            <w:r w:rsidRPr="00306953">
              <w:rPr>
                <w:rFonts w:cs="Arial"/>
                <w:color w:val="000000"/>
                <w:sz w:val="16"/>
                <w:szCs w:val="16"/>
              </w:rPr>
              <w:t>4 605</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keepNext/>
              <w:spacing w:after="0" w:line="240" w:lineRule="auto"/>
              <w:jc w:val="center"/>
              <w:rPr>
                <w:rFonts w:cs="Arial"/>
                <w:sz w:val="16"/>
                <w:szCs w:val="16"/>
              </w:rPr>
            </w:pPr>
            <w:r w:rsidRPr="00306953">
              <w:rPr>
                <w:rFonts w:cs="Arial"/>
                <w:sz w:val="16"/>
                <w:szCs w:val="16"/>
              </w:rPr>
              <w:t>4 659</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keepNext/>
              <w:spacing w:after="0" w:line="240" w:lineRule="auto"/>
              <w:jc w:val="center"/>
              <w:rPr>
                <w:rFonts w:cs="Arial"/>
                <w:sz w:val="16"/>
                <w:szCs w:val="16"/>
              </w:rPr>
            </w:pPr>
            <w:r w:rsidRPr="00306953">
              <w:rPr>
                <w:rFonts w:cs="Arial"/>
                <w:sz w:val="16"/>
                <w:szCs w:val="16"/>
              </w:rPr>
              <w:t>4 610</w:t>
            </w:r>
          </w:p>
        </w:tc>
        <w:tc>
          <w:tcPr>
            <w:tcW w:w="1559" w:type="dxa"/>
            <w:vMerge/>
            <w:tcBorders>
              <w:top w:val="single" w:sz="4" w:space="0" w:color="auto"/>
              <w:left w:val="single" w:sz="4" w:space="0" w:color="auto"/>
              <w:bottom w:val="single" w:sz="4" w:space="0" w:color="auto"/>
              <w:right w:val="double" w:sz="4" w:space="0" w:color="auto"/>
            </w:tcBorders>
            <w:vAlign w:val="center"/>
            <w:hideMark/>
          </w:tcPr>
          <w:p w:rsidR="00306953" w:rsidRPr="00306953" w:rsidRDefault="00306953" w:rsidP="008E59C3">
            <w:pPr>
              <w:keepNext/>
              <w:spacing w:after="0" w:line="240" w:lineRule="auto"/>
              <w:rPr>
                <w:rFonts w:cs="Arial"/>
                <w:color w:val="000000"/>
                <w:sz w:val="18"/>
                <w:szCs w:val="18"/>
              </w:rPr>
            </w:pPr>
          </w:p>
        </w:tc>
      </w:tr>
      <w:tr w:rsidR="00306953" w:rsidRPr="00306953" w:rsidTr="00B75C16">
        <w:trPr>
          <w:trHeight w:val="255"/>
        </w:trPr>
        <w:tc>
          <w:tcPr>
            <w:tcW w:w="1848" w:type="dxa"/>
            <w:vMerge w:val="restart"/>
            <w:tcBorders>
              <w:top w:val="single" w:sz="4" w:space="0" w:color="auto"/>
              <w:left w:val="double" w:sz="4" w:space="0" w:color="auto"/>
              <w:bottom w:val="single" w:sz="4" w:space="0" w:color="auto"/>
              <w:right w:val="single" w:sz="4" w:space="0" w:color="auto"/>
            </w:tcBorders>
            <w:shd w:val="clear" w:color="000000" w:fill="FFFFFF"/>
            <w:vAlign w:val="center"/>
            <w:hideMark/>
          </w:tcPr>
          <w:p w:rsidR="00306953" w:rsidRPr="00306953" w:rsidRDefault="00EA6A4F" w:rsidP="008E59C3">
            <w:pPr>
              <w:keepNext/>
              <w:spacing w:after="0" w:line="240" w:lineRule="auto"/>
              <w:rPr>
                <w:rFonts w:cs="Arial"/>
                <w:color w:val="000000"/>
                <w:sz w:val="16"/>
                <w:szCs w:val="16"/>
              </w:rPr>
            </w:pPr>
            <w:r>
              <w:rPr>
                <w:rFonts w:cs="Arial"/>
                <w:color w:val="000000"/>
                <w:sz w:val="16"/>
                <w:szCs w:val="16"/>
              </w:rPr>
              <w:t>t</w:t>
            </w:r>
            <w:r w:rsidR="00306953" w:rsidRPr="00306953">
              <w:rPr>
                <w:rFonts w:cs="Arial"/>
                <w:color w:val="000000"/>
                <w:sz w:val="16"/>
                <w:szCs w:val="16"/>
              </w:rPr>
              <w:t xml:space="preserve">erciární vzdělávání </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rsidR="00306953" w:rsidRPr="00306953" w:rsidRDefault="00306953" w:rsidP="008E59C3">
            <w:pPr>
              <w:keepNext/>
              <w:spacing w:after="0" w:line="240" w:lineRule="auto"/>
              <w:rPr>
                <w:rFonts w:cs="Arial"/>
                <w:color w:val="000000"/>
                <w:sz w:val="16"/>
                <w:szCs w:val="16"/>
              </w:rPr>
            </w:pPr>
            <w:r w:rsidRPr="00306953">
              <w:rPr>
                <w:rFonts w:cs="Arial"/>
                <w:color w:val="000000"/>
                <w:sz w:val="16"/>
                <w:szCs w:val="16"/>
              </w:rPr>
              <w:t>Česká republika</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keepNext/>
              <w:spacing w:after="0" w:line="240" w:lineRule="auto"/>
              <w:jc w:val="center"/>
              <w:rPr>
                <w:rFonts w:cs="Arial"/>
                <w:color w:val="000000"/>
                <w:sz w:val="16"/>
                <w:szCs w:val="16"/>
              </w:rPr>
            </w:pPr>
            <w:r w:rsidRPr="00306953">
              <w:rPr>
                <w:rFonts w:cs="Arial"/>
                <w:color w:val="000000"/>
                <w:sz w:val="16"/>
                <w:szCs w:val="16"/>
              </w:rPr>
              <w:t>8 097</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keepNext/>
              <w:spacing w:after="0" w:line="240" w:lineRule="auto"/>
              <w:jc w:val="center"/>
              <w:rPr>
                <w:rFonts w:cs="Arial"/>
                <w:sz w:val="16"/>
                <w:szCs w:val="16"/>
              </w:rPr>
            </w:pPr>
            <w:r w:rsidRPr="00306953">
              <w:rPr>
                <w:rFonts w:cs="Arial"/>
                <w:sz w:val="16"/>
                <w:szCs w:val="16"/>
              </w:rPr>
              <w:t>402</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keepNext/>
              <w:spacing w:after="0" w:line="240" w:lineRule="auto"/>
              <w:jc w:val="center"/>
              <w:rPr>
                <w:rFonts w:cs="Arial"/>
                <w:sz w:val="16"/>
                <w:szCs w:val="16"/>
              </w:rPr>
            </w:pPr>
            <w:r w:rsidRPr="00306953">
              <w:rPr>
                <w:rFonts w:cs="Arial"/>
                <w:sz w:val="16"/>
                <w:szCs w:val="16"/>
              </w:rPr>
              <w:t>7 016</w:t>
            </w:r>
          </w:p>
        </w:tc>
        <w:tc>
          <w:tcPr>
            <w:tcW w:w="1559" w:type="dxa"/>
            <w:tcBorders>
              <w:top w:val="single" w:sz="4" w:space="0" w:color="auto"/>
              <w:left w:val="nil"/>
              <w:bottom w:val="single" w:sz="4" w:space="0" w:color="auto"/>
              <w:right w:val="double" w:sz="4" w:space="0" w:color="auto"/>
            </w:tcBorders>
            <w:shd w:val="clear" w:color="auto" w:fill="auto"/>
            <w:noWrap/>
            <w:vAlign w:val="center"/>
            <w:hideMark/>
          </w:tcPr>
          <w:p w:rsidR="00306953" w:rsidRPr="00306953" w:rsidRDefault="00306953" w:rsidP="007E5BD0">
            <w:pPr>
              <w:keepNext/>
              <w:spacing w:after="0" w:line="240" w:lineRule="auto"/>
              <w:jc w:val="center"/>
              <w:rPr>
                <w:rFonts w:cs="Arial"/>
                <w:color w:val="000000"/>
                <w:sz w:val="16"/>
                <w:szCs w:val="16"/>
              </w:rPr>
            </w:pPr>
            <w:r w:rsidRPr="00306953">
              <w:rPr>
                <w:rFonts w:cs="Arial"/>
                <w:color w:val="000000"/>
                <w:sz w:val="16"/>
                <w:szCs w:val="16"/>
              </w:rPr>
              <w:t>2168</w:t>
            </w:r>
          </w:p>
        </w:tc>
      </w:tr>
      <w:tr w:rsidR="00306953" w:rsidRPr="00306953" w:rsidTr="00B75C16">
        <w:trPr>
          <w:trHeight w:val="255"/>
        </w:trPr>
        <w:tc>
          <w:tcPr>
            <w:tcW w:w="1848" w:type="dxa"/>
            <w:vMerge/>
            <w:tcBorders>
              <w:top w:val="single" w:sz="4" w:space="0" w:color="auto"/>
              <w:left w:val="double" w:sz="4" w:space="0" w:color="auto"/>
              <w:bottom w:val="single" w:sz="4" w:space="0" w:color="auto"/>
              <w:right w:val="single" w:sz="4" w:space="0" w:color="auto"/>
            </w:tcBorders>
            <w:vAlign w:val="center"/>
            <w:hideMark/>
          </w:tcPr>
          <w:p w:rsidR="00306953" w:rsidRPr="00306953" w:rsidRDefault="00306953" w:rsidP="008E59C3">
            <w:pPr>
              <w:keepNext/>
              <w:spacing w:after="0" w:line="240" w:lineRule="auto"/>
              <w:rPr>
                <w:rFonts w:cs="Arial"/>
                <w:color w:val="000000"/>
                <w:sz w:val="16"/>
                <w:szCs w:val="16"/>
              </w:rPr>
            </w:pP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rsidR="00306953" w:rsidRPr="00306953" w:rsidRDefault="00306953" w:rsidP="008E59C3">
            <w:pPr>
              <w:keepNext/>
              <w:spacing w:after="0" w:line="240" w:lineRule="auto"/>
              <w:rPr>
                <w:rFonts w:cs="Arial"/>
                <w:color w:val="000000"/>
                <w:sz w:val="16"/>
                <w:szCs w:val="16"/>
              </w:rPr>
            </w:pPr>
            <w:r w:rsidRPr="00306953">
              <w:rPr>
                <w:rFonts w:cs="Arial"/>
                <w:color w:val="000000"/>
                <w:sz w:val="16"/>
                <w:szCs w:val="16"/>
              </w:rPr>
              <w:t>Estonsko</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keepNext/>
              <w:spacing w:after="0" w:line="240" w:lineRule="auto"/>
              <w:jc w:val="center"/>
              <w:rPr>
                <w:rFonts w:cs="Arial"/>
                <w:color w:val="000000"/>
                <w:sz w:val="16"/>
                <w:szCs w:val="16"/>
              </w:rPr>
            </w:pPr>
            <w:r w:rsidRPr="00306953">
              <w:rPr>
                <w:rFonts w:cs="Arial"/>
                <w:color w:val="000000"/>
                <w:sz w:val="16"/>
                <w:szCs w:val="16"/>
              </w:rPr>
              <w:t>7 329</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keepNext/>
              <w:spacing w:after="0" w:line="240" w:lineRule="auto"/>
              <w:jc w:val="center"/>
              <w:rPr>
                <w:rFonts w:cs="Arial"/>
                <w:sz w:val="16"/>
                <w:szCs w:val="16"/>
              </w:rPr>
            </w:pPr>
            <w:r w:rsidRPr="00306953">
              <w:rPr>
                <w:rFonts w:cs="Arial"/>
                <w:sz w:val="16"/>
                <w:szCs w:val="16"/>
              </w:rPr>
              <w:t>4 260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keepNext/>
              <w:spacing w:after="0" w:line="240" w:lineRule="auto"/>
              <w:jc w:val="center"/>
              <w:rPr>
                <w:rFonts w:cs="Arial"/>
                <w:sz w:val="16"/>
                <w:szCs w:val="16"/>
              </w:rPr>
            </w:pPr>
            <w:r w:rsidRPr="00306953">
              <w:rPr>
                <w:rFonts w:cs="Arial"/>
                <w:sz w:val="16"/>
                <w:szCs w:val="16"/>
              </w:rPr>
              <w:t>4 795</w:t>
            </w:r>
          </w:p>
        </w:tc>
        <w:tc>
          <w:tcPr>
            <w:tcW w:w="1559" w:type="dxa"/>
            <w:tcBorders>
              <w:top w:val="single" w:sz="4" w:space="0" w:color="auto"/>
              <w:left w:val="nil"/>
              <w:bottom w:val="single" w:sz="4" w:space="0" w:color="auto"/>
              <w:right w:val="double" w:sz="4" w:space="0" w:color="auto"/>
            </w:tcBorders>
            <w:shd w:val="clear" w:color="auto" w:fill="auto"/>
            <w:noWrap/>
            <w:vAlign w:val="center"/>
            <w:hideMark/>
          </w:tcPr>
          <w:p w:rsidR="00306953" w:rsidRPr="00306953" w:rsidRDefault="00306953" w:rsidP="007E5BD0">
            <w:pPr>
              <w:keepNext/>
              <w:spacing w:after="0" w:line="240" w:lineRule="auto"/>
              <w:jc w:val="center"/>
              <w:rPr>
                <w:rFonts w:cs="Arial"/>
                <w:color w:val="000000"/>
                <w:sz w:val="16"/>
                <w:szCs w:val="16"/>
              </w:rPr>
            </w:pPr>
            <w:r w:rsidRPr="00306953">
              <w:rPr>
                <w:rFonts w:cs="Arial"/>
                <w:color w:val="000000"/>
                <w:sz w:val="16"/>
                <w:szCs w:val="16"/>
              </w:rPr>
              <w:t>2 798</w:t>
            </w:r>
          </w:p>
        </w:tc>
      </w:tr>
      <w:tr w:rsidR="00306953" w:rsidRPr="00306953" w:rsidTr="00B75C16">
        <w:trPr>
          <w:trHeight w:val="255"/>
        </w:trPr>
        <w:tc>
          <w:tcPr>
            <w:tcW w:w="1848" w:type="dxa"/>
            <w:vMerge/>
            <w:tcBorders>
              <w:top w:val="single" w:sz="4" w:space="0" w:color="auto"/>
              <w:left w:val="double" w:sz="4" w:space="0" w:color="auto"/>
              <w:bottom w:val="single" w:sz="4" w:space="0" w:color="auto"/>
              <w:right w:val="single" w:sz="4" w:space="0" w:color="auto"/>
            </w:tcBorders>
            <w:vAlign w:val="center"/>
            <w:hideMark/>
          </w:tcPr>
          <w:p w:rsidR="00306953" w:rsidRPr="00306953" w:rsidRDefault="00306953" w:rsidP="008E59C3">
            <w:pPr>
              <w:keepNext/>
              <w:spacing w:after="0" w:line="240" w:lineRule="auto"/>
              <w:rPr>
                <w:rFonts w:cs="Arial"/>
                <w:color w:val="000000"/>
                <w:sz w:val="16"/>
                <w:szCs w:val="16"/>
              </w:rPr>
            </w:pP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rsidR="00306953" w:rsidRPr="00306953" w:rsidRDefault="00306953" w:rsidP="008E59C3">
            <w:pPr>
              <w:keepNext/>
              <w:spacing w:after="0" w:line="240" w:lineRule="auto"/>
              <w:rPr>
                <w:rFonts w:cs="Arial"/>
                <w:color w:val="000000"/>
                <w:sz w:val="16"/>
                <w:szCs w:val="16"/>
              </w:rPr>
            </w:pPr>
            <w:r w:rsidRPr="00306953">
              <w:rPr>
                <w:rFonts w:cs="Arial"/>
                <w:color w:val="000000"/>
                <w:sz w:val="16"/>
                <w:szCs w:val="16"/>
              </w:rPr>
              <w:t>Finsko</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keepNext/>
              <w:spacing w:after="0" w:line="240" w:lineRule="auto"/>
              <w:jc w:val="center"/>
              <w:rPr>
                <w:rFonts w:cs="Arial"/>
                <w:color w:val="000000"/>
                <w:sz w:val="16"/>
                <w:szCs w:val="16"/>
              </w:rPr>
            </w:pPr>
            <w:r w:rsidRPr="00306953">
              <w:rPr>
                <w:rFonts w:cs="Arial"/>
                <w:color w:val="000000"/>
                <w:sz w:val="16"/>
                <w:szCs w:val="16"/>
              </w:rPr>
              <w:t>20 194</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keepNext/>
              <w:spacing w:after="0" w:line="240" w:lineRule="auto"/>
              <w:jc w:val="center"/>
              <w:rPr>
                <w:rFonts w:cs="Arial"/>
                <w:sz w:val="16"/>
                <w:szCs w:val="16"/>
              </w:rPr>
            </w:pPr>
            <w:r w:rsidRPr="00306953">
              <w:rPr>
                <w:rFonts w:cs="Arial"/>
                <w:sz w:val="16"/>
                <w:szCs w:val="16"/>
              </w:rPr>
              <w:t>9 713</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keepNext/>
              <w:spacing w:after="0" w:line="240" w:lineRule="auto"/>
              <w:jc w:val="center"/>
              <w:rPr>
                <w:rFonts w:cs="Arial"/>
                <w:sz w:val="16"/>
                <w:szCs w:val="16"/>
              </w:rPr>
            </w:pPr>
            <w:r w:rsidRPr="00306953">
              <w:rPr>
                <w:rFonts w:cs="Arial"/>
                <w:sz w:val="16"/>
                <w:szCs w:val="16"/>
              </w:rPr>
              <w:t>17 181</w:t>
            </w:r>
          </w:p>
        </w:tc>
        <w:tc>
          <w:tcPr>
            <w:tcW w:w="1559" w:type="dxa"/>
            <w:tcBorders>
              <w:top w:val="single" w:sz="4" w:space="0" w:color="auto"/>
              <w:left w:val="nil"/>
              <w:bottom w:val="single" w:sz="4" w:space="0" w:color="auto"/>
              <w:right w:val="double" w:sz="4" w:space="0" w:color="auto"/>
            </w:tcBorders>
            <w:shd w:val="clear" w:color="auto" w:fill="auto"/>
            <w:noWrap/>
            <w:vAlign w:val="center"/>
            <w:hideMark/>
          </w:tcPr>
          <w:p w:rsidR="00306953" w:rsidRPr="00306953" w:rsidRDefault="00306953" w:rsidP="007E5BD0">
            <w:pPr>
              <w:keepNext/>
              <w:spacing w:after="0" w:line="240" w:lineRule="auto"/>
              <w:jc w:val="center"/>
              <w:rPr>
                <w:rFonts w:cs="Arial"/>
                <w:color w:val="000000"/>
                <w:sz w:val="16"/>
                <w:szCs w:val="16"/>
              </w:rPr>
            </w:pPr>
            <w:r w:rsidRPr="00306953">
              <w:rPr>
                <w:rFonts w:cs="Arial"/>
                <w:color w:val="000000"/>
                <w:sz w:val="16"/>
                <w:szCs w:val="16"/>
              </w:rPr>
              <w:t>5 822</w:t>
            </w:r>
          </w:p>
        </w:tc>
      </w:tr>
      <w:tr w:rsidR="00306953" w:rsidRPr="00306953" w:rsidTr="00B75C16">
        <w:trPr>
          <w:trHeight w:val="255"/>
        </w:trPr>
        <w:tc>
          <w:tcPr>
            <w:tcW w:w="1848" w:type="dxa"/>
            <w:vMerge/>
            <w:tcBorders>
              <w:top w:val="single" w:sz="4" w:space="0" w:color="auto"/>
              <w:left w:val="double" w:sz="4" w:space="0" w:color="auto"/>
              <w:bottom w:val="single" w:sz="4" w:space="0" w:color="auto"/>
              <w:right w:val="single" w:sz="4" w:space="0" w:color="auto"/>
            </w:tcBorders>
            <w:vAlign w:val="center"/>
            <w:hideMark/>
          </w:tcPr>
          <w:p w:rsidR="00306953" w:rsidRPr="00306953" w:rsidRDefault="00306953" w:rsidP="008E59C3">
            <w:pPr>
              <w:keepNext/>
              <w:spacing w:after="0" w:line="240" w:lineRule="auto"/>
              <w:rPr>
                <w:rFonts w:cs="Arial"/>
                <w:color w:val="000000"/>
                <w:sz w:val="16"/>
                <w:szCs w:val="16"/>
              </w:rPr>
            </w:pP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rsidR="00306953" w:rsidRPr="00306953" w:rsidRDefault="00306953" w:rsidP="008E59C3">
            <w:pPr>
              <w:keepNext/>
              <w:spacing w:after="0" w:line="240" w:lineRule="auto"/>
              <w:rPr>
                <w:rFonts w:cs="Arial"/>
                <w:color w:val="000000"/>
                <w:sz w:val="16"/>
                <w:szCs w:val="16"/>
              </w:rPr>
            </w:pPr>
            <w:r w:rsidRPr="00306953">
              <w:rPr>
                <w:rFonts w:cs="Arial"/>
                <w:color w:val="000000"/>
                <w:sz w:val="16"/>
                <w:szCs w:val="16"/>
              </w:rPr>
              <w:t>Polsko</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keepNext/>
              <w:spacing w:after="0" w:line="240" w:lineRule="auto"/>
              <w:jc w:val="center"/>
              <w:rPr>
                <w:rFonts w:cs="Arial"/>
                <w:color w:val="000000"/>
                <w:sz w:val="16"/>
                <w:szCs w:val="16"/>
              </w:rPr>
            </w:pPr>
            <w:r w:rsidRPr="00306953">
              <w:rPr>
                <w:rFonts w:cs="Arial"/>
                <w:color w:val="000000"/>
                <w:sz w:val="16"/>
                <w:szCs w:val="16"/>
              </w:rPr>
              <w:t>7 051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keepNext/>
              <w:spacing w:after="0" w:line="240" w:lineRule="auto"/>
              <w:jc w:val="center"/>
              <w:rPr>
                <w:rFonts w:cs="Arial"/>
                <w:sz w:val="16"/>
                <w:szCs w:val="16"/>
              </w:rPr>
            </w:pPr>
            <w:r w:rsidRPr="00306953">
              <w:rPr>
                <w:rFonts w:cs="Arial"/>
                <w:sz w:val="16"/>
                <w:szCs w:val="16"/>
              </w:rPr>
              <w:t>890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keepNext/>
              <w:spacing w:after="0" w:line="240" w:lineRule="auto"/>
              <w:jc w:val="center"/>
              <w:rPr>
                <w:rFonts w:cs="Arial"/>
                <w:sz w:val="16"/>
                <w:szCs w:val="16"/>
              </w:rPr>
            </w:pPr>
            <w:r w:rsidRPr="00306953">
              <w:rPr>
                <w:rFonts w:cs="Arial"/>
                <w:sz w:val="16"/>
                <w:szCs w:val="16"/>
              </w:rPr>
              <w:t>5 637</w:t>
            </w:r>
          </w:p>
        </w:tc>
        <w:tc>
          <w:tcPr>
            <w:tcW w:w="1559" w:type="dxa"/>
            <w:tcBorders>
              <w:top w:val="single" w:sz="4" w:space="0" w:color="auto"/>
              <w:left w:val="nil"/>
              <w:bottom w:val="single" w:sz="4" w:space="0" w:color="auto"/>
              <w:right w:val="double" w:sz="4" w:space="0" w:color="auto"/>
            </w:tcBorders>
            <w:shd w:val="clear" w:color="auto" w:fill="auto"/>
            <w:noWrap/>
            <w:vAlign w:val="center"/>
            <w:hideMark/>
          </w:tcPr>
          <w:p w:rsidR="00306953" w:rsidRPr="00306953" w:rsidRDefault="00306953" w:rsidP="007E5BD0">
            <w:pPr>
              <w:keepNext/>
              <w:spacing w:after="0" w:line="240" w:lineRule="auto"/>
              <w:jc w:val="center"/>
              <w:rPr>
                <w:rFonts w:cs="Arial"/>
                <w:color w:val="000000"/>
                <w:sz w:val="16"/>
                <w:szCs w:val="16"/>
              </w:rPr>
            </w:pPr>
            <w:r w:rsidRPr="00306953">
              <w:rPr>
                <w:rFonts w:cs="Arial"/>
                <w:color w:val="000000"/>
                <w:sz w:val="16"/>
                <w:szCs w:val="16"/>
              </w:rPr>
              <w:t>1 255</w:t>
            </w:r>
          </w:p>
        </w:tc>
      </w:tr>
      <w:tr w:rsidR="00306953" w:rsidRPr="00306953" w:rsidTr="00B75C16">
        <w:trPr>
          <w:trHeight w:val="255"/>
        </w:trPr>
        <w:tc>
          <w:tcPr>
            <w:tcW w:w="1848" w:type="dxa"/>
            <w:vMerge/>
            <w:tcBorders>
              <w:top w:val="single" w:sz="4" w:space="0" w:color="auto"/>
              <w:left w:val="double" w:sz="4" w:space="0" w:color="auto"/>
              <w:bottom w:val="single" w:sz="4" w:space="0" w:color="auto"/>
              <w:right w:val="single" w:sz="4" w:space="0" w:color="auto"/>
            </w:tcBorders>
            <w:vAlign w:val="center"/>
            <w:hideMark/>
          </w:tcPr>
          <w:p w:rsidR="00306953" w:rsidRPr="00306953" w:rsidRDefault="00306953" w:rsidP="008E59C3">
            <w:pPr>
              <w:keepNext/>
              <w:spacing w:after="0" w:line="240" w:lineRule="auto"/>
              <w:rPr>
                <w:rFonts w:cs="Arial"/>
                <w:color w:val="000000"/>
                <w:sz w:val="16"/>
                <w:szCs w:val="16"/>
              </w:rPr>
            </w:pP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rsidR="00306953" w:rsidRPr="00306953" w:rsidRDefault="00306953" w:rsidP="008E59C3">
            <w:pPr>
              <w:keepNext/>
              <w:spacing w:after="0" w:line="240" w:lineRule="auto"/>
              <w:rPr>
                <w:rFonts w:cs="Arial"/>
                <w:color w:val="000000"/>
                <w:sz w:val="16"/>
                <w:szCs w:val="16"/>
                <w:vertAlign w:val="superscript"/>
              </w:rPr>
            </w:pPr>
            <w:r w:rsidRPr="00306953">
              <w:rPr>
                <w:rFonts w:cs="Arial"/>
                <w:color w:val="000000"/>
                <w:sz w:val="16"/>
                <w:szCs w:val="16"/>
              </w:rPr>
              <w:t>Slovensko</w:t>
            </w:r>
            <w:r w:rsidRPr="00306953">
              <w:rPr>
                <w:rFonts w:cs="Arial"/>
                <w:color w:val="000000"/>
                <w:sz w:val="16"/>
                <w:szCs w:val="16"/>
                <w:vertAlign w:val="superscript"/>
              </w:rPr>
              <w:t>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keepNext/>
              <w:spacing w:after="0" w:line="240" w:lineRule="auto"/>
              <w:jc w:val="center"/>
              <w:rPr>
                <w:rFonts w:cs="Arial"/>
                <w:color w:val="000000"/>
                <w:sz w:val="16"/>
                <w:szCs w:val="16"/>
              </w:rPr>
            </w:pPr>
            <w:r w:rsidRPr="00306953">
              <w:rPr>
                <w:rFonts w:cs="Arial"/>
                <w:color w:val="000000"/>
                <w:sz w:val="16"/>
                <w:szCs w:val="16"/>
              </w:rPr>
              <w:t>6 538</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keepNext/>
              <w:spacing w:after="0" w:line="240" w:lineRule="auto"/>
              <w:jc w:val="center"/>
              <w:rPr>
                <w:rFonts w:cs="Arial"/>
                <w:sz w:val="16"/>
                <w:szCs w:val="16"/>
              </w:rPr>
            </w:pPr>
            <w:r w:rsidRPr="00306953">
              <w:rPr>
                <w:rFonts w:cs="Arial"/>
                <w:sz w:val="16"/>
                <w:szCs w:val="16"/>
              </w:rPr>
              <w:t>x</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keepNext/>
              <w:spacing w:after="0" w:line="240" w:lineRule="auto"/>
              <w:jc w:val="center"/>
              <w:rPr>
                <w:rFonts w:cs="Arial"/>
                <w:sz w:val="16"/>
                <w:szCs w:val="16"/>
              </w:rPr>
            </w:pPr>
            <w:r w:rsidRPr="00306953">
              <w:rPr>
                <w:rFonts w:cs="Arial"/>
                <w:sz w:val="16"/>
                <w:szCs w:val="16"/>
              </w:rPr>
              <w:t>6 538</w:t>
            </w:r>
          </w:p>
        </w:tc>
        <w:tc>
          <w:tcPr>
            <w:tcW w:w="1559" w:type="dxa"/>
            <w:tcBorders>
              <w:top w:val="single" w:sz="4" w:space="0" w:color="auto"/>
              <w:left w:val="nil"/>
              <w:bottom w:val="single" w:sz="4" w:space="0" w:color="auto"/>
              <w:right w:val="double" w:sz="4" w:space="0" w:color="auto"/>
            </w:tcBorders>
            <w:shd w:val="clear" w:color="auto" w:fill="auto"/>
            <w:noWrap/>
            <w:vAlign w:val="center"/>
            <w:hideMark/>
          </w:tcPr>
          <w:p w:rsidR="00306953" w:rsidRPr="00306953" w:rsidRDefault="00306953" w:rsidP="007E5BD0">
            <w:pPr>
              <w:keepNext/>
              <w:spacing w:after="0" w:line="240" w:lineRule="auto"/>
              <w:jc w:val="center"/>
              <w:rPr>
                <w:rFonts w:cs="Arial"/>
                <w:color w:val="000000"/>
                <w:sz w:val="16"/>
                <w:szCs w:val="16"/>
              </w:rPr>
            </w:pPr>
            <w:r w:rsidRPr="00306953">
              <w:rPr>
                <w:rFonts w:cs="Arial"/>
                <w:color w:val="000000"/>
                <w:sz w:val="16"/>
                <w:szCs w:val="16"/>
              </w:rPr>
              <w:t>2 723</w:t>
            </w:r>
          </w:p>
        </w:tc>
      </w:tr>
      <w:tr w:rsidR="00306953" w:rsidRPr="00306953" w:rsidTr="00B75C16">
        <w:trPr>
          <w:trHeight w:val="255"/>
        </w:trPr>
        <w:tc>
          <w:tcPr>
            <w:tcW w:w="1848" w:type="dxa"/>
            <w:vMerge w:val="restart"/>
            <w:tcBorders>
              <w:top w:val="single" w:sz="4" w:space="0" w:color="auto"/>
              <w:left w:val="double" w:sz="4" w:space="0" w:color="auto"/>
              <w:bottom w:val="single" w:sz="4" w:space="0" w:color="auto"/>
              <w:right w:val="single" w:sz="4" w:space="0" w:color="auto"/>
            </w:tcBorders>
            <w:shd w:val="clear" w:color="000000" w:fill="FFFFFF"/>
            <w:vAlign w:val="center"/>
            <w:hideMark/>
          </w:tcPr>
          <w:p w:rsidR="00306953" w:rsidRPr="00306953" w:rsidRDefault="00EA6A4F" w:rsidP="00306953">
            <w:pPr>
              <w:spacing w:after="0" w:line="240" w:lineRule="auto"/>
              <w:rPr>
                <w:rFonts w:cs="Arial"/>
                <w:color w:val="000000"/>
                <w:sz w:val="16"/>
                <w:szCs w:val="16"/>
              </w:rPr>
            </w:pPr>
            <w:r>
              <w:rPr>
                <w:rFonts w:cs="Arial"/>
                <w:color w:val="000000"/>
                <w:sz w:val="16"/>
                <w:szCs w:val="16"/>
              </w:rPr>
              <w:t>p</w:t>
            </w:r>
            <w:r w:rsidR="00306953" w:rsidRPr="00306953">
              <w:rPr>
                <w:rFonts w:cs="Arial"/>
                <w:color w:val="000000"/>
                <w:sz w:val="16"/>
                <w:szCs w:val="16"/>
              </w:rPr>
              <w:t>rimární až terciární</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rsidR="00306953" w:rsidRPr="00306953" w:rsidRDefault="00306953" w:rsidP="00306953">
            <w:pPr>
              <w:spacing w:after="0" w:line="240" w:lineRule="auto"/>
              <w:rPr>
                <w:rFonts w:cs="Arial"/>
                <w:color w:val="000000"/>
                <w:sz w:val="16"/>
                <w:szCs w:val="16"/>
              </w:rPr>
            </w:pPr>
            <w:r w:rsidRPr="00306953">
              <w:rPr>
                <w:rFonts w:cs="Arial"/>
                <w:color w:val="000000"/>
                <w:sz w:val="16"/>
                <w:szCs w:val="16"/>
              </w:rPr>
              <w:t>Česká republika</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6 751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spacing w:after="0" w:line="240" w:lineRule="auto"/>
              <w:jc w:val="center"/>
              <w:rPr>
                <w:rFonts w:cs="Arial"/>
                <w:sz w:val="16"/>
                <w:szCs w:val="16"/>
              </w:rPr>
            </w:pPr>
            <w:r w:rsidRPr="00306953">
              <w:rPr>
                <w:rFonts w:cs="Arial"/>
                <w:sz w:val="16"/>
                <w:szCs w:val="16"/>
              </w:rPr>
              <w:t>2 537</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spacing w:after="0" w:line="240" w:lineRule="auto"/>
              <w:jc w:val="center"/>
              <w:rPr>
                <w:rFonts w:cs="Arial"/>
                <w:sz w:val="16"/>
                <w:szCs w:val="16"/>
              </w:rPr>
            </w:pPr>
            <w:r w:rsidRPr="00306953">
              <w:rPr>
                <w:rFonts w:cs="Arial"/>
                <w:sz w:val="16"/>
                <w:szCs w:val="16"/>
              </w:rPr>
              <w:t>6 395</w:t>
            </w:r>
          </w:p>
        </w:tc>
        <w:tc>
          <w:tcPr>
            <w:tcW w:w="1559" w:type="dxa"/>
            <w:vMerge w:val="restart"/>
            <w:tcBorders>
              <w:top w:val="single" w:sz="4" w:space="0" w:color="auto"/>
              <w:left w:val="single" w:sz="4" w:space="0" w:color="auto"/>
              <w:bottom w:val="double" w:sz="4" w:space="0" w:color="auto"/>
              <w:right w:val="double" w:sz="4" w:space="0" w:color="auto"/>
            </w:tcBorders>
            <w:shd w:val="clear" w:color="000000" w:fill="D9D9D9"/>
            <w:noWrap/>
            <w:vAlign w:val="bottom"/>
            <w:hideMark/>
          </w:tcPr>
          <w:p w:rsidR="00306953" w:rsidRPr="00306953" w:rsidRDefault="00306953" w:rsidP="00306953">
            <w:pPr>
              <w:spacing w:after="0" w:line="240" w:lineRule="auto"/>
              <w:rPr>
                <w:rFonts w:cs="Arial"/>
                <w:color w:val="000000"/>
                <w:sz w:val="18"/>
                <w:szCs w:val="18"/>
              </w:rPr>
            </w:pPr>
            <w:r w:rsidRPr="00306953">
              <w:rPr>
                <w:rFonts w:cs="Arial"/>
                <w:color w:val="000000"/>
                <w:sz w:val="18"/>
                <w:szCs w:val="18"/>
              </w:rPr>
              <w:t> </w:t>
            </w:r>
          </w:p>
        </w:tc>
      </w:tr>
      <w:tr w:rsidR="00306953" w:rsidRPr="00306953" w:rsidTr="00BF267F">
        <w:trPr>
          <w:trHeight w:val="255"/>
        </w:trPr>
        <w:tc>
          <w:tcPr>
            <w:tcW w:w="1848" w:type="dxa"/>
            <w:vMerge/>
            <w:tcBorders>
              <w:top w:val="single" w:sz="4" w:space="0" w:color="auto"/>
              <w:left w:val="double" w:sz="4" w:space="0" w:color="auto"/>
              <w:bottom w:val="single" w:sz="4" w:space="0" w:color="auto"/>
              <w:right w:val="single" w:sz="4" w:space="0" w:color="auto"/>
            </w:tcBorders>
            <w:vAlign w:val="center"/>
            <w:hideMark/>
          </w:tcPr>
          <w:p w:rsidR="00306953" w:rsidRPr="00306953" w:rsidRDefault="00306953" w:rsidP="00306953">
            <w:pPr>
              <w:spacing w:after="0" w:line="240" w:lineRule="auto"/>
              <w:rPr>
                <w:rFonts w:cs="Arial"/>
                <w:color w:val="000000"/>
                <w:sz w:val="16"/>
                <w:szCs w:val="16"/>
              </w:rPr>
            </w:pP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rsidR="00306953" w:rsidRPr="00306953" w:rsidRDefault="00306953" w:rsidP="00306953">
            <w:pPr>
              <w:spacing w:after="0" w:line="240" w:lineRule="auto"/>
              <w:rPr>
                <w:rFonts w:cs="Arial"/>
                <w:color w:val="000000"/>
                <w:sz w:val="16"/>
                <w:szCs w:val="16"/>
              </w:rPr>
            </w:pPr>
            <w:r w:rsidRPr="00306953">
              <w:rPr>
                <w:rFonts w:cs="Arial"/>
                <w:color w:val="000000"/>
                <w:sz w:val="16"/>
                <w:szCs w:val="16"/>
              </w:rPr>
              <w:t>Estonsko</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6 408</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spacing w:after="0" w:line="240" w:lineRule="auto"/>
              <w:jc w:val="center"/>
              <w:rPr>
                <w:rFonts w:cs="Arial"/>
                <w:sz w:val="16"/>
                <w:szCs w:val="16"/>
              </w:rPr>
            </w:pPr>
            <w:r w:rsidRPr="00306953">
              <w:rPr>
                <w:rFonts w:cs="Arial"/>
                <w:sz w:val="16"/>
                <w:szCs w:val="16"/>
              </w:rPr>
              <w:t>4 324</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spacing w:after="0" w:line="240" w:lineRule="auto"/>
              <w:jc w:val="center"/>
              <w:rPr>
                <w:rFonts w:cs="Arial"/>
                <w:sz w:val="16"/>
                <w:szCs w:val="16"/>
              </w:rPr>
            </w:pPr>
            <w:r w:rsidRPr="00306953">
              <w:rPr>
                <w:rFonts w:cs="Arial"/>
                <w:sz w:val="16"/>
                <w:szCs w:val="16"/>
              </w:rPr>
              <w:t>5 866</w:t>
            </w:r>
          </w:p>
        </w:tc>
        <w:tc>
          <w:tcPr>
            <w:tcW w:w="1559" w:type="dxa"/>
            <w:vMerge/>
            <w:tcBorders>
              <w:top w:val="single" w:sz="4" w:space="0" w:color="auto"/>
              <w:left w:val="single" w:sz="4" w:space="0" w:color="auto"/>
              <w:bottom w:val="double" w:sz="4" w:space="0" w:color="auto"/>
              <w:right w:val="double" w:sz="4" w:space="0" w:color="auto"/>
            </w:tcBorders>
            <w:vAlign w:val="center"/>
            <w:hideMark/>
          </w:tcPr>
          <w:p w:rsidR="00306953" w:rsidRPr="00306953" w:rsidRDefault="00306953" w:rsidP="00306953">
            <w:pPr>
              <w:spacing w:after="0" w:line="240" w:lineRule="auto"/>
              <w:rPr>
                <w:rFonts w:cs="Arial"/>
                <w:color w:val="000000"/>
                <w:sz w:val="18"/>
                <w:szCs w:val="18"/>
              </w:rPr>
            </w:pPr>
          </w:p>
        </w:tc>
      </w:tr>
      <w:tr w:rsidR="00306953" w:rsidRPr="00306953" w:rsidTr="00BF267F">
        <w:trPr>
          <w:trHeight w:val="255"/>
        </w:trPr>
        <w:tc>
          <w:tcPr>
            <w:tcW w:w="1848" w:type="dxa"/>
            <w:vMerge/>
            <w:tcBorders>
              <w:top w:val="single" w:sz="4" w:space="0" w:color="auto"/>
              <w:left w:val="double" w:sz="4" w:space="0" w:color="auto"/>
              <w:bottom w:val="single" w:sz="4" w:space="0" w:color="auto"/>
              <w:right w:val="single" w:sz="4" w:space="0" w:color="auto"/>
            </w:tcBorders>
            <w:vAlign w:val="center"/>
            <w:hideMark/>
          </w:tcPr>
          <w:p w:rsidR="00306953" w:rsidRPr="00306953" w:rsidRDefault="00306953" w:rsidP="00306953">
            <w:pPr>
              <w:spacing w:after="0" w:line="240" w:lineRule="auto"/>
              <w:rPr>
                <w:rFonts w:cs="Arial"/>
                <w:color w:val="000000"/>
                <w:sz w:val="16"/>
                <w:szCs w:val="16"/>
              </w:rPr>
            </w:pP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rsidR="00306953" w:rsidRPr="00306953" w:rsidRDefault="00306953" w:rsidP="00306953">
            <w:pPr>
              <w:spacing w:after="0" w:line="240" w:lineRule="auto"/>
              <w:rPr>
                <w:rFonts w:cs="Arial"/>
                <w:color w:val="000000"/>
                <w:sz w:val="16"/>
                <w:szCs w:val="16"/>
              </w:rPr>
            </w:pPr>
            <w:r w:rsidRPr="00306953">
              <w:rPr>
                <w:rFonts w:cs="Arial"/>
                <w:color w:val="000000"/>
                <w:sz w:val="16"/>
                <w:szCs w:val="16"/>
              </w:rPr>
              <w:t>Finsko</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11 050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spacing w:after="0" w:line="240" w:lineRule="auto"/>
              <w:jc w:val="center"/>
              <w:rPr>
                <w:rFonts w:cs="Arial"/>
                <w:sz w:val="16"/>
                <w:szCs w:val="16"/>
              </w:rPr>
            </w:pPr>
            <w:r w:rsidRPr="00306953">
              <w:rPr>
                <w:rFonts w:cs="Arial"/>
                <w:sz w:val="16"/>
                <w:szCs w:val="16"/>
              </w:rPr>
              <w:t>9 458</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spacing w:after="0" w:line="240" w:lineRule="auto"/>
              <w:jc w:val="center"/>
              <w:rPr>
                <w:rFonts w:cs="Arial"/>
                <w:sz w:val="16"/>
                <w:szCs w:val="16"/>
              </w:rPr>
            </w:pPr>
            <w:r w:rsidRPr="00306953">
              <w:rPr>
                <w:rFonts w:cs="Arial"/>
                <w:sz w:val="16"/>
                <w:szCs w:val="16"/>
              </w:rPr>
              <w:t>10 839</w:t>
            </w:r>
          </w:p>
        </w:tc>
        <w:tc>
          <w:tcPr>
            <w:tcW w:w="1559" w:type="dxa"/>
            <w:vMerge/>
            <w:tcBorders>
              <w:top w:val="single" w:sz="4" w:space="0" w:color="auto"/>
              <w:left w:val="single" w:sz="4" w:space="0" w:color="auto"/>
              <w:bottom w:val="double" w:sz="4" w:space="0" w:color="auto"/>
              <w:right w:val="double" w:sz="4" w:space="0" w:color="auto"/>
            </w:tcBorders>
            <w:vAlign w:val="center"/>
            <w:hideMark/>
          </w:tcPr>
          <w:p w:rsidR="00306953" w:rsidRPr="00306953" w:rsidRDefault="00306953" w:rsidP="00306953">
            <w:pPr>
              <w:spacing w:after="0" w:line="240" w:lineRule="auto"/>
              <w:rPr>
                <w:rFonts w:cs="Arial"/>
                <w:color w:val="000000"/>
                <w:sz w:val="18"/>
                <w:szCs w:val="18"/>
              </w:rPr>
            </w:pPr>
          </w:p>
        </w:tc>
      </w:tr>
      <w:tr w:rsidR="00306953" w:rsidRPr="00306953" w:rsidTr="00BF267F">
        <w:trPr>
          <w:trHeight w:val="255"/>
        </w:trPr>
        <w:tc>
          <w:tcPr>
            <w:tcW w:w="1848" w:type="dxa"/>
            <w:vMerge/>
            <w:tcBorders>
              <w:top w:val="single" w:sz="4" w:space="0" w:color="auto"/>
              <w:left w:val="double" w:sz="4" w:space="0" w:color="auto"/>
              <w:bottom w:val="single" w:sz="4" w:space="0" w:color="auto"/>
              <w:right w:val="single" w:sz="4" w:space="0" w:color="auto"/>
            </w:tcBorders>
            <w:vAlign w:val="center"/>
            <w:hideMark/>
          </w:tcPr>
          <w:p w:rsidR="00306953" w:rsidRPr="00306953" w:rsidRDefault="00306953" w:rsidP="00306953">
            <w:pPr>
              <w:spacing w:after="0" w:line="240" w:lineRule="auto"/>
              <w:rPr>
                <w:rFonts w:cs="Arial"/>
                <w:color w:val="000000"/>
                <w:sz w:val="16"/>
                <w:szCs w:val="16"/>
              </w:rPr>
            </w:pP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rsidR="00306953" w:rsidRPr="00306953" w:rsidRDefault="00306953" w:rsidP="00306953">
            <w:pPr>
              <w:spacing w:after="0" w:line="240" w:lineRule="auto"/>
              <w:rPr>
                <w:rFonts w:cs="Arial"/>
                <w:color w:val="000000"/>
                <w:sz w:val="16"/>
                <w:szCs w:val="16"/>
              </w:rPr>
            </w:pPr>
            <w:r w:rsidRPr="00306953">
              <w:rPr>
                <w:rFonts w:cs="Arial"/>
                <w:color w:val="000000"/>
                <w:sz w:val="16"/>
                <w:szCs w:val="16"/>
              </w:rPr>
              <w:t>Polsko</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spacing w:after="0" w:line="240" w:lineRule="auto"/>
              <w:jc w:val="center"/>
              <w:rPr>
                <w:rFonts w:cs="Arial"/>
                <w:color w:val="000000"/>
                <w:sz w:val="16"/>
                <w:szCs w:val="16"/>
              </w:rPr>
            </w:pPr>
            <w:r w:rsidRPr="00306953">
              <w:rPr>
                <w:rFonts w:cs="Arial"/>
                <w:color w:val="000000"/>
                <w:sz w:val="16"/>
                <w:szCs w:val="16"/>
              </w:rPr>
              <w:t>6 069</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spacing w:after="0" w:line="240" w:lineRule="auto"/>
              <w:jc w:val="center"/>
              <w:rPr>
                <w:rFonts w:cs="Arial"/>
                <w:sz w:val="16"/>
                <w:szCs w:val="16"/>
              </w:rPr>
            </w:pPr>
            <w:r w:rsidRPr="00306953">
              <w:rPr>
                <w:rFonts w:cs="Arial"/>
                <w:sz w:val="16"/>
                <w:szCs w:val="16"/>
              </w:rPr>
              <w:t>2 305</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06953" w:rsidRPr="00306953" w:rsidRDefault="00306953" w:rsidP="007E5BD0">
            <w:pPr>
              <w:spacing w:after="0" w:line="240" w:lineRule="auto"/>
              <w:jc w:val="center"/>
              <w:rPr>
                <w:rFonts w:cs="Arial"/>
                <w:sz w:val="16"/>
                <w:szCs w:val="16"/>
              </w:rPr>
            </w:pPr>
            <w:r w:rsidRPr="00306953">
              <w:rPr>
                <w:rFonts w:cs="Arial"/>
                <w:sz w:val="16"/>
                <w:szCs w:val="16"/>
              </w:rPr>
              <w:t>5 636</w:t>
            </w:r>
          </w:p>
        </w:tc>
        <w:tc>
          <w:tcPr>
            <w:tcW w:w="1559" w:type="dxa"/>
            <w:vMerge/>
            <w:tcBorders>
              <w:top w:val="single" w:sz="4" w:space="0" w:color="auto"/>
              <w:left w:val="single" w:sz="4" w:space="0" w:color="auto"/>
              <w:bottom w:val="double" w:sz="4" w:space="0" w:color="auto"/>
              <w:right w:val="double" w:sz="4" w:space="0" w:color="auto"/>
            </w:tcBorders>
            <w:vAlign w:val="center"/>
            <w:hideMark/>
          </w:tcPr>
          <w:p w:rsidR="00306953" w:rsidRPr="00306953" w:rsidRDefault="00306953" w:rsidP="00306953">
            <w:pPr>
              <w:spacing w:after="0" w:line="240" w:lineRule="auto"/>
              <w:rPr>
                <w:rFonts w:cs="Arial"/>
                <w:color w:val="000000"/>
                <w:sz w:val="18"/>
                <w:szCs w:val="18"/>
              </w:rPr>
            </w:pPr>
          </w:p>
        </w:tc>
      </w:tr>
      <w:tr w:rsidR="00306953" w:rsidRPr="00306953" w:rsidTr="00BF267F">
        <w:trPr>
          <w:trHeight w:val="255"/>
        </w:trPr>
        <w:tc>
          <w:tcPr>
            <w:tcW w:w="1848" w:type="dxa"/>
            <w:vMerge/>
            <w:tcBorders>
              <w:top w:val="single" w:sz="4" w:space="0" w:color="auto"/>
              <w:left w:val="double" w:sz="4" w:space="0" w:color="auto"/>
              <w:bottom w:val="double" w:sz="4" w:space="0" w:color="auto"/>
              <w:right w:val="single" w:sz="4" w:space="0" w:color="auto"/>
            </w:tcBorders>
            <w:vAlign w:val="center"/>
            <w:hideMark/>
          </w:tcPr>
          <w:p w:rsidR="00306953" w:rsidRPr="00306953" w:rsidRDefault="00306953" w:rsidP="00306953">
            <w:pPr>
              <w:spacing w:after="0" w:line="240" w:lineRule="auto"/>
              <w:rPr>
                <w:rFonts w:cs="Arial"/>
                <w:color w:val="000000"/>
                <w:sz w:val="16"/>
                <w:szCs w:val="16"/>
              </w:rPr>
            </w:pPr>
          </w:p>
        </w:tc>
        <w:tc>
          <w:tcPr>
            <w:tcW w:w="1560" w:type="dxa"/>
            <w:tcBorders>
              <w:top w:val="single" w:sz="4" w:space="0" w:color="auto"/>
              <w:left w:val="nil"/>
              <w:bottom w:val="double" w:sz="4" w:space="0" w:color="auto"/>
              <w:right w:val="single" w:sz="4" w:space="0" w:color="auto"/>
            </w:tcBorders>
            <w:shd w:val="clear" w:color="000000" w:fill="FFFFFF"/>
            <w:noWrap/>
            <w:vAlign w:val="center"/>
            <w:hideMark/>
          </w:tcPr>
          <w:p w:rsidR="00306953" w:rsidRPr="00306953" w:rsidRDefault="00306953" w:rsidP="00306953">
            <w:pPr>
              <w:spacing w:after="0" w:line="240" w:lineRule="auto"/>
              <w:rPr>
                <w:rFonts w:cs="Arial"/>
                <w:color w:val="000000"/>
                <w:sz w:val="16"/>
                <w:szCs w:val="16"/>
              </w:rPr>
            </w:pPr>
            <w:r w:rsidRPr="00306953">
              <w:rPr>
                <w:rFonts w:cs="Arial"/>
                <w:color w:val="000000"/>
                <w:sz w:val="16"/>
                <w:szCs w:val="16"/>
              </w:rPr>
              <w:t>Slovensko</w:t>
            </w:r>
          </w:p>
        </w:tc>
        <w:tc>
          <w:tcPr>
            <w:tcW w:w="1417" w:type="dxa"/>
            <w:tcBorders>
              <w:top w:val="single" w:sz="4" w:space="0" w:color="auto"/>
              <w:left w:val="nil"/>
              <w:bottom w:val="double" w:sz="4" w:space="0" w:color="auto"/>
              <w:right w:val="single" w:sz="4" w:space="0" w:color="auto"/>
            </w:tcBorders>
            <w:shd w:val="clear" w:color="auto" w:fill="auto"/>
            <w:noWrap/>
            <w:vAlign w:val="center"/>
            <w:hideMark/>
          </w:tcPr>
          <w:p w:rsidR="00306953" w:rsidRPr="0058116A" w:rsidRDefault="00306953" w:rsidP="007E5BD0">
            <w:pPr>
              <w:spacing w:after="0" w:line="240" w:lineRule="auto"/>
              <w:jc w:val="center"/>
              <w:rPr>
                <w:rFonts w:cs="Arial"/>
                <w:color w:val="000000"/>
                <w:sz w:val="16"/>
                <w:szCs w:val="16"/>
              </w:rPr>
            </w:pPr>
            <w:r w:rsidRPr="0058116A">
              <w:rPr>
                <w:rFonts w:cs="Arial"/>
                <w:color w:val="000000"/>
                <w:sz w:val="16"/>
                <w:szCs w:val="16"/>
              </w:rPr>
              <w:t>5 145</w:t>
            </w:r>
          </w:p>
        </w:tc>
        <w:tc>
          <w:tcPr>
            <w:tcW w:w="1559" w:type="dxa"/>
            <w:tcBorders>
              <w:top w:val="single" w:sz="4" w:space="0" w:color="auto"/>
              <w:left w:val="nil"/>
              <w:bottom w:val="double" w:sz="4" w:space="0" w:color="auto"/>
              <w:right w:val="single" w:sz="4" w:space="0" w:color="auto"/>
            </w:tcBorders>
            <w:shd w:val="clear" w:color="auto" w:fill="auto"/>
            <w:noWrap/>
            <w:vAlign w:val="center"/>
            <w:hideMark/>
          </w:tcPr>
          <w:p w:rsidR="00306953" w:rsidRPr="0058116A" w:rsidRDefault="00306953" w:rsidP="007E5BD0">
            <w:pPr>
              <w:spacing w:after="0" w:line="240" w:lineRule="auto"/>
              <w:jc w:val="center"/>
              <w:rPr>
                <w:rFonts w:cs="Arial"/>
                <w:sz w:val="16"/>
                <w:szCs w:val="16"/>
              </w:rPr>
            </w:pPr>
            <w:r w:rsidRPr="0058116A">
              <w:rPr>
                <w:rFonts w:cs="Arial"/>
                <w:sz w:val="16"/>
                <w:szCs w:val="16"/>
              </w:rPr>
              <w:t>4 659</w:t>
            </w:r>
          </w:p>
        </w:tc>
        <w:tc>
          <w:tcPr>
            <w:tcW w:w="1701" w:type="dxa"/>
            <w:tcBorders>
              <w:top w:val="single" w:sz="4" w:space="0" w:color="auto"/>
              <w:left w:val="nil"/>
              <w:bottom w:val="double" w:sz="4" w:space="0" w:color="auto"/>
              <w:right w:val="single" w:sz="4" w:space="0" w:color="auto"/>
            </w:tcBorders>
            <w:shd w:val="clear" w:color="auto" w:fill="auto"/>
            <w:noWrap/>
            <w:vAlign w:val="center"/>
            <w:hideMark/>
          </w:tcPr>
          <w:p w:rsidR="00306953" w:rsidRPr="0058116A" w:rsidRDefault="00306953" w:rsidP="007E5BD0">
            <w:pPr>
              <w:spacing w:after="0" w:line="240" w:lineRule="auto"/>
              <w:jc w:val="center"/>
              <w:rPr>
                <w:rFonts w:cs="Arial"/>
                <w:sz w:val="16"/>
                <w:szCs w:val="16"/>
              </w:rPr>
            </w:pPr>
            <w:r w:rsidRPr="0058116A">
              <w:rPr>
                <w:rFonts w:cs="Arial"/>
                <w:sz w:val="16"/>
                <w:szCs w:val="16"/>
              </w:rPr>
              <w:t>5 109</w:t>
            </w:r>
          </w:p>
        </w:tc>
        <w:tc>
          <w:tcPr>
            <w:tcW w:w="1559" w:type="dxa"/>
            <w:vMerge/>
            <w:tcBorders>
              <w:top w:val="single" w:sz="4" w:space="0" w:color="auto"/>
              <w:left w:val="single" w:sz="4" w:space="0" w:color="auto"/>
              <w:bottom w:val="double" w:sz="4" w:space="0" w:color="auto"/>
              <w:right w:val="double" w:sz="4" w:space="0" w:color="auto"/>
            </w:tcBorders>
            <w:vAlign w:val="center"/>
            <w:hideMark/>
          </w:tcPr>
          <w:p w:rsidR="00306953" w:rsidRPr="00306953" w:rsidRDefault="00306953" w:rsidP="00306953">
            <w:pPr>
              <w:spacing w:after="0" w:line="240" w:lineRule="auto"/>
              <w:rPr>
                <w:rFonts w:cs="Arial"/>
                <w:color w:val="000000"/>
                <w:sz w:val="18"/>
                <w:szCs w:val="18"/>
              </w:rPr>
            </w:pPr>
          </w:p>
        </w:tc>
      </w:tr>
    </w:tbl>
    <w:p w:rsidR="00306953" w:rsidRPr="00442515" w:rsidRDefault="00306953" w:rsidP="008E59C3">
      <w:pPr>
        <w:spacing w:before="120" w:after="0" w:line="240" w:lineRule="auto"/>
        <w:jc w:val="both"/>
        <w:rPr>
          <w:rFonts w:eastAsia="ChaparralPro-Regular" w:cs="Arial"/>
          <w:sz w:val="16"/>
          <w:szCs w:val="16"/>
        </w:rPr>
      </w:pPr>
      <w:r w:rsidRPr="00442515">
        <w:rPr>
          <w:rFonts w:eastAsia="ChaparralPro-Regular" w:cs="Arial"/>
          <w:sz w:val="16"/>
          <w:szCs w:val="16"/>
          <w:vertAlign w:val="superscript"/>
        </w:rPr>
        <w:t xml:space="preserve">1) </w:t>
      </w:r>
      <w:r w:rsidRPr="00442515">
        <w:rPr>
          <w:rFonts w:eastAsia="ChaparralPro-Regular" w:cs="Arial"/>
          <w:sz w:val="16"/>
          <w:szCs w:val="16"/>
        </w:rPr>
        <w:t>Postsekundární neterciární vzdělávání a krátký cyklus terciárního vzdělávání je zahrnut do kategorie vyššího sekundárního vzdělávání, viz kód „x“ v tabulce B1.1a</w:t>
      </w:r>
      <w:r w:rsidR="0058116A">
        <w:rPr>
          <w:rFonts w:eastAsia="ChaparralPro-Regular" w:cs="Arial"/>
          <w:sz w:val="16"/>
          <w:szCs w:val="16"/>
        </w:rPr>
        <w:t xml:space="preserve"> (OECD 2015)</w:t>
      </w:r>
      <w:r w:rsidRPr="00442515">
        <w:rPr>
          <w:rFonts w:eastAsia="ChaparralPro-Regular" w:cs="Arial"/>
          <w:sz w:val="16"/>
          <w:szCs w:val="16"/>
        </w:rPr>
        <w:t>.</w:t>
      </w:r>
    </w:p>
    <w:p w:rsidR="00306953" w:rsidRPr="00442515" w:rsidRDefault="00306953" w:rsidP="00306953">
      <w:pPr>
        <w:spacing w:after="0" w:line="240" w:lineRule="auto"/>
        <w:jc w:val="both"/>
        <w:rPr>
          <w:rFonts w:eastAsia="ChaparralPro-Regular" w:cs="Arial"/>
          <w:sz w:val="16"/>
          <w:szCs w:val="16"/>
        </w:rPr>
      </w:pPr>
      <w:r w:rsidRPr="00442515">
        <w:rPr>
          <w:rFonts w:eastAsia="ChaparralPro-Regular" w:cs="Arial"/>
          <w:sz w:val="16"/>
          <w:szCs w:val="16"/>
        </w:rPr>
        <w:t>x… Výdaje na jednoho žáka v soukromých institucích terciárního vzdělávání jsou v případě Slovenka zahrnuty v kategorii veřejných výdajů na primární až postsekundární neterciární vzdělávání na soukromých školách.</w:t>
      </w:r>
    </w:p>
    <w:p w:rsidR="00306953" w:rsidRPr="00442515" w:rsidRDefault="00306953" w:rsidP="00306953">
      <w:pPr>
        <w:autoSpaceDE w:val="0"/>
        <w:autoSpaceDN w:val="0"/>
        <w:adjustRightInd w:val="0"/>
        <w:spacing w:after="0" w:line="240" w:lineRule="auto"/>
        <w:jc w:val="both"/>
        <w:rPr>
          <w:rFonts w:eastAsia="ChaparralPro-Regular" w:cs="Arial"/>
          <w:sz w:val="16"/>
          <w:szCs w:val="16"/>
        </w:rPr>
      </w:pPr>
      <w:r w:rsidRPr="00442515">
        <w:rPr>
          <w:rFonts w:eastAsia="ChaparralPro-Regular" w:cs="Arial"/>
          <w:sz w:val="16"/>
          <w:szCs w:val="16"/>
        </w:rPr>
        <w:t xml:space="preserve">Zdroj: OECD 2015, tabulka B 3.3. StatLink: </w:t>
      </w:r>
      <w:hyperlink r:id="rId81" w:history="1">
        <w:r w:rsidRPr="00442515">
          <w:rPr>
            <w:rStyle w:val="Hypertextovodkaz"/>
            <w:rFonts w:cs="Arial"/>
            <w:sz w:val="16"/>
            <w:szCs w:val="16"/>
          </w:rPr>
          <w:t>http://dx.doi.org/10.1787/888933285509</w:t>
        </w:r>
      </w:hyperlink>
      <w:r w:rsidRPr="00442515">
        <w:rPr>
          <w:rFonts w:eastAsia="ChaparralPro-Regular" w:cs="Arial"/>
          <w:sz w:val="16"/>
          <w:szCs w:val="16"/>
        </w:rPr>
        <w:t xml:space="preserve">, výběr údajů ČSÚ.   </w:t>
      </w:r>
    </w:p>
    <w:p w:rsidR="00306953" w:rsidRPr="00306953" w:rsidRDefault="00306953" w:rsidP="00306953">
      <w:pPr>
        <w:spacing w:after="0" w:line="240" w:lineRule="auto"/>
        <w:jc w:val="both"/>
        <w:rPr>
          <w:rFonts w:eastAsia="ChaparralPro-Regular" w:cs="Arial"/>
          <w:szCs w:val="20"/>
        </w:rPr>
      </w:pPr>
    </w:p>
    <w:p w:rsidR="00306953" w:rsidRPr="00306953" w:rsidRDefault="00306953" w:rsidP="00306953">
      <w:pPr>
        <w:autoSpaceDE w:val="0"/>
        <w:autoSpaceDN w:val="0"/>
        <w:adjustRightInd w:val="0"/>
        <w:spacing w:after="120" w:line="240" w:lineRule="auto"/>
        <w:jc w:val="both"/>
        <w:rPr>
          <w:rFonts w:eastAsia="ChaparralPro-Regular" w:cs="Arial"/>
        </w:rPr>
      </w:pPr>
      <w:r w:rsidRPr="00306953">
        <w:rPr>
          <w:rFonts w:eastAsia="ChaparralPro-Regular" w:cs="Arial"/>
        </w:rPr>
        <w:t>V tabulce č. 12 je zároveň patrné, že v ČR byla v roce 2012 finanční podpora soukromých institucí terciárního vzdělávání nižší nejen v porovnání s mezinárodními průměry, ale i v porovnání se sousedním Polskem, kde veřejné výdaje na jednoho takového studenta byly oproti ČR dvojnásobné</w:t>
      </w:r>
      <w:r w:rsidR="000A4AF1">
        <w:rPr>
          <w:rFonts w:eastAsia="ChaparralPro-Regular" w:cs="Arial"/>
        </w:rPr>
        <w:t>. V Estonsku a Finsku pak byly ještě mnohem vyšší</w:t>
      </w:r>
      <w:r w:rsidRPr="00306953">
        <w:rPr>
          <w:rFonts w:eastAsia="ChaparralPro-Regular" w:cs="Arial"/>
        </w:rPr>
        <w:t>.</w:t>
      </w:r>
    </w:p>
    <w:p w:rsidR="00306953" w:rsidRPr="00306953" w:rsidRDefault="00306953" w:rsidP="00306953">
      <w:pPr>
        <w:autoSpaceDE w:val="0"/>
        <w:autoSpaceDN w:val="0"/>
        <w:adjustRightInd w:val="0"/>
        <w:spacing w:after="120" w:line="240" w:lineRule="auto"/>
        <w:jc w:val="both"/>
        <w:rPr>
          <w:rFonts w:eastAsia="ChaparralPro-Regular" w:cs="Arial"/>
        </w:rPr>
      </w:pPr>
      <w:r w:rsidRPr="00306953">
        <w:rPr>
          <w:rFonts w:eastAsia="ChaparralPro-Regular" w:cs="Arial"/>
        </w:rPr>
        <w:t>Následující tabulky</w:t>
      </w:r>
      <w:bookmarkStart w:id="16" w:name="_GoBack"/>
      <w:bookmarkEnd w:id="16"/>
      <w:r w:rsidRPr="00306953">
        <w:rPr>
          <w:rFonts w:eastAsia="ChaparralPro-Regular" w:cs="Arial"/>
        </w:rPr>
        <w:t xml:space="preserve"> č. 13 a 14 ukazují </w:t>
      </w:r>
      <w:r w:rsidRPr="00306953">
        <w:rPr>
          <w:rFonts w:eastAsia="ChaparralPro-Regular" w:cs="Arial"/>
          <w:b/>
        </w:rPr>
        <w:t>vývoj výdajů vzdělávacích institucí na jednoho žáka</w:t>
      </w:r>
      <w:r w:rsidRPr="00306953">
        <w:rPr>
          <w:rFonts w:eastAsia="ChaparralPro-Regular" w:cs="Arial"/>
        </w:rPr>
        <w:t xml:space="preserve"> v primárním, sekundárním a postsekundárním neterciárním vzdělávání a výdajů na jednoho studenta v terciárním vzdělávání </w:t>
      </w:r>
      <w:r w:rsidRPr="00306953">
        <w:rPr>
          <w:rFonts w:eastAsia="ChaparralPro-Regular" w:cs="Arial"/>
          <w:b/>
        </w:rPr>
        <w:t>v letech 2000, 2008, 2010, 2011 a 2012, a sice v procentech k roku 2005</w:t>
      </w:r>
      <w:r w:rsidRPr="00306953">
        <w:rPr>
          <w:rFonts w:eastAsia="ChaparralPro-Regular" w:cs="Arial"/>
        </w:rPr>
        <w:t>. Jak je v nadpisu tabulek uvedeno, tyto výdaje jsou ošetřeny deflátorem HDP.</w:t>
      </w:r>
    </w:p>
    <w:p w:rsidR="00306953" w:rsidRPr="00306953" w:rsidRDefault="00306953" w:rsidP="00306953">
      <w:pPr>
        <w:autoSpaceDE w:val="0"/>
        <w:autoSpaceDN w:val="0"/>
        <w:adjustRightInd w:val="0"/>
        <w:spacing w:after="0" w:line="240" w:lineRule="auto"/>
        <w:jc w:val="both"/>
        <w:rPr>
          <w:rFonts w:eastAsia="ChaparralPro-Regular" w:cs="Arial"/>
          <w:b/>
        </w:rPr>
      </w:pPr>
      <w:r w:rsidRPr="00306953">
        <w:rPr>
          <w:rFonts w:eastAsia="ChaparralPro-Regular" w:cs="Arial"/>
          <w:b/>
        </w:rPr>
        <w:t>Tabulka č. 13 Změna ve výdajích vzdělávacích institucí na jednoho žáka za všechny poskytnuté služby (2000, 2008, 2009, 2010, 2011, 2012)</w:t>
      </w:r>
    </w:p>
    <w:p w:rsidR="00306953" w:rsidRPr="00306953" w:rsidRDefault="00680594" w:rsidP="00306953">
      <w:pPr>
        <w:autoSpaceDE w:val="0"/>
        <w:autoSpaceDN w:val="0"/>
        <w:adjustRightInd w:val="0"/>
        <w:spacing w:after="120" w:line="240" w:lineRule="auto"/>
        <w:jc w:val="both"/>
        <w:rPr>
          <w:rFonts w:eastAsia="ChaparralPro-Regular" w:cs="Arial"/>
          <w:i/>
        </w:rPr>
      </w:pPr>
      <w:r>
        <w:rPr>
          <w:rFonts w:eastAsia="ChaparralPro-Regular" w:cs="Arial"/>
          <w:i/>
        </w:rPr>
        <w:t>i</w:t>
      </w:r>
      <w:r w:rsidR="00306953" w:rsidRPr="00306953">
        <w:rPr>
          <w:rFonts w:eastAsia="ChaparralPro-Regular" w:cs="Arial"/>
          <w:i/>
        </w:rPr>
        <w:t xml:space="preserve">ndex změny (deflátor HDP 2005=100, konstantní ceny) </w:t>
      </w:r>
    </w:p>
    <w:tbl>
      <w:tblPr>
        <w:tblW w:w="8359" w:type="dxa"/>
        <w:tblInd w:w="55" w:type="dxa"/>
        <w:tblCellMar>
          <w:left w:w="70" w:type="dxa"/>
          <w:right w:w="70" w:type="dxa"/>
        </w:tblCellMar>
        <w:tblLook w:val="04A0"/>
      </w:tblPr>
      <w:tblGrid>
        <w:gridCol w:w="3559"/>
        <w:gridCol w:w="960"/>
        <w:gridCol w:w="960"/>
        <w:gridCol w:w="960"/>
        <w:gridCol w:w="960"/>
        <w:gridCol w:w="960"/>
      </w:tblGrid>
      <w:tr w:rsidR="00306953" w:rsidRPr="00442515" w:rsidTr="00B07DEE">
        <w:trPr>
          <w:trHeight w:val="300"/>
        </w:trPr>
        <w:tc>
          <w:tcPr>
            <w:tcW w:w="3559" w:type="dxa"/>
            <w:vMerge w:val="restart"/>
            <w:tcBorders>
              <w:top w:val="double" w:sz="4" w:space="0" w:color="auto"/>
              <w:left w:val="double" w:sz="4" w:space="0" w:color="auto"/>
              <w:bottom w:val="single" w:sz="4" w:space="0" w:color="auto"/>
              <w:right w:val="single" w:sz="4" w:space="0" w:color="auto"/>
            </w:tcBorders>
            <w:shd w:val="clear" w:color="auto" w:fill="FFCCCC"/>
            <w:vAlign w:val="center"/>
            <w:hideMark/>
          </w:tcPr>
          <w:p w:rsidR="00306953" w:rsidRPr="00631582" w:rsidRDefault="00306953" w:rsidP="007E5BD0">
            <w:pPr>
              <w:spacing w:after="0" w:line="240" w:lineRule="auto"/>
              <w:rPr>
                <w:rFonts w:cs="Arial"/>
                <w:b/>
                <w:iCs/>
                <w:color w:val="000000"/>
                <w:sz w:val="16"/>
                <w:szCs w:val="16"/>
              </w:rPr>
            </w:pPr>
            <w:r w:rsidRPr="00631582">
              <w:rPr>
                <w:rFonts w:cs="Arial"/>
                <w:b/>
                <w:iCs/>
                <w:color w:val="000000"/>
                <w:sz w:val="16"/>
                <w:szCs w:val="16"/>
              </w:rPr>
              <w:t>primární, sekundární a postsekundární neterciární vzdělávání</w:t>
            </w:r>
          </w:p>
        </w:tc>
        <w:tc>
          <w:tcPr>
            <w:tcW w:w="4800" w:type="dxa"/>
            <w:gridSpan w:val="5"/>
            <w:tcBorders>
              <w:top w:val="double" w:sz="4" w:space="0" w:color="auto"/>
              <w:left w:val="nil"/>
              <w:bottom w:val="single" w:sz="4" w:space="0" w:color="auto"/>
              <w:right w:val="double" w:sz="4" w:space="0" w:color="auto"/>
            </w:tcBorders>
            <w:shd w:val="clear" w:color="auto" w:fill="FFCCCC"/>
            <w:noWrap/>
            <w:vAlign w:val="center"/>
            <w:hideMark/>
          </w:tcPr>
          <w:p w:rsidR="00306953" w:rsidRPr="001042AC" w:rsidRDefault="00EA6A4F" w:rsidP="007E5BD0">
            <w:pPr>
              <w:spacing w:after="0" w:line="240" w:lineRule="auto"/>
              <w:jc w:val="center"/>
              <w:rPr>
                <w:rFonts w:cs="Arial"/>
                <w:b/>
                <w:color w:val="000000"/>
                <w:sz w:val="16"/>
                <w:szCs w:val="16"/>
              </w:rPr>
            </w:pPr>
            <w:r>
              <w:rPr>
                <w:rFonts w:cs="Arial"/>
                <w:b/>
                <w:color w:val="000000"/>
                <w:sz w:val="16"/>
                <w:szCs w:val="16"/>
              </w:rPr>
              <w:t>z</w:t>
            </w:r>
            <w:r w:rsidR="00306953" w:rsidRPr="001042AC">
              <w:rPr>
                <w:rFonts w:cs="Arial"/>
                <w:b/>
                <w:color w:val="000000"/>
                <w:sz w:val="16"/>
                <w:szCs w:val="16"/>
              </w:rPr>
              <w:t>měna ve výdajích na jednoho žáka (2005=100)</w:t>
            </w:r>
          </w:p>
        </w:tc>
      </w:tr>
      <w:tr w:rsidR="00306953" w:rsidRPr="00442515" w:rsidTr="00B07DEE">
        <w:trPr>
          <w:trHeight w:val="300"/>
        </w:trPr>
        <w:tc>
          <w:tcPr>
            <w:tcW w:w="3559" w:type="dxa"/>
            <w:vMerge/>
            <w:tcBorders>
              <w:top w:val="single" w:sz="4" w:space="0" w:color="auto"/>
              <w:left w:val="double" w:sz="4" w:space="0" w:color="auto"/>
              <w:bottom w:val="double" w:sz="4" w:space="0" w:color="auto"/>
              <w:right w:val="single" w:sz="4" w:space="0" w:color="auto"/>
            </w:tcBorders>
            <w:shd w:val="clear" w:color="auto" w:fill="FFCCCC"/>
            <w:vAlign w:val="center"/>
            <w:hideMark/>
          </w:tcPr>
          <w:p w:rsidR="00306953" w:rsidRPr="001042AC" w:rsidRDefault="00306953" w:rsidP="007E5BD0">
            <w:pPr>
              <w:spacing w:after="0" w:line="240" w:lineRule="auto"/>
              <w:rPr>
                <w:rFonts w:cs="Arial"/>
                <w:b/>
                <w:i/>
                <w:iCs/>
                <w:color w:val="000000"/>
                <w:sz w:val="16"/>
                <w:szCs w:val="16"/>
              </w:rPr>
            </w:pPr>
          </w:p>
        </w:tc>
        <w:tc>
          <w:tcPr>
            <w:tcW w:w="960" w:type="dxa"/>
            <w:tcBorders>
              <w:top w:val="single" w:sz="4" w:space="0" w:color="auto"/>
              <w:left w:val="nil"/>
              <w:bottom w:val="double" w:sz="4" w:space="0" w:color="auto"/>
              <w:right w:val="single" w:sz="4" w:space="0" w:color="auto"/>
            </w:tcBorders>
            <w:shd w:val="clear" w:color="auto" w:fill="FFCCCC"/>
            <w:vAlign w:val="center"/>
            <w:hideMark/>
          </w:tcPr>
          <w:p w:rsidR="00306953" w:rsidRPr="001042AC" w:rsidRDefault="00306953" w:rsidP="007E5BD0">
            <w:pPr>
              <w:spacing w:after="0" w:line="240" w:lineRule="auto"/>
              <w:jc w:val="center"/>
              <w:rPr>
                <w:rFonts w:cs="Arial"/>
                <w:b/>
                <w:color w:val="000000"/>
                <w:sz w:val="16"/>
                <w:szCs w:val="16"/>
              </w:rPr>
            </w:pPr>
            <w:r w:rsidRPr="001042AC">
              <w:rPr>
                <w:rFonts w:cs="Arial"/>
                <w:b/>
                <w:color w:val="000000"/>
                <w:sz w:val="16"/>
                <w:szCs w:val="16"/>
              </w:rPr>
              <w:t>2000</w:t>
            </w:r>
          </w:p>
        </w:tc>
        <w:tc>
          <w:tcPr>
            <w:tcW w:w="960" w:type="dxa"/>
            <w:tcBorders>
              <w:top w:val="single" w:sz="4" w:space="0" w:color="auto"/>
              <w:left w:val="nil"/>
              <w:bottom w:val="double" w:sz="4" w:space="0" w:color="auto"/>
              <w:right w:val="single" w:sz="4" w:space="0" w:color="auto"/>
            </w:tcBorders>
            <w:shd w:val="clear" w:color="auto" w:fill="FFCCCC"/>
            <w:vAlign w:val="center"/>
            <w:hideMark/>
          </w:tcPr>
          <w:p w:rsidR="00306953" w:rsidRPr="001042AC" w:rsidRDefault="00306953" w:rsidP="007E5BD0">
            <w:pPr>
              <w:spacing w:after="0" w:line="240" w:lineRule="auto"/>
              <w:jc w:val="center"/>
              <w:rPr>
                <w:rFonts w:cs="Arial"/>
                <w:b/>
                <w:color w:val="000000"/>
                <w:sz w:val="16"/>
                <w:szCs w:val="16"/>
              </w:rPr>
            </w:pPr>
            <w:r w:rsidRPr="001042AC">
              <w:rPr>
                <w:rFonts w:cs="Arial"/>
                <w:b/>
                <w:color w:val="000000"/>
                <w:sz w:val="16"/>
                <w:szCs w:val="16"/>
              </w:rPr>
              <w:t>2008</w:t>
            </w:r>
          </w:p>
        </w:tc>
        <w:tc>
          <w:tcPr>
            <w:tcW w:w="960" w:type="dxa"/>
            <w:tcBorders>
              <w:top w:val="single" w:sz="4" w:space="0" w:color="auto"/>
              <w:left w:val="nil"/>
              <w:bottom w:val="double" w:sz="4" w:space="0" w:color="auto"/>
              <w:right w:val="single" w:sz="4" w:space="0" w:color="auto"/>
            </w:tcBorders>
            <w:shd w:val="clear" w:color="auto" w:fill="FFCCCC"/>
            <w:vAlign w:val="center"/>
            <w:hideMark/>
          </w:tcPr>
          <w:p w:rsidR="00306953" w:rsidRPr="001042AC" w:rsidRDefault="00306953" w:rsidP="007E5BD0">
            <w:pPr>
              <w:spacing w:after="0" w:line="240" w:lineRule="auto"/>
              <w:jc w:val="center"/>
              <w:rPr>
                <w:rFonts w:cs="Arial"/>
                <w:b/>
                <w:color w:val="000000"/>
                <w:sz w:val="16"/>
                <w:szCs w:val="16"/>
              </w:rPr>
            </w:pPr>
            <w:r w:rsidRPr="001042AC">
              <w:rPr>
                <w:rFonts w:cs="Arial"/>
                <w:b/>
                <w:color w:val="000000"/>
                <w:sz w:val="16"/>
                <w:szCs w:val="16"/>
              </w:rPr>
              <w:t>2010</w:t>
            </w:r>
          </w:p>
        </w:tc>
        <w:tc>
          <w:tcPr>
            <w:tcW w:w="960" w:type="dxa"/>
            <w:tcBorders>
              <w:top w:val="single" w:sz="4" w:space="0" w:color="auto"/>
              <w:left w:val="nil"/>
              <w:bottom w:val="double" w:sz="4" w:space="0" w:color="auto"/>
              <w:right w:val="single" w:sz="4" w:space="0" w:color="auto"/>
            </w:tcBorders>
            <w:shd w:val="clear" w:color="auto" w:fill="FFCCCC"/>
            <w:vAlign w:val="center"/>
            <w:hideMark/>
          </w:tcPr>
          <w:p w:rsidR="00306953" w:rsidRPr="001042AC" w:rsidRDefault="00306953" w:rsidP="007E5BD0">
            <w:pPr>
              <w:spacing w:after="0" w:line="240" w:lineRule="auto"/>
              <w:jc w:val="center"/>
              <w:rPr>
                <w:rFonts w:cs="Arial"/>
                <w:b/>
                <w:color w:val="000000"/>
                <w:sz w:val="16"/>
                <w:szCs w:val="16"/>
              </w:rPr>
            </w:pPr>
            <w:r w:rsidRPr="001042AC">
              <w:rPr>
                <w:rFonts w:cs="Arial"/>
                <w:b/>
                <w:color w:val="000000"/>
                <w:sz w:val="16"/>
                <w:szCs w:val="16"/>
              </w:rPr>
              <w:t>2011</w:t>
            </w:r>
          </w:p>
        </w:tc>
        <w:tc>
          <w:tcPr>
            <w:tcW w:w="960" w:type="dxa"/>
            <w:tcBorders>
              <w:top w:val="single" w:sz="4" w:space="0" w:color="auto"/>
              <w:left w:val="nil"/>
              <w:bottom w:val="double" w:sz="4" w:space="0" w:color="auto"/>
              <w:right w:val="double" w:sz="4" w:space="0" w:color="auto"/>
            </w:tcBorders>
            <w:shd w:val="clear" w:color="auto" w:fill="FFCCCC"/>
            <w:vAlign w:val="center"/>
            <w:hideMark/>
          </w:tcPr>
          <w:p w:rsidR="00306953" w:rsidRPr="001042AC" w:rsidRDefault="00306953" w:rsidP="007E5BD0">
            <w:pPr>
              <w:spacing w:after="0" w:line="240" w:lineRule="auto"/>
              <w:jc w:val="center"/>
              <w:rPr>
                <w:rFonts w:cs="Arial"/>
                <w:b/>
                <w:color w:val="000000"/>
                <w:sz w:val="16"/>
                <w:szCs w:val="16"/>
              </w:rPr>
            </w:pPr>
            <w:r w:rsidRPr="001042AC">
              <w:rPr>
                <w:rFonts w:cs="Arial"/>
                <w:b/>
                <w:color w:val="000000"/>
                <w:sz w:val="16"/>
                <w:szCs w:val="16"/>
              </w:rPr>
              <w:t>2012</w:t>
            </w:r>
          </w:p>
        </w:tc>
      </w:tr>
      <w:tr w:rsidR="00306953" w:rsidRPr="00442515" w:rsidTr="00B07DEE">
        <w:trPr>
          <w:trHeight w:val="300"/>
        </w:trPr>
        <w:tc>
          <w:tcPr>
            <w:tcW w:w="3559" w:type="dxa"/>
            <w:tcBorders>
              <w:top w:val="double" w:sz="4" w:space="0" w:color="auto"/>
              <w:left w:val="double" w:sz="4" w:space="0" w:color="auto"/>
              <w:bottom w:val="single" w:sz="4" w:space="0" w:color="auto"/>
              <w:right w:val="single" w:sz="4" w:space="0" w:color="auto"/>
            </w:tcBorders>
            <w:shd w:val="clear" w:color="000000" w:fill="FFFFFF"/>
            <w:noWrap/>
            <w:vAlign w:val="center"/>
            <w:hideMark/>
          </w:tcPr>
          <w:p w:rsidR="00306953" w:rsidRPr="00442515" w:rsidRDefault="00306953" w:rsidP="007E5BD0">
            <w:pPr>
              <w:spacing w:after="0" w:line="240" w:lineRule="auto"/>
              <w:rPr>
                <w:rFonts w:cs="Arial"/>
                <w:color w:val="000000"/>
                <w:sz w:val="16"/>
                <w:szCs w:val="16"/>
              </w:rPr>
            </w:pPr>
            <w:r w:rsidRPr="00442515">
              <w:rPr>
                <w:rFonts w:cs="Arial"/>
                <w:color w:val="000000"/>
                <w:sz w:val="16"/>
                <w:szCs w:val="16"/>
              </w:rPr>
              <w:t>Česká republika</w:t>
            </w:r>
          </w:p>
        </w:tc>
        <w:tc>
          <w:tcPr>
            <w:tcW w:w="960" w:type="dxa"/>
            <w:tcBorders>
              <w:top w:val="double" w:sz="4" w:space="0" w:color="auto"/>
              <w:left w:val="nil"/>
              <w:bottom w:val="single" w:sz="4" w:space="0" w:color="auto"/>
              <w:right w:val="single" w:sz="4" w:space="0" w:color="auto"/>
            </w:tcBorders>
            <w:shd w:val="clear" w:color="000000" w:fill="FFFFFF"/>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72</w:t>
            </w:r>
          </w:p>
        </w:tc>
        <w:tc>
          <w:tcPr>
            <w:tcW w:w="960" w:type="dxa"/>
            <w:tcBorders>
              <w:top w:val="double" w:sz="4" w:space="0" w:color="auto"/>
              <w:left w:val="nil"/>
              <w:bottom w:val="single" w:sz="4" w:space="0" w:color="auto"/>
              <w:right w:val="single" w:sz="4" w:space="0" w:color="auto"/>
            </w:tcBorders>
            <w:shd w:val="clear" w:color="000000" w:fill="FFFFFF"/>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114</w:t>
            </w:r>
          </w:p>
        </w:tc>
        <w:tc>
          <w:tcPr>
            <w:tcW w:w="960" w:type="dxa"/>
            <w:tcBorders>
              <w:top w:val="double" w:sz="4" w:space="0" w:color="auto"/>
              <w:left w:val="nil"/>
              <w:bottom w:val="single" w:sz="4" w:space="0" w:color="auto"/>
              <w:right w:val="single" w:sz="4" w:space="0" w:color="auto"/>
            </w:tcBorders>
            <w:shd w:val="clear" w:color="000000" w:fill="FFFFFF"/>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124</w:t>
            </w:r>
          </w:p>
        </w:tc>
        <w:tc>
          <w:tcPr>
            <w:tcW w:w="960" w:type="dxa"/>
            <w:tcBorders>
              <w:top w:val="double" w:sz="4" w:space="0" w:color="auto"/>
              <w:left w:val="nil"/>
              <w:bottom w:val="single" w:sz="4" w:space="0" w:color="auto"/>
              <w:right w:val="single" w:sz="4" w:space="0" w:color="auto"/>
            </w:tcBorders>
            <w:shd w:val="clear" w:color="000000" w:fill="FFFFFF"/>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130</w:t>
            </w:r>
          </w:p>
        </w:tc>
        <w:tc>
          <w:tcPr>
            <w:tcW w:w="960" w:type="dxa"/>
            <w:tcBorders>
              <w:top w:val="double" w:sz="4" w:space="0" w:color="auto"/>
              <w:left w:val="nil"/>
              <w:bottom w:val="single" w:sz="4" w:space="0" w:color="auto"/>
              <w:right w:val="double" w:sz="4" w:space="0" w:color="auto"/>
            </w:tcBorders>
            <w:shd w:val="clear" w:color="000000" w:fill="FFFFFF"/>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134</w:t>
            </w:r>
          </w:p>
        </w:tc>
      </w:tr>
      <w:tr w:rsidR="00306953" w:rsidRPr="00442515" w:rsidTr="00B07DEE">
        <w:trPr>
          <w:trHeight w:val="300"/>
        </w:trPr>
        <w:tc>
          <w:tcPr>
            <w:tcW w:w="3559" w:type="dxa"/>
            <w:tcBorders>
              <w:top w:val="single" w:sz="4" w:space="0" w:color="auto"/>
              <w:left w:val="double" w:sz="4" w:space="0" w:color="auto"/>
              <w:bottom w:val="single" w:sz="4" w:space="0" w:color="auto"/>
              <w:right w:val="single" w:sz="4" w:space="0" w:color="auto"/>
            </w:tcBorders>
            <w:shd w:val="clear" w:color="000000" w:fill="FFFFFF"/>
            <w:noWrap/>
            <w:vAlign w:val="center"/>
            <w:hideMark/>
          </w:tcPr>
          <w:p w:rsidR="00306953" w:rsidRPr="00442515" w:rsidRDefault="00306953" w:rsidP="007E5BD0">
            <w:pPr>
              <w:spacing w:after="0" w:line="240" w:lineRule="auto"/>
              <w:rPr>
                <w:rFonts w:cs="Arial"/>
                <w:color w:val="000000"/>
                <w:sz w:val="16"/>
                <w:szCs w:val="16"/>
              </w:rPr>
            </w:pPr>
            <w:r w:rsidRPr="00442515">
              <w:rPr>
                <w:rFonts w:cs="Arial"/>
                <w:color w:val="000000"/>
                <w:sz w:val="16"/>
                <w:szCs w:val="16"/>
              </w:rPr>
              <w:t>Slovensko</w:t>
            </w:r>
            <w:r w:rsidRPr="00442515">
              <w:rPr>
                <w:rFonts w:cs="Arial"/>
                <w:color w:val="000000"/>
                <w:sz w:val="16"/>
                <w:szCs w:val="16"/>
                <w:vertAlign w:val="superscript"/>
              </w:rPr>
              <w:t>1)</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68</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128</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159</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154</w:t>
            </w:r>
          </w:p>
        </w:tc>
        <w:tc>
          <w:tcPr>
            <w:tcW w:w="960" w:type="dxa"/>
            <w:tcBorders>
              <w:top w:val="single" w:sz="4" w:space="0" w:color="auto"/>
              <w:left w:val="nil"/>
              <w:bottom w:val="single" w:sz="4" w:space="0" w:color="auto"/>
              <w:right w:val="double" w:sz="4" w:space="0" w:color="auto"/>
            </w:tcBorders>
            <w:shd w:val="clear" w:color="000000" w:fill="FFFFFF"/>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159</w:t>
            </w:r>
          </w:p>
        </w:tc>
      </w:tr>
      <w:tr w:rsidR="00306953" w:rsidRPr="00442515" w:rsidTr="00B07DEE">
        <w:trPr>
          <w:trHeight w:val="300"/>
        </w:trPr>
        <w:tc>
          <w:tcPr>
            <w:tcW w:w="3559" w:type="dxa"/>
            <w:tcBorders>
              <w:top w:val="single" w:sz="4" w:space="0" w:color="auto"/>
              <w:left w:val="double" w:sz="4" w:space="0" w:color="auto"/>
              <w:bottom w:val="single" w:sz="4" w:space="0" w:color="auto"/>
              <w:right w:val="single" w:sz="4" w:space="0" w:color="auto"/>
            </w:tcBorders>
            <w:shd w:val="clear" w:color="000000" w:fill="FFFFFF"/>
            <w:noWrap/>
            <w:vAlign w:val="center"/>
            <w:hideMark/>
          </w:tcPr>
          <w:p w:rsidR="00306953" w:rsidRPr="00442515" w:rsidRDefault="00306953" w:rsidP="007E5BD0">
            <w:pPr>
              <w:spacing w:after="0" w:line="240" w:lineRule="auto"/>
              <w:rPr>
                <w:rFonts w:cs="Arial"/>
                <w:color w:val="000000"/>
                <w:sz w:val="16"/>
                <w:szCs w:val="16"/>
              </w:rPr>
            </w:pPr>
            <w:r w:rsidRPr="00442515">
              <w:rPr>
                <w:rFonts w:cs="Arial"/>
                <w:color w:val="000000"/>
                <w:sz w:val="16"/>
                <w:szCs w:val="16"/>
              </w:rPr>
              <w:t>Polsko</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82</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129</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147</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149</w:t>
            </w:r>
          </w:p>
        </w:tc>
        <w:tc>
          <w:tcPr>
            <w:tcW w:w="960" w:type="dxa"/>
            <w:tcBorders>
              <w:top w:val="single" w:sz="4" w:space="0" w:color="auto"/>
              <w:left w:val="nil"/>
              <w:bottom w:val="single" w:sz="4" w:space="0" w:color="auto"/>
              <w:right w:val="double" w:sz="4" w:space="0" w:color="auto"/>
            </w:tcBorders>
            <w:shd w:val="clear" w:color="000000" w:fill="FFFFFF"/>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162</w:t>
            </w:r>
          </w:p>
        </w:tc>
      </w:tr>
      <w:tr w:rsidR="00306953" w:rsidRPr="00442515" w:rsidTr="00B07DEE">
        <w:trPr>
          <w:trHeight w:val="300"/>
        </w:trPr>
        <w:tc>
          <w:tcPr>
            <w:tcW w:w="3559" w:type="dxa"/>
            <w:tcBorders>
              <w:top w:val="single" w:sz="4" w:space="0" w:color="auto"/>
              <w:left w:val="double" w:sz="4" w:space="0" w:color="auto"/>
              <w:bottom w:val="single" w:sz="4" w:space="0" w:color="auto"/>
              <w:right w:val="single" w:sz="4" w:space="0" w:color="auto"/>
            </w:tcBorders>
            <w:shd w:val="clear" w:color="000000" w:fill="FFFFFF"/>
            <w:noWrap/>
            <w:vAlign w:val="center"/>
            <w:hideMark/>
          </w:tcPr>
          <w:p w:rsidR="00306953" w:rsidRPr="00442515" w:rsidRDefault="00306953" w:rsidP="007E5BD0">
            <w:pPr>
              <w:spacing w:after="0" w:line="240" w:lineRule="auto"/>
              <w:rPr>
                <w:rFonts w:cs="Arial"/>
                <w:color w:val="000000"/>
                <w:sz w:val="16"/>
                <w:szCs w:val="16"/>
              </w:rPr>
            </w:pPr>
            <w:r w:rsidRPr="00442515">
              <w:rPr>
                <w:rFonts w:cs="Arial"/>
                <w:color w:val="000000"/>
                <w:sz w:val="16"/>
                <w:szCs w:val="16"/>
              </w:rPr>
              <w:t>Finsko</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87</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107</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112</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114</w:t>
            </w:r>
          </w:p>
        </w:tc>
        <w:tc>
          <w:tcPr>
            <w:tcW w:w="960" w:type="dxa"/>
            <w:tcBorders>
              <w:top w:val="single" w:sz="4" w:space="0" w:color="auto"/>
              <w:left w:val="nil"/>
              <w:bottom w:val="single" w:sz="4" w:space="0" w:color="auto"/>
              <w:right w:val="double" w:sz="4" w:space="0" w:color="auto"/>
            </w:tcBorders>
            <w:shd w:val="clear" w:color="000000" w:fill="FFFFFF"/>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114</w:t>
            </w:r>
          </w:p>
        </w:tc>
      </w:tr>
      <w:tr w:rsidR="00306953" w:rsidRPr="00442515" w:rsidTr="00B07DEE">
        <w:trPr>
          <w:trHeight w:val="300"/>
        </w:trPr>
        <w:tc>
          <w:tcPr>
            <w:tcW w:w="3559" w:type="dxa"/>
            <w:tcBorders>
              <w:top w:val="single" w:sz="4" w:space="0" w:color="auto"/>
              <w:left w:val="double" w:sz="4" w:space="0" w:color="auto"/>
              <w:bottom w:val="single" w:sz="4" w:space="0" w:color="auto"/>
              <w:right w:val="single" w:sz="4" w:space="0" w:color="auto"/>
            </w:tcBorders>
            <w:shd w:val="clear" w:color="auto" w:fill="C6D9F1" w:themeFill="text2" w:themeFillTint="33"/>
            <w:noWrap/>
            <w:vAlign w:val="center"/>
            <w:hideMark/>
          </w:tcPr>
          <w:p w:rsidR="00306953" w:rsidRPr="00631582" w:rsidRDefault="00F53B2E" w:rsidP="007E5BD0">
            <w:pPr>
              <w:spacing w:after="0" w:line="240" w:lineRule="auto"/>
              <w:rPr>
                <w:rFonts w:cs="Arial"/>
                <w:bCs/>
                <w:color w:val="000000"/>
                <w:sz w:val="16"/>
                <w:szCs w:val="16"/>
              </w:rPr>
            </w:pPr>
            <w:r w:rsidRPr="00631582">
              <w:rPr>
                <w:rFonts w:cs="Arial"/>
                <w:bCs/>
                <w:color w:val="000000"/>
                <w:sz w:val="16"/>
                <w:szCs w:val="16"/>
              </w:rPr>
              <w:t>p</w:t>
            </w:r>
            <w:r w:rsidR="00306953" w:rsidRPr="00631582">
              <w:rPr>
                <w:rFonts w:cs="Arial"/>
                <w:bCs/>
                <w:color w:val="000000"/>
                <w:sz w:val="16"/>
                <w:szCs w:val="16"/>
              </w:rPr>
              <w:t>růměr OECD</w:t>
            </w:r>
          </w:p>
        </w:tc>
        <w:tc>
          <w:tcPr>
            <w:tcW w:w="96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85</w:t>
            </w:r>
          </w:p>
        </w:tc>
        <w:tc>
          <w:tcPr>
            <w:tcW w:w="96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112</w:t>
            </w:r>
          </w:p>
        </w:tc>
        <w:tc>
          <w:tcPr>
            <w:tcW w:w="96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117</w:t>
            </w:r>
          </w:p>
        </w:tc>
        <w:tc>
          <w:tcPr>
            <w:tcW w:w="96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118</w:t>
            </w:r>
          </w:p>
        </w:tc>
        <w:tc>
          <w:tcPr>
            <w:tcW w:w="960" w:type="dxa"/>
            <w:tcBorders>
              <w:top w:val="single" w:sz="4" w:space="0" w:color="auto"/>
              <w:left w:val="nil"/>
              <w:bottom w:val="single" w:sz="4" w:space="0" w:color="auto"/>
              <w:right w:val="double" w:sz="4" w:space="0" w:color="auto"/>
            </w:tcBorders>
            <w:shd w:val="clear" w:color="auto" w:fill="C6D9F1" w:themeFill="text2" w:themeFillTint="33"/>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121</w:t>
            </w:r>
          </w:p>
        </w:tc>
      </w:tr>
      <w:tr w:rsidR="00306953" w:rsidRPr="00442515" w:rsidTr="00B07DEE">
        <w:trPr>
          <w:trHeight w:val="300"/>
        </w:trPr>
        <w:tc>
          <w:tcPr>
            <w:tcW w:w="3559" w:type="dxa"/>
            <w:tcBorders>
              <w:top w:val="single" w:sz="4" w:space="0" w:color="auto"/>
              <w:left w:val="double" w:sz="4" w:space="0" w:color="auto"/>
              <w:bottom w:val="double" w:sz="4" w:space="0" w:color="auto"/>
              <w:right w:val="single" w:sz="4" w:space="0" w:color="auto"/>
            </w:tcBorders>
            <w:shd w:val="clear" w:color="auto" w:fill="C6D9F1" w:themeFill="text2" w:themeFillTint="33"/>
            <w:noWrap/>
            <w:vAlign w:val="center"/>
            <w:hideMark/>
          </w:tcPr>
          <w:p w:rsidR="00306953" w:rsidRPr="00631582" w:rsidRDefault="00F53B2E" w:rsidP="007E5BD0">
            <w:pPr>
              <w:spacing w:after="0" w:line="240" w:lineRule="auto"/>
              <w:rPr>
                <w:rFonts w:cs="Arial"/>
                <w:bCs/>
                <w:color w:val="000000"/>
                <w:sz w:val="16"/>
                <w:szCs w:val="16"/>
              </w:rPr>
            </w:pPr>
            <w:r w:rsidRPr="00631582">
              <w:rPr>
                <w:rFonts w:cs="Arial"/>
                <w:bCs/>
                <w:color w:val="000000"/>
                <w:sz w:val="16"/>
                <w:szCs w:val="16"/>
              </w:rPr>
              <w:t>p</w:t>
            </w:r>
            <w:r w:rsidR="00306953" w:rsidRPr="00631582">
              <w:rPr>
                <w:rFonts w:cs="Arial"/>
                <w:bCs/>
                <w:color w:val="000000"/>
                <w:sz w:val="16"/>
                <w:szCs w:val="16"/>
              </w:rPr>
              <w:t>růměr EU21</w:t>
            </w:r>
          </w:p>
        </w:tc>
        <w:tc>
          <w:tcPr>
            <w:tcW w:w="960" w:type="dxa"/>
            <w:tcBorders>
              <w:top w:val="single" w:sz="4" w:space="0" w:color="auto"/>
              <w:left w:val="nil"/>
              <w:bottom w:val="double" w:sz="4" w:space="0" w:color="auto"/>
              <w:right w:val="single" w:sz="4" w:space="0" w:color="auto"/>
            </w:tcBorders>
            <w:shd w:val="clear" w:color="auto" w:fill="C6D9F1" w:themeFill="text2" w:themeFillTint="33"/>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83</w:t>
            </w:r>
          </w:p>
        </w:tc>
        <w:tc>
          <w:tcPr>
            <w:tcW w:w="960" w:type="dxa"/>
            <w:tcBorders>
              <w:top w:val="single" w:sz="4" w:space="0" w:color="auto"/>
              <w:left w:val="nil"/>
              <w:bottom w:val="double" w:sz="4" w:space="0" w:color="auto"/>
              <w:right w:val="single" w:sz="4" w:space="0" w:color="auto"/>
            </w:tcBorders>
            <w:shd w:val="clear" w:color="auto" w:fill="C6D9F1" w:themeFill="text2" w:themeFillTint="33"/>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112</w:t>
            </w:r>
          </w:p>
        </w:tc>
        <w:tc>
          <w:tcPr>
            <w:tcW w:w="960" w:type="dxa"/>
            <w:tcBorders>
              <w:top w:val="single" w:sz="4" w:space="0" w:color="auto"/>
              <w:left w:val="nil"/>
              <w:bottom w:val="double" w:sz="4" w:space="0" w:color="auto"/>
              <w:right w:val="single" w:sz="4" w:space="0" w:color="auto"/>
            </w:tcBorders>
            <w:shd w:val="clear" w:color="auto" w:fill="C6D9F1" w:themeFill="text2" w:themeFillTint="33"/>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117</w:t>
            </w:r>
          </w:p>
        </w:tc>
        <w:tc>
          <w:tcPr>
            <w:tcW w:w="960" w:type="dxa"/>
            <w:tcBorders>
              <w:top w:val="single" w:sz="4" w:space="0" w:color="auto"/>
              <w:left w:val="nil"/>
              <w:bottom w:val="double" w:sz="4" w:space="0" w:color="auto"/>
              <w:right w:val="single" w:sz="4" w:space="0" w:color="auto"/>
            </w:tcBorders>
            <w:shd w:val="clear" w:color="auto" w:fill="C6D9F1" w:themeFill="text2" w:themeFillTint="33"/>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115</w:t>
            </w:r>
          </w:p>
        </w:tc>
        <w:tc>
          <w:tcPr>
            <w:tcW w:w="960" w:type="dxa"/>
            <w:tcBorders>
              <w:top w:val="single" w:sz="4" w:space="0" w:color="auto"/>
              <w:left w:val="nil"/>
              <w:bottom w:val="double" w:sz="4" w:space="0" w:color="auto"/>
              <w:right w:val="double" w:sz="4" w:space="0" w:color="auto"/>
            </w:tcBorders>
            <w:shd w:val="clear" w:color="auto" w:fill="C6D9F1" w:themeFill="text2" w:themeFillTint="33"/>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118</w:t>
            </w:r>
          </w:p>
        </w:tc>
      </w:tr>
    </w:tbl>
    <w:p w:rsidR="00306953" w:rsidRPr="00442515" w:rsidRDefault="00306953" w:rsidP="00E031F1">
      <w:pPr>
        <w:spacing w:before="120" w:after="0" w:line="240" w:lineRule="auto"/>
        <w:jc w:val="both"/>
        <w:rPr>
          <w:rFonts w:eastAsia="ChaparralPro-Regular" w:cs="Arial"/>
          <w:sz w:val="16"/>
          <w:szCs w:val="16"/>
        </w:rPr>
      </w:pPr>
      <w:r w:rsidRPr="00442515">
        <w:rPr>
          <w:rFonts w:eastAsia="ChaparralPro-Regular" w:cs="Arial"/>
          <w:sz w:val="16"/>
          <w:szCs w:val="16"/>
          <w:vertAlign w:val="superscript"/>
        </w:rPr>
        <w:t>1)</w:t>
      </w:r>
      <w:r w:rsidRPr="00442515">
        <w:rPr>
          <w:rFonts w:eastAsia="ChaparralPro-Regular" w:cs="Arial"/>
          <w:sz w:val="16"/>
          <w:szCs w:val="16"/>
        </w:rPr>
        <w:t xml:space="preserve"> Postsekundární neterciární vzdělávání a krátký cyklus terciárního vzdělávání je zahrnut do kategorie vyššího sekundárního vzdělávání, viz kód „x“ v tabulce B1.1a</w:t>
      </w:r>
      <w:r w:rsidR="00CB1D9D">
        <w:rPr>
          <w:rFonts w:eastAsia="ChaparralPro-Regular" w:cs="Arial"/>
          <w:sz w:val="16"/>
          <w:szCs w:val="16"/>
        </w:rPr>
        <w:t xml:space="preserve"> (OECD 2015)</w:t>
      </w:r>
      <w:r w:rsidRPr="00442515">
        <w:rPr>
          <w:rFonts w:eastAsia="ChaparralPro-Regular" w:cs="Arial"/>
          <w:sz w:val="16"/>
          <w:szCs w:val="16"/>
        </w:rPr>
        <w:t>.</w:t>
      </w:r>
    </w:p>
    <w:p w:rsidR="00306953" w:rsidRPr="00442515" w:rsidRDefault="00306953" w:rsidP="00306953">
      <w:pPr>
        <w:autoSpaceDE w:val="0"/>
        <w:autoSpaceDN w:val="0"/>
        <w:adjustRightInd w:val="0"/>
        <w:spacing w:after="0" w:line="240" w:lineRule="auto"/>
        <w:jc w:val="both"/>
        <w:rPr>
          <w:rFonts w:eastAsia="ChaparralPro-Regular" w:cs="Arial"/>
          <w:sz w:val="16"/>
          <w:szCs w:val="16"/>
        </w:rPr>
      </w:pPr>
      <w:r w:rsidRPr="00442515">
        <w:rPr>
          <w:rFonts w:eastAsia="ChaparralPro-Regular" w:cs="Arial"/>
          <w:sz w:val="16"/>
          <w:szCs w:val="16"/>
        </w:rPr>
        <w:t xml:space="preserve">Zdroj: OECD 2015, tabulka B 1.5a. StatLink: </w:t>
      </w:r>
      <w:hyperlink r:id="rId82" w:history="1">
        <w:r w:rsidRPr="00442515">
          <w:rPr>
            <w:rStyle w:val="Hypertextovodkaz"/>
            <w:rFonts w:cs="Arial"/>
            <w:sz w:val="16"/>
            <w:szCs w:val="16"/>
          </w:rPr>
          <w:t>http://dx.doi.org/10.1787/888933285381</w:t>
        </w:r>
      </w:hyperlink>
      <w:r w:rsidR="00CB1D9D">
        <w:rPr>
          <w:rFonts w:cs="Arial"/>
          <w:color w:val="231F20"/>
          <w:sz w:val="16"/>
          <w:szCs w:val="16"/>
        </w:rPr>
        <w:t>,</w:t>
      </w:r>
      <w:r w:rsidRPr="00442515">
        <w:rPr>
          <w:rFonts w:cs="Arial"/>
          <w:sz w:val="16"/>
          <w:szCs w:val="16"/>
        </w:rPr>
        <w:t xml:space="preserve"> </w:t>
      </w:r>
      <w:r w:rsidRPr="00442515">
        <w:rPr>
          <w:rFonts w:eastAsia="ChaparralPro-Regular" w:cs="Arial"/>
          <w:sz w:val="16"/>
          <w:szCs w:val="16"/>
        </w:rPr>
        <w:t>výběr údajů ČSÚ.</w:t>
      </w:r>
    </w:p>
    <w:p w:rsidR="00306953" w:rsidRPr="00306953" w:rsidRDefault="00306953" w:rsidP="00306953">
      <w:pPr>
        <w:autoSpaceDE w:val="0"/>
        <w:autoSpaceDN w:val="0"/>
        <w:adjustRightInd w:val="0"/>
        <w:spacing w:after="0" w:line="240" w:lineRule="auto"/>
        <w:jc w:val="both"/>
        <w:rPr>
          <w:rFonts w:eastAsia="ChaparralPro-Regular" w:cs="Arial"/>
          <w:sz w:val="12"/>
          <w:szCs w:val="12"/>
        </w:rPr>
      </w:pPr>
    </w:p>
    <w:p w:rsidR="00306953" w:rsidRPr="00442515" w:rsidRDefault="00306953" w:rsidP="00306953">
      <w:pPr>
        <w:pStyle w:val="Default"/>
        <w:spacing w:after="120"/>
        <w:jc w:val="both"/>
        <w:rPr>
          <w:rFonts w:ascii="Arial" w:eastAsia="ChaparralPro-Regular" w:hAnsi="Arial" w:cs="Arial"/>
          <w:sz w:val="20"/>
          <w:szCs w:val="20"/>
        </w:rPr>
      </w:pPr>
      <w:r w:rsidRPr="000170B8">
        <w:rPr>
          <w:rFonts w:ascii="Arial" w:eastAsia="ChaparralPro-Regular" w:hAnsi="Arial" w:cs="Arial"/>
          <w:sz w:val="20"/>
          <w:szCs w:val="20"/>
        </w:rPr>
        <w:t xml:space="preserve">Tabulka č. 13 </w:t>
      </w:r>
      <w:r w:rsidRPr="00442515">
        <w:rPr>
          <w:rFonts w:ascii="Arial" w:eastAsia="ChaparralPro-Regular" w:hAnsi="Arial" w:cs="Arial"/>
          <w:sz w:val="20"/>
          <w:szCs w:val="20"/>
        </w:rPr>
        <w:t>znázorňuje, že v ČR výdaje na jednoho žáka v primárním, sekundárním a postsekundárním neterciárním vzdělávání od roku 2000 postupně rostly. Nárůst výdajů na</w:t>
      </w:r>
      <w:r w:rsidR="00E46D77">
        <w:rPr>
          <w:rFonts w:ascii="Arial" w:eastAsia="ChaparralPro-Regular" w:hAnsi="Arial" w:cs="Arial"/>
          <w:sz w:val="20"/>
          <w:szCs w:val="20"/>
        </w:rPr>
        <w:t xml:space="preserve"> jednoho žáka mezi rokem 2005 a </w:t>
      </w:r>
      <w:r w:rsidRPr="00442515">
        <w:rPr>
          <w:rFonts w:ascii="Arial" w:eastAsia="ChaparralPro-Regular" w:hAnsi="Arial" w:cs="Arial"/>
          <w:sz w:val="20"/>
          <w:szCs w:val="20"/>
        </w:rPr>
        <w:t xml:space="preserve">2012 byl zároveň v ČR </w:t>
      </w:r>
      <w:r w:rsidR="00C63E7A">
        <w:rPr>
          <w:rFonts w:ascii="Arial" w:eastAsia="ChaparralPro-Regular" w:hAnsi="Arial" w:cs="Arial"/>
          <w:sz w:val="20"/>
          <w:szCs w:val="20"/>
        </w:rPr>
        <w:t>nadprůměrný, ještě výrazněji však tyto výdaje rostly v Polsku</w:t>
      </w:r>
      <w:r w:rsidRPr="00442515">
        <w:rPr>
          <w:rFonts w:ascii="Arial" w:eastAsia="ChaparralPro-Regular" w:hAnsi="Arial" w:cs="Arial"/>
          <w:sz w:val="20"/>
          <w:szCs w:val="20"/>
        </w:rPr>
        <w:t xml:space="preserve"> a </w:t>
      </w:r>
      <w:r w:rsidR="00C63E7A">
        <w:rPr>
          <w:rFonts w:ascii="Arial" w:eastAsia="ChaparralPro-Regular" w:hAnsi="Arial" w:cs="Arial"/>
          <w:sz w:val="20"/>
          <w:szCs w:val="20"/>
        </w:rPr>
        <w:t>na Slovensku</w:t>
      </w:r>
      <w:r w:rsidRPr="00442515">
        <w:rPr>
          <w:rFonts w:ascii="Arial" w:eastAsia="ChaparralPro-Regular" w:hAnsi="Arial" w:cs="Arial"/>
          <w:sz w:val="20"/>
          <w:szCs w:val="20"/>
        </w:rPr>
        <w:t xml:space="preserve">. Oproti tomu ve Finsku byl nárůst výdajů na jednoho žáka mezi lety 2005 a 2012 srovnatelný s průměrným nárůstem za země v EU i OECD. </w:t>
      </w:r>
    </w:p>
    <w:p w:rsidR="00306953" w:rsidRPr="00442515" w:rsidRDefault="00306953" w:rsidP="00306953">
      <w:pPr>
        <w:pStyle w:val="Default"/>
        <w:jc w:val="both"/>
        <w:rPr>
          <w:rFonts w:ascii="Arial" w:eastAsia="ChaparralPro-Regular" w:hAnsi="Arial" w:cs="Arial"/>
          <w:sz w:val="20"/>
          <w:szCs w:val="20"/>
        </w:rPr>
      </w:pPr>
      <w:r w:rsidRPr="00442515">
        <w:rPr>
          <w:rFonts w:ascii="Arial" w:eastAsia="ChaparralPro-Regular" w:hAnsi="Arial" w:cs="Arial"/>
          <w:sz w:val="20"/>
          <w:szCs w:val="20"/>
        </w:rPr>
        <w:lastRenderedPageBreak/>
        <w:t>MŠMT v tomto ohledu uvádí, že „</w:t>
      </w:r>
      <w:r w:rsidRPr="00442515">
        <w:rPr>
          <w:rFonts w:ascii="Arial" w:hAnsi="Arial" w:cs="Arial"/>
          <w:i/>
          <w:sz w:val="20"/>
          <w:szCs w:val="20"/>
        </w:rPr>
        <w:t xml:space="preserve">největší nárůst výdajů na </w:t>
      </w:r>
      <w:r w:rsidRPr="00442515">
        <w:rPr>
          <w:rFonts w:ascii="Arial" w:eastAsia="ChaparralPro-Regular" w:hAnsi="Arial" w:cs="Arial"/>
          <w:i/>
          <w:sz w:val="20"/>
          <w:szCs w:val="20"/>
        </w:rPr>
        <w:t>žáka byl v období 2005–2011 zaznamenán v zemích, které měly i v roce 2011 stále ještě nejnižší hladinu výdajů</w:t>
      </w:r>
      <w:r w:rsidRPr="00442515">
        <w:rPr>
          <w:rFonts w:ascii="Arial" w:eastAsia="ChaparralPro-Regular" w:hAnsi="Arial" w:cs="Arial"/>
          <w:sz w:val="20"/>
          <w:szCs w:val="20"/>
        </w:rPr>
        <w:t>.“ (</w:t>
      </w:r>
      <w:hyperlink r:id="rId83" w:history="1">
        <w:r w:rsidRPr="00442515">
          <w:rPr>
            <w:rStyle w:val="Hypertextovodkaz"/>
            <w:rFonts w:ascii="Arial" w:eastAsia="ChaparralPro-Regular" w:hAnsi="Arial" w:cs="Arial"/>
            <w:sz w:val="20"/>
            <w:szCs w:val="20"/>
          </w:rPr>
          <w:t>MŠMT 2014</w:t>
        </w:r>
      </w:hyperlink>
      <w:r w:rsidR="00DF6DCD">
        <w:rPr>
          <w:rFonts w:ascii="Arial" w:eastAsia="ChaparralPro-Regular" w:hAnsi="Arial" w:cs="Arial"/>
          <w:sz w:val="20"/>
          <w:szCs w:val="20"/>
        </w:rPr>
        <w:t>, s. </w:t>
      </w:r>
      <w:r w:rsidRPr="00442515">
        <w:rPr>
          <w:rFonts w:ascii="Arial" w:eastAsia="ChaparralPro-Regular" w:hAnsi="Arial" w:cs="Arial"/>
          <w:sz w:val="20"/>
          <w:szCs w:val="20"/>
        </w:rPr>
        <w:t>19), přičemž „</w:t>
      </w:r>
      <w:r w:rsidRPr="00442515">
        <w:rPr>
          <w:rFonts w:ascii="Arial" w:eastAsia="ChaparralPro-Regular" w:hAnsi="Arial" w:cs="Arial"/>
          <w:i/>
          <w:sz w:val="20"/>
          <w:szCs w:val="20"/>
        </w:rPr>
        <w:t>mezi lety 2005 a 2012 vzrostly v zemích OECD výdaje na žáka v primárním, sekundárním a postsekundárním neterciárním vzdělávání v průměru o 21 %, mezi lety 2008 a 2012 však výdaje na vzdělávání klesly téměř ve čtvrtině zemí OECD v důsledku ekonomické krize, v několika zemích měly za následek pokles výdajů na žáka. V České republice v porovnání s rokem 2005 pokles výdajů na žáka mezi lety 2008–2012 nenastal, částečně asi i z důvodu, že v primárním, sekundárním a postsekundárním n</w:t>
      </w:r>
      <w:r w:rsidR="00E52654">
        <w:rPr>
          <w:rFonts w:ascii="Arial" w:eastAsia="ChaparralPro-Regular" w:hAnsi="Arial" w:cs="Arial"/>
          <w:i/>
          <w:sz w:val="20"/>
          <w:szCs w:val="20"/>
        </w:rPr>
        <w:t>eterciárním vzdělávání klesal v </w:t>
      </w:r>
      <w:r w:rsidRPr="00442515">
        <w:rPr>
          <w:rFonts w:ascii="Arial" w:eastAsia="ChaparralPro-Regular" w:hAnsi="Arial" w:cs="Arial"/>
          <w:i/>
          <w:sz w:val="20"/>
          <w:szCs w:val="20"/>
        </w:rPr>
        <w:t>letech 2008–2012 počet žáků ve srovnání s rokem 2005</w:t>
      </w:r>
      <w:r w:rsidRPr="00442515">
        <w:rPr>
          <w:rFonts w:ascii="Arial" w:eastAsia="ChaparralPro-Regular" w:hAnsi="Arial" w:cs="Arial"/>
          <w:sz w:val="20"/>
          <w:szCs w:val="20"/>
        </w:rPr>
        <w:t>.“ (</w:t>
      </w:r>
      <w:hyperlink r:id="rId84" w:history="1">
        <w:r w:rsidRPr="00442515">
          <w:rPr>
            <w:rStyle w:val="Hypertextovodkaz"/>
            <w:rFonts w:ascii="Arial" w:eastAsia="ChaparralPro-Regular" w:hAnsi="Arial" w:cs="Arial"/>
            <w:sz w:val="20"/>
            <w:szCs w:val="20"/>
          </w:rPr>
          <w:t>MŠMT 2015</w:t>
        </w:r>
      </w:hyperlink>
      <w:r w:rsidR="00DF6DCD">
        <w:rPr>
          <w:rFonts w:ascii="Arial" w:eastAsia="ChaparralPro-Regular" w:hAnsi="Arial" w:cs="Arial"/>
          <w:sz w:val="20"/>
          <w:szCs w:val="20"/>
        </w:rPr>
        <w:t>, s. </w:t>
      </w:r>
      <w:r w:rsidRPr="00442515">
        <w:rPr>
          <w:rFonts w:ascii="Arial" w:eastAsia="ChaparralPro-Regular" w:hAnsi="Arial" w:cs="Arial"/>
          <w:sz w:val="20"/>
          <w:szCs w:val="20"/>
        </w:rPr>
        <w:t>15).</w:t>
      </w:r>
    </w:p>
    <w:p w:rsidR="00306953" w:rsidRPr="00442515" w:rsidRDefault="00306953" w:rsidP="00306953">
      <w:pPr>
        <w:pStyle w:val="Default"/>
        <w:jc w:val="both"/>
        <w:rPr>
          <w:rFonts w:ascii="Arial" w:eastAsia="ChaparralPro-Regular" w:hAnsi="Arial" w:cs="Arial"/>
          <w:sz w:val="20"/>
          <w:szCs w:val="20"/>
        </w:rPr>
      </w:pPr>
      <w:r w:rsidRPr="00442515">
        <w:rPr>
          <w:rFonts w:ascii="Arial" w:eastAsia="ChaparralPro-Regular" w:hAnsi="Arial" w:cs="Arial"/>
          <w:sz w:val="20"/>
          <w:szCs w:val="20"/>
        </w:rPr>
        <w:t xml:space="preserve"> </w:t>
      </w:r>
    </w:p>
    <w:p w:rsidR="00306953" w:rsidRPr="00442515" w:rsidRDefault="00306953" w:rsidP="00306953">
      <w:pPr>
        <w:autoSpaceDE w:val="0"/>
        <w:autoSpaceDN w:val="0"/>
        <w:adjustRightInd w:val="0"/>
        <w:spacing w:after="0" w:line="240" w:lineRule="auto"/>
        <w:jc w:val="both"/>
        <w:rPr>
          <w:rFonts w:eastAsia="ChaparralPro-Regular" w:cs="Arial"/>
          <w:b/>
          <w:szCs w:val="20"/>
        </w:rPr>
      </w:pPr>
      <w:r w:rsidRPr="00442515">
        <w:rPr>
          <w:rFonts w:eastAsia="ChaparralPro-Regular" w:cs="Arial"/>
          <w:szCs w:val="20"/>
        </w:rPr>
        <w:t>Tabulka č. 14 dále ukazuje</w:t>
      </w:r>
      <w:r w:rsidRPr="00442515">
        <w:rPr>
          <w:rFonts w:eastAsia="ChaparralPro-Regular" w:cs="Arial"/>
          <w:b/>
          <w:szCs w:val="20"/>
        </w:rPr>
        <w:t xml:space="preserve"> </w:t>
      </w:r>
      <w:r w:rsidRPr="00442515">
        <w:rPr>
          <w:rFonts w:eastAsia="ChaparralPro-Regular" w:cs="Arial"/>
          <w:szCs w:val="20"/>
        </w:rPr>
        <w:t xml:space="preserve">vývoj výdajů vzdělávacích institucí na jednoho studenta v terciárním vzdělávání. </w:t>
      </w:r>
    </w:p>
    <w:p w:rsidR="00306953" w:rsidRPr="00442515" w:rsidRDefault="00306953" w:rsidP="00306953">
      <w:pPr>
        <w:autoSpaceDE w:val="0"/>
        <w:autoSpaceDN w:val="0"/>
        <w:adjustRightInd w:val="0"/>
        <w:spacing w:after="0" w:line="240" w:lineRule="auto"/>
        <w:jc w:val="both"/>
        <w:rPr>
          <w:rFonts w:eastAsia="ChaparralPro-Regular" w:cs="Arial"/>
          <w:szCs w:val="20"/>
        </w:rPr>
      </w:pPr>
    </w:p>
    <w:p w:rsidR="00306953" w:rsidRPr="00442515" w:rsidRDefault="00306953" w:rsidP="008E59C3">
      <w:pPr>
        <w:keepNext/>
        <w:autoSpaceDE w:val="0"/>
        <w:autoSpaceDN w:val="0"/>
        <w:adjustRightInd w:val="0"/>
        <w:spacing w:after="0" w:line="240" w:lineRule="auto"/>
        <w:jc w:val="both"/>
        <w:rPr>
          <w:rFonts w:eastAsia="ChaparralPro-Regular" w:cs="Arial"/>
          <w:b/>
          <w:szCs w:val="20"/>
        </w:rPr>
      </w:pPr>
      <w:r w:rsidRPr="00442515">
        <w:rPr>
          <w:rFonts w:eastAsia="ChaparralPro-Regular" w:cs="Arial"/>
          <w:b/>
          <w:szCs w:val="20"/>
        </w:rPr>
        <w:t>Tabulka č. 14 Změna ve výdajích vzdělávacích institucí na jednoho stu</w:t>
      </w:r>
      <w:r w:rsidR="003A515E">
        <w:rPr>
          <w:rFonts w:eastAsia="ChaparralPro-Regular" w:cs="Arial"/>
          <w:b/>
          <w:szCs w:val="20"/>
        </w:rPr>
        <w:t>denta terciárního vzdělávání za </w:t>
      </w:r>
      <w:r w:rsidRPr="00442515">
        <w:rPr>
          <w:rFonts w:eastAsia="ChaparralPro-Regular" w:cs="Arial"/>
          <w:b/>
          <w:szCs w:val="20"/>
        </w:rPr>
        <w:t>všechny poskytnuté služby (2000, 2008, 2010, 2010, 2011, 2012)</w:t>
      </w:r>
    </w:p>
    <w:p w:rsidR="00306953" w:rsidRPr="00680594" w:rsidRDefault="00680594" w:rsidP="008E59C3">
      <w:pPr>
        <w:keepNext/>
        <w:autoSpaceDE w:val="0"/>
        <w:autoSpaceDN w:val="0"/>
        <w:adjustRightInd w:val="0"/>
        <w:spacing w:after="120" w:line="240" w:lineRule="auto"/>
        <w:jc w:val="both"/>
        <w:rPr>
          <w:rFonts w:eastAsia="ChaparralPro-Regular" w:cs="Arial"/>
          <w:i/>
          <w:color w:val="FF0000"/>
          <w:szCs w:val="20"/>
        </w:rPr>
      </w:pPr>
      <w:r w:rsidRPr="00680594">
        <w:rPr>
          <w:rFonts w:eastAsia="ChaparralPro-Regular" w:cs="Arial"/>
          <w:i/>
          <w:szCs w:val="20"/>
        </w:rPr>
        <w:t>i</w:t>
      </w:r>
      <w:r w:rsidR="00306953" w:rsidRPr="00680594">
        <w:rPr>
          <w:rFonts w:eastAsia="ChaparralPro-Regular" w:cs="Arial"/>
          <w:i/>
          <w:szCs w:val="20"/>
        </w:rPr>
        <w:t xml:space="preserve">ndex změny (deflátor HDP 2005=100, konstantní ceny)   </w:t>
      </w:r>
    </w:p>
    <w:tbl>
      <w:tblPr>
        <w:tblW w:w="7860" w:type="dxa"/>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3060"/>
        <w:gridCol w:w="960"/>
        <w:gridCol w:w="960"/>
        <w:gridCol w:w="960"/>
        <w:gridCol w:w="960"/>
        <w:gridCol w:w="960"/>
      </w:tblGrid>
      <w:tr w:rsidR="00306953" w:rsidRPr="00442515" w:rsidTr="00B07DEE">
        <w:trPr>
          <w:trHeight w:val="300"/>
        </w:trPr>
        <w:tc>
          <w:tcPr>
            <w:tcW w:w="3060" w:type="dxa"/>
            <w:vMerge w:val="restart"/>
            <w:tcBorders>
              <w:top w:val="double" w:sz="4" w:space="0" w:color="auto"/>
              <w:bottom w:val="single" w:sz="4" w:space="0" w:color="auto"/>
            </w:tcBorders>
            <w:shd w:val="clear" w:color="auto" w:fill="FFCCCC"/>
            <w:noWrap/>
            <w:vAlign w:val="center"/>
            <w:hideMark/>
          </w:tcPr>
          <w:p w:rsidR="00306953" w:rsidRPr="00631582" w:rsidRDefault="00306953" w:rsidP="007E5BD0">
            <w:pPr>
              <w:keepNext/>
              <w:spacing w:after="0" w:line="240" w:lineRule="auto"/>
              <w:rPr>
                <w:rFonts w:cs="Arial"/>
                <w:b/>
                <w:iCs/>
                <w:color w:val="000000"/>
                <w:sz w:val="16"/>
                <w:szCs w:val="16"/>
              </w:rPr>
            </w:pPr>
            <w:r w:rsidRPr="00631582">
              <w:rPr>
                <w:rFonts w:eastAsia="ChaparralPro-Regular" w:cs="Arial"/>
                <w:b/>
                <w:iCs/>
                <w:color w:val="000000"/>
                <w:sz w:val="16"/>
                <w:szCs w:val="16"/>
              </w:rPr>
              <w:t>terciární vzdělávání</w:t>
            </w:r>
          </w:p>
        </w:tc>
        <w:tc>
          <w:tcPr>
            <w:tcW w:w="4800" w:type="dxa"/>
            <w:gridSpan w:val="5"/>
            <w:tcBorders>
              <w:top w:val="double" w:sz="4" w:space="0" w:color="auto"/>
              <w:bottom w:val="single" w:sz="4" w:space="0" w:color="auto"/>
            </w:tcBorders>
            <w:shd w:val="clear" w:color="auto" w:fill="FFCCCC"/>
            <w:vAlign w:val="center"/>
            <w:hideMark/>
          </w:tcPr>
          <w:p w:rsidR="00306953" w:rsidRPr="001042AC" w:rsidRDefault="00EA6A4F" w:rsidP="007E5BD0">
            <w:pPr>
              <w:keepNext/>
              <w:spacing w:after="0" w:line="240" w:lineRule="auto"/>
              <w:jc w:val="center"/>
              <w:rPr>
                <w:rFonts w:cs="Arial"/>
                <w:b/>
                <w:color w:val="000000"/>
                <w:sz w:val="16"/>
                <w:szCs w:val="16"/>
              </w:rPr>
            </w:pPr>
            <w:r>
              <w:rPr>
                <w:rFonts w:cs="Arial"/>
                <w:b/>
                <w:color w:val="000000"/>
                <w:sz w:val="16"/>
                <w:szCs w:val="16"/>
              </w:rPr>
              <w:t>z</w:t>
            </w:r>
            <w:r w:rsidR="00306953" w:rsidRPr="001042AC">
              <w:rPr>
                <w:rFonts w:cs="Arial"/>
                <w:b/>
                <w:color w:val="000000"/>
                <w:sz w:val="16"/>
                <w:szCs w:val="16"/>
              </w:rPr>
              <w:t>měna ve výdajích na jednoho studenta (2005=100)</w:t>
            </w:r>
          </w:p>
        </w:tc>
      </w:tr>
      <w:tr w:rsidR="00306953" w:rsidRPr="00442515" w:rsidTr="00B07DEE">
        <w:trPr>
          <w:trHeight w:val="300"/>
        </w:trPr>
        <w:tc>
          <w:tcPr>
            <w:tcW w:w="3060" w:type="dxa"/>
            <w:vMerge/>
            <w:tcBorders>
              <w:top w:val="single" w:sz="4" w:space="0" w:color="auto"/>
              <w:bottom w:val="double" w:sz="4" w:space="0" w:color="auto"/>
            </w:tcBorders>
            <w:shd w:val="clear" w:color="auto" w:fill="FFCCCC"/>
            <w:vAlign w:val="center"/>
            <w:hideMark/>
          </w:tcPr>
          <w:p w:rsidR="00306953" w:rsidRPr="001042AC" w:rsidRDefault="00306953" w:rsidP="007E5BD0">
            <w:pPr>
              <w:keepNext/>
              <w:spacing w:after="0" w:line="240" w:lineRule="auto"/>
              <w:rPr>
                <w:rFonts w:cs="Arial"/>
                <w:b/>
                <w:i/>
                <w:iCs/>
                <w:color w:val="000000"/>
                <w:sz w:val="16"/>
                <w:szCs w:val="16"/>
              </w:rPr>
            </w:pPr>
          </w:p>
        </w:tc>
        <w:tc>
          <w:tcPr>
            <w:tcW w:w="960" w:type="dxa"/>
            <w:tcBorders>
              <w:top w:val="single" w:sz="4" w:space="0" w:color="auto"/>
              <w:bottom w:val="double" w:sz="4" w:space="0" w:color="auto"/>
            </w:tcBorders>
            <w:shd w:val="clear" w:color="auto" w:fill="FFCCCC"/>
            <w:vAlign w:val="center"/>
            <w:hideMark/>
          </w:tcPr>
          <w:p w:rsidR="00306953" w:rsidRPr="001042AC" w:rsidRDefault="00306953" w:rsidP="007E5BD0">
            <w:pPr>
              <w:keepNext/>
              <w:spacing w:after="0" w:line="240" w:lineRule="auto"/>
              <w:jc w:val="center"/>
              <w:rPr>
                <w:rFonts w:cs="Arial"/>
                <w:b/>
                <w:color w:val="000000"/>
                <w:sz w:val="16"/>
                <w:szCs w:val="16"/>
              </w:rPr>
            </w:pPr>
            <w:r w:rsidRPr="001042AC">
              <w:rPr>
                <w:rFonts w:cs="Arial"/>
                <w:b/>
                <w:color w:val="000000"/>
                <w:sz w:val="16"/>
                <w:szCs w:val="16"/>
              </w:rPr>
              <w:t>2000</w:t>
            </w:r>
          </w:p>
        </w:tc>
        <w:tc>
          <w:tcPr>
            <w:tcW w:w="960" w:type="dxa"/>
            <w:tcBorders>
              <w:top w:val="single" w:sz="4" w:space="0" w:color="auto"/>
              <w:bottom w:val="double" w:sz="4" w:space="0" w:color="auto"/>
            </w:tcBorders>
            <w:shd w:val="clear" w:color="auto" w:fill="FFCCCC"/>
            <w:vAlign w:val="center"/>
            <w:hideMark/>
          </w:tcPr>
          <w:p w:rsidR="00306953" w:rsidRPr="001042AC" w:rsidRDefault="00306953" w:rsidP="007E5BD0">
            <w:pPr>
              <w:keepNext/>
              <w:spacing w:after="0" w:line="240" w:lineRule="auto"/>
              <w:jc w:val="center"/>
              <w:rPr>
                <w:rFonts w:cs="Arial"/>
                <w:b/>
                <w:color w:val="000000"/>
                <w:sz w:val="16"/>
                <w:szCs w:val="16"/>
              </w:rPr>
            </w:pPr>
            <w:r w:rsidRPr="001042AC">
              <w:rPr>
                <w:rFonts w:cs="Arial"/>
                <w:b/>
                <w:color w:val="000000"/>
                <w:sz w:val="16"/>
                <w:szCs w:val="16"/>
              </w:rPr>
              <w:t>2008</w:t>
            </w:r>
          </w:p>
        </w:tc>
        <w:tc>
          <w:tcPr>
            <w:tcW w:w="960" w:type="dxa"/>
            <w:tcBorders>
              <w:top w:val="single" w:sz="4" w:space="0" w:color="auto"/>
              <w:bottom w:val="double" w:sz="4" w:space="0" w:color="auto"/>
            </w:tcBorders>
            <w:shd w:val="clear" w:color="auto" w:fill="FFCCCC"/>
            <w:vAlign w:val="center"/>
            <w:hideMark/>
          </w:tcPr>
          <w:p w:rsidR="00306953" w:rsidRPr="001042AC" w:rsidRDefault="00306953" w:rsidP="007E5BD0">
            <w:pPr>
              <w:keepNext/>
              <w:spacing w:after="0" w:line="240" w:lineRule="auto"/>
              <w:jc w:val="center"/>
              <w:rPr>
                <w:rFonts w:cs="Arial"/>
                <w:b/>
                <w:color w:val="000000"/>
                <w:sz w:val="16"/>
                <w:szCs w:val="16"/>
              </w:rPr>
            </w:pPr>
            <w:r w:rsidRPr="001042AC">
              <w:rPr>
                <w:rFonts w:cs="Arial"/>
                <w:b/>
                <w:color w:val="000000"/>
                <w:sz w:val="16"/>
                <w:szCs w:val="16"/>
              </w:rPr>
              <w:t>2010</w:t>
            </w:r>
          </w:p>
        </w:tc>
        <w:tc>
          <w:tcPr>
            <w:tcW w:w="960" w:type="dxa"/>
            <w:tcBorders>
              <w:top w:val="single" w:sz="4" w:space="0" w:color="auto"/>
              <w:bottom w:val="double" w:sz="4" w:space="0" w:color="auto"/>
            </w:tcBorders>
            <w:shd w:val="clear" w:color="auto" w:fill="FFCCCC"/>
            <w:vAlign w:val="center"/>
            <w:hideMark/>
          </w:tcPr>
          <w:p w:rsidR="00306953" w:rsidRPr="001042AC" w:rsidRDefault="00306953" w:rsidP="007E5BD0">
            <w:pPr>
              <w:keepNext/>
              <w:spacing w:after="0" w:line="240" w:lineRule="auto"/>
              <w:jc w:val="center"/>
              <w:rPr>
                <w:rFonts w:cs="Arial"/>
                <w:b/>
                <w:color w:val="000000"/>
                <w:sz w:val="16"/>
                <w:szCs w:val="16"/>
              </w:rPr>
            </w:pPr>
            <w:r w:rsidRPr="001042AC">
              <w:rPr>
                <w:rFonts w:cs="Arial"/>
                <w:b/>
                <w:color w:val="000000"/>
                <w:sz w:val="16"/>
                <w:szCs w:val="16"/>
              </w:rPr>
              <w:t>2011</w:t>
            </w:r>
          </w:p>
        </w:tc>
        <w:tc>
          <w:tcPr>
            <w:tcW w:w="960" w:type="dxa"/>
            <w:tcBorders>
              <w:top w:val="single" w:sz="4" w:space="0" w:color="auto"/>
              <w:bottom w:val="double" w:sz="4" w:space="0" w:color="auto"/>
            </w:tcBorders>
            <w:shd w:val="clear" w:color="auto" w:fill="FFCCCC"/>
            <w:vAlign w:val="center"/>
            <w:hideMark/>
          </w:tcPr>
          <w:p w:rsidR="00306953" w:rsidRPr="001042AC" w:rsidRDefault="00306953" w:rsidP="007E5BD0">
            <w:pPr>
              <w:keepNext/>
              <w:spacing w:after="0" w:line="240" w:lineRule="auto"/>
              <w:jc w:val="center"/>
              <w:rPr>
                <w:rFonts w:cs="Arial"/>
                <w:b/>
                <w:color w:val="000000"/>
                <w:sz w:val="16"/>
                <w:szCs w:val="16"/>
              </w:rPr>
            </w:pPr>
            <w:r w:rsidRPr="001042AC">
              <w:rPr>
                <w:rFonts w:cs="Arial"/>
                <w:b/>
                <w:color w:val="000000"/>
                <w:sz w:val="16"/>
                <w:szCs w:val="16"/>
              </w:rPr>
              <w:t>2012</w:t>
            </w:r>
          </w:p>
        </w:tc>
      </w:tr>
      <w:tr w:rsidR="00306953" w:rsidRPr="00442515" w:rsidTr="00B07DEE">
        <w:trPr>
          <w:trHeight w:val="300"/>
        </w:trPr>
        <w:tc>
          <w:tcPr>
            <w:tcW w:w="3060" w:type="dxa"/>
            <w:tcBorders>
              <w:top w:val="double" w:sz="4" w:space="0" w:color="auto"/>
            </w:tcBorders>
            <w:shd w:val="clear" w:color="000000" w:fill="FFFFFF"/>
            <w:noWrap/>
            <w:vAlign w:val="center"/>
            <w:hideMark/>
          </w:tcPr>
          <w:p w:rsidR="00306953" w:rsidRPr="002E78B6" w:rsidRDefault="00306953" w:rsidP="007E5BD0">
            <w:pPr>
              <w:spacing w:after="0" w:line="240" w:lineRule="auto"/>
              <w:rPr>
                <w:rFonts w:cs="Arial"/>
                <w:color w:val="000000"/>
                <w:sz w:val="16"/>
                <w:szCs w:val="16"/>
              </w:rPr>
            </w:pPr>
            <w:r w:rsidRPr="002E78B6">
              <w:rPr>
                <w:rFonts w:cs="Arial"/>
                <w:color w:val="000000"/>
                <w:sz w:val="16"/>
                <w:szCs w:val="16"/>
              </w:rPr>
              <w:t>Česká republika</w:t>
            </w:r>
          </w:p>
        </w:tc>
        <w:tc>
          <w:tcPr>
            <w:tcW w:w="960" w:type="dxa"/>
            <w:tcBorders>
              <w:top w:val="double" w:sz="4" w:space="0" w:color="auto"/>
            </w:tcBorders>
            <w:shd w:val="clear" w:color="000000" w:fill="FFFFFF"/>
            <w:noWrap/>
            <w:vAlign w:val="center"/>
            <w:hideMark/>
          </w:tcPr>
          <w:p w:rsidR="00306953" w:rsidRPr="002E78B6" w:rsidRDefault="00306953" w:rsidP="007E5BD0">
            <w:pPr>
              <w:spacing w:after="0" w:line="240" w:lineRule="auto"/>
              <w:jc w:val="center"/>
              <w:rPr>
                <w:rFonts w:cs="Arial"/>
                <w:color w:val="000000"/>
                <w:sz w:val="16"/>
                <w:szCs w:val="16"/>
              </w:rPr>
            </w:pPr>
            <w:r w:rsidRPr="002E78B6">
              <w:rPr>
                <w:rFonts w:cs="Arial"/>
                <w:color w:val="000000"/>
                <w:sz w:val="16"/>
                <w:szCs w:val="16"/>
              </w:rPr>
              <w:t>90</w:t>
            </w:r>
          </w:p>
        </w:tc>
        <w:tc>
          <w:tcPr>
            <w:tcW w:w="960" w:type="dxa"/>
            <w:tcBorders>
              <w:top w:val="double" w:sz="4" w:space="0" w:color="auto"/>
            </w:tcBorders>
            <w:shd w:val="clear" w:color="000000" w:fill="FFFFFF"/>
            <w:noWrap/>
            <w:vAlign w:val="center"/>
            <w:hideMark/>
          </w:tcPr>
          <w:p w:rsidR="00306953" w:rsidRPr="002E78B6" w:rsidRDefault="00306953" w:rsidP="007E5BD0">
            <w:pPr>
              <w:spacing w:after="0" w:line="240" w:lineRule="auto"/>
              <w:jc w:val="center"/>
              <w:rPr>
                <w:rFonts w:cs="Arial"/>
                <w:color w:val="000000"/>
                <w:sz w:val="16"/>
                <w:szCs w:val="16"/>
              </w:rPr>
            </w:pPr>
            <w:r w:rsidRPr="002E78B6">
              <w:rPr>
                <w:rFonts w:cs="Arial"/>
                <w:color w:val="000000"/>
                <w:sz w:val="16"/>
                <w:szCs w:val="16"/>
              </w:rPr>
              <w:t>112</w:t>
            </w:r>
          </w:p>
        </w:tc>
        <w:tc>
          <w:tcPr>
            <w:tcW w:w="960" w:type="dxa"/>
            <w:tcBorders>
              <w:top w:val="double" w:sz="4" w:space="0" w:color="auto"/>
            </w:tcBorders>
            <w:shd w:val="clear" w:color="000000" w:fill="FFFFFF"/>
            <w:noWrap/>
            <w:vAlign w:val="center"/>
            <w:hideMark/>
          </w:tcPr>
          <w:p w:rsidR="00306953" w:rsidRPr="002E78B6" w:rsidRDefault="00306953" w:rsidP="007E5BD0">
            <w:pPr>
              <w:spacing w:after="0" w:line="240" w:lineRule="auto"/>
              <w:jc w:val="center"/>
              <w:rPr>
                <w:rFonts w:cs="Arial"/>
                <w:color w:val="000000"/>
                <w:sz w:val="16"/>
                <w:szCs w:val="16"/>
              </w:rPr>
            </w:pPr>
            <w:r w:rsidRPr="002E78B6">
              <w:rPr>
                <w:rFonts w:cs="Arial"/>
                <w:color w:val="000000"/>
                <w:sz w:val="16"/>
                <w:szCs w:val="16"/>
              </w:rPr>
              <w:t>106</w:t>
            </w:r>
          </w:p>
        </w:tc>
        <w:tc>
          <w:tcPr>
            <w:tcW w:w="960" w:type="dxa"/>
            <w:tcBorders>
              <w:top w:val="double" w:sz="4" w:space="0" w:color="auto"/>
            </w:tcBorders>
            <w:shd w:val="clear" w:color="000000" w:fill="FFFFFF"/>
            <w:noWrap/>
            <w:vAlign w:val="center"/>
            <w:hideMark/>
          </w:tcPr>
          <w:p w:rsidR="00306953" w:rsidRPr="002E78B6" w:rsidRDefault="00306953" w:rsidP="007E5BD0">
            <w:pPr>
              <w:spacing w:after="0" w:line="240" w:lineRule="auto"/>
              <w:jc w:val="center"/>
              <w:rPr>
                <w:rFonts w:cs="Arial"/>
                <w:color w:val="000000"/>
                <w:sz w:val="16"/>
                <w:szCs w:val="16"/>
              </w:rPr>
            </w:pPr>
            <w:r w:rsidRPr="002E78B6">
              <w:rPr>
                <w:rFonts w:cs="Arial"/>
                <w:color w:val="000000"/>
                <w:sz w:val="16"/>
                <w:szCs w:val="16"/>
              </w:rPr>
              <w:t>123</w:t>
            </w:r>
          </w:p>
        </w:tc>
        <w:tc>
          <w:tcPr>
            <w:tcW w:w="960" w:type="dxa"/>
            <w:tcBorders>
              <w:top w:val="double" w:sz="4" w:space="0" w:color="auto"/>
            </w:tcBorders>
            <w:shd w:val="clear" w:color="000000" w:fill="FFFFFF"/>
            <w:noWrap/>
            <w:vAlign w:val="center"/>
            <w:hideMark/>
          </w:tcPr>
          <w:p w:rsidR="00306953" w:rsidRPr="002E78B6" w:rsidRDefault="00306953" w:rsidP="007E5BD0">
            <w:pPr>
              <w:spacing w:after="0" w:line="240" w:lineRule="auto"/>
              <w:jc w:val="center"/>
              <w:rPr>
                <w:rFonts w:cs="Arial"/>
                <w:color w:val="000000"/>
                <w:sz w:val="16"/>
                <w:szCs w:val="16"/>
              </w:rPr>
            </w:pPr>
            <w:r w:rsidRPr="002E78B6">
              <w:rPr>
                <w:rFonts w:cs="Arial"/>
                <w:color w:val="000000"/>
                <w:sz w:val="16"/>
                <w:szCs w:val="16"/>
              </w:rPr>
              <w:t>133</w:t>
            </w:r>
          </w:p>
        </w:tc>
      </w:tr>
      <w:tr w:rsidR="00306953" w:rsidRPr="00442515" w:rsidTr="00B07DEE">
        <w:trPr>
          <w:trHeight w:val="300"/>
        </w:trPr>
        <w:tc>
          <w:tcPr>
            <w:tcW w:w="3060" w:type="dxa"/>
            <w:shd w:val="clear" w:color="000000" w:fill="FFFFFF"/>
            <w:noWrap/>
            <w:vAlign w:val="center"/>
            <w:hideMark/>
          </w:tcPr>
          <w:p w:rsidR="00306953" w:rsidRPr="002E78B6" w:rsidRDefault="00306953" w:rsidP="007E5BD0">
            <w:pPr>
              <w:spacing w:after="0" w:line="240" w:lineRule="auto"/>
              <w:rPr>
                <w:rFonts w:cs="Arial"/>
                <w:color w:val="000000"/>
                <w:sz w:val="16"/>
                <w:szCs w:val="16"/>
              </w:rPr>
            </w:pPr>
            <w:r w:rsidRPr="002E78B6">
              <w:rPr>
                <w:rFonts w:cs="Arial"/>
                <w:color w:val="000000"/>
                <w:sz w:val="16"/>
                <w:szCs w:val="16"/>
              </w:rPr>
              <w:t>Slovensko</w:t>
            </w:r>
            <w:r w:rsidRPr="002E78B6">
              <w:rPr>
                <w:rFonts w:cs="Arial"/>
                <w:color w:val="000000"/>
                <w:sz w:val="16"/>
                <w:szCs w:val="16"/>
                <w:vertAlign w:val="superscript"/>
              </w:rPr>
              <w:t>1)</w:t>
            </w:r>
          </w:p>
        </w:tc>
        <w:tc>
          <w:tcPr>
            <w:tcW w:w="960" w:type="dxa"/>
            <w:shd w:val="clear" w:color="000000" w:fill="FFFFFF"/>
            <w:noWrap/>
            <w:vAlign w:val="center"/>
            <w:hideMark/>
          </w:tcPr>
          <w:p w:rsidR="00306953" w:rsidRPr="002E78B6" w:rsidRDefault="00306953" w:rsidP="007E5BD0">
            <w:pPr>
              <w:spacing w:after="0" w:line="240" w:lineRule="auto"/>
              <w:jc w:val="center"/>
              <w:rPr>
                <w:rFonts w:cs="Arial"/>
                <w:color w:val="000000"/>
                <w:sz w:val="16"/>
                <w:szCs w:val="16"/>
              </w:rPr>
            </w:pPr>
            <w:r w:rsidRPr="002E78B6">
              <w:rPr>
                <w:rFonts w:cs="Arial"/>
                <w:color w:val="000000"/>
                <w:sz w:val="16"/>
                <w:szCs w:val="16"/>
              </w:rPr>
              <w:t>94</w:t>
            </w:r>
          </w:p>
        </w:tc>
        <w:tc>
          <w:tcPr>
            <w:tcW w:w="960" w:type="dxa"/>
            <w:shd w:val="clear" w:color="000000" w:fill="FFFFFF"/>
            <w:noWrap/>
            <w:vAlign w:val="center"/>
            <w:hideMark/>
          </w:tcPr>
          <w:p w:rsidR="00306953" w:rsidRPr="002E78B6" w:rsidRDefault="00306953" w:rsidP="007E5BD0">
            <w:pPr>
              <w:spacing w:after="0" w:line="240" w:lineRule="auto"/>
              <w:jc w:val="center"/>
              <w:rPr>
                <w:rFonts w:cs="Arial"/>
                <w:color w:val="000000"/>
                <w:sz w:val="16"/>
                <w:szCs w:val="16"/>
              </w:rPr>
            </w:pPr>
            <w:r w:rsidRPr="002E78B6">
              <w:rPr>
                <w:rFonts w:cs="Arial"/>
                <w:color w:val="000000"/>
                <w:sz w:val="16"/>
                <w:szCs w:val="16"/>
              </w:rPr>
              <w:t>99</w:t>
            </w:r>
          </w:p>
        </w:tc>
        <w:tc>
          <w:tcPr>
            <w:tcW w:w="960" w:type="dxa"/>
            <w:shd w:val="clear" w:color="000000" w:fill="FFFFFF"/>
            <w:noWrap/>
            <w:vAlign w:val="center"/>
            <w:hideMark/>
          </w:tcPr>
          <w:p w:rsidR="00306953" w:rsidRPr="002E78B6" w:rsidRDefault="00306953" w:rsidP="007E5BD0">
            <w:pPr>
              <w:spacing w:after="0" w:line="240" w:lineRule="auto"/>
              <w:jc w:val="center"/>
              <w:rPr>
                <w:rFonts w:cs="Arial"/>
                <w:color w:val="000000"/>
                <w:sz w:val="16"/>
                <w:szCs w:val="16"/>
              </w:rPr>
            </w:pPr>
            <w:r w:rsidRPr="002E78B6">
              <w:rPr>
                <w:rFonts w:cs="Arial"/>
                <w:color w:val="000000"/>
                <w:sz w:val="16"/>
                <w:szCs w:val="16"/>
              </w:rPr>
              <w:t>103</w:t>
            </w:r>
          </w:p>
        </w:tc>
        <w:tc>
          <w:tcPr>
            <w:tcW w:w="960" w:type="dxa"/>
            <w:shd w:val="clear" w:color="000000" w:fill="FFFFFF"/>
            <w:noWrap/>
            <w:vAlign w:val="center"/>
            <w:hideMark/>
          </w:tcPr>
          <w:p w:rsidR="00306953" w:rsidRPr="002E78B6" w:rsidRDefault="00306953" w:rsidP="007E5BD0">
            <w:pPr>
              <w:spacing w:after="0" w:line="240" w:lineRule="auto"/>
              <w:jc w:val="center"/>
              <w:rPr>
                <w:rFonts w:cs="Arial"/>
                <w:color w:val="000000"/>
                <w:sz w:val="16"/>
                <w:szCs w:val="16"/>
              </w:rPr>
            </w:pPr>
            <w:r w:rsidRPr="002E78B6">
              <w:rPr>
                <w:rFonts w:cs="Arial"/>
                <w:color w:val="000000"/>
                <w:sz w:val="16"/>
                <w:szCs w:val="16"/>
              </w:rPr>
              <w:t>117</w:t>
            </w:r>
          </w:p>
        </w:tc>
        <w:tc>
          <w:tcPr>
            <w:tcW w:w="960" w:type="dxa"/>
            <w:shd w:val="clear" w:color="000000" w:fill="FFFFFF"/>
            <w:noWrap/>
            <w:vAlign w:val="center"/>
            <w:hideMark/>
          </w:tcPr>
          <w:p w:rsidR="00306953" w:rsidRPr="002E78B6" w:rsidRDefault="00306953" w:rsidP="007E5BD0">
            <w:pPr>
              <w:spacing w:after="0" w:line="240" w:lineRule="auto"/>
              <w:jc w:val="center"/>
              <w:rPr>
                <w:rFonts w:cs="Arial"/>
                <w:color w:val="000000"/>
                <w:sz w:val="16"/>
                <w:szCs w:val="16"/>
              </w:rPr>
            </w:pPr>
            <w:r w:rsidRPr="002E78B6">
              <w:rPr>
                <w:rFonts w:cs="Arial"/>
                <w:color w:val="000000"/>
                <w:sz w:val="16"/>
                <w:szCs w:val="16"/>
              </w:rPr>
              <w:t>130</w:t>
            </w:r>
          </w:p>
        </w:tc>
      </w:tr>
      <w:tr w:rsidR="00306953" w:rsidRPr="00442515" w:rsidTr="00B07DEE">
        <w:trPr>
          <w:trHeight w:val="300"/>
        </w:trPr>
        <w:tc>
          <w:tcPr>
            <w:tcW w:w="3060" w:type="dxa"/>
            <w:shd w:val="clear" w:color="000000" w:fill="FFFFFF"/>
            <w:noWrap/>
            <w:vAlign w:val="center"/>
            <w:hideMark/>
          </w:tcPr>
          <w:p w:rsidR="00306953" w:rsidRPr="002E78B6" w:rsidRDefault="00306953" w:rsidP="007E5BD0">
            <w:pPr>
              <w:spacing w:after="0" w:line="240" w:lineRule="auto"/>
              <w:rPr>
                <w:rFonts w:cs="Arial"/>
                <w:color w:val="000000"/>
                <w:sz w:val="16"/>
                <w:szCs w:val="16"/>
              </w:rPr>
            </w:pPr>
            <w:r w:rsidRPr="002E78B6">
              <w:rPr>
                <w:rFonts w:cs="Arial"/>
                <w:color w:val="000000"/>
                <w:sz w:val="16"/>
                <w:szCs w:val="16"/>
              </w:rPr>
              <w:t>Polsko</w:t>
            </w:r>
          </w:p>
        </w:tc>
        <w:tc>
          <w:tcPr>
            <w:tcW w:w="960" w:type="dxa"/>
            <w:shd w:val="clear" w:color="000000" w:fill="FFFFFF"/>
            <w:noWrap/>
            <w:vAlign w:val="center"/>
            <w:hideMark/>
          </w:tcPr>
          <w:p w:rsidR="00306953" w:rsidRPr="002E78B6" w:rsidRDefault="00306953" w:rsidP="007E5BD0">
            <w:pPr>
              <w:spacing w:after="0" w:line="240" w:lineRule="auto"/>
              <w:jc w:val="center"/>
              <w:rPr>
                <w:rFonts w:cs="Arial"/>
                <w:color w:val="000000"/>
                <w:sz w:val="16"/>
                <w:szCs w:val="16"/>
              </w:rPr>
            </w:pPr>
            <w:r w:rsidRPr="002E78B6">
              <w:rPr>
                <w:rFonts w:cs="Arial"/>
                <w:color w:val="000000"/>
                <w:sz w:val="16"/>
                <w:szCs w:val="16"/>
              </w:rPr>
              <w:t>97</w:t>
            </w:r>
          </w:p>
        </w:tc>
        <w:tc>
          <w:tcPr>
            <w:tcW w:w="960" w:type="dxa"/>
            <w:shd w:val="clear" w:color="000000" w:fill="FFFFFF"/>
            <w:noWrap/>
            <w:vAlign w:val="center"/>
            <w:hideMark/>
          </w:tcPr>
          <w:p w:rsidR="00306953" w:rsidRPr="002E78B6" w:rsidRDefault="00306953" w:rsidP="007E5BD0">
            <w:pPr>
              <w:spacing w:after="0" w:line="240" w:lineRule="auto"/>
              <w:jc w:val="center"/>
              <w:rPr>
                <w:rFonts w:cs="Arial"/>
                <w:color w:val="000000"/>
                <w:sz w:val="16"/>
                <w:szCs w:val="16"/>
              </w:rPr>
            </w:pPr>
            <w:r w:rsidRPr="002E78B6">
              <w:rPr>
                <w:rFonts w:cs="Arial"/>
                <w:color w:val="000000"/>
                <w:sz w:val="16"/>
                <w:szCs w:val="16"/>
              </w:rPr>
              <w:t>112</w:t>
            </w:r>
          </w:p>
        </w:tc>
        <w:tc>
          <w:tcPr>
            <w:tcW w:w="960" w:type="dxa"/>
            <w:shd w:val="clear" w:color="000000" w:fill="FFFFFF"/>
            <w:noWrap/>
            <w:vAlign w:val="center"/>
            <w:hideMark/>
          </w:tcPr>
          <w:p w:rsidR="00306953" w:rsidRPr="002E78B6" w:rsidRDefault="00306953" w:rsidP="007E5BD0">
            <w:pPr>
              <w:spacing w:after="0" w:line="240" w:lineRule="auto"/>
              <w:jc w:val="center"/>
              <w:rPr>
                <w:rFonts w:cs="Arial"/>
                <w:color w:val="000000"/>
                <w:sz w:val="16"/>
                <w:szCs w:val="16"/>
              </w:rPr>
            </w:pPr>
            <w:r w:rsidRPr="002E78B6">
              <w:rPr>
                <w:rFonts w:cs="Arial"/>
                <w:color w:val="000000"/>
                <w:sz w:val="16"/>
                <w:szCs w:val="16"/>
              </w:rPr>
              <w:t>124</w:t>
            </w:r>
          </w:p>
        </w:tc>
        <w:tc>
          <w:tcPr>
            <w:tcW w:w="960" w:type="dxa"/>
            <w:shd w:val="clear" w:color="000000" w:fill="FFFFFF"/>
            <w:noWrap/>
            <w:vAlign w:val="center"/>
            <w:hideMark/>
          </w:tcPr>
          <w:p w:rsidR="00306953" w:rsidRPr="002E78B6" w:rsidRDefault="00306953" w:rsidP="007E5BD0">
            <w:pPr>
              <w:spacing w:after="0" w:line="240" w:lineRule="auto"/>
              <w:jc w:val="center"/>
              <w:rPr>
                <w:rFonts w:cs="Arial"/>
                <w:color w:val="000000"/>
                <w:sz w:val="16"/>
                <w:szCs w:val="16"/>
              </w:rPr>
            </w:pPr>
            <w:r w:rsidRPr="002E78B6">
              <w:rPr>
                <w:rFonts w:cs="Arial"/>
                <w:color w:val="000000"/>
                <w:sz w:val="16"/>
                <w:szCs w:val="16"/>
              </w:rPr>
              <w:t>115</w:t>
            </w:r>
          </w:p>
        </w:tc>
        <w:tc>
          <w:tcPr>
            <w:tcW w:w="960" w:type="dxa"/>
            <w:shd w:val="clear" w:color="000000" w:fill="FFFFFF"/>
            <w:noWrap/>
            <w:vAlign w:val="center"/>
            <w:hideMark/>
          </w:tcPr>
          <w:p w:rsidR="00306953" w:rsidRPr="002E78B6" w:rsidRDefault="00306953" w:rsidP="007E5BD0">
            <w:pPr>
              <w:spacing w:after="0" w:line="240" w:lineRule="auto"/>
              <w:jc w:val="center"/>
              <w:rPr>
                <w:rFonts w:cs="Arial"/>
                <w:color w:val="000000"/>
                <w:sz w:val="16"/>
                <w:szCs w:val="16"/>
              </w:rPr>
            </w:pPr>
            <w:r w:rsidRPr="002E78B6">
              <w:rPr>
                <w:rFonts w:cs="Arial"/>
                <w:color w:val="000000"/>
                <w:sz w:val="16"/>
                <w:szCs w:val="16"/>
              </w:rPr>
              <w:t>128</w:t>
            </w:r>
          </w:p>
        </w:tc>
      </w:tr>
      <w:tr w:rsidR="00306953" w:rsidRPr="00442515" w:rsidTr="00B07DEE">
        <w:trPr>
          <w:trHeight w:val="300"/>
        </w:trPr>
        <w:tc>
          <w:tcPr>
            <w:tcW w:w="3060" w:type="dxa"/>
            <w:shd w:val="clear" w:color="auto" w:fill="auto"/>
            <w:noWrap/>
            <w:vAlign w:val="center"/>
            <w:hideMark/>
          </w:tcPr>
          <w:p w:rsidR="00306953" w:rsidRPr="002E78B6" w:rsidRDefault="00306953" w:rsidP="007E5BD0">
            <w:pPr>
              <w:spacing w:after="0" w:line="240" w:lineRule="auto"/>
              <w:rPr>
                <w:rFonts w:cs="Arial"/>
                <w:color w:val="000000"/>
                <w:sz w:val="16"/>
                <w:szCs w:val="16"/>
              </w:rPr>
            </w:pPr>
            <w:r w:rsidRPr="002E78B6">
              <w:rPr>
                <w:rFonts w:cs="Arial"/>
                <w:color w:val="000000"/>
                <w:sz w:val="16"/>
                <w:szCs w:val="16"/>
              </w:rPr>
              <w:t>Finsko</w:t>
            </w:r>
          </w:p>
        </w:tc>
        <w:tc>
          <w:tcPr>
            <w:tcW w:w="960" w:type="dxa"/>
            <w:shd w:val="clear" w:color="000000" w:fill="FFFFFF"/>
            <w:noWrap/>
            <w:vAlign w:val="center"/>
            <w:hideMark/>
          </w:tcPr>
          <w:p w:rsidR="00306953" w:rsidRPr="002E78B6" w:rsidRDefault="00306953" w:rsidP="007E5BD0">
            <w:pPr>
              <w:spacing w:after="0" w:line="240" w:lineRule="auto"/>
              <w:jc w:val="center"/>
              <w:rPr>
                <w:rFonts w:cs="Arial"/>
                <w:color w:val="000000"/>
                <w:sz w:val="16"/>
                <w:szCs w:val="16"/>
              </w:rPr>
            </w:pPr>
            <w:r w:rsidRPr="002E78B6">
              <w:rPr>
                <w:rFonts w:cs="Arial"/>
                <w:color w:val="000000"/>
                <w:sz w:val="16"/>
                <w:szCs w:val="16"/>
              </w:rPr>
              <w:t>92</w:t>
            </w:r>
          </w:p>
        </w:tc>
        <w:tc>
          <w:tcPr>
            <w:tcW w:w="960" w:type="dxa"/>
            <w:shd w:val="clear" w:color="000000" w:fill="FFFFFF"/>
            <w:noWrap/>
            <w:vAlign w:val="center"/>
            <w:hideMark/>
          </w:tcPr>
          <w:p w:rsidR="00306953" w:rsidRPr="002E78B6" w:rsidRDefault="00306953" w:rsidP="007E5BD0">
            <w:pPr>
              <w:spacing w:after="0" w:line="240" w:lineRule="auto"/>
              <w:jc w:val="center"/>
              <w:rPr>
                <w:rFonts w:cs="Arial"/>
                <w:color w:val="000000"/>
                <w:sz w:val="16"/>
                <w:szCs w:val="16"/>
              </w:rPr>
            </w:pPr>
            <w:r w:rsidRPr="002E78B6">
              <w:rPr>
                <w:rFonts w:cs="Arial"/>
                <w:color w:val="000000"/>
                <w:sz w:val="16"/>
                <w:szCs w:val="16"/>
              </w:rPr>
              <w:t>110</w:t>
            </w:r>
          </w:p>
        </w:tc>
        <w:tc>
          <w:tcPr>
            <w:tcW w:w="960" w:type="dxa"/>
            <w:shd w:val="clear" w:color="000000" w:fill="FFFFFF"/>
            <w:noWrap/>
            <w:vAlign w:val="center"/>
            <w:hideMark/>
          </w:tcPr>
          <w:p w:rsidR="00306953" w:rsidRPr="002E78B6" w:rsidRDefault="00306953" w:rsidP="007E5BD0">
            <w:pPr>
              <w:spacing w:after="0" w:line="240" w:lineRule="auto"/>
              <w:jc w:val="center"/>
              <w:rPr>
                <w:rFonts w:cs="Arial"/>
                <w:color w:val="000000"/>
                <w:sz w:val="16"/>
                <w:szCs w:val="16"/>
              </w:rPr>
            </w:pPr>
            <w:r w:rsidRPr="002E78B6">
              <w:rPr>
                <w:rFonts w:cs="Arial"/>
                <w:color w:val="000000"/>
                <w:sz w:val="16"/>
                <w:szCs w:val="16"/>
              </w:rPr>
              <w:t>117</w:t>
            </w:r>
          </w:p>
        </w:tc>
        <w:tc>
          <w:tcPr>
            <w:tcW w:w="960" w:type="dxa"/>
            <w:shd w:val="clear" w:color="000000" w:fill="FFFFFF"/>
            <w:noWrap/>
            <w:vAlign w:val="center"/>
            <w:hideMark/>
          </w:tcPr>
          <w:p w:rsidR="00306953" w:rsidRPr="002E78B6" w:rsidRDefault="00306953" w:rsidP="007E5BD0">
            <w:pPr>
              <w:spacing w:after="0" w:line="240" w:lineRule="auto"/>
              <w:jc w:val="center"/>
              <w:rPr>
                <w:rFonts w:cs="Arial"/>
                <w:color w:val="000000"/>
                <w:sz w:val="16"/>
                <w:szCs w:val="16"/>
              </w:rPr>
            </w:pPr>
            <w:r w:rsidRPr="002E78B6">
              <w:rPr>
                <w:rFonts w:cs="Arial"/>
                <w:color w:val="000000"/>
                <w:sz w:val="16"/>
                <w:szCs w:val="16"/>
              </w:rPr>
              <w:t>121</w:t>
            </w:r>
          </w:p>
        </w:tc>
        <w:tc>
          <w:tcPr>
            <w:tcW w:w="960" w:type="dxa"/>
            <w:shd w:val="clear" w:color="000000" w:fill="FFFFFF"/>
            <w:noWrap/>
            <w:vAlign w:val="center"/>
            <w:hideMark/>
          </w:tcPr>
          <w:p w:rsidR="00306953" w:rsidRPr="002E78B6" w:rsidRDefault="00306953" w:rsidP="007E5BD0">
            <w:pPr>
              <w:spacing w:after="0" w:line="240" w:lineRule="auto"/>
              <w:jc w:val="center"/>
              <w:rPr>
                <w:rFonts w:cs="Arial"/>
                <w:color w:val="000000"/>
                <w:sz w:val="16"/>
                <w:szCs w:val="16"/>
              </w:rPr>
            </w:pPr>
            <w:r w:rsidRPr="002E78B6">
              <w:rPr>
                <w:rFonts w:cs="Arial"/>
                <w:color w:val="000000"/>
                <w:sz w:val="16"/>
                <w:szCs w:val="16"/>
              </w:rPr>
              <w:t>118</w:t>
            </w:r>
          </w:p>
        </w:tc>
      </w:tr>
      <w:tr w:rsidR="00306953" w:rsidRPr="002E78B6" w:rsidTr="00B07DEE">
        <w:trPr>
          <w:trHeight w:val="300"/>
        </w:trPr>
        <w:tc>
          <w:tcPr>
            <w:tcW w:w="3060" w:type="dxa"/>
            <w:shd w:val="clear" w:color="auto" w:fill="C6D9F1" w:themeFill="text2" w:themeFillTint="33"/>
            <w:noWrap/>
            <w:vAlign w:val="center"/>
            <w:hideMark/>
          </w:tcPr>
          <w:p w:rsidR="00306953" w:rsidRPr="00631582" w:rsidRDefault="00F53B2E" w:rsidP="007E5BD0">
            <w:pPr>
              <w:spacing w:after="0" w:line="240" w:lineRule="auto"/>
              <w:rPr>
                <w:rFonts w:cs="Arial"/>
                <w:color w:val="000000"/>
                <w:sz w:val="16"/>
                <w:szCs w:val="16"/>
              </w:rPr>
            </w:pPr>
            <w:r w:rsidRPr="00631582">
              <w:rPr>
                <w:rFonts w:cs="Arial"/>
                <w:color w:val="000000"/>
                <w:sz w:val="16"/>
                <w:szCs w:val="16"/>
              </w:rPr>
              <w:t>p</w:t>
            </w:r>
            <w:r w:rsidR="00306953" w:rsidRPr="00631582">
              <w:rPr>
                <w:rFonts w:cs="Arial"/>
                <w:color w:val="000000"/>
                <w:sz w:val="16"/>
                <w:szCs w:val="16"/>
              </w:rPr>
              <w:t>růměr OECD</w:t>
            </w:r>
          </w:p>
        </w:tc>
        <w:tc>
          <w:tcPr>
            <w:tcW w:w="960"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97</w:t>
            </w:r>
          </w:p>
        </w:tc>
        <w:tc>
          <w:tcPr>
            <w:tcW w:w="960"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107</w:t>
            </w:r>
          </w:p>
        </w:tc>
        <w:tc>
          <w:tcPr>
            <w:tcW w:w="960"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108</w:t>
            </w:r>
          </w:p>
        </w:tc>
        <w:tc>
          <w:tcPr>
            <w:tcW w:w="960"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110</w:t>
            </w:r>
          </w:p>
        </w:tc>
        <w:tc>
          <w:tcPr>
            <w:tcW w:w="960"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111</w:t>
            </w:r>
          </w:p>
        </w:tc>
      </w:tr>
      <w:tr w:rsidR="00306953" w:rsidRPr="002E78B6" w:rsidTr="00B07DEE">
        <w:trPr>
          <w:trHeight w:val="300"/>
        </w:trPr>
        <w:tc>
          <w:tcPr>
            <w:tcW w:w="3060" w:type="dxa"/>
            <w:shd w:val="clear" w:color="auto" w:fill="C6D9F1" w:themeFill="text2" w:themeFillTint="33"/>
            <w:noWrap/>
            <w:vAlign w:val="center"/>
            <w:hideMark/>
          </w:tcPr>
          <w:p w:rsidR="00306953" w:rsidRPr="00631582" w:rsidRDefault="00F53B2E" w:rsidP="007E5BD0">
            <w:pPr>
              <w:spacing w:after="0" w:line="240" w:lineRule="auto"/>
              <w:rPr>
                <w:rFonts w:cs="Arial"/>
                <w:color w:val="000000"/>
                <w:sz w:val="16"/>
                <w:szCs w:val="16"/>
              </w:rPr>
            </w:pPr>
            <w:r w:rsidRPr="00631582">
              <w:rPr>
                <w:rFonts w:cs="Arial"/>
                <w:color w:val="000000"/>
                <w:sz w:val="16"/>
                <w:szCs w:val="16"/>
              </w:rPr>
              <w:t>p</w:t>
            </w:r>
            <w:r w:rsidR="00306953" w:rsidRPr="00631582">
              <w:rPr>
                <w:rFonts w:cs="Arial"/>
                <w:color w:val="000000"/>
                <w:sz w:val="16"/>
                <w:szCs w:val="16"/>
              </w:rPr>
              <w:t>růměr EU21</w:t>
            </w:r>
          </w:p>
        </w:tc>
        <w:tc>
          <w:tcPr>
            <w:tcW w:w="960"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95</w:t>
            </w:r>
          </w:p>
        </w:tc>
        <w:tc>
          <w:tcPr>
            <w:tcW w:w="960"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110</w:t>
            </w:r>
          </w:p>
        </w:tc>
        <w:tc>
          <w:tcPr>
            <w:tcW w:w="960"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112</w:t>
            </w:r>
          </w:p>
        </w:tc>
        <w:tc>
          <w:tcPr>
            <w:tcW w:w="960"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115</w:t>
            </w:r>
          </w:p>
        </w:tc>
        <w:tc>
          <w:tcPr>
            <w:tcW w:w="960"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color w:val="000000"/>
                <w:sz w:val="16"/>
                <w:szCs w:val="16"/>
              </w:rPr>
            </w:pPr>
            <w:r w:rsidRPr="00631582">
              <w:rPr>
                <w:rFonts w:cs="Arial"/>
                <w:bCs/>
                <w:color w:val="000000"/>
                <w:sz w:val="16"/>
                <w:szCs w:val="16"/>
              </w:rPr>
              <w:t>115</w:t>
            </w:r>
          </w:p>
        </w:tc>
      </w:tr>
    </w:tbl>
    <w:p w:rsidR="00306953" w:rsidRPr="002E78B6" w:rsidRDefault="00306953" w:rsidP="00306953">
      <w:pPr>
        <w:autoSpaceDE w:val="0"/>
        <w:autoSpaceDN w:val="0"/>
        <w:adjustRightInd w:val="0"/>
        <w:spacing w:after="0" w:line="240" w:lineRule="auto"/>
        <w:jc w:val="both"/>
        <w:rPr>
          <w:rFonts w:eastAsia="ChaparralPro-Regular" w:cs="Arial"/>
          <w:color w:val="FF0000"/>
          <w:sz w:val="16"/>
          <w:szCs w:val="16"/>
        </w:rPr>
      </w:pPr>
    </w:p>
    <w:p w:rsidR="00306953" w:rsidRPr="002E78B6" w:rsidRDefault="00306953" w:rsidP="00306953">
      <w:pPr>
        <w:spacing w:after="0" w:line="240" w:lineRule="auto"/>
        <w:jc w:val="both"/>
        <w:rPr>
          <w:rFonts w:eastAsia="ChaparralPro-Regular" w:cs="Arial"/>
          <w:sz w:val="16"/>
          <w:szCs w:val="16"/>
        </w:rPr>
      </w:pPr>
      <w:r w:rsidRPr="002E78B6">
        <w:rPr>
          <w:rFonts w:eastAsia="ChaparralPro-Regular" w:cs="Arial"/>
          <w:sz w:val="16"/>
          <w:szCs w:val="16"/>
          <w:vertAlign w:val="superscript"/>
        </w:rPr>
        <w:t>1)</w:t>
      </w:r>
      <w:r w:rsidRPr="002E78B6">
        <w:rPr>
          <w:rFonts w:eastAsia="ChaparralPro-Regular" w:cs="Arial"/>
          <w:sz w:val="16"/>
          <w:szCs w:val="16"/>
        </w:rPr>
        <w:t xml:space="preserve"> Postsekundární neterciární vzdělávání a krátký cyklus terciárního vzdělávání je zahrnut do kategorie vyššího sekundárního vzdělávání, viz kód „x“ v tabulce B1.1a</w:t>
      </w:r>
      <w:r w:rsidR="00457292">
        <w:rPr>
          <w:rFonts w:eastAsia="ChaparralPro-Regular" w:cs="Arial"/>
          <w:sz w:val="16"/>
          <w:szCs w:val="16"/>
        </w:rPr>
        <w:t xml:space="preserve"> (OECD 2015)</w:t>
      </w:r>
      <w:r w:rsidRPr="002E78B6">
        <w:rPr>
          <w:rFonts w:eastAsia="ChaparralPro-Regular" w:cs="Arial"/>
          <w:sz w:val="16"/>
          <w:szCs w:val="16"/>
        </w:rPr>
        <w:t>.</w:t>
      </w:r>
    </w:p>
    <w:p w:rsidR="00306953" w:rsidRPr="002E78B6" w:rsidRDefault="00306953" w:rsidP="00306953">
      <w:pPr>
        <w:autoSpaceDE w:val="0"/>
        <w:autoSpaceDN w:val="0"/>
        <w:adjustRightInd w:val="0"/>
        <w:spacing w:after="0" w:line="240" w:lineRule="auto"/>
        <w:jc w:val="both"/>
        <w:rPr>
          <w:rFonts w:eastAsia="ChaparralPro-Regular" w:cs="Arial"/>
          <w:sz w:val="16"/>
          <w:szCs w:val="16"/>
        </w:rPr>
      </w:pPr>
      <w:r w:rsidRPr="002E78B6">
        <w:rPr>
          <w:rFonts w:eastAsia="ChaparralPro-Regular" w:cs="Arial"/>
          <w:sz w:val="16"/>
          <w:szCs w:val="16"/>
        </w:rPr>
        <w:t xml:space="preserve">Zdroj: OECD 2014 a 2015, tabulka B 1.5a. StatLink: </w:t>
      </w:r>
      <w:hyperlink r:id="rId85" w:history="1">
        <w:r w:rsidRPr="002E78B6">
          <w:rPr>
            <w:rStyle w:val="Hypertextovodkaz"/>
            <w:rFonts w:cs="Arial"/>
            <w:sz w:val="16"/>
            <w:szCs w:val="16"/>
          </w:rPr>
          <w:t>http://dx.doi.org/10.1787/888933285381</w:t>
        </w:r>
      </w:hyperlink>
      <w:r w:rsidRPr="002E78B6">
        <w:rPr>
          <w:rFonts w:cs="Arial"/>
          <w:sz w:val="16"/>
          <w:szCs w:val="16"/>
        </w:rPr>
        <w:t xml:space="preserve">, </w:t>
      </w:r>
      <w:r w:rsidRPr="002E78B6">
        <w:rPr>
          <w:rFonts w:eastAsia="ChaparralPro-Regular" w:cs="Arial"/>
          <w:sz w:val="16"/>
          <w:szCs w:val="16"/>
        </w:rPr>
        <w:t>výběr údajů ČSÚ.</w:t>
      </w:r>
      <w:r w:rsidRPr="002E78B6">
        <w:rPr>
          <w:rFonts w:cs="Arial"/>
          <w:sz w:val="16"/>
          <w:szCs w:val="16"/>
        </w:rPr>
        <w:t xml:space="preserve"> </w:t>
      </w:r>
    </w:p>
    <w:p w:rsidR="00306953" w:rsidRPr="00442515" w:rsidRDefault="00306953" w:rsidP="00306953">
      <w:pPr>
        <w:spacing w:after="0" w:line="240" w:lineRule="auto"/>
        <w:jc w:val="both"/>
        <w:rPr>
          <w:rFonts w:eastAsia="ChaparralPro-Regular" w:cs="Arial"/>
          <w:sz w:val="18"/>
          <w:szCs w:val="18"/>
        </w:rPr>
      </w:pPr>
    </w:p>
    <w:p w:rsidR="00306953" w:rsidRDefault="00306953" w:rsidP="00306953">
      <w:pPr>
        <w:pStyle w:val="Default"/>
        <w:jc w:val="both"/>
        <w:rPr>
          <w:rFonts w:ascii="Arial" w:hAnsi="Arial" w:cs="Arial"/>
          <w:sz w:val="20"/>
          <w:szCs w:val="20"/>
        </w:rPr>
      </w:pPr>
      <w:r w:rsidRPr="00442515">
        <w:rPr>
          <w:rFonts w:ascii="Arial" w:eastAsia="ChaparralPro-Regular" w:hAnsi="Arial" w:cs="Arial"/>
          <w:sz w:val="20"/>
          <w:szCs w:val="20"/>
        </w:rPr>
        <w:t>Jak je patrné, od roku 2000 do roku 2008 výdaje na jednoho studenta v ČR rostly, nicméně v době počátku ekonomické krize (tj. v letech 2008 až 2010) došlo naopak k mírnému poklesu.  MŠMT uvádí, že „</w:t>
      </w:r>
      <w:r w:rsidRPr="00442515">
        <w:rPr>
          <w:rFonts w:ascii="Arial" w:eastAsia="ChaparralPro-Regular" w:hAnsi="Arial" w:cs="Arial"/>
          <w:i/>
          <w:sz w:val="20"/>
          <w:szCs w:val="20"/>
        </w:rPr>
        <w:t>od začátku ekonomické krize v roce 2008</w:t>
      </w:r>
      <w:r w:rsidRPr="00442515">
        <w:rPr>
          <w:rFonts w:ascii="Arial" w:eastAsia="ChaparralPro-Regular" w:hAnsi="Arial" w:cs="Arial"/>
          <w:sz w:val="20"/>
          <w:szCs w:val="20"/>
        </w:rPr>
        <w:t xml:space="preserve"> [pozn. do roku 2011] </w:t>
      </w:r>
      <w:r w:rsidRPr="00442515">
        <w:rPr>
          <w:rFonts w:ascii="Arial" w:eastAsia="ChaparralPro-Regular" w:hAnsi="Arial" w:cs="Arial"/>
          <w:i/>
          <w:sz w:val="20"/>
          <w:szCs w:val="20"/>
        </w:rPr>
        <w:t>se výdaje na studenta v terciárním vzdělávání snížily ve více než třetině zemí, zejména proto, že počty studentů rostly rychleji než výdaje</w:t>
      </w:r>
      <w:r w:rsidRPr="00442515">
        <w:rPr>
          <w:rFonts w:ascii="Arial" w:eastAsia="ChaparralPro-Regular" w:hAnsi="Arial" w:cs="Arial"/>
          <w:sz w:val="20"/>
          <w:szCs w:val="20"/>
        </w:rPr>
        <w:t>.“ (</w:t>
      </w:r>
      <w:hyperlink r:id="rId86" w:history="1">
        <w:r w:rsidRPr="00442515">
          <w:rPr>
            <w:rStyle w:val="Hypertextovodkaz"/>
            <w:rFonts w:ascii="Arial" w:eastAsia="ChaparralPro-Regular" w:hAnsi="Arial" w:cs="Arial"/>
            <w:sz w:val="20"/>
            <w:szCs w:val="20"/>
          </w:rPr>
          <w:t>MŠMT 2014</w:t>
        </w:r>
      </w:hyperlink>
      <w:r w:rsidRPr="00442515">
        <w:rPr>
          <w:rFonts w:ascii="Arial" w:eastAsia="ChaparralPro-Regular" w:hAnsi="Arial" w:cs="Arial"/>
          <w:sz w:val="20"/>
          <w:szCs w:val="20"/>
        </w:rPr>
        <w:t>, s. 19).  Jak dále uvádí ve shrnutí MŠMT, v roce 2011 došlo v ČR k navýšení této částky (na 123 % částky v roce 2005) zejména díky investicím do center excelence (z projektů OP VaVpI). (</w:t>
      </w:r>
      <w:hyperlink r:id="rId87" w:history="1">
        <w:r w:rsidRPr="00442515">
          <w:rPr>
            <w:rStyle w:val="Hypertextovodkaz"/>
            <w:rFonts w:ascii="Arial" w:eastAsia="ChaparralPro-Regular" w:hAnsi="Arial" w:cs="Arial"/>
            <w:sz w:val="20"/>
            <w:szCs w:val="20"/>
          </w:rPr>
          <w:t>MŠMT 2014</w:t>
        </w:r>
      </w:hyperlink>
      <w:r w:rsidRPr="00442515">
        <w:rPr>
          <w:rFonts w:ascii="Arial" w:eastAsia="ChaparralPro-Regular" w:hAnsi="Arial" w:cs="Arial"/>
          <w:sz w:val="20"/>
          <w:szCs w:val="20"/>
        </w:rPr>
        <w:t>, s. 19). Ve výsledku byl tak nárůst výdajů na jednoho žáka mezi rokem 2005 a 2012 v</w:t>
      </w:r>
      <w:r w:rsidRPr="00442515">
        <w:rPr>
          <w:rFonts w:ascii="Arial" w:hAnsi="Arial" w:cs="Arial"/>
          <w:sz w:val="20"/>
          <w:szCs w:val="20"/>
        </w:rPr>
        <w:t> ČR výrazně vyšší než v mezinárodních průměrech, nicméně srovnatelný se Slovenskem a Polskem.</w:t>
      </w:r>
    </w:p>
    <w:p w:rsidR="002C4A87" w:rsidRDefault="002C4A87" w:rsidP="00306953">
      <w:pPr>
        <w:pStyle w:val="Default"/>
        <w:jc w:val="both"/>
        <w:rPr>
          <w:rFonts w:ascii="Arial" w:hAnsi="Arial" w:cs="Arial"/>
          <w:sz w:val="20"/>
          <w:szCs w:val="20"/>
        </w:rPr>
      </w:pPr>
    </w:p>
    <w:p w:rsidR="002C4A87" w:rsidRDefault="002C4A87" w:rsidP="00306953">
      <w:pPr>
        <w:pStyle w:val="Default"/>
        <w:jc w:val="both"/>
        <w:rPr>
          <w:rFonts w:ascii="Arial" w:hAnsi="Arial" w:cs="Arial"/>
          <w:sz w:val="20"/>
          <w:szCs w:val="20"/>
        </w:rPr>
      </w:pPr>
    </w:p>
    <w:p w:rsidR="00306953" w:rsidRPr="002C4A87" w:rsidRDefault="002C4A87" w:rsidP="002C4A87">
      <w:pPr>
        <w:pStyle w:val="Nadpis3"/>
        <w:spacing w:after="120"/>
      </w:pPr>
      <w:bookmarkStart w:id="17" w:name="_Toc460424380"/>
      <w:r>
        <w:t>Shrnutí</w:t>
      </w:r>
      <w:bookmarkEnd w:id="17"/>
    </w:p>
    <w:p w:rsidR="00306953" w:rsidRPr="00306953" w:rsidRDefault="00306953" w:rsidP="002C4A87">
      <w:pPr>
        <w:autoSpaceDE w:val="0"/>
        <w:autoSpaceDN w:val="0"/>
        <w:adjustRightInd w:val="0"/>
        <w:spacing w:after="120" w:line="240" w:lineRule="auto"/>
        <w:jc w:val="both"/>
        <w:rPr>
          <w:rFonts w:eastAsia="ChaparralPro-Regular" w:cs="Arial"/>
        </w:rPr>
      </w:pPr>
      <w:r w:rsidRPr="00442515">
        <w:rPr>
          <w:rFonts w:eastAsia="ChaparralPro-Regular" w:cs="Arial"/>
          <w:szCs w:val="20"/>
        </w:rPr>
        <w:t>Tato kapitola především ukázala, že</w:t>
      </w:r>
      <w:r w:rsidRPr="00442515">
        <w:rPr>
          <w:rFonts w:cs="Arial"/>
          <w:b/>
          <w:szCs w:val="20"/>
        </w:rPr>
        <w:t xml:space="preserve"> </w:t>
      </w:r>
      <w:r w:rsidRPr="00442515">
        <w:rPr>
          <w:rFonts w:cs="Arial"/>
          <w:szCs w:val="20"/>
        </w:rPr>
        <w:t>v ČR byly</w:t>
      </w:r>
      <w:r w:rsidRPr="00442515">
        <w:rPr>
          <w:rFonts w:cs="Arial"/>
          <w:b/>
          <w:szCs w:val="20"/>
        </w:rPr>
        <w:t xml:space="preserve"> </w:t>
      </w:r>
      <w:r w:rsidRPr="00442515">
        <w:rPr>
          <w:rFonts w:cs="Arial"/>
          <w:szCs w:val="20"/>
        </w:rPr>
        <w:t xml:space="preserve">výdaje na formální vzdělávání </w:t>
      </w:r>
      <w:r w:rsidR="004E66B0">
        <w:rPr>
          <w:rFonts w:cs="Arial"/>
          <w:szCs w:val="20"/>
        </w:rPr>
        <w:t xml:space="preserve">primární až terciární úrovně </w:t>
      </w:r>
      <w:r w:rsidRPr="00442515">
        <w:rPr>
          <w:rFonts w:cs="Arial"/>
          <w:szCs w:val="20"/>
        </w:rPr>
        <w:t>na jednoho žáka/studenta v USD (po zohlednění PPP) v roce 2012 nižš</w:t>
      </w:r>
      <w:r w:rsidR="003D6A95">
        <w:rPr>
          <w:rFonts w:cs="Arial"/>
          <w:szCs w:val="20"/>
        </w:rPr>
        <w:t>í než v mezinárodních průměrech</w:t>
      </w:r>
      <w:r w:rsidRPr="00442515">
        <w:rPr>
          <w:rFonts w:cs="Arial"/>
          <w:szCs w:val="20"/>
        </w:rPr>
        <w:t xml:space="preserve">, což bylo především dáno menším objemem financí investovaných do vlastního vzdělávání. </w:t>
      </w:r>
      <w:r w:rsidRPr="00442515">
        <w:rPr>
          <w:rFonts w:eastAsia="ChaparralPro-Regular" w:cs="Arial"/>
          <w:szCs w:val="20"/>
        </w:rPr>
        <w:t>Výdaje vzdělávacích institucí na jednoho žáka v primárním vzdělávání byly v ČR navíc také nižší oproti sousednímu Slovensku a Polsku, u ostatních úrovní tomu bylo naopak. Přitom výdaje vzdělávacích institucí primárního až postsekundárního neterciárního vzdělávání na jednoho žáka v ČR od roku 2000 postupně rostly a nárůst výdajů mezi lety 2005 a 2012 byl na těchto úrovních vzdělávání v ČR nadprůměrný, v Polsku a na Slovensku však byl o poznání větší. V případě terciárního vzdělávání byl rovněž nárůst výdajů na jednoho žáka mezi lety 2005 a 2012 v ČR nadprůměrný a srovnatelný se Slovenskem a Polskem</w:t>
      </w:r>
      <w:r w:rsidRPr="00306953">
        <w:rPr>
          <w:rFonts w:eastAsia="ChaparralPro-Regular" w:cs="Arial"/>
        </w:rPr>
        <w:t>.</w:t>
      </w:r>
    </w:p>
    <w:p w:rsidR="00442515" w:rsidRDefault="00442515" w:rsidP="008E59C3">
      <w:pPr>
        <w:pStyle w:val="Nadpis2"/>
        <w:keepNext w:val="0"/>
        <w:keepLines w:val="0"/>
        <w:widowControl w:val="0"/>
        <w:spacing w:before="240"/>
        <w:rPr>
          <w:rFonts w:cs="Arial"/>
        </w:rPr>
      </w:pPr>
      <w:bookmarkStart w:id="18" w:name="_Toc457225389"/>
    </w:p>
    <w:p w:rsidR="00306953" w:rsidRPr="00306953" w:rsidRDefault="00306953" w:rsidP="002C4A87">
      <w:pPr>
        <w:pStyle w:val="Nadpis2"/>
        <w:keepLines w:val="0"/>
        <w:spacing w:before="240"/>
        <w:rPr>
          <w:rFonts w:cs="Arial"/>
        </w:rPr>
      </w:pPr>
      <w:bookmarkStart w:id="19" w:name="_Toc460424381"/>
      <w:r w:rsidRPr="00306953">
        <w:rPr>
          <w:rFonts w:cs="Arial"/>
        </w:rPr>
        <w:t>Podíl veřejných a soukromých výdajů ve vzdělávání</w:t>
      </w:r>
      <w:bookmarkEnd w:id="18"/>
      <w:bookmarkEnd w:id="19"/>
    </w:p>
    <w:p w:rsidR="00306953" w:rsidRPr="00306953" w:rsidRDefault="00306953" w:rsidP="002C4A87">
      <w:pPr>
        <w:keepNext/>
        <w:spacing w:after="120" w:line="240" w:lineRule="auto"/>
        <w:rPr>
          <w:rFonts w:cs="Arial"/>
          <w:sz w:val="12"/>
          <w:szCs w:val="12"/>
        </w:rPr>
      </w:pPr>
    </w:p>
    <w:p w:rsidR="002C4A87" w:rsidRDefault="002C4A87" w:rsidP="002C4A87">
      <w:pPr>
        <w:pStyle w:val="Nadpis3"/>
        <w:spacing w:after="120"/>
      </w:pPr>
      <w:bookmarkStart w:id="20" w:name="_Toc460424382"/>
      <w:r>
        <w:t>Úvod</w:t>
      </w:r>
      <w:bookmarkEnd w:id="20"/>
    </w:p>
    <w:p w:rsidR="00306953" w:rsidRDefault="00306953" w:rsidP="002C4A87">
      <w:pPr>
        <w:keepNext/>
        <w:spacing w:after="120" w:line="240" w:lineRule="auto"/>
        <w:jc w:val="both"/>
        <w:rPr>
          <w:rFonts w:cs="Arial"/>
        </w:rPr>
      </w:pPr>
      <w:r w:rsidRPr="00306953">
        <w:rPr>
          <w:rFonts w:eastAsia="ChaparralPro-Regular" w:cs="Arial"/>
        </w:rPr>
        <w:t xml:space="preserve">V této kapitole nejprve uvedeme podíl soukromých zdrojů z veškerých zdrojů věnovaných v roce 2012 na vzdělávání ve všech sledovaných zemích a v mezinárodním průměru za země OECD, a sice v dělení na </w:t>
      </w:r>
      <w:r w:rsidRPr="00306953">
        <w:rPr>
          <w:rFonts w:eastAsia="ChaparralPro-Regular" w:cs="Arial"/>
        </w:rPr>
        <w:lastRenderedPageBreak/>
        <w:t>vzdělávání primární až post-sekundární neterciární úrovně a vzdělávání terciární úrovně. Dále představíme podíl veřejných a soukromých výdajů ze všech výdajů na vzděláva</w:t>
      </w:r>
      <w:r w:rsidR="00E52654">
        <w:rPr>
          <w:rFonts w:eastAsia="ChaparralPro-Regular" w:cs="Arial"/>
        </w:rPr>
        <w:t>cí instituce v roce 2012 v ČR a </w:t>
      </w:r>
      <w:r w:rsidRPr="00306953">
        <w:rPr>
          <w:rFonts w:eastAsia="ChaparralPro-Regular" w:cs="Arial"/>
        </w:rPr>
        <w:t>v mezinárodních průměrech (tj. za země v OECD a za země v EU i OECD) na úrovni primární až postsekundární neterciární a na úrovni terciární. Následovat bude podrobnější členění výdajů v ČR a</w:t>
      </w:r>
      <w:r w:rsidR="00E52654">
        <w:rPr>
          <w:rFonts w:eastAsia="ChaparralPro-Regular" w:cs="Arial"/>
        </w:rPr>
        <w:t> </w:t>
      </w:r>
      <w:r w:rsidRPr="00306953">
        <w:rPr>
          <w:rFonts w:eastAsia="ChaparralPro-Regular" w:cs="Arial"/>
        </w:rPr>
        <w:t>v dalších zemích OECD na instituce, které v roce 2012 poskytovaly formální vzdělávání na úrovni primární až postsekundární neterciární a na úrovni terciární, a sice na výdaje veřejné, výdaje domácností a výdaje soukromých institucí/podniků. Nakonec ukážeme vývoj výdajů z veřejných i soukromých zdrojů v čase</w:t>
      </w:r>
      <w:r w:rsidRPr="00306953">
        <w:rPr>
          <w:rFonts w:cs="Arial"/>
        </w:rPr>
        <w:t>.</w:t>
      </w:r>
    </w:p>
    <w:p w:rsidR="002C4A87" w:rsidRDefault="002C4A87" w:rsidP="002C4A87">
      <w:pPr>
        <w:keepNext/>
        <w:spacing w:after="120" w:line="240" w:lineRule="auto"/>
        <w:jc w:val="both"/>
        <w:rPr>
          <w:rFonts w:cs="Arial"/>
        </w:rPr>
      </w:pPr>
    </w:p>
    <w:p w:rsidR="002C4A87" w:rsidRPr="00306953" w:rsidRDefault="002C4A87" w:rsidP="002C4A87">
      <w:pPr>
        <w:pStyle w:val="Nadpis3"/>
        <w:spacing w:after="120"/>
        <w:rPr>
          <w:rFonts w:eastAsia="ChaparralPro-Regular"/>
        </w:rPr>
      </w:pPr>
      <w:bookmarkStart w:id="21" w:name="_Toc460424383"/>
      <w:r>
        <w:t>Prezentace indikátorů</w:t>
      </w:r>
      <w:bookmarkEnd w:id="21"/>
    </w:p>
    <w:p w:rsidR="00306953" w:rsidRPr="00306953" w:rsidRDefault="00306953" w:rsidP="008E59C3">
      <w:pPr>
        <w:widowControl w:val="0"/>
        <w:autoSpaceDE w:val="0"/>
        <w:autoSpaceDN w:val="0"/>
        <w:adjustRightInd w:val="0"/>
        <w:spacing w:after="0" w:line="240" w:lineRule="auto"/>
        <w:jc w:val="both"/>
        <w:rPr>
          <w:rFonts w:eastAsia="ChaparralPro-Regular" w:cs="Arial"/>
        </w:rPr>
      </w:pPr>
      <w:r w:rsidRPr="00306953">
        <w:rPr>
          <w:rFonts w:eastAsia="ChaparralPro-Regular" w:cs="Arial"/>
        </w:rPr>
        <w:t xml:space="preserve">Publikace Education at a Glance 2015 sleduje, </w:t>
      </w:r>
      <w:r w:rsidRPr="00306953">
        <w:rPr>
          <w:rFonts w:eastAsia="ChaparralPro-Regular" w:cs="Arial"/>
          <w:b/>
        </w:rPr>
        <w:t xml:space="preserve">jaký podíl z celkových výdajů na instituce formálního vzdělávání tvořily v roce 2012 soukromé (neveřejné) a veřejné výdaje </w:t>
      </w:r>
      <w:r w:rsidRPr="00306953">
        <w:rPr>
          <w:rFonts w:eastAsia="ChaparralPro-Regular" w:cs="Arial"/>
        </w:rPr>
        <w:t xml:space="preserve">v dělení na jednotlivé úrovně formálního vzdělávání. </w:t>
      </w:r>
    </w:p>
    <w:p w:rsidR="00306953" w:rsidRPr="00306953" w:rsidRDefault="00306953" w:rsidP="008E59C3">
      <w:pPr>
        <w:widowControl w:val="0"/>
        <w:autoSpaceDE w:val="0"/>
        <w:autoSpaceDN w:val="0"/>
        <w:adjustRightInd w:val="0"/>
        <w:spacing w:after="0" w:line="240" w:lineRule="auto"/>
        <w:jc w:val="both"/>
        <w:rPr>
          <w:rFonts w:eastAsia="ChaparralPro-Regular" w:cs="Arial"/>
          <w:sz w:val="12"/>
          <w:szCs w:val="12"/>
        </w:rPr>
      </w:pPr>
    </w:p>
    <w:p w:rsidR="00306953" w:rsidRPr="00306953" w:rsidRDefault="00306953" w:rsidP="008E59C3">
      <w:pPr>
        <w:widowControl w:val="0"/>
        <w:autoSpaceDE w:val="0"/>
        <w:autoSpaceDN w:val="0"/>
        <w:adjustRightInd w:val="0"/>
        <w:spacing w:after="0" w:line="240" w:lineRule="auto"/>
        <w:jc w:val="both"/>
        <w:rPr>
          <w:rFonts w:eastAsia="ChaparralPro-Regular" w:cs="Arial"/>
        </w:rPr>
      </w:pPr>
      <w:r w:rsidRPr="00306953">
        <w:rPr>
          <w:rFonts w:eastAsia="ChaparralPro-Regular" w:cs="Arial"/>
        </w:rPr>
        <w:t xml:space="preserve">Graf č. 9 uvádí podíl soukromých zdrojů věnovaných v roce 2012 na vzdělávání </w:t>
      </w:r>
      <w:r w:rsidRPr="00306953">
        <w:rPr>
          <w:rFonts w:eastAsia="ChaparralPro-Regular" w:cs="Arial"/>
          <w:b/>
        </w:rPr>
        <w:t>ve všech sledovaných zemích</w:t>
      </w:r>
      <w:r w:rsidRPr="00306953">
        <w:rPr>
          <w:rFonts w:eastAsia="ChaparralPro-Regular" w:cs="Arial"/>
        </w:rPr>
        <w:t xml:space="preserve"> </w:t>
      </w:r>
      <w:r w:rsidRPr="00306953">
        <w:rPr>
          <w:rFonts w:eastAsia="ChaparralPro-Regular" w:cs="Arial"/>
          <w:b/>
        </w:rPr>
        <w:t>a v mezinárodním průměru</w:t>
      </w:r>
      <w:r w:rsidRPr="00306953">
        <w:rPr>
          <w:rFonts w:eastAsia="ChaparralPro-Regular" w:cs="Arial"/>
        </w:rPr>
        <w:t xml:space="preserve"> </w:t>
      </w:r>
      <w:r w:rsidRPr="00306953">
        <w:rPr>
          <w:rFonts w:eastAsia="ChaparralPro-Regular" w:cs="Arial"/>
          <w:b/>
        </w:rPr>
        <w:t>za země OECD</w:t>
      </w:r>
      <w:r w:rsidRPr="00306953">
        <w:rPr>
          <w:rFonts w:eastAsia="ChaparralPro-Regular" w:cs="Arial"/>
        </w:rPr>
        <w:t>, a sice v dělení na vzdělávání primární až post-sekundární neterciární úrovně a vzdělávání terciární úrovně.</w:t>
      </w:r>
    </w:p>
    <w:p w:rsidR="00306953" w:rsidRPr="00306953" w:rsidRDefault="00306953" w:rsidP="008E59C3">
      <w:pPr>
        <w:widowControl w:val="0"/>
        <w:autoSpaceDE w:val="0"/>
        <w:autoSpaceDN w:val="0"/>
        <w:adjustRightInd w:val="0"/>
        <w:spacing w:after="0" w:line="240" w:lineRule="auto"/>
        <w:jc w:val="both"/>
        <w:rPr>
          <w:rFonts w:eastAsia="ChaparralPro-Regular" w:cs="Arial"/>
        </w:rPr>
      </w:pPr>
    </w:p>
    <w:p w:rsidR="00306953" w:rsidRDefault="00306953" w:rsidP="008E59C3">
      <w:pPr>
        <w:widowControl w:val="0"/>
        <w:autoSpaceDE w:val="0"/>
        <w:autoSpaceDN w:val="0"/>
        <w:adjustRightInd w:val="0"/>
        <w:spacing w:after="0" w:line="240" w:lineRule="auto"/>
        <w:jc w:val="both"/>
        <w:rPr>
          <w:rFonts w:eastAsia="ChaparralPro-Regular" w:cs="Arial"/>
          <w:b/>
          <w:bCs/>
        </w:rPr>
      </w:pPr>
      <w:r w:rsidRPr="00306953">
        <w:rPr>
          <w:rFonts w:eastAsia="ChaparralPro-Regular" w:cs="Arial"/>
          <w:b/>
          <w:bCs/>
        </w:rPr>
        <w:t>Graf č. 9 Podíl soukromých výdajů na vzdělávací instituce primárního až postsekundárního neterciárního vzdělávání a terciárního vzdělávání (2012)</w:t>
      </w:r>
    </w:p>
    <w:p w:rsidR="005E525F" w:rsidRDefault="00BA5EE1" w:rsidP="008E59C3">
      <w:pPr>
        <w:widowControl w:val="0"/>
        <w:autoSpaceDE w:val="0"/>
        <w:autoSpaceDN w:val="0"/>
        <w:adjustRightInd w:val="0"/>
        <w:spacing w:after="0" w:line="240" w:lineRule="auto"/>
        <w:jc w:val="both"/>
        <w:rPr>
          <w:rFonts w:eastAsia="ChaparralPro-Regular" w:cs="Arial"/>
          <w:b/>
          <w:bCs/>
        </w:rPr>
      </w:pPr>
      <w:r w:rsidRPr="00984E22">
        <w:rPr>
          <w:rFonts w:eastAsia="ChaparralPro-Regular" w:cs="Arial"/>
          <w:b/>
          <w:noProof/>
        </w:rPr>
        <w:pict>
          <v:shape id="_x0000_i1033" type="#_x0000_t75" style="width:470.25pt;height:24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xLwz33QAAAAUBAAAPAAAAZHJzL2Rvd25y&#10;ZXYueG1sTI/BTsMwEETvSP0HaytxozZVKUmIUwECekJVCxdubrwkUeN1FG/a9O8xvcBlpdGMZt7m&#10;q9G14oh9aDxpuJ0pEEiltw1VGj4/Xm8SEIENWdN6Qg1nDLAqJle5yaw/0RaPO65ELKGQGQ01c5dJ&#10;GcoanQkz3yFF79v3znCUfSVtb06x3LVyrtRSOtNQXKhNh881lofd4DS84TBP7tP112ZTHp5e3ge7&#10;XXOq9fV0fHwAwTjyXxh+8SM6FJFp7weyQbQa4iN8udFLF+oOxF7DIlkqkEUu/9MXPwA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">
            <v:imagedata r:id="rId88" o:title="" croptop="-1938f" cropbottom="-2921f" cropleft="-70f" cropright="-457f"/>
            <o:lock v:ext="edit" aspectratio="f"/>
          </v:shape>
        </w:pict>
      </w:r>
    </w:p>
    <w:p w:rsidR="00306953" w:rsidRPr="00442515" w:rsidRDefault="00EA6A4F" w:rsidP="00306953">
      <w:pPr>
        <w:autoSpaceDE w:val="0"/>
        <w:autoSpaceDN w:val="0"/>
        <w:adjustRightInd w:val="0"/>
        <w:spacing w:after="0" w:line="240" w:lineRule="auto"/>
        <w:jc w:val="both"/>
        <w:rPr>
          <w:rFonts w:eastAsia="ChaparralPro-Regular" w:cs="Arial"/>
          <w:sz w:val="16"/>
          <w:szCs w:val="16"/>
        </w:rPr>
      </w:pPr>
      <w:r w:rsidRPr="00FE5433">
        <w:rPr>
          <w:rFonts w:eastAsia="ChaparralPro-Regular" w:cs="Arial"/>
          <w:sz w:val="16"/>
          <w:szCs w:val="16"/>
        </w:rPr>
        <w:t>(</w:t>
      </w:r>
      <w:r w:rsidR="00306953" w:rsidRPr="00FE5433">
        <w:rPr>
          <w:rFonts w:eastAsia="ChaparralPro-Regular" w:cs="Arial"/>
          <w:sz w:val="16"/>
          <w:szCs w:val="16"/>
        </w:rPr>
        <w:t>1)</w:t>
      </w:r>
      <w:r w:rsidR="00306953" w:rsidRPr="00442515">
        <w:rPr>
          <w:rFonts w:eastAsia="ChaparralPro-Regular" w:cs="Arial"/>
          <w:sz w:val="16"/>
          <w:szCs w:val="16"/>
        </w:rPr>
        <w:t xml:space="preserve">  Některé úrovně vzdělávání jsou sloučeny s dalšími - viz kód "x" v tabulce B1.1a</w:t>
      </w:r>
      <w:r w:rsidR="008E59C3">
        <w:rPr>
          <w:rFonts w:eastAsia="ChaparralPro-Regular" w:cs="Arial"/>
          <w:sz w:val="16"/>
          <w:szCs w:val="16"/>
        </w:rPr>
        <w:t xml:space="preserve"> (OECD 2015)</w:t>
      </w:r>
      <w:r w:rsidR="00306953" w:rsidRPr="00442515">
        <w:rPr>
          <w:rFonts w:eastAsia="ChaparralPro-Regular" w:cs="Arial"/>
          <w:sz w:val="16"/>
          <w:szCs w:val="16"/>
        </w:rPr>
        <w:t xml:space="preserve">. </w:t>
      </w:r>
    </w:p>
    <w:p w:rsidR="00306953" w:rsidRPr="00442515" w:rsidRDefault="00306953" w:rsidP="00306953">
      <w:pPr>
        <w:autoSpaceDE w:val="0"/>
        <w:autoSpaceDN w:val="0"/>
        <w:adjustRightInd w:val="0"/>
        <w:spacing w:after="0" w:line="240" w:lineRule="auto"/>
        <w:jc w:val="both"/>
        <w:rPr>
          <w:rFonts w:eastAsia="ChaparralPro-Regular" w:cs="Arial"/>
          <w:sz w:val="16"/>
          <w:szCs w:val="16"/>
        </w:rPr>
      </w:pPr>
      <w:r w:rsidRPr="00442515">
        <w:rPr>
          <w:rFonts w:eastAsia="ChaparralPro-Regular" w:cs="Arial"/>
          <w:sz w:val="16"/>
          <w:szCs w:val="16"/>
        </w:rPr>
        <w:t>Pozn.: Data za Norsko u primární až postsekundární neterciární úrovně nejsou dostupná, data za Švýcarsko a Dánsko u terciární úrovně nejsou dostupná.</w:t>
      </w:r>
    </w:p>
    <w:p w:rsidR="00306953" w:rsidRPr="00442515" w:rsidRDefault="00306953" w:rsidP="00306953">
      <w:pPr>
        <w:spacing w:after="0" w:line="240" w:lineRule="auto"/>
        <w:jc w:val="both"/>
        <w:rPr>
          <w:rFonts w:eastAsia="ChaparralPro-Regular" w:cs="Arial"/>
          <w:sz w:val="16"/>
          <w:szCs w:val="16"/>
        </w:rPr>
      </w:pPr>
      <w:r w:rsidRPr="00442515">
        <w:rPr>
          <w:rFonts w:eastAsia="ChaparralPro-Regular" w:cs="Arial"/>
          <w:sz w:val="16"/>
          <w:szCs w:val="16"/>
        </w:rPr>
        <w:t xml:space="preserve">Zdroj: OECD 2015, graf B 3.1 (příp. tabulka B 3.1) StatLink: </w:t>
      </w:r>
      <w:hyperlink r:id="rId89" w:history="1">
        <w:r w:rsidRPr="00442515">
          <w:rPr>
            <w:rStyle w:val="Hypertextovodkaz"/>
            <w:rFonts w:eastAsia="ChaparralPro-Regular" w:cs="Arial"/>
            <w:sz w:val="16"/>
            <w:szCs w:val="16"/>
          </w:rPr>
          <w:t>http://dx.doi.org/10.1787/888933283989</w:t>
        </w:r>
      </w:hyperlink>
      <w:r w:rsidRPr="00442515">
        <w:rPr>
          <w:rFonts w:eastAsia="ChaparralPro-Regular" w:cs="Arial"/>
          <w:sz w:val="16"/>
          <w:szCs w:val="16"/>
        </w:rPr>
        <w:t xml:space="preserve">  </w:t>
      </w:r>
    </w:p>
    <w:p w:rsidR="00306953" w:rsidRPr="00442515" w:rsidRDefault="00306953" w:rsidP="00306953">
      <w:pPr>
        <w:spacing w:after="0" w:line="240" w:lineRule="auto"/>
        <w:jc w:val="both"/>
        <w:rPr>
          <w:rFonts w:eastAsia="ChaparralPro-Regular" w:cs="Arial"/>
          <w:sz w:val="16"/>
          <w:szCs w:val="16"/>
        </w:rPr>
      </w:pPr>
    </w:p>
    <w:p w:rsidR="00306953" w:rsidRPr="00306953" w:rsidRDefault="00306953" w:rsidP="00306953">
      <w:pPr>
        <w:autoSpaceDE w:val="0"/>
        <w:autoSpaceDN w:val="0"/>
        <w:adjustRightInd w:val="0"/>
        <w:spacing w:after="0" w:line="240" w:lineRule="auto"/>
        <w:jc w:val="both"/>
        <w:rPr>
          <w:rFonts w:eastAsia="ChaparralPro-Regular" w:cs="Arial"/>
          <w:sz w:val="12"/>
          <w:szCs w:val="12"/>
        </w:rPr>
      </w:pPr>
    </w:p>
    <w:p w:rsidR="00306953" w:rsidRPr="00306953" w:rsidRDefault="00306953" w:rsidP="00306953">
      <w:pPr>
        <w:autoSpaceDE w:val="0"/>
        <w:autoSpaceDN w:val="0"/>
        <w:adjustRightInd w:val="0"/>
        <w:spacing w:after="0" w:line="240" w:lineRule="auto"/>
        <w:jc w:val="both"/>
        <w:rPr>
          <w:rFonts w:eastAsia="ChaparralPro-Regular" w:cs="Arial"/>
        </w:rPr>
      </w:pPr>
      <w:r w:rsidRPr="00306953">
        <w:rPr>
          <w:rFonts w:eastAsia="ChaparralPro-Regular" w:cs="Arial"/>
        </w:rPr>
        <w:t xml:space="preserve">Z grafu č. 9 vyplývá, že podíl soukromých výdajů na </w:t>
      </w:r>
      <w:r w:rsidRPr="00306953">
        <w:rPr>
          <w:rFonts w:eastAsia="ChaparralPro-Regular" w:cs="Arial"/>
          <w:b/>
          <w:i/>
        </w:rPr>
        <w:t xml:space="preserve">primární, sekundární a postsekundární neterciární úroveň </w:t>
      </w:r>
      <w:r w:rsidRPr="00306953">
        <w:rPr>
          <w:rFonts w:eastAsia="ChaparralPro-Regular" w:cs="Arial"/>
        </w:rPr>
        <w:t>činil v roce 2012 v ČR 9 %, což je srovnatelné s průměrem za země OECD a jen o 1,8 procentního bodu vyšší oproti průměru za země v OECD i v EU. Naopak tento podíl je v ČR o 2,9 procentního bodu menší než na Slovensku. Podíl soukromých výdajů</w:t>
      </w:r>
      <w:r w:rsidRPr="00306953">
        <w:rPr>
          <w:rFonts w:cs="Arial"/>
        </w:rPr>
        <w:t xml:space="preserve"> </w:t>
      </w:r>
      <w:r w:rsidRPr="00306953">
        <w:rPr>
          <w:rFonts w:eastAsia="ChaparralPro-Regular" w:cs="Arial"/>
        </w:rPr>
        <w:t>na primární, sekundární a postsekundární neterciární úroveň byl ze všech sledovaných zemí s dostupnými daty nejnižší ve Švédsku (uvedené výdaje zde byly zanedbatelné či žádné) a dále ve Finsku (0,7 %) a Estonsku (0,9 %). Naopak v Chile a Kolumbii dosahovaly soukromé výdaje 22 %.</w:t>
      </w:r>
    </w:p>
    <w:p w:rsidR="00306953" w:rsidRPr="00306953" w:rsidRDefault="00306953" w:rsidP="00306953">
      <w:pPr>
        <w:autoSpaceDE w:val="0"/>
        <w:autoSpaceDN w:val="0"/>
        <w:adjustRightInd w:val="0"/>
        <w:spacing w:after="0" w:line="240" w:lineRule="auto"/>
        <w:jc w:val="both"/>
        <w:rPr>
          <w:rFonts w:eastAsia="ChaparralPro-Regular" w:cs="Arial"/>
          <w:sz w:val="12"/>
          <w:szCs w:val="12"/>
        </w:rPr>
      </w:pPr>
    </w:p>
    <w:p w:rsidR="00306953" w:rsidRPr="00306953" w:rsidRDefault="00306953" w:rsidP="00306953">
      <w:pPr>
        <w:autoSpaceDE w:val="0"/>
        <w:autoSpaceDN w:val="0"/>
        <w:adjustRightInd w:val="0"/>
        <w:spacing w:after="0" w:line="240" w:lineRule="auto"/>
        <w:jc w:val="both"/>
        <w:rPr>
          <w:rFonts w:eastAsia="ChaparralPro-Regular" w:cs="Arial"/>
        </w:rPr>
      </w:pPr>
      <w:r w:rsidRPr="00306953">
        <w:rPr>
          <w:rFonts w:eastAsia="ChaparralPro-Regular" w:cs="Arial"/>
        </w:rPr>
        <w:t xml:space="preserve">Pokud se jedná o výdaje na </w:t>
      </w:r>
      <w:r w:rsidRPr="00306953">
        <w:rPr>
          <w:rFonts w:eastAsia="ChaparralPro-Regular" w:cs="Arial"/>
          <w:b/>
          <w:i/>
        </w:rPr>
        <w:t>terciární vzdělávání</w:t>
      </w:r>
      <w:r w:rsidRPr="00306953">
        <w:rPr>
          <w:rFonts w:eastAsia="ChaparralPro-Regular" w:cs="Arial"/>
        </w:rPr>
        <w:t xml:space="preserve">, v ČR tvořily v roce 2012 soukromé zdroje 20,7 %, což je výrazně méně než v průměru za země OECD (30,3 %), nicméně se jedná o srovnatelný podíl s průměrem za země v EU i OECD (21,9 %), s Polskem (22,4 %) i s Estonskem (21,8 %). Na Slovensku tento podíl činil 26,2 %. V nejmenší míře čerpaly ze soukromých zdrojů v roce 2012 instituce terciárního vzdělávání ve Finsku (3,8 %) a v  Norsku (3,9 %). </w:t>
      </w:r>
    </w:p>
    <w:p w:rsidR="00306953" w:rsidRPr="00306953" w:rsidRDefault="00306953" w:rsidP="00306953">
      <w:pPr>
        <w:autoSpaceDE w:val="0"/>
        <w:autoSpaceDN w:val="0"/>
        <w:adjustRightInd w:val="0"/>
        <w:spacing w:after="0" w:line="240" w:lineRule="auto"/>
        <w:jc w:val="both"/>
        <w:rPr>
          <w:rFonts w:eastAsia="ChaparralPro-Regular" w:cs="Arial"/>
          <w:sz w:val="12"/>
          <w:szCs w:val="12"/>
        </w:rPr>
      </w:pPr>
    </w:p>
    <w:p w:rsidR="00306953" w:rsidRPr="00306953" w:rsidRDefault="00306953" w:rsidP="00306953">
      <w:pPr>
        <w:autoSpaceDE w:val="0"/>
        <w:autoSpaceDN w:val="0"/>
        <w:adjustRightInd w:val="0"/>
        <w:spacing w:after="0" w:line="240" w:lineRule="auto"/>
        <w:jc w:val="both"/>
        <w:rPr>
          <w:rFonts w:eastAsia="ChaparralPro-Regular" w:cs="Arial"/>
        </w:rPr>
      </w:pPr>
      <w:r w:rsidRPr="00306953">
        <w:rPr>
          <w:rFonts w:eastAsia="ChaparralPro-Regular" w:cs="Arial"/>
        </w:rPr>
        <w:lastRenderedPageBreak/>
        <w:t>Tabulka č. 15 uvádí ty samé výsledky již pouze za ČR, průměr za země</w:t>
      </w:r>
      <w:r w:rsidR="00E52654">
        <w:rPr>
          <w:rFonts w:eastAsia="ChaparralPro-Regular" w:cs="Arial"/>
        </w:rPr>
        <w:t xml:space="preserve"> v EU i OECD a průměr za země v </w:t>
      </w:r>
      <w:r w:rsidRPr="00306953">
        <w:rPr>
          <w:rFonts w:eastAsia="ChaparralPro-Regular" w:cs="Arial"/>
        </w:rPr>
        <w:t xml:space="preserve">OECD v dělení na úroveň primární, sekundární a postsekundární neterciární; úroveň terciární a za všechny tyto úrovně dohromady. </w:t>
      </w:r>
    </w:p>
    <w:p w:rsidR="00306953" w:rsidRPr="00306953" w:rsidRDefault="00306953" w:rsidP="00306953">
      <w:pPr>
        <w:autoSpaceDE w:val="0"/>
        <w:autoSpaceDN w:val="0"/>
        <w:adjustRightInd w:val="0"/>
        <w:spacing w:after="0" w:line="240" w:lineRule="auto"/>
        <w:jc w:val="both"/>
        <w:rPr>
          <w:rFonts w:eastAsia="ChaparralPro-Regular" w:cs="Arial"/>
          <w:sz w:val="12"/>
          <w:szCs w:val="12"/>
        </w:rPr>
      </w:pPr>
    </w:p>
    <w:p w:rsidR="00306953" w:rsidRPr="00306953" w:rsidRDefault="00306953" w:rsidP="00306953">
      <w:pPr>
        <w:keepNext/>
        <w:autoSpaceDE w:val="0"/>
        <w:autoSpaceDN w:val="0"/>
        <w:adjustRightInd w:val="0"/>
        <w:spacing w:after="0" w:line="240" w:lineRule="auto"/>
        <w:jc w:val="both"/>
        <w:rPr>
          <w:rFonts w:eastAsia="ChaparralPro-Regular" w:cs="Arial"/>
          <w:b/>
        </w:rPr>
      </w:pPr>
      <w:r w:rsidRPr="00306953">
        <w:rPr>
          <w:rFonts w:eastAsia="ChaparralPro-Regular" w:cs="Arial"/>
          <w:b/>
        </w:rPr>
        <w:t>Tabulka č. 15 Podíl veřejných a soukromých výdajů ze všech výda</w:t>
      </w:r>
      <w:r w:rsidR="003A515E">
        <w:rPr>
          <w:rFonts w:eastAsia="ChaparralPro-Regular" w:cs="Arial"/>
          <w:b/>
        </w:rPr>
        <w:t>jů na vzdělávací instituce, dle </w:t>
      </w:r>
      <w:r w:rsidRPr="00306953">
        <w:rPr>
          <w:rFonts w:eastAsia="ChaparralPro-Regular" w:cs="Arial"/>
          <w:b/>
        </w:rPr>
        <w:t>úrovně vzdělávání (2012)</w:t>
      </w:r>
    </w:p>
    <w:p w:rsidR="00306953" w:rsidRPr="009D3BC0" w:rsidRDefault="009D3BC0" w:rsidP="00306953">
      <w:pPr>
        <w:keepNext/>
        <w:autoSpaceDE w:val="0"/>
        <w:autoSpaceDN w:val="0"/>
        <w:adjustRightInd w:val="0"/>
        <w:spacing w:after="0" w:line="240" w:lineRule="auto"/>
        <w:jc w:val="both"/>
        <w:rPr>
          <w:rFonts w:eastAsia="ChaparralPro-Regular" w:cs="Arial"/>
          <w:i/>
        </w:rPr>
      </w:pPr>
      <w:r w:rsidRPr="009D3BC0">
        <w:rPr>
          <w:rFonts w:eastAsia="ChaparralPro-Regular" w:cs="Arial"/>
          <w:i/>
        </w:rPr>
        <w:t>p</w:t>
      </w:r>
      <w:r w:rsidR="00306953" w:rsidRPr="009D3BC0">
        <w:rPr>
          <w:rFonts w:eastAsia="ChaparralPro-Regular" w:cs="Arial"/>
          <w:i/>
        </w:rPr>
        <w:t>odíl veřejných a soukromých zdrojů pro financování vzdělávacích institucí po zohlednění převodů z veřejných zdrojů (v %)</w:t>
      </w:r>
    </w:p>
    <w:tbl>
      <w:tblPr>
        <w:tblW w:w="9077" w:type="dxa"/>
        <w:tblInd w:w="6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2132"/>
        <w:gridCol w:w="1417"/>
        <w:gridCol w:w="992"/>
        <w:gridCol w:w="1171"/>
        <w:gridCol w:w="1097"/>
        <w:gridCol w:w="1134"/>
        <w:gridCol w:w="1134"/>
      </w:tblGrid>
      <w:tr w:rsidR="00306953" w:rsidRPr="00442515" w:rsidTr="00E132EA">
        <w:trPr>
          <w:trHeight w:val="525"/>
        </w:trPr>
        <w:tc>
          <w:tcPr>
            <w:tcW w:w="3549" w:type="dxa"/>
            <w:gridSpan w:val="2"/>
            <w:vMerge w:val="restart"/>
            <w:shd w:val="clear" w:color="auto" w:fill="FFCCCC"/>
            <w:noWrap/>
            <w:vAlign w:val="bottom"/>
            <w:hideMark/>
          </w:tcPr>
          <w:p w:rsidR="00306953" w:rsidRPr="001042AC" w:rsidRDefault="00306953" w:rsidP="00306953">
            <w:pPr>
              <w:keepNext/>
              <w:spacing w:after="0" w:line="240" w:lineRule="auto"/>
              <w:rPr>
                <w:rFonts w:cs="Arial"/>
                <w:b/>
                <w:color w:val="000000"/>
                <w:sz w:val="16"/>
                <w:szCs w:val="16"/>
              </w:rPr>
            </w:pPr>
            <w:r w:rsidRPr="001042AC">
              <w:rPr>
                <w:rFonts w:cs="Arial"/>
                <w:b/>
                <w:color w:val="000000"/>
                <w:sz w:val="16"/>
                <w:szCs w:val="16"/>
              </w:rPr>
              <w:t> </w:t>
            </w:r>
          </w:p>
        </w:tc>
        <w:tc>
          <w:tcPr>
            <w:tcW w:w="992" w:type="dxa"/>
            <w:vMerge w:val="restart"/>
            <w:shd w:val="clear" w:color="auto" w:fill="FFCCCC"/>
            <w:vAlign w:val="center"/>
            <w:hideMark/>
          </w:tcPr>
          <w:p w:rsidR="00306953" w:rsidRPr="001042AC" w:rsidRDefault="00EA6A4F" w:rsidP="007E5BD0">
            <w:pPr>
              <w:keepNext/>
              <w:spacing w:after="0" w:line="240" w:lineRule="auto"/>
              <w:jc w:val="center"/>
              <w:rPr>
                <w:rFonts w:cs="Arial"/>
                <w:b/>
                <w:color w:val="000000"/>
                <w:sz w:val="16"/>
                <w:szCs w:val="16"/>
              </w:rPr>
            </w:pPr>
            <w:r>
              <w:rPr>
                <w:rFonts w:cs="Arial"/>
                <w:b/>
                <w:color w:val="000000"/>
                <w:sz w:val="16"/>
                <w:szCs w:val="16"/>
              </w:rPr>
              <w:t>v</w:t>
            </w:r>
            <w:r w:rsidR="00306953" w:rsidRPr="001042AC">
              <w:rPr>
                <w:rFonts w:cs="Arial"/>
                <w:b/>
                <w:color w:val="000000"/>
                <w:sz w:val="16"/>
                <w:szCs w:val="16"/>
              </w:rPr>
              <w:t>eřejné zdroje</w:t>
            </w:r>
          </w:p>
        </w:tc>
        <w:tc>
          <w:tcPr>
            <w:tcW w:w="3402" w:type="dxa"/>
            <w:gridSpan w:val="3"/>
            <w:shd w:val="clear" w:color="auto" w:fill="FFCCCC"/>
            <w:vAlign w:val="center"/>
            <w:hideMark/>
          </w:tcPr>
          <w:p w:rsidR="00306953" w:rsidRPr="001042AC" w:rsidRDefault="00EA6A4F" w:rsidP="007E5BD0">
            <w:pPr>
              <w:keepNext/>
              <w:spacing w:after="0" w:line="240" w:lineRule="auto"/>
              <w:jc w:val="center"/>
              <w:rPr>
                <w:rFonts w:cs="Arial"/>
                <w:b/>
                <w:color w:val="000000"/>
                <w:sz w:val="16"/>
                <w:szCs w:val="16"/>
              </w:rPr>
            </w:pPr>
            <w:r>
              <w:rPr>
                <w:rFonts w:cs="Arial"/>
                <w:b/>
                <w:color w:val="000000"/>
                <w:sz w:val="16"/>
                <w:szCs w:val="16"/>
              </w:rPr>
              <w:t>s</w:t>
            </w:r>
            <w:r w:rsidR="00306953" w:rsidRPr="001042AC">
              <w:rPr>
                <w:rFonts w:cs="Arial"/>
                <w:b/>
                <w:color w:val="000000"/>
                <w:sz w:val="16"/>
                <w:szCs w:val="16"/>
              </w:rPr>
              <w:t>oukromé zdroje</w:t>
            </w:r>
          </w:p>
        </w:tc>
        <w:tc>
          <w:tcPr>
            <w:tcW w:w="1134" w:type="dxa"/>
            <w:vMerge w:val="restart"/>
            <w:shd w:val="clear" w:color="auto" w:fill="FFCCCC"/>
            <w:vAlign w:val="center"/>
            <w:hideMark/>
          </w:tcPr>
          <w:p w:rsidR="00E132EA" w:rsidRDefault="00EA6A4F" w:rsidP="007E5BD0">
            <w:pPr>
              <w:keepNext/>
              <w:spacing w:after="0" w:line="240" w:lineRule="auto"/>
              <w:jc w:val="center"/>
              <w:rPr>
                <w:rFonts w:cs="Arial"/>
                <w:b/>
                <w:color w:val="000000"/>
                <w:sz w:val="16"/>
                <w:szCs w:val="16"/>
              </w:rPr>
            </w:pPr>
            <w:r>
              <w:rPr>
                <w:rFonts w:cs="Arial"/>
                <w:b/>
                <w:color w:val="000000"/>
                <w:sz w:val="16"/>
                <w:szCs w:val="16"/>
              </w:rPr>
              <w:t>s</w:t>
            </w:r>
            <w:r w:rsidR="00306953" w:rsidRPr="001042AC">
              <w:rPr>
                <w:rFonts w:cs="Arial"/>
                <w:b/>
                <w:color w:val="000000"/>
                <w:sz w:val="16"/>
                <w:szCs w:val="16"/>
              </w:rPr>
              <w:t xml:space="preserve">oukromé: </w:t>
            </w:r>
          </w:p>
          <w:p w:rsidR="00306953" w:rsidRPr="001042AC" w:rsidRDefault="00306953" w:rsidP="007E5BD0">
            <w:pPr>
              <w:keepNext/>
              <w:spacing w:after="0" w:line="240" w:lineRule="auto"/>
              <w:jc w:val="center"/>
              <w:rPr>
                <w:rFonts w:cs="Arial"/>
                <w:b/>
                <w:color w:val="000000"/>
                <w:sz w:val="16"/>
                <w:szCs w:val="16"/>
              </w:rPr>
            </w:pPr>
            <w:r w:rsidRPr="001042AC">
              <w:rPr>
                <w:rFonts w:cs="Arial"/>
                <w:b/>
                <w:color w:val="000000"/>
                <w:sz w:val="16"/>
                <w:szCs w:val="16"/>
              </w:rPr>
              <w:t>z toho dotované</w:t>
            </w:r>
          </w:p>
        </w:tc>
      </w:tr>
      <w:tr w:rsidR="00306953" w:rsidRPr="00442515" w:rsidTr="00E132EA">
        <w:trPr>
          <w:trHeight w:val="915"/>
        </w:trPr>
        <w:tc>
          <w:tcPr>
            <w:tcW w:w="3549" w:type="dxa"/>
            <w:gridSpan w:val="2"/>
            <w:vMerge/>
            <w:tcBorders>
              <w:bottom w:val="double" w:sz="4" w:space="0" w:color="auto"/>
            </w:tcBorders>
            <w:shd w:val="clear" w:color="auto" w:fill="FFCCCC"/>
            <w:vAlign w:val="center"/>
            <w:hideMark/>
          </w:tcPr>
          <w:p w:rsidR="00306953" w:rsidRPr="00442515" w:rsidRDefault="00306953" w:rsidP="00306953">
            <w:pPr>
              <w:keepNext/>
              <w:spacing w:after="0" w:line="240" w:lineRule="auto"/>
              <w:rPr>
                <w:rFonts w:cs="Arial"/>
                <w:color w:val="000000"/>
                <w:sz w:val="16"/>
                <w:szCs w:val="16"/>
              </w:rPr>
            </w:pPr>
          </w:p>
        </w:tc>
        <w:tc>
          <w:tcPr>
            <w:tcW w:w="992" w:type="dxa"/>
            <w:vMerge/>
            <w:tcBorders>
              <w:bottom w:val="double" w:sz="4" w:space="0" w:color="auto"/>
            </w:tcBorders>
            <w:shd w:val="clear" w:color="auto" w:fill="FFCCCC"/>
            <w:vAlign w:val="center"/>
            <w:hideMark/>
          </w:tcPr>
          <w:p w:rsidR="00306953" w:rsidRPr="00442515" w:rsidRDefault="00306953" w:rsidP="007E5BD0">
            <w:pPr>
              <w:keepNext/>
              <w:spacing w:after="0" w:line="240" w:lineRule="auto"/>
              <w:jc w:val="center"/>
              <w:rPr>
                <w:rFonts w:cs="Arial"/>
                <w:color w:val="000000"/>
                <w:sz w:val="16"/>
                <w:szCs w:val="16"/>
              </w:rPr>
            </w:pPr>
          </w:p>
        </w:tc>
        <w:tc>
          <w:tcPr>
            <w:tcW w:w="1171" w:type="dxa"/>
            <w:tcBorders>
              <w:bottom w:val="double" w:sz="4" w:space="0" w:color="auto"/>
            </w:tcBorders>
            <w:shd w:val="clear" w:color="auto" w:fill="FFCCCC"/>
            <w:vAlign w:val="center"/>
            <w:hideMark/>
          </w:tcPr>
          <w:p w:rsidR="00306953" w:rsidRPr="001042AC" w:rsidRDefault="00EA6A4F" w:rsidP="007E5BD0">
            <w:pPr>
              <w:keepNext/>
              <w:spacing w:after="0" w:line="240" w:lineRule="auto"/>
              <w:jc w:val="center"/>
              <w:rPr>
                <w:rFonts w:cs="Arial"/>
                <w:b/>
                <w:color w:val="000000"/>
                <w:sz w:val="16"/>
                <w:szCs w:val="16"/>
              </w:rPr>
            </w:pPr>
            <w:r>
              <w:rPr>
                <w:rFonts w:cs="Arial"/>
                <w:b/>
                <w:color w:val="000000"/>
                <w:sz w:val="16"/>
                <w:szCs w:val="16"/>
              </w:rPr>
              <w:t>v</w:t>
            </w:r>
            <w:r w:rsidR="00306953" w:rsidRPr="001042AC">
              <w:rPr>
                <w:rFonts w:cs="Arial"/>
                <w:b/>
                <w:color w:val="000000"/>
                <w:sz w:val="16"/>
                <w:szCs w:val="16"/>
              </w:rPr>
              <w:t>ýdaje domácností</w:t>
            </w:r>
          </w:p>
        </w:tc>
        <w:tc>
          <w:tcPr>
            <w:tcW w:w="1097" w:type="dxa"/>
            <w:tcBorders>
              <w:bottom w:val="double" w:sz="4" w:space="0" w:color="auto"/>
            </w:tcBorders>
            <w:shd w:val="clear" w:color="auto" w:fill="FFCCCC"/>
            <w:vAlign w:val="center"/>
            <w:hideMark/>
          </w:tcPr>
          <w:p w:rsidR="00306953" w:rsidRPr="001042AC" w:rsidRDefault="00EA6A4F" w:rsidP="007E5BD0">
            <w:pPr>
              <w:keepNext/>
              <w:spacing w:after="0" w:line="240" w:lineRule="auto"/>
              <w:jc w:val="center"/>
              <w:rPr>
                <w:rFonts w:cs="Arial"/>
                <w:b/>
                <w:color w:val="000000"/>
                <w:sz w:val="16"/>
                <w:szCs w:val="16"/>
              </w:rPr>
            </w:pPr>
            <w:r>
              <w:rPr>
                <w:rFonts w:cs="Arial"/>
                <w:b/>
                <w:color w:val="000000"/>
                <w:sz w:val="16"/>
                <w:szCs w:val="16"/>
              </w:rPr>
              <w:t>v</w:t>
            </w:r>
            <w:r w:rsidR="00306953" w:rsidRPr="001042AC">
              <w:rPr>
                <w:rFonts w:cs="Arial"/>
                <w:b/>
                <w:color w:val="000000"/>
                <w:sz w:val="16"/>
                <w:szCs w:val="16"/>
              </w:rPr>
              <w:t>ýdaje jiných soukromých subjektů</w:t>
            </w:r>
            <w:r w:rsidR="00306953" w:rsidRPr="001042AC">
              <w:rPr>
                <w:rFonts w:cs="Arial"/>
                <w:b/>
                <w:color w:val="000000"/>
                <w:sz w:val="16"/>
                <w:szCs w:val="16"/>
                <w:vertAlign w:val="superscript"/>
              </w:rPr>
              <w:t>1)</w:t>
            </w:r>
          </w:p>
        </w:tc>
        <w:tc>
          <w:tcPr>
            <w:tcW w:w="1134" w:type="dxa"/>
            <w:tcBorders>
              <w:bottom w:val="double" w:sz="4" w:space="0" w:color="auto"/>
            </w:tcBorders>
            <w:shd w:val="clear" w:color="auto" w:fill="FFCCCC"/>
            <w:vAlign w:val="center"/>
            <w:hideMark/>
          </w:tcPr>
          <w:p w:rsidR="00306953" w:rsidRPr="001042AC" w:rsidRDefault="00EA6A4F" w:rsidP="007E5BD0">
            <w:pPr>
              <w:keepNext/>
              <w:spacing w:after="0" w:line="240" w:lineRule="auto"/>
              <w:jc w:val="center"/>
              <w:rPr>
                <w:rFonts w:cs="Arial"/>
                <w:b/>
                <w:color w:val="000000"/>
                <w:sz w:val="16"/>
                <w:szCs w:val="16"/>
              </w:rPr>
            </w:pPr>
            <w:r>
              <w:rPr>
                <w:rFonts w:cs="Arial"/>
                <w:b/>
                <w:color w:val="000000"/>
                <w:sz w:val="16"/>
                <w:szCs w:val="16"/>
              </w:rPr>
              <w:t>v</w:t>
            </w:r>
            <w:r w:rsidR="00306953" w:rsidRPr="001042AC">
              <w:rPr>
                <w:rFonts w:cs="Arial"/>
                <w:b/>
                <w:color w:val="000000"/>
                <w:sz w:val="16"/>
                <w:szCs w:val="16"/>
              </w:rPr>
              <w:t>šechny soukromé zdroje</w:t>
            </w:r>
            <w:r w:rsidR="00306953" w:rsidRPr="001042AC">
              <w:rPr>
                <w:rFonts w:cs="Arial"/>
                <w:b/>
                <w:color w:val="000000"/>
                <w:sz w:val="16"/>
                <w:szCs w:val="16"/>
                <w:vertAlign w:val="superscript"/>
              </w:rPr>
              <w:t>2)</w:t>
            </w:r>
          </w:p>
        </w:tc>
        <w:tc>
          <w:tcPr>
            <w:tcW w:w="1134" w:type="dxa"/>
            <w:vMerge/>
            <w:tcBorders>
              <w:bottom w:val="double" w:sz="4" w:space="0" w:color="auto"/>
            </w:tcBorders>
            <w:shd w:val="clear" w:color="auto" w:fill="FFCCCC"/>
            <w:vAlign w:val="center"/>
            <w:hideMark/>
          </w:tcPr>
          <w:p w:rsidR="00306953" w:rsidRPr="00442515" w:rsidRDefault="00306953" w:rsidP="007E5BD0">
            <w:pPr>
              <w:keepNext/>
              <w:spacing w:after="0" w:line="240" w:lineRule="auto"/>
              <w:jc w:val="center"/>
              <w:rPr>
                <w:rFonts w:cs="Arial"/>
                <w:color w:val="000000"/>
                <w:sz w:val="16"/>
                <w:szCs w:val="16"/>
              </w:rPr>
            </w:pPr>
          </w:p>
        </w:tc>
      </w:tr>
      <w:tr w:rsidR="00306953" w:rsidRPr="00442515" w:rsidTr="00E132EA">
        <w:trPr>
          <w:trHeight w:val="255"/>
        </w:trPr>
        <w:tc>
          <w:tcPr>
            <w:tcW w:w="2132" w:type="dxa"/>
            <w:vMerge w:val="restart"/>
            <w:tcBorders>
              <w:top w:val="double" w:sz="4" w:space="0" w:color="auto"/>
              <w:bottom w:val="single" w:sz="4" w:space="0" w:color="auto"/>
            </w:tcBorders>
            <w:shd w:val="clear" w:color="auto" w:fill="auto"/>
            <w:vAlign w:val="center"/>
            <w:hideMark/>
          </w:tcPr>
          <w:p w:rsidR="00306953" w:rsidRPr="00442515" w:rsidRDefault="00EA6A4F" w:rsidP="007E5BD0">
            <w:pPr>
              <w:keepNext/>
              <w:spacing w:after="0" w:line="240" w:lineRule="auto"/>
              <w:rPr>
                <w:rFonts w:cs="Arial"/>
                <w:color w:val="000000"/>
                <w:sz w:val="16"/>
                <w:szCs w:val="16"/>
              </w:rPr>
            </w:pPr>
            <w:r>
              <w:rPr>
                <w:rFonts w:cs="Arial"/>
                <w:color w:val="000000"/>
                <w:sz w:val="16"/>
                <w:szCs w:val="16"/>
              </w:rPr>
              <w:t>p</w:t>
            </w:r>
            <w:r w:rsidR="00306953" w:rsidRPr="00442515">
              <w:rPr>
                <w:rFonts w:cs="Arial"/>
                <w:color w:val="000000"/>
                <w:sz w:val="16"/>
                <w:szCs w:val="16"/>
              </w:rPr>
              <w:t>rimární, sekundární a postsekundární neterciární vzdělávání</w:t>
            </w:r>
          </w:p>
        </w:tc>
        <w:tc>
          <w:tcPr>
            <w:tcW w:w="1417" w:type="dxa"/>
            <w:tcBorders>
              <w:top w:val="double" w:sz="4" w:space="0" w:color="auto"/>
              <w:bottom w:val="single" w:sz="4" w:space="0" w:color="auto"/>
            </w:tcBorders>
            <w:shd w:val="clear" w:color="000000" w:fill="FFFFFF"/>
            <w:noWrap/>
            <w:vAlign w:val="center"/>
            <w:hideMark/>
          </w:tcPr>
          <w:p w:rsidR="00306953" w:rsidRPr="00442515" w:rsidRDefault="00306953" w:rsidP="007E5BD0">
            <w:pPr>
              <w:keepNext/>
              <w:spacing w:after="0" w:line="240" w:lineRule="auto"/>
              <w:rPr>
                <w:rFonts w:cs="Arial"/>
                <w:color w:val="000000"/>
                <w:sz w:val="16"/>
                <w:szCs w:val="16"/>
              </w:rPr>
            </w:pPr>
            <w:r w:rsidRPr="00442515">
              <w:rPr>
                <w:rFonts w:cs="Arial"/>
                <w:color w:val="000000"/>
                <w:sz w:val="16"/>
                <w:szCs w:val="16"/>
              </w:rPr>
              <w:t>Česká republika</w:t>
            </w:r>
          </w:p>
        </w:tc>
        <w:tc>
          <w:tcPr>
            <w:tcW w:w="992" w:type="dxa"/>
            <w:tcBorders>
              <w:top w:val="double" w:sz="4" w:space="0" w:color="auto"/>
              <w:bottom w:val="single" w:sz="4" w:space="0" w:color="auto"/>
            </w:tcBorders>
            <w:shd w:val="clear" w:color="auto" w:fill="auto"/>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91,0</w:t>
            </w:r>
          </w:p>
        </w:tc>
        <w:tc>
          <w:tcPr>
            <w:tcW w:w="1171" w:type="dxa"/>
            <w:tcBorders>
              <w:top w:val="double" w:sz="4" w:space="0" w:color="auto"/>
              <w:bottom w:val="single" w:sz="4" w:space="0" w:color="auto"/>
            </w:tcBorders>
            <w:shd w:val="clear" w:color="auto" w:fill="auto"/>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7,0</w:t>
            </w:r>
          </w:p>
        </w:tc>
        <w:tc>
          <w:tcPr>
            <w:tcW w:w="1097" w:type="dxa"/>
            <w:tcBorders>
              <w:top w:val="double" w:sz="4" w:space="0" w:color="auto"/>
              <w:bottom w:val="single" w:sz="4" w:space="0" w:color="auto"/>
            </w:tcBorders>
            <w:shd w:val="clear" w:color="auto" w:fill="auto"/>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2,0</w:t>
            </w:r>
          </w:p>
        </w:tc>
        <w:tc>
          <w:tcPr>
            <w:tcW w:w="1134" w:type="dxa"/>
            <w:tcBorders>
              <w:top w:val="double" w:sz="4" w:space="0" w:color="auto"/>
              <w:bottom w:val="single" w:sz="4" w:space="0" w:color="auto"/>
            </w:tcBorders>
            <w:shd w:val="clear" w:color="auto" w:fill="auto"/>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9,0</w:t>
            </w:r>
          </w:p>
        </w:tc>
        <w:tc>
          <w:tcPr>
            <w:tcW w:w="1134" w:type="dxa"/>
            <w:tcBorders>
              <w:top w:val="double" w:sz="4" w:space="0" w:color="auto"/>
              <w:bottom w:val="single" w:sz="4" w:space="0" w:color="auto"/>
            </w:tcBorders>
            <w:shd w:val="clear" w:color="auto" w:fill="auto"/>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3,1</w:t>
            </w:r>
          </w:p>
        </w:tc>
      </w:tr>
      <w:tr w:rsidR="00306953" w:rsidRPr="00442515" w:rsidTr="00E132EA">
        <w:trPr>
          <w:trHeight w:val="255"/>
        </w:trPr>
        <w:tc>
          <w:tcPr>
            <w:tcW w:w="2132" w:type="dxa"/>
            <w:vMerge/>
            <w:tcBorders>
              <w:top w:val="single" w:sz="4" w:space="0" w:color="auto"/>
              <w:bottom w:val="single" w:sz="4" w:space="0" w:color="auto"/>
            </w:tcBorders>
            <w:vAlign w:val="center"/>
            <w:hideMark/>
          </w:tcPr>
          <w:p w:rsidR="00306953" w:rsidRPr="00442515" w:rsidRDefault="00306953" w:rsidP="007E5BD0">
            <w:pPr>
              <w:keepNext/>
              <w:spacing w:after="0" w:line="240" w:lineRule="auto"/>
              <w:rPr>
                <w:rFonts w:cs="Arial"/>
                <w:color w:val="000000"/>
                <w:sz w:val="16"/>
                <w:szCs w:val="16"/>
              </w:rPr>
            </w:pPr>
          </w:p>
        </w:tc>
        <w:tc>
          <w:tcPr>
            <w:tcW w:w="1417" w:type="dxa"/>
            <w:tcBorders>
              <w:top w:val="single" w:sz="4" w:space="0" w:color="auto"/>
              <w:bottom w:val="single" w:sz="4" w:space="0" w:color="auto"/>
            </w:tcBorders>
            <w:shd w:val="clear" w:color="auto" w:fill="C6D9F1" w:themeFill="text2" w:themeFillTint="33"/>
            <w:noWrap/>
            <w:vAlign w:val="center"/>
            <w:hideMark/>
          </w:tcPr>
          <w:p w:rsidR="00306953" w:rsidRPr="00442515" w:rsidRDefault="00631582" w:rsidP="007E5BD0">
            <w:pPr>
              <w:keepNext/>
              <w:spacing w:after="0" w:line="240" w:lineRule="auto"/>
              <w:rPr>
                <w:rFonts w:cs="Arial"/>
                <w:color w:val="000000"/>
                <w:sz w:val="16"/>
                <w:szCs w:val="16"/>
              </w:rPr>
            </w:pPr>
            <w:r>
              <w:rPr>
                <w:rFonts w:cs="Arial"/>
                <w:color w:val="000000"/>
                <w:sz w:val="16"/>
                <w:szCs w:val="16"/>
              </w:rPr>
              <w:t>p</w:t>
            </w:r>
            <w:r w:rsidR="00306953" w:rsidRPr="00442515">
              <w:rPr>
                <w:rFonts w:cs="Arial"/>
                <w:color w:val="000000"/>
                <w:sz w:val="16"/>
                <w:szCs w:val="16"/>
              </w:rPr>
              <w:t>růměr OECD</w:t>
            </w:r>
          </w:p>
        </w:tc>
        <w:tc>
          <w:tcPr>
            <w:tcW w:w="992" w:type="dxa"/>
            <w:tcBorders>
              <w:top w:val="single" w:sz="4" w:space="0" w:color="auto"/>
              <w:bottom w:val="single" w:sz="4" w:space="0" w:color="auto"/>
            </w:tcBorders>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90,6</w:t>
            </w:r>
          </w:p>
        </w:tc>
        <w:tc>
          <w:tcPr>
            <w:tcW w:w="1171" w:type="dxa"/>
            <w:tcBorders>
              <w:top w:val="single" w:sz="4" w:space="0" w:color="auto"/>
              <w:bottom w:val="single" w:sz="4" w:space="0" w:color="auto"/>
            </w:tcBorders>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7,9</w:t>
            </w:r>
          </w:p>
        </w:tc>
        <w:tc>
          <w:tcPr>
            <w:tcW w:w="1097" w:type="dxa"/>
            <w:tcBorders>
              <w:top w:val="single" w:sz="4" w:space="0" w:color="auto"/>
              <w:bottom w:val="single" w:sz="4" w:space="0" w:color="auto"/>
            </w:tcBorders>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2,2</w:t>
            </w:r>
          </w:p>
        </w:tc>
        <w:tc>
          <w:tcPr>
            <w:tcW w:w="1134" w:type="dxa"/>
            <w:tcBorders>
              <w:top w:val="single" w:sz="4" w:space="0" w:color="auto"/>
              <w:bottom w:val="single" w:sz="4" w:space="0" w:color="auto"/>
            </w:tcBorders>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9,4</w:t>
            </w:r>
          </w:p>
        </w:tc>
        <w:tc>
          <w:tcPr>
            <w:tcW w:w="1134" w:type="dxa"/>
            <w:tcBorders>
              <w:top w:val="single" w:sz="4" w:space="0" w:color="auto"/>
              <w:bottom w:val="single" w:sz="4" w:space="0" w:color="auto"/>
            </w:tcBorders>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3,1</w:t>
            </w:r>
          </w:p>
        </w:tc>
      </w:tr>
      <w:tr w:rsidR="00306953" w:rsidRPr="00442515" w:rsidTr="00E132EA">
        <w:trPr>
          <w:trHeight w:val="270"/>
        </w:trPr>
        <w:tc>
          <w:tcPr>
            <w:tcW w:w="2132" w:type="dxa"/>
            <w:vMerge/>
            <w:tcBorders>
              <w:top w:val="single" w:sz="4" w:space="0" w:color="auto"/>
              <w:bottom w:val="single" w:sz="4" w:space="0" w:color="auto"/>
            </w:tcBorders>
            <w:vAlign w:val="center"/>
            <w:hideMark/>
          </w:tcPr>
          <w:p w:rsidR="00306953" w:rsidRPr="00442515" w:rsidRDefault="00306953" w:rsidP="007E5BD0">
            <w:pPr>
              <w:keepNext/>
              <w:spacing w:after="0" w:line="240" w:lineRule="auto"/>
              <w:rPr>
                <w:rFonts w:cs="Arial"/>
                <w:color w:val="000000"/>
                <w:sz w:val="16"/>
                <w:szCs w:val="16"/>
              </w:rPr>
            </w:pPr>
          </w:p>
        </w:tc>
        <w:tc>
          <w:tcPr>
            <w:tcW w:w="1417" w:type="dxa"/>
            <w:tcBorders>
              <w:top w:val="single" w:sz="4" w:space="0" w:color="auto"/>
              <w:bottom w:val="single" w:sz="4" w:space="0" w:color="auto"/>
            </w:tcBorders>
            <w:shd w:val="clear" w:color="auto" w:fill="C6D9F1" w:themeFill="text2" w:themeFillTint="33"/>
            <w:noWrap/>
            <w:vAlign w:val="center"/>
            <w:hideMark/>
          </w:tcPr>
          <w:p w:rsidR="00306953" w:rsidRPr="00442515" w:rsidRDefault="00631582" w:rsidP="007E5BD0">
            <w:pPr>
              <w:keepNext/>
              <w:spacing w:after="0" w:line="240" w:lineRule="auto"/>
              <w:rPr>
                <w:rFonts w:cs="Arial"/>
                <w:color w:val="000000"/>
                <w:sz w:val="16"/>
                <w:szCs w:val="16"/>
              </w:rPr>
            </w:pPr>
            <w:r>
              <w:rPr>
                <w:rFonts w:cs="Arial"/>
                <w:color w:val="000000"/>
                <w:sz w:val="16"/>
                <w:szCs w:val="16"/>
              </w:rPr>
              <w:t>p</w:t>
            </w:r>
            <w:r w:rsidR="00306953" w:rsidRPr="00442515">
              <w:rPr>
                <w:rFonts w:cs="Arial"/>
                <w:color w:val="000000"/>
                <w:sz w:val="16"/>
                <w:szCs w:val="16"/>
              </w:rPr>
              <w:t>růměr EU21</w:t>
            </w:r>
          </w:p>
        </w:tc>
        <w:tc>
          <w:tcPr>
            <w:tcW w:w="992" w:type="dxa"/>
            <w:tcBorders>
              <w:top w:val="single" w:sz="4" w:space="0" w:color="auto"/>
              <w:bottom w:val="single" w:sz="4" w:space="0" w:color="auto"/>
            </w:tcBorders>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92,8</w:t>
            </w:r>
          </w:p>
        </w:tc>
        <w:tc>
          <w:tcPr>
            <w:tcW w:w="1171" w:type="dxa"/>
            <w:tcBorders>
              <w:top w:val="single" w:sz="4" w:space="0" w:color="auto"/>
              <w:bottom w:val="single" w:sz="4" w:space="0" w:color="auto"/>
            </w:tcBorders>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6,2</w:t>
            </w:r>
          </w:p>
        </w:tc>
        <w:tc>
          <w:tcPr>
            <w:tcW w:w="1097" w:type="dxa"/>
            <w:tcBorders>
              <w:top w:val="single" w:sz="4" w:space="0" w:color="auto"/>
              <w:bottom w:val="single" w:sz="4" w:space="0" w:color="auto"/>
            </w:tcBorders>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1,4</w:t>
            </w:r>
          </w:p>
        </w:tc>
        <w:tc>
          <w:tcPr>
            <w:tcW w:w="1134" w:type="dxa"/>
            <w:tcBorders>
              <w:top w:val="single" w:sz="4" w:space="0" w:color="auto"/>
              <w:bottom w:val="single" w:sz="4" w:space="0" w:color="auto"/>
            </w:tcBorders>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7,2</w:t>
            </w:r>
          </w:p>
        </w:tc>
        <w:tc>
          <w:tcPr>
            <w:tcW w:w="1134" w:type="dxa"/>
            <w:tcBorders>
              <w:top w:val="single" w:sz="4" w:space="0" w:color="auto"/>
              <w:bottom w:val="single" w:sz="4" w:space="0" w:color="auto"/>
            </w:tcBorders>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3,5</w:t>
            </w:r>
          </w:p>
        </w:tc>
      </w:tr>
      <w:tr w:rsidR="00306953" w:rsidRPr="00442515" w:rsidTr="00E132EA">
        <w:trPr>
          <w:trHeight w:val="255"/>
        </w:trPr>
        <w:tc>
          <w:tcPr>
            <w:tcW w:w="2132" w:type="dxa"/>
            <w:vMerge w:val="restart"/>
            <w:tcBorders>
              <w:top w:val="single" w:sz="4" w:space="0" w:color="auto"/>
            </w:tcBorders>
            <w:shd w:val="clear" w:color="auto" w:fill="auto"/>
            <w:vAlign w:val="center"/>
            <w:hideMark/>
          </w:tcPr>
          <w:p w:rsidR="00306953" w:rsidRPr="00442515" w:rsidRDefault="00EA6A4F" w:rsidP="007E5BD0">
            <w:pPr>
              <w:keepNext/>
              <w:spacing w:after="0" w:line="240" w:lineRule="auto"/>
              <w:rPr>
                <w:rFonts w:cs="Arial"/>
                <w:color w:val="000000"/>
                <w:sz w:val="16"/>
                <w:szCs w:val="16"/>
              </w:rPr>
            </w:pPr>
            <w:r>
              <w:rPr>
                <w:rFonts w:cs="Arial"/>
                <w:color w:val="000000"/>
                <w:sz w:val="16"/>
                <w:szCs w:val="16"/>
              </w:rPr>
              <w:t>t</w:t>
            </w:r>
            <w:r w:rsidR="00306953" w:rsidRPr="00442515">
              <w:rPr>
                <w:rFonts w:cs="Arial"/>
                <w:color w:val="000000"/>
                <w:sz w:val="16"/>
                <w:szCs w:val="16"/>
              </w:rPr>
              <w:t>erciární vzdělávání</w:t>
            </w:r>
          </w:p>
        </w:tc>
        <w:tc>
          <w:tcPr>
            <w:tcW w:w="1417" w:type="dxa"/>
            <w:tcBorders>
              <w:top w:val="single" w:sz="4" w:space="0" w:color="auto"/>
            </w:tcBorders>
            <w:shd w:val="clear" w:color="000000" w:fill="FFFFFF"/>
            <w:noWrap/>
            <w:vAlign w:val="center"/>
            <w:hideMark/>
          </w:tcPr>
          <w:p w:rsidR="00306953" w:rsidRPr="00442515" w:rsidRDefault="00306953" w:rsidP="007E5BD0">
            <w:pPr>
              <w:keepNext/>
              <w:spacing w:after="0" w:line="240" w:lineRule="auto"/>
              <w:rPr>
                <w:rFonts w:cs="Arial"/>
                <w:color w:val="000000"/>
                <w:sz w:val="16"/>
                <w:szCs w:val="16"/>
              </w:rPr>
            </w:pPr>
            <w:r w:rsidRPr="00442515">
              <w:rPr>
                <w:rFonts w:cs="Arial"/>
                <w:color w:val="000000"/>
                <w:sz w:val="16"/>
                <w:szCs w:val="16"/>
              </w:rPr>
              <w:t>Česká republika</w:t>
            </w:r>
          </w:p>
        </w:tc>
        <w:tc>
          <w:tcPr>
            <w:tcW w:w="992" w:type="dxa"/>
            <w:tcBorders>
              <w:top w:val="single" w:sz="4" w:space="0" w:color="auto"/>
            </w:tcBorders>
            <w:shd w:val="clear" w:color="auto" w:fill="auto"/>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79,3</w:t>
            </w:r>
          </w:p>
        </w:tc>
        <w:tc>
          <w:tcPr>
            <w:tcW w:w="1171" w:type="dxa"/>
            <w:tcBorders>
              <w:top w:val="single" w:sz="4" w:space="0" w:color="auto"/>
            </w:tcBorders>
            <w:shd w:val="clear" w:color="auto" w:fill="auto"/>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8,5</w:t>
            </w:r>
          </w:p>
        </w:tc>
        <w:tc>
          <w:tcPr>
            <w:tcW w:w="1097" w:type="dxa"/>
            <w:tcBorders>
              <w:top w:val="single" w:sz="4" w:space="0" w:color="auto"/>
            </w:tcBorders>
            <w:shd w:val="clear" w:color="auto" w:fill="auto"/>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12,3</w:t>
            </w:r>
          </w:p>
        </w:tc>
        <w:tc>
          <w:tcPr>
            <w:tcW w:w="1134" w:type="dxa"/>
            <w:tcBorders>
              <w:top w:val="single" w:sz="4" w:space="0" w:color="auto"/>
            </w:tcBorders>
            <w:shd w:val="clear" w:color="auto" w:fill="auto"/>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20,7</w:t>
            </w:r>
          </w:p>
        </w:tc>
        <w:tc>
          <w:tcPr>
            <w:tcW w:w="1134" w:type="dxa"/>
            <w:tcBorders>
              <w:top w:val="single" w:sz="4" w:space="0" w:color="auto"/>
            </w:tcBorders>
            <w:shd w:val="clear" w:color="auto" w:fill="auto"/>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1,4</w:t>
            </w:r>
          </w:p>
        </w:tc>
      </w:tr>
      <w:tr w:rsidR="00306953" w:rsidRPr="00442515" w:rsidTr="00E132EA">
        <w:trPr>
          <w:trHeight w:val="255"/>
        </w:trPr>
        <w:tc>
          <w:tcPr>
            <w:tcW w:w="2132" w:type="dxa"/>
            <w:vMerge/>
            <w:vAlign w:val="center"/>
            <w:hideMark/>
          </w:tcPr>
          <w:p w:rsidR="00306953" w:rsidRPr="00442515" w:rsidRDefault="00306953" w:rsidP="007E5BD0">
            <w:pPr>
              <w:keepNext/>
              <w:spacing w:after="0" w:line="240" w:lineRule="auto"/>
              <w:rPr>
                <w:rFonts w:cs="Arial"/>
                <w:color w:val="000000"/>
                <w:sz w:val="16"/>
                <w:szCs w:val="16"/>
              </w:rPr>
            </w:pPr>
          </w:p>
        </w:tc>
        <w:tc>
          <w:tcPr>
            <w:tcW w:w="1417" w:type="dxa"/>
            <w:shd w:val="clear" w:color="auto" w:fill="C6D9F1" w:themeFill="text2" w:themeFillTint="33"/>
            <w:noWrap/>
            <w:vAlign w:val="center"/>
            <w:hideMark/>
          </w:tcPr>
          <w:p w:rsidR="00306953" w:rsidRPr="00442515" w:rsidRDefault="00631582" w:rsidP="007E5BD0">
            <w:pPr>
              <w:keepNext/>
              <w:spacing w:after="0" w:line="240" w:lineRule="auto"/>
              <w:rPr>
                <w:rFonts w:cs="Arial"/>
                <w:color w:val="000000"/>
                <w:sz w:val="16"/>
                <w:szCs w:val="16"/>
              </w:rPr>
            </w:pPr>
            <w:r>
              <w:rPr>
                <w:rFonts w:cs="Arial"/>
                <w:color w:val="000000"/>
                <w:sz w:val="16"/>
                <w:szCs w:val="16"/>
              </w:rPr>
              <w:t>p</w:t>
            </w:r>
            <w:r w:rsidR="00306953" w:rsidRPr="00442515">
              <w:rPr>
                <w:rFonts w:cs="Arial"/>
                <w:color w:val="000000"/>
                <w:sz w:val="16"/>
                <w:szCs w:val="16"/>
              </w:rPr>
              <w:t>růměr OECD</w:t>
            </w:r>
          </w:p>
        </w:tc>
        <w:tc>
          <w:tcPr>
            <w:tcW w:w="992"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69,7</w:t>
            </w:r>
          </w:p>
        </w:tc>
        <w:tc>
          <w:tcPr>
            <w:tcW w:w="1171"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21,7</w:t>
            </w:r>
          </w:p>
        </w:tc>
        <w:tc>
          <w:tcPr>
            <w:tcW w:w="1097"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10,0</w:t>
            </w:r>
          </w:p>
        </w:tc>
        <w:tc>
          <w:tcPr>
            <w:tcW w:w="1134"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30,3</w:t>
            </w:r>
          </w:p>
        </w:tc>
        <w:tc>
          <w:tcPr>
            <w:tcW w:w="1134"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10,1</w:t>
            </w:r>
          </w:p>
        </w:tc>
      </w:tr>
      <w:tr w:rsidR="00306953" w:rsidRPr="00442515" w:rsidTr="00E132EA">
        <w:trPr>
          <w:trHeight w:val="270"/>
        </w:trPr>
        <w:tc>
          <w:tcPr>
            <w:tcW w:w="2132" w:type="dxa"/>
            <w:vMerge/>
            <w:vAlign w:val="center"/>
            <w:hideMark/>
          </w:tcPr>
          <w:p w:rsidR="00306953" w:rsidRPr="00442515" w:rsidRDefault="00306953" w:rsidP="007E5BD0">
            <w:pPr>
              <w:keepNext/>
              <w:spacing w:after="0" w:line="240" w:lineRule="auto"/>
              <w:rPr>
                <w:rFonts w:cs="Arial"/>
                <w:color w:val="000000"/>
                <w:sz w:val="16"/>
                <w:szCs w:val="16"/>
              </w:rPr>
            </w:pPr>
          </w:p>
        </w:tc>
        <w:tc>
          <w:tcPr>
            <w:tcW w:w="1417" w:type="dxa"/>
            <w:shd w:val="clear" w:color="auto" w:fill="C6D9F1" w:themeFill="text2" w:themeFillTint="33"/>
            <w:noWrap/>
            <w:vAlign w:val="center"/>
            <w:hideMark/>
          </w:tcPr>
          <w:p w:rsidR="00306953" w:rsidRPr="00442515" w:rsidRDefault="00631582" w:rsidP="007E5BD0">
            <w:pPr>
              <w:keepNext/>
              <w:spacing w:after="0" w:line="240" w:lineRule="auto"/>
              <w:rPr>
                <w:rFonts w:cs="Arial"/>
                <w:color w:val="000000"/>
                <w:sz w:val="16"/>
                <w:szCs w:val="16"/>
              </w:rPr>
            </w:pPr>
            <w:r>
              <w:rPr>
                <w:rFonts w:cs="Arial"/>
                <w:color w:val="000000"/>
                <w:sz w:val="16"/>
                <w:szCs w:val="16"/>
              </w:rPr>
              <w:t>p</w:t>
            </w:r>
            <w:r w:rsidR="00306953" w:rsidRPr="00442515">
              <w:rPr>
                <w:rFonts w:cs="Arial"/>
                <w:color w:val="000000"/>
                <w:sz w:val="16"/>
                <w:szCs w:val="16"/>
              </w:rPr>
              <w:t>růměr EU21</w:t>
            </w:r>
          </w:p>
        </w:tc>
        <w:tc>
          <w:tcPr>
            <w:tcW w:w="992"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78,1</w:t>
            </w:r>
          </w:p>
        </w:tc>
        <w:tc>
          <w:tcPr>
            <w:tcW w:w="1171"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14,0</w:t>
            </w:r>
          </w:p>
        </w:tc>
        <w:tc>
          <w:tcPr>
            <w:tcW w:w="1097"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8,0</w:t>
            </w:r>
          </w:p>
        </w:tc>
        <w:tc>
          <w:tcPr>
            <w:tcW w:w="1134"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21,9</w:t>
            </w:r>
          </w:p>
        </w:tc>
        <w:tc>
          <w:tcPr>
            <w:tcW w:w="1134"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11,0</w:t>
            </w:r>
          </w:p>
        </w:tc>
      </w:tr>
      <w:tr w:rsidR="00306953" w:rsidRPr="00442515" w:rsidTr="00E132EA">
        <w:trPr>
          <w:trHeight w:val="255"/>
        </w:trPr>
        <w:tc>
          <w:tcPr>
            <w:tcW w:w="2132" w:type="dxa"/>
            <w:vMerge w:val="restart"/>
            <w:shd w:val="clear" w:color="auto" w:fill="auto"/>
            <w:vAlign w:val="center"/>
            <w:hideMark/>
          </w:tcPr>
          <w:p w:rsidR="00306953" w:rsidRPr="00442515" w:rsidRDefault="00EA6A4F" w:rsidP="007E5BD0">
            <w:pPr>
              <w:keepNext/>
              <w:spacing w:after="0" w:line="240" w:lineRule="auto"/>
              <w:rPr>
                <w:rFonts w:cs="Arial"/>
                <w:color w:val="000000"/>
                <w:sz w:val="16"/>
                <w:szCs w:val="16"/>
              </w:rPr>
            </w:pPr>
            <w:r>
              <w:rPr>
                <w:rFonts w:cs="Arial"/>
                <w:color w:val="000000"/>
                <w:sz w:val="16"/>
                <w:szCs w:val="16"/>
              </w:rPr>
              <w:t>p</w:t>
            </w:r>
            <w:r w:rsidR="00306953" w:rsidRPr="00442515">
              <w:rPr>
                <w:rFonts w:cs="Arial"/>
                <w:color w:val="000000"/>
                <w:sz w:val="16"/>
                <w:szCs w:val="16"/>
              </w:rPr>
              <w:t>rimární až terciární vzdělávání</w:t>
            </w:r>
          </w:p>
        </w:tc>
        <w:tc>
          <w:tcPr>
            <w:tcW w:w="1417" w:type="dxa"/>
            <w:shd w:val="clear" w:color="000000" w:fill="FFFFFF"/>
            <w:noWrap/>
            <w:vAlign w:val="center"/>
            <w:hideMark/>
          </w:tcPr>
          <w:p w:rsidR="00306953" w:rsidRPr="00442515" w:rsidRDefault="00306953" w:rsidP="007E5BD0">
            <w:pPr>
              <w:keepNext/>
              <w:spacing w:after="0" w:line="240" w:lineRule="auto"/>
              <w:rPr>
                <w:rFonts w:cs="Arial"/>
                <w:color w:val="000000"/>
                <w:sz w:val="16"/>
                <w:szCs w:val="16"/>
              </w:rPr>
            </w:pPr>
            <w:r w:rsidRPr="00442515">
              <w:rPr>
                <w:rFonts w:cs="Arial"/>
                <w:color w:val="000000"/>
                <w:sz w:val="16"/>
                <w:szCs w:val="16"/>
              </w:rPr>
              <w:t>Česká republika</w:t>
            </w:r>
          </w:p>
        </w:tc>
        <w:tc>
          <w:tcPr>
            <w:tcW w:w="992" w:type="dxa"/>
            <w:shd w:val="clear" w:color="auto" w:fill="auto"/>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87,3</w:t>
            </w:r>
          </w:p>
        </w:tc>
        <w:tc>
          <w:tcPr>
            <w:tcW w:w="1171" w:type="dxa"/>
            <w:shd w:val="clear" w:color="auto" w:fill="auto"/>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7,7</w:t>
            </w:r>
          </w:p>
        </w:tc>
        <w:tc>
          <w:tcPr>
            <w:tcW w:w="1097" w:type="dxa"/>
            <w:shd w:val="clear" w:color="auto" w:fill="auto"/>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5,0</w:t>
            </w:r>
          </w:p>
        </w:tc>
        <w:tc>
          <w:tcPr>
            <w:tcW w:w="1134" w:type="dxa"/>
            <w:shd w:val="clear" w:color="auto" w:fill="auto"/>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12,7</w:t>
            </w:r>
          </w:p>
        </w:tc>
        <w:tc>
          <w:tcPr>
            <w:tcW w:w="1134" w:type="dxa"/>
            <w:shd w:val="clear" w:color="auto" w:fill="auto"/>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2,5</w:t>
            </w:r>
          </w:p>
        </w:tc>
      </w:tr>
      <w:tr w:rsidR="00306953" w:rsidRPr="00442515" w:rsidTr="00E132EA">
        <w:trPr>
          <w:trHeight w:val="255"/>
        </w:trPr>
        <w:tc>
          <w:tcPr>
            <w:tcW w:w="2132" w:type="dxa"/>
            <w:vMerge/>
            <w:vAlign w:val="center"/>
            <w:hideMark/>
          </w:tcPr>
          <w:p w:rsidR="00306953" w:rsidRPr="00442515" w:rsidRDefault="00306953" w:rsidP="007E5BD0">
            <w:pPr>
              <w:keepNext/>
              <w:spacing w:after="0" w:line="240" w:lineRule="auto"/>
              <w:rPr>
                <w:rFonts w:cs="Arial"/>
                <w:color w:val="000000"/>
                <w:sz w:val="16"/>
                <w:szCs w:val="16"/>
              </w:rPr>
            </w:pPr>
          </w:p>
        </w:tc>
        <w:tc>
          <w:tcPr>
            <w:tcW w:w="1417" w:type="dxa"/>
            <w:shd w:val="clear" w:color="auto" w:fill="C6D9F1" w:themeFill="text2" w:themeFillTint="33"/>
            <w:noWrap/>
            <w:vAlign w:val="center"/>
            <w:hideMark/>
          </w:tcPr>
          <w:p w:rsidR="00306953" w:rsidRPr="00442515" w:rsidRDefault="00631582" w:rsidP="007E5BD0">
            <w:pPr>
              <w:keepNext/>
              <w:spacing w:after="0" w:line="240" w:lineRule="auto"/>
              <w:rPr>
                <w:rFonts w:cs="Arial"/>
                <w:color w:val="000000"/>
                <w:sz w:val="16"/>
                <w:szCs w:val="16"/>
              </w:rPr>
            </w:pPr>
            <w:r>
              <w:rPr>
                <w:rFonts w:cs="Arial"/>
                <w:color w:val="000000"/>
                <w:sz w:val="16"/>
                <w:szCs w:val="16"/>
              </w:rPr>
              <w:t>p</w:t>
            </w:r>
            <w:r w:rsidR="00306953" w:rsidRPr="00442515">
              <w:rPr>
                <w:rFonts w:cs="Arial"/>
                <w:color w:val="000000"/>
                <w:sz w:val="16"/>
                <w:szCs w:val="16"/>
              </w:rPr>
              <w:t>růměr OECD</w:t>
            </w:r>
          </w:p>
        </w:tc>
        <w:tc>
          <w:tcPr>
            <w:tcW w:w="992"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83,5</w:t>
            </w:r>
          </w:p>
        </w:tc>
        <w:tc>
          <w:tcPr>
            <w:tcW w:w="1171"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12,8</w:t>
            </w:r>
          </w:p>
        </w:tc>
        <w:tc>
          <w:tcPr>
            <w:tcW w:w="1097"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4,5</w:t>
            </w:r>
          </w:p>
        </w:tc>
        <w:tc>
          <w:tcPr>
            <w:tcW w:w="1134"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16,5</w:t>
            </w:r>
          </w:p>
        </w:tc>
        <w:tc>
          <w:tcPr>
            <w:tcW w:w="1134"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4,7</w:t>
            </w:r>
          </w:p>
        </w:tc>
      </w:tr>
      <w:tr w:rsidR="00306953" w:rsidRPr="00442515" w:rsidTr="00E132EA">
        <w:trPr>
          <w:trHeight w:val="270"/>
        </w:trPr>
        <w:tc>
          <w:tcPr>
            <w:tcW w:w="2132" w:type="dxa"/>
            <w:vMerge/>
            <w:vAlign w:val="center"/>
            <w:hideMark/>
          </w:tcPr>
          <w:p w:rsidR="00306953" w:rsidRPr="00442515" w:rsidRDefault="00306953" w:rsidP="007E5BD0">
            <w:pPr>
              <w:spacing w:after="0" w:line="240" w:lineRule="auto"/>
              <w:rPr>
                <w:rFonts w:cs="Arial"/>
                <w:color w:val="000000"/>
                <w:sz w:val="16"/>
                <w:szCs w:val="16"/>
              </w:rPr>
            </w:pPr>
          </w:p>
        </w:tc>
        <w:tc>
          <w:tcPr>
            <w:tcW w:w="1417" w:type="dxa"/>
            <w:shd w:val="clear" w:color="auto" w:fill="C6D9F1" w:themeFill="text2" w:themeFillTint="33"/>
            <w:noWrap/>
            <w:vAlign w:val="center"/>
            <w:hideMark/>
          </w:tcPr>
          <w:p w:rsidR="00306953" w:rsidRPr="00442515" w:rsidRDefault="00631582" w:rsidP="007E5BD0">
            <w:pPr>
              <w:spacing w:after="0" w:line="240" w:lineRule="auto"/>
              <w:rPr>
                <w:rFonts w:cs="Arial"/>
                <w:color w:val="000000"/>
                <w:sz w:val="16"/>
                <w:szCs w:val="16"/>
              </w:rPr>
            </w:pPr>
            <w:r>
              <w:rPr>
                <w:rFonts w:cs="Arial"/>
                <w:color w:val="000000"/>
                <w:sz w:val="16"/>
                <w:szCs w:val="16"/>
              </w:rPr>
              <w:t>p</w:t>
            </w:r>
            <w:r w:rsidR="00306953" w:rsidRPr="00442515">
              <w:rPr>
                <w:rFonts w:cs="Arial"/>
                <w:color w:val="000000"/>
                <w:sz w:val="16"/>
                <w:szCs w:val="16"/>
              </w:rPr>
              <w:t>růměr EU21</w:t>
            </w:r>
          </w:p>
        </w:tc>
        <w:tc>
          <w:tcPr>
            <w:tcW w:w="992"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88,6</w:t>
            </w:r>
          </w:p>
        </w:tc>
        <w:tc>
          <w:tcPr>
            <w:tcW w:w="1171"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8,3</w:t>
            </w:r>
          </w:p>
        </w:tc>
        <w:tc>
          <w:tcPr>
            <w:tcW w:w="1097"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3,0</w:t>
            </w:r>
          </w:p>
        </w:tc>
        <w:tc>
          <w:tcPr>
            <w:tcW w:w="1134"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11,4</w:t>
            </w:r>
          </w:p>
        </w:tc>
        <w:tc>
          <w:tcPr>
            <w:tcW w:w="1134"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5,2</w:t>
            </w:r>
          </w:p>
        </w:tc>
      </w:tr>
    </w:tbl>
    <w:p w:rsidR="00306953" w:rsidRPr="00442515" w:rsidRDefault="00306953" w:rsidP="00E031F1">
      <w:pPr>
        <w:autoSpaceDE w:val="0"/>
        <w:autoSpaceDN w:val="0"/>
        <w:adjustRightInd w:val="0"/>
        <w:spacing w:before="120" w:after="0" w:line="240" w:lineRule="auto"/>
        <w:jc w:val="both"/>
        <w:rPr>
          <w:rFonts w:cs="Arial"/>
          <w:color w:val="000000"/>
          <w:sz w:val="16"/>
          <w:szCs w:val="16"/>
        </w:rPr>
      </w:pPr>
      <w:r w:rsidRPr="00442515">
        <w:rPr>
          <w:rFonts w:cs="Arial"/>
          <w:color w:val="000000"/>
          <w:sz w:val="16"/>
          <w:szCs w:val="16"/>
          <w:vertAlign w:val="superscript"/>
        </w:rPr>
        <w:t xml:space="preserve">1) </w:t>
      </w:r>
      <w:r w:rsidRPr="00442515">
        <w:rPr>
          <w:rFonts w:cs="Arial"/>
          <w:color w:val="000000"/>
          <w:sz w:val="16"/>
          <w:szCs w:val="16"/>
        </w:rPr>
        <w:t>Výdaje soukromých podniků a neziskových organizací, včetně firem, které mohou nabízet svým budoucím zaměstnancům nějakou praxi, stáže apod. a vydávají finance např. na školitele těchto učňů/žáků/studentů na praxi.</w:t>
      </w:r>
    </w:p>
    <w:p w:rsidR="00306953" w:rsidRPr="00442515" w:rsidRDefault="00306953" w:rsidP="00306953">
      <w:pPr>
        <w:autoSpaceDE w:val="0"/>
        <w:autoSpaceDN w:val="0"/>
        <w:adjustRightInd w:val="0"/>
        <w:spacing w:after="0" w:line="240" w:lineRule="auto"/>
        <w:jc w:val="both"/>
        <w:rPr>
          <w:rFonts w:eastAsia="ChaparralPro-Regular" w:cs="Arial"/>
          <w:sz w:val="16"/>
          <w:szCs w:val="16"/>
        </w:rPr>
      </w:pPr>
      <w:r w:rsidRPr="00442515">
        <w:rPr>
          <w:rFonts w:eastAsia="ChaparralPro-Regular" w:cs="Arial"/>
          <w:sz w:val="16"/>
          <w:szCs w:val="16"/>
          <w:vertAlign w:val="superscript"/>
        </w:rPr>
        <w:t>2)</w:t>
      </w:r>
      <w:r w:rsidRPr="00442515">
        <w:rPr>
          <w:rFonts w:eastAsia="ChaparralPro-Regular" w:cs="Arial"/>
          <w:sz w:val="16"/>
          <w:szCs w:val="16"/>
        </w:rPr>
        <w:t xml:space="preserve"> Včetně dotací z veřejných zdrojů určených na úhradu poplatků </w:t>
      </w:r>
      <w:r w:rsidR="00536AA6">
        <w:rPr>
          <w:rFonts w:eastAsia="ChaparralPro-Regular" w:cs="Arial"/>
          <w:sz w:val="16"/>
          <w:szCs w:val="16"/>
        </w:rPr>
        <w:t xml:space="preserve">soukromých osob </w:t>
      </w:r>
      <w:r w:rsidRPr="00442515">
        <w:rPr>
          <w:rFonts w:eastAsia="ChaparralPro-Regular" w:cs="Arial"/>
          <w:sz w:val="16"/>
          <w:szCs w:val="16"/>
        </w:rPr>
        <w:t xml:space="preserve">vzdělávacím institucím. </w:t>
      </w:r>
    </w:p>
    <w:p w:rsidR="00306953" w:rsidRPr="00442515" w:rsidRDefault="00306953" w:rsidP="00306953">
      <w:pPr>
        <w:spacing w:after="0" w:line="240" w:lineRule="auto"/>
        <w:jc w:val="both"/>
        <w:rPr>
          <w:rFonts w:eastAsia="ChaparralPro-Regular" w:cs="Arial"/>
          <w:sz w:val="16"/>
          <w:szCs w:val="16"/>
        </w:rPr>
      </w:pPr>
      <w:r w:rsidRPr="00442515">
        <w:rPr>
          <w:rFonts w:eastAsia="ChaparralPro-Regular" w:cs="Arial"/>
          <w:sz w:val="16"/>
          <w:szCs w:val="16"/>
        </w:rPr>
        <w:t xml:space="preserve">Zdroj: OECD 2015, tabulka B 3.1. StatLink: </w:t>
      </w:r>
      <w:hyperlink r:id="rId90" w:history="1">
        <w:r w:rsidRPr="00442515">
          <w:rPr>
            <w:rStyle w:val="Hypertextovodkaz"/>
            <w:rFonts w:cs="Arial"/>
            <w:sz w:val="16"/>
            <w:szCs w:val="16"/>
          </w:rPr>
          <w:t>http://dx.doi.org/10.1787/888933285473</w:t>
        </w:r>
      </w:hyperlink>
      <w:r w:rsidRPr="00442515">
        <w:rPr>
          <w:rFonts w:cs="Arial"/>
          <w:color w:val="231F20"/>
          <w:sz w:val="16"/>
          <w:szCs w:val="16"/>
        </w:rPr>
        <w:t xml:space="preserve">, </w:t>
      </w:r>
      <w:r w:rsidRPr="00442515">
        <w:rPr>
          <w:rFonts w:eastAsia="ChaparralPro-Regular" w:cs="Arial"/>
          <w:sz w:val="16"/>
          <w:szCs w:val="16"/>
        </w:rPr>
        <w:t>výběr údajů ČSÚ.</w:t>
      </w:r>
    </w:p>
    <w:p w:rsidR="00306953" w:rsidRPr="00306953" w:rsidRDefault="00306953" w:rsidP="00306953">
      <w:pPr>
        <w:autoSpaceDE w:val="0"/>
        <w:autoSpaceDN w:val="0"/>
        <w:adjustRightInd w:val="0"/>
        <w:spacing w:after="0" w:line="240" w:lineRule="auto"/>
        <w:jc w:val="both"/>
        <w:rPr>
          <w:rFonts w:eastAsia="ChaparralPro-Regular" w:cs="Arial"/>
          <w:sz w:val="12"/>
          <w:szCs w:val="12"/>
        </w:rPr>
      </w:pPr>
    </w:p>
    <w:p w:rsidR="00306953" w:rsidRPr="00306953" w:rsidRDefault="00306953" w:rsidP="00306953">
      <w:pPr>
        <w:autoSpaceDE w:val="0"/>
        <w:autoSpaceDN w:val="0"/>
        <w:adjustRightInd w:val="0"/>
        <w:spacing w:after="0" w:line="240" w:lineRule="auto"/>
        <w:jc w:val="both"/>
        <w:rPr>
          <w:rFonts w:eastAsia="ChaparralPro-Regular" w:cs="Arial"/>
        </w:rPr>
      </w:pPr>
      <w:r w:rsidRPr="00306953">
        <w:rPr>
          <w:rFonts w:eastAsia="ChaparralPro-Regular" w:cs="Arial"/>
        </w:rPr>
        <w:t xml:space="preserve">V souhrnu lze na základě tabulky č. 15 konstatovat, že </w:t>
      </w:r>
      <w:r w:rsidRPr="00306953">
        <w:rPr>
          <w:rFonts w:eastAsia="ChaparralPro-Regular" w:cs="Arial"/>
          <w:b/>
        </w:rPr>
        <w:t xml:space="preserve">oproti průměru za země v OECD </w:t>
      </w:r>
      <w:r w:rsidRPr="00306953">
        <w:rPr>
          <w:rFonts w:eastAsia="ChaparralPro-Regular" w:cs="Arial"/>
        </w:rPr>
        <w:t xml:space="preserve">tvořily v roce 2012 soukromé výdaje </w:t>
      </w:r>
      <w:r w:rsidR="009D3BC0">
        <w:rPr>
          <w:rFonts w:eastAsia="ChaparralPro-Regular" w:cs="Arial"/>
        </w:rPr>
        <w:t>ze všech výdajů investovaných</w:t>
      </w:r>
      <w:r w:rsidRPr="00306953">
        <w:rPr>
          <w:rFonts w:eastAsia="ChaparralPro-Regular" w:cs="Arial"/>
          <w:b/>
        </w:rPr>
        <w:t xml:space="preserve"> </w:t>
      </w:r>
      <w:r w:rsidRPr="00306953">
        <w:rPr>
          <w:rFonts w:eastAsia="ChaparralPro-Regular" w:cs="Arial"/>
        </w:rPr>
        <w:t xml:space="preserve">do institucí na primární až terciární úrovni v ČR nižší podíl, což bylo dáno téměř výhradně vyšším čerpáním </w:t>
      </w:r>
      <w:r w:rsidR="009D3BC0">
        <w:rPr>
          <w:rFonts w:eastAsia="ChaparralPro-Regular" w:cs="Arial"/>
        </w:rPr>
        <w:t xml:space="preserve">financí ze samotných domácností studentů </w:t>
      </w:r>
      <w:r w:rsidRPr="00306953">
        <w:rPr>
          <w:rFonts w:eastAsia="ChaparralPro-Regular" w:cs="Arial"/>
        </w:rPr>
        <w:t xml:space="preserve">terciárního vzdělávání v mezinárodním průměru oproti ČR. Ve srovnání se zeměmi v EU i OECD pak byl podíl soukromých zdrojů vydaných na primární až postsekundární neterciární vzdělávání v České republice jen nepatrně vyšší (o 1,8 procentního bodu) a podíl vydaných soukromých zdrojů na terciární vzdělání naopak nepatrně nižší (o 1,2 procentního bodu). </w:t>
      </w:r>
    </w:p>
    <w:p w:rsidR="00306953" w:rsidRPr="00306953" w:rsidRDefault="00306953" w:rsidP="00306953">
      <w:pPr>
        <w:autoSpaceDE w:val="0"/>
        <w:autoSpaceDN w:val="0"/>
        <w:adjustRightInd w:val="0"/>
        <w:spacing w:after="0" w:line="240" w:lineRule="auto"/>
        <w:jc w:val="both"/>
        <w:rPr>
          <w:rFonts w:eastAsia="ChaparralPro-Regular" w:cs="Arial"/>
          <w:sz w:val="12"/>
          <w:szCs w:val="12"/>
        </w:rPr>
      </w:pPr>
    </w:p>
    <w:p w:rsidR="00306953" w:rsidRPr="00306953" w:rsidRDefault="00306953" w:rsidP="00306953">
      <w:pPr>
        <w:autoSpaceDE w:val="0"/>
        <w:autoSpaceDN w:val="0"/>
        <w:adjustRightInd w:val="0"/>
        <w:spacing w:after="0" w:line="240" w:lineRule="auto"/>
        <w:jc w:val="both"/>
        <w:rPr>
          <w:rFonts w:eastAsia="ChaparralPro-Regular" w:cs="Arial"/>
        </w:rPr>
      </w:pPr>
      <w:r w:rsidRPr="00306953">
        <w:rPr>
          <w:rFonts w:eastAsia="ChaparralPro-Regular" w:cs="Arial"/>
        </w:rPr>
        <w:t xml:space="preserve">Obdobně jako tabulka výše, i následující graf č. 10 se zaměřuje na rok 2012 a ukazuje </w:t>
      </w:r>
      <w:r w:rsidRPr="00306953">
        <w:rPr>
          <w:rFonts w:eastAsia="ChaparralPro-Regular" w:cs="Arial"/>
          <w:b/>
        </w:rPr>
        <w:t>podíly veřejných výdajů, výdajů domácností a výdajů soukromých institucí/podniků</w:t>
      </w:r>
      <w:r w:rsidRPr="00306953">
        <w:rPr>
          <w:rFonts w:eastAsia="ChaparralPro-Regular" w:cs="Arial"/>
        </w:rPr>
        <w:t xml:space="preserve"> na instituce, které v tomto roce poskytovaly formální vzdělávání na úrovni primární až postsekundární neter</w:t>
      </w:r>
      <w:r w:rsidR="00E52654">
        <w:rPr>
          <w:rFonts w:eastAsia="ChaparralPro-Regular" w:cs="Arial"/>
        </w:rPr>
        <w:t>ciární a na úrovni terciární, a </w:t>
      </w:r>
      <w:r w:rsidRPr="00306953">
        <w:rPr>
          <w:rFonts w:eastAsia="ChaparralPro-Regular" w:cs="Arial"/>
        </w:rPr>
        <w:t>sice za jednotlivé země OECD.</w:t>
      </w:r>
    </w:p>
    <w:p w:rsidR="00306953" w:rsidRPr="00306953" w:rsidRDefault="00306953" w:rsidP="00306953">
      <w:pPr>
        <w:autoSpaceDE w:val="0"/>
        <w:autoSpaceDN w:val="0"/>
        <w:adjustRightInd w:val="0"/>
        <w:spacing w:after="0" w:line="240" w:lineRule="auto"/>
        <w:jc w:val="both"/>
        <w:rPr>
          <w:rFonts w:eastAsia="ChaparralPro-Regular" w:cs="Arial"/>
          <w:b/>
          <w:bCs/>
        </w:rPr>
      </w:pPr>
    </w:p>
    <w:p w:rsidR="00306953" w:rsidRDefault="00306953" w:rsidP="00306953">
      <w:pPr>
        <w:keepNext/>
        <w:autoSpaceDE w:val="0"/>
        <w:autoSpaceDN w:val="0"/>
        <w:adjustRightInd w:val="0"/>
        <w:spacing w:after="0" w:line="240" w:lineRule="auto"/>
        <w:jc w:val="both"/>
        <w:rPr>
          <w:rFonts w:eastAsia="ChaparralPro-Regular" w:cs="Arial"/>
          <w:b/>
          <w:bCs/>
        </w:rPr>
      </w:pPr>
      <w:r w:rsidRPr="00306953">
        <w:rPr>
          <w:rFonts w:eastAsia="ChaparralPro-Regular" w:cs="Arial"/>
          <w:b/>
          <w:bCs/>
        </w:rPr>
        <w:lastRenderedPageBreak/>
        <w:t>Graf č. 10 Podíl veřejných a soukromých výdajů na vzdělávací instituce primárního až postsekundárního neterciárního vzdělávání a terciárního vzdělávání (2012)</w:t>
      </w:r>
    </w:p>
    <w:p w:rsidR="00A26B1E" w:rsidRPr="00306953" w:rsidRDefault="00BA5EE1" w:rsidP="00306953">
      <w:pPr>
        <w:keepNext/>
        <w:autoSpaceDE w:val="0"/>
        <w:autoSpaceDN w:val="0"/>
        <w:adjustRightInd w:val="0"/>
        <w:spacing w:after="0" w:line="240" w:lineRule="auto"/>
        <w:jc w:val="both"/>
        <w:rPr>
          <w:rFonts w:eastAsia="ChaparralPro-Regular" w:cs="Arial"/>
        </w:rPr>
      </w:pPr>
      <w:r w:rsidRPr="00984E22">
        <w:rPr>
          <w:rFonts w:eastAsia="ChaparralPro-Regular" w:cs="Arial"/>
          <w:noProof/>
        </w:rPr>
        <w:pict>
          <v:shape id="_x0000_i1034" type="#_x0000_t75" style="width:470.25pt;height:279.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PH3Uj3QAAAAUBAAAPAAAAZHJzL2Rvd25y&#10;ZXYueG1sTI9BS8NAEIXvgv9hGcGL2E2tG9uYTRFBkOJBa71Ps2MSujsbsts0/ntXL3oZeLzHe9+U&#10;68lZMdIQOs8a5rMMBHHtTceNht370/USRIjIBq1n0vBFAdbV+VmJhfEnfqNxGxuRSjgUqKGNsS+k&#10;DHVLDsPM98TJ+/SDw5jk0Egz4CmVOytvsiyXDjtOCy329NhSfdgenYbN7mM0izv7upi/DFcbhfnz&#10;YZlrfXkxPdyDiDTFvzD84Cd0qBLT3h/ZBGE1pEfi703e6jZTIPYalFopkFUp/9NX3wA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">
            <v:imagedata r:id="rId91" o:title="" croptop="-2389f" cropbottom="-5593f" cropleft="-474f" cropright="-595f"/>
            <o:lock v:ext="edit" aspectratio="f"/>
          </v:shape>
        </w:pict>
      </w:r>
    </w:p>
    <w:p w:rsidR="00306953" w:rsidRPr="00306953" w:rsidRDefault="00BA5EE1" w:rsidP="00306953">
      <w:pPr>
        <w:autoSpaceDE w:val="0"/>
        <w:autoSpaceDN w:val="0"/>
        <w:adjustRightInd w:val="0"/>
        <w:spacing w:after="0" w:line="240" w:lineRule="auto"/>
        <w:jc w:val="both"/>
        <w:rPr>
          <w:rFonts w:eastAsia="ChaparralPro-Regular" w:cs="Arial"/>
        </w:rPr>
      </w:pPr>
      <w:r w:rsidRPr="00984E22">
        <w:rPr>
          <w:rFonts w:eastAsia="ChaparralPro-Regular" w:cs="Arial"/>
          <w:noProof/>
        </w:rPr>
        <w:pict>
          <v:shape id="_x0000_i1035" type="#_x0000_t75" style="width:470.25pt;height:212.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dpvlR2wAAAAUBAAAPAAAAZHJzL2Rvd25y&#10;ZXYueG1sTI/BTsMwEETvSPyDtUjcqEObIAhxqioSPcGBwIHjNl7iiHgd2W4T/h7DhV5WGs1o5m21&#10;XewoTuTD4FjB7SoDQdw5PXCv4P3t6eYeRIjIGkfHpOCbAmzry4sKS+1mfqVTG3uRSjiUqMDEOJVS&#10;hs6QxbByE3HyPp23GJP0vdQe51RuR7nOsjtpceC0YHCixlD31R6tgiLMeof7MDzvTbPxHy+N3syt&#10;UtdXy+4RRKQl/ofhFz+hQ52YDu7IOohRQXok/t3kPeRZAeKgIF/nBci6kuf09Q8A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">
            <v:imagedata r:id="rId92" o:title="" croptop="-2375f" cropbottom="-2127f" cropleft="-203f" cropright="-119f"/>
            <o:lock v:ext="edit" aspectratio="f"/>
          </v:shape>
        </w:pict>
      </w:r>
    </w:p>
    <w:p w:rsidR="00306953" w:rsidRPr="00442515" w:rsidRDefault="00A26B1E" w:rsidP="00306953">
      <w:pPr>
        <w:autoSpaceDE w:val="0"/>
        <w:autoSpaceDN w:val="0"/>
        <w:adjustRightInd w:val="0"/>
        <w:spacing w:after="0" w:line="240" w:lineRule="auto"/>
        <w:jc w:val="both"/>
        <w:rPr>
          <w:rFonts w:eastAsia="ChaparralPro-Regular" w:cs="Arial"/>
          <w:sz w:val="16"/>
          <w:szCs w:val="16"/>
        </w:rPr>
      </w:pPr>
      <w:r w:rsidRPr="00FE5433">
        <w:rPr>
          <w:rFonts w:eastAsia="ChaparralPro-Regular" w:cs="Arial"/>
          <w:noProof/>
          <w:sz w:val="16"/>
          <w:szCs w:val="16"/>
        </w:rPr>
        <w:t>(</w:t>
      </w:r>
      <w:r w:rsidR="00306953" w:rsidRPr="00FE5433">
        <w:rPr>
          <w:rFonts w:eastAsia="ChaparralPro-Regular" w:cs="Arial"/>
          <w:sz w:val="16"/>
          <w:szCs w:val="16"/>
        </w:rPr>
        <w:t>1)</w:t>
      </w:r>
      <w:r w:rsidR="00306953" w:rsidRPr="00306953">
        <w:rPr>
          <w:rFonts w:eastAsia="ChaparralPro-Regular" w:cs="Arial"/>
          <w:szCs w:val="20"/>
        </w:rPr>
        <w:t xml:space="preserve"> </w:t>
      </w:r>
      <w:r w:rsidR="00306953" w:rsidRPr="00442515">
        <w:rPr>
          <w:rFonts w:eastAsia="ChaparralPro-Regular" w:cs="Arial"/>
          <w:sz w:val="16"/>
          <w:szCs w:val="16"/>
        </w:rPr>
        <w:t>Některé úrovně vzdělávání jsou sloučeny s dalšími - viz kód "x" v tabulce B1.1a</w:t>
      </w:r>
      <w:r w:rsidR="00FE5433">
        <w:rPr>
          <w:rFonts w:eastAsia="ChaparralPro-Regular" w:cs="Arial"/>
          <w:sz w:val="16"/>
          <w:szCs w:val="16"/>
        </w:rPr>
        <w:t xml:space="preserve"> (OECD 2015)</w:t>
      </w:r>
      <w:r w:rsidR="00306953" w:rsidRPr="00442515">
        <w:rPr>
          <w:rFonts w:eastAsia="ChaparralPro-Regular" w:cs="Arial"/>
          <w:sz w:val="16"/>
          <w:szCs w:val="16"/>
        </w:rPr>
        <w:t>.</w:t>
      </w:r>
    </w:p>
    <w:p w:rsidR="00306953" w:rsidRPr="00306953" w:rsidRDefault="00306953" w:rsidP="00306953">
      <w:pPr>
        <w:spacing w:after="0" w:line="240" w:lineRule="auto"/>
        <w:jc w:val="both"/>
        <w:rPr>
          <w:rFonts w:eastAsia="ChaparralPro-Regular" w:cs="Arial"/>
          <w:szCs w:val="20"/>
        </w:rPr>
      </w:pPr>
      <w:r w:rsidRPr="00442515">
        <w:rPr>
          <w:rFonts w:eastAsia="ChaparralPro-Regular" w:cs="Arial"/>
          <w:sz w:val="16"/>
          <w:szCs w:val="16"/>
        </w:rPr>
        <w:t xml:space="preserve">Zdroj: OECD 2015, grafy B 3.2 (tabulka B 3.1). StatLink: </w:t>
      </w:r>
      <w:hyperlink r:id="rId93" w:history="1">
        <w:r w:rsidRPr="00442515">
          <w:rPr>
            <w:rStyle w:val="Hypertextovodkaz"/>
            <w:rFonts w:cs="Arial"/>
            <w:sz w:val="16"/>
            <w:szCs w:val="16"/>
          </w:rPr>
          <w:t>http://dx.doi.org/10.1787/888933283996</w:t>
        </w:r>
      </w:hyperlink>
      <w:r w:rsidRPr="00306953">
        <w:rPr>
          <w:rFonts w:cs="Arial"/>
          <w:color w:val="231F20"/>
          <w:sz w:val="14"/>
          <w:szCs w:val="14"/>
        </w:rPr>
        <w:t xml:space="preserve"> </w:t>
      </w:r>
    </w:p>
    <w:p w:rsidR="00306953" w:rsidRPr="00306953" w:rsidRDefault="00306953" w:rsidP="00306953">
      <w:pPr>
        <w:autoSpaceDE w:val="0"/>
        <w:autoSpaceDN w:val="0"/>
        <w:adjustRightInd w:val="0"/>
        <w:spacing w:after="0"/>
        <w:jc w:val="both"/>
        <w:rPr>
          <w:rFonts w:eastAsia="ChaparralPro-Regular" w:cs="Arial"/>
        </w:rPr>
      </w:pPr>
    </w:p>
    <w:p w:rsidR="00306953" w:rsidRPr="00306953" w:rsidRDefault="00306953" w:rsidP="00306953">
      <w:pPr>
        <w:spacing w:after="120" w:line="240" w:lineRule="auto"/>
        <w:jc w:val="both"/>
        <w:rPr>
          <w:rFonts w:eastAsia="ChaparralPro-Regular" w:cs="Arial"/>
        </w:rPr>
      </w:pPr>
      <w:r w:rsidRPr="00306953">
        <w:rPr>
          <w:rFonts w:eastAsia="ChaparralPro-Regular" w:cs="Arial"/>
        </w:rPr>
        <w:t xml:space="preserve">Graf č. 10 (ale též tabulka č. 15 výše) ukazuje, že zatímco na úrovni primárního až postsekundárního neterciárního vzdělávání převládaly v ČR v roce 2012 ze soukromých zdrojů </w:t>
      </w:r>
      <w:r w:rsidRPr="00306953">
        <w:rPr>
          <w:rFonts w:eastAsia="ChaparralPro-Regular" w:cs="Arial"/>
          <w:b/>
        </w:rPr>
        <w:t xml:space="preserve">výdaje domácností </w:t>
      </w:r>
      <w:r w:rsidRPr="00306953">
        <w:rPr>
          <w:rFonts w:eastAsia="ChaparralPro-Regular" w:cs="Arial"/>
        </w:rPr>
        <w:t xml:space="preserve">(7 % oproti 2 % původem z jiných soukromých zdrojů), na úrovni terciární převládly </w:t>
      </w:r>
      <w:r w:rsidRPr="00306953">
        <w:rPr>
          <w:rFonts w:eastAsia="ChaparralPro-Regular" w:cs="Arial"/>
          <w:b/>
        </w:rPr>
        <w:t xml:space="preserve">výdaje jiných soukromých subjektů </w:t>
      </w:r>
      <w:r w:rsidRPr="00306953">
        <w:rPr>
          <w:rFonts w:eastAsia="ChaparralPro-Regular" w:cs="Arial"/>
        </w:rPr>
        <w:t xml:space="preserve">(12,3 % oproti 8,5 %, které tvořily výdaje domácností).  </w:t>
      </w:r>
    </w:p>
    <w:p w:rsidR="00306953" w:rsidRPr="00306953" w:rsidRDefault="00306953" w:rsidP="00306953">
      <w:pPr>
        <w:spacing w:after="120" w:line="240" w:lineRule="auto"/>
        <w:jc w:val="both"/>
        <w:rPr>
          <w:rFonts w:eastAsia="ChaparralPro-Regular" w:cs="Arial"/>
        </w:rPr>
      </w:pPr>
      <w:r w:rsidRPr="00306953">
        <w:rPr>
          <w:rFonts w:eastAsia="ChaparralPro-Regular" w:cs="Arial"/>
        </w:rPr>
        <w:t xml:space="preserve">Pokud se jedná o úroveň </w:t>
      </w:r>
      <w:r w:rsidRPr="00306953">
        <w:rPr>
          <w:rFonts w:eastAsia="ChaparralPro-Regular" w:cs="Arial"/>
          <w:b/>
        </w:rPr>
        <w:t>primární až post-sekundární neterciární</w:t>
      </w:r>
      <w:r w:rsidRPr="00306953">
        <w:rPr>
          <w:rFonts w:eastAsia="ChaparralPro-Regular" w:cs="Arial"/>
        </w:rPr>
        <w:t xml:space="preserve">, celkem ve třech zemích byly výdaje jiných soukromých subjektů vyšší než výdaje domácností (Švýcarsko, Nizozemsko a Kanada). Na úrovni </w:t>
      </w:r>
      <w:r w:rsidRPr="00306953">
        <w:rPr>
          <w:rFonts w:eastAsia="ChaparralPro-Regular" w:cs="Arial"/>
          <w:b/>
        </w:rPr>
        <w:t>terciárního vzdělávání</w:t>
      </w:r>
      <w:r w:rsidRPr="00306953">
        <w:rPr>
          <w:rFonts w:eastAsia="ChaparralPro-Regular" w:cs="Arial"/>
        </w:rPr>
        <w:t xml:space="preserve"> převážily výdaje jiných soukromých subjektů nad výdaji domácností nejen v ČR, ale též ve Švédsku, ve Spojeném království a v Rakousku.</w:t>
      </w:r>
    </w:p>
    <w:p w:rsidR="00306953" w:rsidRPr="00306953" w:rsidRDefault="00306953" w:rsidP="00306953">
      <w:pPr>
        <w:spacing w:after="120" w:line="240" w:lineRule="auto"/>
        <w:jc w:val="both"/>
        <w:rPr>
          <w:rFonts w:cs="Arial"/>
          <w:b/>
        </w:rPr>
      </w:pPr>
      <w:r w:rsidRPr="00306953">
        <w:rPr>
          <w:rFonts w:cs="Arial"/>
        </w:rPr>
        <w:t xml:space="preserve">Tabulky č. 16 a 17 ukazují pro doplnění vývoje v čase </w:t>
      </w:r>
      <w:r w:rsidRPr="00306953">
        <w:rPr>
          <w:rFonts w:cs="Arial"/>
          <w:b/>
        </w:rPr>
        <w:t>podíl veřejných výdajů z celkových výdajů</w:t>
      </w:r>
      <w:r w:rsidRPr="00306953">
        <w:rPr>
          <w:rFonts w:cs="Arial"/>
        </w:rPr>
        <w:t xml:space="preserve"> (veřejných i soukromých) vynaložených na vzdělávání na úrovni primární až postsekundární neterciární a na úrovni terciární v ČR a v mezinárodních průměrech </w:t>
      </w:r>
      <w:r w:rsidRPr="00306953">
        <w:rPr>
          <w:rFonts w:cs="Arial"/>
          <w:b/>
        </w:rPr>
        <w:t>v letech 2000 až 2012</w:t>
      </w:r>
      <w:r w:rsidRPr="00306953">
        <w:rPr>
          <w:rFonts w:cs="Arial"/>
        </w:rPr>
        <w:t xml:space="preserve">. </w:t>
      </w:r>
    </w:p>
    <w:p w:rsidR="00306953" w:rsidRPr="00306953" w:rsidRDefault="00306953" w:rsidP="00306953">
      <w:pPr>
        <w:spacing w:after="120" w:line="240" w:lineRule="auto"/>
        <w:jc w:val="both"/>
        <w:rPr>
          <w:rFonts w:cs="Arial"/>
          <w:b/>
        </w:rPr>
      </w:pPr>
      <w:r w:rsidRPr="00306953">
        <w:rPr>
          <w:rFonts w:cs="Arial"/>
          <w:b/>
        </w:rPr>
        <w:lastRenderedPageBreak/>
        <w:t>Tabulka č. 16 Vývoj podílu veřejných</w:t>
      </w:r>
      <w:r w:rsidR="00B632BA" w:rsidRPr="00B632BA">
        <w:rPr>
          <w:rFonts w:cs="Arial"/>
          <w:b/>
          <w:vertAlign w:val="superscript"/>
        </w:rPr>
        <w:t>1)</w:t>
      </w:r>
      <w:r w:rsidRPr="00306953">
        <w:rPr>
          <w:rFonts w:cs="Arial"/>
          <w:b/>
        </w:rPr>
        <w:t xml:space="preserve"> a soukromých výdajů na vzdělávací instituce primární až post-sekundární neterciární úrovně (2000 až 2012)</w:t>
      </w:r>
    </w:p>
    <w:tbl>
      <w:tblPr>
        <w:tblW w:w="9018" w:type="dxa"/>
        <w:tblInd w:w="6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3691"/>
        <w:gridCol w:w="2126"/>
        <w:gridCol w:w="496"/>
        <w:gridCol w:w="541"/>
        <w:gridCol w:w="541"/>
        <w:gridCol w:w="541"/>
        <w:gridCol w:w="541"/>
        <w:gridCol w:w="541"/>
      </w:tblGrid>
      <w:tr w:rsidR="00306953" w:rsidRPr="00442515" w:rsidTr="00B43A21">
        <w:trPr>
          <w:trHeight w:val="247"/>
        </w:trPr>
        <w:tc>
          <w:tcPr>
            <w:tcW w:w="5817" w:type="dxa"/>
            <w:gridSpan w:val="2"/>
            <w:vMerge w:val="restart"/>
            <w:tcBorders>
              <w:top w:val="double" w:sz="4" w:space="0" w:color="auto"/>
              <w:bottom w:val="single" w:sz="4" w:space="0" w:color="auto"/>
            </w:tcBorders>
            <w:shd w:val="clear" w:color="auto" w:fill="FFCCCC"/>
            <w:noWrap/>
            <w:vAlign w:val="center"/>
            <w:hideMark/>
          </w:tcPr>
          <w:p w:rsidR="00306953" w:rsidRPr="001042AC" w:rsidRDefault="00EA6A4F" w:rsidP="002E78B6">
            <w:pPr>
              <w:keepNext/>
              <w:spacing w:after="0" w:line="240" w:lineRule="auto"/>
              <w:jc w:val="center"/>
              <w:rPr>
                <w:rFonts w:cs="Arial"/>
                <w:b/>
                <w:sz w:val="16"/>
                <w:szCs w:val="16"/>
              </w:rPr>
            </w:pPr>
            <w:r>
              <w:rPr>
                <w:rFonts w:cs="Arial"/>
                <w:b/>
                <w:sz w:val="16"/>
                <w:szCs w:val="16"/>
              </w:rPr>
              <w:t>p</w:t>
            </w:r>
            <w:r w:rsidR="00306953" w:rsidRPr="001042AC">
              <w:rPr>
                <w:rFonts w:cs="Arial"/>
                <w:b/>
                <w:sz w:val="16"/>
                <w:szCs w:val="16"/>
              </w:rPr>
              <w:t>rimární až postsekundární neterciární vzdělávání</w:t>
            </w:r>
          </w:p>
        </w:tc>
        <w:tc>
          <w:tcPr>
            <w:tcW w:w="3201" w:type="dxa"/>
            <w:gridSpan w:val="6"/>
            <w:tcBorders>
              <w:top w:val="double" w:sz="4" w:space="0" w:color="auto"/>
              <w:bottom w:val="single" w:sz="4" w:space="0" w:color="auto"/>
            </w:tcBorders>
            <w:shd w:val="clear" w:color="auto" w:fill="FFCCCC"/>
            <w:vAlign w:val="center"/>
            <w:hideMark/>
          </w:tcPr>
          <w:p w:rsidR="00306953" w:rsidRPr="001042AC" w:rsidRDefault="00EA6A4F" w:rsidP="007E5BD0">
            <w:pPr>
              <w:keepNext/>
              <w:spacing w:after="0" w:line="240" w:lineRule="auto"/>
              <w:jc w:val="center"/>
              <w:rPr>
                <w:rFonts w:cs="Arial"/>
                <w:b/>
                <w:sz w:val="16"/>
                <w:szCs w:val="16"/>
              </w:rPr>
            </w:pPr>
            <w:r>
              <w:rPr>
                <w:rFonts w:cs="Arial"/>
                <w:b/>
                <w:sz w:val="16"/>
                <w:szCs w:val="16"/>
              </w:rPr>
              <w:t>rok</w:t>
            </w:r>
          </w:p>
        </w:tc>
      </w:tr>
      <w:tr w:rsidR="00306953" w:rsidRPr="00442515" w:rsidTr="004A50B8">
        <w:trPr>
          <w:trHeight w:val="255"/>
        </w:trPr>
        <w:tc>
          <w:tcPr>
            <w:tcW w:w="5817" w:type="dxa"/>
            <w:gridSpan w:val="2"/>
            <w:vMerge/>
            <w:tcBorders>
              <w:top w:val="single" w:sz="4" w:space="0" w:color="auto"/>
              <w:bottom w:val="double" w:sz="4" w:space="0" w:color="auto"/>
            </w:tcBorders>
            <w:shd w:val="clear" w:color="auto" w:fill="FFCCCC"/>
            <w:vAlign w:val="center"/>
            <w:hideMark/>
          </w:tcPr>
          <w:p w:rsidR="00306953" w:rsidRPr="001042AC" w:rsidRDefault="00306953" w:rsidP="002E78B6">
            <w:pPr>
              <w:keepNext/>
              <w:spacing w:after="0" w:line="240" w:lineRule="auto"/>
              <w:rPr>
                <w:rFonts w:cs="Arial"/>
                <w:b/>
                <w:sz w:val="16"/>
                <w:szCs w:val="16"/>
              </w:rPr>
            </w:pPr>
          </w:p>
        </w:tc>
        <w:tc>
          <w:tcPr>
            <w:tcW w:w="496" w:type="dxa"/>
            <w:tcBorders>
              <w:top w:val="single" w:sz="4" w:space="0" w:color="auto"/>
              <w:bottom w:val="double" w:sz="4" w:space="0" w:color="auto"/>
            </w:tcBorders>
            <w:shd w:val="clear" w:color="auto" w:fill="FFCCCC"/>
            <w:noWrap/>
            <w:vAlign w:val="center"/>
            <w:hideMark/>
          </w:tcPr>
          <w:p w:rsidR="00306953" w:rsidRPr="001042AC" w:rsidRDefault="00306953" w:rsidP="007E5BD0">
            <w:pPr>
              <w:keepNext/>
              <w:spacing w:after="0" w:line="240" w:lineRule="auto"/>
              <w:jc w:val="center"/>
              <w:rPr>
                <w:rFonts w:cs="Arial"/>
                <w:b/>
                <w:sz w:val="16"/>
                <w:szCs w:val="16"/>
              </w:rPr>
            </w:pPr>
            <w:r w:rsidRPr="001042AC">
              <w:rPr>
                <w:rFonts w:cs="Arial"/>
                <w:b/>
                <w:sz w:val="16"/>
                <w:szCs w:val="16"/>
              </w:rPr>
              <w:t>2000</w:t>
            </w:r>
          </w:p>
        </w:tc>
        <w:tc>
          <w:tcPr>
            <w:tcW w:w="541" w:type="dxa"/>
            <w:tcBorders>
              <w:top w:val="single" w:sz="4" w:space="0" w:color="auto"/>
              <w:bottom w:val="double" w:sz="4" w:space="0" w:color="auto"/>
            </w:tcBorders>
            <w:shd w:val="clear" w:color="auto" w:fill="FFCCCC"/>
            <w:noWrap/>
            <w:vAlign w:val="center"/>
            <w:hideMark/>
          </w:tcPr>
          <w:p w:rsidR="00306953" w:rsidRPr="001042AC" w:rsidRDefault="00306953" w:rsidP="007E5BD0">
            <w:pPr>
              <w:keepNext/>
              <w:spacing w:after="0" w:line="240" w:lineRule="auto"/>
              <w:jc w:val="center"/>
              <w:rPr>
                <w:rFonts w:cs="Arial"/>
                <w:b/>
                <w:sz w:val="16"/>
                <w:szCs w:val="16"/>
              </w:rPr>
            </w:pPr>
            <w:r w:rsidRPr="001042AC">
              <w:rPr>
                <w:rFonts w:cs="Arial"/>
                <w:b/>
                <w:sz w:val="16"/>
                <w:szCs w:val="16"/>
              </w:rPr>
              <w:t>2005</w:t>
            </w:r>
          </w:p>
        </w:tc>
        <w:tc>
          <w:tcPr>
            <w:tcW w:w="541" w:type="dxa"/>
            <w:tcBorders>
              <w:top w:val="single" w:sz="4" w:space="0" w:color="auto"/>
              <w:bottom w:val="double" w:sz="4" w:space="0" w:color="auto"/>
            </w:tcBorders>
            <w:shd w:val="clear" w:color="auto" w:fill="FFCCCC"/>
            <w:noWrap/>
            <w:vAlign w:val="center"/>
            <w:hideMark/>
          </w:tcPr>
          <w:p w:rsidR="00306953" w:rsidRPr="001042AC" w:rsidRDefault="00306953" w:rsidP="007E5BD0">
            <w:pPr>
              <w:keepNext/>
              <w:spacing w:after="0" w:line="240" w:lineRule="auto"/>
              <w:jc w:val="center"/>
              <w:rPr>
                <w:rFonts w:cs="Arial"/>
                <w:b/>
                <w:sz w:val="16"/>
                <w:szCs w:val="16"/>
              </w:rPr>
            </w:pPr>
            <w:r w:rsidRPr="001042AC">
              <w:rPr>
                <w:rFonts w:cs="Arial"/>
                <w:b/>
                <w:sz w:val="16"/>
                <w:szCs w:val="16"/>
              </w:rPr>
              <w:t>2008</w:t>
            </w:r>
          </w:p>
        </w:tc>
        <w:tc>
          <w:tcPr>
            <w:tcW w:w="541" w:type="dxa"/>
            <w:tcBorders>
              <w:top w:val="single" w:sz="4" w:space="0" w:color="auto"/>
              <w:bottom w:val="double" w:sz="4" w:space="0" w:color="auto"/>
            </w:tcBorders>
            <w:shd w:val="clear" w:color="auto" w:fill="FFCCCC"/>
            <w:noWrap/>
            <w:vAlign w:val="center"/>
            <w:hideMark/>
          </w:tcPr>
          <w:p w:rsidR="00306953" w:rsidRPr="001042AC" w:rsidRDefault="00306953" w:rsidP="007E5BD0">
            <w:pPr>
              <w:keepNext/>
              <w:spacing w:after="0" w:line="240" w:lineRule="auto"/>
              <w:jc w:val="center"/>
              <w:rPr>
                <w:rFonts w:cs="Arial"/>
                <w:b/>
                <w:sz w:val="16"/>
                <w:szCs w:val="16"/>
              </w:rPr>
            </w:pPr>
            <w:r w:rsidRPr="001042AC">
              <w:rPr>
                <w:rFonts w:cs="Arial"/>
                <w:b/>
                <w:sz w:val="16"/>
                <w:szCs w:val="16"/>
              </w:rPr>
              <w:t>2010</w:t>
            </w:r>
          </w:p>
        </w:tc>
        <w:tc>
          <w:tcPr>
            <w:tcW w:w="541" w:type="dxa"/>
            <w:tcBorders>
              <w:top w:val="single" w:sz="4" w:space="0" w:color="auto"/>
              <w:bottom w:val="double" w:sz="4" w:space="0" w:color="auto"/>
            </w:tcBorders>
            <w:shd w:val="clear" w:color="auto" w:fill="FFCCCC"/>
            <w:noWrap/>
            <w:vAlign w:val="center"/>
            <w:hideMark/>
          </w:tcPr>
          <w:p w:rsidR="00306953" w:rsidRPr="001042AC" w:rsidRDefault="00306953" w:rsidP="007E5BD0">
            <w:pPr>
              <w:keepNext/>
              <w:spacing w:after="0" w:line="240" w:lineRule="auto"/>
              <w:jc w:val="center"/>
              <w:rPr>
                <w:rFonts w:cs="Arial"/>
                <w:b/>
                <w:sz w:val="16"/>
                <w:szCs w:val="16"/>
              </w:rPr>
            </w:pPr>
            <w:r w:rsidRPr="001042AC">
              <w:rPr>
                <w:rFonts w:cs="Arial"/>
                <w:b/>
                <w:sz w:val="16"/>
                <w:szCs w:val="16"/>
              </w:rPr>
              <w:t>2011</w:t>
            </w:r>
          </w:p>
        </w:tc>
        <w:tc>
          <w:tcPr>
            <w:tcW w:w="541" w:type="dxa"/>
            <w:tcBorders>
              <w:top w:val="single" w:sz="4" w:space="0" w:color="auto"/>
              <w:bottom w:val="double" w:sz="4" w:space="0" w:color="auto"/>
            </w:tcBorders>
            <w:shd w:val="clear" w:color="auto" w:fill="FFCCCC"/>
            <w:noWrap/>
            <w:vAlign w:val="center"/>
            <w:hideMark/>
          </w:tcPr>
          <w:p w:rsidR="00306953" w:rsidRPr="001042AC" w:rsidRDefault="00306953" w:rsidP="007E5BD0">
            <w:pPr>
              <w:keepNext/>
              <w:spacing w:after="0" w:line="240" w:lineRule="auto"/>
              <w:jc w:val="center"/>
              <w:rPr>
                <w:rFonts w:cs="Arial"/>
                <w:b/>
                <w:sz w:val="16"/>
                <w:szCs w:val="16"/>
              </w:rPr>
            </w:pPr>
            <w:r w:rsidRPr="001042AC">
              <w:rPr>
                <w:rFonts w:cs="Arial"/>
                <w:b/>
                <w:sz w:val="16"/>
                <w:szCs w:val="16"/>
              </w:rPr>
              <w:t>2012</w:t>
            </w:r>
          </w:p>
        </w:tc>
      </w:tr>
      <w:tr w:rsidR="00306953" w:rsidRPr="00442515" w:rsidTr="004A50B8">
        <w:trPr>
          <w:trHeight w:val="255"/>
        </w:trPr>
        <w:tc>
          <w:tcPr>
            <w:tcW w:w="3691" w:type="dxa"/>
            <w:vMerge w:val="restart"/>
            <w:tcBorders>
              <w:top w:val="double" w:sz="4" w:space="0" w:color="auto"/>
            </w:tcBorders>
            <w:shd w:val="clear" w:color="000000" w:fill="FFFFFF"/>
            <w:noWrap/>
            <w:vAlign w:val="center"/>
            <w:hideMark/>
          </w:tcPr>
          <w:p w:rsidR="00306953" w:rsidRPr="00442515" w:rsidRDefault="00EA6A4F" w:rsidP="007E5BD0">
            <w:pPr>
              <w:spacing w:after="0" w:line="240" w:lineRule="auto"/>
              <w:rPr>
                <w:rFonts w:cs="Arial"/>
                <w:sz w:val="16"/>
                <w:szCs w:val="16"/>
              </w:rPr>
            </w:pPr>
            <w:r>
              <w:rPr>
                <w:rFonts w:cs="Arial"/>
                <w:sz w:val="16"/>
                <w:szCs w:val="16"/>
              </w:rPr>
              <w:t>p</w:t>
            </w:r>
            <w:r w:rsidR="00306953" w:rsidRPr="00442515">
              <w:rPr>
                <w:rFonts w:cs="Arial"/>
                <w:sz w:val="16"/>
                <w:szCs w:val="16"/>
              </w:rPr>
              <w:t>odíl veřejných výdajů ze všech výdajů na vzdělávací instituce (v %)</w:t>
            </w:r>
          </w:p>
        </w:tc>
        <w:tc>
          <w:tcPr>
            <w:tcW w:w="2126" w:type="dxa"/>
            <w:tcBorders>
              <w:top w:val="double" w:sz="4" w:space="0" w:color="auto"/>
            </w:tcBorders>
            <w:shd w:val="clear" w:color="000000" w:fill="FFFFFF"/>
            <w:noWrap/>
            <w:vAlign w:val="center"/>
            <w:hideMark/>
          </w:tcPr>
          <w:p w:rsidR="00306953" w:rsidRPr="00442515" w:rsidRDefault="00306953" w:rsidP="007E5BD0">
            <w:pPr>
              <w:keepNext/>
              <w:spacing w:after="0" w:line="240" w:lineRule="auto"/>
              <w:rPr>
                <w:rFonts w:cs="Arial"/>
                <w:sz w:val="16"/>
                <w:szCs w:val="16"/>
              </w:rPr>
            </w:pPr>
            <w:r w:rsidRPr="00442515">
              <w:rPr>
                <w:rFonts w:cs="Arial"/>
                <w:sz w:val="16"/>
                <w:szCs w:val="16"/>
              </w:rPr>
              <w:t>Česká republika</w:t>
            </w:r>
          </w:p>
        </w:tc>
        <w:tc>
          <w:tcPr>
            <w:tcW w:w="496" w:type="dxa"/>
            <w:tcBorders>
              <w:top w:val="double" w:sz="4" w:space="0" w:color="auto"/>
            </w:tcBorders>
            <w:shd w:val="clear" w:color="000000" w:fill="FFFFFF"/>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91,7</w:t>
            </w:r>
          </w:p>
        </w:tc>
        <w:tc>
          <w:tcPr>
            <w:tcW w:w="541" w:type="dxa"/>
            <w:tcBorders>
              <w:top w:val="double" w:sz="4" w:space="0" w:color="auto"/>
            </w:tcBorders>
            <w:shd w:val="clear" w:color="000000" w:fill="FFFFFF"/>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89,9</w:t>
            </w:r>
          </w:p>
        </w:tc>
        <w:tc>
          <w:tcPr>
            <w:tcW w:w="541" w:type="dxa"/>
            <w:tcBorders>
              <w:top w:val="double" w:sz="4" w:space="0" w:color="auto"/>
            </w:tcBorders>
            <w:shd w:val="clear" w:color="000000" w:fill="FFFFFF"/>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90,4</w:t>
            </w:r>
          </w:p>
        </w:tc>
        <w:tc>
          <w:tcPr>
            <w:tcW w:w="541" w:type="dxa"/>
            <w:tcBorders>
              <w:top w:val="double" w:sz="4" w:space="0" w:color="auto"/>
            </w:tcBorders>
            <w:shd w:val="clear" w:color="000000" w:fill="FFFFFF"/>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90,8</w:t>
            </w:r>
          </w:p>
        </w:tc>
        <w:tc>
          <w:tcPr>
            <w:tcW w:w="541" w:type="dxa"/>
            <w:tcBorders>
              <w:top w:val="double" w:sz="4" w:space="0" w:color="auto"/>
            </w:tcBorders>
            <w:shd w:val="clear" w:color="000000" w:fill="FFFFFF"/>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90,9</w:t>
            </w:r>
          </w:p>
        </w:tc>
        <w:tc>
          <w:tcPr>
            <w:tcW w:w="541" w:type="dxa"/>
            <w:tcBorders>
              <w:top w:val="double" w:sz="4" w:space="0" w:color="auto"/>
            </w:tcBorders>
            <w:shd w:val="clear" w:color="000000" w:fill="FFFFFF"/>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91,0</w:t>
            </w:r>
          </w:p>
        </w:tc>
      </w:tr>
      <w:tr w:rsidR="00306953" w:rsidRPr="00442515" w:rsidTr="004A50B8">
        <w:trPr>
          <w:trHeight w:val="255"/>
        </w:trPr>
        <w:tc>
          <w:tcPr>
            <w:tcW w:w="3691" w:type="dxa"/>
            <w:vMerge/>
            <w:vAlign w:val="center"/>
            <w:hideMark/>
          </w:tcPr>
          <w:p w:rsidR="00306953" w:rsidRPr="00442515" w:rsidRDefault="00306953" w:rsidP="007E5BD0">
            <w:pPr>
              <w:spacing w:after="0" w:line="240" w:lineRule="auto"/>
              <w:rPr>
                <w:rFonts w:cs="Arial"/>
                <w:sz w:val="16"/>
                <w:szCs w:val="16"/>
              </w:rPr>
            </w:pPr>
          </w:p>
        </w:tc>
        <w:tc>
          <w:tcPr>
            <w:tcW w:w="2126" w:type="dxa"/>
            <w:shd w:val="clear" w:color="auto" w:fill="C6D9F1" w:themeFill="text2" w:themeFillTint="33"/>
            <w:noWrap/>
            <w:vAlign w:val="center"/>
            <w:hideMark/>
          </w:tcPr>
          <w:p w:rsidR="00306953" w:rsidRPr="00442515" w:rsidRDefault="00631582" w:rsidP="007E5BD0">
            <w:pPr>
              <w:keepNext/>
              <w:spacing w:after="0" w:line="240" w:lineRule="auto"/>
              <w:rPr>
                <w:rFonts w:cs="Arial"/>
                <w:sz w:val="16"/>
                <w:szCs w:val="16"/>
              </w:rPr>
            </w:pPr>
            <w:r>
              <w:rPr>
                <w:rFonts w:cs="Arial"/>
                <w:sz w:val="16"/>
                <w:szCs w:val="16"/>
              </w:rPr>
              <w:t>p</w:t>
            </w:r>
            <w:r w:rsidR="00306953" w:rsidRPr="00442515">
              <w:rPr>
                <w:rFonts w:cs="Arial"/>
                <w:sz w:val="16"/>
                <w:szCs w:val="16"/>
              </w:rPr>
              <w:t>růměr OECD</w:t>
            </w:r>
          </w:p>
        </w:tc>
        <w:tc>
          <w:tcPr>
            <w:tcW w:w="496"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92,1</w:t>
            </w:r>
          </w:p>
        </w:tc>
        <w:tc>
          <w:tcPr>
            <w:tcW w:w="541"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91,5</w:t>
            </w:r>
          </w:p>
        </w:tc>
        <w:tc>
          <w:tcPr>
            <w:tcW w:w="541"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91,7</w:t>
            </w:r>
          </w:p>
        </w:tc>
        <w:tc>
          <w:tcPr>
            <w:tcW w:w="541"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91,9</w:t>
            </w:r>
          </w:p>
        </w:tc>
        <w:tc>
          <w:tcPr>
            <w:tcW w:w="541"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91,6</w:t>
            </w:r>
          </w:p>
        </w:tc>
        <w:tc>
          <w:tcPr>
            <w:tcW w:w="541"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90,6</w:t>
            </w:r>
          </w:p>
        </w:tc>
      </w:tr>
      <w:tr w:rsidR="00306953" w:rsidRPr="00442515" w:rsidTr="004A50B8">
        <w:trPr>
          <w:trHeight w:val="255"/>
        </w:trPr>
        <w:tc>
          <w:tcPr>
            <w:tcW w:w="3691" w:type="dxa"/>
            <w:vMerge/>
            <w:vAlign w:val="center"/>
            <w:hideMark/>
          </w:tcPr>
          <w:p w:rsidR="00306953" w:rsidRPr="00442515" w:rsidRDefault="00306953" w:rsidP="007E5BD0">
            <w:pPr>
              <w:spacing w:after="0" w:line="240" w:lineRule="auto"/>
              <w:rPr>
                <w:rFonts w:cs="Arial"/>
                <w:sz w:val="16"/>
                <w:szCs w:val="16"/>
              </w:rPr>
            </w:pPr>
          </w:p>
        </w:tc>
        <w:tc>
          <w:tcPr>
            <w:tcW w:w="2126" w:type="dxa"/>
            <w:shd w:val="clear" w:color="auto" w:fill="C6D9F1" w:themeFill="text2" w:themeFillTint="33"/>
            <w:noWrap/>
            <w:vAlign w:val="center"/>
            <w:hideMark/>
          </w:tcPr>
          <w:p w:rsidR="00306953" w:rsidRPr="00442515" w:rsidRDefault="00631582" w:rsidP="007E5BD0">
            <w:pPr>
              <w:keepNext/>
              <w:spacing w:after="0" w:line="240" w:lineRule="auto"/>
              <w:rPr>
                <w:rFonts w:cs="Arial"/>
                <w:sz w:val="16"/>
                <w:szCs w:val="16"/>
              </w:rPr>
            </w:pPr>
            <w:r>
              <w:rPr>
                <w:rFonts w:cs="Arial"/>
                <w:sz w:val="16"/>
                <w:szCs w:val="16"/>
              </w:rPr>
              <w:t>p</w:t>
            </w:r>
            <w:r w:rsidR="00306953" w:rsidRPr="00442515">
              <w:rPr>
                <w:rFonts w:cs="Arial"/>
                <w:sz w:val="16"/>
                <w:szCs w:val="16"/>
              </w:rPr>
              <w:t>růměr EU21</w:t>
            </w:r>
          </w:p>
        </w:tc>
        <w:tc>
          <w:tcPr>
            <w:tcW w:w="496"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95,1</w:t>
            </w:r>
          </w:p>
        </w:tc>
        <w:tc>
          <w:tcPr>
            <w:tcW w:w="541"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94,7</w:t>
            </w:r>
          </w:p>
        </w:tc>
        <w:tc>
          <w:tcPr>
            <w:tcW w:w="541"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94,9</w:t>
            </w:r>
          </w:p>
        </w:tc>
        <w:tc>
          <w:tcPr>
            <w:tcW w:w="541"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94,4</w:t>
            </w:r>
          </w:p>
        </w:tc>
        <w:tc>
          <w:tcPr>
            <w:tcW w:w="541"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94,4</w:t>
            </w:r>
          </w:p>
        </w:tc>
        <w:tc>
          <w:tcPr>
            <w:tcW w:w="541"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92,8</w:t>
            </w:r>
          </w:p>
        </w:tc>
      </w:tr>
      <w:tr w:rsidR="00306953" w:rsidRPr="00442515" w:rsidTr="004A50B8">
        <w:trPr>
          <w:trHeight w:val="255"/>
        </w:trPr>
        <w:tc>
          <w:tcPr>
            <w:tcW w:w="3691" w:type="dxa"/>
            <w:vMerge w:val="restart"/>
            <w:shd w:val="clear" w:color="000000" w:fill="FFFFFF"/>
            <w:noWrap/>
            <w:vAlign w:val="center"/>
            <w:hideMark/>
          </w:tcPr>
          <w:p w:rsidR="004A50B8" w:rsidRDefault="00EA6A4F" w:rsidP="007E5BD0">
            <w:pPr>
              <w:spacing w:after="0" w:line="240" w:lineRule="auto"/>
              <w:rPr>
                <w:rFonts w:cs="Arial"/>
                <w:sz w:val="16"/>
                <w:szCs w:val="16"/>
              </w:rPr>
            </w:pPr>
            <w:r>
              <w:rPr>
                <w:rFonts w:cs="Arial"/>
                <w:sz w:val="16"/>
                <w:szCs w:val="16"/>
              </w:rPr>
              <w:t>i</w:t>
            </w:r>
            <w:r w:rsidR="00306953" w:rsidRPr="00442515">
              <w:rPr>
                <w:rFonts w:cs="Arial"/>
                <w:sz w:val="16"/>
                <w:szCs w:val="16"/>
              </w:rPr>
              <w:t xml:space="preserve">ndex změny ve výdajích z veřejných zdrojů </w:t>
            </w:r>
          </w:p>
          <w:p w:rsidR="00306953" w:rsidRPr="00442515" w:rsidRDefault="00306953" w:rsidP="007E5BD0">
            <w:pPr>
              <w:spacing w:after="0" w:line="240" w:lineRule="auto"/>
              <w:rPr>
                <w:rFonts w:cs="Arial"/>
                <w:sz w:val="16"/>
                <w:szCs w:val="16"/>
              </w:rPr>
            </w:pPr>
            <w:r w:rsidRPr="00442515">
              <w:rPr>
                <w:rFonts w:cs="Arial"/>
                <w:sz w:val="16"/>
                <w:szCs w:val="16"/>
              </w:rPr>
              <w:t>(2005 = 100 %, konstantní ceny)</w:t>
            </w:r>
          </w:p>
        </w:tc>
        <w:tc>
          <w:tcPr>
            <w:tcW w:w="2126" w:type="dxa"/>
            <w:shd w:val="clear" w:color="000000" w:fill="FFFFFF"/>
            <w:noWrap/>
            <w:vAlign w:val="center"/>
            <w:hideMark/>
          </w:tcPr>
          <w:p w:rsidR="00306953" w:rsidRPr="00442515" w:rsidRDefault="00306953" w:rsidP="007E5BD0">
            <w:pPr>
              <w:keepNext/>
              <w:spacing w:after="0" w:line="240" w:lineRule="auto"/>
              <w:rPr>
                <w:rFonts w:cs="Arial"/>
                <w:sz w:val="16"/>
                <w:szCs w:val="16"/>
              </w:rPr>
            </w:pPr>
            <w:r w:rsidRPr="00442515">
              <w:rPr>
                <w:rFonts w:cs="Arial"/>
                <w:sz w:val="16"/>
                <w:szCs w:val="16"/>
              </w:rPr>
              <w:t>Česká republika</w:t>
            </w:r>
          </w:p>
        </w:tc>
        <w:tc>
          <w:tcPr>
            <w:tcW w:w="496" w:type="dxa"/>
            <w:shd w:val="clear" w:color="000000" w:fill="FFFFFF"/>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78,2</w:t>
            </w:r>
          </w:p>
        </w:tc>
        <w:tc>
          <w:tcPr>
            <w:tcW w:w="541" w:type="dxa"/>
            <w:shd w:val="clear" w:color="000000" w:fill="FFFFFF"/>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100,0</w:t>
            </w:r>
          </w:p>
        </w:tc>
        <w:tc>
          <w:tcPr>
            <w:tcW w:w="541" w:type="dxa"/>
            <w:shd w:val="clear" w:color="000000" w:fill="FFFFFF"/>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106,3</w:t>
            </w:r>
          </w:p>
        </w:tc>
        <w:tc>
          <w:tcPr>
            <w:tcW w:w="541" w:type="dxa"/>
            <w:shd w:val="clear" w:color="000000" w:fill="FFFFFF"/>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111,2</w:t>
            </w:r>
          </w:p>
        </w:tc>
        <w:tc>
          <w:tcPr>
            <w:tcW w:w="541" w:type="dxa"/>
            <w:shd w:val="clear" w:color="000000" w:fill="FFFFFF"/>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114,4</w:t>
            </w:r>
          </w:p>
        </w:tc>
        <w:tc>
          <w:tcPr>
            <w:tcW w:w="541" w:type="dxa"/>
            <w:shd w:val="clear" w:color="000000" w:fill="FFFFFF"/>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115,0</w:t>
            </w:r>
          </w:p>
        </w:tc>
      </w:tr>
      <w:tr w:rsidR="00306953" w:rsidRPr="00442515" w:rsidTr="004A50B8">
        <w:trPr>
          <w:trHeight w:val="255"/>
        </w:trPr>
        <w:tc>
          <w:tcPr>
            <w:tcW w:w="3691" w:type="dxa"/>
            <w:vMerge/>
            <w:vAlign w:val="center"/>
            <w:hideMark/>
          </w:tcPr>
          <w:p w:rsidR="00306953" w:rsidRPr="00442515" w:rsidRDefault="00306953" w:rsidP="007E5BD0">
            <w:pPr>
              <w:spacing w:after="0" w:line="240" w:lineRule="auto"/>
              <w:rPr>
                <w:rFonts w:cs="Arial"/>
                <w:sz w:val="16"/>
                <w:szCs w:val="16"/>
              </w:rPr>
            </w:pPr>
          </w:p>
        </w:tc>
        <w:tc>
          <w:tcPr>
            <w:tcW w:w="2126" w:type="dxa"/>
            <w:shd w:val="clear" w:color="auto" w:fill="C6D9F1" w:themeFill="text2" w:themeFillTint="33"/>
            <w:noWrap/>
            <w:vAlign w:val="center"/>
            <w:hideMark/>
          </w:tcPr>
          <w:p w:rsidR="00306953" w:rsidRPr="00442515" w:rsidRDefault="00631582" w:rsidP="007E5BD0">
            <w:pPr>
              <w:keepNext/>
              <w:spacing w:after="0" w:line="240" w:lineRule="auto"/>
              <w:rPr>
                <w:rFonts w:cs="Arial"/>
                <w:sz w:val="16"/>
                <w:szCs w:val="16"/>
              </w:rPr>
            </w:pPr>
            <w:r>
              <w:rPr>
                <w:rFonts w:cs="Arial"/>
                <w:sz w:val="16"/>
                <w:szCs w:val="16"/>
              </w:rPr>
              <w:t>p</w:t>
            </w:r>
            <w:r w:rsidR="00306953" w:rsidRPr="00442515">
              <w:rPr>
                <w:rFonts w:cs="Arial"/>
                <w:sz w:val="16"/>
                <w:szCs w:val="16"/>
              </w:rPr>
              <w:t>růměr OECD</w:t>
            </w:r>
          </w:p>
        </w:tc>
        <w:tc>
          <w:tcPr>
            <w:tcW w:w="496"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84,8</w:t>
            </w:r>
          </w:p>
        </w:tc>
        <w:tc>
          <w:tcPr>
            <w:tcW w:w="541"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100,0</w:t>
            </w:r>
          </w:p>
        </w:tc>
        <w:tc>
          <w:tcPr>
            <w:tcW w:w="541"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109,4</w:t>
            </w:r>
          </w:p>
        </w:tc>
        <w:tc>
          <w:tcPr>
            <w:tcW w:w="541"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114,5</w:t>
            </w:r>
          </w:p>
        </w:tc>
        <w:tc>
          <w:tcPr>
            <w:tcW w:w="541"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114,8</w:t>
            </w:r>
          </w:p>
        </w:tc>
        <w:tc>
          <w:tcPr>
            <w:tcW w:w="541"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114,0</w:t>
            </w:r>
          </w:p>
        </w:tc>
      </w:tr>
      <w:tr w:rsidR="00306953" w:rsidRPr="00442515" w:rsidTr="004A50B8">
        <w:trPr>
          <w:trHeight w:val="255"/>
        </w:trPr>
        <w:tc>
          <w:tcPr>
            <w:tcW w:w="3691" w:type="dxa"/>
            <w:vMerge/>
            <w:vAlign w:val="center"/>
            <w:hideMark/>
          </w:tcPr>
          <w:p w:rsidR="00306953" w:rsidRPr="00442515" w:rsidRDefault="00306953" w:rsidP="007E5BD0">
            <w:pPr>
              <w:spacing w:after="0" w:line="240" w:lineRule="auto"/>
              <w:rPr>
                <w:rFonts w:cs="Arial"/>
                <w:sz w:val="16"/>
                <w:szCs w:val="16"/>
              </w:rPr>
            </w:pPr>
          </w:p>
        </w:tc>
        <w:tc>
          <w:tcPr>
            <w:tcW w:w="2126" w:type="dxa"/>
            <w:shd w:val="clear" w:color="auto" w:fill="C6D9F1" w:themeFill="text2" w:themeFillTint="33"/>
            <w:noWrap/>
            <w:vAlign w:val="center"/>
            <w:hideMark/>
          </w:tcPr>
          <w:p w:rsidR="00306953" w:rsidRPr="00442515" w:rsidRDefault="00631582" w:rsidP="007E5BD0">
            <w:pPr>
              <w:keepNext/>
              <w:spacing w:after="0" w:line="240" w:lineRule="auto"/>
              <w:rPr>
                <w:rFonts w:cs="Arial"/>
                <w:sz w:val="16"/>
                <w:szCs w:val="16"/>
              </w:rPr>
            </w:pPr>
            <w:r>
              <w:rPr>
                <w:rFonts w:cs="Arial"/>
                <w:sz w:val="16"/>
                <w:szCs w:val="16"/>
              </w:rPr>
              <w:t>p</w:t>
            </w:r>
            <w:r w:rsidR="00306953" w:rsidRPr="00442515">
              <w:rPr>
                <w:rFonts w:cs="Arial"/>
                <w:sz w:val="16"/>
                <w:szCs w:val="16"/>
              </w:rPr>
              <w:t>růměr EU21</w:t>
            </w:r>
          </w:p>
        </w:tc>
        <w:tc>
          <w:tcPr>
            <w:tcW w:w="496"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84,4</w:t>
            </w:r>
          </w:p>
        </w:tc>
        <w:tc>
          <w:tcPr>
            <w:tcW w:w="541"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100,0</w:t>
            </w:r>
          </w:p>
        </w:tc>
        <w:tc>
          <w:tcPr>
            <w:tcW w:w="541"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107,3</w:t>
            </w:r>
          </w:p>
        </w:tc>
        <w:tc>
          <w:tcPr>
            <w:tcW w:w="541"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110,5</w:t>
            </w:r>
          </w:p>
        </w:tc>
        <w:tc>
          <w:tcPr>
            <w:tcW w:w="541"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108,4</w:t>
            </w:r>
          </w:p>
        </w:tc>
        <w:tc>
          <w:tcPr>
            <w:tcW w:w="541"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106,0</w:t>
            </w:r>
          </w:p>
        </w:tc>
      </w:tr>
      <w:tr w:rsidR="00306953" w:rsidRPr="00442515" w:rsidTr="004A50B8">
        <w:trPr>
          <w:trHeight w:val="255"/>
        </w:trPr>
        <w:tc>
          <w:tcPr>
            <w:tcW w:w="3691" w:type="dxa"/>
            <w:vMerge w:val="restart"/>
            <w:shd w:val="clear" w:color="000000" w:fill="FFFFFF"/>
            <w:noWrap/>
            <w:vAlign w:val="center"/>
            <w:hideMark/>
          </w:tcPr>
          <w:p w:rsidR="00306953" w:rsidRPr="00442515" w:rsidRDefault="00EA6A4F" w:rsidP="007E5BD0">
            <w:pPr>
              <w:spacing w:after="0" w:line="240" w:lineRule="auto"/>
              <w:rPr>
                <w:rFonts w:cs="Arial"/>
                <w:sz w:val="16"/>
                <w:szCs w:val="16"/>
              </w:rPr>
            </w:pPr>
            <w:r>
              <w:rPr>
                <w:rFonts w:cs="Arial"/>
                <w:sz w:val="16"/>
                <w:szCs w:val="16"/>
              </w:rPr>
              <w:t>i</w:t>
            </w:r>
            <w:r w:rsidR="00306953" w:rsidRPr="00442515">
              <w:rPr>
                <w:rFonts w:cs="Arial"/>
                <w:sz w:val="16"/>
                <w:szCs w:val="16"/>
              </w:rPr>
              <w:t>ndex změny ve výdajích ze soukromých zdrojů</w:t>
            </w:r>
            <w:r w:rsidR="00B632BA" w:rsidRPr="00B632BA">
              <w:rPr>
                <w:rFonts w:cs="Arial"/>
                <w:sz w:val="16"/>
                <w:szCs w:val="16"/>
                <w:vertAlign w:val="superscript"/>
              </w:rPr>
              <w:t>2)</w:t>
            </w:r>
            <w:r w:rsidR="00F738B6">
              <w:rPr>
                <w:rFonts w:cs="Arial"/>
                <w:sz w:val="16"/>
                <w:szCs w:val="16"/>
              </w:rPr>
              <w:t xml:space="preserve"> </w:t>
            </w:r>
            <w:r w:rsidR="00306953" w:rsidRPr="00442515">
              <w:rPr>
                <w:rFonts w:cs="Arial"/>
                <w:sz w:val="16"/>
                <w:szCs w:val="16"/>
              </w:rPr>
              <w:t>(2005 = 100 %, konstantní ceny)</w:t>
            </w:r>
          </w:p>
        </w:tc>
        <w:tc>
          <w:tcPr>
            <w:tcW w:w="2126" w:type="dxa"/>
            <w:shd w:val="clear" w:color="000000" w:fill="FFFFFF"/>
            <w:noWrap/>
            <w:vAlign w:val="center"/>
            <w:hideMark/>
          </w:tcPr>
          <w:p w:rsidR="00306953" w:rsidRPr="00442515" w:rsidRDefault="00306953" w:rsidP="007E5BD0">
            <w:pPr>
              <w:keepNext/>
              <w:spacing w:after="0" w:line="240" w:lineRule="auto"/>
              <w:rPr>
                <w:rFonts w:cs="Arial"/>
                <w:sz w:val="16"/>
                <w:szCs w:val="16"/>
              </w:rPr>
            </w:pPr>
            <w:r w:rsidRPr="00442515">
              <w:rPr>
                <w:rFonts w:cs="Arial"/>
                <w:sz w:val="16"/>
                <w:szCs w:val="16"/>
              </w:rPr>
              <w:t>Česká republika</w:t>
            </w:r>
          </w:p>
        </w:tc>
        <w:tc>
          <w:tcPr>
            <w:tcW w:w="496" w:type="dxa"/>
            <w:shd w:val="clear" w:color="000000" w:fill="FFFFFF"/>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63,3</w:t>
            </w:r>
          </w:p>
        </w:tc>
        <w:tc>
          <w:tcPr>
            <w:tcW w:w="541" w:type="dxa"/>
            <w:shd w:val="clear" w:color="000000" w:fill="FFFFFF"/>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100,0</w:t>
            </w:r>
          </w:p>
        </w:tc>
        <w:tc>
          <w:tcPr>
            <w:tcW w:w="541" w:type="dxa"/>
            <w:shd w:val="clear" w:color="000000" w:fill="FFFFFF"/>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100,5</w:t>
            </w:r>
          </w:p>
        </w:tc>
        <w:tc>
          <w:tcPr>
            <w:tcW w:w="541" w:type="dxa"/>
            <w:shd w:val="clear" w:color="000000" w:fill="FFFFFF"/>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100,5</w:t>
            </w:r>
          </w:p>
        </w:tc>
        <w:tc>
          <w:tcPr>
            <w:tcW w:w="541" w:type="dxa"/>
            <w:shd w:val="clear" w:color="000000" w:fill="FFFFFF"/>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102,2</w:t>
            </w:r>
          </w:p>
        </w:tc>
        <w:tc>
          <w:tcPr>
            <w:tcW w:w="541" w:type="dxa"/>
            <w:shd w:val="clear" w:color="000000" w:fill="FFFFFF"/>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102,2</w:t>
            </w:r>
          </w:p>
        </w:tc>
      </w:tr>
      <w:tr w:rsidR="00306953" w:rsidRPr="00442515" w:rsidTr="004A50B8">
        <w:trPr>
          <w:trHeight w:val="255"/>
        </w:trPr>
        <w:tc>
          <w:tcPr>
            <w:tcW w:w="3691" w:type="dxa"/>
            <w:vMerge/>
            <w:vAlign w:val="center"/>
            <w:hideMark/>
          </w:tcPr>
          <w:p w:rsidR="00306953" w:rsidRPr="00442515" w:rsidRDefault="00306953" w:rsidP="007E5BD0">
            <w:pPr>
              <w:spacing w:after="0" w:line="240" w:lineRule="auto"/>
              <w:rPr>
                <w:rFonts w:cs="Arial"/>
                <w:sz w:val="16"/>
                <w:szCs w:val="16"/>
              </w:rPr>
            </w:pPr>
          </w:p>
        </w:tc>
        <w:tc>
          <w:tcPr>
            <w:tcW w:w="2126" w:type="dxa"/>
            <w:shd w:val="clear" w:color="auto" w:fill="C6D9F1" w:themeFill="text2" w:themeFillTint="33"/>
            <w:noWrap/>
            <w:vAlign w:val="center"/>
            <w:hideMark/>
          </w:tcPr>
          <w:p w:rsidR="00306953" w:rsidRPr="00442515" w:rsidRDefault="00631582" w:rsidP="007E5BD0">
            <w:pPr>
              <w:keepNext/>
              <w:spacing w:after="0" w:line="240" w:lineRule="auto"/>
              <w:rPr>
                <w:rFonts w:cs="Arial"/>
                <w:sz w:val="16"/>
                <w:szCs w:val="16"/>
              </w:rPr>
            </w:pPr>
            <w:r>
              <w:rPr>
                <w:rFonts w:cs="Arial"/>
                <w:sz w:val="16"/>
                <w:szCs w:val="16"/>
              </w:rPr>
              <w:t>p</w:t>
            </w:r>
            <w:r w:rsidR="00306953" w:rsidRPr="00442515">
              <w:rPr>
                <w:rFonts w:cs="Arial"/>
                <w:sz w:val="16"/>
                <w:szCs w:val="16"/>
              </w:rPr>
              <w:t>růměr OECD</w:t>
            </w:r>
          </w:p>
        </w:tc>
        <w:tc>
          <w:tcPr>
            <w:tcW w:w="496"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83,7</w:t>
            </w:r>
          </w:p>
        </w:tc>
        <w:tc>
          <w:tcPr>
            <w:tcW w:w="541"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100,0</w:t>
            </w:r>
          </w:p>
        </w:tc>
        <w:tc>
          <w:tcPr>
            <w:tcW w:w="541"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117,7</w:t>
            </w:r>
          </w:p>
        </w:tc>
        <w:tc>
          <w:tcPr>
            <w:tcW w:w="541"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124,7</w:t>
            </w:r>
          </w:p>
        </w:tc>
        <w:tc>
          <w:tcPr>
            <w:tcW w:w="541"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127,6</w:t>
            </w:r>
          </w:p>
        </w:tc>
        <w:tc>
          <w:tcPr>
            <w:tcW w:w="541" w:type="dxa"/>
            <w:shd w:val="clear" w:color="auto" w:fill="C6D9F1" w:themeFill="text2" w:themeFillTint="33"/>
            <w:noWrap/>
            <w:vAlign w:val="center"/>
            <w:hideMark/>
          </w:tcPr>
          <w:p w:rsidR="00306953" w:rsidRPr="00442515" w:rsidRDefault="00306953" w:rsidP="007E5BD0">
            <w:pPr>
              <w:keepNext/>
              <w:spacing w:after="0" w:line="240" w:lineRule="auto"/>
              <w:jc w:val="center"/>
              <w:rPr>
                <w:rFonts w:cs="Arial"/>
                <w:sz w:val="16"/>
                <w:szCs w:val="16"/>
              </w:rPr>
            </w:pPr>
            <w:r w:rsidRPr="00442515">
              <w:rPr>
                <w:rFonts w:cs="Arial"/>
                <w:sz w:val="16"/>
                <w:szCs w:val="16"/>
              </w:rPr>
              <w:t>136,9</w:t>
            </w:r>
          </w:p>
        </w:tc>
      </w:tr>
      <w:tr w:rsidR="00306953" w:rsidRPr="00442515" w:rsidTr="004A50B8">
        <w:trPr>
          <w:trHeight w:val="255"/>
        </w:trPr>
        <w:tc>
          <w:tcPr>
            <w:tcW w:w="3691" w:type="dxa"/>
            <w:vMerge/>
            <w:vAlign w:val="center"/>
            <w:hideMark/>
          </w:tcPr>
          <w:p w:rsidR="00306953" w:rsidRPr="00442515" w:rsidRDefault="00306953" w:rsidP="007E5BD0">
            <w:pPr>
              <w:spacing w:after="0" w:line="240" w:lineRule="auto"/>
              <w:rPr>
                <w:rFonts w:cs="Arial"/>
                <w:sz w:val="16"/>
                <w:szCs w:val="16"/>
              </w:rPr>
            </w:pPr>
          </w:p>
        </w:tc>
        <w:tc>
          <w:tcPr>
            <w:tcW w:w="2126" w:type="dxa"/>
            <w:shd w:val="clear" w:color="auto" w:fill="C6D9F1" w:themeFill="text2" w:themeFillTint="33"/>
            <w:noWrap/>
            <w:vAlign w:val="center"/>
            <w:hideMark/>
          </w:tcPr>
          <w:p w:rsidR="00306953" w:rsidRPr="00442515" w:rsidRDefault="00631582" w:rsidP="007E5BD0">
            <w:pPr>
              <w:spacing w:after="0" w:line="240" w:lineRule="auto"/>
              <w:rPr>
                <w:rFonts w:cs="Arial"/>
                <w:sz w:val="16"/>
                <w:szCs w:val="16"/>
              </w:rPr>
            </w:pPr>
            <w:r>
              <w:rPr>
                <w:rFonts w:cs="Arial"/>
                <w:sz w:val="16"/>
                <w:szCs w:val="16"/>
              </w:rPr>
              <w:t>p</w:t>
            </w:r>
            <w:r w:rsidR="00306953" w:rsidRPr="00442515">
              <w:rPr>
                <w:rFonts w:cs="Arial"/>
                <w:sz w:val="16"/>
                <w:szCs w:val="16"/>
              </w:rPr>
              <w:t>růměr EU21</w:t>
            </w:r>
          </w:p>
        </w:tc>
        <w:tc>
          <w:tcPr>
            <w:tcW w:w="496"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89,5</w:t>
            </w:r>
          </w:p>
        </w:tc>
        <w:tc>
          <w:tcPr>
            <w:tcW w:w="541"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100,0</w:t>
            </w:r>
          </w:p>
        </w:tc>
        <w:tc>
          <w:tcPr>
            <w:tcW w:w="541"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124,1</w:t>
            </w:r>
          </w:p>
        </w:tc>
        <w:tc>
          <w:tcPr>
            <w:tcW w:w="541"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136,9</w:t>
            </w:r>
          </w:p>
        </w:tc>
        <w:tc>
          <w:tcPr>
            <w:tcW w:w="541"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135,2</w:t>
            </w:r>
          </w:p>
        </w:tc>
        <w:tc>
          <w:tcPr>
            <w:tcW w:w="541"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153,3</w:t>
            </w:r>
          </w:p>
        </w:tc>
      </w:tr>
    </w:tbl>
    <w:p w:rsidR="00B632BA" w:rsidRDefault="00B632BA" w:rsidP="00B632BA">
      <w:pPr>
        <w:spacing w:before="120" w:after="0" w:line="240" w:lineRule="auto"/>
        <w:jc w:val="both"/>
        <w:rPr>
          <w:rFonts w:eastAsia="ChaparralPro-Regular" w:cs="Arial"/>
          <w:sz w:val="16"/>
          <w:szCs w:val="16"/>
        </w:rPr>
      </w:pPr>
      <w:r w:rsidRPr="00B632BA">
        <w:rPr>
          <w:rFonts w:eastAsia="ChaparralPro-Regular" w:cs="Arial"/>
          <w:sz w:val="16"/>
          <w:szCs w:val="16"/>
          <w:vertAlign w:val="superscript"/>
        </w:rPr>
        <w:t>1)</w:t>
      </w:r>
      <w:r>
        <w:rPr>
          <w:rFonts w:eastAsia="ChaparralPro-Regular" w:cs="Arial"/>
          <w:sz w:val="16"/>
          <w:szCs w:val="16"/>
        </w:rPr>
        <w:t xml:space="preserve"> bez mezinárodních zdrojů</w:t>
      </w:r>
    </w:p>
    <w:p w:rsidR="00B632BA" w:rsidRDefault="00B632BA" w:rsidP="00B632BA">
      <w:pPr>
        <w:spacing w:after="0" w:line="240" w:lineRule="auto"/>
        <w:jc w:val="both"/>
        <w:rPr>
          <w:rFonts w:eastAsia="ChaparralPro-Regular" w:cs="Arial"/>
          <w:sz w:val="16"/>
          <w:szCs w:val="16"/>
        </w:rPr>
      </w:pPr>
      <w:r w:rsidRPr="00B632BA">
        <w:rPr>
          <w:rFonts w:eastAsia="ChaparralPro-Regular" w:cs="Arial"/>
          <w:sz w:val="16"/>
          <w:szCs w:val="16"/>
          <w:vertAlign w:val="superscript"/>
        </w:rPr>
        <w:t>2)</w:t>
      </w:r>
      <w:r>
        <w:rPr>
          <w:rFonts w:eastAsia="ChaparralPro-Regular" w:cs="Arial"/>
          <w:sz w:val="16"/>
          <w:szCs w:val="16"/>
        </w:rPr>
        <w:t xml:space="preserve"> v</w:t>
      </w:r>
      <w:r w:rsidRPr="00442515">
        <w:rPr>
          <w:rFonts w:eastAsia="ChaparralPro-Regular" w:cs="Arial"/>
          <w:sz w:val="16"/>
          <w:szCs w:val="16"/>
        </w:rPr>
        <w:t xml:space="preserve">četně dotací z veřejných zdrojů určených na úhradu poplatků </w:t>
      </w:r>
      <w:r>
        <w:rPr>
          <w:rFonts w:eastAsia="ChaparralPro-Regular" w:cs="Arial"/>
          <w:sz w:val="16"/>
          <w:szCs w:val="16"/>
        </w:rPr>
        <w:t xml:space="preserve">soukromých osob </w:t>
      </w:r>
      <w:r w:rsidRPr="00442515">
        <w:rPr>
          <w:rFonts w:eastAsia="ChaparralPro-Regular" w:cs="Arial"/>
          <w:sz w:val="16"/>
          <w:szCs w:val="16"/>
        </w:rPr>
        <w:t>vzdělávacím institucím</w:t>
      </w:r>
    </w:p>
    <w:p w:rsidR="00306953" w:rsidRPr="00442515" w:rsidRDefault="00306953" w:rsidP="00B632BA">
      <w:pPr>
        <w:spacing w:after="0" w:line="240" w:lineRule="auto"/>
        <w:jc w:val="both"/>
        <w:rPr>
          <w:rFonts w:eastAsia="ChaparralPro-Regular" w:cs="Arial"/>
          <w:sz w:val="16"/>
          <w:szCs w:val="16"/>
        </w:rPr>
      </w:pPr>
      <w:r w:rsidRPr="00442515">
        <w:rPr>
          <w:rFonts w:eastAsia="ChaparralPro-Regular" w:cs="Arial"/>
          <w:sz w:val="16"/>
          <w:szCs w:val="16"/>
        </w:rPr>
        <w:t xml:space="preserve">Zdroj: OECD 2015, tabulka B 3.2a. StatLink: </w:t>
      </w:r>
      <w:hyperlink r:id="rId94" w:history="1">
        <w:r w:rsidRPr="00442515">
          <w:rPr>
            <w:rStyle w:val="Hypertextovodkaz"/>
            <w:rFonts w:cs="Arial"/>
            <w:sz w:val="16"/>
            <w:szCs w:val="16"/>
          </w:rPr>
          <w:t>http://dx.doi.org/10.1787/888933285480</w:t>
        </w:r>
      </w:hyperlink>
      <w:r w:rsidRPr="00442515">
        <w:rPr>
          <w:rFonts w:cs="Arial"/>
          <w:color w:val="231F20"/>
          <w:sz w:val="16"/>
          <w:szCs w:val="16"/>
        </w:rPr>
        <w:t xml:space="preserve">, </w:t>
      </w:r>
      <w:r w:rsidRPr="00442515">
        <w:rPr>
          <w:rFonts w:eastAsia="ChaparralPro-Regular" w:cs="Arial"/>
          <w:sz w:val="16"/>
          <w:szCs w:val="16"/>
        </w:rPr>
        <w:t>výběr údajů ČSÚ.</w:t>
      </w:r>
    </w:p>
    <w:p w:rsidR="00306953" w:rsidRPr="00306953" w:rsidRDefault="00306953" w:rsidP="00B632BA">
      <w:pPr>
        <w:spacing w:after="0" w:line="240" w:lineRule="auto"/>
        <w:jc w:val="both"/>
        <w:rPr>
          <w:rFonts w:cs="Arial"/>
        </w:rPr>
      </w:pPr>
    </w:p>
    <w:p w:rsidR="00306953" w:rsidRPr="00306953" w:rsidRDefault="00306953" w:rsidP="00306953">
      <w:pPr>
        <w:spacing w:after="120" w:line="240" w:lineRule="auto"/>
        <w:jc w:val="both"/>
        <w:rPr>
          <w:rFonts w:cs="Arial"/>
          <w:b/>
        </w:rPr>
      </w:pPr>
      <w:r w:rsidRPr="00306953">
        <w:rPr>
          <w:rFonts w:cs="Arial"/>
          <w:b/>
        </w:rPr>
        <w:t>Tabulka č. 17 Vývoj podílu veřejných</w:t>
      </w:r>
      <w:r w:rsidR="00B632BA" w:rsidRPr="00B632BA">
        <w:rPr>
          <w:rFonts w:cs="Arial"/>
          <w:b/>
          <w:vertAlign w:val="superscript"/>
        </w:rPr>
        <w:t>1)</w:t>
      </w:r>
      <w:r w:rsidRPr="00306953">
        <w:rPr>
          <w:rFonts w:cs="Arial"/>
          <w:b/>
        </w:rPr>
        <w:t xml:space="preserve"> a soukromých výdajů na vzdělávací instituce terciární úrovně (2000 až 2012)</w:t>
      </w:r>
    </w:p>
    <w:tbl>
      <w:tblPr>
        <w:tblW w:w="8991" w:type="dxa"/>
        <w:tblInd w:w="6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3691"/>
        <w:gridCol w:w="1843"/>
        <w:gridCol w:w="567"/>
        <w:gridCol w:w="674"/>
        <w:gridCol w:w="541"/>
        <w:gridCol w:w="541"/>
        <w:gridCol w:w="567"/>
        <w:gridCol w:w="567"/>
      </w:tblGrid>
      <w:tr w:rsidR="00306953" w:rsidRPr="00442515" w:rsidTr="004A50B8">
        <w:trPr>
          <w:trHeight w:val="176"/>
        </w:trPr>
        <w:tc>
          <w:tcPr>
            <w:tcW w:w="5534" w:type="dxa"/>
            <w:gridSpan w:val="2"/>
            <w:vMerge w:val="restart"/>
            <w:tcBorders>
              <w:top w:val="double" w:sz="4" w:space="0" w:color="auto"/>
              <w:bottom w:val="single" w:sz="4" w:space="0" w:color="auto"/>
            </w:tcBorders>
            <w:shd w:val="clear" w:color="auto" w:fill="FFCCCC"/>
            <w:noWrap/>
            <w:vAlign w:val="center"/>
            <w:hideMark/>
          </w:tcPr>
          <w:p w:rsidR="00306953" w:rsidRPr="001042AC" w:rsidRDefault="00EA6A4F" w:rsidP="00B07DEE">
            <w:pPr>
              <w:spacing w:after="0" w:line="240" w:lineRule="auto"/>
              <w:jc w:val="center"/>
              <w:rPr>
                <w:rFonts w:cs="Arial"/>
                <w:b/>
                <w:color w:val="000000"/>
                <w:sz w:val="16"/>
                <w:szCs w:val="16"/>
              </w:rPr>
            </w:pPr>
            <w:r>
              <w:rPr>
                <w:rFonts w:cs="Arial"/>
                <w:b/>
                <w:color w:val="000000"/>
                <w:sz w:val="16"/>
                <w:szCs w:val="16"/>
              </w:rPr>
              <w:t>t</w:t>
            </w:r>
            <w:r w:rsidR="00306953" w:rsidRPr="001042AC">
              <w:rPr>
                <w:rFonts w:cs="Arial"/>
                <w:b/>
                <w:color w:val="000000"/>
                <w:sz w:val="16"/>
                <w:szCs w:val="16"/>
              </w:rPr>
              <w:t>erciární vzdělávání</w:t>
            </w:r>
          </w:p>
        </w:tc>
        <w:tc>
          <w:tcPr>
            <w:tcW w:w="3457" w:type="dxa"/>
            <w:gridSpan w:val="6"/>
            <w:tcBorders>
              <w:top w:val="double" w:sz="4" w:space="0" w:color="auto"/>
              <w:bottom w:val="single" w:sz="4" w:space="0" w:color="auto"/>
            </w:tcBorders>
            <w:shd w:val="clear" w:color="auto" w:fill="FFCCCC"/>
            <w:vAlign w:val="center"/>
            <w:hideMark/>
          </w:tcPr>
          <w:p w:rsidR="00306953" w:rsidRPr="001042AC" w:rsidRDefault="00EA6A4F" w:rsidP="007E5BD0">
            <w:pPr>
              <w:spacing w:after="0" w:line="240" w:lineRule="auto"/>
              <w:jc w:val="center"/>
              <w:rPr>
                <w:rFonts w:cs="Arial"/>
                <w:b/>
                <w:color w:val="000000"/>
                <w:sz w:val="16"/>
                <w:szCs w:val="16"/>
              </w:rPr>
            </w:pPr>
            <w:r>
              <w:rPr>
                <w:rFonts w:cs="Arial"/>
                <w:b/>
                <w:color w:val="000000"/>
                <w:sz w:val="16"/>
                <w:szCs w:val="16"/>
              </w:rPr>
              <w:t>rok</w:t>
            </w:r>
          </w:p>
        </w:tc>
      </w:tr>
      <w:tr w:rsidR="00306953" w:rsidRPr="00442515" w:rsidTr="004A50B8">
        <w:trPr>
          <w:trHeight w:val="260"/>
        </w:trPr>
        <w:tc>
          <w:tcPr>
            <w:tcW w:w="5534" w:type="dxa"/>
            <w:gridSpan w:val="2"/>
            <w:vMerge/>
            <w:tcBorders>
              <w:top w:val="single" w:sz="4" w:space="0" w:color="auto"/>
              <w:bottom w:val="double" w:sz="4" w:space="0" w:color="auto"/>
            </w:tcBorders>
            <w:shd w:val="clear" w:color="auto" w:fill="FFCCCC"/>
            <w:vAlign w:val="center"/>
            <w:hideMark/>
          </w:tcPr>
          <w:p w:rsidR="00306953" w:rsidRPr="001042AC" w:rsidRDefault="00306953" w:rsidP="007E5BD0">
            <w:pPr>
              <w:spacing w:after="0" w:line="240" w:lineRule="auto"/>
              <w:rPr>
                <w:rFonts w:cs="Arial"/>
                <w:b/>
                <w:color w:val="000000"/>
                <w:sz w:val="16"/>
                <w:szCs w:val="16"/>
              </w:rPr>
            </w:pPr>
          </w:p>
        </w:tc>
        <w:tc>
          <w:tcPr>
            <w:tcW w:w="567" w:type="dxa"/>
            <w:tcBorders>
              <w:top w:val="single" w:sz="4" w:space="0" w:color="auto"/>
              <w:bottom w:val="double" w:sz="4" w:space="0" w:color="auto"/>
            </w:tcBorders>
            <w:shd w:val="clear" w:color="auto" w:fill="FFCCCC"/>
            <w:noWrap/>
            <w:vAlign w:val="center"/>
            <w:hideMark/>
          </w:tcPr>
          <w:p w:rsidR="00306953" w:rsidRPr="001042AC" w:rsidRDefault="00306953" w:rsidP="007E5BD0">
            <w:pPr>
              <w:spacing w:after="0" w:line="240" w:lineRule="auto"/>
              <w:jc w:val="center"/>
              <w:rPr>
                <w:rFonts w:cs="Arial"/>
                <w:b/>
                <w:color w:val="000000"/>
                <w:sz w:val="16"/>
                <w:szCs w:val="16"/>
              </w:rPr>
            </w:pPr>
            <w:r w:rsidRPr="001042AC">
              <w:rPr>
                <w:rFonts w:cs="Arial"/>
                <w:b/>
                <w:color w:val="000000"/>
                <w:sz w:val="16"/>
                <w:szCs w:val="16"/>
              </w:rPr>
              <w:t>2000</w:t>
            </w:r>
          </w:p>
        </w:tc>
        <w:tc>
          <w:tcPr>
            <w:tcW w:w="674" w:type="dxa"/>
            <w:tcBorders>
              <w:top w:val="single" w:sz="4" w:space="0" w:color="auto"/>
              <w:bottom w:val="double" w:sz="4" w:space="0" w:color="auto"/>
            </w:tcBorders>
            <w:shd w:val="clear" w:color="auto" w:fill="FFCCCC"/>
            <w:noWrap/>
            <w:vAlign w:val="center"/>
            <w:hideMark/>
          </w:tcPr>
          <w:p w:rsidR="00306953" w:rsidRPr="001042AC" w:rsidRDefault="00306953" w:rsidP="007E5BD0">
            <w:pPr>
              <w:spacing w:after="0" w:line="240" w:lineRule="auto"/>
              <w:jc w:val="center"/>
              <w:rPr>
                <w:rFonts w:cs="Arial"/>
                <w:b/>
                <w:color w:val="000000"/>
                <w:sz w:val="16"/>
                <w:szCs w:val="16"/>
              </w:rPr>
            </w:pPr>
            <w:r w:rsidRPr="001042AC">
              <w:rPr>
                <w:rFonts w:cs="Arial"/>
                <w:b/>
                <w:color w:val="000000"/>
                <w:sz w:val="16"/>
                <w:szCs w:val="16"/>
              </w:rPr>
              <w:t>2005</w:t>
            </w:r>
          </w:p>
        </w:tc>
        <w:tc>
          <w:tcPr>
            <w:tcW w:w="541" w:type="dxa"/>
            <w:tcBorders>
              <w:top w:val="single" w:sz="4" w:space="0" w:color="auto"/>
              <w:bottom w:val="double" w:sz="4" w:space="0" w:color="auto"/>
            </w:tcBorders>
            <w:shd w:val="clear" w:color="auto" w:fill="FFCCCC"/>
            <w:noWrap/>
            <w:vAlign w:val="center"/>
            <w:hideMark/>
          </w:tcPr>
          <w:p w:rsidR="00306953" w:rsidRPr="001042AC" w:rsidRDefault="00306953" w:rsidP="007E5BD0">
            <w:pPr>
              <w:spacing w:after="0" w:line="240" w:lineRule="auto"/>
              <w:jc w:val="center"/>
              <w:rPr>
                <w:rFonts w:cs="Arial"/>
                <w:b/>
                <w:color w:val="000000"/>
                <w:sz w:val="16"/>
                <w:szCs w:val="16"/>
              </w:rPr>
            </w:pPr>
            <w:r w:rsidRPr="001042AC">
              <w:rPr>
                <w:rFonts w:cs="Arial"/>
                <w:b/>
                <w:color w:val="000000"/>
                <w:sz w:val="16"/>
                <w:szCs w:val="16"/>
              </w:rPr>
              <w:t>2008</w:t>
            </w:r>
          </w:p>
        </w:tc>
        <w:tc>
          <w:tcPr>
            <w:tcW w:w="541" w:type="dxa"/>
            <w:tcBorders>
              <w:top w:val="single" w:sz="4" w:space="0" w:color="auto"/>
              <w:bottom w:val="double" w:sz="4" w:space="0" w:color="auto"/>
            </w:tcBorders>
            <w:shd w:val="clear" w:color="auto" w:fill="FFCCCC"/>
            <w:noWrap/>
            <w:vAlign w:val="center"/>
            <w:hideMark/>
          </w:tcPr>
          <w:p w:rsidR="00306953" w:rsidRPr="001042AC" w:rsidRDefault="00306953" w:rsidP="007E5BD0">
            <w:pPr>
              <w:spacing w:after="0" w:line="240" w:lineRule="auto"/>
              <w:jc w:val="center"/>
              <w:rPr>
                <w:rFonts w:cs="Arial"/>
                <w:b/>
                <w:color w:val="000000"/>
                <w:sz w:val="16"/>
                <w:szCs w:val="16"/>
              </w:rPr>
            </w:pPr>
            <w:r w:rsidRPr="001042AC">
              <w:rPr>
                <w:rFonts w:cs="Arial"/>
                <w:b/>
                <w:color w:val="000000"/>
                <w:sz w:val="16"/>
                <w:szCs w:val="16"/>
              </w:rPr>
              <w:t>2010</w:t>
            </w:r>
          </w:p>
        </w:tc>
        <w:tc>
          <w:tcPr>
            <w:tcW w:w="567" w:type="dxa"/>
            <w:tcBorders>
              <w:top w:val="single" w:sz="4" w:space="0" w:color="auto"/>
              <w:bottom w:val="double" w:sz="4" w:space="0" w:color="auto"/>
            </w:tcBorders>
            <w:shd w:val="clear" w:color="auto" w:fill="FFCCCC"/>
            <w:noWrap/>
            <w:vAlign w:val="center"/>
            <w:hideMark/>
          </w:tcPr>
          <w:p w:rsidR="00306953" w:rsidRPr="001042AC" w:rsidRDefault="00306953" w:rsidP="007E5BD0">
            <w:pPr>
              <w:spacing w:after="0" w:line="240" w:lineRule="auto"/>
              <w:jc w:val="center"/>
              <w:rPr>
                <w:rFonts w:cs="Arial"/>
                <w:b/>
                <w:color w:val="000000"/>
                <w:sz w:val="16"/>
                <w:szCs w:val="16"/>
              </w:rPr>
            </w:pPr>
            <w:r w:rsidRPr="001042AC">
              <w:rPr>
                <w:rFonts w:cs="Arial"/>
                <w:b/>
                <w:color w:val="000000"/>
                <w:sz w:val="16"/>
                <w:szCs w:val="16"/>
              </w:rPr>
              <w:t>2011</w:t>
            </w:r>
          </w:p>
        </w:tc>
        <w:tc>
          <w:tcPr>
            <w:tcW w:w="567" w:type="dxa"/>
            <w:tcBorders>
              <w:top w:val="single" w:sz="4" w:space="0" w:color="auto"/>
              <w:bottom w:val="double" w:sz="4" w:space="0" w:color="auto"/>
            </w:tcBorders>
            <w:shd w:val="clear" w:color="auto" w:fill="FFCCCC"/>
            <w:noWrap/>
            <w:vAlign w:val="center"/>
            <w:hideMark/>
          </w:tcPr>
          <w:p w:rsidR="00306953" w:rsidRPr="001042AC" w:rsidRDefault="00306953" w:rsidP="007E5BD0">
            <w:pPr>
              <w:spacing w:after="0" w:line="240" w:lineRule="auto"/>
              <w:jc w:val="center"/>
              <w:rPr>
                <w:rFonts w:cs="Arial"/>
                <w:b/>
                <w:color w:val="000000"/>
                <w:sz w:val="16"/>
                <w:szCs w:val="16"/>
              </w:rPr>
            </w:pPr>
            <w:r w:rsidRPr="001042AC">
              <w:rPr>
                <w:rFonts w:cs="Arial"/>
                <w:b/>
                <w:color w:val="000000"/>
                <w:sz w:val="16"/>
                <w:szCs w:val="16"/>
              </w:rPr>
              <w:t>2012</w:t>
            </w:r>
          </w:p>
        </w:tc>
      </w:tr>
      <w:tr w:rsidR="00306953" w:rsidRPr="00442515" w:rsidTr="004A50B8">
        <w:trPr>
          <w:trHeight w:val="255"/>
        </w:trPr>
        <w:tc>
          <w:tcPr>
            <w:tcW w:w="3691" w:type="dxa"/>
            <w:vMerge w:val="restart"/>
            <w:tcBorders>
              <w:top w:val="double" w:sz="4" w:space="0" w:color="auto"/>
            </w:tcBorders>
            <w:shd w:val="clear" w:color="000000" w:fill="FFFFFF"/>
            <w:vAlign w:val="center"/>
            <w:hideMark/>
          </w:tcPr>
          <w:p w:rsidR="00306953" w:rsidRPr="00442515" w:rsidRDefault="00EA6A4F" w:rsidP="007E5BD0">
            <w:pPr>
              <w:spacing w:after="0" w:line="240" w:lineRule="auto"/>
              <w:rPr>
                <w:rFonts w:cs="Arial"/>
                <w:sz w:val="16"/>
                <w:szCs w:val="16"/>
              </w:rPr>
            </w:pPr>
            <w:r>
              <w:rPr>
                <w:rFonts w:cs="Arial"/>
                <w:sz w:val="16"/>
                <w:szCs w:val="16"/>
              </w:rPr>
              <w:t>p</w:t>
            </w:r>
            <w:r w:rsidR="00306953" w:rsidRPr="00442515">
              <w:rPr>
                <w:rFonts w:cs="Arial"/>
                <w:sz w:val="16"/>
                <w:szCs w:val="16"/>
              </w:rPr>
              <w:t>odíl veřejných výdajů ze všech výdajů na vzdělávací instituce (v %)</w:t>
            </w:r>
          </w:p>
        </w:tc>
        <w:tc>
          <w:tcPr>
            <w:tcW w:w="1843" w:type="dxa"/>
            <w:tcBorders>
              <w:top w:val="double" w:sz="4" w:space="0" w:color="auto"/>
            </w:tcBorders>
            <w:shd w:val="clear" w:color="000000" w:fill="FFFFFF"/>
            <w:noWrap/>
            <w:vAlign w:val="center"/>
            <w:hideMark/>
          </w:tcPr>
          <w:p w:rsidR="00306953" w:rsidRPr="00442515" w:rsidRDefault="00306953" w:rsidP="007E5BD0">
            <w:pPr>
              <w:spacing w:after="0" w:line="240" w:lineRule="auto"/>
              <w:rPr>
                <w:rFonts w:cs="Arial"/>
                <w:sz w:val="16"/>
                <w:szCs w:val="16"/>
              </w:rPr>
            </w:pPr>
            <w:r w:rsidRPr="00442515">
              <w:rPr>
                <w:rFonts w:cs="Arial"/>
                <w:sz w:val="16"/>
                <w:szCs w:val="16"/>
              </w:rPr>
              <w:t>Česká republika</w:t>
            </w:r>
          </w:p>
        </w:tc>
        <w:tc>
          <w:tcPr>
            <w:tcW w:w="567" w:type="dxa"/>
            <w:tcBorders>
              <w:top w:val="double" w:sz="4" w:space="0" w:color="auto"/>
            </w:tcBorders>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85,4</w:t>
            </w:r>
          </w:p>
        </w:tc>
        <w:tc>
          <w:tcPr>
            <w:tcW w:w="674" w:type="dxa"/>
            <w:tcBorders>
              <w:top w:val="double" w:sz="4" w:space="0" w:color="auto"/>
            </w:tcBorders>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81,2</w:t>
            </w:r>
          </w:p>
        </w:tc>
        <w:tc>
          <w:tcPr>
            <w:tcW w:w="541" w:type="dxa"/>
            <w:tcBorders>
              <w:top w:val="double" w:sz="4" w:space="0" w:color="auto"/>
            </w:tcBorders>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79,1</w:t>
            </w:r>
          </w:p>
        </w:tc>
        <w:tc>
          <w:tcPr>
            <w:tcW w:w="541" w:type="dxa"/>
            <w:tcBorders>
              <w:top w:val="double" w:sz="4" w:space="0" w:color="auto"/>
            </w:tcBorders>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78,8</w:t>
            </w:r>
          </w:p>
        </w:tc>
        <w:tc>
          <w:tcPr>
            <w:tcW w:w="567" w:type="dxa"/>
            <w:tcBorders>
              <w:top w:val="double" w:sz="4" w:space="0" w:color="auto"/>
            </w:tcBorders>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81,1</w:t>
            </w:r>
          </w:p>
        </w:tc>
        <w:tc>
          <w:tcPr>
            <w:tcW w:w="567" w:type="dxa"/>
            <w:tcBorders>
              <w:top w:val="double" w:sz="4" w:space="0" w:color="auto"/>
            </w:tcBorders>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79,3</w:t>
            </w:r>
          </w:p>
        </w:tc>
      </w:tr>
      <w:tr w:rsidR="00306953" w:rsidRPr="00442515" w:rsidTr="004A50B8">
        <w:trPr>
          <w:trHeight w:val="255"/>
        </w:trPr>
        <w:tc>
          <w:tcPr>
            <w:tcW w:w="3691" w:type="dxa"/>
            <w:vMerge/>
            <w:vAlign w:val="center"/>
            <w:hideMark/>
          </w:tcPr>
          <w:p w:rsidR="00306953" w:rsidRPr="00442515" w:rsidRDefault="00306953" w:rsidP="007E5BD0">
            <w:pPr>
              <w:spacing w:after="0" w:line="240" w:lineRule="auto"/>
              <w:rPr>
                <w:rFonts w:cs="Arial"/>
                <w:sz w:val="16"/>
                <w:szCs w:val="16"/>
              </w:rPr>
            </w:pPr>
          </w:p>
        </w:tc>
        <w:tc>
          <w:tcPr>
            <w:tcW w:w="1843" w:type="dxa"/>
            <w:shd w:val="clear" w:color="auto" w:fill="C6D9F1" w:themeFill="text2" w:themeFillTint="33"/>
            <w:noWrap/>
            <w:vAlign w:val="center"/>
            <w:hideMark/>
          </w:tcPr>
          <w:p w:rsidR="00306953" w:rsidRPr="00442515" w:rsidRDefault="00631582" w:rsidP="007E5BD0">
            <w:pPr>
              <w:spacing w:after="0" w:line="240" w:lineRule="auto"/>
              <w:rPr>
                <w:rFonts w:cs="Arial"/>
                <w:sz w:val="16"/>
                <w:szCs w:val="16"/>
              </w:rPr>
            </w:pPr>
            <w:r>
              <w:rPr>
                <w:rFonts w:cs="Arial"/>
                <w:sz w:val="16"/>
                <w:szCs w:val="16"/>
              </w:rPr>
              <w:t>p</w:t>
            </w:r>
            <w:r w:rsidR="00306953" w:rsidRPr="00442515">
              <w:rPr>
                <w:rFonts w:cs="Arial"/>
                <w:sz w:val="16"/>
                <w:szCs w:val="16"/>
              </w:rPr>
              <w:t>růměr OECD</w:t>
            </w:r>
          </w:p>
        </w:tc>
        <w:tc>
          <w:tcPr>
            <w:tcW w:w="567"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72,7</w:t>
            </w:r>
          </w:p>
        </w:tc>
        <w:tc>
          <w:tcPr>
            <w:tcW w:w="674"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70,7</w:t>
            </w:r>
          </w:p>
        </w:tc>
        <w:tc>
          <w:tcPr>
            <w:tcW w:w="541"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69,1</w:t>
            </w:r>
          </w:p>
        </w:tc>
        <w:tc>
          <w:tcPr>
            <w:tcW w:w="541"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70,2</w:t>
            </w:r>
          </w:p>
        </w:tc>
        <w:tc>
          <w:tcPr>
            <w:tcW w:w="567"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70,4</w:t>
            </w:r>
          </w:p>
        </w:tc>
        <w:tc>
          <w:tcPr>
            <w:tcW w:w="567"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69,7</w:t>
            </w:r>
          </w:p>
        </w:tc>
      </w:tr>
      <w:tr w:rsidR="00306953" w:rsidRPr="00442515" w:rsidTr="004A50B8">
        <w:trPr>
          <w:trHeight w:val="255"/>
        </w:trPr>
        <w:tc>
          <w:tcPr>
            <w:tcW w:w="3691" w:type="dxa"/>
            <w:vMerge/>
            <w:vAlign w:val="center"/>
            <w:hideMark/>
          </w:tcPr>
          <w:p w:rsidR="00306953" w:rsidRPr="00442515" w:rsidRDefault="00306953" w:rsidP="007E5BD0">
            <w:pPr>
              <w:spacing w:after="0" w:line="240" w:lineRule="auto"/>
              <w:rPr>
                <w:rFonts w:cs="Arial"/>
                <w:sz w:val="16"/>
                <w:szCs w:val="16"/>
              </w:rPr>
            </w:pPr>
          </w:p>
        </w:tc>
        <w:tc>
          <w:tcPr>
            <w:tcW w:w="1843" w:type="dxa"/>
            <w:shd w:val="clear" w:color="auto" w:fill="C6D9F1" w:themeFill="text2" w:themeFillTint="33"/>
            <w:noWrap/>
            <w:vAlign w:val="center"/>
            <w:hideMark/>
          </w:tcPr>
          <w:p w:rsidR="00306953" w:rsidRPr="00442515" w:rsidRDefault="00631582" w:rsidP="007E5BD0">
            <w:pPr>
              <w:spacing w:after="0" w:line="240" w:lineRule="auto"/>
              <w:rPr>
                <w:rFonts w:cs="Arial"/>
                <w:sz w:val="16"/>
                <w:szCs w:val="16"/>
              </w:rPr>
            </w:pPr>
            <w:r>
              <w:rPr>
                <w:rFonts w:cs="Arial"/>
                <w:sz w:val="16"/>
                <w:szCs w:val="16"/>
              </w:rPr>
              <w:t>p</w:t>
            </w:r>
            <w:r w:rsidR="00306953" w:rsidRPr="00442515">
              <w:rPr>
                <w:rFonts w:cs="Arial"/>
                <w:sz w:val="16"/>
                <w:szCs w:val="16"/>
              </w:rPr>
              <w:t>růměr EU21</w:t>
            </w:r>
          </w:p>
        </w:tc>
        <w:tc>
          <w:tcPr>
            <w:tcW w:w="567"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84,9</w:t>
            </w:r>
          </w:p>
        </w:tc>
        <w:tc>
          <w:tcPr>
            <w:tcW w:w="674"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81,5</w:t>
            </w:r>
          </w:p>
        </w:tc>
        <w:tc>
          <w:tcPr>
            <w:tcW w:w="541"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80,1</w:t>
            </w:r>
          </w:p>
        </w:tc>
        <w:tc>
          <w:tcPr>
            <w:tcW w:w="541"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80,5</w:t>
            </w:r>
          </w:p>
        </w:tc>
        <w:tc>
          <w:tcPr>
            <w:tcW w:w="567"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81,3</w:t>
            </w:r>
          </w:p>
        </w:tc>
        <w:tc>
          <w:tcPr>
            <w:tcW w:w="567"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78,1</w:t>
            </w:r>
          </w:p>
        </w:tc>
      </w:tr>
      <w:tr w:rsidR="00306953" w:rsidRPr="00442515" w:rsidTr="004A50B8">
        <w:trPr>
          <w:trHeight w:val="255"/>
        </w:trPr>
        <w:tc>
          <w:tcPr>
            <w:tcW w:w="3691" w:type="dxa"/>
            <w:vMerge w:val="restart"/>
            <w:shd w:val="clear" w:color="000000" w:fill="FFFFFF"/>
            <w:vAlign w:val="center"/>
            <w:hideMark/>
          </w:tcPr>
          <w:p w:rsidR="004A50B8" w:rsidRDefault="00EA6A4F" w:rsidP="007E5BD0">
            <w:pPr>
              <w:spacing w:after="0" w:line="240" w:lineRule="auto"/>
              <w:rPr>
                <w:rFonts w:cs="Arial"/>
                <w:sz w:val="16"/>
                <w:szCs w:val="16"/>
              </w:rPr>
            </w:pPr>
            <w:r>
              <w:rPr>
                <w:rFonts w:cs="Arial"/>
                <w:sz w:val="16"/>
                <w:szCs w:val="16"/>
              </w:rPr>
              <w:t>i</w:t>
            </w:r>
            <w:r w:rsidR="00306953" w:rsidRPr="00442515">
              <w:rPr>
                <w:rFonts w:cs="Arial"/>
                <w:sz w:val="16"/>
                <w:szCs w:val="16"/>
              </w:rPr>
              <w:t xml:space="preserve">ndex změny ve výdajích z veřejných zdrojů </w:t>
            </w:r>
          </w:p>
          <w:p w:rsidR="00306953" w:rsidRPr="00442515" w:rsidRDefault="00306953" w:rsidP="007E5BD0">
            <w:pPr>
              <w:spacing w:after="0" w:line="240" w:lineRule="auto"/>
              <w:rPr>
                <w:rFonts w:cs="Arial"/>
                <w:sz w:val="16"/>
                <w:szCs w:val="16"/>
              </w:rPr>
            </w:pPr>
            <w:r w:rsidRPr="00442515">
              <w:rPr>
                <w:rFonts w:cs="Arial"/>
                <w:sz w:val="16"/>
                <w:szCs w:val="16"/>
              </w:rPr>
              <w:t>(2005 = 100 %, konstantní ceny)</w:t>
            </w:r>
          </w:p>
        </w:tc>
        <w:tc>
          <w:tcPr>
            <w:tcW w:w="1843" w:type="dxa"/>
            <w:shd w:val="clear" w:color="000000" w:fill="FFFFFF"/>
            <w:noWrap/>
            <w:vAlign w:val="center"/>
            <w:hideMark/>
          </w:tcPr>
          <w:p w:rsidR="00306953" w:rsidRPr="00442515" w:rsidRDefault="00306953" w:rsidP="007E5BD0">
            <w:pPr>
              <w:spacing w:after="0" w:line="240" w:lineRule="auto"/>
              <w:rPr>
                <w:rFonts w:cs="Arial"/>
                <w:sz w:val="16"/>
                <w:szCs w:val="16"/>
              </w:rPr>
            </w:pPr>
            <w:r w:rsidRPr="00442515">
              <w:rPr>
                <w:rFonts w:cs="Arial"/>
                <w:sz w:val="16"/>
                <w:szCs w:val="16"/>
              </w:rPr>
              <w:t>Česká republika</w:t>
            </w:r>
          </w:p>
        </w:tc>
        <w:tc>
          <w:tcPr>
            <w:tcW w:w="567"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67,9</w:t>
            </w:r>
          </w:p>
        </w:tc>
        <w:tc>
          <w:tcPr>
            <w:tcW w:w="674"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100,0</w:t>
            </w:r>
          </w:p>
        </w:tc>
        <w:tc>
          <w:tcPr>
            <w:tcW w:w="541"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127,1</w:t>
            </w:r>
          </w:p>
        </w:tc>
        <w:tc>
          <w:tcPr>
            <w:tcW w:w="541"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130,7</w:t>
            </w:r>
          </w:p>
        </w:tc>
        <w:tc>
          <w:tcPr>
            <w:tcW w:w="567"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162,3</w:t>
            </w:r>
          </w:p>
        </w:tc>
        <w:tc>
          <w:tcPr>
            <w:tcW w:w="567"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145,1</w:t>
            </w:r>
          </w:p>
        </w:tc>
      </w:tr>
      <w:tr w:rsidR="00306953" w:rsidRPr="00442515" w:rsidTr="004A50B8">
        <w:trPr>
          <w:trHeight w:val="255"/>
        </w:trPr>
        <w:tc>
          <w:tcPr>
            <w:tcW w:w="3691" w:type="dxa"/>
            <w:vMerge/>
            <w:vAlign w:val="center"/>
            <w:hideMark/>
          </w:tcPr>
          <w:p w:rsidR="00306953" w:rsidRPr="00442515" w:rsidRDefault="00306953" w:rsidP="007E5BD0">
            <w:pPr>
              <w:spacing w:after="0" w:line="240" w:lineRule="auto"/>
              <w:rPr>
                <w:rFonts w:cs="Arial"/>
                <w:sz w:val="16"/>
                <w:szCs w:val="16"/>
              </w:rPr>
            </w:pPr>
          </w:p>
        </w:tc>
        <w:tc>
          <w:tcPr>
            <w:tcW w:w="1843" w:type="dxa"/>
            <w:shd w:val="clear" w:color="auto" w:fill="C6D9F1" w:themeFill="text2" w:themeFillTint="33"/>
            <w:noWrap/>
            <w:vAlign w:val="center"/>
            <w:hideMark/>
          </w:tcPr>
          <w:p w:rsidR="00306953" w:rsidRPr="00442515" w:rsidRDefault="00631582" w:rsidP="007E5BD0">
            <w:pPr>
              <w:spacing w:after="0" w:line="240" w:lineRule="auto"/>
              <w:rPr>
                <w:rFonts w:cs="Arial"/>
                <w:sz w:val="16"/>
                <w:szCs w:val="16"/>
              </w:rPr>
            </w:pPr>
            <w:r>
              <w:rPr>
                <w:rFonts w:cs="Arial"/>
                <w:sz w:val="16"/>
                <w:szCs w:val="16"/>
              </w:rPr>
              <w:t>p</w:t>
            </w:r>
            <w:r w:rsidR="00306953" w:rsidRPr="00442515">
              <w:rPr>
                <w:rFonts w:cs="Arial"/>
                <w:sz w:val="16"/>
                <w:szCs w:val="16"/>
              </w:rPr>
              <w:t>růměr OECD</w:t>
            </w:r>
          </w:p>
        </w:tc>
        <w:tc>
          <w:tcPr>
            <w:tcW w:w="567"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86,0</w:t>
            </w:r>
          </w:p>
        </w:tc>
        <w:tc>
          <w:tcPr>
            <w:tcW w:w="674"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100,0</w:t>
            </w:r>
          </w:p>
        </w:tc>
        <w:tc>
          <w:tcPr>
            <w:tcW w:w="541"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111,5</w:t>
            </w:r>
          </w:p>
        </w:tc>
        <w:tc>
          <w:tcPr>
            <w:tcW w:w="541"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123,0</w:t>
            </w:r>
          </w:p>
        </w:tc>
        <w:tc>
          <w:tcPr>
            <w:tcW w:w="567"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128,8</w:t>
            </w:r>
          </w:p>
        </w:tc>
        <w:tc>
          <w:tcPr>
            <w:tcW w:w="567"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132,6</w:t>
            </w:r>
          </w:p>
        </w:tc>
      </w:tr>
      <w:tr w:rsidR="00306953" w:rsidRPr="00442515" w:rsidTr="004A50B8">
        <w:trPr>
          <w:trHeight w:val="255"/>
        </w:trPr>
        <w:tc>
          <w:tcPr>
            <w:tcW w:w="3691" w:type="dxa"/>
            <w:vMerge/>
            <w:vAlign w:val="center"/>
            <w:hideMark/>
          </w:tcPr>
          <w:p w:rsidR="00306953" w:rsidRPr="00442515" w:rsidRDefault="00306953" w:rsidP="007E5BD0">
            <w:pPr>
              <w:spacing w:after="0" w:line="240" w:lineRule="auto"/>
              <w:rPr>
                <w:rFonts w:cs="Arial"/>
                <w:sz w:val="16"/>
                <w:szCs w:val="16"/>
              </w:rPr>
            </w:pPr>
          </w:p>
        </w:tc>
        <w:tc>
          <w:tcPr>
            <w:tcW w:w="1843" w:type="dxa"/>
            <w:shd w:val="clear" w:color="auto" w:fill="C6D9F1" w:themeFill="text2" w:themeFillTint="33"/>
            <w:noWrap/>
            <w:vAlign w:val="center"/>
            <w:hideMark/>
          </w:tcPr>
          <w:p w:rsidR="00306953" w:rsidRPr="00442515" w:rsidRDefault="00631582" w:rsidP="007E5BD0">
            <w:pPr>
              <w:spacing w:after="0" w:line="240" w:lineRule="auto"/>
              <w:rPr>
                <w:rFonts w:cs="Arial"/>
                <w:sz w:val="16"/>
                <w:szCs w:val="16"/>
              </w:rPr>
            </w:pPr>
            <w:r>
              <w:rPr>
                <w:rFonts w:cs="Arial"/>
                <w:sz w:val="16"/>
                <w:szCs w:val="16"/>
              </w:rPr>
              <w:t>p</w:t>
            </w:r>
            <w:r w:rsidR="00306953" w:rsidRPr="00442515">
              <w:rPr>
                <w:rFonts w:cs="Arial"/>
                <w:sz w:val="16"/>
                <w:szCs w:val="16"/>
              </w:rPr>
              <w:t>růměr EU21</w:t>
            </w:r>
          </w:p>
        </w:tc>
        <w:tc>
          <w:tcPr>
            <w:tcW w:w="567"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85,5</w:t>
            </w:r>
          </w:p>
        </w:tc>
        <w:tc>
          <w:tcPr>
            <w:tcW w:w="674"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100,0</w:t>
            </w:r>
          </w:p>
        </w:tc>
        <w:tc>
          <w:tcPr>
            <w:tcW w:w="541"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112,1</w:t>
            </w:r>
          </w:p>
        </w:tc>
        <w:tc>
          <w:tcPr>
            <w:tcW w:w="541"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116,7</w:t>
            </w:r>
          </w:p>
        </w:tc>
        <w:tc>
          <w:tcPr>
            <w:tcW w:w="567"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122,4</w:t>
            </w:r>
          </w:p>
        </w:tc>
        <w:tc>
          <w:tcPr>
            <w:tcW w:w="567"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116,2</w:t>
            </w:r>
          </w:p>
        </w:tc>
      </w:tr>
      <w:tr w:rsidR="00306953" w:rsidRPr="00442515" w:rsidTr="004A50B8">
        <w:trPr>
          <w:trHeight w:val="255"/>
        </w:trPr>
        <w:tc>
          <w:tcPr>
            <w:tcW w:w="3691" w:type="dxa"/>
            <w:vMerge w:val="restart"/>
            <w:shd w:val="clear" w:color="000000" w:fill="FFFFFF"/>
            <w:vAlign w:val="center"/>
            <w:hideMark/>
          </w:tcPr>
          <w:p w:rsidR="00306953" w:rsidRPr="00442515" w:rsidRDefault="00EA6A4F" w:rsidP="007E5BD0">
            <w:pPr>
              <w:spacing w:after="0" w:line="240" w:lineRule="auto"/>
              <w:rPr>
                <w:rFonts w:cs="Arial"/>
                <w:sz w:val="16"/>
                <w:szCs w:val="16"/>
              </w:rPr>
            </w:pPr>
            <w:r>
              <w:rPr>
                <w:rFonts w:cs="Arial"/>
                <w:sz w:val="16"/>
                <w:szCs w:val="16"/>
              </w:rPr>
              <w:t>i</w:t>
            </w:r>
            <w:r w:rsidR="00306953" w:rsidRPr="00442515">
              <w:rPr>
                <w:rFonts w:cs="Arial"/>
                <w:sz w:val="16"/>
                <w:szCs w:val="16"/>
              </w:rPr>
              <w:t>ndex změny ve výdajích ze soukromých zdrojů</w:t>
            </w:r>
            <w:r w:rsidR="00F738B6" w:rsidRPr="00B632BA">
              <w:rPr>
                <w:rFonts w:cs="Arial"/>
                <w:sz w:val="16"/>
                <w:szCs w:val="16"/>
                <w:vertAlign w:val="superscript"/>
              </w:rPr>
              <w:t>2)</w:t>
            </w:r>
            <w:r w:rsidR="00F738B6" w:rsidRPr="00442515">
              <w:rPr>
                <w:rFonts w:cs="Arial"/>
                <w:sz w:val="16"/>
                <w:szCs w:val="16"/>
              </w:rPr>
              <w:t xml:space="preserve"> </w:t>
            </w:r>
            <w:r w:rsidR="00306953" w:rsidRPr="00442515">
              <w:rPr>
                <w:rFonts w:cs="Arial"/>
                <w:sz w:val="16"/>
                <w:szCs w:val="16"/>
              </w:rPr>
              <w:t>(2005 = 100 %, konstantní ceny)</w:t>
            </w:r>
          </w:p>
        </w:tc>
        <w:tc>
          <w:tcPr>
            <w:tcW w:w="1843" w:type="dxa"/>
            <w:shd w:val="clear" w:color="000000" w:fill="FFFFFF"/>
            <w:noWrap/>
            <w:vAlign w:val="center"/>
            <w:hideMark/>
          </w:tcPr>
          <w:p w:rsidR="00306953" w:rsidRPr="00442515" w:rsidRDefault="00306953" w:rsidP="007E5BD0">
            <w:pPr>
              <w:spacing w:after="0" w:line="240" w:lineRule="auto"/>
              <w:rPr>
                <w:rFonts w:cs="Arial"/>
                <w:sz w:val="16"/>
                <w:szCs w:val="16"/>
              </w:rPr>
            </w:pPr>
            <w:r w:rsidRPr="00442515">
              <w:rPr>
                <w:rFonts w:cs="Arial"/>
                <w:sz w:val="16"/>
                <w:szCs w:val="16"/>
              </w:rPr>
              <w:t>Česká republika</w:t>
            </w:r>
          </w:p>
        </w:tc>
        <w:tc>
          <w:tcPr>
            <w:tcW w:w="567"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50,0</w:t>
            </w:r>
          </w:p>
        </w:tc>
        <w:tc>
          <w:tcPr>
            <w:tcW w:w="674"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100,0</w:t>
            </w:r>
          </w:p>
        </w:tc>
        <w:tc>
          <w:tcPr>
            <w:tcW w:w="541"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144,9</w:t>
            </w:r>
          </w:p>
        </w:tc>
        <w:tc>
          <w:tcPr>
            <w:tcW w:w="541"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151,7</w:t>
            </w:r>
          </w:p>
        </w:tc>
        <w:tc>
          <w:tcPr>
            <w:tcW w:w="567"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163,8</w:t>
            </w:r>
          </w:p>
        </w:tc>
        <w:tc>
          <w:tcPr>
            <w:tcW w:w="567"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164,1</w:t>
            </w:r>
          </w:p>
        </w:tc>
      </w:tr>
      <w:tr w:rsidR="00306953" w:rsidRPr="00442515" w:rsidTr="004A50B8">
        <w:trPr>
          <w:trHeight w:val="255"/>
        </w:trPr>
        <w:tc>
          <w:tcPr>
            <w:tcW w:w="3691" w:type="dxa"/>
            <w:vMerge/>
            <w:vAlign w:val="center"/>
            <w:hideMark/>
          </w:tcPr>
          <w:p w:rsidR="00306953" w:rsidRPr="00442515" w:rsidRDefault="00306953" w:rsidP="007E5BD0">
            <w:pPr>
              <w:spacing w:after="0" w:line="240" w:lineRule="auto"/>
              <w:rPr>
                <w:rFonts w:cs="Arial"/>
                <w:sz w:val="16"/>
                <w:szCs w:val="16"/>
              </w:rPr>
            </w:pPr>
          </w:p>
        </w:tc>
        <w:tc>
          <w:tcPr>
            <w:tcW w:w="1843" w:type="dxa"/>
            <w:shd w:val="clear" w:color="auto" w:fill="C6D9F1" w:themeFill="text2" w:themeFillTint="33"/>
            <w:noWrap/>
            <w:vAlign w:val="center"/>
            <w:hideMark/>
          </w:tcPr>
          <w:p w:rsidR="00306953" w:rsidRPr="00442515" w:rsidRDefault="00631582" w:rsidP="007E5BD0">
            <w:pPr>
              <w:spacing w:after="0" w:line="240" w:lineRule="auto"/>
              <w:rPr>
                <w:rFonts w:cs="Arial"/>
                <w:sz w:val="16"/>
                <w:szCs w:val="16"/>
              </w:rPr>
            </w:pPr>
            <w:r>
              <w:rPr>
                <w:rFonts w:cs="Arial"/>
                <w:sz w:val="16"/>
                <w:szCs w:val="16"/>
              </w:rPr>
              <w:t>p</w:t>
            </w:r>
            <w:r w:rsidR="00306953" w:rsidRPr="00442515">
              <w:rPr>
                <w:rFonts w:cs="Arial"/>
                <w:sz w:val="16"/>
                <w:szCs w:val="16"/>
              </w:rPr>
              <w:t>růměr OECD</w:t>
            </w:r>
          </w:p>
        </w:tc>
        <w:tc>
          <w:tcPr>
            <w:tcW w:w="567"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70,9</w:t>
            </w:r>
          </w:p>
        </w:tc>
        <w:tc>
          <w:tcPr>
            <w:tcW w:w="674"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100,0</w:t>
            </w:r>
          </w:p>
        </w:tc>
        <w:tc>
          <w:tcPr>
            <w:tcW w:w="541"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116,4</w:t>
            </w:r>
          </w:p>
        </w:tc>
        <w:tc>
          <w:tcPr>
            <w:tcW w:w="541"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124,1</w:t>
            </w:r>
          </w:p>
        </w:tc>
        <w:tc>
          <w:tcPr>
            <w:tcW w:w="567"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126,7</w:t>
            </w:r>
          </w:p>
        </w:tc>
        <w:tc>
          <w:tcPr>
            <w:tcW w:w="567"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125,5</w:t>
            </w:r>
          </w:p>
        </w:tc>
      </w:tr>
      <w:tr w:rsidR="00306953" w:rsidRPr="00442515" w:rsidTr="004A50B8">
        <w:trPr>
          <w:trHeight w:val="255"/>
        </w:trPr>
        <w:tc>
          <w:tcPr>
            <w:tcW w:w="3691" w:type="dxa"/>
            <w:vMerge/>
            <w:vAlign w:val="center"/>
            <w:hideMark/>
          </w:tcPr>
          <w:p w:rsidR="00306953" w:rsidRPr="00442515" w:rsidRDefault="00306953" w:rsidP="007E5BD0">
            <w:pPr>
              <w:spacing w:after="0" w:line="240" w:lineRule="auto"/>
              <w:rPr>
                <w:rFonts w:cs="Arial"/>
                <w:sz w:val="16"/>
                <w:szCs w:val="16"/>
              </w:rPr>
            </w:pPr>
          </w:p>
        </w:tc>
        <w:tc>
          <w:tcPr>
            <w:tcW w:w="1843" w:type="dxa"/>
            <w:shd w:val="clear" w:color="auto" w:fill="C6D9F1" w:themeFill="text2" w:themeFillTint="33"/>
            <w:noWrap/>
            <w:vAlign w:val="center"/>
            <w:hideMark/>
          </w:tcPr>
          <w:p w:rsidR="00306953" w:rsidRPr="00442515" w:rsidRDefault="00631582" w:rsidP="007E5BD0">
            <w:pPr>
              <w:spacing w:after="0" w:line="240" w:lineRule="auto"/>
              <w:rPr>
                <w:rFonts w:cs="Arial"/>
                <w:sz w:val="16"/>
                <w:szCs w:val="16"/>
              </w:rPr>
            </w:pPr>
            <w:r>
              <w:rPr>
                <w:rFonts w:cs="Arial"/>
                <w:sz w:val="16"/>
                <w:szCs w:val="16"/>
              </w:rPr>
              <w:t>p</w:t>
            </w:r>
            <w:r w:rsidR="00306953" w:rsidRPr="00442515">
              <w:rPr>
                <w:rFonts w:cs="Arial"/>
                <w:sz w:val="16"/>
                <w:szCs w:val="16"/>
              </w:rPr>
              <w:t>růměr EU21</w:t>
            </w:r>
          </w:p>
        </w:tc>
        <w:tc>
          <w:tcPr>
            <w:tcW w:w="567"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69,7</w:t>
            </w:r>
          </w:p>
        </w:tc>
        <w:tc>
          <w:tcPr>
            <w:tcW w:w="674"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100,0</w:t>
            </w:r>
          </w:p>
        </w:tc>
        <w:tc>
          <w:tcPr>
            <w:tcW w:w="541"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120,2</w:t>
            </w:r>
          </w:p>
        </w:tc>
        <w:tc>
          <w:tcPr>
            <w:tcW w:w="541"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127,1</w:t>
            </w:r>
          </w:p>
        </w:tc>
        <w:tc>
          <w:tcPr>
            <w:tcW w:w="567"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127,4</w:t>
            </w:r>
          </w:p>
        </w:tc>
        <w:tc>
          <w:tcPr>
            <w:tcW w:w="567"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126,6</w:t>
            </w:r>
          </w:p>
        </w:tc>
      </w:tr>
    </w:tbl>
    <w:p w:rsidR="00F738B6" w:rsidRDefault="00F738B6" w:rsidP="00F738B6">
      <w:pPr>
        <w:spacing w:before="120" w:after="0" w:line="240" w:lineRule="auto"/>
        <w:jc w:val="both"/>
        <w:rPr>
          <w:rFonts w:eastAsia="ChaparralPro-Regular" w:cs="Arial"/>
          <w:sz w:val="16"/>
          <w:szCs w:val="16"/>
        </w:rPr>
      </w:pPr>
      <w:r w:rsidRPr="00B632BA">
        <w:rPr>
          <w:rFonts w:eastAsia="ChaparralPro-Regular" w:cs="Arial"/>
          <w:sz w:val="16"/>
          <w:szCs w:val="16"/>
          <w:vertAlign w:val="superscript"/>
        </w:rPr>
        <w:t>1)</w:t>
      </w:r>
      <w:r>
        <w:rPr>
          <w:rFonts w:eastAsia="ChaparralPro-Regular" w:cs="Arial"/>
          <w:sz w:val="16"/>
          <w:szCs w:val="16"/>
        </w:rPr>
        <w:t xml:space="preserve"> bez mezinárodních zdrojů</w:t>
      </w:r>
    </w:p>
    <w:p w:rsidR="00F738B6" w:rsidRDefault="00F738B6" w:rsidP="00F738B6">
      <w:pPr>
        <w:spacing w:after="0" w:line="240" w:lineRule="auto"/>
        <w:jc w:val="both"/>
        <w:rPr>
          <w:rFonts w:eastAsia="ChaparralPro-Regular" w:cs="Arial"/>
          <w:sz w:val="16"/>
          <w:szCs w:val="16"/>
        </w:rPr>
      </w:pPr>
      <w:r w:rsidRPr="00B632BA">
        <w:rPr>
          <w:rFonts w:eastAsia="ChaparralPro-Regular" w:cs="Arial"/>
          <w:sz w:val="16"/>
          <w:szCs w:val="16"/>
          <w:vertAlign w:val="superscript"/>
        </w:rPr>
        <w:t>2)</w:t>
      </w:r>
      <w:r>
        <w:rPr>
          <w:rFonts w:eastAsia="ChaparralPro-Regular" w:cs="Arial"/>
          <w:sz w:val="16"/>
          <w:szCs w:val="16"/>
        </w:rPr>
        <w:t xml:space="preserve"> v</w:t>
      </w:r>
      <w:r w:rsidRPr="00442515">
        <w:rPr>
          <w:rFonts w:eastAsia="ChaparralPro-Regular" w:cs="Arial"/>
          <w:sz w:val="16"/>
          <w:szCs w:val="16"/>
        </w:rPr>
        <w:t xml:space="preserve">četně dotací z veřejných zdrojů určených na úhradu poplatků </w:t>
      </w:r>
      <w:r>
        <w:rPr>
          <w:rFonts w:eastAsia="ChaparralPro-Regular" w:cs="Arial"/>
          <w:sz w:val="16"/>
          <w:szCs w:val="16"/>
        </w:rPr>
        <w:t xml:space="preserve">soukromých osob </w:t>
      </w:r>
      <w:r w:rsidRPr="00442515">
        <w:rPr>
          <w:rFonts w:eastAsia="ChaparralPro-Regular" w:cs="Arial"/>
          <w:sz w:val="16"/>
          <w:szCs w:val="16"/>
        </w:rPr>
        <w:t>vzdělávacím institucím</w:t>
      </w:r>
    </w:p>
    <w:p w:rsidR="00306953" w:rsidRPr="00442515" w:rsidRDefault="00306953" w:rsidP="00F738B6">
      <w:pPr>
        <w:spacing w:after="120" w:line="240" w:lineRule="auto"/>
        <w:jc w:val="both"/>
        <w:rPr>
          <w:rFonts w:cs="Arial"/>
          <w:b/>
          <w:i/>
          <w:color w:val="FF0000"/>
          <w:sz w:val="16"/>
          <w:szCs w:val="16"/>
        </w:rPr>
      </w:pPr>
      <w:r w:rsidRPr="00442515">
        <w:rPr>
          <w:rFonts w:eastAsia="ChaparralPro-Regular" w:cs="Arial"/>
          <w:sz w:val="16"/>
          <w:szCs w:val="16"/>
        </w:rPr>
        <w:t xml:space="preserve">Zdroj: OECD 2015, tabulka B3.2b. StatLink: </w:t>
      </w:r>
      <w:hyperlink r:id="rId95" w:history="1">
        <w:r w:rsidRPr="00442515">
          <w:rPr>
            <w:rStyle w:val="Hypertextovodkaz"/>
            <w:rFonts w:cs="Arial"/>
            <w:sz w:val="16"/>
            <w:szCs w:val="16"/>
          </w:rPr>
          <w:t>http://dx.doi.org/10.1787/888933285491</w:t>
        </w:r>
      </w:hyperlink>
      <w:r w:rsidRPr="00442515">
        <w:rPr>
          <w:rFonts w:cs="Arial"/>
          <w:color w:val="231F20"/>
          <w:sz w:val="16"/>
          <w:szCs w:val="16"/>
        </w:rPr>
        <w:t xml:space="preserve"> , </w:t>
      </w:r>
      <w:r w:rsidRPr="00442515">
        <w:rPr>
          <w:rFonts w:eastAsia="ChaparralPro-Regular" w:cs="Arial"/>
          <w:sz w:val="16"/>
          <w:szCs w:val="16"/>
        </w:rPr>
        <w:t>výběr údajů ČSÚ.</w:t>
      </w:r>
    </w:p>
    <w:p w:rsidR="00306953" w:rsidRPr="00306953" w:rsidRDefault="00306953" w:rsidP="00306953">
      <w:pPr>
        <w:spacing w:line="240" w:lineRule="auto"/>
        <w:jc w:val="both"/>
        <w:rPr>
          <w:rFonts w:cs="Arial"/>
        </w:rPr>
      </w:pPr>
      <w:r w:rsidRPr="00306953">
        <w:rPr>
          <w:rFonts w:cs="Arial"/>
        </w:rPr>
        <w:t>Výdaje z veřejných zdrojů na primární až postsekundární neterciární vzdělávání v ČR vzrostly mezi lety 2005 a 2012 srovnatelně s mezinárodním průměrem za země OECD. V průměru za země v EU i OECD byl tento nárůst již o něco nižší. Pokud se jedná o výdaje z</w:t>
      </w:r>
      <w:r w:rsidR="00EF1584">
        <w:rPr>
          <w:rFonts w:cs="Arial"/>
        </w:rPr>
        <w:t>e soukromých</w:t>
      </w:r>
      <w:r w:rsidRPr="00306953">
        <w:rPr>
          <w:rFonts w:cs="Arial"/>
        </w:rPr>
        <w:t> </w:t>
      </w:r>
      <w:r w:rsidR="00EF1584">
        <w:rPr>
          <w:rFonts w:cs="Arial"/>
        </w:rPr>
        <w:t>(</w:t>
      </w:r>
      <w:r w:rsidRPr="00306953">
        <w:rPr>
          <w:rFonts w:cs="Arial"/>
        </w:rPr>
        <w:t>neveřejných</w:t>
      </w:r>
      <w:r w:rsidR="00EF1584">
        <w:rPr>
          <w:rFonts w:cs="Arial"/>
        </w:rPr>
        <w:t>)</w:t>
      </w:r>
      <w:r w:rsidRPr="00306953">
        <w:rPr>
          <w:rFonts w:cs="Arial"/>
        </w:rPr>
        <w:t xml:space="preserve"> zdrojů, v ČR ve sledovaných letech nedošlo téměř k žádné změně, zatímco v průměru za země OECD tyto výdaje vzrostly </w:t>
      </w:r>
      <w:r w:rsidR="00E52654">
        <w:rPr>
          <w:rFonts w:cs="Arial"/>
        </w:rPr>
        <w:t>o dvě pětiny a </w:t>
      </w:r>
      <w:r w:rsidRPr="00306953">
        <w:rPr>
          <w:rFonts w:cs="Arial"/>
        </w:rPr>
        <w:t xml:space="preserve">za země v EU i OECD dokonce o polovinu. Zde je však třeba připomenout, že u soukromých výdajů záleží na tom, jaké zdroje dat ta která země má </w:t>
      </w:r>
      <w:r w:rsidR="00536AA6">
        <w:rPr>
          <w:rFonts w:cs="Arial"/>
        </w:rPr>
        <w:t>a zároveň je umí vyčíslit</w:t>
      </w:r>
      <w:r w:rsidR="00240545">
        <w:rPr>
          <w:rFonts w:cs="Arial"/>
        </w:rPr>
        <w:t>/odhadnout</w:t>
      </w:r>
      <w:r w:rsidR="00536AA6">
        <w:rPr>
          <w:rFonts w:cs="Arial"/>
        </w:rPr>
        <w:t xml:space="preserve"> </w:t>
      </w:r>
      <w:r w:rsidRPr="00306953">
        <w:rPr>
          <w:rFonts w:cs="Arial"/>
        </w:rPr>
        <w:t>(</w:t>
      </w:r>
      <w:r w:rsidR="00536AA6">
        <w:rPr>
          <w:rFonts w:cs="Arial"/>
        </w:rPr>
        <w:t xml:space="preserve">to se může </w:t>
      </w:r>
      <w:r w:rsidRPr="00306953">
        <w:rPr>
          <w:rFonts w:cs="Arial"/>
        </w:rPr>
        <w:t>hodně lišit).</w:t>
      </w:r>
    </w:p>
    <w:p w:rsidR="00306953" w:rsidRDefault="00306953" w:rsidP="00306953">
      <w:pPr>
        <w:spacing w:line="240" w:lineRule="auto"/>
        <w:jc w:val="both"/>
        <w:rPr>
          <w:rFonts w:cs="Arial"/>
        </w:rPr>
      </w:pPr>
      <w:r w:rsidRPr="00306953">
        <w:rPr>
          <w:rFonts w:cs="Arial"/>
        </w:rPr>
        <w:t xml:space="preserve">Pokud se jedná o terciární vzdělávání, došlo v České republice v případě veřejných i soukromých výdajů mezi roky 2005 a 2012 k výraznějšímu růstu, než jaký byl zaznamenán v mezinárodních průměrech (to je mj. ovlivněno zvyšujícími se soukromými i veřejnými výdaji na výzkum a vývoj). Zejména se to týká soukromých výdajů, což může </w:t>
      </w:r>
      <w:r w:rsidR="00223E50">
        <w:rPr>
          <w:rFonts w:cs="Arial"/>
        </w:rPr>
        <w:t xml:space="preserve">také </w:t>
      </w:r>
      <w:r w:rsidRPr="00306953">
        <w:rPr>
          <w:rFonts w:cs="Arial"/>
        </w:rPr>
        <w:t xml:space="preserve">souviset s rozvojem soukromých vysokých škol (jejich počet stoupal a počet studentů soukromých vysokých škol se v uvedeném období přibližně zdvojnásobil – viz MŠMT, výkonové ukazatele za vysoké školy, </w:t>
      </w:r>
      <w:hyperlink r:id="rId96" w:history="1">
        <w:r w:rsidRPr="00306953">
          <w:rPr>
            <w:rStyle w:val="Hypertextovodkaz"/>
            <w:rFonts w:cs="Arial"/>
          </w:rPr>
          <w:t>tabulka F21</w:t>
        </w:r>
      </w:hyperlink>
      <w:r w:rsidRPr="00306953">
        <w:rPr>
          <w:rFonts w:cs="Arial"/>
        </w:rPr>
        <w:t xml:space="preserve">). </w:t>
      </w:r>
    </w:p>
    <w:p w:rsidR="002C4A87" w:rsidRDefault="002C4A87" w:rsidP="002C4A87">
      <w:pPr>
        <w:spacing w:after="0" w:line="240" w:lineRule="auto"/>
        <w:jc w:val="both"/>
        <w:rPr>
          <w:rFonts w:cs="Arial"/>
        </w:rPr>
      </w:pPr>
    </w:p>
    <w:p w:rsidR="002C4A87" w:rsidRPr="002C4A87" w:rsidRDefault="002C4A87" w:rsidP="002C4A87">
      <w:pPr>
        <w:pStyle w:val="Nadpis3"/>
        <w:spacing w:after="120"/>
      </w:pPr>
      <w:bookmarkStart w:id="22" w:name="_Toc460424384"/>
      <w:r>
        <w:t>Shrnutí</w:t>
      </w:r>
      <w:bookmarkEnd w:id="22"/>
    </w:p>
    <w:p w:rsidR="00306953" w:rsidRPr="00306953" w:rsidRDefault="00306953" w:rsidP="002C4A87">
      <w:pPr>
        <w:spacing w:after="120" w:line="240" w:lineRule="auto"/>
        <w:jc w:val="both"/>
        <w:rPr>
          <w:rFonts w:eastAsia="ChaparralPro-Regular" w:cs="Arial"/>
        </w:rPr>
      </w:pPr>
      <w:r w:rsidRPr="00306953">
        <w:rPr>
          <w:rFonts w:cs="Arial"/>
        </w:rPr>
        <w:t xml:space="preserve">V této kapitole jsme ukázali, že </w:t>
      </w:r>
      <w:r w:rsidRPr="00306953">
        <w:rPr>
          <w:rFonts w:eastAsia="ChaparralPro-Regular" w:cs="Arial"/>
        </w:rPr>
        <w:t>oproti průměru za země v OECD tvořily v roce 2012 soukromé výdaje investované do institucí na primární až terciární úrovni v ČR nižší podíl, což je dáno zejména nižšími soukromými výdaji na terciární vzdělávání. Ve srovnání se zeměmi v EU i OECD pak byl podíl soukromých zdrojů vydaných na primární až postsekundární neterciární vzdělávání v České republice jen nepatrně vyšší a podíl vydaných soukromých zdrojů na terciární vzdělání naopak nepatrně nižší.</w:t>
      </w:r>
      <w:r w:rsidRPr="00306953">
        <w:rPr>
          <w:rFonts w:cs="Arial"/>
        </w:rPr>
        <w:t xml:space="preserve"> </w:t>
      </w:r>
      <w:r w:rsidRPr="00306953">
        <w:rPr>
          <w:rFonts w:eastAsia="ChaparralPro-Regular" w:cs="Arial"/>
        </w:rPr>
        <w:t xml:space="preserve">Na úrovni primární až post-sekundární neterciární byly celkem ve třech zemích výdaje jiných soukromých subjektů vyšší než výdaje domácností (Švýcarsko, Nizozemsko a Kanada). Na úrovni terciárního vzdělávání převážily výdaje </w:t>
      </w:r>
      <w:r w:rsidRPr="00306953">
        <w:rPr>
          <w:rFonts w:eastAsia="ChaparralPro-Regular" w:cs="Arial"/>
        </w:rPr>
        <w:lastRenderedPageBreak/>
        <w:t>jiných soukromých subjektů nad výdaji domácností nejen v ČR, ale též ve Švédsku, ve Spojeném království a v Rakousku. Pokud se jedná o vývoj v čase, výdaje ze soukromých zdrojů na vzdělávací instituce primárního až postsekundárního neterciárního vzdělávání se mezi roky 2005 a 2012 zvýšily v mezinárodních průměrech o cca dvě pětiny (OECD), resp. o polovinu (EU21), v České republice však zůstaly stabilní. Výdaje z veřejných zdrojů pak rostly v souladu s mezinárodním průměrem za země v OECD, v průměru za země v EU i OECD došlo již k o něco menšímu růstu. Pokud se jedná o výdaje na terciární vzdělávání, došlo v České republice mezi roky 2005 a 2012 k výraznějšímu růstu než v mezinárodních průměrech, a to ať se jedná o výdaje z veřejných nebo soukromých zdrojů. Zejména byl patrný nadprůměrný nárůst soukromých výdajů na terciární vzdělávání, což mohlo být způsobeno rozvojem soukromého vysokého školství.</w:t>
      </w:r>
    </w:p>
    <w:p w:rsidR="00306953" w:rsidRDefault="00306953" w:rsidP="002C4A87">
      <w:pPr>
        <w:pStyle w:val="Nadpis2"/>
        <w:spacing w:line="240" w:lineRule="auto"/>
        <w:rPr>
          <w:rFonts w:cs="Arial"/>
          <w:sz w:val="20"/>
          <w:szCs w:val="20"/>
        </w:rPr>
      </w:pPr>
    </w:p>
    <w:p w:rsidR="00054EC6" w:rsidRPr="00054EC6" w:rsidRDefault="00054EC6" w:rsidP="00054EC6">
      <w:pPr>
        <w:spacing w:after="0" w:line="240" w:lineRule="auto"/>
      </w:pPr>
    </w:p>
    <w:p w:rsidR="00306953" w:rsidRDefault="00306953" w:rsidP="00306953">
      <w:pPr>
        <w:pStyle w:val="Nadpis2"/>
        <w:spacing w:after="120"/>
        <w:rPr>
          <w:rFonts w:cs="Arial"/>
        </w:rPr>
      </w:pPr>
      <w:bookmarkStart w:id="23" w:name="_Toc457225390"/>
      <w:bookmarkStart w:id="24" w:name="_Toc460424385"/>
      <w:r w:rsidRPr="00306953">
        <w:rPr>
          <w:rFonts w:cs="Arial"/>
        </w:rPr>
        <w:t>Výdaje v dělení dle určení na vlastní vyučovací proces, doprovodné služby a výzkum a vývoj</w:t>
      </w:r>
      <w:bookmarkEnd w:id="23"/>
      <w:bookmarkEnd w:id="24"/>
    </w:p>
    <w:p w:rsidR="002C4A87" w:rsidRPr="002C4A87" w:rsidRDefault="002C4A87" w:rsidP="002C4A87">
      <w:pPr>
        <w:spacing w:after="0" w:line="240" w:lineRule="auto"/>
      </w:pPr>
    </w:p>
    <w:p w:rsidR="002C4A87" w:rsidRDefault="002C4A87" w:rsidP="002C4A87">
      <w:pPr>
        <w:pStyle w:val="Nadpis3"/>
        <w:spacing w:after="120"/>
      </w:pPr>
      <w:bookmarkStart w:id="25" w:name="_Toc460424386"/>
      <w:r>
        <w:t>Úvod</w:t>
      </w:r>
      <w:bookmarkEnd w:id="25"/>
    </w:p>
    <w:p w:rsidR="00306953" w:rsidRDefault="00306953" w:rsidP="0004663C">
      <w:pPr>
        <w:spacing w:after="120" w:line="240" w:lineRule="auto"/>
        <w:jc w:val="both"/>
        <w:rPr>
          <w:rFonts w:eastAsia="ChaparralPro-Regular" w:cs="Arial"/>
        </w:rPr>
      </w:pPr>
      <w:r w:rsidRPr="00306953">
        <w:rPr>
          <w:rFonts w:cs="Arial"/>
        </w:rPr>
        <w:t xml:space="preserve">V této kapitole představíme </w:t>
      </w:r>
      <w:r w:rsidRPr="00306953">
        <w:rPr>
          <w:rFonts w:eastAsia="ChaparralPro-Regular" w:cs="Arial"/>
        </w:rPr>
        <w:t>roční výdaje vzdělávacích institucí na jednoho žáka/studenta za vlastní vzdělávání, doprovodné služby a výzkum a vývoj v roce 2012 v mezinárodních průměrech, v ČR, v dalších zemích, a sice v USD po zohlednění PPP pro HDP a jakožto podíl HDP (v tomto ukazateli uvedeme údaje za rok 2011</w:t>
      </w:r>
      <w:r w:rsidR="00AF330F">
        <w:rPr>
          <w:rFonts w:eastAsia="ChaparralPro-Regular" w:cs="Arial"/>
        </w:rPr>
        <w:t xml:space="preserve"> – údaje za rok 2012 nebyly publikovány</w:t>
      </w:r>
      <w:r w:rsidRPr="00306953">
        <w:rPr>
          <w:rFonts w:eastAsia="ChaparralPro-Regular" w:cs="Arial"/>
        </w:rPr>
        <w:t>).</w:t>
      </w:r>
    </w:p>
    <w:p w:rsidR="00B14018" w:rsidRPr="00306953" w:rsidRDefault="00B14018" w:rsidP="00B14018">
      <w:pPr>
        <w:spacing w:after="0" w:line="240" w:lineRule="auto"/>
        <w:jc w:val="both"/>
        <w:rPr>
          <w:rFonts w:eastAsia="ChaparralPro-Regular" w:cs="Arial"/>
        </w:rPr>
      </w:pPr>
    </w:p>
    <w:p w:rsidR="002C4A87" w:rsidRDefault="002C4A87" w:rsidP="002C4A87">
      <w:pPr>
        <w:pStyle w:val="Nadpis3"/>
        <w:spacing w:after="120"/>
      </w:pPr>
      <w:bookmarkStart w:id="26" w:name="_Toc460424387"/>
      <w:r>
        <w:t>Prezentace indikátorů</w:t>
      </w:r>
      <w:bookmarkEnd w:id="26"/>
    </w:p>
    <w:p w:rsidR="00306953" w:rsidRPr="00306953" w:rsidRDefault="00306953" w:rsidP="00306953">
      <w:pPr>
        <w:autoSpaceDE w:val="0"/>
        <w:autoSpaceDN w:val="0"/>
        <w:adjustRightInd w:val="0"/>
        <w:spacing w:after="0" w:line="240" w:lineRule="auto"/>
        <w:jc w:val="both"/>
        <w:rPr>
          <w:rFonts w:eastAsia="ChaparralPro-Regular" w:cs="Arial"/>
        </w:rPr>
      </w:pPr>
      <w:r w:rsidRPr="00306953">
        <w:rPr>
          <w:rFonts w:eastAsia="ChaparralPro-Regular" w:cs="Arial"/>
        </w:rPr>
        <w:t>Z analýz OECD vyplynulo, že v mnoha zemích OECD poskytují školy a univerzity žákům/studentům také sociální služby a v některých případech i služby pro širší veřejnost (tyto služby se mohou mezi jednotlivými státy značně lišit). Výdaje na tyto doprovodné služby jsou hrazeny veřejným sektorem a pomocí poplatků od žáků/studentů a jejich rodin. Kromě nich jsou na úrovni terciárního vzdělávání vynakládány prostředky na výzkum a vývoj. Výdaje na doprovodné služby i na výzkum a vývoj se přitom mohou mezi jednotlivými zeměmi značně lišit a zaujímat větší či menší podíl výdajů na terciární vzdělávání.</w:t>
      </w:r>
    </w:p>
    <w:p w:rsidR="00306953" w:rsidRPr="00306953" w:rsidRDefault="00306953" w:rsidP="00306953">
      <w:pPr>
        <w:autoSpaceDE w:val="0"/>
        <w:autoSpaceDN w:val="0"/>
        <w:adjustRightInd w:val="0"/>
        <w:spacing w:after="0" w:line="240" w:lineRule="auto"/>
        <w:jc w:val="both"/>
        <w:rPr>
          <w:rFonts w:eastAsia="ChaparralPro-Regular" w:cs="Arial"/>
          <w:sz w:val="12"/>
          <w:szCs w:val="12"/>
        </w:rPr>
      </w:pPr>
    </w:p>
    <w:p w:rsidR="00306953" w:rsidRPr="00306953" w:rsidRDefault="00306953" w:rsidP="00306953">
      <w:pPr>
        <w:autoSpaceDE w:val="0"/>
        <w:autoSpaceDN w:val="0"/>
        <w:adjustRightInd w:val="0"/>
        <w:spacing w:after="0" w:line="240" w:lineRule="auto"/>
        <w:jc w:val="both"/>
        <w:rPr>
          <w:rFonts w:eastAsia="ChaparralPro-Regular" w:cs="Arial"/>
        </w:rPr>
      </w:pPr>
      <w:r w:rsidRPr="00306953">
        <w:rPr>
          <w:rFonts w:eastAsia="ChaparralPro-Regular" w:cs="Arial"/>
        </w:rPr>
        <w:t xml:space="preserve">Tabulka č. 18 ukazuje </w:t>
      </w:r>
      <w:r w:rsidRPr="00306953">
        <w:rPr>
          <w:rFonts w:eastAsia="ChaparralPro-Regular" w:cs="Arial"/>
          <w:b/>
        </w:rPr>
        <w:t>výdaje vzdělávacích institucí na jednoho žáka/studenta v roce 2012</w:t>
      </w:r>
      <w:r w:rsidRPr="00306953">
        <w:rPr>
          <w:rFonts w:eastAsia="ChaparralPro-Regular" w:cs="Arial"/>
        </w:rPr>
        <w:t xml:space="preserve"> vynaložené na </w:t>
      </w:r>
      <w:r w:rsidRPr="00306953">
        <w:rPr>
          <w:rFonts w:eastAsia="ChaparralPro-Regular" w:cs="Arial"/>
          <w:b/>
        </w:rPr>
        <w:t>vlastní vzdělávací proces, doprovodné služby a výzkum a vývoj</w:t>
      </w:r>
      <w:r w:rsidRPr="00306953">
        <w:rPr>
          <w:rFonts w:eastAsia="ChaparralPro-Regular" w:cs="Arial"/>
        </w:rPr>
        <w:t xml:space="preserve"> přepočtené na USD a paritu kupní síly pro HDP, a sice v ČR a ve vybraných zemích, jakož i v mezinárodních průměrech.</w:t>
      </w:r>
    </w:p>
    <w:p w:rsidR="00306953" w:rsidRPr="00306953" w:rsidRDefault="00306953" w:rsidP="00306953">
      <w:pPr>
        <w:autoSpaceDE w:val="0"/>
        <w:autoSpaceDN w:val="0"/>
        <w:adjustRightInd w:val="0"/>
        <w:spacing w:after="0" w:line="240" w:lineRule="auto"/>
        <w:jc w:val="both"/>
        <w:rPr>
          <w:rFonts w:eastAsia="ChaparralPro-Regular" w:cs="Arial"/>
          <w:sz w:val="12"/>
          <w:szCs w:val="12"/>
        </w:rPr>
      </w:pPr>
    </w:p>
    <w:p w:rsidR="00306953" w:rsidRPr="00306953" w:rsidRDefault="00306953" w:rsidP="00306953">
      <w:pPr>
        <w:autoSpaceDE w:val="0"/>
        <w:autoSpaceDN w:val="0"/>
        <w:adjustRightInd w:val="0"/>
        <w:spacing w:after="0" w:line="240" w:lineRule="auto"/>
        <w:jc w:val="both"/>
        <w:rPr>
          <w:rFonts w:eastAsia="ChaparralPro-Regular" w:cs="Arial"/>
          <w:b/>
        </w:rPr>
      </w:pPr>
      <w:r w:rsidRPr="00306953">
        <w:rPr>
          <w:rFonts w:eastAsia="ChaparralPro-Regular" w:cs="Arial"/>
          <w:b/>
        </w:rPr>
        <w:t>Tabulka č. 18 Roční výdaje vzdělávacích institucí na jednoho žáka/studenta za vlastní vzdělávání, doprovodné služby a výzkum a vývoj (2012)</w:t>
      </w:r>
    </w:p>
    <w:p w:rsidR="00306953" w:rsidRPr="00306953" w:rsidRDefault="00F73D18" w:rsidP="00306953">
      <w:pPr>
        <w:autoSpaceDE w:val="0"/>
        <w:autoSpaceDN w:val="0"/>
        <w:adjustRightInd w:val="0"/>
        <w:spacing w:after="0" w:line="240" w:lineRule="auto"/>
        <w:jc w:val="both"/>
        <w:rPr>
          <w:rFonts w:eastAsia="ChaparralPro-Regular" w:cs="Arial"/>
          <w:i/>
          <w:szCs w:val="20"/>
        </w:rPr>
      </w:pPr>
      <w:r>
        <w:rPr>
          <w:rFonts w:eastAsia="ChaparralPro-Regular" w:cs="Arial"/>
          <w:i/>
          <w:szCs w:val="20"/>
        </w:rPr>
        <w:t>e</w:t>
      </w:r>
      <w:r w:rsidR="00306953" w:rsidRPr="00306953">
        <w:rPr>
          <w:rFonts w:eastAsia="ChaparralPro-Regular" w:cs="Arial"/>
          <w:i/>
          <w:szCs w:val="20"/>
        </w:rPr>
        <w:t>kvivalent USD konvertovaný podle parity kupní síly k HDP, dle úrovně vzdělávání a druhu služby, přepočteno na žáka/studenta vzdělávajícího se v plném rozsahu (tj. ekvivalent sta</w:t>
      </w:r>
      <w:r>
        <w:rPr>
          <w:rFonts w:eastAsia="ChaparralPro-Regular" w:cs="Arial"/>
          <w:i/>
          <w:szCs w:val="20"/>
        </w:rPr>
        <w:t>ndardní denní formy vzdělávání)</w:t>
      </w:r>
    </w:p>
    <w:p w:rsidR="00306953" w:rsidRPr="00306953" w:rsidRDefault="00306953" w:rsidP="00306953">
      <w:pPr>
        <w:autoSpaceDE w:val="0"/>
        <w:autoSpaceDN w:val="0"/>
        <w:adjustRightInd w:val="0"/>
        <w:spacing w:after="0" w:line="240" w:lineRule="auto"/>
        <w:jc w:val="both"/>
        <w:rPr>
          <w:rFonts w:eastAsia="ChaparralPro-Regular" w:cs="Arial"/>
          <w:i/>
          <w:sz w:val="12"/>
          <w:szCs w:val="12"/>
        </w:rPr>
      </w:pPr>
    </w:p>
    <w:tbl>
      <w:tblPr>
        <w:tblW w:w="9610" w:type="dxa"/>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tblPr>
      <w:tblGrid>
        <w:gridCol w:w="1433"/>
        <w:gridCol w:w="567"/>
        <w:gridCol w:w="850"/>
        <w:gridCol w:w="805"/>
        <w:gridCol w:w="708"/>
        <w:gridCol w:w="897"/>
        <w:gridCol w:w="677"/>
        <w:gridCol w:w="709"/>
        <w:gridCol w:w="755"/>
        <w:gridCol w:w="836"/>
        <w:gridCol w:w="664"/>
        <w:gridCol w:w="709"/>
      </w:tblGrid>
      <w:tr w:rsidR="00306953" w:rsidRPr="00442515" w:rsidTr="00892E5C">
        <w:trPr>
          <w:trHeight w:val="495"/>
        </w:trPr>
        <w:tc>
          <w:tcPr>
            <w:tcW w:w="1433" w:type="dxa"/>
            <w:vMerge w:val="restart"/>
            <w:tcBorders>
              <w:top w:val="double" w:sz="4" w:space="0" w:color="auto"/>
              <w:bottom w:val="single" w:sz="4" w:space="0" w:color="auto"/>
            </w:tcBorders>
            <w:shd w:val="clear" w:color="auto" w:fill="FFCCCC"/>
            <w:noWrap/>
            <w:vAlign w:val="bottom"/>
            <w:hideMark/>
          </w:tcPr>
          <w:p w:rsidR="00306953" w:rsidRPr="001042AC" w:rsidRDefault="00306953" w:rsidP="00306953">
            <w:pPr>
              <w:spacing w:after="0" w:line="240" w:lineRule="auto"/>
              <w:rPr>
                <w:rFonts w:cs="Arial"/>
                <w:b/>
                <w:color w:val="000000"/>
                <w:sz w:val="16"/>
                <w:szCs w:val="16"/>
              </w:rPr>
            </w:pPr>
            <w:r w:rsidRPr="001042AC">
              <w:rPr>
                <w:rFonts w:cs="Arial"/>
                <w:b/>
                <w:color w:val="000000"/>
                <w:sz w:val="16"/>
                <w:szCs w:val="16"/>
              </w:rPr>
              <w:t> </w:t>
            </w:r>
          </w:p>
        </w:tc>
        <w:tc>
          <w:tcPr>
            <w:tcW w:w="2222" w:type="dxa"/>
            <w:gridSpan w:val="3"/>
            <w:tcBorders>
              <w:top w:val="double" w:sz="4" w:space="0" w:color="auto"/>
              <w:bottom w:val="single" w:sz="4" w:space="0" w:color="auto"/>
            </w:tcBorders>
            <w:shd w:val="clear" w:color="auto" w:fill="FFCCCC"/>
            <w:vAlign w:val="center"/>
            <w:hideMark/>
          </w:tcPr>
          <w:p w:rsidR="00306953" w:rsidRPr="001042AC" w:rsidRDefault="00EA6A4F" w:rsidP="00892E5C">
            <w:pPr>
              <w:spacing w:before="30" w:after="30" w:line="240" w:lineRule="auto"/>
              <w:jc w:val="center"/>
              <w:rPr>
                <w:rFonts w:cs="Arial"/>
                <w:b/>
                <w:color w:val="000000"/>
                <w:sz w:val="16"/>
                <w:szCs w:val="16"/>
              </w:rPr>
            </w:pPr>
            <w:r>
              <w:rPr>
                <w:rFonts w:cs="Arial"/>
                <w:b/>
                <w:color w:val="000000"/>
                <w:sz w:val="16"/>
                <w:szCs w:val="16"/>
              </w:rPr>
              <w:t>p</w:t>
            </w:r>
            <w:r w:rsidR="00892E5C">
              <w:rPr>
                <w:rFonts w:cs="Arial"/>
                <w:b/>
                <w:color w:val="000000"/>
                <w:sz w:val="16"/>
                <w:szCs w:val="16"/>
              </w:rPr>
              <w:t>rimární, sekundární a </w:t>
            </w:r>
            <w:r w:rsidR="00306953" w:rsidRPr="001042AC">
              <w:rPr>
                <w:rFonts w:cs="Arial"/>
                <w:b/>
                <w:color w:val="000000"/>
                <w:sz w:val="16"/>
                <w:szCs w:val="16"/>
              </w:rPr>
              <w:t>postsekundární neterciární vzdělávání</w:t>
            </w:r>
          </w:p>
        </w:tc>
        <w:tc>
          <w:tcPr>
            <w:tcW w:w="2991" w:type="dxa"/>
            <w:gridSpan w:val="4"/>
            <w:tcBorders>
              <w:top w:val="double" w:sz="4" w:space="0" w:color="auto"/>
              <w:bottom w:val="single" w:sz="4" w:space="0" w:color="auto"/>
            </w:tcBorders>
            <w:shd w:val="clear" w:color="auto" w:fill="FFCCCC"/>
            <w:noWrap/>
            <w:vAlign w:val="center"/>
            <w:hideMark/>
          </w:tcPr>
          <w:p w:rsidR="00306953" w:rsidRPr="001042AC" w:rsidRDefault="00EA6A4F" w:rsidP="00892E5C">
            <w:pPr>
              <w:spacing w:before="30" w:after="30" w:line="240" w:lineRule="auto"/>
              <w:jc w:val="center"/>
              <w:rPr>
                <w:rFonts w:cs="Arial"/>
                <w:b/>
                <w:color w:val="000000"/>
                <w:sz w:val="16"/>
                <w:szCs w:val="16"/>
              </w:rPr>
            </w:pPr>
            <w:r>
              <w:rPr>
                <w:rFonts w:cs="Arial"/>
                <w:b/>
                <w:color w:val="000000"/>
                <w:sz w:val="16"/>
                <w:szCs w:val="16"/>
              </w:rPr>
              <w:t>t</w:t>
            </w:r>
            <w:r w:rsidR="00306953" w:rsidRPr="001042AC">
              <w:rPr>
                <w:rFonts w:cs="Arial"/>
                <w:b/>
                <w:color w:val="000000"/>
                <w:sz w:val="16"/>
                <w:szCs w:val="16"/>
              </w:rPr>
              <w:t>erciární vzdělávání</w:t>
            </w:r>
          </w:p>
        </w:tc>
        <w:tc>
          <w:tcPr>
            <w:tcW w:w="2964" w:type="dxa"/>
            <w:gridSpan w:val="4"/>
            <w:tcBorders>
              <w:top w:val="double" w:sz="4" w:space="0" w:color="auto"/>
              <w:bottom w:val="single" w:sz="4" w:space="0" w:color="auto"/>
            </w:tcBorders>
            <w:shd w:val="clear" w:color="auto" w:fill="FFCCCC"/>
            <w:vAlign w:val="center"/>
            <w:hideMark/>
          </w:tcPr>
          <w:p w:rsidR="00892E5C" w:rsidRDefault="00EA6A4F" w:rsidP="00892E5C">
            <w:pPr>
              <w:spacing w:before="30" w:after="30" w:line="240" w:lineRule="auto"/>
              <w:jc w:val="center"/>
              <w:rPr>
                <w:rFonts w:cs="Arial"/>
                <w:b/>
                <w:color w:val="000000"/>
                <w:sz w:val="16"/>
                <w:szCs w:val="16"/>
              </w:rPr>
            </w:pPr>
            <w:r>
              <w:rPr>
                <w:rFonts w:cs="Arial"/>
                <w:b/>
                <w:color w:val="000000"/>
                <w:sz w:val="16"/>
                <w:szCs w:val="16"/>
              </w:rPr>
              <w:t>p</w:t>
            </w:r>
            <w:r w:rsidR="00306953" w:rsidRPr="001042AC">
              <w:rPr>
                <w:rFonts w:cs="Arial"/>
                <w:b/>
                <w:color w:val="000000"/>
                <w:sz w:val="16"/>
                <w:szCs w:val="16"/>
              </w:rPr>
              <w:t xml:space="preserve">rimární až terciární vzdělávání </w:t>
            </w:r>
          </w:p>
          <w:p w:rsidR="00306953" w:rsidRPr="001042AC" w:rsidRDefault="00306953" w:rsidP="00892E5C">
            <w:pPr>
              <w:spacing w:before="30" w:after="30" w:line="240" w:lineRule="auto"/>
              <w:jc w:val="center"/>
              <w:rPr>
                <w:rFonts w:cs="Arial"/>
                <w:b/>
                <w:color w:val="000000"/>
                <w:sz w:val="16"/>
                <w:szCs w:val="16"/>
              </w:rPr>
            </w:pPr>
            <w:r w:rsidRPr="00892E5C">
              <w:rPr>
                <w:rFonts w:cs="Arial"/>
                <w:color w:val="000000"/>
                <w:sz w:val="16"/>
                <w:szCs w:val="16"/>
              </w:rPr>
              <w:t>(včetně nezařazených programů vzdělávání)</w:t>
            </w:r>
          </w:p>
        </w:tc>
      </w:tr>
      <w:tr w:rsidR="00306953" w:rsidRPr="00442515" w:rsidTr="00892E5C">
        <w:trPr>
          <w:cantSplit/>
          <w:trHeight w:val="2111"/>
        </w:trPr>
        <w:tc>
          <w:tcPr>
            <w:tcW w:w="1433" w:type="dxa"/>
            <w:vMerge/>
            <w:tcBorders>
              <w:top w:val="single" w:sz="4" w:space="0" w:color="auto"/>
              <w:bottom w:val="double" w:sz="4" w:space="0" w:color="auto"/>
            </w:tcBorders>
            <w:shd w:val="clear" w:color="auto" w:fill="FFCCCC"/>
            <w:vAlign w:val="center"/>
            <w:hideMark/>
          </w:tcPr>
          <w:p w:rsidR="00306953" w:rsidRPr="001042AC" w:rsidRDefault="00306953" w:rsidP="00306953">
            <w:pPr>
              <w:spacing w:after="0" w:line="240" w:lineRule="auto"/>
              <w:rPr>
                <w:rFonts w:cs="Arial"/>
                <w:b/>
                <w:color w:val="000000"/>
                <w:sz w:val="16"/>
                <w:szCs w:val="16"/>
              </w:rPr>
            </w:pPr>
          </w:p>
        </w:tc>
        <w:tc>
          <w:tcPr>
            <w:tcW w:w="567" w:type="dxa"/>
            <w:tcBorders>
              <w:top w:val="single" w:sz="4" w:space="0" w:color="auto"/>
              <w:bottom w:val="double" w:sz="4" w:space="0" w:color="auto"/>
            </w:tcBorders>
            <w:shd w:val="clear" w:color="auto" w:fill="FFCCCC"/>
            <w:textDirection w:val="btLr"/>
            <w:vAlign w:val="center"/>
            <w:hideMark/>
          </w:tcPr>
          <w:p w:rsidR="00306953" w:rsidRPr="001042AC" w:rsidRDefault="00EA6A4F" w:rsidP="00306953">
            <w:pPr>
              <w:spacing w:after="0" w:line="240" w:lineRule="auto"/>
              <w:rPr>
                <w:rFonts w:cs="Arial"/>
                <w:b/>
                <w:color w:val="000000"/>
                <w:sz w:val="16"/>
                <w:szCs w:val="16"/>
              </w:rPr>
            </w:pPr>
            <w:r>
              <w:rPr>
                <w:rFonts w:cs="Arial"/>
                <w:b/>
                <w:color w:val="000000"/>
                <w:sz w:val="16"/>
                <w:szCs w:val="16"/>
              </w:rPr>
              <w:t>v</w:t>
            </w:r>
            <w:r w:rsidR="00306953" w:rsidRPr="001042AC">
              <w:rPr>
                <w:rFonts w:cs="Arial"/>
                <w:b/>
                <w:color w:val="000000"/>
                <w:sz w:val="16"/>
                <w:szCs w:val="16"/>
              </w:rPr>
              <w:t>lastní vzdělávání</w:t>
            </w:r>
          </w:p>
        </w:tc>
        <w:tc>
          <w:tcPr>
            <w:tcW w:w="850" w:type="dxa"/>
            <w:tcBorders>
              <w:top w:val="single" w:sz="4" w:space="0" w:color="auto"/>
              <w:bottom w:val="double" w:sz="4" w:space="0" w:color="auto"/>
            </w:tcBorders>
            <w:shd w:val="clear" w:color="auto" w:fill="FFCCCC"/>
            <w:textDirection w:val="btLr"/>
            <w:vAlign w:val="center"/>
            <w:hideMark/>
          </w:tcPr>
          <w:p w:rsidR="00870CB1" w:rsidRDefault="00EA6A4F" w:rsidP="00306953">
            <w:pPr>
              <w:spacing w:after="0" w:line="240" w:lineRule="auto"/>
              <w:rPr>
                <w:rFonts w:cs="Arial"/>
                <w:b/>
                <w:color w:val="000000"/>
                <w:sz w:val="16"/>
                <w:szCs w:val="16"/>
              </w:rPr>
            </w:pPr>
            <w:r>
              <w:rPr>
                <w:rFonts w:cs="Arial"/>
                <w:b/>
                <w:color w:val="000000"/>
                <w:sz w:val="16"/>
                <w:szCs w:val="16"/>
              </w:rPr>
              <w:t>d</w:t>
            </w:r>
            <w:r w:rsidR="00306953" w:rsidRPr="001042AC">
              <w:rPr>
                <w:rFonts w:cs="Arial"/>
                <w:b/>
                <w:color w:val="000000"/>
                <w:sz w:val="16"/>
                <w:szCs w:val="16"/>
              </w:rPr>
              <w:t xml:space="preserve">oprovodné služby </w:t>
            </w:r>
          </w:p>
          <w:p w:rsidR="00306953" w:rsidRPr="00892E5C" w:rsidRDefault="00892E5C" w:rsidP="00306953">
            <w:pPr>
              <w:spacing w:after="0" w:line="240" w:lineRule="auto"/>
              <w:rPr>
                <w:rFonts w:cs="Arial"/>
                <w:color w:val="000000"/>
                <w:sz w:val="16"/>
                <w:szCs w:val="16"/>
              </w:rPr>
            </w:pPr>
            <w:r>
              <w:rPr>
                <w:rFonts w:cs="Arial"/>
                <w:color w:val="000000"/>
                <w:sz w:val="16"/>
                <w:szCs w:val="16"/>
              </w:rPr>
              <w:t>(např. doprava, stravování a </w:t>
            </w:r>
            <w:r w:rsidR="00306953" w:rsidRPr="00892E5C">
              <w:rPr>
                <w:rFonts w:cs="Arial"/>
                <w:color w:val="000000"/>
                <w:sz w:val="16"/>
                <w:szCs w:val="16"/>
              </w:rPr>
              <w:t>ubytování poskytované institucemi)</w:t>
            </w:r>
          </w:p>
        </w:tc>
        <w:tc>
          <w:tcPr>
            <w:tcW w:w="805" w:type="dxa"/>
            <w:tcBorders>
              <w:top w:val="single" w:sz="4" w:space="0" w:color="auto"/>
              <w:bottom w:val="double" w:sz="4" w:space="0" w:color="auto"/>
            </w:tcBorders>
            <w:shd w:val="clear" w:color="auto" w:fill="FFCCCC"/>
            <w:textDirection w:val="btLr"/>
            <w:vAlign w:val="center"/>
            <w:hideMark/>
          </w:tcPr>
          <w:p w:rsidR="00306953" w:rsidRPr="001042AC" w:rsidRDefault="00EA6A4F" w:rsidP="00EA6A4F">
            <w:pPr>
              <w:spacing w:after="0" w:line="240" w:lineRule="auto"/>
              <w:ind w:left="113" w:right="113"/>
              <w:rPr>
                <w:rFonts w:cs="Arial"/>
                <w:b/>
                <w:color w:val="000000"/>
                <w:sz w:val="16"/>
                <w:szCs w:val="16"/>
              </w:rPr>
            </w:pPr>
            <w:r>
              <w:rPr>
                <w:rFonts w:cs="Arial"/>
                <w:b/>
                <w:color w:val="000000"/>
                <w:sz w:val="16"/>
                <w:szCs w:val="16"/>
              </w:rPr>
              <w:t>c</w:t>
            </w:r>
            <w:r w:rsidR="00306953" w:rsidRPr="001042AC">
              <w:rPr>
                <w:rFonts w:cs="Arial"/>
                <w:b/>
                <w:color w:val="000000"/>
                <w:sz w:val="16"/>
                <w:szCs w:val="16"/>
              </w:rPr>
              <w:t xml:space="preserve">elkem </w:t>
            </w:r>
          </w:p>
        </w:tc>
        <w:tc>
          <w:tcPr>
            <w:tcW w:w="708" w:type="dxa"/>
            <w:tcBorders>
              <w:top w:val="single" w:sz="4" w:space="0" w:color="auto"/>
              <w:bottom w:val="double" w:sz="4" w:space="0" w:color="auto"/>
            </w:tcBorders>
            <w:shd w:val="clear" w:color="auto" w:fill="FFCCCC"/>
            <w:textDirection w:val="btLr"/>
            <w:vAlign w:val="center"/>
            <w:hideMark/>
          </w:tcPr>
          <w:p w:rsidR="00306953" w:rsidRPr="001042AC" w:rsidRDefault="00EA6A4F" w:rsidP="00306953">
            <w:pPr>
              <w:spacing w:after="0" w:line="240" w:lineRule="auto"/>
              <w:rPr>
                <w:rFonts w:cs="Arial"/>
                <w:b/>
                <w:color w:val="000000"/>
                <w:sz w:val="16"/>
                <w:szCs w:val="16"/>
              </w:rPr>
            </w:pPr>
            <w:r>
              <w:rPr>
                <w:rFonts w:cs="Arial"/>
                <w:b/>
                <w:color w:val="000000"/>
                <w:sz w:val="16"/>
                <w:szCs w:val="16"/>
              </w:rPr>
              <w:t>v</w:t>
            </w:r>
            <w:r w:rsidR="00306953" w:rsidRPr="001042AC">
              <w:rPr>
                <w:rFonts w:cs="Arial"/>
                <w:b/>
                <w:color w:val="000000"/>
                <w:sz w:val="16"/>
                <w:szCs w:val="16"/>
              </w:rPr>
              <w:t>lastní vzdělávání</w:t>
            </w:r>
          </w:p>
        </w:tc>
        <w:tc>
          <w:tcPr>
            <w:tcW w:w="897" w:type="dxa"/>
            <w:tcBorders>
              <w:top w:val="single" w:sz="4" w:space="0" w:color="auto"/>
              <w:bottom w:val="double" w:sz="4" w:space="0" w:color="auto"/>
            </w:tcBorders>
            <w:shd w:val="clear" w:color="auto" w:fill="FFCCCC"/>
            <w:textDirection w:val="btLr"/>
            <w:vAlign w:val="center"/>
            <w:hideMark/>
          </w:tcPr>
          <w:p w:rsidR="00892E5C" w:rsidRDefault="00EA6A4F" w:rsidP="00306953">
            <w:pPr>
              <w:spacing w:after="0" w:line="240" w:lineRule="auto"/>
              <w:rPr>
                <w:rFonts w:cs="Arial"/>
                <w:b/>
                <w:color w:val="000000"/>
                <w:sz w:val="16"/>
                <w:szCs w:val="16"/>
              </w:rPr>
            </w:pPr>
            <w:r>
              <w:rPr>
                <w:rFonts w:cs="Arial"/>
                <w:b/>
                <w:color w:val="000000"/>
                <w:sz w:val="16"/>
                <w:szCs w:val="16"/>
              </w:rPr>
              <w:t>d</w:t>
            </w:r>
            <w:r w:rsidR="00306953" w:rsidRPr="001042AC">
              <w:rPr>
                <w:rFonts w:cs="Arial"/>
                <w:b/>
                <w:color w:val="000000"/>
                <w:sz w:val="16"/>
                <w:szCs w:val="16"/>
              </w:rPr>
              <w:t xml:space="preserve">oprovodné služby </w:t>
            </w:r>
          </w:p>
          <w:p w:rsidR="00306953" w:rsidRPr="00892E5C" w:rsidRDefault="00306953" w:rsidP="00306953">
            <w:pPr>
              <w:spacing w:after="0" w:line="240" w:lineRule="auto"/>
              <w:rPr>
                <w:rFonts w:cs="Arial"/>
                <w:color w:val="000000"/>
                <w:sz w:val="16"/>
                <w:szCs w:val="16"/>
              </w:rPr>
            </w:pPr>
            <w:r w:rsidRPr="00892E5C">
              <w:rPr>
                <w:rFonts w:cs="Arial"/>
                <w:color w:val="000000"/>
                <w:sz w:val="16"/>
                <w:szCs w:val="16"/>
              </w:rPr>
              <w:t>(např. doprava, stravování a ubytování poskytované institucemi)</w:t>
            </w:r>
          </w:p>
        </w:tc>
        <w:tc>
          <w:tcPr>
            <w:tcW w:w="677" w:type="dxa"/>
            <w:tcBorders>
              <w:top w:val="single" w:sz="4" w:space="0" w:color="auto"/>
              <w:bottom w:val="double" w:sz="4" w:space="0" w:color="auto"/>
            </w:tcBorders>
            <w:shd w:val="clear" w:color="auto" w:fill="FFCCCC"/>
            <w:textDirection w:val="btLr"/>
            <w:vAlign w:val="center"/>
            <w:hideMark/>
          </w:tcPr>
          <w:p w:rsidR="00306953" w:rsidRPr="001042AC" w:rsidRDefault="00EA6A4F" w:rsidP="00306953">
            <w:pPr>
              <w:spacing w:after="0" w:line="240" w:lineRule="auto"/>
              <w:rPr>
                <w:rFonts w:cs="Arial"/>
                <w:b/>
                <w:color w:val="000000"/>
                <w:sz w:val="16"/>
                <w:szCs w:val="16"/>
              </w:rPr>
            </w:pPr>
            <w:r>
              <w:rPr>
                <w:rFonts w:cs="Arial"/>
                <w:b/>
                <w:color w:val="000000"/>
                <w:sz w:val="16"/>
                <w:szCs w:val="16"/>
              </w:rPr>
              <w:t>v</w:t>
            </w:r>
            <w:r w:rsidR="00306953" w:rsidRPr="001042AC">
              <w:rPr>
                <w:rFonts w:cs="Arial"/>
                <w:b/>
                <w:color w:val="000000"/>
                <w:sz w:val="16"/>
                <w:szCs w:val="16"/>
              </w:rPr>
              <w:t>ýzkum a vývoj</w:t>
            </w:r>
          </w:p>
        </w:tc>
        <w:tc>
          <w:tcPr>
            <w:tcW w:w="709" w:type="dxa"/>
            <w:tcBorders>
              <w:top w:val="single" w:sz="4" w:space="0" w:color="auto"/>
              <w:bottom w:val="double" w:sz="4" w:space="0" w:color="auto"/>
            </w:tcBorders>
            <w:shd w:val="clear" w:color="auto" w:fill="FFCCCC"/>
            <w:textDirection w:val="btLr"/>
            <w:vAlign w:val="center"/>
            <w:hideMark/>
          </w:tcPr>
          <w:p w:rsidR="00306953" w:rsidRPr="001042AC" w:rsidRDefault="00EA6A4F" w:rsidP="00EA6A4F">
            <w:pPr>
              <w:spacing w:after="0" w:line="240" w:lineRule="auto"/>
              <w:ind w:left="113" w:right="113"/>
              <w:rPr>
                <w:rFonts w:cs="Arial"/>
                <w:b/>
                <w:color w:val="000000"/>
                <w:sz w:val="16"/>
                <w:szCs w:val="16"/>
              </w:rPr>
            </w:pPr>
            <w:r>
              <w:rPr>
                <w:rFonts w:cs="Arial"/>
                <w:b/>
                <w:color w:val="000000"/>
                <w:sz w:val="16"/>
                <w:szCs w:val="16"/>
              </w:rPr>
              <w:t>c</w:t>
            </w:r>
            <w:r w:rsidR="00306953" w:rsidRPr="001042AC">
              <w:rPr>
                <w:rFonts w:cs="Arial"/>
                <w:b/>
                <w:color w:val="000000"/>
                <w:sz w:val="16"/>
                <w:szCs w:val="16"/>
              </w:rPr>
              <w:t xml:space="preserve">elkem </w:t>
            </w:r>
          </w:p>
        </w:tc>
        <w:tc>
          <w:tcPr>
            <w:tcW w:w="755" w:type="dxa"/>
            <w:tcBorders>
              <w:top w:val="single" w:sz="4" w:space="0" w:color="auto"/>
              <w:bottom w:val="double" w:sz="4" w:space="0" w:color="auto"/>
            </w:tcBorders>
            <w:shd w:val="clear" w:color="auto" w:fill="FFCCCC"/>
            <w:textDirection w:val="btLr"/>
            <w:vAlign w:val="center"/>
            <w:hideMark/>
          </w:tcPr>
          <w:p w:rsidR="00306953" w:rsidRPr="001042AC" w:rsidRDefault="00EA6A4F" w:rsidP="00306953">
            <w:pPr>
              <w:spacing w:after="0" w:line="240" w:lineRule="auto"/>
              <w:rPr>
                <w:rFonts w:cs="Arial"/>
                <w:b/>
                <w:color w:val="000000"/>
                <w:sz w:val="16"/>
                <w:szCs w:val="16"/>
              </w:rPr>
            </w:pPr>
            <w:r>
              <w:rPr>
                <w:rFonts w:cs="Arial"/>
                <w:b/>
                <w:color w:val="000000"/>
                <w:sz w:val="16"/>
                <w:szCs w:val="16"/>
              </w:rPr>
              <w:t>v</w:t>
            </w:r>
            <w:r w:rsidR="00306953" w:rsidRPr="001042AC">
              <w:rPr>
                <w:rFonts w:cs="Arial"/>
                <w:b/>
                <w:color w:val="000000"/>
                <w:sz w:val="16"/>
                <w:szCs w:val="16"/>
              </w:rPr>
              <w:t>lastní vzdělávání</w:t>
            </w:r>
          </w:p>
        </w:tc>
        <w:tc>
          <w:tcPr>
            <w:tcW w:w="836" w:type="dxa"/>
            <w:tcBorders>
              <w:top w:val="single" w:sz="4" w:space="0" w:color="auto"/>
              <w:bottom w:val="double" w:sz="4" w:space="0" w:color="auto"/>
            </w:tcBorders>
            <w:shd w:val="clear" w:color="auto" w:fill="FFCCCC"/>
            <w:textDirection w:val="btLr"/>
            <w:vAlign w:val="center"/>
            <w:hideMark/>
          </w:tcPr>
          <w:p w:rsidR="00870CB1" w:rsidRDefault="00EA6A4F" w:rsidP="00892E5C">
            <w:pPr>
              <w:spacing w:before="30" w:after="30" w:line="240" w:lineRule="auto"/>
              <w:rPr>
                <w:rFonts w:cs="Arial"/>
                <w:b/>
                <w:color w:val="000000"/>
                <w:sz w:val="16"/>
                <w:szCs w:val="16"/>
              </w:rPr>
            </w:pPr>
            <w:r>
              <w:rPr>
                <w:rFonts w:cs="Arial"/>
                <w:b/>
                <w:color w:val="000000"/>
                <w:sz w:val="16"/>
                <w:szCs w:val="16"/>
              </w:rPr>
              <w:t>d</w:t>
            </w:r>
            <w:r w:rsidR="00306953" w:rsidRPr="001042AC">
              <w:rPr>
                <w:rFonts w:cs="Arial"/>
                <w:b/>
                <w:color w:val="000000"/>
                <w:sz w:val="16"/>
                <w:szCs w:val="16"/>
              </w:rPr>
              <w:t xml:space="preserve">oprovodné služby </w:t>
            </w:r>
          </w:p>
          <w:p w:rsidR="00306953" w:rsidRPr="00892E5C" w:rsidRDefault="00892E5C" w:rsidP="00892E5C">
            <w:pPr>
              <w:spacing w:before="30" w:after="30" w:line="240" w:lineRule="auto"/>
              <w:rPr>
                <w:rFonts w:cs="Arial"/>
                <w:color w:val="000000"/>
                <w:sz w:val="16"/>
                <w:szCs w:val="16"/>
              </w:rPr>
            </w:pPr>
            <w:r>
              <w:rPr>
                <w:rFonts w:cs="Arial"/>
                <w:color w:val="000000"/>
                <w:sz w:val="16"/>
                <w:szCs w:val="16"/>
              </w:rPr>
              <w:t>(např. doprava, stravování a </w:t>
            </w:r>
            <w:r w:rsidR="00306953" w:rsidRPr="00892E5C">
              <w:rPr>
                <w:rFonts w:cs="Arial"/>
                <w:color w:val="000000"/>
                <w:sz w:val="16"/>
                <w:szCs w:val="16"/>
              </w:rPr>
              <w:t>ubytování poskytované institucemi)</w:t>
            </w:r>
          </w:p>
        </w:tc>
        <w:tc>
          <w:tcPr>
            <w:tcW w:w="664" w:type="dxa"/>
            <w:tcBorders>
              <w:top w:val="single" w:sz="4" w:space="0" w:color="auto"/>
              <w:bottom w:val="double" w:sz="4" w:space="0" w:color="auto"/>
            </w:tcBorders>
            <w:shd w:val="clear" w:color="auto" w:fill="FFCCCC"/>
            <w:textDirection w:val="btLr"/>
            <w:vAlign w:val="center"/>
            <w:hideMark/>
          </w:tcPr>
          <w:p w:rsidR="00306953" w:rsidRPr="001042AC" w:rsidRDefault="00EA6A4F" w:rsidP="00306953">
            <w:pPr>
              <w:spacing w:after="0" w:line="240" w:lineRule="auto"/>
              <w:rPr>
                <w:rFonts w:cs="Arial"/>
                <w:b/>
                <w:color w:val="000000"/>
                <w:sz w:val="16"/>
                <w:szCs w:val="16"/>
              </w:rPr>
            </w:pPr>
            <w:r>
              <w:rPr>
                <w:rFonts w:cs="Arial"/>
                <w:b/>
                <w:color w:val="000000"/>
                <w:sz w:val="16"/>
                <w:szCs w:val="16"/>
              </w:rPr>
              <w:t>v</w:t>
            </w:r>
            <w:r w:rsidR="00306953" w:rsidRPr="001042AC">
              <w:rPr>
                <w:rFonts w:cs="Arial"/>
                <w:b/>
                <w:color w:val="000000"/>
                <w:sz w:val="16"/>
                <w:szCs w:val="16"/>
              </w:rPr>
              <w:t>ýzkum a vývoj</w:t>
            </w:r>
          </w:p>
        </w:tc>
        <w:tc>
          <w:tcPr>
            <w:tcW w:w="709" w:type="dxa"/>
            <w:tcBorders>
              <w:top w:val="single" w:sz="4" w:space="0" w:color="auto"/>
              <w:bottom w:val="double" w:sz="4" w:space="0" w:color="auto"/>
            </w:tcBorders>
            <w:shd w:val="clear" w:color="auto" w:fill="FFCCCC"/>
            <w:textDirection w:val="btLr"/>
            <w:vAlign w:val="center"/>
            <w:hideMark/>
          </w:tcPr>
          <w:p w:rsidR="00306953" w:rsidRPr="001042AC" w:rsidRDefault="00EA6A4F" w:rsidP="00EA6A4F">
            <w:pPr>
              <w:spacing w:after="0" w:line="240" w:lineRule="auto"/>
              <w:ind w:left="113" w:right="113"/>
              <w:rPr>
                <w:rFonts w:cs="Arial"/>
                <w:b/>
                <w:color w:val="000000"/>
                <w:sz w:val="16"/>
                <w:szCs w:val="16"/>
              </w:rPr>
            </w:pPr>
            <w:r>
              <w:rPr>
                <w:rFonts w:cs="Arial"/>
                <w:b/>
                <w:color w:val="000000"/>
                <w:sz w:val="16"/>
                <w:szCs w:val="16"/>
              </w:rPr>
              <w:t>c</w:t>
            </w:r>
            <w:r w:rsidR="00306953" w:rsidRPr="001042AC">
              <w:rPr>
                <w:rFonts w:cs="Arial"/>
                <w:b/>
                <w:color w:val="000000"/>
                <w:sz w:val="16"/>
                <w:szCs w:val="16"/>
              </w:rPr>
              <w:t>elkem</w:t>
            </w:r>
          </w:p>
        </w:tc>
      </w:tr>
      <w:tr w:rsidR="00306953" w:rsidRPr="00442515" w:rsidTr="00892E5C">
        <w:trPr>
          <w:trHeight w:val="255"/>
        </w:trPr>
        <w:tc>
          <w:tcPr>
            <w:tcW w:w="1433" w:type="dxa"/>
            <w:tcBorders>
              <w:top w:val="double" w:sz="4" w:space="0" w:color="auto"/>
            </w:tcBorders>
            <w:shd w:val="clear" w:color="000000" w:fill="FFFFFF"/>
            <w:noWrap/>
            <w:vAlign w:val="center"/>
            <w:hideMark/>
          </w:tcPr>
          <w:p w:rsidR="00306953" w:rsidRPr="00442515" w:rsidRDefault="00306953" w:rsidP="007E5BD0">
            <w:pPr>
              <w:spacing w:after="0" w:line="240" w:lineRule="auto"/>
              <w:rPr>
                <w:rFonts w:cs="Arial"/>
                <w:color w:val="000000"/>
                <w:sz w:val="16"/>
                <w:szCs w:val="16"/>
              </w:rPr>
            </w:pPr>
            <w:r w:rsidRPr="00442515">
              <w:rPr>
                <w:rFonts w:cs="Arial"/>
                <w:color w:val="000000"/>
                <w:sz w:val="16"/>
                <w:szCs w:val="16"/>
              </w:rPr>
              <w:t>Česká republika</w:t>
            </w:r>
          </w:p>
        </w:tc>
        <w:tc>
          <w:tcPr>
            <w:tcW w:w="567" w:type="dxa"/>
            <w:tcBorders>
              <w:top w:val="double" w:sz="4" w:space="0" w:color="auto"/>
            </w:tcBorders>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6 015</w:t>
            </w:r>
          </w:p>
        </w:tc>
        <w:tc>
          <w:tcPr>
            <w:tcW w:w="850" w:type="dxa"/>
            <w:tcBorders>
              <w:top w:val="double" w:sz="4" w:space="0" w:color="auto"/>
            </w:tcBorders>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404</w:t>
            </w:r>
          </w:p>
        </w:tc>
        <w:tc>
          <w:tcPr>
            <w:tcW w:w="805" w:type="dxa"/>
            <w:tcBorders>
              <w:top w:val="double" w:sz="4" w:space="0" w:color="auto"/>
            </w:tcBorders>
            <w:shd w:val="clear" w:color="auto" w:fill="auto"/>
            <w:noWrap/>
            <w:vAlign w:val="center"/>
            <w:hideMark/>
          </w:tcPr>
          <w:p w:rsidR="00306953" w:rsidRPr="00442515" w:rsidRDefault="00306953" w:rsidP="007E5BD0">
            <w:pPr>
              <w:spacing w:after="0" w:line="240" w:lineRule="auto"/>
              <w:jc w:val="center"/>
              <w:rPr>
                <w:rFonts w:cs="Arial"/>
                <w:b/>
                <w:bCs/>
                <w:color w:val="000000"/>
                <w:sz w:val="16"/>
                <w:szCs w:val="16"/>
              </w:rPr>
            </w:pPr>
            <w:r w:rsidRPr="00442515">
              <w:rPr>
                <w:rFonts w:cs="Arial"/>
                <w:b/>
                <w:bCs/>
                <w:color w:val="000000"/>
                <w:sz w:val="16"/>
                <w:szCs w:val="16"/>
              </w:rPr>
              <w:t>6 419</w:t>
            </w:r>
          </w:p>
        </w:tc>
        <w:tc>
          <w:tcPr>
            <w:tcW w:w="708" w:type="dxa"/>
            <w:tcBorders>
              <w:top w:val="double" w:sz="4" w:space="0" w:color="auto"/>
            </w:tcBorders>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6 734</w:t>
            </w:r>
          </w:p>
        </w:tc>
        <w:tc>
          <w:tcPr>
            <w:tcW w:w="897" w:type="dxa"/>
            <w:tcBorders>
              <w:top w:val="double" w:sz="4" w:space="0" w:color="auto"/>
            </w:tcBorders>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74</w:t>
            </w:r>
          </w:p>
        </w:tc>
        <w:tc>
          <w:tcPr>
            <w:tcW w:w="677" w:type="dxa"/>
            <w:tcBorders>
              <w:top w:val="double" w:sz="4" w:space="0" w:color="auto"/>
            </w:tcBorders>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3 512</w:t>
            </w:r>
          </w:p>
        </w:tc>
        <w:tc>
          <w:tcPr>
            <w:tcW w:w="709" w:type="dxa"/>
            <w:tcBorders>
              <w:top w:val="double" w:sz="4" w:space="0" w:color="auto"/>
            </w:tcBorders>
            <w:shd w:val="clear" w:color="auto" w:fill="auto"/>
            <w:noWrap/>
            <w:vAlign w:val="center"/>
            <w:hideMark/>
          </w:tcPr>
          <w:p w:rsidR="00306953" w:rsidRPr="00442515" w:rsidRDefault="00306953" w:rsidP="007E5BD0">
            <w:pPr>
              <w:spacing w:after="0" w:line="240" w:lineRule="auto"/>
              <w:jc w:val="center"/>
              <w:rPr>
                <w:rFonts w:cs="Arial"/>
                <w:b/>
                <w:bCs/>
                <w:color w:val="000000"/>
                <w:sz w:val="16"/>
                <w:szCs w:val="16"/>
              </w:rPr>
            </w:pPr>
            <w:r w:rsidRPr="00442515">
              <w:rPr>
                <w:rFonts w:cs="Arial"/>
                <w:b/>
                <w:bCs/>
                <w:color w:val="000000"/>
                <w:sz w:val="16"/>
                <w:szCs w:val="16"/>
              </w:rPr>
              <w:t>10 319</w:t>
            </w:r>
          </w:p>
        </w:tc>
        <w:tc>
          <w:tcPr>
            <w:tcW w:w="755" w:type="dxa"/>
            <w:tcBorders>
              <w:top w:val="double" w:sz="4" w:space="0" w:color="auto"/>
            </w:tcBorders>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6 499</w:t>
            </w:r>
          </w:p>
        </w:tc>
        <w:tc>
          <w:tcPr>
            <w:tcW w:w="836" w:type="dxa"/>
            <w:tcBorders>
              <w:top w:val="double" w:sz="4" w:space="0" w:color="auto"/>
            </w:tcBorders>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323</w:t>
            </w:r>
          </w:p>
        </w:tc>
        <w:tc>
          <w:tcPr>
            <w:tcW w:w="664" w:type="dxa"/>
            <w:tcBorders>
              <w:top w:val="double" w:sz="4" w:space="0" w:color="auto"/>
            </w:tcBorders>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862</w:t>
            </w:r>
          </w:p>
        </w:tc>
        <w:tc>
          <w:tcPr>
            <w:tcW w:w="709" w:type="dxa"/>
            <w:tcBorders>
              <w:top w:val="double" w:sz="4" w:space="0" w:color="auto"/>
            </w:tcBorders>
            <w:shd w:val="clear" w:color="auto" w:fill="auto"/>
            <w:noWrap/>
            <w:vAlign w:val="center"/>
            <w:hideMark/>
          </w:tcPr>
          <w:p w:rsidR="00306953" w:rsidRPr="00442515" w:rsidRDefault="00306953" w:rsidP="007E5BD0">
            <w:pPr>
              <w:spacing w:after="0" w:line="240" w:lineRule="auto"/>
              <w:jc w:val="center"/>
              <w:rPr>
                <w:rFonts w:cs="Arial"/>
                <w:b/>
                <w:bCs/>
                <w:color w:val="000000"/>
                <w:sz w:val="16"/>
                <w:szCs w:val="16"/>
              </w:rPr>
            </w:pPr>
            <w:r w:rsidRPr="00442515">
              <w:rPr>
                <w:rFonts w:cs="Arial"/>
                <w:b/>
                <w:bCs/>
                <w:color w:val="000000"/>
                <w:sz w:val="16"/>
                <w:szCs w:val="16"/>
              </w:rPr>
              <w:t>7 684</w:t>
            </w:r>
          </w:p>
        </w:tc>
      </w:tr>
      <w:tr w:rsidR="00306953" w:rsidRPr="00442515" w:rsidTr="00892E5C">
        <w:trPr>
          <w:trHeight w:val="255"/>
        </w:trPr>
        <w:tc>
          <w:tcPr>
            <w:tcW w:w="1433" w:type="dxa"/>
            <w:shd w:val="clear" w:color="000000" w:fill="FFFFFF"/>
            <w:noWrap/>
            <w:vAlign w:val="center"/>
            <w:hideMark/>
          </w:tcPr>
          <w:p w:rsidR="00306953" w:rsidRPr="00442515" w:rsidRDefault="00306953" w:rsidP="007E5BD0">
            <w:pPr>
              <w:spacing w:after="0" w:line="240" w:lineRule="auto"/>
              <w:rPr>
                <w:rFonts w:cs="Arial"/>
                <w:color w:val="000000"/>
                <w:sz w:val="16"/>
                <w:szCs w:val="16"/>
                <w:vertAlign w:val="superscript"/>
              </w:rPr>
            </w:pPr>
            <w:r w:rsidRPr="00442515">
              <w:rPr>
                <w:rFonts w:cs="Arial"/>
                <w:color w:val="000000"/>
                <w:sz w:val="16"/>
                <w:szCs w:val="16"/>
              </w:rPr>
              <w:t>Slovensko</w:t>
            </w:r>
            <w:r w:rsidRPr="00442515">
              <w:rPr>
                <w:rFonts w:cs="Arial"/>
                <w:color w:val="000000"/>
                <w:sz w:val="16"/>
                <w:szCs w:val="16"/>
                <w:vertAlign w:val="superscript"/>
              </w:rPr>
              <w:t>1)</w:t>
            </w:r>
          </w:p>
        </w:tc>
        <w:tc>
          <w:tcPr>
            <w:tcW w:w="567"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4 439</w:t>
            </w:r>
          </w:p>
        </w:tc>
        <w:tc>
          <w:tcPr>
            <w:tcW w:w="850"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792</w:t>
            </w:r>
          </w:p>
        </w:tc>
        <w:tc>
          <w:tcPr>
            <w:tcW w:w="805" w:type="dxa"/>
            <w:shd w:val="clear" w:color="auto" w:fill="auto"/>
            <w:noWrap/>
            <w:vAlign w:val="center"/>
            <w:hideMark/>
          </w:tcPr>
          <w:p w:rsidR="00306953" w:rsidRPr="00442515" w:rsidRDefault="00306953" w:rsidP="007E5BD0">
            <w:pPr>
              <w:spacing w:after="0" w:line="240" w:lineRule="auto"/>
              <w:jc w:val="center"/>
              <w:rPr>
                <w:rFonts w:cs="Arial"/>
                <w:b/>
                <w:bCs/>
                <w:color w:val="000000"/>
                <w:sz w:val="16"/>
                <w:szCs w:val="16"/>
              </w:rPr>
            </w:pPr>
            <w:r w:rsidRPr="00442515">
              <w:rPr>
                <w:rFonts w:cs="Arial"/>
                <w:b/>
                <w:bCs/>
                <w:color w:val="000000"/>
                <w:sz w:val="16"/>
                <w:szCs w:val="16"/>
              </w:rPr>
              <w:t>5 231</w:t>
            </w:r>
          </w:p>
        </w:tc>
        <w:tc>
          <w:tcPr>
            <w:tcW w:w="708"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4 412</w:t>
            </w:r>
          </w:p>
        </w:tc>
        <w:tc>
          <w:tcPr>
            <w:tcW w:w="897"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1 778</w:t>
            </w:r>
          </w:p>
        </w:tc>
        <w:tc>
          <w:tcPr>
            <w:tcW w:w="677"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2 832</w:t>
            </w:r>
          </w:p>
        </w:tc>
        <w:tc>
          <w:tcPr>
            <w:tcW w:w="709" w:type="dxa"/>
            <w:shd w:val="clear" w:color="auto" w:fill="auto"/>
            <w:noWrap/>
            <w:vAlign w:val="center"/>
            <w:hideMark/>
          </w:tcPr>
          <w:p w:rsidR="00306953" w:rsidRPr="00442515" w:rsidRDefault="00306953" w:rsidP="007E5BD0">
            <w:pPr>
              <w:spacing w:after="0" w:line="240" w:lineRule="auto"/>
              <w:jc w:val="center"/>
              <w:rPr>
                <w:rFonts w:cs="Arial"/>
                <w:b/>
                <w:bCs/>
                <w:color w:val="000000"/>
                <w:sz w:val="16"/>
                <w:szCs w:val="16"/>
              </w:rPr>
            </w:pPr>
            <w:r w:rsidRPr="00442515">
              <w:rPr>
                <w:rFonts w:cs="Arial"/>
                <w:b/>
                <w:bCs/>
                <w:color w:val="000000"/>
                <w:sz w:val="16"/>
                <w:szCs w:val="16"/>
              </w:rPr>
              <w:t>9 022</w:t>
            </w:r>
          </w:p>
        </w:tc>
        <w:tc>
          <w:tcPr>
            <w:tcW w:w="755"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4 579</w:t>
            </w:r>
          </w:p>
        </w:tc>
        <w:tc>
          <w:tcPr>
            <w:tcW w:w="836"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975</w:t>
            </w:r>
          </w:p>
        </w:tc>
        <w:tc>
          <w:tcPr>
            <w:tcW w:w="664"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519</w:t>
            </w:r>
          </w:p>
        </w:tc>
        <w:tc>
          <w:tcPr>
            <w:tcW w:w="709" w:type="dxa"/>
            <w:shd w:val="clear" w:color="auto" w:fill="auto"/>
            <w:noWrap/>
            <w:vAlign w:val="center"/>
            <w:hideMark/>
          </w:tcPr>
          <w:p w:rsidR="00306953" w:rsidRPr="00442515" w:rsidRDefault="00306953" w:rsidP="007E5BD0">
            <w:pPr>
              <w:spacing w:after="0" w:line="240" w:lineRule="auto"/>
              <w:jc w:val="center"/>
              <w:rPr>
                <w:rFonts w:cs="Arial"/>
                <w:b/>
                <w:bCs/>
                <w:color w:val="000000"/>
                <w:sz w:val="16"/>
                <w:szCs w:val="16"/>
              </w:rPr>
            </w:pPr>
            <w:r w:rsidRPr="00442515">
              <w:rPr>
                <w:rFonts w:cs="Arial"/>
                <w:b/>
                <w:bCs/>
                <w:color w:val="000000"/>
                <w:sz w:val="16"/>
                <w:szCs w:val="16"/>
              </w:rPr>
              <w:t>6 072</w:t>
            </w:r>
          </w:p>
        </w:tc>
      </w:tr>
      <w:tr w:rsidR="00306953" w:rsidRPr="00442515" w:rsidTr="00892E5C">
        <w:trPr>
          <w:trHeight w:val="255"/>
        </w:trPr>
        <w:tc>
          <w:tcPr>
            <w:tcW w:w="1433" w:type="dxa"/>
            <w:shd w:val="clear" w:color="000000" w:fill="FFFFFF"/>
            <w:noWrap/>
            <w:vAlign w:val="center"/>
            <w:hideMark/>
          </w:tcPr>
          <w:p w:rsidR="00306953" w:rsidRPr="00442515" w:rsidRDefault="00306953" w:rsidP="00B43A21">
            <w:pPr>
              <w:spacing w:after="0" w:line="240" w:lineRule="auto"/>
              <w:rPr>
                <w:rFonts w:cs="Arial"/>
                <w:color w:val="000000"/>
                <w:sz w:val="16"/>
                <w:szCs w:val="16"/>
              </w:rPr>
            </w:pPr>
            <w:r w:rsidRPr="00442515">
              <w:rPr>
                <w:rFonts w:cs="Arial"/>
                <w:color w:val="000000"/>
                <w:sz w:val="16"/>
                <w:szCs w:val="16"/>
              </w:rPr>
              <w:t>Polsko</w:t>
            </w:r>
            <w:r w:rsidR="00B43A21" w:rsidRPr="00B43A21">
              <w:rPr>
                <w:rFonts w:cs="Arial"/>
                <w:color w:val="000000"/>
                <w:sz w:val="16"/>
                <w:szCs w:val="16"/>
                <w:vertAlign w:val="superscript"/>
              </w:rPr>
              <w:t>2)</w:t>
            </w:r>
          </w:p>
        </w:tc>
        <w:tc>
          <w:tcPr>
            <w:tcW w:w="567"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6 585</w:t>
            </w:r>
          </w:p>
        </w:tc>
        <w:tc>
          <w:tcPr>
            <w:tcW w:w="850"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178</w:t>
            </w:r>
          </w:p>
        </w:tc>
        <w:tc>
          <w:tcPr>
            <w:tcW w:w="805" w:type="dxa"/>
            <w:shd w:val="clear" w:color="auto" w:fill="auto"/>
            <w:noWrap/>
            <w:vAlign w:val="center"/>
            <w:hideMark/>
          </w:tcPr>
          <w:p w:rsidR="00306953" w:rsidRPr="00442515" w:rsidRDefault="00306953" w:rsidP="007E5BD0">
            <w:pPr>
              <w:spacing w:after="0" w:line="240" w:lineRule="auto"/>
              <w:jc w:val="center"/>
              <w:rPr>
                <w:rFonts w:cs="Arial"/>
                <w:b/>
                <w:bCs/>
                <w:color w:val="000000"/>
                <w:sz w:val="16"/>
                <w:szCs w:val="16"/>
              </w:rPr>
            </w:pPr>
            <w:r w:rsidRPr="00442515">
              <w:rPr>
                <w:rFonts w:cs="Arial"/>
                <w:b/>
                <w:bCs/>
                <w:color w:val="000000"/>
                <w:sz w:val="16"/>
                <w:szCs w:val="16"/>
              </w:rPr>
              <w:t>6 764</w:t>
            </w:r>
          </w:p>
        </w:tc>
        <w:tc>
          <w:tcPr>
            <w:tcW w:w="708"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7 433</w:t>
            </w:r>
          </w:p>
        </w:tc>
        <w:tc>
          <w:tcPr>
            <w:tcW w:w="897"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259</w:t>
            </w:r>
          </w:p>
        </w:tc>
        <w:tc>
          <w:tcPr>
            <w:tcW w:w="677"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2 107</w:t>
            </w:r>
          </w:p>
        </w:tc>
        <w:tc>
          <w:tcPr>
            <w:tcW w:w="709" w:type="dxa"/>
            <w:shd w:val="clear" w:color="auto" w:fill="auto"/>
            <w:noWrap/>
            <w:vAlign w:val="center"/>
            <w:hideMark/>
          </w:tcPr>
          <w:p w:rsidR="00306953" w:rsidRPr="00442515" w:rsidRDefault="00306953" w:rsidP="007E5BD0">
            <w:pPr>
              <w:spacing w:after="0" w:line="240" w:lineRule="auto"/>
              <w:jc w:val="center"/>
              <w:rPr>
                <w:rFonts w:cs="Arial"/>
                <w:b/>
                <w:bCs/>
                <w:color w:val="000000"/>
                <w:sz w:val="16"/>
                <w:szCs w:val="16"/>
              </w:rPr>
            </w:pPr>
            <w:r w:rsidRPr="00442515">
              <w:rPr>
                <w:rFonts w:cs="Arial"/>
                <w:b/>
                <w:bCs/>
                <w:color w:val="000000"/>
                <w:sz w:val="16"/>
                <w:szCs w:val="16"/>
              </w:rPr>
              <w:t>9 799</w:t>
            </w:r>
          </w:p>
        </w:tc>
        <w:tc>
          <w:tcPr>
            <w:tcW w:w="755"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6 763</w:t>
            </w:r>
          </w:p>
        </w:tc>
        <w:tc>
          <w:tcPr>
            <w:tcW w:w="836"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195</w:t>
            </w:r>
          </w:p>
        </w:tc>
        <w:tc>
          <w:tcPr>
            <w:tcW w:w="664"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440</w:t>
            </w:r>
          </w:p>
        </w:tc>
        <w:tc>
          <w:tcPr>
            <w:tcW w:w="709" w:type="dxa"/>
            <w:shd w:val="clear" w:color="auto" w:fill="auto"/>
            <w:noWrap/>
            <w:vAlign w:val="center"/>
            <w:hideMark/>
          </w:tcPr>
          <w:p w:rsidR="00306953" w:rsidRPr="00442515" w:rsidRDefault="00306953" w:rsidP="007E5BD0">
            <w:pPr>
              <w:spacing w:after="0" w:line="240" w:lineRule="auto"/>
              <w:jc w:val="center"/>
              <w:rPr>
                <w:rFonts w:cs="Arial"/>
                <w:b/>
                <w:bCs/>
                <w:color w:val="000000"/>
                <w:sz w:val="16"/>
                <w:szCs w:val="16"/>
              </w:rPr>
            </w:pPr>
            <w:r w:rsidRPr="00442515">
              <w:rPr>
                <w:rFonts w:cs="Arial"/>
                <w:b/>
                <w:bCs/>
                <w:color w:val="000000"/>
                <w:sz w:val="16"/>
                <w:szCs w:val="16"/>
              </w:rPr>
              <w:t>7 398</w:t>
            </w:r>
          </w:p>
        </w:tc>
      </w:tr>
      <w:tr w:rsidR="00306953" w:rsidRPr="00442515" w:rsidTr="00892E5C">
        <w:trPr>
          <w:trHeight w:val="255"/>
        </w:trPr>
        <w:tc>
          <w:tcPr>
            <w:tcW w:w="1433" w:type="dxa"/>
            <w:shd w:val="clear" w:color="000000" w:fill="FFFFFF"/>
            <w:noWrap/>
            <w:vAlign w:val="center"/>
            <w:hideMark/>
          </w:tcPr>
          <w:p w:rsidR="00306953" w:rsidRPr="00442515" w:rsidRDefault="00306953" w:rsidP="007E5BD0">
            <w:pPr>
              <w:spacing w:after="0" w:line="240" w:lineRule="auto"/>
              <w:rPr>
                <w:rFonts w:cs="Arial"/>
                <w:color w:val="000000"/>
                <w:sz w:val="16"/>
                <w:szCs w:val="16"/>
              </w:rPr>
            </w:pPr>
            <w:r w:rsidRPr="00442515">
              <w:rPr>
                <w:rFonts w:cs="Arial"/>
                <w:color w:val="000000"/>
                <w:sz w:val="16"/>
                <w:szCs w:val="16"/>
              </w:rPr>
              <w:t>Estonsko</w:t>
            </w:r>
          </w:p>
        </w:tc>
        <w:tc>
          <w:tcPr>
            <w:tcW w:w="567"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6 315</w:t>
            </w:r>
          </w:p>
        </w:tc>
        <w:tc>
          <w:tcPr>
            <w:tcW w:w="850"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18</w:t>
            </w:r>
          </w:p>
        </w:tc>
        <w:tc>
          <w:tcPr>
            <w:tcW w:w="805" w:type="dxa"/>
            <w:shd w:val="clear" w:color="auto" w:fill="auto"/>
            <w:noWrap/>
            <w:vAlign w:val="center"/>
            <w:hideMark/>
          </w:tcPr>
          <w:p w:rsidR="00306953" w:rsidRPr="00442515" w:rsidRDefault="00306953" w:rsidP="007E5BD0">
            <w:pPr>
              <w:spacing w:after="0" w:line="240" w:lineRule="auto"/>
              <w:jc w:val="center"/>
              <w:rPr>
                <w:rFonts w:cs="Arial"/>
                <w:b/>
                <w:bCs/>
                <w:color w:val="000000"/>
                <w:sz w:val="16"/>
                <w:szCs w:val="16"/>
              </w:rPr>
            </w:pPr>
            <w:r w:rsidRPr="00442515">
              <w:rPr>
                <w:rFonts w:cs="Arial"/>
                <w:b/>
                <w:bCs/>
                <w:color w:val="000000"/>
                <w:sz w:val="16"/>
                <w:szCs w:val="16"/>
              </w:rPr>
              <w:t>6 334</w:t>
            </w:r>
          </w:p>
        </w:tc>
        <w:tc>
          <w:tcPr>
            <w:tcW w:w="708"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4 284</w:t>
            </w:r>
          </w:p>
        </w:tc>
        <w:tc>
          <w:tcPr>
            <w:tcW w:w="897"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406</w:t>
            </w:r>
          </w:p>
        </w:tc>
        <w:tc>
          <w:tcPr>
            <w:tcW w:w="677"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3 517</w:t>
            </w:r>
          </w:p>
        </w:tc>
        <w:tc>
          <w:tcPr>
            <w:tcW w:w="709" w:type="dxa"/>
            <w:shd w:val="clear" w:color="auto" w:fill="auto"/>
            <w:noWrap/>
            <w:vAlign w:val="center"/>
            <w:hideMark/>
          </w:tcPr>
          <w:p w:rsidR="00306953" w:rsidRPr="00442515" w:rsidRDefault="00306953" w:rsidP="007E5BD0">
            <w:pPr>
              <w:spacing w:after="0" w:line="240" w:lineRule="auto"/>
              <w:jc w:val="center"/>
              <w:rPr>
                <w:rFonts w:cs="Arial"/>
                <w:b/>
                <w:bCs/>
                <w:color w:val="000000"/>
                <w:sz w:val="16"/>
                <w:szCs w:val="16"/>
              </w:rPr>
            </w:pPr>
            <w:r w:rsidRPr="00442515">
              <w:rPr>
                <w:rFonts w:cs="Arial"/>
                <w:b/>
                <w:bCs/>
                <w:color w:val="000000"/>
                <w:sz w:val="16"/>
                <w:szCs w:val="16"/>
              </w:rPr>
              <w:t>8 206</w:t>
            </w:r>
          </w:p>
        </w:tc>
        <w:tc>
          <w:tcPr>
            <w:tcW w:w="755"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5 775</w:t>
            </w:r>
          </w:p>
        </w:tc>
        <w:tc>
          <w:tcPr>
            <w:tcW w:w="836"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126</w:t>
            </w:r>
          </w:p>
        </w:tc>
        <w:tc>
          <w:tcPr>
            <w:tcW w:w="664"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977</w:t>
            </w:r>
          </w:p>
        </w:tc>
        <w:tc>
          <w:tcPr>
            <w:tcW w:w="709" w:type="dxa"/>
            <w:shd w:val="clear" w:color="auto" w:fill="auto"/>
            <w:noWrap/>
            <w:vAlign w:val="center"/>
            <w:hideMark/>
          </w:tcPr>
          <w:p w:rsidR="00306953" w:rsidRPr="00442515" w:rsidRDefault="00306953" w:rsidP="007E5BD0">
            <w:pPr>
              <w:spacing w:after="0" w:line="240" w:lineRule="auto"/>
              <w:jc w:val="center"/>
              <w:rPr>
                <w:rFonts w:cs="Arial"/>
                <w:b/>
                <w:bCs/>
                <w:color w:val="000000"/>
                <w:sz w:val="16"/>
                <w:szCs w:val="16"/>
              </w:rPr>
            </w:pPr>
            <w:r w:rsidRPr="00442515">
              <w:rPr>
                <w:rFonts w:cs="Arial"/>
                <w:b/>
                <w:bCs/>
                <w:color w:val="000000"/>
                <w:sz w:val="16"/>
                <w:szCs w:val="16"/>
              </w:rPr>
              <w:t>6 878</w:t>
            </w:r>
          </w:p>
        </w:tc>
      </w:tr>
      <w:tr w:rsidR="00306953" w:rsidRPr="00442515" w:rsidTr="00892E5C">
        <w:trPr>
          <w:trHeight w:val="255"/>
        </w:trPr>
        <w:tc>
          <w:tcPr>
            <w:tcW w:w="1433" w:type="dxa"/>
            <w:shd w:val="clear" w:color="000000" w:fill="FFFFFF"/>
            <w:noWrap/>
            <w:vAlign w:val="center"/>
            <w:hideMark/>
          </w:tcPr>
          <w:p w:rsidR="00306953" w:rsidRPr="00442515" w:rsidRDefault="00306953" w:rsidP="007E5BD0">
            <w:pPr>
              <w:spacing w:after="0" w:line="240" w:lineRule="auto"/>
              <w:rPr>
                <w:rFonts w:cs="Arial"/>
                <w:color w:val="000000"/>
                <w:sz w:val="16"/>
                <w:szCs w:val="16"/>
              </w:rPr>
            </w:pPr>
            <w:r w:rsidRPr="00442515">
              <w:rPr>
                <w:rFonts w:cs="Arial"/>
                <w:color w:val="000000"/>
                <w:sz w:val="16"/>
                <w:szCs w:val="16"/>
              </w:rPr>
              <w:t>Finsko</w:t>
            </w:r>
          </w:p>
        </w:tc>
        <w:tc>
          <w:tcPr>
            <w:tcW w:w="567"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8 365</w:t>
            </w:r>
          </w:p>
        </w:tc>
        <w:tc>
          <w:tcPr>
            <w:tcW w:w="850"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988</w:t>
            </w:r>
          </w:p>
        </w:tc>
        <w:tc>
          <w:tcPr>
            <w:tcW w:w="805" w:type="dxa"/>
            <w:shd w:val="clear" w:color="auto" w:fill="auto"/>
            <w:noWrap/>
            <w:vAlign w:val="center"/>
            <w:hideMark/>
          </w:tcPr>
          <w:p w:rsidR="00306953" w:rsidRPr="00442515" w:rsidRDefault="00306953" w:rsidP="007E5BD0">
            <w:pPr>
              <w:spacing w:after="0" w:line="240" w:lineRule="auto"/>
              <w:jc w:val="center"/>
              <w:rPr>
                <w:rFonts w:cs="Arial"/>
                <w:b/>
                <w:bCs/>
                <w:color w:val="000000"/>
                <w:sz w:val="16"/>
                <w:szCs w:val="16"/>
              </w:rPr>
            </w:pPr>
            <w:r w:rsidRPr="00442515">
              <w:rPr>
                <w:rFonts w:cs="Arial"/>
                <w:b/>
                <w:bCs/>
                <w:color w:val="000000"/>
                <w:sz w:val="16"/>
                <w:szCs w:val="16"/>
              </w:rPr>
              <w:t>9 353</w:t>
            </w:r>
          </w:p>
        </w:tc>
        <w:tc>
          <w:tcPr>
            <w:tcW w:w="708"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10 728</w:t>
            </w:r>
          </w:p>
        </w:tc>
        <w:tc>
          <w:tcPr>
            <w:tcW w:w="897"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0</w:t>
            </w:r>
          </w:p>
        </w:tc>
        <w:tc>
          <w:tcPr>
            <w:tcW w:w="677"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7 136</w:t>
            </w:r>
          </w:p>
        </w:tc>
        <w:tc>
          <w:tcPr>
            <w:tcW w:w="709" w:type="dxa"/>
            <w:shd w:val="clear" w:color="auto" w:fill="auto"/>
            <w:noWrap/>
            <w:vAlign w:val="center"/>
            <w:hideMark/>
          </w:tcPr>
          <w:p w:rsidR="00306953" w:rsidRPr="00442515" w:rsidRDefault="00306953" w:rsidP="007E5BD0">
            <w:pPr>
              <w:spacing w:after="0" w:line="240" w:lineRule="auto"/>
              <w:jc w:val="center"/>
              <w:rPr>
                <w:rFonts w:cs="Arial"/>
                <w:b/>
                <w:bCs/>
                <w:color w:val="000000"/>
                <w:sz w:val="16"/>
                <w:szCs w:val="16"/>
              </w:rPr>
            </w:pPr>
            <w:r w:rsidRPr="00442515">
              <w:rPr>
                <w:rFonts w:cs="Arial"/>
                <w:b/>
                <w:bCs/>
                <w:color w:val="000000"/>
                <w:sz w:val="16"/>
                <w:szCs w:val="16"/>
              </w:rPr>
              <w:t>17 863</w:t>
            </w:r>
          </w:p>
        </w:tc>
        <w:tc>
          <w:tcPr>
            <w:tcW w:w="755"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8 831</w:t>
            </w:r>
          </w:p>
        </w:tc>
        <w:tc>
          <w:tcPr>
            <w:tcW w:w="836"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793</w:t>
            </w:r>
          </w:p>
        </w:tc>
        <w:tc>
          <w:tcPr>
            <w:tcW w:w="664"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1 406</w:t>
            </w:r>
          </w:p>
        </w:tc>
        <w:tc>
          <w:tcPr>
            <w:tcW w:w="709" w:type="dxa"/>
            <w:shd w:val="clear" w:color="auto" w:fill="auto"/>
            <w:noWrap/>
            <w:vAlign w:val="center"/>
            <w:hideMark/>
          </w:tcPr>
          <w:p w:rsidR="00306953" w:rsidRPr="00442515" w:rsidRDefault="00306953" w:rsidP="007E5BD0">
            <w:pPr>
              <w:spacing w:after="0" w:line="240" w:lineRule="auto"/>
              <w:jc w:val="center"/>
              <w:rPr>
                <w:rFonts w:cs="Arial"/>
                <w:b/>
                <w:bCs/>
                <w:color w:val="000000"/>
                <w:sz w:val="16"/>
                <w:szCs w:val="16"/>
              </w:rPr>
            </w:pPr>
            <w:r w:rsidRPr="00442515">
              <w:rPr>
                <w:rFonts w:cs="Arial"/>
                <w:b/>
                <w:bCs/>
                <w:color w:val="000000"/>
                <w:sz w:val="16"/>
                <w:szCs w:val="16"/>
              </w:rPr>
              <w:t>11 030</w:t>
            </w:r>
          </w:p>
        </w:tc>
      </w:tr>
      <w:tr w:rsidR="00306953" w:rsidRPr="00442515" w:rsidTr="00892E5C">
        <w:trPr>
          <w:trHeight w:val="255"/>
        </w:trPr>
        <w:tc>
          <w:tcPr>
            <w:tcW w:w="1433" w:type="dxa"/>
            <w:shd w:val="clear" w:color="auto" w:fill="C6D9F1" w:themeFill="text2" w:themeFillTint="33"/>
            <w:noWrap/>
            <w:vAlign w:val="center"/>
            <w:hideMark/>
          </w:tcPr>
          <w:p w:rsidR="00306953" w:rsidRPr="00631582" w:rsidRDefault="007E5BD0" w:rsidP="007E5BD0">
            <w:pPr>
              <w:spacing w:after="0" w:line="240" w:lineRule="auto"/>
              <w:rPr>
                <w:rFonts w:cs="Arial"/>
                <w:bCs/>
                <w:color w:val="000000"/>
                <w:sz w:val="16"/>
                <w:szCs w:val="16"/>
              </w:rPr>
            </w:pPr>
            <w:r w:rsidRPr="00631582">
              <w:rPr>
                <w:rFonts w:cs="Arial"/>
                <w:bCs/>
                <w:color w:val="000000"/>
                <w:sz w:val="16"/>
                <w:szCs w:val="16"/>
              </w:rPr>
              <w:t>p</w:t>
            </w:r>
            <w:r w:rsidR="00306953" w:rsidRPr="00631582">
              <w:rPr>
                <w:rFonts w:cs="Arial"/>
                <w:bCs/>
                <w:color w:val="000000"/>
                <w:sz w:val="16"/>
                <w:szCs w:val="16"/>
              </w:rPr>
              <w:t xml:space="preserve">růměr OECD </w:t>
            </w:r>
          </w:p>
        </w:tc>
        <w:tc>
          <w:tcPr>
            <w:tcW w:w="567"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8 080</w:t>
            </w:r>
          </w:p>
        </w:tc>
        <w:tc>
          <w:tcPr>
            <w:tcW w:w="850"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554</w:t>
            </w:r>
          </w:p>
        </w:tc>
        <w:tc>
          <w:tcPr>
            <w:tcW w:w="805" w:type="dxa"/>
            <w:shd w:val="clear" w:color="auto" w:fill="C6D9F1" w:themeFill="text2" w:themeFillTint="33"/>
            <w:noWrap/>
            <w:vAlign w:val="center"/>
            <w:hideMark/>
          </w:tcPr>
          <w:p w:rsidR="00306953" w:rsidRPr="00442515" w:rsidRDefault="00306953" w:rsidP="007E5BD0">
            <w:pPr>
              <w:spacing w:after="0" w:line="240" w:lineRule="auto"/>
              <w:jc w:val="center"/>
              <w:rPr>
                <w:rFonts w:cs="Arial"/>
                <w:b/>
                <w:bCs/>
                <w:sz w:val="16"/>
                <w:szCs w:val="16"/>
              </w:rPr>
            </w:pPr>
            <w:r w:rsidRPr="00442515">
              <w:rPr>
                <w:rFonts w:cs="Arial"/>
                <w:b/>
                <w:bCs/>
                <w:sz w:val="16"/>
                <w:szCs w:val="16"/>
              </w:rPr>
              <w:t>8 982</w:t>
            </w:r>
          </w:p>
        </w:tc>
        <w:tc>
          <w:tcPr>
            <w:tcW w:w="708"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9 782</w:t>
            </w:r>
          </w:p>
        </w:tc>
        <w:tc>
          <w:tcPr>
            <w:tcW w:w="897"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706</w:t>
            </w:r>
          </w:p>
        </w:tc>
        <w:tc>
          <w:tcPr>
            <w:tcW w:w="677"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4 846</w:t>
            </w:r>
          </w:p>
        </w:tc>
        <w:tc>
          <w:tcPr>
            <w:tcW w:w="709" w:type="dxa"/>
            <w:shd w:val="clear" w:color="auto" w:fill="C6D9F1" w:themeFill="text2" w:themeFillTint="33"/>
            <w:noWrap/>
            <w:vAlign w:val="center"/>
            <w:hideMark/>
          </w:tcPr>
          <w:p w:rsidR="00306953" w:rsidRPr="00442515" w:rsidRDefault="00306953" w:rsidP="007E5BD0">
            <w:pPr>
              <w:spacing w:after="0" w:line="240" w:lineRule="auto"/>
              <w:jc w:val="center"/>
              <w:rPr>
                <w:rFonts w:cs="Arial"/>
                <w:b/>
                <w:bCs/>
                <w:sz w:val="16"/>
                <w:szCs w:val="16"/>
              </w:rPr>
            </w:pPr>
            <w:r w:rsidRPr="00442515">
              <w:rPr>
                <w:rFonts w:cs="Arial"/>
                <w:b/>
                <w:bCs/>
                <w:sz w:val="16"/>
                <w:szCs w:val="16"/>
              </w:rPr>
              <w:t>15 028</w:t>
            </w:r>
          </w:p>
        </w:tc>
        <w:tc>
          <w:tcPr>
            <w:tcW w:w="755"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8 561</w:t>
            </w:r>
          </w:p>
        </w:tc>
        <w:tc>
          <w:tcPr>
            <w:tcW w:w="836"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633</w:t>
            </w:r>
          </w:p>
        </w:tc>
        <w:tc>
          <w:tcPr>
            <w:tcW w:w="664"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852</w:t>
            </w:r>
          </w:p>
        </w:tc>
        <w:tc>
          <w:tcPr>
            <w:tcW w:w="709" w:type="dxa"/>
            <w:shd w:val="clear" w:color="auto" w:fill="C6D9F1" w:themeFill="text2" w:themeFillTint="33"/>
            <w:noWrap/>
            <w:vAlign w:val="center"/>
            <w:hideMark/>
          </w:tcPr>
          <w:p w:rsidR="00306953" w:rsidRPr="00442515" w:rsidRDefault="00306953" w:rsidP="007E5BD0">
            <w:pPr>
              <w:spacing w:after="0" w:line="240" w:lineRule="auto"/>
              <w:jc w:val="center"/>
              <w:rPr>
                <w:rFonts w:cs="Arial"/>
                <w:b/>
                <w:bCs/>
                <w:sz w:val="16"/>
                <w:szCs w:val="16"/>
              </w:rPr>
            </w:pPr>
            <w:r w:rsidRPr="00442515">
              <w:rPr>
                <w:rFonts w:cs="Arial"/>
                <w:b/>
                <w:bCs/>
                <w:sz w:val="16"/>
                <w:szCs w:val="16"/>
              </w:rPr>
              <w:t>10 220</w:t>
            </w:r>
          </w:p>
        </w:tc>
      </w:tr>
      <w:tr w:rsidR="00306953" w:rsidRPr="00442515" w:rsidTr="00892E5C">
        <w:trPr>
          <w:trHeight w:val="255"/>
        </w:trPr>
        <w:tc>
          <w:tcPr>
            <w:tcW w:w="1433" w:type="dxa"/>
            <w:shd w:val="clear" w:color="auto" w:fill="C6D9F1" w:themeFill="text2" w:themeFillTint="33"/>
            <w:noWrap/>
            <w:vAlign w:val="center"/>
            <w:hideMark/>
          </w:tcPr>
          <w:p w:rsidR="00306953" w:rsidRPr="00631582" w:rsidRDefault="007E5BD0" w:rsidP="007E5BD0">
            <w:pPr>
              <w:spacing w:after="0" w:line="240" w:lineRule="auto"/>
              <w:rPr>
                <w:rFonts w:cs="Arial"/>
                <w:bCs/>
                <w:color w:val="000000"/>
                <w:sz w:val="16"/>
                <w:szCs w:val="16"/>
              </w:rPr>
            </w:pPr>
            <w:r w:rsidRPr="00631582">
              <w:rPr>
                <w:rFonts w:cs="Arial"/>
                <w:bCs/>
                <w:color w:val="000000"/>
                <w:sz w:val="16"/>
                <w:szCs w:val="16"/>
              </w:rPr>
              <w:t>p</w:t>
            </w:r>
            <w:r w:rsidR="00306953" w:rsidRPr="00631582">
              <w:rPr>
                <w:rFonts w:cs="Arial"/>
                <w:bCs/>
                <w:color w:val="000000"/>
                <w:sz w:val="16"/>
                <w:szCs w:val="16"/>
              </w:rPr>
              <w:t xml:space="preserve">růměr EU21 </w:t>
            </w:r>
          </w:p>
        </w:tc>
        <w:tc>
          <w:tcPr>
            <w:tcW w:w="567"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8 734</w:t>
            </w:r>
          </w:p>
        </w:tc>
        <w:tc>
          <w:tcPr>
            <w:tcW w:w="850"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591</w:t>
            </w:r>
          </w:p>
        </w:tc>
        <w:tc>
          <w:tcPr>
            <w:tcW w:w="805" w:type="dxa"/>
            <w:shd w:val="clear" w:color="auto" w:fill="C6D9F1" w:themeFill="text2" w:themeFillTint="33"/>
            <w:noWrap/>
            <w:vAlign w:val="center"/>
            <w:hideMark/>
          </w:tcPr>
          <w:p w:rsidR="00306953" w:rsidRPr="00442515" w:rsidRDefault="00306953" w:rsidP="007E5BD0">
            <w:pPr>
              <w:spacing w:after="0" w:line="240" w:lineRule="auto"/>
              <w:jc w:val="center"/>
              <w:rPr>
                <w:rFonts w:cs="Arial"/>
                <w:b/>
                <w:bCs/>
                <w:sz w:val="16"/>
                <w:szCs w:val="16"/>
              </w:rPr>
            </w:pPr>
            <w:r w:rsidRPr="00442515">
              <w:rPr>
                <w:rFonts w:cs="Arial"/>
                <w:b/>
                <w:bCs/>
                <w:sz w:val="16"/>
                <w:szCs w:val="16"/>
              </w:rPr>
              <w:t>9 266</w:t>
            </w:r>
          </w:p>
        </w:tc>
        <w:tc>
          <w:tcPr>
            <w:tcW w:w="708"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9 410</w:t>
            </w:r>
          </w:p>
        </w:tc>
        <w:tc>
          <w:tcPr>
            <w:tcW w:w="897"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574</w:t>
            </w:r>
          </w:p>
        </w:tc>
        <w:tc>
          <w:tcPr>
            <w:tcW w:w="677"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4 992</w:t>
            </w:r>
          </w:p>
        </w:tc>
        <w:tc>
          <w:tcPr>
            <w:tcW w:w="709" w:type="dxa"/>
            <w:shd w:val="clear" w:color="auto" w:fill="C6D9F1" w:themeFill="text2" w:themeFillTint="33"/>
            <w:noWrap/>
            <w:vAlign w:val="center"/>
            <w:hideMark/>
          </w:tcPr>
          <w:p w:rsidR="00306953" w:rsidRPr="00442515" w:rsidRDefault="00306953" w:rsidP="007E5BD0">
            <w:pPr>
              <w:spacing w:after="0" w:line="240" w:lineRule="auto"/>
              <w:jc w:val="center"/>
              <w:rPr>
                <w:rFonts w:cs="Arial"/>
                <w:b/>
                <w:bCs/>
                <w:sz w:val="16"/>
                <w:szCs w:val="16"/>
              </w:rPr>
            </w:pPr>
            <w:r w:rsidRPr="00442515">
              <w:rPr>
                <w:rFonts w:cs="Arial"/>
                <w:b/>
                <w:bCs/>
                <w:sz w:val="16"/>
                <w:szCs w:val="16"/>
              </w:rPr>
              <w:t>14 955</w:t>
            </w:r>
          </w:p>
        </w:tc>
        <w:tc>
          <w:tcPr>
            <w:tcW w:w="755"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8 865</w:t>
            </w:r>
          </w:p>
        </w:tc>
        <w:tc>
          <w:tcPr>
            <w:tcW w:w="836"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614</w:t>
            </w:r>
          </w:p>
        </w:tc>
        <w:tc>
          <w:tcPr>
            <w:tcW w:w="664"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915</w:t>
            </w:r>
          </w:p>
        </w:tc>
        <w:tc>
          <w:tcPr>
            <w:tcW w:w="709" w:type="dxa"/>
            <w:shd w:val="clear" w:color="auto" w:fill="C6D9F1" w:themeFill="text2" w:themeFillTint="33"/>
            <w:noWrap/>
            <w:vAlign w:val="center"/>
            <w:hideMark/>
          </w:tcPr>
          <w:p w:rsidR="00306953" w:rsidRPr="00442515" w:rsidRDefault="00306953" w:rsidP="007E5BD0">
            <w:pPr>
              <w:spacing w:after="0" w:line="240" w:lineRule="auto"/>
              <w:jc w:val="center"/>
              <w:rPr>
                <w:rFonts w:cs="Arial"/>
                <w:b/>
                <w:bCs/>
                <w:sz w:val="16"/>
                <w:szCs w:val="16"/>
              </w:rPr>
            </w:pPr>
            <w:r w:rsidRPr="00442515">
              <w:rPr>
                <w:rFonts w:cs="Arial"/>
                <w:b/>
                <w:bCs/>
                <w:sz w:val="16"/>
                <w:szCs w:val="16"/>
              </w:rPr>
              <w:t>10 361</w:t>
            </w:r>
          </w:p>
        </w:tc>
      </w:tr>
    </w:tbl>
    <w:p w:rsidR="00306953" w:rsidRDefault="00306953" w:rsidP="00E031F1">
      <w:pPr>
        <w:spacing w:before="120" w:after="0" w:line="240" w:lineRule="auto"/>
        <w:jc w:val="both"/>
        <w:rPr>
          <w:rFonts w:eastAsia="ChaparralPro-Regular" w:cs="Arial"/>
          <w:sz w:val="16"/>
          <w:szCs w:val="16"/>
        </w:rPr>
      </w:pPr>
      <w:r w:rsidRPr="00442515">
        <w:rPr>
          <w:rFonts w:eastAsia="ChaparralPro-Regular" w:cs="Arial"/>
          <w:sz w:val="16"/>
          <w:szCs w:val="16"/>
          <w:vertAlign w:val="superscript"/>
        </w:rPr>
        <w:lastRenderedPageBreak/>
        <w:t>1)</w:t>
      </w:r>
      <w:r w:rsidRPr="00442515">
        <w:rPr>
          <w:rFonts w:eastAsia="ChaparralPro-Regular" w:cs="Arial"/>
          <w:sz w:val="16"/>
          <w:szCs w:val="16"/>
        </w:rPr>
        <w:t xml:space="preserve"> Postsekundární neterciární vzdělávání a krátký cyklus terciárního vzdělávání je zahrnut do kategorie vyššího sekundárního vzdělávání, viz kód „x“ v tabulce B1.1a.</w:t>
      </w:r>
    </w:p>
    <w:p w:rsidR="00B43A21" w:rsidRPr="00442515" w:rsidRDefault="00B43A21" w:rsidP="00B43A21">
      <w:pPr>
        <w:spacing w:after="0" w:line="240" w:lineRule="auto"/>
        <w:jc w:val="both"/>
        <w:rPr>
          <w:rFonts w:eastAsia="ChaparralPro-Regular" w:cs="Arial"/>
          <w:sz w:val="16"/>
          <w:szCs w:val="16"/>
        </w:rPr>
      </w:pPr>
      <w:r w:rsidRPr="00B43A21">
        <w:rPr>
          <w:rFonts w:eastAsia="ChaparralPro-Regular" w:cs="Arial"/>
          <w:sz w:val="16"/>
          <w:szCs w:val="16"/>
          <w:vertAlign w:val="superscript"/>
        </w:rPr>
        <w:t>2)</w:t>
      </w:r>
      <w:r>
        <w:rPr>
          <w:rFonts w:eastAsia="ChaparralPro-Regular" w:cs="Arial"/>
          <w:sz w:val="16"/>
          <w:szCs w:val="16"/>
        </w:rPr>
        <w:t xml:space="preserve"> </w:t>
      </w:r>
      <w:r w:rsidRPr="00442515">
        <w:rPr>
          <w:rFonts w:cs="Arial"/>
          <w:color w:val="000000"/>
          <w:sz w:val="16"/>
          <w:szCs w:val="16"/>
        </w:rPr>
        <w:t>jen veřejné instituce</w:t>
      </w:r>
    </w:p>
    <w:p w:rsidR="00306953" w:rsidRPr="00442515" w:rsidRDefault="00306953" w:rsidP="00306953">
      <w:pPr>
        <w:autoSpaceDE w:val="0"/>
        <w:autoSpaceDN w:val="0"/>
        <w:adjustRightInd w:val="0"/>
        <w:spacing w:after="0" w:line="240" w:lineRule="auto"/>
        <w:jc w:val="both"/>
        <w:rPr>
          <w:rFonts w:eastAsia="ChaparralPro-Regular" w:cs="Arial"/>
          <w:sz w:val="16"/>
          <w:szCs w:val="16"/>
        </w:rPr>
      </w:pPr>
      <w:r w:rsidRPr="00442515">
        <w:rPr>
          <w:rFonts w:eastAsia="ChaparralPro-Regular" w:cs="Arial"/>
          <w:sz w:val="16"/>
          <w:szCs w:val="16"/>
        </w:rPr>
        <w:t xml:space="preserve">Zdroj: OECD 2015, tabulka B 1.2. StatLink: </w:t>
      </w:r>
      <w:hyperlink r:id="rId97" w:history="1">
        <w:r w:rsidRPr="00442515">
          <w:rPr>
            <w:rStyle w:val="Hypertextovodkaz"/>
            <w:rFonts w:cs="Arial"/>
            <w:sz w:val="16"/>
            <w:szCs w:val="16"/>
          </w:rPr>
          <w:t>http://dx.doi.org/10.1787/888933285363</w:t>
        </w:r>
      </w:hyperlink>
      <w:r w:rsidRPr="00442515">
        <w:rPr>
          <w:rFonts w:cs="Arial"/>
          <w:color w:val="231F20"/>
          <w:sz w:val="16"/>
          <w:szCs w:val="16"/>
        </w:rPr>
        <w:t xml:space="preserve">, </w:t>
      </w:r>
      <w:r w:rsidRPr="00442515">
        <w:rPr>
          <w:rFonts w:eastAsia="ChaparralPro-Regular" w:cs="Arial"/>
          <w:sz w:val="16"/>
          <w:szCs w:val="16"/>
        </w:rPr>
        <w:t>výběr údajů ČSÚ.</w:t>
      </w:r>
    </w:p>
    <w:p w:rsidR="00306953" w:rsidRPr="00306953" w:rsidRDefault="00306953" w:rsidP="00306953">
      <w:pPr>
        <w:autoSpaceDE w:val="0"/>
        <w:autoSpaceDN w:val="0"/>
        <w:adjustRightInd w:val="0"/>
        <w:spacing w:after="0" w:line="240" w:lineRule="auto"/>
        <w:jc w:val="both"/>
        <w:rPr>
          <w:rFonts w:eastAsia="ChaparralPro-Regular" w:cs="Arial"/>
        </w:rPr>
      </w:pPr>
    </w:p>
    <w:p w:rsidR="00306953" w:rsidRPr="00306953" w:rsidRDefault="00306953" w:rsidP="00306953">
      <w:pPr>
        <w:autoSpaceDE w:val="0"/>
        <w:autoSpaceDN w:val="0"/>
        <w:adjustRightInd w:val="0"/>
        <w:spacing w:after="120" w:line="240" w:lineRule="auto"/>
        <w:jc w:val="both"/>
        <w:rPr>
          <w:rFonts w:eastAsia="ChaparralPro-Regular" w:cs="Arial"/>
        </w:rPr>
      </w:pPr>
      <w:r w:rsidRPr="00306953">
        <w:rPr>
          <w:rFonts w:eastAsia="ChaparralPro-Regular" w:cs="Arial"/>
        </w:rPr>
        <w:t xml:space="preserve">Po přepočtení na relativní údaje z tabulky vyplývá, že v ČR bylo v roce 2012 </w:t>
      </w:r>
      <w:r w:rsidRPr="00306953">
        <w:rPr>
          <w:rFonts w:eastAsia="ChaparralPro-Regular" w:cs="Arial"/>
          <w:b/>
          <w:i/>
        </w:rPr>
        <w:t>na doprovodné služby věnováno na úrovni primárního až postsekundárního neterciárního vzdělávání</w:t>
      </w:r>
      <w:r w:rsidRPr="00306953">
        <w:rPr>
          <w:rFonts w:eastAsia="ChaparralPro-Regular" w:cs="Arial"/>
          <w:b/>
        </w:rPr>
        <w:t xml:space="preserve"> </w:t>
      </w:r>
      <w:r w:rsidRPr="00306953">
        <w:rPr>
          <w:rFonts w:eastAsia="ChaparralPro-Regular" w:cs="Arial"/>
        </w:rPr>
        <w:t xml:space="preserve">6,3 % z výdajů vzdělávacích institucí na jednoho žáka. Na Slovensku tento podíl činil 15,1 % a ve Finsku 10,6 %; naopak v Polsku jen 2,6 % a v Estonsku 0,3 %. Průměr za země OECD byl 6,2 % a za země v EU i OECD 6,4 %. </w:t>
      </w:r>
      <w:r w:rsidRPr="00306953">
        <w:rPr>
          <w:rFonts w:eastAsia="ChaparralPro-Regular" w:cs="Arial"/>
          <w:b/>
          <w:i/>
        </w:rPr>
        <w:t xml:space="preserve">Na </w:t>
      </w:r>
      <w:r w:rsidR="009F7E52">
        <w:rPr>
          <w:rFonts w:eastAsia="ChaparralPro-Regular" w:cs="Arial"/>
          <w:b/>
          <w:i/>
        </w:rPr>
        <w:t xml:space="preserve">terciární úrovni </w:t>
      </w:r>
      <w:r w:rsidRPr="00306953">
        <w:rPr>
          <w:rFonts w:eastAsia="ChaparralPro-Regular" w:cs="Arial"/>
          <w:b/>
          <w:i/>
        </w:rPr>
        <w:t>vzdělávání</w:t>
      </w:r>
      <w:r w:rsidRPr="00306953">
        <w:rPr>
          <w:rFonts w:eastAsia="ChaparralPro-Regular" w:cs="Arial"/>
        </w:rPr>
        <w:t xml:space="preserve"> byl ve sledovaných zemích v roce 2012 dále s výjimkou Slovenska jen malý či dokonce zanedbatelný podíl z výdajů na jednoho žáka věnován </w:t>
      </w:r>
      <w:r w:rsidRPr="00306953">
        <w:rPr>
          <w:rFonts w:eastAsia="ChaparralPro-Regular" w:cs="Arial"/>
          <w:b/>
          <w:i/>
        </w:rPr>
        <w:t>na doprovodné služby</w:t>
      </w:r>
      <w:r w:rsidRPr="00306953">
        <w:rPr>
          <w:rFonts w:eastAsia="ChaparralPro-Regular" w:cs="Arial"/>
        </w:rPr>
        <w:t xml:space="preserve"> (v ČR 0,7 %; v mezinárodních průměrech 4,8 %, resp. 3,8 %; na Slovensku však 19,7 %). V ČR pak byla v roce 2012 na terciární úrovni vzdělávání věnována třetina z výdajů vzdělávacích institucí na jednoho žáka na </w:t>
      </w:r>
      <w:r w:rsidR="00E52654">
        <w:rPr>
          <w:rFonts w:eastAsia="ChaparralPro-Regular" w:cs="Arial"/>
          <w:b/>
          <w:i/>
        </w:rPr>
        <w:t>výzkum a </w:t>
      </w:r>
      <w:r w:rsidRPr="00306953">
        <w:rPr>
          <w:rFonts w:eastAsia="ChaparralPro-Regular" w:cs="Arial"/>
          <w:b/>
          <w:i/>
        </w:rPr>
        <w:t xml:space="preserve">vývoj </w:t>
      </w:r>
      <w:r w:rsidRPr="00306953">
        <w:rPr>
          <w:rFonts w:eastAsia="ChaparralPro-Regular" w:cs="Arial"/>
        </w:rPr>
        <w:t xml:space="preserve">(34 %), což je srovnatelné s oběma mezinárodními průměry (32,2 %, res. 33,4 %). Tento podíl je vyšší (tj. cca dvoupětinový) v Estonsku (42,9 %) a Finsku (39,9 %) a naopak nižší (pětinový) v Polsku (21,5 %). </w:t>
      </w:r>
    </w:p>
    <w:p w:rsidR="00306953" w:rsidRPr="00306953" w:rsidRDefault="00306953" w:rsidP="00306953">
      <w:pPr>
        <w:autoSpaceDE w:val="0"/>
        <w:autoSpaceDN w:val="0"/>
        <w:adjustRightInd w:val="0"/>
        <w:spacing w:after="120" w:line="240" w:lineRule="auto"/>
        <w:jc w:val="both"/>
        <w:rPr>
          <w:rFonts w:eastAsia="ChaparralPro-Regular" w:cs="Arial"/>
        </w:rPr>
      </w:pPr>
      <w:r w:rsidRPr="00306953">
        <w:rPr>
          <w:rFonts w:eastAsia="ChaparralPro-Regular" w:cs="Arial"/>
          <w:b/>
          <w:i/>
        </w:rPr>
        <w:t>Celkově za všechny sledované úrovně vzdělávání</w:t>
      </w:r>
      <w:r w:rsidRPr="00306953">
        <w:rPr>
          <w:rFonts w:eastAsia="ChaparralPro-Regular" w:cs="Arial"/>
        </w:rPr>
        <w:t xml:space="preserve"> byly v roce 2012 v ČR 4,2 % z výdajů institucí formálního vzdělávání na jednoho žáka věnovány na </w:t>
      </w:r>
      <w:r w:rsidRPr="00306953">
        <w:rPr>
          <w:rFonts w:eastAsia="ChaparralPro-Regular" w:cs="Arial"/>
          <w:b/>
          <w:i/>
        </w:rPr>
        <w:t xml:space="preserve">doprovodné služby </w:t>
      </w:r>
      <w:r w:rsidRPr="00306953">
        <w:rPr>
          <w:rFonts w:eastAsia="ChaparralPro-Regular" w:cs="Arial"/>
        </w:rPr>
        <w:t>a další 11,2 %</w:t>
      </w:r>
      <w:r w:rsidR="00E52654">
        <w:rPr>
          <w:rFonts w:eastAsia="ChaparralPro-Regular" w:cs="Arial"/>
          <w:b/>
          <w:i/>
        </w:rPr>
        <w:t xml:space="preserve"> na výzkum a </w:t>
      </w:r>
      <w:r w:rsidRPr="00306953">
        <w:rPr>
          <w:rFonts w:eastAsia="ChaparralPro-Regular" w:cs="Arial"/>
          <w:b/>
          <w:i/>
        </w:rPr>
        <w:t>vývoj</w:t>
      </w:r>
      <w:r w:rsidRPr="00306953">
        <w:rPr>
          <w:rFonts w:eastAsia="ChaparralPro-Regular" w:cs="Arial"/>
        </w:rPr>
        <w:t>. V obou mezinárodních průměrech byl přitom oproti ČR podíl výdajů na doprovodné služby na jednoho žáka nepatrně vyšší (6,2 %, resp. 5,9 %) a naopak výdaje na výzkum a vývoj nepatrně nižší (8,3 %, resp. 8,8 %). Výdaje na výzkum a vývoj na jednoho žáka převážily nad výdaji na doprovodné služby ve všech sledovaných zemích v tabulce, ovšem s výjimkou Slovenska (výdaje na výzkum a vývoj zde činily 8,5 % a na doprovodné služby 16,1 %). Na Slovensku byl také ze všech sledovaných zemí nejnižší (a</w:t>
      </w:r>
      <w:r w:rsidR="00E52654">
        <w:rPr>
          <w:rFonts w:eastAsia="ChaparralPro-Regular" w:cs="Arial"/>
        </w:rPr>
        <w:t> </w:t>
      </w:r>
      <w:r w:rsidRPr="00306953">
        <w:rPr>
          <w:rFonts w:eastAsia="ChaparralPro-Regular" w:cs="Arial"/>
        </w:rPr>
        <w:t xml:space="preserve">podprůměrný) podíl výdajů na jednoho žáka věnován na vlastní vzdělávání (75,4 %; v ČR to bylo 84,6 %, v průměru za země OECD 83,8 % a za země v EU i OECD pak 85,6 %, v Polsku 91,4 %).  </w:t>
      </w:r>
    </w:p>
    <w:p w:rsidR="00306953" w:rsidRPr="00306953" w:rsidRDefault="00306953" w:rsidP="00306953">
      <w:pPr>
        <w:autoSpaceDE w:val="0"/>
        <w:autoSpaceDN w:val="0"/>
        <w:adjustRightInd w:val="0"/>
        <w:spacing w:after="0" w:line="240" w:lineRule="auto"/>
        <w:jc w:val="both"/>
        <w:rPr>
          <w:rFonts w:eastAsia="ChaparralPro-Regular" w:cs="Arial"/>
        </w:rPr>
      </w:pPr>
      <w:r w:rsidRPr="00306953">
        <w:rPr>
          <w:rFonts w:eastAsia="ChaparralPro-Regular" w:cs="Arial"/>
        </w:rPr>
        <w:t xml:space="preserve">Tabulka č. 19 dále ukazuje ty samé sledované druhy </w:t>
      </w:r>
      <w:r w:rsidRPr="00306953">
        <w:rPr>
          <w:rFonts w:eastAsia="ChaparralPro-Regular" w:cs="Arial"/>
          <w:b/>
        </w:rPr>
        <w:t>výdajů na vzdělávací instituce</w:t>
      </w:r>
      <w:r w:rsidRPr="00306953">
        <w:rPr>
          <w:rFonts w:eastAsia="ChaparralPro-Regular" w:cs="Arial"/>
        </w:rPr>
        <w:t xml:space="preserve"> </w:t>
      </w:r>
      <w:r w:rsidRPr="00306953">
        <w:rPr>
          <w:rFonts w:eastAsia="ChaparralPro-Regular" w:cs="Arial"/>
          <w:b/>
        </w:rPr>
        <w:t>(včetně soukromých výdajů), ovšem</w:t>
      </w:r>
      <w:r w:rsidRPr="00306953">
        <w:rPr>
          <w:rFonts w:eastAsia="ChaparralPro-Regular" w:cs="Arial"/>
        </w:rPr>
        <w:t xml:space="preserve"> </w:t>
      </w:r>
      <w:r w:rsidRPr="00306953">
        <w:rPr>
          <w:rFonts w:eastAsia="ChaparralPro-Regular" w:cs="Arial"/>
          <w:b/>
        </w:rPr>
        <w:t>v roce 2011 a jako podíl HDP.</w:t>
      </w:r>
    </w:p>
    <w:p w:rsidR="00306953" w:rsidRPr="00306953" w:rsidRDefault="00306953" w:rsidP="00306953">
      <w:pPr>
        <w:autoSpaceDE w:val="0"/>
        <w:autoSpaceDN w:val="0"/>
        <w:adjustRightInd w:val="0"/>
        <w:spacing w:after="0" w:line="240" w:lineRule="auto"/>
        <w:jc w:val="both"/>
        <w:rPr>
          <w:rFonts w:eastAsia="ChaparralPro-Regular" w:cs="Arial"/>
          <w:sz w:val="12"/>
          <w:szCs w:val="12"/>
        </w:rPr>
      </w:pPr>
    </w:p>
    <w:p w:rsidR="00306953" w:rsidRPr="00306953" w:rsidRDefault="00306953" w:rsidP="00306953">
      <w:pPr>
        <w:autoSpaceDE w:val="0"/>
        <w:autoSpaceDN w:val="0"/>
        <w:adjustRightInd w:val="0"/>
        <w:spacing w:after="120" w:line="240" w:lineRule="auto"/>
        <w:jc w:val="both"/>
        <w:rPr>
          <w:rFonts w:eastAsia="ChaparralPro-Regular" w:cs="Arial"/>
          <w:b/>
        </w:rPr>
      </w:pPr>
      <w:r w:rsidRPr="00306953">
        <w:rPr>
          <w:rFonts w:eastAsia="ChaparralPro-Regular" w:cs="Arial"/>
          <w:b/>
        </w:rPr>
        <w:t>Tabulka č. 19 Výdaje na vzdělávací instituce dle druhu poskytovaných služeb jakožto podíl HDP (2011)</w:t>
      </w:r>
      <w:r w:rsidR="003A515E">
        <w:rPr>
          <w:rFonts w:eastAsia="ChaparralPro-Regular" w:cs="Arial"/>
          <w:b/>
        </w:rPr>
        <w:t>,</w:t>
      </w:r>
      <w:r w:rsidRPr="00306953">
        <w:rPr>
          <w:rFonts w:eastAsia="ChaparralPro-Regular" w:cs="Arial"/>
          <w:b/>
        </w:rPr>
        <w:t xml:space="preserve"> v %</w:t>
      </w:r>
    </w:p>
    <w:tbl>
      <w:tblPr>
        <w:tblW w:w="9513" w:type="dxa"/>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tblPr>
      <w:tblGrid>
        <w:gridCol w:w="1433"/>
        <w:gridCol w:w="856"/>
        <w:gridCol w:w="987"/>
        <w:gridCol w:w="708"/>
        <w:gridCol w:w="855"/>
        <w:gridCol w:w="920"/>
        <w:gridCol w:w="1060"/>
        <w:gridCol w:w="920"/>
        <w:gridCol w:w="780"/>
        <w:gridCol w:w="994"/>
      </w:tblGrid>
      <w:tr w:rsidR="00306953" w:rsidRPr="00442515" w:rsidTr="00892E5C">
        <w:trPr>
          <w:trHeight w:val="255"/>
        </w:trPr>
        <w:tc>
          <w:tcPr>
            <w:tcW w:w="1433" w:type="dxa"/>
            <w:vMerge w:val="restart"/>
            <w:shd w:val="clear" w:color="auto" w:fill="FFCCCC"/>
            <w:vAlign w:val="bottom"/>
            <w:hideMark/>
          </w:tcPr>
          <w:p w:rsidR="00306953" w:rsidRPr="001042AC" w:rsidRDefault="00306953" w:rsidP="00306953">
            <w:pPr>
              <w:spacing w:after="0" w:line="240" w:lineRule="auto"/>
              <w:rPr>
                <w:rFonts w:cs="Arial"/>
                <w:b/>
                <w:sz w:val="16"/>
                <w:szCs w:val="16"/>
              </w:rPr>
            </w:pPr>
            <w:r w:rsidRPr="001042AC">
              <w:rPr>
                <w:rFonts w:cs="Arial"/>
                <w:b/>
                <w:sz w:val="16"/>
                <w:szCs w:val="16"/>
              </w:rPr>
              <w:t> </w:t>
            </w:r>
          </w:p>
        </w:tc>
        <w:tc>
          <w:tcPr>
            <w:tcW w:w="3406" w:type="dxa"/>
            <w:gridSpan w:val="4"/>
            <w:vMerge w:val="restart"/>
            <w:shd w:val="clear" w:color="auto" w:fill="FFCCCC"/>
            <w:vAlign w:val="center"/>
            <w:hideMark/>
          </w:tcPr>
          <w:p w:rsidR="00306953" w:rsidRPr="001042AC" w:rsidRDefault="00EA6A4F" w:rsidP="00306953">
            <w:pPr>
              <w:spacing w:after="0" w:line="240" w:lineRule="auto"/>
              <w:jc w:val="center"/>
              <w:rPr>
                <w:rFonts w:cs="Arial"/>
                <w:b/>
                <w:sz w:val="16"/>
                <w:szCs w:val="16"/>
              </w:rPr>
            </w:pPr>
            <w:r>
              <w:rPr>
                <w:rFonts w:cs="Arial"/>
                <w:b/>
                <w:sz w:val="16"/>
                <w:szCs w:val="16"/>
              </w:rPr>
              <w:t>p</w:t>
            </w:r>
            <w:r w:rsidR="00306953" w:rsidRPr="001042AC">
              <w:rPr>
                <w:rFonts w:cs="Arial"/>
                <w:b/>
                <w:sz w:val="16"/>
                <w:szCs w:val="16"/>
              </w:rPr>
              <w:t>rimární, sekundární a postsekundární neterciární vzdělávání</w:t>
            </w:r>
          </w:p>
        </w:tc>
        <w:tc>
          <w:tcPr>
            <w:tcW w:w="4674" w:type="dxa"/>
            <w:gridSpan w:val="5"/>
            <w:vMerge w:val="restart"/>
            <w:shd w:val="clear" w:color="auto" w:fill="FFCCCC"/>
            <w:noWrap/>
            <w:vAlign w:val="center"/>
            <w:hideMark/>
          </w:tcPr>
          <w:p w:rsidR="00306953" w:rsidRPr="001042AC" w:rsidRDefault="00EA6A4F" w:rsidP="00306953">
            <w:pPr>
              <w:spacing w:after="0" w:line="240" w:lineRule="auto"/>
              <w:jc w:val="center"/>
              <w:rPr>
                <w:rFonts w:cs="Arial"/>
                <w:b/>
                <w:sz w:val="16"/>
                <w:szCs w:val="16"/>
              </w:rPr>
            </w:pPr>
            <w:r>
              <w:rPr>
                <w:rFonts w:cs="Arial"/>
                <w:b/>
                <w:sz w:val="16"/>
                <w:szCs w:val="16"/>
              </w:rPr>
              <w:t>t</w:t>
            </w:r>
            <w:r w:rsidR="00306953" w:rsidRPr="001042AC">
              <w:rPr>
                <w:rFonts w:cs="Arial"/>
                <w:b/>
                <w:sz w:val="16"/>
                <w:szCs w:val="16"/>
              </w:rPr>
              <w:t>erciární vzdělávání</w:t>
            </w:r>
          </w:p>
        </w:tc>
      </w:tr>
      <w:tr w:rsidR="00306953" w:rsidRPr="00442515" w:rsidTr="00892E5C">
        <w:trPr>
          <w:trHeight w:val="255"/>
        </w:trPr>
        <w:tc>
          <w:tcPr>
            <w:tcW w:w="1433" w:type="dxa"/>
            <w:vMerge/>
            <w:shd w:val="clear" w:color="auto" w:fill="FFCCCC"/>
            <w:vAlign w:val="center"/>
            <w:hideMark/>
          </w:tcPr>
          <w:p w:rsidR="00306953" w:rsidRPr="001042AC" w:rsidRDefault="00306953" w:rsidP="00306953">
            <w:pPr>
              <w:spacing w:after="0" w:line="240" w:lineRule="auto"/>
              <w:rPr>
                <w:rFonts w:cs="Arial"/>
                <w:b/>
                <w:sz w:val="16"/>
                <w:szCs w:val="16"/>
              </w:rPr>
            </w:pPr>
          </w:p>
        </w:tc>
        <w:tc>
          <w:tcPr>
            <w:tcW w:w="3406" w:type="dxa"/>
            <w:gridSpan w:val="4"/>
            <w:vMerge/>
            <w:shd w:val="clear" w:color="auto" w:fill="FFCCCC"/>
            <w:vAlign w:val="center"/>
            <w:hideMark/>
          </w:tcPr>
          <w:p w:rsidR="00306953" w:rsidRPr="001042AC" w:rsidRDefault="00306953" w:rsidP="00306953">
            <w:pPr>
              <w:spacing w:after="0" w:line="240" w:lineRule="auto"/>
              <w:jc w:val="center"/>
              <w:rPr>
                <w:rFonts w:cs="Arial"/>
                <w:b/>
                <w:sz w:val="16"/>
                <w:szCs w:val="16"/>
              </w:rPr>
            </w:pPr>
          </w:p>
        </w:tc>
        <w:tc>
          <w:tcPr>
            <w:tcW w:w="4674" w:type="dxa"/>
            <w:gridSpan w:val="5"/>
            <w:vMerge/>
            <w:shd w:val="clear" w:color="auto" w:fill="FFCCCC"/>
            <w:vAlign w:val="center"/>
            <w:hideMark/>
          </w:tcPr>
          <w:p w:rsidR="00306953" w:rsidRPr="001042AC" w:rsidRDefault="00306953" w:rsidP="00306953">
            <w:pPr>
              <w:spacing w:after="0" w:line="240" w:lineRule="auto"/>
              <w:jc w:val="center"/>
              <w:rPr>
                <w:rFonts w:cs="Arial"/>
                <w:b/>
                <w:sz w:val="16"/>
                <w:szCs w:val="16"/>
              </w:rPr>
            </w:pPr>
          </w:p>
        </w:tc>
      </w:tr>
      <w:tr w:rsidR="00306953" w:rsidRPr="00442515" w:rsidTr="00892E5C">
        <w:trPr>
          <w:trHeight w:val="371"/>
        </w:trPr>
        <w:tc>
          <w:tcPr>
            <w:tcW w:w="1433" w:type="dxa"/>
            <w:vMerge/>
            <w:shd w:val="clear" w:color="auto" w:fill="FFCCCC"/>
            <w:vAlign w:val="center"/>
            <w:hideMark/>
          </w:tcPr>
          <w:p w:rsidR="00306953" w:rsidRPr="001042AC" w:rsidRDefault="00306953" w:rsidP="00306953">
            <w:pPr>
              <w:spacing w:after="0" w:line="240" w:lineRule="auto"/>
              <w:rPr>
                <w:rFonts w:cs="Arial"/>
                <w:b/>
                <w:sz w:val="16"/>
                <w:szCs w:val="16"/>
              </w:rPr>
            </w:pPr>
          </w:p>
        </w:tc>
        <w:tc>
          <w:tcPr>
            <w:tcW w:w="2551" w:type="dxa"/>
            <w:gridSpan w:val="3"/>
            <w:shd w:val="clear" w:color="auto" w:fill="FFCCCC"/>
            <w:vAlign w:val="center"/>
            <w:hideMark/>
          </w:tcPr>
          <w:p w:rsidR="00306953" w:rsidRPr="001042AC" w:rsidRDefault="00EA6A4F" w:rsidP="00306953">
            <w:pPr>
              <w:spacing w:after="0" w:line="240" w:lineRule="auto"/>
              <w:jc w:val="center"/>
              <w:rPr>
                <w:rFonts w:cs="Arial"/>
                <w:b/>
                <w:sz w:val="16"/>
                <w:szCs w:val="16"/>
              </w:rPr>
            </w:pPr>
            <w:r>
              <w:rPr>
                <w:rFonts w:cs="Arial"/>
                <w:b/>
                <w:sz w:val="16"/>
                <w:szCs w:val="16"/>
              </w:rPr>
              <w:t>v</w:t>
            </w:r>
            <w:r w:rsidR="00306953" w:rsidRPr="001042AC">
              <w:rPr>
                <w:rFonts w:cs="Arial"/>
                <w:b/>
                <w:sz w:val="16"/>
                <w:szCs w:val="16"/>
              </w:rPr>
              <w:t>ýdaje na vzdělávací instituce</w:t>
            </w:r>
          </w:p>
        </w:tc>
        <w:tc>
          <w:tcPr>
            <w:tcW w:w="855" w:type="dxa"/>
            <w:vMerge w:val="restart"/>
            <w:shd w:val="clear" w:color="auto" w:fill="FFCCCC"/>
            <w:textDirection w:val="btLr"/>
            <w:vAlign w:val="center"/>
            <w:hideMark/>
          </w:tcPr>
          <w:p w:rsidR="00306953" w:rsidRPr="001042AC" w:rsidRDefault="00EA6A4F" w:rsidP="00306953">
            <w:pPr>
              <w:spacing w:after="0" w:line="240" w:lineRule="auto"/>
              <w:rPr>
                <w:rFonts w:cs="Arial"/>
                <w:b/>
                <w:sz w:val="16"/>
                <w:szCs w:val="16"/>
              </w:rPr>
            </w:pPr>
            <w:r>
              <w:rPr>
                <w:rFonts w:cs="Arial"/>
                <w:b/>
                <w:sz w:val="16"/>
                <w:szCs w:val="16"/>
              </w:rPr>
              <w:t>p</w:t>
            </w:r>
            <w:r w:rsidR="00306953" w:rsidRPr="001042AC">
              <w:rPr>
                <w:rFonts w:cs="Arial"/>
                <w:b/>
                <w:sz w:val="16"/>
                <w:szCs w:val="16"/>
              </w:rPr>
              <w:t xml:space="preserve">oplatky ze soukromých zdrojů za vzdělávací služby či zboží pořízené mimo tyto instituce </w:t>
            </w:r>
          </w:p>
        </w:tc>
        <w:tc>
          <w:tcPr>
            <w:tcW w:w="3680" w:type="dxa"/>
            <w:gridSpan w:val="4"/>
            <w:shd w:val="clear" w:color="auto" w:fill="FFCCCC"/>
            <w:vAlign w:val="center"/>
            <w:hideMark/>
          </w:tcPr>
          <w:p w:rsidR="00306953" w:rsidRPr="001042AC" w:rsidRDefault="00EA6A4F" w:rsidP="00306953">
            <w:pPr>
              <w:spacing w:after="0" w:line="240" w:lineRule="auto"/>
              <w:jc w:val="center"/>
              <w:rPr>
                <w:rFonts w:cs="Arial"/>
                <w:b/>
                <w:sz w:val="16"/>
                <w:szCs w:val="16"/>
              </w:rPr>
            </w:pPr>
            <w:r>
              <w:rPr>
                <w:rFonts w:cs="Arial"/>
                <w:b/>
                <w:sz w:val="16"/>
                <w:szCs w:val="16"/>
              </w:rPr>
              <w:t>v</w:t>
            </w:r>
            <w:r w:rsidR="00306953" w:rsidRPr="001042AC">
              <w:rPr>
                <w:rFonts w:cs="Arial"/>
                <w:b/>
                <w:sz w:val="16"/>
                <w:szCs w:val="16"/>
              </w:rPr>
              <w:t>ýdaje na vzdělávací instituce</w:t>
            </w:r>
          </w:p>
        </w:tc>
        <w:tc>
          <w:tcPr>
            <w:tcW w:w="994" w:type="dxa"/>
            <w:vMerge w:val="restart"/>
            <w:shd w:val="clear" w:color="auto" w:fill="FFCCCC"/>
            <w:textDirection w:val="btLr"/>
            <w:vAlign w:val="center"/>
            <w:hideMark/>
          </w:tcPr>
          <w:p w:rsidR="00306953" w:rsidRPr="001042AC" w:rsidRDefault="00EA6A4F" w:rsidP="00306953">
            <w:pPr>
              <w:spacing w:after="0" w:line="240" w:lineRule="auto"/>
              <w:rPr>
                <w:rFonts w:cs="Arial"/>
                <w:b/>
                <w:sz w:val="16"/>
                <w:szCs w:val="16"/>
              </w:rPr>
            </w:pPr>
            <w:r>
              <w:rPr>
                <w:rFonts w:cs="Arial"/>
                <w:b/>
                <w:sz w:val="16"/>
                <w:szCs w:val="16"/>
              </w:rPr>
              <w:t>p</w:t>
            </w:r>
            <w:r w:rsidR="00306953" w:rsidRPr="001042AC">
              <w:rPr>
                <w:rFonts w:cs="Arial"/>
                <w:b/>
                <w:sz w:val="16"/>
                <w:szCs w:val="16"/>
              </w:rPr>
              <w:t>oplatky ze soukromých zdrojů za vzdělávací služby či zboží pořízené mimo tyto instituce</w:t>
            </w:r>
          </w:p>
        </w:tc>
      </w:tr>
      <w:tr w:rsidR="00306953" w:rsidRPr="00442515" w:rsidTr="00892E5C">
        <w:trPr>
          <w:trHeight w:val="1694"/>
        </w:trPr>
        <w:tc>
          <w:tcPr>
            <w:tcW w:w="1433" w:type="dxa"/>
            <w:vMerge/>
            <w:tcBorders>
              <w:bottom w:val="double" w:sz="4" w:space="0" w:color="auto"/>
            </w:tcBorders>
            <w:shd w:val="clear" w:color="auto" w:fill="FFCCCC"/>
            <w:vAlign w:val="center"/>
            <w:hideMark/>
          </w:tcPr>
          <w:p w:rsidR="00306953" w:rsidRPr="001042AC" w:rsidRDefault="00306953" w:rsidP="00306953">
            <w:pPr>
              <w:spacing w:after="0" w:line="240" w:lineRule="auto"/>
              <w:rPr>
                <w:rFonts w:cs="Arial"/>
                <w:b/>
                <w:sz w:val="16"/>
                <w:szCs w:val="16"/>
              </w:rPr>
            </w:pPr>
          </w:p>
        </w:tc>
        <w:tc>
          <w:tcPr>
            <w:tcW w:w="856" w:type="dxa"/>
            <w:tcBorders>
              <w:bottom w:val="double" w:sz="4" w:space="0" w:color="auto"/>
            </w:tcBorders>
            <w:shd w:val="clear" w:color="auto" w:fill="FFCCCC"/>
            <w:textDirection w:val="btLr"/>
            <w:vAlign w:val="center"/>
            <w:hideMark/>
          </w:tcPr>
          <w:p w:rsidR="00306953" w:rsidRPr="001042AC" w:rsidRDefault="00EA6A4F" w:rsidP="00306953">
            <w:pPr>
              <w:spacing w:after="0" w:line="240" w:lineRule="auto"/>
              <w:rPr>
                <w:rFonts w:cs="Arial"/>
                <w:b/>
                <w:sz w:val="16"/>
                <w:szCs w:val="16"/>
              </w:rPr>
            </w:pPr>
            <w:r>
              <w:rPr>
                <w:rFonts w:cs="Arial"/>
                <w:b/>
                <w:sz w:val="16"/>
                <w:szCs w:val="16"/>
              </w:rPr>
              <w:t>s</w:t>
            </w:r>
            <w:r w:rsidR="00263D11">
              <w:rPr>
                <w:rFonts w:cs="Arial"/>
                <w:b/>
                <w:sz w:val="16"/>
                <w:szCs w:val="16"/>
              </w:rPr>
              <w:t>lužby spojené s </w:t>
            </w:r>
            <w:r w:rsidR="00306953" w:rsidRPr="001042AC">
              <w:rPr>
                <w:rFonts w:cs="Arial"/>
                <w:b/>
                <w:sz w:val="16"/>
                <w:szCs w:val="16"/>
              </w:rPr>
              <w:t>poskytováním vzdělávání</w:t>
            </w:r>
          </w:p>
        </w:tc>
        <w:tc>
          <w:tcPr>
            <w:tcW w:w="987" w:type="dxa"/>
            <w:tcBorders>
              <w:bottom w:val="double" w:sz="4" w:space="0" w:color="auto"/>
            </w:tcBorders>
            <w:shd w:val="clear" w:color="auto" w:fill="FFCCCC"/>
            <w:textDirection w:val="btLr"/>
            <w:vAlign w:val="center"/>
            <w:hideMark/>
          </w:tcPr>
          <w:p w:rsidR="00306953" w:rsidRPr="00892E5C" w:rsidRDefault="00EA6A4F" w:rsidP="00306953">
            <w:pPr>
              <w:spacing w:after="0" w:line="240" w:lineRule="auto"/>
              <w:rPr>
                <w:rFonts w:cs="Arial"/>
                <w:sz w:val="16"/>
                <w:szCs w:val="16"/>
              </w:rPr>
            </w:pPr>
            <w:r w:rsidRPr="00892E5C">
              <w:rPr>
                <w:rFonts w:cs="Arial"/>
                <w:sz w:val="16"/>
                <w:szCs w:val="16"/>
              </w:rPr>
              <w:t>d</w:t>
            </w:r>
            <w:r w:rsidR="00306953" w:rsidRPr="00892E5C">
              <w:rPr>
                <w:rFonts w:cs="Arial"/>
                <w:sz w:val="16"/>
                <w:szCs w:val="16"/>
              </w:rPr>
              <w:t>oprovodné služby (doprava, stravování a ubytování poskytované</w:t>
            </w:r>
            <w:r w:rsidR="00892E5C" w:rsidRPr="00892E5C">
              <w:rPr>
                <w:rFonts w:cs="Arial"/>
                <w:sz w:val="16"/>
                <w:szCs w:val="16"/>
              </w:rPr>
              <w:t xml:space="preserve"> institucemi</w:t>
            </w:r>
            <w:r w:rsidR="00306953" w:rsidRPr="00892E5C">
              <w:rPr>
                <w:rFonts w:cs="Arial"/>
                <w:sz w:val="16"/>
                <w:szCs w:val="16"/>
              </w:rPr>
              <w:t>)</w:t>
            </w:r>
          </w:p>
        </w:tc>
        <w:tc>
          <w:tcPr>
            <w:tcW w:w="708" w:type="dxa"/>
            <w:tcBorders>
              <w:bottom w:val="double" w:sz="4" w:space="0" w:color="auto"/>
            </w:tcBorders>
            <w:shd w:val="clear" w:color="auto" w:fill="FFCCCC"/>
            <w:textDirection w:val="btLr"/>
            <w:vAlign w:val="center"/>
            <w:hideMark/>
          </w:tcPr>
          <w:p w:rsidR="00306953" w:rsidRPr="00892E5C" w:rsidRDefault="00EA6A4F" w:rsidP="00306953">
            <w:pPr>
              <w:spacing w:after="0" w:line="240" w:lineRule="auto"/>
              <w:rPr>
                <w:rFonts w:cs="Arial"/>
                <w:sz w:val="16"/>
                <w:szCs w:val="16"/>
              </w:rPr>
            </w:pPr>
            <w:r w:rsidRPr="00892E5C">
              <w:rPr>
                <w:rFonts w:cs="Arial"/>
                <w:sz w:val="16"/>
                <w:szCs w:val="16"/>
              </w:rPr>
              <w:t>c</w:t>
            </w:r>
            <w:r w:rsidR="00306953" w:rsidRPr="00892E5C">
              <w:rPr>
                <w:rFonts w:cs="Arial"/>
                <w:sz w:val="16"/>
                <w:szCs w:val="16"/>
              </w:rPr>
              <w:t>elkem</w:t>
            </w:r>
          </w:p>
        </w:tc>
        <w:tc>
          <w:tcPr>
            <w:tcW w:w="855" w:type="dxa"/>
            <w:vMerge/>
            <w:tcBorders>
              <w:bottom w:val="double" w:sz="4" w:space="0" w:color="auto"/>
            </w:tcBorders>
            <w:shd w:val="clear" w:color="auto" w:fill="FFCCCC"/>
            <w:vAlign w:val="center"/>
            <w:hideMark/>
          </w:tcPr>
          <w:p w:rsidR="00306953" w:rsidRPr="001042AC" w:rsidRDefault="00306953" w:rsidP="00306953">
            <w:pPr>
              <w:spacing w:after="0" w:line="240" w:lineRule="auto"/>
              <w:rPr>
                <w:rFonts w:cs="Arial"/>
                <w:b/>
                <w:sz w:val="16"/>
                <w:szCs w:val="16"/>
              </w:rPr>
            </w:pPr>
          </w:p>
        </w:tc>
        <w:tc>
          <w:tcPr>
            <w:tcW w:w="920" w:type="dxa"/>
            <w:tcBorders>
              <w:bottom w:val="double" w:sz="4" w:space="0" w:color="auto"/>
            </w:tcBorders>
            <w:shd w:val="clear" w:color="auto" w:fill="FFCCCC"/>
            <w:textDirection w:val="btLr"/>
            <w:vAlign w:val="center"/>
            <w:hideMark/>
          </w:tcPr>
          <w:p w:rsidR="00306953" w:rsidRPr="001042AC" w:rsidRDefault="00EA6A4F" w:rsidP="00306953">
            <w:pPr>
              <w:spacing w:after="0" w:line="240" w:lineRule="auto"/>
              <w:rPr>
                <w:rFonts w:cs="Arial"/>
                <w:b/>
                <w:sz w:val="16"/>
                <w:szCs w:val="16"/>
              </w:rPr>
            </w:pPr>
            <w:r>
              <w:rPr>
                <w:rFonts w:cs="Arial"/>
                <w:b/>
                <w:sz w:val="16"/>
                <w:szCs w:val="16"/>
              </w:rPr>
              <w:t>s</w:t>
            </w:r>
            <w:r w:rsidR="00263D11">
              <w:rPr>
                <w:rFonts w:cs="Arial"/>
                <w:b/>
                <w:sz w:val="16"/>
                <w:szCs w:val="16"/>
              </w:rPr>
              <w:t>lužby spojené s </w:t>
            </w:r>
            <w:r w:rsidR="00306953" w:rsidRPr="001042AC">
              <w:rPr>
                <w:rFonts w:cs="Arial"/>
                <w:b/>
                <w:sz w:val="16"/>
                <w:szCs w:val="16"/>
              </w:rPr>
              <w:t>poskytováním vzdělávání</w:t>
            </w:r>
          </w:p>
        </w:tc>
        <w:tc>
          <w:tcPr>
            <w:tcW w:w="1060" w:type="dxa"/>
            <w:tcBorders>
              <w:bottom w:val="double" w:sz="4" w:space="0" w:color="auto"/>
            </w:tcBorders>
            <w:shd w:val="clear" w:color="auto" w:fill="FFCCCC"/>
            <w:textDirection w:val="btLr"/>
            <w:vAlign w:val="center"/>
            <w:hideMark/>
          </w:tcPr>
          <w:p w:rsidR="00306953" w:rsidRPr="001042AC" w:rsidRDefault="00EA6A4F" w:rsidP="00306953">
            <w:pPr>
              <w:spacing w:after="0" w:line="240" w:lineRule="auto"/>
              <w:rPr>
                <w:rFonts w:cs="Arial"/>
                <w:b/>
                <w:sz w:val="16"/>
                <w:szCs w:val="16"/>
              </w:rPr>
            </w:pPr>
            <w:r>
              <w:rPr>
                <w:rFonts w:cs="Arial"/>
                <w:b/>
                <w:sz w:val="16"/>
                <w:szCs w:val="16"/>
              </w:rPr>
              <w:t>d</w:t>
            </w:r>
            <w:r w:rsidR="00306953" w:rsidRPr="001042AC">
              <w:rPr>
                <w:rFonts w:cs="Arial"/>
                <w:b/>
                <w:sz w:val="16"/>
                <w:szCs w:val="16"/>
              </w:rPr>
              <w:t xml:space="preserve">oprovodné služby </w:t>
            </w:r>
            <w:r w:rsidR="00892E5C">
              <w:rPr>
                <w:rFonts w:cs="Arial"/>
                <w:sz w:val="16"/>
                <w:szCs w:val="16"/>
              </w:rPr>
              <w:t>(doprava, stravování a </w:t>
            </w:r>
            <w:r w:rsidR="00306953" w:rsidRPr="00892E5C">
              <w:rPr>
                <w:rFonts w:cs="Arial"/>
                <w:sz w:val="16"/>
                <w:szCs w:val="16"/>
              </w:rPr>
              <w:t>ubytování poskytované</w:t>
            </w:r>
            <w:r w:rsidR="00892E5C">
              <w:rPr>
                <w:rFonts w:cs="Arial"/>
                <w:sz w:val="16"/>
                <w:szCs w:val="16"/>
              </w:rPr>
              <w:t xml:space="preserve"> institucemi</w:t>
            </w:r>
            <w:r w:rsidR="00306953" w:rsidRPr="00892E5C">
              <w:rPr>
                <w:rFonts w:cs="Arial"/>
                <w:sz w:val="16"/>
                <w:szCs w:val="16"/>
              </w:rPr>
              <w:t>)</w:t>
            </w:r>
          </w:p>
        </w:tc>
        <w:tc>
          <w:tcPr>
            <w:tcW w:w="920" w:type="dxa"/>
            <w:tcBorders>
              <w:bottom w:val="double" w:sz="4" w:space="0" w:color="auto"/>
            </w:tcBorders>
            <w:shd w:val="clear" w:color="auto" w:fill="FFCCCC"/>
            <w:textDirection w:val="btLr"/>
            <w:vAlign w:val="center"/>
            <w:hideMark/>
          </w:tcPr>
          <w:p w:rsidR="00306953" w:rsidRPr="001042AC" w:rsidRDefault="00EA6A4F" w:rsidP="00306953">
            <w:pPr>
              <w:spacing w:after="0" w:line="240" w:lineRule="auto"/>
              <w:rPr>
                <w:rFonts w:cs="Arial"/>
                <w:b/>
                <w:sz w:val="16"/>
                <w:szCs w:val="16"/>
              </w:rPr>
            </w:pPr>
            <w:r>
              <w:rPr>
                <w:rFonts w:cs="Arial"/>
                <w:b/>
                <w:sz w:val="16"/>
                <w:szCs w:val="16"/>
              </w:rPr>
              <w:t>v</w:t>
            </w:r>
            <w:r w:rsidR="00263D11">
              <w:rPr>
                <w:rFonts w:cs="Arial"/>
                <w:b/>
                <w:sz w:val="16"/>
                <w:szCs w:val="16"/>
              </w:rPr>
              <w:t>ýzkum a vývoj v </w:t>
            </w:r>
            <w:r w:rsidR="00306953" w:rsidRPr="001042AC">
              <w:rPr>
                <w:rFonts w:cs="Arial"/>
                <w:b/>
                <w:sz w:val="16"/>
                <w:szCs w:val="16"/>
              </w:rPr>
              <w:t>institucích terciárního vzdělávání</w:t>
            </w:r>
          </w:p>
        </w:tc>
        <w:tc>
          <w:tcPr>
            <w:tcW w:w="780" w:type="dxa"/>
            <w:tcBorders>
              <w:bottom w:val="double" w:sz="4" w:space="0" w:color="auto"/>
            </w:tcBorders>
            <w:shd w:val="clear" w:color="auto" w:fill="FFCCCC"/>
            <w:textDirection w:val="btLr"/>
            <w:vAlign w:val="center"/>
            <w:hideMark/>
          </w:tcPr>
          <w:p w:rsidR="00306953" w:rsidRPr="001042AC" w:rsidRDefault="00EA6A4F" w:rsidP="00306953">
            <w:pPr>
              <w:spacing w:after="0" w:line="240" w:lineRule="auto"/>
              <w:rPr>
                <w:rFonts w:cs="Arial"/>
                <w:b/>
                <w:sz w:val="16"/>
                <w:szCs w:val="16"/>
              </w:rPr>
            </w:pPr>
            <w:r>
              <w:rPr>
                <w:rFonts w:cs="Arial"/>
                <w:b/>
                <w:sz w:val="16"/>
                <w:szCs w:val="16"/>
              </w:rPr>
              <w:t>c</w:t>
            </w:r>
            <w:r w:rsidR="00306953" w:rsidRPr="001042AC">
              <w:rPr>
                <w:rFonts w:cs="Arial"/>
                <w:b/>
                <w:sz w:val="16"/>
                <w:szCs w:val="16"/>
              </w:rPr>
              <w:t>elkem</w:t>
            </w:r>
          </w:p>
        </w:tc>
        <w:tc>
          <w:tcPr>
            <w:tcW w:w="994" w:type="dxa"/>
            <w:vMerge/>
            <w:tcBorders>
              <w:bottom w:val="double" w:sz="4" w:space="0" w:color="auto"/>
            </w:tcBorders>
            <w:vAlign w:val="center"/>
            <w:hideMark/>
          </w:tcPr>
          <w:p w:rsidR="00306953" w:rsidRPr="00442515" w:rsidRDefault="00306953" w:rsidP="00306953">
            <w:pPr>
              <w:spacing w:after="0" w:line="240" w:lineRule="auto"/>
              <w:rPr>
                <w:rFonts w:cs="Arial"/>
                <w:sz w:val="16"/>
                <w:szCs w:val="16"/>
              </w:rPr>
            </w:pPr>
          </w:p>
        </w:tc>
      </w:tr>
      <w:tr w:rsidR="00306953" w:rsidRPr="00442515" w:rsidTr="00892E5C">
        <w:trPr>
          <w:trHeight w:val="255"/>
        </w:trPr>
        <w:tc>
          <w:tcPr>
            <w:tcW w:w="1433" w:type="dxa"/>
            <w:tcBorders>
              <w:top w:val="double" w:sz="4" w:space="0" w:color="auto"/>
              <w:bottom w:val="single" w:sz="4" w:space="0" w:color="auto"/>
            </w:tcBorders>
            <w:shd w:val="clear" w:color="000000" w:fill="FFFFFF"/>
            <w:noWrap/>
            <w:vAlign w:val="center"/>
            <w:hideMark/>
          </w:tcPr>
          <w:p w:rsidR="00306953" w:rsidRPr="00442515" w:rsidRDefault="00306953" w:rsidP="007E5BD0">
            <w:pPr>
              <w:spacing w:after="0" w:line="240" w:lineRule="auto"/>
              <w:rPr>
                <w:rFonts w:cs="Arial"/>
                <w:sz w:val="16"/>
                <w:szCs w:val="16"/>
              </w:rPr>
            </w:pPr>
            <w:r w:rsidRPr="00442515">
              <w:rPr>
                <w:rFonts w:cs="Arial"/>
                <w:sz w:val="16"/>
                <w:szCs w:val="16"/>
              </w:rPr>
              <w:t>Česká republika</w:t>
            </w:r>
          </w:p>
        </w:tc>
        <w:tc>
          <w:tcPr>
            <w:tcW w:w="856" w:type="dxa"/>
            <w:tcBorders>
              <w:top w:val="double" w:sz="4" w:space="0" w:color="auto"/>
              <w:bottom w:val="single" w:sz="4" w:space="0" w:color="auto"/>
            </w:tcBorders>
            <w:shd w:val="clear" w:color="000000" w:fill="FFFFFF"/>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2,67</w:t>
            </w:r>
          </w:p>
        </w:tc>
        <w:tc>
          <w:tcPr>
            <w:tcW w:w="987" w:type="dxa"/>
            <w:tcBorders>
              <w:top w:val="double" w:sz="4" w:space="0" w:color="auto"/>
              <w:bottom w:val="single" w:sz="4" w:space="0" w:color="auto"/>
            </w:tcBorders>
            <w:shd w:val="clear" w:color="000000" w:fill="FFFFFF"/>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0,20</w:t>
            </w:r>
          </w:p>
        </w:tc>
        <w:tc>
          <w:tcPr>
            <w:tcW w:w="708" w:type="dxa"/>
            <w:tcBorders>
              <w:top w:val="double" w:sz="4" w:space="0" w:color="auto"/>
              <w:bottom w:val="single" w:sz="4" w:space="0" w:color="auto"/>
            </w:tcBorders>
            <w:shd w:val="clear" w:color="000000" w:fill="FFFFFF"/>
            <w:noWrap/>
            <w:vAlign w:val="center"/>
            <w:hideMark/>
          </w:tcPr>
          <w:p w:rsidR="00306953" w:rsidRPr="00442515" w:rsidRDefault="00306953" w:rsidP="007E5BD0">
            <w:pPr>
              <w:spacing w:after="0" w:line="240" w:lineRule="auto"/>
              <w:jc w:val="center"/>
              <w:rPr>
                <w:rFonts w:cs="Arial"/>
                <w:b/>
                <w:bCs/>
                <w:sz w:val="16"/>
                <w:szCs w:val="16"/>
              </w:rPr>
            </w:pPr>
            <w:r w:rsidRPr="00442515">
              <w:rPr>
                <w:rFonts w:cs="Arial"/>
                <w:b/>
                <w:bCs/>
                <w:sz w:val="16"/>
                <w:szCs w:val="16"/>
              </w:rPr>
              <w:t>2,87</w:t>
            </w:r>
          </w:p>
        </w:tc>
        <w:tc>
          <w:tcPr>
            <w:tcW w:w="855" w:type="dxa"/>
            <w:tcBorders>
              <w:top w:val="double" w:sz="4" w:space="0" w:color="auto"/>
              <w:bottom w:val="single" w:sz="4" w:space="0" w:color="auto"/>
            </w:tcBorders>
            <w:shd w:val="clear" w:color="000000" w:fill="FFFFFF"/>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0,05</w:t>
            </w:r>
          </w:p>
        </w:tc>
        <w:tc>
          <w:tcPr>
            <w:tcW w:w="920" w:type="dxa"/>
            <w:tcBorders>
              <w:top w:val="double" w:sz="4" w:space="0" w:color="auto"/>
              <w:bottom w:val="single" w:sz="4" w:space="0" w:color="auto"/>
            </w:tcBorders>
            <w:shd w:val="clear" w:color="000000" w:fill="FFFFFF"/>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0,95</w:t>
            </w:r>
          </w:p>
        </w:tc>
        <w:tc>
          <w:tcPr>
            <w:tcW w:w="1060" w:type="dxa"/>
            <w:tcBorders>
              <w:top w:val="double" w:sz="4" w:space="0" w:color="auto"/>
              <w:bottom w:val="single" w:sz="4" w:space="0" w:color="auto"/>
            </w:tcBorders>
            <w:shd w:val="clear" w:color="000000" w:fill="FFFFFF"/>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0,01</w:t>
            </w:r>
          </w:p>
        </w:tc>
        <w:tc>
          <w:tcPr>
            <w:tcW w:w="920" w:type="dxa"/>
            <w:tcBorders>
              <w:top w:val="double" w:sz="4" w:space="0" w:color="auto"/>
              <w:bottom w:val="single" w:sz="4" w:space="0" w:color="auto"/>
            </w:tcBorders>
            <w:shd w:val="clear" w:color="000000" w:fill="FFFFFF"/>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0,47</w:t>
            </w:r>
          </w:p>
        </w:tc>
        <w:tc>
          <w:tcPr>
            <w:tcW w:w="780" w:type="dxa"/>
            <w:tcBorders>
              <w:top w:val="double" w:sz="4" w:space="0" w:color="auto"/>
              <w:bottom w:val="single" w:sz="4" w:space="0" w:color="auto"/>
            </w:tcBorders>
            <w:shd w:val="clear" w:color="000000" w:fill="FFFFFF"/>
            <w:noWrap/>
            <w:vAlign w:val="center"/>
            <w:hideMark/>
          </w:tcPr>
          <w:p w:rsidR="00306953" w:rsidRPr="00442515" w:rsidRDefault="00306953" w:rsidP="007E5BD0">
            <w:pPr>
              <w:spacing w:after="0" w:line="240" w:lineRule="auto"/>
              <w:jc w:val="center"/>
              <w:rPr>
                <w:rFonts w:cs="Arial"/>
                <w:b/>
                <w:bCs/>
                <w:sz w:val="16"/>
                <w:szCs w:val="16"/>
              </w:rPr>
            </w:pPr>
            <w:r w:rsidRPr="00442515">
              <w:rPr>
                <w:rFonts w:cs="Arial"/>
                <w:b/>
                <w:bCs/>
                <w:sz w:val="16"/>
                <w:szCs w:val="16"/>
              </w:rPr>
              <w:t>1,43</w:t>
            </w:r>
          </w:p>
        </w:tc>
        <w:tc>
          <w:tcPr>
            <w:tcW w:w="994" w:type="dxa"/>
            <w:tcBorders>
              <w:top w:val="double" w:sz="4" w:space="0" w:color="auto"/>
              <w:bottom w:val="single" w:sz="4" w:space="0" w:color="auto"/>
            </w:tcBorders>
            <w:shd w:val="clear" w:color="000000" w:fill="FFFFFF"/>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0,03</w:t>
            </w:r>
          </w:p>
        </w:tc>
      </w:tr>
      <w:tr w:rsidR="00306953" w:rsidRPr="00442515" w:rsidTr="00892E5C">
        <w:trPr>
          <w:trHeight w:val="255"/>
        </w:trPr>
        <w:tc>
          <w:tcPr>
            <w:tcW w:w="1433" w:type="dxa"/>
            <w:tcBorders>
              <w:top w:val="single" w:sz="4" w:space="0" w:color="auto"/>
            </w:tcBorders>
            <w:shd w:val="clear" w:color="000000" w:fill="FFFFFF"/>
            <w:noWrap/>
            <w:vAlign w:val="center"/>
            <w:hideMark/>
          </w:tcPr>
          <w:p w:rsidR="00306953" w:rsidRPr="00442515" w:rsidRDefault="00306953" w:rsidP="007E5BD0">
            <w:pPr>
              <w:spacing w:after="0" w:line="240" w:lineRule="auto"/>
              <w:rPr>
                <w:rFonts w:cs="Arial"/>
                <w:sz w:val="16"/>
                <w:szCs w:val="16"/>
                <w:vertAlign w:val="superscript"/>
              </w:rPr>
            </w:pPr>
            <w:r w:rsidRPr="00442515">
              <w:rPr>
                <w:rFonts w:cs="Arial"/>
                <w:sz w:val="16"/>
                <w:szCs w:val="16"/>
              </w:rPr>
              <w:t>Slovensko</w:t>
            </w:r>
            <w:r w:rsidRPr="00442515">
              <w:rPr>
                <w:rFonts w:cs="Arial"/>
                <w:sz w:val="16"/>
                <w:szCs w:val="16"/>
                <w:vertAlign w:val="superscript"/>
              </w:rPr>
              <w:t>1)</w:t>
            </w:r>
          </w:p>
        </w:tc>
        <w:tc>
          <w:tcPr>
            <w:tcW w:w="856" w:type="dxa"/>
            <w:tcBorders>
              <w:top w:val="single" w:sz="4" w:space="0" w:color="auto"/>
            </w:tcBorders>
            <w:shd w:val="clear" w:color="000000" w:fill="FFFFFF"/>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2,39</w:t>
            </w:r>
          </w:p>
        </w:tc>
        <w:tc>
          <w:tcPr>
            <w:tcW w:w="987" w:type="dxa"/>
            <w:tcBorders>
              <w:top w:val="single" w:sz="4" w:space="0" w:color="auto"/>
            </w:tcBorders>
            <w:shd w:val="clear" w:color="000000" w:fill="FFFFFF"/>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0,39</w:t>
            </w:r>
          </w:p>
        </w:tc>
        <w:tc>
          <w:tcPr>
            <w:tcW w:w="708" w:type="dxa"/>
            <w:tcBorders>
              <w:top w:val="single" w:sz="4" w:space="0" w:color="auto"/>
            </w:tcBorders>
            <w:shd w:val="clear" w:color="000000" w:fill="FFFFFF"/>
            <w:noWrap/>
            <w:vAlign w:val="center"/>
            <w:hideMark/>
          </w:tcPr>
          <w:p w:rsidR="00306953" w:rsidRPr="00442515" w:rsidRDefault="00306953" w:rsidP="007E5BD0">
            <w:pPr>
              <w:spacing w:after="0" w:line="240" w:lineRule="auto"/>
              <w:jc w:val="center"/>
              <w:rPr>
                <w:rFonts w:cs="Arial"/>
                <w:b/>
                <w:bCs/>
                <w:sz w:val="16"/>
                <w:szCs w:val="16"/>
              </w:rPr>
            </w:pPr>
            <w:r w:rsidRPr="00442515">
              <w:rPr>
                <w:rFonts w:cs="Arial"/>
                <w:b/>
                <w:bCs/>
                <w:sz w:val="16"/>
                <w:szCs w:val="16"/>
              </w:rPr>
              <w:t>2,78</w:t>
            </w:r>
          </w:p>
        </w:tc>
        <w:tc>
          <w:tcPr>
            <w:tcW w:w="855" w:type="dxa"/>
            <w:tcBorders>
              <w:top w:val="single" w:sz="4" w:space="0" w:color="auto"/>
            </w:tcBorders>
            <w:shd w:val="clear" w:color="000000" w:fill="FFFFFF"/>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0,30</w:t>
            </w:r>
          </w:p>
        </w:tc>
        <w:tc>
          <w:tcPr>
            <w:tcW w:w="920" w:type="dxa"/>
            <w:tcBorders>
              <w:top w:val="single" w:sz="4" w:space="0" w:color="auto"/>
            </w:tcBorders>
            <w:shd w:val="clear" w:color="000000" w:fill="FFFFFF"/>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0,61</w:t>
            </w:r>
          </w:p>
        </w:tc>
        <w:tc>
          <w:tcPr>
            <w:tcW w:w="1060" w:type="dxa"/>
            <w:tcBorders>
              <w:top w:val="single" w:sz="4" w:space="0" w:color="auto"/>
            </w:tcBorders>
            <w:shd w:val="clear" w:color="000000" w:fill="FFFFFF"/>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0,17</w:t>
            </w:r>
          </w:p>
        </w:tc>
        <w:tc>
          <w:tcPr>
            <w:tcW w:w="920" w:type="dxa"/>
            <w:tcBorders>
              <w:top w:val="single" w:sz="4" w:space="0" w:color="auto"/>
            </w:tcBorders>
            <w:shd w:val="clear" w:color="000000" w:fill="FFFFFF"/>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0,21</w:t>
            </w:r>
          </w:p>
        </w:tc>
        <w:tc>
          <w:tcPr>
            <w:tcW w:w="780" w:type="dxa"/>
            <w:tcBorders>
              <w:top w:val="single" w:sz="4" w:space="0" w:color="auto"/>
            </w:tcBorders>
            <w:shd w:val="clear" w:color="000000" w:fill="FFFFFF"/>
            <w:noWrap/>
            <w:vAlign w:val="center"/>
            <w:hideMark/>
          </w:tcPr>
          <w:p w:rsidR="00306953" w:rsidRPr="00442515" w:rsidRDefault="00306953" w:rsidP="007E5BD0">
            <w:pPr>
              <w:spacing w:after="0" w:line="240" w:lineRule="auto"/>
              <w:jc w:val="center"/>
              <w:rPr>
                <w:rFonts w:cs="Arial"/>
                <w:b/>
                <w:bCs/>
                <w:sz w:val="16"/>
                <w:szCs w:val="16"/>
              </w:rPr>
            </w:pPr>
            <w:r w:rsidRPr="00442515">
              <w:rPr>
                <w:rFonts w:cs="Arial"/>
                <w:b/>
                <w:bCs/>
                <w:sz w:val="16"/>
                <w:szCs w:val="16"/>
              </w:rPr>
              <w:t>1,00</w:t>
            </w:r>
          </w:p>
        </w:tc>
        <w:tc>
          <w:tcPr>
            <w:tcW w:w="994" w:type="dxa"/>
            <w:tcBorders>
              <w:top w:val="single" w:sz="4" w:space="0" w:color="auto"/>
            </w:tcBorders>
            <w:shd w:val="clear" w:color="000000" w:fill="FFFFFF"/>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0,15</w:t>
            </w:r>
          </w:p>
        </w:tc>
      </w:tr>
      <w:tr w:rsidR="00306953" w:rsidRPr="00442515" w:rsidTr="00892E5C">
        <w:trPr>
          <w:trHeight w:val="255"/>
        </w:trPr>
        <w:tc>
          <w:tcPr>
            <w:tcW w:w="1433" w:type="dxa"/>
            <w:shd w:val="clear" w:color="000000" w:fill="FFFFFF"/>
            <w:noWrap/>
            <w:vAlign w:val="center"/>
            <w:hideMark/>
          </w:tcPr>
          <w:p w:rsidR="00306953" w:rsidRPr="00442515" w:rsidRDefault="00306953" w:rsidP="007E5BD0">
            <w:pPr>
              <w:spacing w:after="0" w:line="240" w:lineRule="auto"/>
              <w:rPr>
                <w:rFonts w:cs="Arial"/>
                <w:sz w:val="16"/>
                <w:szCs w:val="16"/>
                <w:vertAlign w:val="superscript"/>
              </w:rPr>
            </w:pPr>
            <w:r w:rsidRPr="00442515">
              <w:rPr>
                <w:rFonts w:cs="Arial"/>
                <w:sz w:val="16"/>
                <w:szCs w:val="16"/>
              </w:rPr>
              <w:t>Polsko</w:t>
            </w:r>
            <w:r w:rsidRPr="00442515">
              <w:rPr>
                <w:rFonts w:cs="Arial"/>
                <w:sz w:val="16"/>
                <w:szCs w:val="16"/>
                <w:vertAlign w:val="superscript"/>
              </w:rPr>
              <w:t>2)</w:t>
            </w:r>
          </w:p>
        </w:tc>
        <w:tc>
          <w:tcPr>
            <w:tcW w:w="856" w:type="dxa"/>
            <w:shd w:val="clear" w:color="000000" w:fill="FFFFFF"/>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3,43</w:t>
            </w:r>
          </w:p>
        </w:tc>
        <w:tc>
          <w:tcPr>
            <w:tcW w:w="987" w:type="dxa"/>
            <w:shd w:val="clear" w:color="000000" w:fill="FFFFFF"/>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0,02</w:t>
            </w:r>
          </w:p>
        </w:tc>
        <w:tc>
          <w:tcPr>
            <w:tcW w:w="708" w:type="dxa"/>
            <w:shd w:val="clear" w:color="000000" w:fill="FFFFFF"/>
            <w:noWrap/>
            <w:vAlign w:val="center"/>
            <w:hideMark/>
          </w:tcPr>
          <w:p w:rsidR="00306953" w:rsidRPr="00442515" w:rsidRDefault="00306953" w:rsidP="007E5BD0">
            <w:pPr>
              <w:spacing w:after="0" w:line="240" w:lineRule="auto"/>
              <w:jc w:val="center"/>
              <w:rPr>
                <w:rFonts w:cs="Arial"/>
                <w:b/>
                <w:bCs/>
                <w:sz w:val="16"/>
                <w:szCs w:val="16"/>
              </w:rPr>
            </w:pPr>
            <w:r w:rsidRPr="00442515">
              <w:rPr>
                <w:rFonts w:cs="Arial"/>
                <w:b/>
                <w:bCs/>
                <w:sz w:val="16"/>
                <w:szCs w:val="16"/>
              </w:rPr>
              <w:t>3,44</w:t>
            </w:r>
          </w:p>
        </w:tc>
        <w:tc>
          <w:tcPr>
            <w:tcW w:w="855" w:type="dxa"/>
            <w:shd w:val="clear" w:color="000000" w:fill="FFFFFF"/>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0,23</w:t>
            </w:r>
          </w:p>
        </w:tc>
        <w:tc>
          <w:tcPr>
            <w:tcW w:w="920" w:type="dxa"/>
            <w:shd w:val="clear" w:color="000000" w:fill="FFFFFF"/>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1,09</w:t>
            </w:r>
          </w:p>
        </w:tc>
        <w:tc>
          <w:tcPr>
            <w:tcW w:w="1060" w:type="dxa"/>
            <w:shd w:val="clear" w:color="000000" w:fill="FFFFFF"/>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0</w:t>
            </w:r>
          </w:p>
        </w:tc>
        <w:tc>
          <w:tcPr>
            <w:tcW w:w="920" w:type="dxa"/>
            <w:shd w:val="clear" w:color="000000" w:fill="FFFFFF"/>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0,22</w:t>
            </w:r>
          </w:p>
        </w:tc>
        <w:tc>
          <w:tcPr>
            <w:tcW w:w="780" w:type="dxa"/>
            <w:shd w:val="clear" w:color="000000" w:fill="FFFFFF"/>
            <w:noWrap/>
            <w:vAlign w:val="center"/>
            <w:hideMark/>
          </w:tcPr>
          <w:p w:rsidR="00306953" w:rsidRPr="00442515" w:rsidRDefault="00306953" w:rsidP="007E5BD0">
            <w:pPr>
              <w:spacing w:after="0" w:line="240" w:lineRule="auto"/>
              <w:jc w:val="center"/>
              <w:rPr>
                <w:rFonts w:cs="Arial"/>
                <w:b/>
                <w:bCs/>
                <w:sz w:val="16"/>
                <w:szCs w:val="16"/>
              </w:rPr>
            </w:pPr>
            <w:r w:rsidRPr="00442515">
              <w:rPr>
                <w:rFonts w:cs="Arial"/>
                <w:b/>
                <w:bCs/>
                <w:sz w:val="16"/>
                <w:szCs w:val="16"/>
              </w:rPr>
              <w:t>1,30</w:t>
            </w:r>
          </w:p>
        </w:tc>
        <w:tc>
          <w:tcPr>
            <w:tcW w:w="994" w:type="dxa"/>
            <w:shd w:val="clear" w:color="000000" w:fill="FFFFFF"/>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0,04</w:t>
            </w:r>
          </w:p>
        </w:tc>
      </w:tr>
      <w:tr w:rsidR="00306953" w:rsidRPr="00442515" w:rsidTr="00892E5C">
        <w:trPr>
          <w:trHeight w:val="255"/>
        </w:trPr>
        <w:tc>
          <w:tcPr>
            <w:tcW w:w="1433" w:type="dxa"/>
            <w:shd w:val="clear" w:color="000000" w:fill="FFFFFF"/>
            <w:noWrap/>
            <w:vAlign w:val="center"/>
            <w:hideMark/>
          </w:tcPr>
          <w:p w:rsidR="00306953" w:rsidRPr="00442515" w:rsidRDefault="00306953" w:rsidP="007E5BD0">
            <w:pPr>
              <w:spacing w:after="0" w:line="240" w:lineRule="auto"/>
              <w:rPr>
                <w:rFonts w:cs="Arial"/>
                <w:sz w:val="16"/>
                <w:szCs w:val="16"/>
              </w:rPr>
            </w:pPr>
            <w:r w:rsidRPr="00442515">
              <w:rPr>
                <w:rFonts w:cs="Arial"/>
                <w:sz w:val="16"/>
                <w:szCs w:val="16"/>
              </w:rPr>
              <w:t>Finsko</w:t>
            </w:r>
          </w:p>
        </w:tc>
        <w:tc>
          <w:tcPr>
            <w:tcW w:w="856" w:type="dxa"/>
            <w:shd w:val="clear" w:color="000000" w:fill="FFFFFF"/>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3,65</w:t>
            </w:r>
          </w:p>
        </w:tc>
        <w:tc>
          <w:tcPr>
            <w:tcW w:w="987" w:type="dxa"/>
            <w:shd w:val="clear" w:color="000000" w:fill="FFFFFF"/>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0,43</w:t>
            </w:r>
          </w:p>
        </w:tc>
        <w:tc>
          <w:tcPr>
            <w:tcW w:w="708" w:type="dxa"/>
            <w:shd w:val="clear" w:color="000000" w:fill="FFFFFF"/>
            <w:noWrap/>
            <w:vAlign w:val="center"/>
            <w:hideMark/>
          </w:tcPr>
          <w:p w:rsidR="00306953" w:rsidRPr="00442515" w:rsidRDefault="00306953" w:rsidP="007E5BD0">
            <w:pPr>
              <w:spacing w:after="0" w:line="240" w:lineRule="auto"/>
              <w:jc w:val="center"/>
              <w:rPr>
                <w:rFonts w:cs="Arial"/>
                <w:b/>
                <w:bCs/>
                <w:sz w:val="16"/>
                <w:szCs w:val="16"/>
              </w:rPr>
            </w:pPr>
            <w:r w:rsidRPr="00442515">
              <w:rPr>
                <w:rFonts w:cs="Arial"/>
                <w:b/>
                <w:bCs/>
                <w:sz w:val="16"/>
                <w:szCs w:val="16"/>
              </w:rPr>
              <w:t>4,08</w:t>
            </w:r>
          </w:p>
        </w:tc>
        <w:tc>
          <w:tcPr>
            <w:tcW w:w="855" w:type="dxa"/>
            <w:shd w:val="clear" w:color="000000" w:fill="FFFFFF"/>
            <w:noWrap/>
            <w:vAlign w:val="center"/>
            <w:hideMark/>
          </w:tcPr>
          <w:p w:rsidR="00306953" w:rsidRPr="00442515" w:rsidRDefault="00306953" w:rsidP="007E5BD0">
            <w:pPr>
              <w:spacing w:after="0" w:line="240" w:lineRule="auto"/>
              <w:jc w:val="center"/>
              <w:rPr>
                <w:rFonts w:cs="Arial"/>
                <w:b/>
                <w:sz w:val="16"/>
                <w:szCs w:val="16"/>
              </w:rPr>
            </w:pPr>
            <w:r w:rsidRPr="00442515">
              <w:rPr>
                <w:rFonts w:cs="Arial"/>
                <w:b/>
                <w:sz w:val="16"/>
                <w:szCs w:val="16"/>
              </w:rPr>
              <w:t>.</w:t>
            </w:r>
          </w:p>
        </w:tc>
        <w:tc>
          <w:tcPr>
            <w:tcW w:w="920" w:type="dxa"/>
            <w:shd w:val="clear" w:color="000000" w:fill="FFFFFF"/>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1,18</w:t>
            </w:r>
          </w:p>
        </w:tc>
        <w:tc>
          <w:tcPr>
            <w:tcW w:w="1060" w:type="dxa"/>
            <w:shd w:val="clear" w:color="000000" w:fill="FFFFFF"/>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w:t>
            </w:r>
          </w:p>
        </w:tc>
        <w:tc>
          <w:tcPr>
            <w:tcW w:w="920" w:type="dxa"/>
            <w:shd w:val="clear" w:color="000000" w:fill="FFFFFF"/>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0,76</w:t>
            </w:r>
          </w:p>
        </w:tc>
        <w:tc>
          <w:tcPr>
            <w:tcW w:w="780" w:type="dxa"/>
            <w:shd w:val="clear" w:color="000000" w:fill="FFFFFF"/>
            <w:noWrap/>
            <w:vAlign w:val="center"/>
            <w:hideMark/>
          </w:tcPr>
          <w:p w:rsidR="00306953" w:rsidRPr="00442515" w:rsidRDefault="00306953" w:rsidP="007E5BD0">
            <w:pPr>
              <w:spacing w:after="0" w:line="240" w:lineRule="auto"/>
              <w:jc w:val="center"/>
              <w:rPr>
                <w:rFonts w:cs="Arial"/>
                <w:b/>
                <w:bCs/>
                <w:sz w:val="16"/>
                <w:szCs w:val="16"/>
              </w:rPr>
            </w:pPr>
            <w:r w:rsidRPr="00442515">
              <w:rPr>
                <w:rFonts w:cs="Arial"/>
                <w:b/>
                <w:bCs/>
                <w:sz w:val="16"/>
                <w:szCs w:val="16"/>
              </w:rPr>
              <w:t>1,94</w:t>
            </w:r>
          </w:p>
        </w:tc>
        <w:tc>
          <w:tcPr>
            <w:tcW w:w="994" w:type="dxa"/>
            <w:shd w:val="clear" w:color="000000" w:fill="FFFFFF"/>
            <w:noWrap/>
            <w:vAlign w:val="center"/>
            <w:hideMark/>
          </w:tcPr>
          <w:p w:rsidR="00306953" w:rsidRPr="007E5BD0" w:rsidRDefault="007E5BD0" w:rsidP="007E5BD0">
            <w:pPr>
              <w:spacing w:after="0" w:line="240" w:lineRule="auto"/>
              <w:jc w:val="center"/>
              <w:rPr>
                <w:rFonts w:cs="Arial"/>
                <w:b/>
                <w:sz w:val="16"/>
                <w:szCs w:val="16"/>
              </w:rPr>
            </w:pPr>
            <w:r w:rsidRPr="007E5BD0">
              <w:rPr>
                <w:rFonts w:cs="Arial"/>
                <w:b/>
                <w:sz w:val="16"/>
                <w:szCs w:val="16"/>
              </w:rPr>
              <w:t>.</w:t>
            </w:r>
          </w:p>
        </w:tc>
      </w:tr>
      <w:tr w:rsidR="00306953" w:rsidRPr="00442515" w:rsidTr="00892E5C">
        <w:trPr>
          <w:trHeight w:val="255"/>
        </w:trPr>
        <w:tc>
          <w:tcPr>
            <w:tcW w:w="1433" w:type="dxa"/>
            <w:shd w:val="clear" w:color="auto" w:fill="C6D9F1" w:themeFill="text2" w:themeFillTint="33"/>
            <w:noWrap/>
            <w:vAlign w:val="center"/>
            <w:hideMark/>
          </w:tcPr>
          <w:p w:rsidR="00306953" w:rsidRPr="00631582" w:rsidRDefault="007E5BD0" w:rsidP="007E5BD0">
            <w:pPr>
              <w:spacing w:after="0" w:line="240" w:lineRule="auto"/>
              <w:rPr>
                <w:rFonts w:cs="Arial"/>
                <w:bCs/>
                <w:sz w:val="16"/>
                <w:szCs w:val="16"/>
              </w:rPr>
            </w:pPr>
            <w:r w:rsidRPr="00631582">
              <w:rPr>
                <w:rFonts w:cs="Arial"/>
                <w:bCs/>
                <w:sz w:val="16"/>
                <w:szCs w:val="16"/>
              </w:rPr>
              <w:t>p</w:t>
            </w:r>
            <w:r w:rsidR="00306953" w:rsidRPr="00631582">
              <w:rPr>
                <w:rFonts w:cs="Arial"/>
                <w:bCs/>
                <w:sz w:val="16"/>
                <w:szCs w:val="16"/>
              </w:rPr>
              <w:t xml:space="preserve">růměr OECD </w:t>
            </w:r>
          </w:p>
        </w:tc>
        <w:tc>
          <w:tcPr>
            <w:tcW w:w="856"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sz w:val="16"/>
                <w:szCs w:val="16"/>
              </w:rPr>
            </w:pPr>
            <w:r w:rsidRPr="00631582">
              <w:rPr>
                <w:rFonts w:cs="Arial"/>
                <w:bCs/>
                <w:sz w:val="16"/>
                <w:szCs w:val="16"/>
              </w:rPr>
              <w:t>3,44</w:t>
            </w:r>
          </w:p>
        </w:tc>
        <w:tc>
          <w:tcPr>
            <w:tcW w:w="987"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sz w:val="16"/>
                <w:szCs w:val="16"/>
              </w:rPr>
            </w:pPr>
            <w:r w:rsidRPr="00631582">
              <w:rPr>
                <w:rFonts w:cs="Arial"/>
                <w:bCs/>
                <w:sz w:val="16"/>
                <w:szCs w:val="16"/>
              </w:rPr>
              <w:t>0,22</w:t>
            </w:r>
          </w:p>
        </w:tc>
        <w:tc>
          <w:tcPr>
            <w:tcW w:w="708" w:type="dxa"/>
            <w:shd w:val="clear" w:color="auto" w:fill="C6D9F1" w:themeFill="text2" w:themeFillTint="33"/>
            <w:noWrap/>
            <w:vAlign w:val="center"/>
            <w:hideMark/>
          </w:tcPr>
          <w:p w:rsidR="00306953" w:rsidRPr="00442515" w:rsidRDefault="00306953" w:rsidP="007E5BD0">
            <w:pPr>
              <w:spacing w:after="0" w:line="240" w:lineRule="auto"/>
              <w:jc w:val="center"/>
              <w:rPr>
                <w:rFonts w:cs="Arial"/>
                <w:b/>
                <w:bCs/>
                <w:sz w:val="16"/>
                <w:szCs w:val="16"/>
              </w:rPr>
            </w:pPr>
            <w:r w:rsidRPr="00442515">
              <w:rPr>
                <w:rFonts w:cs="Arial"/>
                <w:b/>
                <w:bCs/>
                <w:sz w:val="16"/>
                <w:szCs w:val="16"/>
              </w:rPr>
              <w:t>3,80</w:t>
            </w:r>
          </w:p>
        </w:tc>
        <w:tc>
          <w:tcPr>
            <w:tcW w:w="855"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sz w:val="16"/>
                <w:szCs w:val="16"/>
              </w:rPr>
            </w:pPr>
            <w:r w:rsidRPr="00631582">
              <w:rPr>
                <w:rFonts w:cs="Arial"/>
                <w:bCs/>
                <w:sz w:val="16"/>
                <w:szCs w:val="16"/>
              </w:rPr>
              <w:t>0,22</w:t>
            </w:r>
          </w:p>
        </w:tc>
        <w:tc>
          <w:tcPr>
            <w:tcW w:w="920"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sz w:val="16"/>
                <w:szCs w:val="16"/>
              </w:rPr>
            </w:pPr>
            <w:r w:rsidRPr="00631582">
              <w:rPr>
                <w:rFonts w:cs="Arial"/>
                <w:bCs/>
                <w:sz w:val="16"/>
                <w:szCs w:val="16"/>
              </w:rPr>
              <w:t>1,12</w:t>
            </w:r>
          </w:p>
        </w:tc>
        <w:tc>
          <w:tcPr>
            <w:tcW w:w="1060"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sz w:val="16"/>
                <w:szCs w:val="16"/>
              </w:rPr>
            </w:pPr>
            <w:r w:rsidRPr="00631582">
              <w:rPr>
                <w:rFonts w:cs="Arial"/>
                <w:bCs/>
                <w:sz w:val="16"/>
                <w:szCs w:val="16"/>
              </w:rPr>
              <w:t>0,06</w:t>
            </w:r>
          </w:p>
        </w:tc>
        <w:tc>
          <w:tcPr>
            <w:tcW w:w="920"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sz w:val="16"/>
                <w:szCs w:val="16"/>
              </w:rPr>
            </w:pPr>
            <w:r w:rsidRPr="00631582">
              <w:rPr>
                <w:rFonts w:cs="Arial"/>
                <w:bCs/>
                <w:sz w:val="16"/>
                <w:szCs w:val="16"/>
              </w:rPr>
              <w:t>0,46</w:t>
            </w:r>
          </w:p>
        </w:tc>
        <w:tc>
          <w:tcPr>
            <w:tcW w:w="780" w:type="dxa"/>
            <w:shd w:val="clear" w:color="auto" w:fill="C6D9F1" w:themeFill="text2" w:themeFillTint="33"/>
            <w:noWrap/>
            <w:vAlign w:val="center"/>
            <w:hideMark/>
          </w:tcPr>
          <w:p w:rsidR="00306953" w:rsidRPr="00442515" w:rsidRDefault="00306953" w:rsidP="007E5BD0">
            <w:pPr>
              <w:spacing w:after="0" w:line="240" w:lineRule="auto"/>
              <w:jc w:val="center"/>
              <w:rPr>
                <w:rFonts w:cs="Arial"/>
                <w:b/>
                <w:bCs/>
                <w:sz w:val="16"/>
                <w:szCs w:val="16"/>
              </w:rPr>
            </w:pPr>
            <w:r w:rsidRPr="00442515">
              <w:rPr>
                <w:rFonts w:cs="Arial"/>
                <w:b/>
                <w:bCs/>
                <w:sz w:val="16"/>
                <w:szCs w:val="16"/>
              </w:rPr>
              <w:t>1,59</w:t>
            </w:r>
          </w:p>
        </w:tc>
        <w:tc>
          <w:tcPr>
            <w:tcW w:w="994"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sz w:val="16"/>
                <w:szCs w:val="16"/>
              </w:rPr>
            </w:pPr>
            <w:r w:rsidRPr="00631582">
              <w:rPr>
                <w:rFonts w:cs="Arial"/>
                <w:bCs/>
                <w:sz w:val="16"/>
                <w:szCs w:val="16"/>
              </w:rPr>
              <w:t>0,08</w:t>
            </w:r>
          </w:p>
        </w:tc>
      </w:tr>
      <w:tr w:rsidR="00306953" w:rsidRPr="00442515" w:rsidTr="00892E5C">
        <w:trPr>
          <w:trHeight w:val="255"/>
        </w:trPr>
        <w:tc>
          <w:tcPr>
            <w:tcW w:w="1433" w:type="dxa"/>
            <w:shd w:val="clear" w:color="auto" w:fill="C6D9F1" w:themeFill="text2" w:themeFillTint="33"/>
            <w:noWrap/>
            <w:vAlign w:val="center"/>
            <w:hideMark/>
          </w:tcPr>
          <w:p w:rsidR="00306953" w:rsidRPr="00631582" w:rsidRDefault="007E5BD0" w:rsidP="007E5BD0">
            <w:pPr>
              <w:spacing w:after="0" w:line="240" w:lineRule="auto"/>
              <w:rPr>
                <w:rFonts w:cs="Arial"/>
                <w:bCs/>
                <w:sz w:val="16"/>
                <w:szCs w:val="16"/>
              </w:rPr>
            </w:pPr>
            <w:r w:rsidRPr="00631582">
              <w:rPr>
                <w:rFonts w:cs="Arial"/>
                <w:bCs/>
                <w:sz w:val="16"/>
                <w:szCs w:val="16"/>
              </w:rPr>
              <w:t>p</w:t>
            </w:r>
            <w:r w:rsidR="00306953" w:rsidRPr="00631582">
              <w:rPr>
                <w:rFonts w:cs="Arial"/>
                <w:bCs/>
                <w:sz w:val="16"/>
                <w:szCs w:val="16"/>
              </w:rPr>
              <w:t xml:space="preserve">růměr EU21 </w:t>
            </w:r>
          </w:p>
        </w:tc>
        <w:tc>
          <w:tcPr>
            <w:tcW w:w="856"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sz w:val="16"/>
                <w:szCs w:val="16"/>
              </w:rPr>
            </w:pPr>
            <w:r w:rsidRPr="00631582">
              <w:rPr>
                <w:rFonts w:cs="Arial"/>
                <w:bCs/>
                <w:sz w:val="16"/>
                <w:szCs w:val="16"/>
              </w:rPr>
              <w:t>3,34</w:t>
            </w:r>
          </w:p>
        </w:tc>
        <w:tc>
          <w:tcPr>
            <w:tcW w:w="987"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sz w:val="16"/>
                <w:szCs w:val="16"/>
              </w:rPr>
            </w:pPr>
            <w:r w:rsidRPr="00631582">
              <w:rPr>
                <w:rFonts w:cs="Arial"/>
                <w:bCs/>
                <w:sz w:val="16"/>
                <w:szCs w:val="16"/>
              </w:rPr>
              <w:t>0,22</w:t>
            </w:r>
          </w:p>
        </w:tc>
        <w:tc>
          <w:tcPr>
            <w:tcW w:w="708" w:type="dxa"/>
            <w:shd w:val="clear" w:color="auto" w:fill="C6D9F1" w:themeFill="text2" w:themeFillTint="33"/>
            <w:noWrap/>
            <w:vAlign w:val="center"/>
            <w:hideMark/>
          </w:tcPr>
          <w:p w:rsidR="00306953" w:rsidRPr="00442515" w:rsidRDefault="00306953" w:rsidP="007E5BD0">
            <w:pPr>
              <w:spacing w:after="0" w:line="240" w:lineRule="auto"/>
              <w:jc w:val="center"/>
              <w:rPr>
                <w:rFonts w:cs="Arial"/>
                <w:b/>
                <w:bCs/>
                <w:sz w:val="16"/>
                <w:szCs w:val="16"/>
              </w:rPr>
            </w:pPr>
            <w:r w:rsidRPr="00442515">
              <w:rPr>
                <w:rFonts w:cs="Arial"/>
                <w:b/>
                <w:bCs/>
                <w:sz w:val="16"/>
                <w:szCs w:val="16"/>
              </w:rPr>
              <w:t>3,63</w:t>
            </w:r>
          </w:p>
        </w:tc>
        <w:tc>
          <w:tcPr>
            <w:tcW w:w="855"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sz w:val="16"/>
                <w:szCs w:val="16"/>
              </w:rPr>
            </w:pPr>
            <w:r w:rsidRPr="00631582">
              <w:rPr>
                <w:rFonts w:cs="Arial"/>
                <w:bCs/>
                <w:sz w:val="16"/>
                <w:szCs w:val="16"/>
              </w:rPr>
              <w:t>0,16</w:t>
            </w:r>
          </w:p>
        </w:tc>
        <w:tc>
          <w:tcPr>
            <w:tcW w:w="920"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sz w:val="16"/>
                <w:szCs w:val="16"/>
              </w:rPr>
            </w:pPr>
            <w:r w:rsidRPr="00631582">
              <w:rPr>
                <w:rFonts w:cs="Arial"/>
                <w:bCs/>
                <w:sz w:val="16"/>
                <w:szCs w:val="16"/>
              </w:rPr>
              <w:t>0,92</w:t>
            </w:r>
          </w:p>
        </w:tc>
        <w:tc>
          <w:tcPr>
            <w:tcW w:w="1060"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sz w:val="16"/>
                <w:szCs w:val="16"/>
              </w:rPr>
            </w:pPr>
            <w:r w:rsidRPr="00631582">
              <w:rPr>
                <w:rFonts w:cs="Arial"/>
                <w:bCs/>
                <w:sz w:val="16"/>
                <w:szCs w:val="16"/>
              </w:rPr>
              <w:t>0,04</w:t>
            </w:r>
          </w:p>
        </w:tc>
        <w:tc>
          <w:tcPr>
            <w:tcW w:w="920"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sz w:val="16"/>
                <w:szCs w:val="16"/>
              </w:rPr>
            </w:pPr>
            <w:r w:rsidRPr="00631582">
              <w:rPr>
                <w:rFonts w:cs="Arial"/>
                <w:bCs/>
                <w:sz w:val="16"/>
                <w:szCs w:val="16"/>
              </w:rPr>
              <w:t>0,46</w:t>
            </w:r>
          </w:p>
        </w:tc>
        <w:tc>
          <w:tcPr>
            <w:tcW w:w="780" w:type="dxa"/>
            <w:shd w:val="clear" w:color="auto" w:fill="C6D9F1" w:themeFill="text2" w:themeFillTint="33"/>
            <w:noWrap/>
            <w:vAlign w:val="center"/>
            <w:hideMark/>
          </w:tcPr>
          <w:p w:rsidR="00306953" w:rsidRPr="00442515" w:rsidRDefault="00306953" w:rsidP="007E5BD0">
            <w:pPr>
              <w:spacing w:after="0" w:line="240" w:lineRule="auto"/>
              <w:jc w:val="center"/>
              <w:rPr>
                <w:rFonts w:cs="Arial"/>
                <w:b/>
                <w:bCs/>
                <w:sz w:val="16"/>
                <w:szCs w:val="16"/>
              </w:rPr>
            </w:pPr>
            <w:r w:rsidRPr="00442515">
              <w:rPr>
                <w:rFonts w:cs="Arial"/>
                <w:b/>
                <w:bCs/>
                <w:sz w:val="16"/>
                <w:szCs w:val="16"/>
              </w:rPr>
              <w:t>1,44</w:t>
            </w:r>
          </w:p>
        </w:tc>
        <w:tc>
          <w:tcPr>
            <w:tcW w:w="994" w:type="dxa"/>
            <w:shd w:val="clear" w:color="auto" w:fill="C6D9F1" w:themeFill="text2" w:themeFillTint="33"/>
            <w:noWrap/>
            <w:vAlign w:val="center"/>
            <w:hideMark/>
          </w:tcPr>
          <w:p w:rsidR="00306953" w:rsidRPr="00631582" w:rsidRDefault="00306953" w:rsidP="007E5BD0">
            <w:pPr>
              <w:spacing w:after="0" w:line="240" w:lineRule="auto"/>
              <w:jc w:val="center"/>
              <w:rPr>
                <w:rFonts w:cs="Arial"/>
                <w:bCs/>
                <w:sz w:val="16"/>
                <w:szCs w:val="16"/>
              </w:rPr>
            </w:pPr>
            <w:r w:rsidRPr="00631582">
              <w:rPr>
                <w:rFonts w:cs="Arial"/>
                <w:bCs/>
                <w:sz w:val="16"/>
                <w:szCs w:val="16"/>
              </w:rPr>
              <w:t>0,11</w:t>
            </w:r>
          </w:p>
        </w:tc>
      </w:tr>
    </w:tbl>
    <w:p w:rsidR="00306953" w:rsidRPr="00442515" w:rsidRDefault="00306953" w:rsidP="00E031F1">
      <w:pPr>
        <w:spacing w:before="120" w:after="0" w:line="240" w:lineRule="auto"/>
        <w:jc w:val="both"/>
        <w:rPr>
          <w:rFonts w:eastAsia="ChaparralPro-Regular" w:cs="Arial"/>
          <w:sz w:val="16"/>
          <w:szCs w:val="16"/>
        </w:rPr>
      </w:pPr>
      <w:r w:rsidRPr="00442515">
        <w:rPr>
          <w:rFonts w:eastAsia="ChaparralPro-Regular" w:cs="Arial"/>
          <w:sz w:val="16"/>
          <w:szCs w:val="16"/>
          <w:vertAlign w:val="superscript"/>
        </w:rPr>
        <w:t>1)</w:t>
      </w:r>
      <w:r w:rsidRPr="00442515">
        <w:rPr>
          <w:rFonts w:eastAsia="ChaparralPro-Regular" w:cs="Arial"/>
          <w:sz w:val="16"/>
          <w:szCs w:val="16"/>
        </w:rPr>
        <w:t xml:space="preserve"> postsekundární neterciární vzdělávání a krátký cyklus terciárního vzdělávání je zahrnut do kategorie vyššího sekundárního vzdělávání, viz kód „x“ v tabulce B1.1a</w:t>
      </w:r>
      <w:r w:rsidR="00E031F1">
        <w:rPr>
          <w:rFonts w:eastAsia="ChaparralPro-Regular" w:cs="Arial"/>
          <w:sz w:val="16"/>
          <w:szCs w:val="16"/>
        </w:rPr>
        <w:t xml:space="preserve"> (OECD 2014)</w:t>
      </w:r>
      <w:r w:rsidRPr="00442515">
        <w:rPr>
          <w:rFonts w:eastAsia="ChaparralPro-Regular" w:cs="Arial"/>
          <w:sz w:val="16"/>
          <w:szCs w:val="16"/>
        </w:rPr>
        <w:t>.</w:t>
      </w:r>
    </w:p>
    <w:p w:rsidR="00306953" w:rsidRPr="00442515" w:rsidRDefault="00306953" w:rsidP="00306953">
      <w:pPr>
        <w:spacing w:after="0" w:line="240" w:lineRule="auto"/>
        <w:jc w:val="both"/>
        <w:rPr>
          <w:rFonts w:eastAsia="ChaparralPro-Regular" w:cs="Arial"/>
          <w:sz w:val="16"/>
          <w:szCs w:val="16"/>
        </w:rPr>
      </w:pPr>
      <w:r w:rsidRPr="00442515">
        <w:rPr>
          <w:rFonts w:eastAsia="ChaparralPro-Regular" w:cs="Arial"/>
          <w:sz w:val="16"/>
          <w:szCs w:val="16"/>
          <w:vertAlign w:val="superscript"/>
        </w:rPr>
        <w:t>2)</w:t>
      </w:r>
      <w:r w:rsidRPr="00442515">
        <w:rPr>
          <w:rFonts w:eastAsia="ChaparralPro-Regular" w:cs="Arial"/>
          <w:sz w:val="16"/>
          <w:szCs w:val="16"/>
        </w:rPr>
        <w:t xml:space="preserve">  pouze veřejné instituce</w:t>
      </w:r>
    </w:p>
    <w:p w:rsidR="00306953" w:rsidRPr="00442515" w:rsidRDefault="00306953" w:rsidP="00306953">
      <w:pPr>
        <w:spacing w:after="0" w:line="240" w:lineRule="auto"/>
        <w:jc w:val="both"/>
        <w:rPr>
          <w:rFonts w:eastAsia="ChaparralPro-Regular" w:cs="Arial"/>
          <w:sz w:val="16"/>
          <w:szCs w:val="16"/>
        </w:rPr>
      </w:pPr>
      <w:r w:rsidRPr="00442515">
        <w:rPr>
          <w:rFonts w:eastAsia="ChaparralPro-Regular" w:cs="Arial"/>
          <w:sz w:val="16"/>
          <w:szCs w:val="16"/>
        </w:rPr>
        <w:t>0  … údaj je zanedbatelný, nebo nulový</w:t>
      </w:r>
    </w:p>
    <w:p w:rsidR="00306953" w:rsidRPr="00442515" w:rsidRDefault="00306953" w:rsidP="00306953">
      <w:pPr>
        <w:spacing w:after="0" w:line="240" w:lineRule="auto"/>
        <w:jc w:val="both"/>
        <w:rPr>
          <w:rFonts w:eastAsia="ChaparralPro-Regular" w:cs="Arial"/>
          <w:sz w:val="16"/>
          <w:szCs w:val="16"/>
        </w:rPr>
      </w:pPr>
      <w:r w:rsidRPr="00442515">
        <w:rPr>
          <w:rFonts w:eastAsia="ChaparralPro-Regular" w:cs="Arial"/>
          <w:sz w:val="16"/>
          <w:szCs w:val="16"/>
        </w:rPr>
        <w:t>–  … uvedený jev se nevyskytuje</w:t>
      </w:r>
    </w:p>
    <w:p w:rsidR="00306953" w:rsidRPr="00442515" w:rsidRDefault="00306953" w:rsidP="00306953">
      <w:pPr>
        <w:spacing w:after="0" w:line="240" w:lineRule="auto"/>
        <w:jc w:val="both"/>
        <w:rPr>
          <w:rFonts w:eastAsia="ChaparralPro-Regular" w:cs="Arial"/>
          <w:sz w:val="16"/>
          <w:szCs w:val="16"/>
        </w:rPr>
      </w:pPr>
      <w:r w:rsidRPr="00442515">
        <w:rPr>
          <w:rFonts w:eastAsia="ChaparralPro-Regular" w:cs="Arial"/>
          <w:sz w:val="16"/>
          <w:szCs w:val="16"/>
        </w:rPr>
        <w:t>. … uvedený údaj není k dispozici, nebo je nespolehlivý</w:t>
      </w:r>
    </w:p>
    <w:p w:rsidR="00306953" w:rsidRPr="00442515" w:rsidRDefault="00306953" w:rsidP="00306953">
      <w:pPr>
        <w:autoSpaceDE w:val="0"/>
        <w:autoSpaceDN w:val="0"/>
        <w:adjustRightInd w:val="0"/>
        <w:spacing w:after="0" w:line="240" w:lineRule="auto"/>
        <w:jc w:val="both"/>
        <w:rPr>
          <w:rFonts w:eastAsia="ChaparralPro-Regular" w:cs="Arial"/>
          <w:sz w:val="16"/>
          <w:szCs w:val="16"/>
        </w:rPr>
      </w:pPr>
      <w:r w:rsidRPr="00442515">
        <w:rPr>
          <w:rFonts w:eastAsia="ChaparralPro-Regular" w:cs="Arial"/>
          <w:sz w:val="16"/>
          <w:szCs w:val="16"/>
        </w:rPr>
        <w:t xml:space="preserve">Zdroj: OECD 2014, tabulka B 2.4. StatLink: </w:t>
      </w:r>
      <w:hyperlink r:id="rId98" w:history="1">
        <w:r w:rsidRPr="00442515">
          <w:rPr>
            <w:rStyle w:val="Hypertextovodkaz"/>
            <w:rFonts w:cs="Arial"/>
            <w:sz w:val="16"/>
            <w:szCs w:val="16"/>
          </w:rPr>
          <w:t>http://dx.doi.org/10.1787/888933117250</w:t>
        </w:r>
      </w:hyperlink>
      <w:r w:rsidRPr="00442515">
        <w:rPr>
          <w:rFonts w:cs="Arial"/>
          <w:sz w:val="16"/>
          <w:szCs w:val="16"/>
        </w:rPr>
        <w:t xml:space="preserve">, </w:t>
      </w:r>
      <w:r w:rsidRPr="00442515">
        <w:rPr>
          <w:rFonts w:eastAsia="ChaparralPro-Regular" w:cs="Arial"/>
          <w:sz w:val="16"/>
          <w:szCs w:val="16"/>
        </w:rPr>
        <w:t>výběr údajů ČSÚ.</w:t>
      </w:r>
    </w:p>
    <w:p w:rsidR="00306953" w:rsidRPr="00306953" w:rsidRDefault="00306953" w:rsidP="00306953">
      <w:pPr>
        <w:pStyle w:val="Default"/>
        <w:jc w:val="both"/>
        <w:rPr>
          <w:rFonts w:ascii="Arial" w:eastAsia="ChaparralPro-Regular" w:hAnsi="Arial" w:cs="Arial"/>
          <w:sz w:val="12"/>
          <w:szCs w:val="12"/>
        </w:rPr>
      </w:pPr>
    </w:p>
    <w:p w:rsidR="00306953" w:rsidRPr="00306953" w:rsidRDefault="00306953" w:rsidP="00306953">
      <w:pPr>
        <w:autoSpaceDE w:val="0"/>
        <w:autoSpaceDN w:val="0"/>
        <w:adjustRightInd w:val="0"/>
        <w:spacing w:after="0" w:line="240" w:lineRule="auto"/>
        <w:jc w:val="both"/>
        <w:rPr>
          <w:rFonts w:eastAsia="ChaparralPro-Regular" w:cs="Arial"/>
        </w:rPr>
      </w:pPr>
      <w:r w:rsidRPr="00306953">
        <w:rPr>
          <w:rFonts w:eastAsia="ChaparralPro-Regular" w:cs="Arial"/>
        </w:rPr>
        <w:t xml:space="preserve">Jak je </w:t>
      </w:r>
      <w:r w:rsidR="00263D11">
        <w:rPr>
          <w:rFonts w:eastAsia="ChaparralPro-Regular" w:cs="Arial"/>
        </w:rPr>
        <w:t xml:space="preserve">z tabulky č. 19 </w:t>
      </w:r>
      <w:r w:rsidRPr="00306953">
        <w:rPr>
          <w:rFonts w:eastAsia="ChaparralPro-Regular" w:cs="Arial"/>
        </w:rPr>
        <w:t>patrné, v průměru za země OECD (jakož i v EU a OECD) bylo v roce 2011 na</w:t>
      </w:r>
      <w:r w:rsidRPr="00306953">
        <w:rPr>
          <w:rFonts w:eastAsia="ChaparralPro-Regular" w:cs="Arial"/>
          <w:b/>
        </w:rPr>
        <w:t xml:space="preserve"> úrovni primárního až postsekundárního neterciárního vzdělávání</w:t>
      </w:r>
      <w:r w:rsidRPr="00306953">
        <w:rPr>
          <w:rFonts w:eastAsia="ChaparralPro-Regular" w:cs="Arial"/>
        </w:rPr>
        <w:t xml:space="preserve"> (dohromady) přibližně 0,22 % z HDP věnováno na </w:t>
      </w:r>
      <w:r w:rsidRPr="00306953">
        <w:rPr>
          <w:rFonts w:eastAsia="ChaparralPro-Regular" w:cs="Arial"/>
          <w:b/>
          <w:i/>
        </w:rPr>
        <w:t>doprovodné služby</w:t>
      </w:r>
      <w:r w:rsidRPr="00306953">
        <w:rPr>
          <w:rFonts w:eastAsia="ChaparralPro-Regular" w:cs="Arial"/>
        </w:rPr>
        <w:t xml:space="preserve">. V ČR činí tento podíl 0,20 %, na Slovensku 0,39 %. Přitom vyšší podíl než Slovensko zaznamenalo ze zemí </w:t>
      </w:r>
      <w:r w:rsidR="009F7E52">
        <w:rPr>
          <w:rFonts w:eastAsia="ChaparralPro-Regular" w:cs="Arial"/>
        </w:rPr>
        <w:t xml:space="preserve">v tabulce </w:t>
      </w:r>
      <w:hyperlink r:id="rId99" w:history="1">
        <w:r w:rsidR="009F7E52" w:rsidRPr="009F7E52">
          <w:rPr>
            <w:rStyle w:val="Hypertextovodkaz"/>
            <w:rFonts w:eastAsia="ChaparralPro-Regular" w:cs="Arial"/>
          </w:rPr>
          <w:t>B2.4</w:t>
        </w:r>
      </w:hyperlink>
      <w:r w:rsidR="009F7E52">
        <w:rPr>
          <w:rFonts w:eastAsia="ChaparralPro-Regular" w:cs="Arial"/>
        </w:rPr>
        <w:t xml:space="preserve"> (OECD 2014) </w:t>
      </w:r>
      <w:r w:rsidRPr="00306953">
        <w:rPr>
          <w:rFonts w:eastAsia="ChaparralPro-Regular" w:cs="Arial"/>
        </w:rPr>
        <w:t>s dostupnými údaji pouze Finsko (0,43 %), Francie (0,52 %), Korejská republika (0,53 %) a Švédsko (0,41 %). V ostatních zemích, za které jsou dostupná data, činil tento podíl 0,3 % a méně, v Polsku do</w:t>
      </w:r>
      <w:r w:rsidR="009F7E52">
        <w:rPr>
          <w:rFonts w:eastAsia="ChaparralPro-Regular" w:cs="Arial"/>
        </w:rPr>
        <w:t>konce jen 0,02 % a v Nizozemí byl</w:t>
      </w:r>
      <w:r w:rsidRPr="00306953">
        <w:rPr>
          <w:rFonts w:eastAsia="ChaparralPro-Regular" w:cs="Arial"/>
        </w:rPr>
        <w:t xml:space="preserve"> </w:t>
      </w:r>
      <w:r w:rsidRPr="00306953">
        <w:rPr>
          <w:rFonts w:eastAsia="ChaparralPro-Regular" w:cs="Arial"/>
        </w:rPr>
        <w:lastRenderedPageBreak/>
        <w:t xml:space="preserve">zanedbatelný. </w:t>
      </w:r>
      <w:r w:rsidRPr="00306953">
        <w:rPr>
          <w:rFonts w:eastAsia="ChaparralPro-Regular" w:cs="Arial"/>
          <w:b/>
          <w:i/>
        </w:rPr>
        <w:t>Poplatky ze soukromých zdrojů za vzdělávací služby či zboží pořízené mimo tyto instituce</w:t>
      </w:r>
      <w:r w:rsidRPr="00306953">
        <w:rPr>
          <w:rFonts w:eastAsia="ChaparralPro-Regular" w:cs="Arial"/>
        </w:rPr>
        <w:t xml:space="preserve"> tvořily v ČR v roce 2011 jen 0,05 % HDP, což je mezi zeměmi OECD</w:t>
      </w:r>
      <w:r w:rsidR="007858CF">
        <w:rPr>
          <w:rFonts w:eastAsia="ChaparralPro-Regular" w:cs="Arial"/>
        </w:rPr>
        <w:t xml:space="preserve"> v tabulce </w:t>
      </w:r>
      <w:hyperlink r:id="rId100" w:history="1">
        <w:r w:rsidR="007858CF" w:rsidRPr="009F7E52">
          <w:rPr>
            <w:rStyle w:val="Hypertextovodkaz"/>
            <w:rFonts w:eastAsia="ChaparralPro-Regular" w:cs="Arial"/>
          </w:rPr>
          <w:t>B2.4</w:t>
        </w:r>
      </w:hyperlink>
      <w:r w:rsidR="007858CF">
        <w:rPr>
          <w:rFonts w:eastAsia="ChaparralPro-Regular" w:cs="Arial"/>
        </w:rPr>
        <w:t xml:space="preserve"> (OECD 2014)</w:t>
      </w:r>
      <w:r w:rsidRPr="00306953">
        <w:rPr>
          <w:rFonts w:eastAsia="ChaparralPro-Regular" w:cs="Arial"/>
        </w:rPr>
        <w:t>, za které jsou dostupná data, čtvrtý nejnižš</w:t>
      </w:r>
      <w:r w:rsidR="00263D11">
        <w:rPr>
          <w:rFonts w:eastAsia="ChaparralPro-Regular" w:cs="Arial"/>
        </w:rPr>
        <w:t>í podíl a lze si všimnout, že v </w:t>
      </w:r>
      <w:r w:rsidRPr="00306953">
        <w:rPr>
          <w:rFonts w:eastAsia="ChaparralPro-Regular" w:cs="Arial"/>
        </w:rPr>
        <w:t>mezinárodních průměrech byl tento podíl o poznání vyšší (0,22 % v průměru OECD, resp. 0,16 % v průměru EU 21). Na Slovensku činil tento podíl 0,30 %, v Polsku 0,23 %.</w:t>
      </w:r>
    </w:p>
    <w:p w:rsidR="00306953" w:rsidRPr="00306953" w:rsidRDefault="00306953" w:rsidP="00306953">
      <w:pPr>
        <w:autoSpaceDE w:val="0"/>
        <w:autoSpaceDN w:val="0"/>
        <w:adjustRightInd w:val="0"/>
        <w:spacing w:after="0" w:line="240" w:lineRule="auto"/>
        <w:jc w:val="both"/>
        <w:rPr>
          <w:rFonts w:eastAsia="ChaparralPro-Regular" w:cs="Arial"/>
        </w:rPr>
      </w:pPr>
      <w:r w:rsidRPr="00306953">
        <w:rPr>
          <w:rFonts w:eastAsia="ChaparralPro-Regular" w:cs="Arial"/>
        </w:rPr>
        <w:t xml:space="preserve">Na úrovni </w:t>
      </w:r>
      <w:r w:rsidRPr="00306953">
        <w:rPr>
          <w:rFonts w:eastAsia="ChaparralPro-Regular" w:cs="Arial"/>
          <w:b/>
        </w:rPr>
        <w:t>terciárního vzdělávání</w:t>
      </w:r>
      <w:r w:rsidRPr="00306953">
        <w:rPr>
          <w:rFonts w:eastAsia="ChaparralPro-Regular" w:cs="Arial"/>
        </w:rPr>
        <w:t xml:space="preserve"> bylo v ČR v roce 2011 na </w:t>
      </w:r>
      <w:r w:rsidRPr="00306953">
        <w:rPr>
          <w:rFonts w:eastAsia="ChaparralPro-Regular" w:cs="Arial"/>
          <w:b/>
          <w:i/>
        </w:rPr>
        <w:t>doprovodné služby</w:t>
      </w:r>
      <w:r w:rsidRPr="00306953">
        <w:rPr>
          <w:rFonts w:eastAsia="ChaparralPro-Regular" w:cs="Arial"/>
        </w:rPr>
        <w:t xml:space="preserve"> (bez výzkumu a vývoje) věnováno pouze 0,01 % HDP (v mezinárodních průměrech činí tento podíl 0,06 %, resp. 0,04 %), na </w:t>
      </w:r>
      <w:r w:rsidRPr="00306953">
        <w:rPr>
          <w:rFonts w:eastAsia="ChaparralPro-Regular" w:cs="Arial"/>
          <w:b/>
          <w:i/>
        </w:rPr>
        <w:t xml:space="preserve">výzkum a vývoj </w:t>
      </w:r>
      <w:r w:rsidRPr="00306953">
        <w:rPr>
          <w:rFonts w:eastAsia="ChaparralPro-Regular" w:cs="Arial"/>
        </w:rPr>
        <w:t>pak připadalo 0,47 % HDP (což je srovnatelné s oběma mezinárodními průměry). Přitom na Slovensku byl věnován srovnatelný podíl HDP na doprovodné služby (0,17 %) jako na výzkum a vývoj (0,21 %).</w:t>
      </w:r>
      <w:r w:rsidRPr="00306953">
        <w:rPr>
          <w:rFonts w:cs="Arial"/>
        </w:rPr>
        <w:t xml:space="preserve"> </w:t>
      </w:r>
      <w:r w:rsidRPr="00306953">
        <w:rPr>
          <w:rFonts w:eastAsia="ChaparralPro-Regular" w:cs="Arial"/>
          <w:b/>
          <w:i/>
        </w:rPr>
        <w:t>Poplatky ze soukromých zdrojů na vzdělávací služby či zboží pořízené mimo tyto instituce</w:t>
      </w:r>
      <w:r w:rsidRPr="00306953">
        <w:rPr>
          <w:rFonts w:eastAsia="ChaparralPro-Regular" w:cs="Arial"/>
        </w:rPr>
        <w:t xml:space="preserve"> dosáhly v ČR v roce 2011 u terciárního vzdělávání jen 0,03 % HDP, v mezinárodních průměrech pak 0,08 % (za země OECD), resp. 0,11 % HDP (za země v EU i OECD). V Polsku byl tento podíl 0,04 % a na Slovensku 0,15 %.</w:t>
      </w:r>
    </w:p>
    <w:p w:rsidR="00306953" w:rsidRPr="00306953" w:rsidRDefault="00306953" w:rsidP="00306953">
      <w:pPr>
        <w:autoSpaceDE w:val="0"/>
        <w:autoSpaceDN w:val="0"/>
        <w:adjustRightInd w:val="0"/>
        <w:spacing w:after="0" w:line="240" w:lineRule="auto"/>
        <w:jc w:val="both"/>
        <w:rPr>
          <w:rFonts w:eastAsia="ChaparralPro-Regular" w:cs="Arial"/>
        </w:rPr>
      </w:pPr>
    </w:p>
    <w:p w:rsidR="00306953" w:rsidRPr="00306953" w:rsidRDefault="00306953" w:rsidP="00306953">
      <w:pPr>
        <w:autoSpaceDE w:val="0"/>
        <w:autoSpaceDN w:val="0"/>
        <w:adjustRightInd w:val="0"/>
        <w:spacing w:after="0" w:line="240" w:lineRule="auto"/>
        <w:jc w:val="both"/>
        <w:rPr>
          <w:rFonts w:eastAsia="ChaparralPro-Regular" w:cs="Arial"/>
        </w:rPr>
      </w:pPr>
      <w:r w:rsidRPr="00306953">
        <w:rPr>
          <w:rFonts w:eastAsia="ChaparralPro-Regular" w:cs="Arial"/>
        </w:rPr>
        <w:t xml:space="preserve">Pro lepší názornost uvedeme ještě graf č. 11, který ukazuje výdaje </w:t>
      </w:r>
      <w:r w:rsidRPr="00306953">
        <w:rPr>
          <w:rFonts w:eastAsia="ChaparralPro-Regular" w:cs="Arial"/>
          <w:b/>
        </w:rPr>
        <w:t>všech zemí</w:t>
      </w:r>
      <w:r w:rsidRPr="00306953">
        <w:rPr>
          <w:rFonts w:eastAsia="ChaparralPro-Regular" w:cs="Arial"/>
        </w:rPr>
        <w:t xml:space="preserve"> sledovaných v publikaci Education at a Glance na vzdělávací instituce </w:t>
      </w:r>
      <w:r w:rsidRPr="00306953">
        <w:rPr>
          <w:rFonts w:eastAsia="ChaparralPro-Regular" w:cs="Arial"/>
          <w:b/>
        </w:rPr>
        <w:t xml:space="preserve">terciárního vzdělávání </w:t>
      </w:r>
      <w:r w:rsidRPr="00306953">
        <w:rPr>
          <w:rFonts w:eastAsia="ChaparralPro-Regular" w:cs="Arial"/>
        </w:rPr>
        <w:t xml:space="preserve">jakožto podíl HDP uvedených zemí v roce 2011 a rozlišuje mezi výdaji na vlastní vzdělávací proces, na výzkum a vývoj a na doprovodné služby (např. </w:t>
      </w:r>
      <w:r w:rsidR="00263D11">
        <w:rPr>
          <w:rFonts w:eastAsia="ChaparralPro-Regular" w:cs="Arial"/>
        </w:rPr>
        <w:t>poskytování ubytování, dopravy,</w:t>
      </w:r>
      <w:r w:rsidRPr="00306953">
        <w:rPr>
          <w:rFonts w:eastAsia="ChaparralPro-Regular" w:cs="Arial"/>
        </w:rPr>
        <w:t xml:space="preserve"> stravování apod.). </w:t>
      </w:r>
    </w:p>
    <w:p w:rsidR="00306953" w:rsidRPr="00306953" w:rsidRDefault="00306953" w:rsidP="00306953">
      <w:pPr>
        <w:autoSpaceDE w:val="0"/>
        <w:autoSpaceDN w:val="0"/>
        <w:adjustRightInd w:val="0"/>
        <w:spacing w:after="0" w:line="240" w:lineRule="auto"/>
        <w:jc w:val="both"/>
        <w:rPr>
          <w:rFonts w:eastAsia="ChaparralPro-Regular" w:cs="Arial"/>
        </w:rPr>
      </w:pPr>
    </w:p>
    <w:p w:rsidR="00306953" w:rsidRPr="008F55A6" w:rsidRDefault="00306953" w:rsidP="00306953">
      <w:pPr>
        <w:autoSpaceDE w:val="0"/>
        <w:autoSpaceDN w:val="0"/>
        <w:adjustRightInd w:val="0"/>
        <w:spacing w:after="0" w:line="240" w:lineRule="auto"/>
        <w:jc w:val="both"/>
        <w:rPr>
          <w:rFonts w:eastAsia="ChaparralPro-Regular" w:cs="Arial"/>
        </w:rPr>
      </w:pPr>
      <w:r w:rsidRPr="00306953">
        <w:rPr>
          <w:rFonts w:eastAsia="ChaparralPro-Regular" w:cs="Arial"/>
          <w:b/>
          <w:bCs/>
        </w:rPr>
        <w:t>Graf č. 11 Výdaje na instituce terciárního vzdělávání za služby související s vlastním vzděláváním</w:t>
      </w:r>
      <w:r w:rsidR="003A515E">
        <w:rPr>
          <w:rFonts w:eastAsia="ChaparralPro-Regular" w:cs="Arial"/>
          <w:b/>
          <w:bCs/>
        </w:rPr>
        <w:t>, za </w:t>
      </w:r>
      <w:r w:rsidRPr="00306953">
        <w:rPr>
          <w:rFonts w:eastAsia="ChaparralPro-Regular" w:cs="Arial"/>
          <w:b/>
          <w:bCs/>
        </w:rPr>
        <w:t>výzkum a vývoj a za doprovodné služby vyjádřené jakožto podíl HDP (2011)</w:t>
      </w:r>
    </w:p>
    <w:p w:rsidR="00306953" w:rsidRPr="00366B33" w:rsidRDefault="00BA5EE1" w:rsidP="00306953">
      <w:pPr>
        <w:autoSpaceDE w:val="0"/>
        <w:autoSpaceDN w:val="0"/>
        <w:adjustRightInd w:val="0"/>
        <w:spacing w:after="0" w:line="240" w:lineRule="auto"/>
        <w:jc w:val="both"/>
        <w:rPr>
          <w:rFonts w:eastAsia="ChaparralPro-Regular" w:cs="Arial"/>
          <w:i/>
        </w:rPr>
      </w:pPr>
      <w:r w:rsidRPr="00984E22">
        <w:rPr>
          <w:rFonts w:eastAsia="ChaparralPro-Regular" w:cs="Arial"/>
          <w:i/>
          <w:noProof/>
        </w:rPr>
        <w:pict>
          <v:shape id="_x0000_i1036" type="#_x0000_t75" style="width:470.25pt;height:28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">
            <v:imagedata r:id="rId101" o:title="" croptop="-1977f" cropbottom="-1140f" cropleft="-407f" cropright="-56f"/>
            <o:lock v:ext="edit" aspectratio="f"/>
          </v:shape>
        </w:pict>
      </w:r>
    </w:p>
    <w:p w:rsidR="00306953" w:rsidRPr="00442515" w:rsidRDefault="00B15FE5" w:rsidP="00306953">
      <w:pPr>
        <w:autoSpaceDE w:val="0"/>
        <w:autoSpaceDN w:val="0"/>
        <w:adjustRightInd w:val="0"/>
        <w:spacing w:after="0" w:line="240" w:lineRule="auto"/>
        <w:jc w:val="both"/>
        <w:rPr>
          <w:rFonts w:eastAsia="ChaparralPro-Regular" w:cs="Arial"/>
          <w:sz w:val="16"/>
          <w:szCs w:val="16"/>
        </w:rPr>
      </w:pPr>
      <w:r w:rsidRPr="000D122A">
        <w:rPr>
          <w:rFonts w:eastAsia="ChaparralPro-Regular" w:cs="Arial"/>
          <w:sz w:val="16"/>
          <w:szCs w:val="16"/>
        </w:rPr>
        <w:t>(</w:t>
      </w:r>
      <w:r w:rsidR="00306953" w:rsidRPr="000D122A">
        <w:rPr>
          <w:rFonts w:eastAsia="ChaparralPro-Regular" w:cs="Arial"/>
          <w:sz w:val="16"/>
          <w:szCs w:val="16"/>
        </w:rPr>
        <w:t>1)</w:t>
      </w:r>
      <w:r w:rsidR="000D122A">
        <w:rPr>
          <w:rFonts w:eastAsia="ChaparralPro-Regular" w:cs="Arial"/>
          <w:sz w:val="16"/>
          <w:szCs w:val="16"/>
        </w:rPr>
        <w:t xml:space="preserve"> </w:t>
      </w:r>
      <w:r w:rsidR="00306953" w:rsidRPr="00442515">
        <w:rPr>
          <w:rFonts w:eastAsia="ChaparralPro-Regular" w:cs="Arial"/>
          <w:sz w:val="16"/>
          <w:szCs w:val="16"/>
        </w:rPr>
        <w:t>Některé úrovně vzdělávání jsou sloučeny s dalšími - viz kód "x" v tabulce B1.1a</w:t>
      </w:r>
      <w:r w:rsidR="007954A1">
        <w:rPr>
          <w:rFonts w:eastAsia="ChaparralPro-Regular" w:cs="Arial"/>
          <w:sz w:val="16"/>
          <w:szCs w:val="16"/>
        </w:rPr>
        <w:t xml:space="preserve"> (OECD 2014)</w:t>
      </w:r>
      <w:r w:rsidR="00306953" w:rsidRPr="00442515">
        <w:rPr>
          <w:rFonts w:eastAsia="ChaparralPro-Regular" w:cs="Arial"/>
          <w:sz w:val="16"/>
          <w:szCs w:val="16"/>
        </w:rPr>
        <w:t>.</w:t>
      </w:r>
    </w:p>
    <w:p w:rsidR="00306953" w:rsidRPr="00442515" w:rsidRDefault="00B15FE5" w:rsidP="00306953">
      <w:pPr>
        <w:autoSpaceDE w:val="0"/>
        <w:autoSpaceDN w:val="0"/>
        <w:adjustRightInd w:val="0"/>
        <w:spacing w:after="0" w:line="240" w:lineRule="auto"/>
        <w:jc w:val="both"/>
        <w:rPr>
          <w:rFonts w:eastAsia="ChaparralPro-Regular" w:cs="Arial"/>
          <w:i/>
          <w:sz w:val="16"/>
          <w:szCs w:val="16"/>
        </w:rPr>
      </w:pPr>
      <w:r w:rsidRPr="000D122A">
        <w:rPr>
          <w:rFonts w:eastAsia="ChaparralPro-Regular" w:cs="Arial"/>
          <w:sz w:val="16"/>
          <w:szCs w:val="16"/>
        </w:rPr>
        <w:t>(</w:t>
      </w:r>
      <w:r w:rsidR="00306953" w:rsidRPr="000D122A">
        <w:rPr>
          <w:rFonts w:eastAsia="ChaparralPro-Regular" w:cs="Arial"/>
          <w:sz w:val="16"/>
          <w:szCs w:val="16"/>
        </w:rPr>
        <w:t>2)</w:t>
      </w:r>
      <w:r w:rsidR="000D122A">
        <w:rPr>
          <w:rFonts w:eastAsia="ChaparralPro-Regular" w:cs="Arial"/>
          <w:sz w:val="16"/>
          <w:szCs w:val="16"/>
        </w:rPr>
        <w:t xml:space="preserve"> </w:t>
      </w:r>
      <w:r w:rsidR="00306953" w:rsidRPr="00442515">
        <w:rPr>
          <w:rFonts w:eastAsia="ChaparralPro-Regular" w:cs="Arial"/>
          <w:sz w:val="16"/>
          <w:szCs w:val="16"/>
        </w:rPr>
        <w:t>Celkové výdaje na terciární úrovni vzdělávání včetně výdajů na výzkum a vývoj</w:t>
      </w:r>
      <w:r w:rsidR="00306953" w:rsidRPr="00442515">
        <w:rPr>
          <w:rFonts w:eastAsia="ChaparralPro-Regular" w:cs="Arial"/>
          <w:i/>
          <w:sz w:val="16"/>
          <w:szCs w:val="16"/>
        </w:rPr>
        <w:t>.</w:t>
      </w:r>
    </w:p>
    <w:p w:rsidR="00306953" w:rsidRPr="00000EC5" w:rsidRDefault="00306953" w:rsidP="00306953">
      <w:pPr>
        <w:autoSpaceDE w:val="0"/>
        <w:autoSpaceDN w:val="0"/>
        <w:adjustRightInd w:val="0"/>
        <w:spacing w:after="0" w:line="240" w:lineRule="auto"/>
        <w:jc w:val="both"/>
        <w:rPr>
          <w:rFonts w:eastAsia="ChaparralPro-Regular" w:cs="Arial"/>
          <w:sz w:val="16"/>
          <w:szCs w:val="16"/>
        </w:rPr>
      </w:pPr>
      <w:r w:rsidRPr="00000EC5">
        <w:rPr>
          <w:rFonts w:eastAsia="ChaparralPro-Regular" w:cs="Arial"/>
          <w:sz w:val="16"/>
          <w:szCs w:val="16"/>
        </w:rPr>
        <w:t xml:space="preserve">Pozn.: Výdaje na </w:t>
      </w:r>
      <w:r w:rsidRPr="00B41E11">
        <w:rPr>
          <w:rFonts w:eastAsia="ChaparralPro-Regular" w:cs="Arial"/>
          <w:b/>
          <w:sz w:val="16"/>
          <w:szCs w:val="16"/>
        </w:rPr>
        <w:t>výzkum a vývoj</w:t>
      </w:r>
      <w:r w:rsidRPr="00000EC5">
        <w:rPr>
          <w:rFonts w:eastAsia="ChaparralPro-Regular" w:cs="Arial"/>
          <w:sz w:val="16"/>
          <w:szCs w:val="16"/>
        </w:rPr>
        <w:t xml:space="preserve"> za Izrael nejsou k dispozici. Data vypovídající o výdajích na </w:t>
      </w:r>
      <w:r w:rsidR="00B41E11" w:rsidRPr="00B41E11">
        <w:rPr>
          <w:rFonts w:eastAsia="ChaparralPro-Regular" w:cs="Arial"/>
          <w:b/>
          <w:sz w:val="16"/>
          <w:szCs w:val="16"/>
        </w:rPr>
        <w:t>doprovodné</w:t>
      </w:r>
      <w:r w:rsidRPr="00B41E11">
        <w:rPr>
          <w:rFonts w:eastAsia="ChaparralPro-Regular" w:cs="Arial"/>
          <w:b/>
          <w:sz w:val="16"/>
          <w:szCs w:val="16"/>
        </w:rPr>
        <w:t xml:space="preserve"> sl</w:t>
      </w:r>
      <w:r w:rsidR="00E52654" w:rsidRPr="00B41E11">
        <w:rPr>
          <w:rFonts w:eastAsia="ChaparralPro-Regular" w:cs="Arial"/>
          <w:b/>
          <w:sz w:val="16"/>
          <w:szCs w:val="16"/>
        </w:rPr>
        <w:t>užby</w:t>
      </w:r>
      <w:r w:rsidR="00E52654" w:rsidRPr="00000EC5">
        <w:rPr>
          <w:rFonts w:eastAsia="ChaparralPro-Regular" w:cs="Arial"/>
          <w:sz w:val="16"/>
          <w:szCs w:val="16"/>
        </w:rPr>
        <w:t xml:space="preserve"> nejsou dostupná za Irsko a </w:t>
      </w:r>
      <w:r w:rsidR="00000EC5" w:rsidRPr="00000EC5">
        <w:rPr>
          <w:rFonts w:eastAsia="ChaparralPro-Regular" w:cs="Arial"/>
          <w:sz w:val="16"/>
          <w:szCs w:val="16"/>
        </w:rPr>
        <w:t>Mexiko;</w:t>
      </w:r>
      <w:r w:rsidRPr="00000EC5">
        <w:rPr>
          <w:rFonts w:eastAsia="ChaparralPro-Regular" w:cs="Arial"/>
          <w:sz w:val="16"/>
          <w:szCs w:val="16"/>
        </w:rPr>
        <w:t xml:space="preserve"> za Chile, Estonsko, Brazílii a Lotyšsko jsou zahrnuta ve výdajích za vlastní vyučovací proces a nelze je z nich vyčlenit</w:t>
      </w:r>
      <w:r w:rsidR="005424E4">
        <w:rPr>
          <w:rFonts w:eastAsia="ChaparralPro-Regular" w:cs="Arial"/>
          <w:sz w:val="16"/>
          <w:szCs w:val="16"/>
        </w:rPr>
        <w:t>; a </w:t>
      </w:r>
      <w:r w:rsidR="00000EC5" w:rsidRPr="00000EC5">
        <w:rPr>
          <w:rFonts w:eastAsia="ChaparralPro-Regular" w:cs="Arial"/>
          <w:sz w:val="16"/>
          <w:szCs w:val="16"/>
        </w:rPr>
        <w:t>za Nový Zéland, Portugalsko, Spojené království Švýcarsko jsou zahrnuta pouze do celkových výdajů a nelze je vyčlenit</w:t>
      </w:r>
      <w:r w:rsidRPr="00000EC5">
        <w:rPr>
          <w:rFonts w:eastAsia="ChaparralPro-Regular" w:cs="Arial"/>
          <w:sz w:val="16"/>
          <w:szCs w:val="16"/>
        </w:rPr>
        <w:t xml:space="preserve">. </w:t>
      </w:r>
      <w:r w:rsidR="00000EC5" w:rsidRPr="00000EC5">
        <w:rPr>
          <w:rFonts w:eastAsia="ChaparralPro-Regular" w:cs="Arial"/>
          <w:sz w:val="16"/>
          <w:szCs w:val="16"/>
        </w:rPr>
        <w:t xml:space="preserve">Nakonec, za některé země jsou v grafu uvedeny pouze celkové výdaje na vzdělávací instituce. </w:t>
      </w:r>
      <w:r w:rsidRPr="00000EC5">
        <w:rPr>
          <w:rFonts w:eastAsia="ChaparralPro-Regular" w:cs="Arial"/>
          <w:sz w:val="16"/>
          <w:szCs w:val="16"/>
        </w:rPr>
        <w:t>Více viz tabulka ke grafu 2.4, resp. tabulka č. 2.4 v publikaci OECD (2014).</w:t>
      </w:r>
    </w:p>
    <w:p w:rsidR="00306953" w:rsidRPr="00306953" w:rsidRDefault="00306953" w:rsidP="00306953">
      <w:pPr>
        <w:autoSpaceDE w:val="0"/>
        <w:autoSpaceDN w:val="0"/>
        <w:adjustRightInd w:val="0"/>
        <w:spacing w:after="0" w:line="240" w:lineRule="auto"/>
        <w:jc w:val="both"/>
        <w:rPr>
          <w:rFonts w:eastAsia="ChaparralPro-Regular" w:cs="Arial"/>
          <w:i/>
          <w:szCs w:val="20"/>
        </w:rPr>
      </w:pPr>
      <w:r w:rsidRPr="00442515">
        <w:rPr>
          <w:rFonts w:eastAsia="ChaparralPro-Regular" w:cs="Arial"/>
          <w:sz w:val="16"/>
          <w:szCs w:val="16"/>
        </w:rPr>
        <w:t xml:space="preserve">Zdroj: OECD 2014, graf B 2.4. StatLink: </w:t>
      </w:r>
      <w:hyperlink r:id="rId102" w:history="1">
        <w:r w:rsidRPr="00442515">
          <w:rPr>
            <w:rStyle w:val="Hypertextovodkaz"/>
            <w:rFonts w:cs="Arial"/>
            <w:sz w:val="16"/>
            <w:szCs w:val="16"/>
          </w:rPr>
          <w:t>http://dx.doi.org/10.1787/888933117345</w:t>
        </w:r>
      </w:hyperlink>
    </w:p>
    <w:p w:rsidR="00306953" w:rsidRPr="00306953" w:rsidRDefault="00306953" w:rsidP="00306953">
      <w:pPr>
        <w:spacing w:after="0" w:line="240" w:lineRule="auto"/>
        <w:jc w:val="both"/>
        <w:rPr>
          <w:rFonts w:eastAsia="ChaparralPro-Regular" w:cs="Arial"/>
          <w:szCs w:val="20"/>
        </w:rPr>
      </w:pPr>
    </w:p>
    <w:p w:rsidR="00306953" w:rsidRPr="00442515" w:rsidRDefault="00306953" w:rsidP="00306953">
      <w:pPr>
        <w:pStyle w:val="Default"/>
        <w:jc w:val="both"/>
        <w:rPr>
          <w:rFonts w:ascii="Arial" w:eastAsia="ChaparralPro-Regular" w:hAnsi="Arial" w:cs="Arial"/>
          <w:sz w:val="20"/>
          <w:szCs w:val="20"/>
        </w:rPr>
      </w:pPr>
      <w:r w:rsidRPr="00442515">
        <w:rPr>
          <w:rFonts w:ascii="Arial" w:eastAsia="ChaparralPro-Regular" w:hAnsi="Arial" w:cs="Arial"/>
          <w:sz w:val="20"/>
          <w:szCs w:val="20"/>
        </w:rPr>
        <w:t xml:space="preserve">Z grafu č. 11 vyplývá, že </w:t>
      </w:r>
      <w:r w:rsidRPr="00442515">
        <w:rPr>
          <w:rFonts w:ascii="Arial" w:eastAsia="ChaparralPro-Regular" w:hAnsi="Arial" w:cs="Arial"/>
          <w:b/>
          <w:sz w:val="20"/>
          <w:szCs w:val="20"/>
        </w:rPr>
        <w:t>v České republice</w:t>
      </w:r>
      <w:r w:rsidRPr="00442515">
        <w:rPr>
          <w:rFonts w:ascii="Arial" w:eastAsia="ChaparralPro-Regular" w:hAnsi="Arial" w:cs="Arial"/>
          <w:sz w:val="20"/>
          <w:szCs w:val="20"/>
        </w:rPr>
        <w:t xml:space="preserve"> byl v roce 2011 mezi zeměmi v EU i OECD věnován </w:t>
      </w:r>
      <w:r w:rsidRPr="00442515">
        <w:rPr>
          <w:rFonts w:ascii="Arial" w:eastAsia="ChaparralPro-Regular" w:hAnsi="Arial" w:cs="Arial"/>
          <w:b/>
          <w:sz w:val="20"/>
          <w:szCs w:val="20"/>
        </w:rPr>
        <w:t>průměrně vysoký podíl HDP na výdaje institucí terciárního vzdělávání za vlastní vzdělávací proces, na výzkum a vývoj a na doprovodné služby (celkem na tyto tři druhy výdajů)</w:t>
      </w:r>
      <w:r w:rsidRPr="00442515">
        <w:rPr>
          <w:rFonts w:ascii="Arial" w:eastAsia="ChaparralPro-Regular" w:hAnsi="Arial" w:cs="Arial"/>
          <w:sz w:val="20"/>
          <w:szCs w:val="20"/>
        </w:rPr>
        <w:t>. Tento podíl je sice nižší, než je průměr za země OECD, nicméně vyšší podíl, než je průměr OECD, věnovaly z HDP na financování institucí terciárního vzdělávání z evropských zemí pouze Norsko, Estonsko, Švédsko, Nizozemsko a Finsko. Průměr OECD je tak navýšen mimoevropskými zeměmi, zejména Chile, Korejskou republikou, Spojenými státy americkými a Kanadou, jejichž podíl HDP věnovaný na terciární vzdělávání se pohybuje kolem 2,5 %. Lze také konstatovat, že ve dvou zemích ze všech zemí uvedených v grafu výše, tj. ve Švédsku a ve Švýcarsku, byl vyšší podíl financí (vyjádřených jako podíl HDP) věnován na výzkum a vývoj než na vlastní vzdělávání.</w:t>
      </w:r>
    </w:p>
    <w:p w:rsidR="00306953" w:rsidRPr="00442515" w:rsidRDefault="00306953" w:rsidP="00306953">
      <w:pPr>
        <w:pStyle w:val="Default"/>
        <w:jc w:val="both"/>
        <w:rPr>
          <w:rFonts w:ascii="Arial" w:eastAsia="ChaparralPro-Regular" w:hAnsi="Arial" w:cs="Arial"/>
          <w:sz w:val="20"/>
          <w:szCs w:val="20"/>
        </w:rPr>
      </w:pPr>
    </w:p>
    <w:p w:rsidR="002C4A87" w:rsidRDefault="002C4A87" w:rsidP="002C4A87">
      <w:pPr>
        <w:pStyle w:val="Nadpis3"/>
        <w:spacing w:after="120"/>
      </w:pPr>
      <w:bookmarkStart w:id="27" w:name="_Toc460424388"/>
      <w:r>
        <w:t>Shrnutí</w:t>
      </w:r>
      <w:bookmarkEnd w:id="27"/>
    </w:p>
    <w:p w:rsidR="00306953" w:rsidRPr="00442515" w:rsidRDefault="00306953" w:rsidP="002C4A87">
      <w:pPr>
        <w:autoSpaceDE w:val="0"/>
        <w:autoSpaceDN w:val="0"/>
        <w:adjustRightInd w:val="0"/>
        <w:spacing w:after="120" w:line="240" w:lineRule="auto"/>
        <w:jc w:val="both"/>
        <w:rPr>
          <w:rFonts w:eastAsia="ChaparralPro-Regular" w:cs="Arial"/>
          <w:szCs w:val="20"/>
        </w:rPr>
      </w:pPr>
      <w:r w:rsidRPr="00442515">
        <w:rPr>
          <w:rFonts w:eastAsia="ChaparralPro-Regular" w:cs="Arial"/>
          <w:szCs w:val="20"/>
        </w:rPr>
        <w:t>Z dat uvedených v této kapitole především vyplývá, že v roce 2012 byly v ČR celkově za vzdělávání na primární až terciární úrovni 15,4 % z výdajů institucí formálního vzdělávání na jednoho žáka věnováno na doprovodné služby, výzkum a vývoj. Tento podíl byl čtvrtinový na Slovensku a pětinový ve Finsku, v Polsku byl naopak výrazně nižší (8,6 %). V zemích v EU i OECD bylo v průměru</w:t>
      </w:r>
      <w:r w:rsidRPr="00442515">
        <w:rPr>
          <w:rFonts w:cs="Arial"/>
          <w:szCs w:val="20"/>
        </w:rPr>
        <w:t xml:space="preserve"> </w:t>
      </w:r>
      <w:r w:rsidR="00E52654">
        <w:rPr>
          <w:rFonts w:eastAsia="ChaparralPro-Regular" w:cs="Arial"/>
          <w:szCs w:val="20"/>
        </w:rPr>
        <w:t>na doprovodné služby, výzkum a </w:t>
      </w:r>
      <w:r w:rsidRPr="00442515">
        <w:rPr>
          <w:rFonts w:eastAsia="ChaparralPro-Regular" w:cs="Arial"/>
          <w:szCs w:val="20"/>
        </w:rPr>
        <w:t xml:space="preserve">vývoj věnováno 14,8 % výdajů, což je srovnatelné s ČR. Zároveň byla v ČR v roce 2012 v souladu s mezinárodními průměry věnována třetina z výdajů vzdělávacích institucí na jednoho studenta terciární úrovně vzdělávání na výzkum a vývoj. Tento podíl byl cca dvoupětinový ve Finsku a Estonsku a naopak jen cca pětinový v Polsku. V této kapitole byly dále prezentovány též výdaje za rok 2011, a sice ve vyjádření v procentech k HDP. I v tomto </w:t>
      </w:r>
      <w:r w:rsidR="00FE4D9A">
        <w:rPr>
          <w:rFonts w:eastAsia="ChaparralPro-Regular" w:cs="Arial"/>
          <w:szCs w:val="20"/>
        </w:rPr>
        <w:t>vyjádření</w:t>
      </w:r>
      <w:r w:rsidRPr="00442515">
        <w:rPr>
          <w:rFonts w:eastAsia="ChaparralPro-Regular" w:cs="Arial"/>
          <w:szCs w:val="20"/>
        </w:rPr>
        <w:t xml:space="preserve"> byl v České republice vydán v rámci terciárního vzdělávání průměrný podíl HDP na výzkum a vývoj (tj. ve srovnání s průměrem za země v EU i OECD i za všechny země v OECD) a též celkové výdaje na terciární vzdělávání vyjádřené jakožto podíl HDP byly v ČR srovnatelné s průměrem za země v OECD a EU (ve srovnání se zeměmi v OECD byly již tyto výdaje o něco nižší). Oproti oběma mezinárodním průměrům však ČR vydávala podprůměrný podíl HDP na služby institucí spojené s vlastním poskytováním vzdělávání na primární až postsekundární neterciární úrovni (oproti tomu v Polsku byl ten</w:t>
      </w:r>
      <w:r w:rsidR="00FE4D9A">
        <w:rPr>
          <w:rFonts w:eastAsia="ChaparralPro-Regular" w:cs="Arial"/>
          <w:szCs w:val="20"/>
        </w:rPr>
        <w:t>to podíl s mezinárodním průměrem za země v EU i OECD víceméně</w:t>
      </w:r>
      <w:r w:rsidRPr="00442515">
        <w:rPr>
          <w:rFonts w:eastAsia="ChaparralPro-Regular" w:cs="Arial"/>
          <w:szCs w:val="20"/>
        </w:rPr>
        <w:t xml:space="preserve"> srovnatelný), zatímco podíl HDP věnovaný v ČR na poskytování doprovodných služeb v těchto institucích byl s mezinárodními průměry srovnatelný a desetkrát vyšší než v Polsku. </w:t>
      </w:r>
    </w:p>
    <w:p w:rsidR="00306953" w:rsidRPr="00306953" w:rsidRDefault="00306953" w:rsidP="00306953">
      <w:pPr>
        <w:pStyle w:val="Default"/>
        <w:tabs>
          <w:tab w:val="left" w:pos="1740"/>
        </w:tabs>
        <w:jc w:val="both"/>
        <w:rPr>
          <w:rFonts w:ascii="Arial" w:eastAsia="ChaparralPro-Regular" w:hAnsi="Arial" w:cs="Arial"/>
          <w:sz w:val="22"/>
          <w:szCs w:val="22"/>
        </w:rPr>
      </w:pPr>
      <w:r w:rsidRPr="00306953">
        <w:rPr>
          <w:rFonts w:ascii="Arial" w:eastAsia="ChaparralPro-Regular" w:hAnsi="Arial" w:cs="Arial"/>
          <w:sz w:val="22"/>
          <w:szCs w:val="22"/>
        </w:rPr>
        <w:tab/>
      </w:r>
    </w:p>
    <w:p w:rsidR="005829BC" w:rsidRDefault="005829BC" w:rsidP="00306953">
      <w:pPr>
        <w:pStyle w:val="Nadpis2"/>
        <w:rPr>
          <w:rFonts w:eastAsia="ChaparralPro-Regular" w:cs="Arial"/>
        </w:rPr>
      </w:pPr>
      <w:bookmarkStart w:id="28" w:name="_Toc457225391"/>
    </w:p>
    <w:p w:rsidR="00306953" w:rsidRPr="00306953" w:rsidRDefault="00306953" w:rsidP="00306953">
      <w:pPr>
        <w:pStyle w:val="Nadpis2"/>
        <w:rPr>
          <w:rFonts w:eastAsia="ChaparralPro-Regular" w:cs="Arial"/>
        </w:rPr>
      </w:pPr>
      <w:bookmarkStart w:id="29" w:name="_Toc460424389"/>
      <w:r w:rsidRPr="00306953">
        <w:rPr>
          <w:rFonts w:eastAsia="ChaparralPro-Regular" w:cs="Arial"/>
        </w:rPr>
        <w:t>Běžné a kapitálové výdaje vzdělávacích institucí</w:t>
      </w:r>
      <w:bookmarkEnd w:id="28"/>
      <w:bookmarkEnd w:id="29"/>
    </w:p>
    <w:p w:rsidR="00306953" w:rsidRPr="00306953" w:rsidRDefault="00306953" w:rsidP="00306953">
      <w:pPr>
        <w:keepNext/>
        <w:autoSpaceDE w:val="0"/>
        <w:autoSpaceDN w:val="0"/>
        <w:adjustRightInd w:val="0"/>
        <w:spacing w:after="0" w:line="240" w:lineRule="auto"/>
        <w:jc w:val="both"/>
        <w:rPr>
          <w:rFonts w:eastAsia="ChaparralPro-Regular" w:cs="Arial"/>
          <w:b/>
          <w:sz w:val="18"/>
          <w:szCs w:val="18"/>
        </w:rPr>
      </w:pPr>
    </w:p>
    <w:p w:rsidR="00AA7B9B" w:rsidRDefault="00AA7B9B" w:rsidP="00AA7B9B">
      <w:pPr>
        <w:pStyle w:val="Nadpis3"/>
        <w:spacing w:line="240" w:lineRule="auto"/>
      </w:pPr>
    </w:p>
    <w:p w:rsidR="002C4A87" w:rsidRPr="003662E4" w:rsidRDefault="002C4A87" w:rsidP="003662E4">
      <w:pPr>
        <w:pStyle w:val="Nadpis3"/>
        <w:spacing w:after="120"/>
      </w:pPr>
      <w:bookmarkStart w:id="30" w:name="_Toc460424390"/>
      <w:r>
        <w:t>Úvod</w:t>
      </w:r>
      <w:bookmarkEnd w:id="30"/>
    </w:p>
    <w:p w:rsidR="00306953" w:rsidRDefault="00306953" w:rsidP="002C4A87">
      <w:pPr>
        <w:autoSpaceDE w:val="0"/>
        <w:autoSpaceDN w:val="0"/>
        <w:adjustRightInd w:val="0"/>
        <w:spacing w:after="0" w:line="240" w:lineRule="auto"/>
        <w:jc w:val="both"/>
        <w:rPr>
          <w:rFonts w:eastAsia="ChaparralPro-Regular" w:cs="Arial"/>
        </w:rPr>
      </w:pPr>
      <w:r w:rsidRPr="00306953">
        <w:rPr>
          <w:rFonts w:eastAsia="ChaparralPro-Regular" w:cs="Arial"/>
        </w:rPr>
        <w:t xml:space="preserve">V této kapitole nejprve uvedeme, jaký podíl běžných výdajů tvořily v roce 2012 v ČR a v dalších zemích mzdové výdaje. Dále ukážeme, jaký podíl celkových výdajů tvořily v roce 2012 v různých zemích výdaje běžné a kapitálové a z běžných dále vyčleníme výdaje na mzdy učitelů, ostatního personálu a ostatní běžné výdaje. </w:t>
      </w:r>
      <w:r w:rsidR="008C5C0E">
        <w:rPr>
          <w:rFonts w:eastAsia="ChaparralPro-Regular" w:cs="Arial"/>
        </w:rPr>
        <w:t xml:space="preserve">Poté představíme vývoj podílu kapitálových podílů ze všech výdajů v letech 2005 až 2012. </w:t>
      </w:r>
      <w:r w:rsidRPr="00306953">
        <w:rPr>
          <w:rFonts w:eastAsia="ChaparralPro-Regular" w:cs="Arial"/>
        </w:rPr>
        <w:t xml:space="preserve">Nakonec představíme výši běžných a kapitálových výdajů na oblast školství v ČR ze všech veřejných rozpočtů v ČR v letech 2009 – 2015. </w:t>
      </w:r>
    </w:p>
    <w:p w:rsidR="002C4A87" w:rsidRDefault="002C4A87" w:rsidP="002C4A87">
      <w:pPr>
        <w:autoSpaceDE w:val="0"/>
        <w:autoSpaceDN w:val="0"/>
        <w:adjustRightInd w:val="0"/>
        <w:spacing w:after="0" w:line="240" w:lineRule="auto"/>
        <w:jc w:val="both"/>
        <w:rPr>
          <w:rFonts w:eastAsia="ChaparralPro-Regular" w:cs="Arial"/>
        </w:rPr>
      </w:pPr>
    </w:p>
    <w:p w:rsidR="002C4A87" w:rsidRDefault="002C4A87" w:rsidP="002C4A87">
      <w:pPr>
        <w:autoSpaceDE w:val="0"/>
        <w:autoSpaceDN w:val="0"/>
        <w:adjustRightInd w:val="0"/>
        <w:spacing w:after="0" w:line="240" w:lineRule="auto"/>
        <w:jc w:val="both"/>
        <w:rPr>
          <w:rFonts w:eastAsia="ChaparralPro-Regular" w:cs="Arial"/>
        </w:rPr>
      </w:pPr>
    </w:p>
    <w:p w:rsidR="002C4A87" w:rsidRPr="00306953" w:rsidRDefault="002C4A87" w:rsidP="002C4A87">
      <w:pPr>
        <w:pStyle w:val="Nadpis3"/>
        <w:spacing w:after="120"/>
      </w:pPr>
      <w:bookmarkStart w:id="31" w:name="_Toc460424391"/>
      <w:r>
        <w:t>Prezentace indikátorů</w:t>
      </w:r>
      <w:bookmarkEnd w:id="31"/>
    </w:p>
    <w:p w:rsidR="00306953" w:rsidRPr="00306953" w:rsidRDefault="00306953" w:rsidP="00306953">
      <w:pPr>
        <w:autoSpaceDE w:val="0"/>
        <w:autoSpaceDN w:val="0"/>
        <w:adjustRightInd w:val="0"/>
        <w:spacing w:after="120" w:line="240" w:lineRule="auto"/>
        <w:jc w:val="both"/>
        <w:rPr>
          <w:rFonts w:eastAsia="NovareseCEMedium" w:cs="Arial"/>
        </w:rPr>
      </w:pPr>
      <w:r w:rsidRPr="00306953">
        <w:rPr>
          <w:rFonts w:eastAsia="NovareseCEBook" w:cs="Arial"/>
        </w:rPr>
        <w:t xml:space="preserve">Uvnitř vzdělávacích institucí se výdaje dělí na </w:t>
      </w:r>
      <w:r w:rsidRPr="00306953">
        <w:rPr>
          <w:rFonts w:eastAsia="NovareseCEMedium" w:cs="Arial"/>
        </w:rPr>
        <w:t xml:space="preserve">výdaje běžné a kapitálové (pro definici viz úvod této publikace). </w:t>
      </w:r>
      <w:r w:rsidRPr="00306953">
        <w:rPr>
          <w:rFonts w:eastAsia="ChaparralPro-Regular" w:cs="Arial"/>
        </w:rPr>
        <w:t>Běžné výdaje jsou ovlivněny zejména platy zaměstnanců (viz indikátor D3 v publikaci OECD, 2015), ale také např. penzijními systémy, věkovým rozložením populace učitelů a podílem nevyučujícího personálu zaměstnaného v oblasti vzdělávání (tj. nepedagogických pracovníků). Vzdělávací instituce navíc mohou poskytovat nejen samotnou výuku, ale také další služby, jako je s</w:t>
      </w:r>
      <w:r w:rsidR="00E52654">
        <w:rPr>
          <w:rFonts w:eastAsia="ChaparralPro-Regular" w:cs="Arial"/>
        </w:rPr>
        <w:t>travování, doprava, ubytování a </w:t>
      </w:r>
      <w:r w:rsidRPr="00306953">
        <w:rPr>
          <w:rFonts w:eastAsia="ChaparralPro-Regular" w:cs="Arial"/>
        </w:rPr>
        <w:t xml:space="preserve">aktivity v oblasti výzkumu </w:t>
      </w:r>
      <w:r w:rsidR="00AD7789">
        <w:rPr>
          <w:rFonts w:eastAsia="ChaparralPro-Regular" w:cs="Arial"/>
        </w:rPr>
        <w:t>a vývoje (viz OECD 2015, s. 282–</w:t>
      </w:r>
      <w:r w:rsidRPr="00306953">
        <w:rPr>
          <w:rFonts w:eastAsia="ChaparralPro-Regular" w:cs="Arial"/>
        </w:rPr>
        <w:t xml:space="preserve">283).  </w:t>
      </w:r>
    </w:p>
    <w:p w:rsidR="00306953" w:rsidRPr="00306953" w:rsidRDefault="00306953" w:rsidP="00306953">
      <w:pPr>
        <w:autoSpaceDE w:val="0"/>
        <w:autoSpaceDN w:val="0"/>
        <w:adjustRightInd w:val="0"/>
        <w:spacing w:after="0" w:line="240" w:lineRule="auto"/>
        <w:jc w:val="both"/>
        <w:rPr>
          <w:rFonts w:eastAsia="ChaparralPro-Regular" w:cs="Arial"/>
        </w:rPr>
      </w:pPr>
      <w:r w:rsidRPr="00306953">
        <w:rPr>
          <w:rFonts w:eastAsia="ChaparralPro-Regular" w:cs="Arial"/>
        </w:rPr>
        <w:t xml:space="preserve">Běžné výdaje je dále možné </w:t>
      </w:r>
      <w:r w:rsidRPr="00306953">
        <w:rPr>
          <w:rFonts w:eastAsia="ChaparralPro-Regular" w:cs="Arial"/>
          <w:b/>
        </w:rPr>
        <w:t>rozdělit na výdaje na mzdové položky a ostatní běžné výdaje</w:t>
      </w:r>
      <w:r w:rsidRPr="00306953">
        <w:rPr>
          <w:rFonts w:eastAsia="ChaparralPro-Regular" w:cs="Arial"/>
        </w:rPr>
        <w:t xml:space="preserve"> </w:t>
      </w:r>
      <w:r w:rsidRPr="00306953">
        <w:rPr>
          <w:rFonts w:eastAsia="ChaparralPro-Regular" w:cs="Arial"/>
          <w:b/>
        </w:rPr>
        <w:t>na chod instituce</w:t>
      </w:r>
      <w:r w:rsidRPr="00306953">
        <w:rPr>
          <w:rFonts w:eastAsia="ChaparralPro-Regular" w:cs="Arial"/>
        </w:rPr>
        <w:t xml:space="preserve">. V tomto ohledu je Česká republika zemí, ve které byl v roce 2012 ze všech zemí uvedených v grafu č. 12 </w:t>
      </w:r>
      <w:r w:rsidRPr="00306953">
        <w:rPr>
          <w:rFonts w:eastAsia="ChaparralPro-Regular" w:cs="Arial"/>
          <w:b/>
          <w:i/>
        </w:rPr>
        <w:t>nejnižší podíl běžných výdajů věnovaný na platy zaměstnanců působících</w:t>
      </w:r>
      <w:r w:rsidRPr="00306953">
        <w:rPr>
          <w:rFonts w:eastAsia="ChaparralPro-Regular" w:cs="Arial"/>
        </w:rPr>
        <w:t xml:space="preserve"> </w:t>
      </w:r>
      <w:r w:rsidRPr="00306953">
        <w:rPr>
          <w:rFonts w:eastAsia="ChaparralPro-Regular" w:cs="Arial"/>
          <w:b/>
          <w:i/>
        </w:rPr>
        <w:t>na úrovni primárního, sekundárního a postsekundárního neterciárního vzdělávání</w:t>
      </w:r>
      <w:r w:rsidRPr="00306953">
        <w:rPr>
          <w:rFonts w:eastAsia="ChaparralPro-Regular" w:cs="Arial"/>
        </w:rPr>
        <w:t xml:space="preserve"> (58 %; na konci žebříčku se přitom umístila i v roce 2011, kdy tento podíl činil 60,1 %). Zde je třeba přihlédnout k tomu, že země mohou do ostatních běžných výdajů zahrnout širokou škálu různých výdajů, např. si mohou najmout firmu, která zajistí úklidové či jiné doprovodné služby, čímž se mohou snížit výdaje na mzdy zaměstnanců.  Dále v této zprávě však bude uvedeno, že podíl běžných výdajů na mzdy pro jiný personál, než jsou učitelé, byl v ČR v primárním až postsekundárním neterciárním vzdělávání téměř shodný se zeměmi v EU i OECD a rozdíl je zejména v podílu, jaký tvořily mzdové prostředky pro učitele. </w:t>
      </w:r>
    </w:p>
    <w:p w:rsidR="00306953" w:rsidRPr="00306953" w:rsidRDefault="00306953" w:rsidP="00306953">
      <w:pPr>
        <w:autoSpaceDE w:val="0"/>
        <w:autoSpaceDN w:val="0"/>
        <w:adjustRightInd w:val="0"/>
        <w:spacing w:after="0" w:line="240" w:lineRule="auto"/>
        <w:jc w:val="both"/>
        <w:rPr>
          <w:rFonts w:eastAsia="ChaparralPro-Regular" w:cs="Arial"/>
          <w:sz w:val="12"/>
          <w:szCs w:val="12"/>
        </w:rPr>
      </w:pPr>
    </w:p>
    <w:p w:rsidR="005829BC" w:rsidRDefault="00306953" w:rsidP="005829BC">
      <w:pPr>
        <w:keepNext/>
        <w:autoSpaceDE w:val="0"/>
        <w:autoSpaceDN w:val="0"/>
        <w:adjustRightInd w:val="0"/>
        <w:spacing w:after="0" w:line="240" w:lineRule="auto"/>
        <w:jc w:val="both"/>
        <w:rPr>
          <w:rFonts w:eastAsia="ChaparralPro-Regular" w:cs="Arial"/>
          <w:b/>
          <w:bCs/>
        </w:rPr>
      </w:pPr>
      <w:r w:rsidRPr="00306953">
        <w:rPr>
          <w:rFonts w:eastAsia="ChaparralPro-Regular" w:cs="Arial"/>
          <w:b/>
          <w:bCs/>
        </w:rPr>
        <w:lastRenderedPageBreak/>
        <w:t>Graf č. 12 Rozložení běžných výdajů vynaložených na insti</w:t>
      </w:r>
      <w:r w:rsidR="00E52654">
        <w:rPr>
          <w:rFonts w:eastAsia="ChaparralPro-Regular" w:cs="Arial"/>
          <w:b/>
          <w:bCs/>
        </w:rPr>
        <w:t>tuce primárního, sekundárního a </w:t>
      </w:r>
      <w:r w:rsidRPr="00306953">
        <w:rPr>
          <w:rFonts w:eastAsia="ChaparralPro-Regular" w:cs="Arial"/>
          <w:b/>
          <w:bCs/>
        </w:rPr>
        <w:t>postsekundárního neterciárního vzdělávání (2012)</w:t>
      </w:r>
    </w:p>
    <w:p w:rsidR="005829BC" w:rsidRPr="009F76ED" w:rsidRDefault="00BA5EE1" w:rsidP="009F76ED">
      <w:pPr>
        <w:keepNext/>
        <w:autoSpaceDE w:val="0"/>
        <w:autoSpaceDN w:val="0"/>
        <w:adjustRightInd w:val="0"/>
        <w:spacing w:after="0" w:line="240" w:lineRule="auto"/>
        <w:jc w:val="both"/>
        <w:rPr>
          <w:rFonts w:eastAsia="ChaparralPro-Regular" w:cs="Arial"/>
          <w:b/>
          <w:bCs/>
        </w:rPr>
      </w:pPr>
      <w:r w:rsidRPr="00984E22">
        <w:rPr>
          <w:rFonts w:eastAsia="ChaparralPro-Regular" w:cs="Arial"/>
          <w:b/>
          <w:noProof/>
        </w:rPr>
        <w:pict>
          <v:shape id="_x0000_i1037" type="#_x0000_t75" style="width:470.25pt;height:270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">
            <v:imagedata r:id="rId103" o:title="" croptop="-1616f" cropbottom="-2573f" cropleft="-615f" cropright="-1152f"/>
            <o:lock v:ext="edit" aspectratio="f"/>
          </v:shape>
        </w:pict>
      </w:r>
    </w:p>
    <w:p w:rsidR="00306953" w:rsidRPr="00442515" w:rsidRDefault="00E031F1" w:rsidP="00306953">
      <w:pPr>
        <w:autoSpaceDE w:val="0"/>
        <w:autoSpaceDN w:val="0"/>
        <w:adjustRightInd w:val="0"/>
        <w:spacing w:after="0" w:line="240" w:lineRule="auto"/>
        <w:jc w:val="both"/>
        <w:rPr>
          <w:rFonts w:eastAsia="ChaparralPro-Regular" w:cs="Arial"/>
          <w:sz w:val="16"/>
          <w:szCs w:val="16"/>
        </w:rPr>
      </w:pPr>
      <w:r w:rsidRPr="000D122A">
        <w:rPr>
          <w:rFonts w:eastAsia="ChaparralPro-Regular" w:cs="Arial"/>
          <w:sz w:val="16"/>
          <w:szCs w:val="16"/>
        </w:rPr>
        <w:t>(</w:t>
      </w:r>
      <w:r w:rsidR="00306953" w:rsidRPr="000D122A">
        <w:rPr>
          <w:rFonts w:eastAsia="ChaparralPro-Regular" w:cs="Arial"/>
          <w:sz w:val="16"/>
          <w:szCs w:val="16"/>
        </w:rPr>
        <w:t>1)</w:t>
      </w:r>
      <w:r w:rsidR="008337AB">
        <w:rPr>
          <w:rFonts w:eastAsia="ChaparralPro-Regular" w:cs="Arial"/>
          <w:sz w:val="16"/>
          <w:szCs w:val="16"/>
        </w:rPr>
        <w:t xml:space="preserve"> pouze veřejné instituce</w:t>
      </w:r>
    </w:p>
    <w:p w:rsidR="00306953" w:rsidRPr="00442515" w:rsidRDefault="00E031F1" w:rsidP="00306953">
      <w:pPr>
        <w:autoSpaceDE w:val="0"/>
        <w:autoSpaceDN w:val="0"/>
        <w:adjustRightInd w:val="0"/>
        <w:spacing w:after="0" w:line="240" w:lineRule="auto"/>
        <w:jc w:val="both"/>
        <w:rPr>
          <w:rFonts w:eastAsia="ChaparralPro-Regular" w:cs="Arial"/>
          <w:sz w:val="16"/>
          <w:szCs w:val="16"/>
        </w:rPr>
      </w:pPr>
      <w:r w:rsidRPr="000D122A">
        <w:rPr>
          <w:rFonts w:eastAsia="ChaparralPro-Regular" w:cs="Arial"/>
          <w:sz w:val="16"/>
          <w:szCs w:val="16"/>
        </w:rPr>
        <w:t>(</w:t>
      </w:r>
      <w:r w:rsidR="00306953" w:rsidRPr="000D122A">
        <w:rPr>
          <w:rFonts w:eastAsia="ChaparralPro-Regular" w:cs="Arial"/>
          <w:sz w:val="16"/>
          <w:szCs w:val="16"/>
        </w:rPr>
        <w:t>2)</w:t>
      </w:r>
      <w:r w:rsidR="000D122A">
        <w:rPr>
          <w:rFonts w:eastAsia="ChaparralPro-Regular" w:cs="Arial"/>
          <w:sz w:val="16"/>
          <w:szCs w:val="16"/>
        </w:rPr>
        <w:t xml:space="preserve"> </w:t>
      </w:r>
      <w:r w:rsidR="00306953" w:rsidRPr="00442515">
        <w:rPr>
          <w:rFonts w:eastAsia="ChaparralPro-Regular" w:cs="Arial"/>
          <w:sz w:val="16"/>
          <w:szCs w:val="16"/>
        </w:rPr>
        <w:t>Některé úrovně vzdělávání jsou sloučeny s dalšími - viz kód "x" v tabulce B1.1a</w:t>
      </w:r>
      <w:r w:rsidR="009F76ED">
        <w:rPr>
          <w:rFonts w:eastAsia="ChaparralPro-Regular" w:cs="Arial"/>
          <w:sz w:val="16"/>
          <w:szCs w:val="16"/>
        </w:rPr>
        <w:t xml:space="preserve"> (OECD 2015)</w:t>
      </w:r>
      <w:r w:rsidR="00306953" w:rsidRPr="00442515">
        <w:rPr>
          <w:rFonts w:eastAsia="ChaparralPro-Regular" w:cs="Arial"/>
          <w:sz w:val="16"/>
          <w:szCs w:val="16"/>
        </w:rPr>
        <w:t>.</w:t>
      </w:r>
    </w:p>
    <w:p w:rsidR="00306953" w:rsidRPr="00442515" w:rsidRDefault="00306953" w:rsidP="00306953">
      <w:pPr>
        <w:spacing w:after="0" w:line="240" w:lineRule="auto"/>
        <w:jc w:val="both"/>
        <w:rPr>
          <w:rFonts w:eastAsia="ChaparralPro-Regular" w:cs="Arial"/>
          <w:sz w:val="16"/>
          <w:szCs w:val="16"/>
        </w:rPr>
      </w:pPr>
      <w:r w:rsidRPr="00442515">
        <w:rPr>
          <w:rFonts w:eastAsia="ChaparralPro-Regular" w:cs="Arial"/>
          <w:sz w:val="16"/>
          <w:szCs w:val="16"/>
        </w:rPr>
        <w:t xml:space="preserve">Zdroj: OECD 2015, graf B 6.1 (tabulka B 6.2). StatLink: </w:t>
      </w:r>
      <w:hyperlink r:id="rId104" w:history="1">
        <w:r w:rsidRPr="00442515">
          <w:rPr>
            <w:rStyle w:val="Hypertextovodkaz"/>
            <w:rFonts w:cs="Arial"/>
            <w:sz w:val="16"/>
            <w:szCs w:val="16"/>
          </w:rPr>
          <w:t>http://dx.doi.org/10.1787/888933284092</w:t>
        </w:r>
      </w:hyperlink>
      <w:r w:rsidRPr="00442515">
        <w:rPr>
          <w:rFonts w:cs="Arial"/>
          <w:color w:val="231F20"/>
          <w:sz w:val="16"/>
          <w:szCs w:val="16"/>
        </w:rPr>
        <w:t xml:space="preserve"> </w:t>
      </w:r>
    </w:p>
    <w:p w:rsidR="00306953" w:rsidRPr="00306953" w:rsidRDefault="00306953" w:rsidP="00306953">
      <w:pPr>
        <w:autoSpaceDE w:val="0"/>
        <w:autoSpaceDN w:val="0"/>
        <w:adjustRightInd w:val="0"/>
        <w:spacing w:after="0" w:line="240" w:lineRule="auto"/>
        <w:jc w:val="both"/>
        <w:rPr>
          <w:rFonts w:eastAsia="ChaparralPro-Regular" w:cs="Arial"/>
          <w:sz w:val="16"/>
          <w:szCs w:val="16"/>
        </w:rPr>
      </w:pPr>
    </w:p>
    <w:p w:rsidR="00306953" w:rsidRPr="00306953" w:rsidRDefault="007C2F11" w:rsidP="00306953">
      <w:pPr>
        <w:autoSpaceDE w:val="0"/>
        <w:autoSpaceDN w:val="0"/>
        <w:adjustRightInd w:val="0"/>
        <w:spacing w:after="120" w:line="240" w:lineRule="auto"/>
        <w:jc w:val="both"/>
        <w:rPr>
          <w:rFonts w:eastAsia="ChaparralPro-Regular" w:cs="Arial"/>
        </w:rPr>
      </w:pPr>
      <w:r>
        <w:rPr>
          <w:rFonts w:eastAsia="ChaparralPro-Regular" w:cs="Arial"/>
        </w:rPr>
        <w:t>Jak je též z grafu č. 12 patrné, v</w:t>
      </w:r>
      <w:r w:rsidR="00306953" w:rsidRPr="00306953">
        <w:rPr>
          <w:rFonts w:eastAsia="ChaparralPro-Regular" w:cs="Arial"/>
        </w:rPr>
        <w:t xml:space="preserve"> mezinárodním průměru činil podíl běžných výdajů věnovaný na platy zaměstnanců působících na úrovni primárního, sekundárního a postsekundárního neterciárního vzdělávání 78,6 % a hranici 70 % nepřekročilo kromě ČR ani Finsko, Slovensko a Švédsko. Naopak nejvyšší podíl běžných výdajů věnovaný na platy personálu (více než 90 %) byl zaznamenán v Mexiku a v Kolumbii (v těchto zemích však byly zohledněny jen veřejné vzdělávací instituce). Za Polsko tento údaj není k dispozici.</w:t>
      </w:r>
    </w:p>
    <w:p w:rsidR="00306953" w:rsidRPr="00306953" w:rsidRDefault="00306953" w:rsidP="00306953">
      <w:pPr>
        <w:autoSpaceDE w:val="0"/>
        <w:autoSpaceDN w:val="0"/>
        <w:adjustRightInd w:val="0"/>
        <w:spacing w:after="120" w:line="240" w:lineRule="auto"/>
        <w:jc w:val="both"/>
        <w:rPr>
          <w:rFonts w:eastAsia="ChaparralPro-Regular" w:cs="Arial"/>
        </w:rPr>
      </w:pPr>
      <w:r w:rsidRPr="00306953">
        <w:rPr>
          <w:rFonts w:eastAsia="ChaparralPro-Regular" w:cs="Arial"/>
        </w:rPr>
        <w:t>Co se týče institucí</w:t>
      </w:r>
      <w:r w:rsidRPr="00306953">
        <w:rPr>
          <w:rFonts w:eastAsia="ChaparralPro-Regular" w:cs="Arial"/>
          <w:b/>
          <w:i/>
        </w:rPr>
        <w:t xml:space="preserve"> terciárního vzdělávání</w:t>
      </w:r>
      <w:r w:rsidRPr="00306953">
        <w:rPr>
          <w:rFonts w:eastAsia="ChaparralPro-Regular" w:cs="Arial"/>
        </w:rPr>
        <w:t xml:space="preserve">, ve všech sledovaných zemích, za které jsou dostupná data, </w:t>
      </w:r>
      <w:r w:rsidR="00C15ACB">
        <w:rPr>
          <w:rFonts w:eastAsia="ChaparralPro-Regular" w:cs="Arial"/>
          <w:b/>
          <w:i/>
        </w:rPr>
        <w:t>pouze s výjimkou ČR a Indonés</w:t>
      </w:r>
      <w:r w:rsidRPr="00306953">
        <w:rPr>
          <w:rFonts w:eastAsia="ChaparralPro-Regular" w:cs="Arial"/>
          <w:b/>
          <w:i/>
        </w:rPr>
        <w:t>ie</w:t>
      </w:r>
      <w:r w:rsidRPr="00306953">
        <w:rPr>
          <w:rFonts w:eastAsia="ChaparralPro-Regular" w:cs="Arial"/>
        </w:rPr>
        <w:t xml:space="preserve">, byla v roce 2012 nadpoloviční většina běžných výdajů určena na platy personálu. V sousedním Polsku činil tento podíl 75,7 % (viz graf č. 13 níže). </w:t>
      </w:r>
    </w:p>
    <w:p w:rsidR="00306953" w:rsidRDefault="00306953" w:rsidP="00306953">
      <w:pPr>
        <w:keepNext/>
        <w:autoSpaceDE w:val="0"/>
        <w:autoSpaceDN w:val="0"/>
        <w:adjustRightInd w:val="0"/>
        <w:spacing w:after="120" w:line="240" w:lineRule="auto"/>
        <w:jc w:val="both"/>
        <w:rPr>
          <w:rFonts w:eastAsia="ChaparralPro-Regular" w:cs="Arial"/>
          <w:b/>
          <w:bCs/>
        </w:rPr>
      </w:pPr>
      <w:r w:rsidRPr="00306953">
        <w:rPr>
          <w:rFonts w:eastAsia="ChaparralPro-Regular" w:cs="Arial"/>
          <w:b/>
          <w:bCs/>
        </w:rPr>
        <w:lastRenderedPageBreak/>
        <w:t>Graf č. 13 Rozložení běžných výdajů vynaložených na instituce terciárního vzdělávání (2012)</w:t>
      </w:r>
    </w:p>
    <w:p w:rsidR="001C5F84" w:rsidRDefault="00BA5EE1" w:rsidP="001C5F84">
      <w:pPr>
        <w:keepNext/>
        <w:autoSpaceDE w:val="0"/>
        <w:autoSpaceDN w:val="0"/>
        <w:adjustRightInd w:val="0"/>
        <w:spacing w:after="120" w:line="240" w:lineRule="auto"/>
        <w:jc w:val="both"/>
        <w:rPr>
          <w:rFonts w:eastAsia="ChaparralPro-Regular" w:cs="Arial"/>
          <w:b/>
          <w:bCs/>
        </w:rPr>
      </w:pPr>
      <w:r w:rsidRPr="00984E22">
        <w:rPr>
          <w:rFonts w:eastAsia="ChaparralPro-Regular" w:cs="Arial"/>
          <w:b/>
          <w:noProof/>
        </w:rPr>
        <w:pict>
          <v:shape id="_x0000_i1038" type="#_x0000_t75" style="width:470.25pt;height:264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">
            <v:imagedata r:id="rId105" o:title="" croptop="-1530f" cropbottom="-3167f" cropleft="-614f" cropright="-1014f"/>
            <o:lock v:ext="edit" aspectratio="f"/>
          </v:shape>
        </w:pict>
      </w:r>
    </w:p>
    <w:p w:rsidR="00306953" w:rsidRPr="001C5F84" w:rsidRDefault="00C15ACB" w:rsidP="001C5F84">
      <w:pPr>
        <w:keepNext/>
        <w:autoSpaceDE w:val="0"/>
        <w:autoSpaceDN w:val="0"/>
        <w:adjustRightInd w:val="0"/>
        <w:spacing w:after="0" w:line="240" w:lineRule="auto"/>
        <w:jc w:val="both"/>
        <w:rPr>
          <w:rFonts w:eastAsia="ChaparralPro-Regular" w:cs="Arial"/>
          <w:b/>
          <w:bCs/>
        </w:rPr>
      </w:pPr>
      <w:r w:rsidRPr="000D122A">
        <w:rPr>
          <w:rFonts w:eastAsia="ChaparralPro-Regular" w:cs="Arial"/>
          <w:sz w:val="16"/>
          <w:szCs w:val="16"/>
        </w:rPr>
        <w:t>(</w:t>
      </w:r>
      <w:r w:rsidR="00306953" w:rsidRPr="000D122A">
        <w:rPr>
          <w:rFonts w:eastAsia="ChaparralPro-Regular" w:cs="Arial"/>
          <w:sz w:val="16"/>
          <w:szCs w:val="16"/>
        </w:rPr>
        <w:t>1)</w:t>
      </w:r>
      <w:r w:rsidR="00306953" w:rsidRPr="00442515">
        <w:rPr>
          <w:rFonts w:eastAsia="ChaparralPro-Regular" w:cs="Arial"/>
          <w:sz w:val="16"/>
          <w:szCs w:val="16"/>
        </w:rPr>
        <w:t xml:space="preserve"> Referenčním rokem je rok 2011.</w:t>
      </w:r>
    </w:p>
    <w:p w:rsidR="00306953" w:rsidRPr="00442515" w:rsidRDefault="00C15ACB" w:rsidP="001C5F84">
      <w:pPr>
        <w:autoSpaceDE w:val="0"/>
        <w:autoSpaceDN w:val="0"/>
        <w:adjustRightInd w:val="0"/>
        <w:spacing w:after="0" w:line="240" w:lineRule="auto"/>
        <w:jc w:val="both"/>
        <w:rPr>
          <w:rFonts w:eastAsia="ChaparralPro-Regular" w:cs="Arial"/>
          <w:sz w:val="16"/>
          <w:szCs w:val="16"/>
        </w:rPr>
      </w:pPr>
      <w:r w:rsidRPr="000D122A">
        <w:rPr>
          <w:rFonts w:eastAsia="ChaparralPro-Regular" w:cs="Arial"/>
          <w:sz w:val="16"/>
          <w:szCs w:val="16"/>
        </w:rPr>
        <w:t>(</w:t>
      </w:r>
      <w:r w:rsidR="00306953" w:rsidRPr="000D122A">
        <w:rPr>
          <w:rFonts w:eastAsia="ChaparralPro-Regular" w:cs="Arial"/>
          <w:sz w:val="16"/>
          <w:szCs w:val="16"/>
        </w:rPr>
        <w:t>2)</w:t>
      </w:r>
      <w:r w:rsidR="00306953" w:rsidRPr="00442515">
        <w:rPr>
          <w:rFonts w:eastAsia="ChaparralPro-Regular" w:cs="Arial"/>
          <w:sz w:val="16"/>
          <w:szCs w:val="16"/>
        </w:rPr>
        <w:t xml:space="preserve"> Některé úrovně vzdělávání jsou sloučeny s dalšími - viz kód "x" v tabulce B1.1a</w:t>
      </w:r>
      <w:r w:rsidR="00A82C42">
        <w:rPr>
          <w:rFonts w:eastAsia="ChaparralPro-Regular" w:cs="Arial"/>
          <w:sz w:val="16"/>
          <w:szCs w:val="16"/>
        </w:rPr>
        <w:t xml:space="preserve"> (OECD 2015)</w:t>
      </w:r>
      <w:r w:rsidR="00306953" w:rsidRPr="00442515">
        <w:rPr>
          <w:rFonts w:eastAsia="ChaparralPro-Regular" w:cs="Arial"/>
          <w:sz w:val="16"/>
          <w:szCs w:val="16"/>
        </w:rPr>
        <w:t>.</w:t>
      </w:r>
    </w:p>
    <w:p w:rsidR="00306953" w:rsidRPr="00442515" w:rsidRDefault="00C15ACB" w:rsidP="00306953">
      <w:pPr>
        <w:autoSpaceDE w:val="0"/>
        <w:autoSpaceDN w:val="0"/>
        <w:adjustRightInd w:val="0"/>
        <w:spacing w:after="0" w:line="240" w:lineRule="auto"/>
        <w:jc w:val="both"/>
        <w:rPr>
          <w:rFonts w:eastAsia="ChaparralPro-Regular" w:cs="Arial"/>
          <w:sz w:val="16"/>
          <w:szCs w:val="16"/>
        </w:rPr>
      </w:pPr>
      <w:r w:rsidRPr="000D122A">
        <w:rPr>
          <w:rFonts w:eastAsia="ChaparralPro-Regular" w:cs="Arial"/>
          <w:sz w:val="16"/>
          <w:szCs w:val="16"/>
        </w:rPr>
        <w:t>(</w:t>
      </w:r>
      <w:r w:rsidR="00306953" w:rsidRPr="000D122A">
        <w:rPr>
          <w:rFonts w:eastAsia="ChaparralPro-Regular" w:cs="Arial"/>
          <w:sz w:val="16"/>
          <w:szCs w:val="16"/>
        </w:rPr>
        <w:t>3)</w:t>
      </w:r>
      <w:r w:rsidR="00306953" w:rsidRPr="00442515">
        <w:rPr>
          <w:rFonts w:eastAsia="ChaparralPro-Regular" w:cs="Arial"/>
          <w:sz w:val="16"/>
          <w:szCs w:val="16"/>
        </w:rPr>
        <w:t xml:space="preserve"> Pouze za veřejné instituce</w:t>
      </w:r>
      <w:r w:rsidR="000F4ED6">
        <w:rPr>
          <w:rFonts w:eastAsia="ChaparralPro-Regular" w:cs="Arial"/>
          <w:sz w:val="16"/>
          <w:szCs w:val="16"/>
        </w:rPr>
        <w:t>.</w:t>
      </w:r>
    </w:p>
    <w:p w:rsidR="00306953" w:rsidRDefault="00C15ACB" w:rsidP="00306953">
      <w:pPr>
        <w:autoSpaceDE w:val="0"/>
        <w:autoSpaceDN w:val="0"/>
        <w:adjustRightInd w:val="0"/>
        <w:spacing w:after="0" w:line="240" w:lineRule="auto"/>
        <w:jc w:val="both"/>
        <w:rPr>
          <w:rFonts w:eastAsia="ChaparralPro-Regular" w:cs="Arial"/>
          <w:sz w:val="16"/>
          <w:szCs w:val="16"/>
        </w:rPr>
      </w:pPr>
      <w:r w:rsidRPr="000D122A">
        <w:rPr>
          <w:rFonts w:eastAsia="ChaparralPro-Regular" w:cs="Arial"/>
          <w:sz w:val="16"/>
          <w:szCs w:val="16"/>
        </w:rPr>
        <w:t>(</w:t>
      </w:r>
      <w:r w:rsidR="00306953" w:rsidRPr="000D122A">
        <w:rPr>
          <w:rFonts w:eastAsia="ChaparralPro-Regular" w:cs="Arial"/>
          <w:sz w:val="16"/>
          <w:szCs w:val="16"/>
        </w:rPr>
        <w:t>4)</w:t>
      </w:r>
      <w:r w:rsidR="00306953" w:rsidRPr="00442515">
        <w:rPr>
          <w:rFonts w:eastAsia="ChaparralPro-Regular" w:cs="Arial"/>
          <w:sz w:val="16"/>
          <w:szCs w:val="16"/>
        </w:rPr>
        <w:t xml:space="preserve"> Bez krátkého cyklu terciárního vzdělávání.</w:t>
      </w:r>
    </w:p>
    <w:p w:rsidR="00C15ACB" w:rsidRPr="00442515" w:rsidRDefault="00C15ACB" w:rsidP="00306953">
      <w:pPr>
        <w:autoSpaceDE w:val="0"/>
        <w:autoSpaceDN w:val="0"/>
        <w:adjustRightInd w:val="0"/>
        <w:spacing w:after="0" w:line="240" w:lineRule="auto"/>
        <w:jc w:val="both"/>
        <w:rPr>
          <w:rFonts w:eastAsia="ChaparralPro-Regular" w:cs="Arial"/>
          <w:sz w:val="16"/>
          <w:szCs w:val="16"/>
        </w:rPr>
      </w:pPr>
      <w:r w:rsidRPr="000D122A">
        <w:rPr>
          <w:rFonts w:eastAsia="ChaparralPro-Regular" w:cs="Arial"/>
          <w:sz w:val="16"/>
          <w:szCs w:val="16"/>
        </w:rPr>
        <w:t>(5)</w:t>
      </w:r>
      <w:r w:rsidR="000D122A">
        <w:rPr>
          <w:rFonts w:eastAsia="ChaparralPro-Regular" w:cs="Arial"/>
          <w:sz w:val="16"/>
          <w:szCs w:val="16"/>
        </w:rPr>
        <w:t xml:space="preserve"> Referenčním rokem je rok 2013.</w:t>
      </w:r>
    </w:p>
    <w:p w:rsidR="00306953" w:rsidRPr="00442515" w:rsidRDefault="00306953" w:rsidP="00306953">
      <w:pPr>
        <w:autoSpaceDE w:val="0"/>
        <w:autoSpaceDN w:val="0"/>
        <w:adjustRightInd w:val="0"/>
        <w:spacing w:after="120" w:line="240" w:lineRule="auto"/>
        <w:jc w:val="both"/>
        <w:rPr>
          <w:rFonts w:eastAsia="ChaparralPro-Regular" w:cs="Arial"/>
          <w:sz w:val="16"/>
          <w:szCs w:val="16"/>
        </w:rPr>
      </w:pPr>
      <w:r w:rsidRPr="00442515">
        <w:rPr>
          <w:rFonts w:eastAsia="ChaparralPro-Regular" w:cs="Arial"/>
          <w:sz w:val="16"/>
          <w:szCs w:val="16"/>
        </w:rPr>
        <w:t xml:space="preserve">Zdroj: OECD 2015, graf sestrojený z dat v tabulce B 6.2. StatLink: </w:t>
      </w:r>
      <w:hyperlink r:id="rId106" w:history="1">
        <w:r w:rsidRPr="00442515">
          <w:rPr>
            <w:rStyle w:val="Hypertextovodkaz"/>
            <w:rFonts w:cs="Arial"/>
            <w:sz w:val="16"/>
            <w:szCs w:val="16"/>
          </w:rPr>
          <w:t>http://dx.doi.org/10.1787/888933285646</w:t>
        </w:r>
      </w:hyperlink>
      <w:r w:rsidRPr="00442515">
        <w:rPr>
          <w:rFonts w:cs="Arial"/>
          <w:color w:val="231F20"/>
          <w:sz w:val="16"/>
          <w:szCs w:val="16"/>
        </w:rPr>
        <w:t xml:space="preserve"> </w:t>
      </w:r>
    </w:p>
    <w:p w:rsidR="00306953" w:rsidRPr="00306953" w:rsidRDefault="00306953" w:rsidP="00306953">
      <w:pPr>
        <w:autoSpaceDE w:val="0"/>
        <w:autoSpaceDN w:val="0"/>
        <w:adjustRightInd w:val="0"/>
        <w:spacing w:after="120" w:line="240" w:lineRule="auto"/>
        <w:jc w:val="both"/>
        <w:rPr>
          <w:rFonts w:eastAsia="ChaparralPro-Regular" w:cs="Arial"/>
        </w:rPr>
      </w:pPr>
      <w:r w:rsidRPr="00306953">
        <w:rPr>
          <w:rFonts w:eastAsia="ChaparralPro-Regular" w:cs="Arial"/>
        </w:rPr>
        <w:t>Na úrovni terciárního vzdělávání věnovaly pouze Island a Brazílie více než 80 % běžných výdajů na platy zaměstnanců. Pokud jde o souhrn vzdělávání na úrovni primární, sekundární a postsekundární neterciární, celkem osmnáct zemí věnovalo na platy zaměstnanců 80 % běžných výdajů či více.</w:t>
      </w:r>
    </w:p>
    <w:p w:rsidR="00306953" w:rsidRPr="00306953" w:rsidRDefault="00306953" w:rsidP="00306953">
      <w:pPr>
        <w:autoSpaceDE w:val="0"/>
        <w:autoSpaceDN w:val="0"/>
        <w:adjustRightInd w:val="0"/>
        <w:spacing w:after="120" w:line="240" w:lineRule="auto"/>
        <w:jc w:val="both"/>
        <w:rPr>
          <w:rFonts w:eastAsia="ChaparralPro-Regular" w:cs="Arial"/>
        </w:rPr>
      </w:pPr>
      <w:r w:rsidRPr="00306953">
        <w:rPr>
          <w:rFonts w:eastAsia="ChaparralPro-Regular" w:cs="Arial"/>
        </w:rPr>
        <w:t xml:space="preserve">Tabulka č. 20 dále (mj.) ukazuje výdaje na </w:t>
      </w:r>
      <w:r w:rsidRPr="00306953">
        <w:rPr>
          <w:rFonts w:eastAsia="ChaparralPro-Regular" w:cs="Arial"/>
          <w:b/>
        </w:rPr>
        <w:t>mzdy učitelů, ostatního personálu a na ostatní běžné výdaje</w:t>
      </w:r>
      <w:r w:rsidRPr="00306953">
        <w:rPr>
          <w:rFonts w:eastAsia="ChaparralPro-Regular" w:cs="Arial"/>
        </w:rPr>
        <w:t xml:space="preserve"> za vybrané země.</w:t>
      </w:r>
    </w:p>
    <w:p w:rsidR="00306953" w:rsidRPr="00306953" w:rsidRDefault="00306953" w:rsidP="00C15ACB">
      <w:pPr>
        <w:keepNext/>
        <w:autoSpaceDE w:val="0"/>
        <w:autoSpaceDN w:val="0"/>
        <w:adjustRightInd w:val="0"/>
        <w:spacing w:after="120" w:line="240" w:lineRule="auto"/>
        <w:jc w:val="both"/>
        <w:rPr>
          <w:rFonts w:eastAsia="ChaparralPro-Regular" w:cs="Arial"/>
          <w:b/>
        </w:rPr>
      </w:pPr>
      <w:r w:rsidRPr="00306953">
        <w:rPr>
          <w:rFonts w:eastAsia="ChaparralPro-Regular" w:cs="Arial"/>
          <w:b/>
        </w:rPr>
        <w:t xml:space="preserve">Tabulka č. 20 Struktura výdajů vzdělávacích institucí dle druhu zdroje a úrovně vzdělávání (2012), v %                     </w:t>
      </w:r>
    </w:p>
    <w:tbl>
      <w:tblPr>
        <w:tblW w:w="9654" w:type="dxa"/>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tblPr>
      <w:tblGrid>
        <w:gridCol w:w="1433"/>
        <w:gridCol w:w="555"/>
        <w:gridCol w:w="561"/>
        <w:gridCol w:w="727"/>
        <w:gridCol w:w="709"/>
        <w:gridCol w:w="709"/>
        <w:gridCol w:w="709"/>
        <w:gridCol w:w="569"/>
        <w:gridCol w:w="695"/>
        <w:gridCol w:w="719"/>
        <w:gridCol w:w="851"/>
        <w:gridCol w:w="850"/>
        <w:gridCol w:w="567"/>
      </w:tblGrid>
      <w:tr w:rsidR="00306953" w:rsidRPr="00442515" w:rsidTr="007A5643">
        <w:trPr>
          <w:trHeight w:val="376"/>
        </w:trPr>
        <w:tc>
          <w:tcPr>
            <w:tcW w:w="1433" w:type="dxa"/>
            <w:vMerge w:val="restart"/>
            <w:shd w:val="clear" w:color="auto" w:fill="FFCCCC"/>
            <w:vAlign w:val="bottom"/>
            <w:hideMark/>
          </w:tcPr>
          <w:p w:rsidR="00306953" w:rsidRPr="001042AC" w:rsidRDefault="00306953" w:rsidP="00C15ACB">
            <w:pPr>
              <w:keepNext/>
              <w:spacing w:after="0" w:line="240" w:lineRule="auto"/>
              <w:rPr>
                <w:rFonts w:cs="Arial"/>
                <w:b/>
                <w:sz w:val="16"/>
                <w:szCs w:val="16"/>
              </w:rPr>
            </w:pPr>
            <w:r w:rsidRPr="001042AC">
              <w:rPr>
                <w:rFonts w:cs="Arial"/>
                <w:b/>
                <w:sz w:val="16"/>
                <w:szCs w:val="16"/>
              </w:rPr>
              <w:t> </w:t>
            </w:r>
          </w:p>
        </w:tc>
        <w:tc>
          <w:tcPr>
            <w:tcW w:w="3970" w:type="dxa"/>
            <w:gridSpan w:val="6"/>
            <w:shd w:val="clear" w:color="auto" w:fill="FFCCCC"/>
            <w:vAlign w:val="center"/>
            <w:hideMark/>
          </w:tcPr>
          <w:p w:rsidR="00306953" w:rsidRPr="001042AC" w:rsidRDefault="005464DF" w:rsidP="00C15ACB">
            <w:pPr>
              <w:keepNext/>
              <w:spacing w:after="0" w:line="240" w:lineRule="auto"/>
              <w:jc w:val="center"/>
              <w:rPr>
                <w:rFonts w:cs="Arial"/>
                <w:b/>
                <w:bCs/>
                <w:color w:val="000000"/>
                <w:sz w:val="16"/>
                <w:szCs w:val="16"/>
              </w:rPr>
            </w:pPr>
            <w:r>
              <w:rPr>
                <w:rFonts w:cs="Arial"/>
                <w:b/>
                <w:bCs/>
                <w:color w:val="000000"/>
                <w:sz w:val="16"/>
                <w:szCs w:val="16"/>
              </w:rPr>
              <w:t>p</w:t>
            </w:r>
            <w:r w:rsidR="00306953" w:rsidRPr="001042AC">
              <w:rPr>
                <w:rFonts w:cs="Arial"/>
                <w:b/>
                <w:bCs/>
                <w:color w:val="000000"/>
                <w:sz w:val="16"/>
                <w:szCs w:val="16"/>
              </w:rPr>
              <w:t>rimární, sekundární a postsek. neterciární vzdělávání</w:t>
            </w:r>
          </w:p>
        </w:tc>
        <w:tc>
          <w:tcPr>
            <w:tcW w:w="4251" w:type="dxa"/>
            <w:gridSpan w:val="6"/>
            <w:shd w:val="clear" w:color="auto" w:fill="FFCCCC"/>
            <w:vAlign w:val="center"/>
            <w:hideMark/>
          </w:tcPr>
          <w:p w:rsidR="00306953" w:rsidRPr="001042AC" w:rsidRDefault="005464DF" w:rsidP="00C15ACB">
            <w:pPr>
              <w:keepNext/>
              <w:spacing w:after="0" w:line="240" w:lineRule="auto"/>
              <w:jc w:val="center"/>
              <w:rPr>
                <w:rFonts w:cs="Arial"/>
                <w:b/>
                <w:bCs/>
                <w:color w:val="000000"/>
                <w:sz w:val="16"/>
                <w:szCs w:val="16"/>
              </w:rPr>
            </w:pPr>
            <w:r>
              <w:rPr>
                <w:rFonts w:cs="Arial"/>
                <w:b/>
                <w:bCs/>
                <w:color w:val="000000"/>
                <w:sz w:val="16"/>
                <w:szCs w:val="16"/>
              </w:rPr>
              <w:t>t</w:t>
            </w:r>
            <w:r w:rsidR="00306953" w:rsidRPr="001042AC">
              <w:rPr>
                <w:rFonts w:cs="Arial"/>
                <w:b/>
                <w:bCs/>
                <w:color w:val="000000"/>
                <w:sz w:val="16"/>
                <w:szCs w:val="16"/>
              </w:rPr>
              <w:t>erciární vzdělávání</w:t>
            </w:r>
          </w:p>
        </w:tc>
      </w:tr>
      <w:tr w:rsidR="00306953" w:rsidRPr="00442515" w:rsidTr="007A5643">
        <w:trPr>
          <w:trHeight w:val="660"/>
        </w:trPr>
        <w:tc>
          <w:tcPr>
            <w:tcW w:w="1433" w:type="dxa"/>
            <w:vMerge/>
            <w:shd w:val="clear" w:color="auto" w:fill="FFCCCC"/>
            <w:vAlign w:val="center"/>
            <w:hideMark/>
          </w:tcPr>
          <w:p w:rsidR="00306953" w:rsidRPr="001042AC" w:rsidRDefault="00306953" w:rsidP="00C15ACB">
            <w:pPr>
              <w:keepNext/>
              <w:spacing w:after="0" w:line="240" w:lineRule="auto"/>
              <w:rPr>
                <w:rFonts w:cs="Arial"/>
                <w:b/>
                <w:sz w:val="16"/>
                <w:szCs w:val="16"/>
              </w:rPr>
            </w:pPr>
          </w:p>
        </w:tc>
        <w:tc>
          <w:tcPr>
            <w:tcW w:w="1116" w:type="dxa"/>
            <w:gridSpan w:val="2"/>
            <w:shd w:val="clear" w:color="auto" w:fill="FFCCCC"/>
            <w:vAlign w:val="center"/>
            <w:hideMark/>
          </w:tcPr>
          <w:p w:rsidR="00306953" w:rsidRPr="001042AC" w:rsidRDefault="005464DF" w:rsidP="00C15ACB">
            <w:pPr>
              <w:keepNext/>
              <w:spacing w:after="0" w:line="240" w:lineRule="auto"/>
              <w:jc w:val="center"/>
              <w:rPr>
                <w:rFonts w:cs="Arial"/>
                <w:b/>
                <w:color w:val="000000"/>
                <w:sz w:val="16"/>
                <w:szCs w:val="16"/>
              </w:rPr>
            </w:pPr>
            <w:r>
              <w:rPr>
                <w:rFonts w:cs="Arial"/>
                <w:b/>
                <w:color w:val="000000"/>
                <w:sz w:val="16"/>
                <w:szCs w:val="16"/>
              </w:rPr>
              <w:t>p</w:t>
            </w:r>
            <w:r w:rsidR="00306953" w:rsidRPr="001042AC">
              <w:rPr>
                <w:rFonts w:cs="Arial"/>
                <w:b/>
                <w:color w:val="000000"/>
                <w:sz w:val="16"/>
                <w:szCs w:val="16"/>
              </w:rPr>
              <w:t>odíl z celkových výdajů</w:t>
            </w:r>
          </w:p>
        </w:tc>
        <w:tc>
          <w:tcPr>
            <w:tcW w:w="2854" w:type="dxa"/>
            <w:gridSpan w:val="4"/>
            <w:shd w:val="clear" w:color="auto" w:fill="FFCCCC"/>
            <w:vAlign w:val="center"/>
            <w:hideMark/>
          </w:tcPr>
          <w:p w:rsidR="00306953" w:rsidRPr="001042AC" w:rsidRDefault="005464DF" w:rsidP="00C15ACB">
            <w:pPr>
              <w:keepNext/>
              <w:spacing w:after="0" w:line="240" w:lineRule="auto"/>
              <w:jc w:val="center"/>
              <w:rPr>
                <w:rFonts w:cs="Arial"/>
                <w:b/>
                <w:color w:val="000000"/>
                <w:sz w:val="16"/>
                <w:szCs w:val="16"/>
              </w:rPr>
            </w:pPr>
            <w:r>
              <w:rPr>
                <w:rFonts w:cs="Arial"/>
                <w:b/>
                <w:color w:val="000000"/>
                <w:sz w:val="16"/>
                <w:szCs w:val="16"/>
              </w:rPr>
              <w:t>p</w:t>
            </w:r>
            <w:r w:rsidR="00306953" w:rsidRPr="001042AC">
              <w:rPr>
                <w:rFonts w:cs="Arial"/>
                <w:b/>
                <w:color w:val="000000"/>
                <w:sz w:val="16"/>
                <w:szCs w:val="16"/>
              </w:rPr>
              <w:t>odíl z běžných výdajů</w:t>
            </w:r>
          </w:p>
        </w:tc>
        <w:tc>
          <w:tcPr>
            <w:tcW w:w="1264" w:type="dxa"/>
            <w:gridSpan w:val="2"/>
            <w:shd w:val="clear" w:color="auto" w:fill="FFCCCC"/>
            <w:vAlign w:val="center"/>
            <w:hideMark/>
          </w:tcPr>
          <w:p w:rsidR="00306953" w:rsidRPr="001042AC" w:rsidRDefault="005464DF" w:rsidP="00C15ACB">
            <w:pPr>
              <w:keepNext/>
              <w:spacing w:after="0" w:line="240" w:lineRule="auto"/>
              <w:jc w:val="center"/>
              <w:rPr>
                <w:rFonts w:cs="Arial"/>
                <w:b/>
                <w:color w:val="000000"/>
                <w:sz w:val="16"/>
                <w:szCs w:val="16"/>
              </w:rPr>
            </w:pPr>
            <w:r>
              <w:rPr>
                <w:rFonts w:cs="Arial"/>
                <w:b/>
                <w:color w:val="000000"/>
                <w:sz w:val="16"/>
                <w:szCs w:val="16"/>
              </w:rPr>
              <w:t>p</w:t>
            </w:r>
            <w:r w:rsidR="00306953" w:rsidRPr="001042AC">
              <w:rPr>
                <w:rFonts w:cs="Arial"/>
                <w:b/>
                <w:color w:val="000000"/>
                <w:sz w:val="16"/>
                <w:szCs w:val="16"/>
              </w:rPr>
              <w:t>odíl z celkových výdajů</w:t>
            </w:r>
          </w:p>
        </w:tc>
        <w:tc>
          <w:tcPr>
            <w:tcW w:w="2987" w:type="dxa"/>
            <w:gridSpan w:val="4"/>
            <w:shd w:val="clear" w:color="auto" w:fill="FFCCCC"/>
            <w:vAlign w:val="center"/>
            <w:hideMark/>
          </w:tcPr>
          <w:p w:rsidR="00306953" w:rsidRPr="001042AC" w:rsidRDefault="00306953" w:rsidP="00C15ACB">
            <w:pPr>
              <w:keepNext/>
              <w:spacing w:after="0" w:line="240" w:lineRule="auto"/>
              <w:jc w:val="center"/>
              <w:rPr>
                <w:rFonts w:cs="Arial"/>
                <w:b/>
                <w:color w:val="000000"/>
                <w:sz w:val="16"/>
                <w:szCs w:val="16"/>
              </w:rPr>
            </w:pPr>
            <w:r w:rsidRPr="001042AC">
              <w:rPr>
                <w:rFonts w:cs="Arial"/>
                <w:b/>
                <w:color w:val="000000"/>
                <w:sz w:val="16"/>
                <w:szCs w:val="16"/>
              </w:rPr>
              <w:t>Podíl z běžných výdajů</w:t>
            </w:r>
          </w:p>
        </w:tc>
      </w:tr>
      <w:tr w:rsidR="00306953" w:rsidRPr="00442515" w:rsidTr="007A5643">
        <w:trPr>
          <w:cantSplit/>
          <w:trHeight w:val="1595"/>
        </w:trPr>
        <w:tc>
          <w:tcPr>
            <w:tcW w:w="1433" w:type="dxa"/>
            <w:vMerge/>
            <w:tcBorders>
              <w:bottom w:val="double" w:sz="4" w:space="0" w:color="auto"/>
            </w:tcBorders>
            <w:shd w:val="clear" w:color="auto" w:fill="FFCCCC"/>
            <w:vAlign w:val="center"/>
            <w:hideMark/>
          </w:tcPr>
          <w:p w:rsidR="00306953" w:rsidRPr="001042AC" w:rsidRDefault="00306953" w:rsidP="00306953">
            <w:pPr>
              <w:spacing w:after="0" w:line="240" w:lineRule="auto"/>
              <w:rPr>
                <w:rFonts w:cs="Arial"/>
                <w:b/>
                <w:sz w:val="16"/>
                <w:szCs w:val="16"/>
              </w:rPr>
            </w:pPr>
          </w:p>
        </w:tc>
        <w:tc>
          <w:tcPr>
            <w:tcW w:w="555" w:type="dxa"/>
            <w:tcBorders>
              <w:bottom w:val="double" w:sz="4" w:space="0" w:color="auto"/>
            </w:tcBorders>
            <w:shd w:val="clear" w:color="auto" w:fill="FFCCCC"/>
            <w:textDirection w:val="btLr"/>
            <w:vAlign w:val="center"/>
            <w:hideMark/>
          </w:tcPr>
          <w:p w:rsidR="00306953" w:rsidRPr="001042AC" w:rsidRDefault="00306953" w:rsidP="00990075">
            <w:pPr>
              <w:spacing w:after="0" w:line="240" w:lineRule="auto"/>
              <w:jc w:val="center"/>
              <w:rPr>
                <w:rFonts w:cs="Arial"/>
                <w:b/>
                <w:color w:val="000000"/>
                <w:sz w:val="16"/>
                <w:szCs w:val="16"/>
              </w:rPr>
            </w:pPr>
            <w:r w:rsidRPr="001042AC">
              <w:rPr>
                <w:rFonts w:cs="Arial"/>
                <w:b/>
                <w:color w:val="000000"/>
                <w:sz w:val="16"/>
                <w:szCs w:val="16"/>
              </w:rPr>
              <w:t>běžné</w:t>
            </w:r>
          </w:p>
        </w:tc>
        <w:tc>
          <w:tcPr>
            <w:tcW w:w="561" w:type="dxa"/>
            <w:tcBorders>
              <w:bottom w:val="double" w:sz="4" w:space="0" w:color="auto"/>
            </w:tcBorders>
            <w:shd w:val="clear" w:color="auto" w:fill="FFCCCC"/>
            <w:textDirection w:val="btLr"/>
            <w:vAlign w:val="center"/>
            <w:hideMark/>
          </w:tcPr>
          <w:p w:rsidR="00306953" w:rsidRPr="001042AC" w:rsidRDefault="00306953" w:rsidP="00990075">
            <w:pPr>
              <w:spacing w:after="0" w:line="240" w:lineRule="auto"/>
              <w:jc w:val="center"/>
              <w:rPr>
                <w:rFonts w:cs="Arial"/>
                <w:b/>
                <w:color w:val="000000"/>
                <w:sz w:val="16"/>
                <w:szCs w:val="16"/>
              </w:rPr>
            </w:pPr>
            <w:r w:rsidRPr="001042AC">
              <w:rPr>
                <w:rFonts w:cs="Arial"/>
                <w:b/>
                <w:color w:val="000000"/>
                <w:sz w:val="16"/>
                <w:szCs w:val="16"/>
              </w:rPr>
              <w:t>kapitálové</w:t>
            </w:r>
          </w:p>
        </w:tc>
        <w:tc>
          <w:tcPr>
            <w:tcW w:w="727" w:type="dxa"/>
            <w:tcBorders>
              <w:bottom w:val="double" w:sz="4" w:space="0" w:color="auto"/>
            </w:tcBorders>
            <w:shd w:val="clear" w:color="auto" w:fill="FFCCCC"/>
            <w:textDirection w:val="btLr"/>
            <w:vAlign w:val="center"/>
            <w:hideMark/>
          </w:tcPr>
          <w:p w:rsidR="00306953" w:rsidRPr="001042AC" w:rsidRDefault="00306953" w:rsidP="00990075">
            <w:pPr>
              <w:spacing w:after="0" w:line="240" w:lineRule="auto"/>
              <w:ind w:left="113" w:right="113"/>
              <w:jc w:val="center"/>
              <w:rPr>
                <w:rFonts w:cs="Arial"/>
                <w:b/>
                <w:color w:val="000000"/>
                <w:sz w:val="16"/>
                <w:szCs w:val="16"/>
              </w:rPr>
            </w:pPr>
            <w:r w:rsidRPr="001042AC">
              <w:rPr>
                <w:rFonts w:cs="Arial"/>
                <w:b/>
                <w:color w:val="000000"/>
                <w:sz w:val="16"/>
                <w:szCs w:val="16"/>
              </w:rPr>
              <w:t>Mzdové prostředky pro učitele</w:t>
            </w:r>
          </w:p>
        </w:tc>
        <w:tc>
          <w:tcPr>
            <w:tcW w:w="709" w:type="dxa"/>
            <w:tcBorders>
              <w:bottom w:val="double" w:sz="4" w:space="0" w:color="auto"/>
            </w:tcBorders>
            <w:shd w:val="clear" w:color="auto" w:fill="FFCCCC"/>
            <w:textDirection w:val="btLr"/>
            <w:vAlign w:val="center"/>
            <w:hideMark/>
          </w:tcPr>
          <w:p w:rsidR="00306953" w:rsidRPr="001042AC" w:rsidRDefault="00306953" w:rsidP="00990075">
            <w:pPr>
              <w:spacing w:after="0" w:line="240" w:lineRule="auto"/>
              <w:ind w:left="113" w:right="113"/>
              <w:jc w:val="center"/>
              <w:rPr>
                <w:rFonts w:cs="Arial"/>
                <w:b/>
                <w:color w:val="000000"/>
                <w:sz w:val="16"/>
                <w:szCs w:val="16"/>
              </w:rPr>
            </w:pPr>
            <w:r w:rsidRPr="001042AC">
              <w:rPr>
                <w:rFonts w:cs="Arial"/>
                <w:b/>
                <w:color w:val="000000"/>
                <w:sz w:val="16"/>
                <w:szCs w:val="16"/>
              </w:rPr>
              <w:t>Mzdové prostředky pro jiný personál</w:t>
            </w:r>
          </w:p>
        </w:tc>
        <w:tc>
          <w:tcPr>
            <w:tcW w:w="709" w:type="dxa"/>
            <w:tcBorders>
              <w:bottom w:val="double" w:sz="4" w:space="0" w:color="auto"/>
            </w:tcBorders>
            <w:shd w:val="clear" w:color="auto" w:fill="FFCCCC"/>
            <w:textDirection w:val="btLr"/>
            <w:vAlign w:val="center"/>
            <w:hideMark/>
          </w:tcPr>
          <w:p w:rsidR="00306953" w:rsidRPr="001042AC" w:rsidRDefault="00306953" w:rsidP="00990075">
            <w:pPr>
              <w:spacing w:after="0" w:line="240" w:lineRule="auto"/>
              <w:ind w:left="113" w:right="113"/>
              <w:jc w:val="center"/>
              <w:rPr>
                <w:rFonts w:cs="Arial"/>
                <w:b/>
                <w:color w:val="000000"/>
                <w:sz w:val="16"/>
                <w:szCs w:val="16"/>
              </w:rPr>
            </w:pPr>
            <w:r w:rsidRPr="001042AC">
              <w:rPr>
                <w:rFonts w:cs="Arial"/>
                <w:b/>
                <w:color w:val="000000"/>
                <w:sz w:val="16"/>
                <w:szCs w:val="16"/>
              </w:rPr>
              <w:t>Mzdové prostředky pro veškerý personál</w:t>
            </w:r>
          </w:p>
        </w:tc>
        <w:tc>
          <w:tcPr>
            <w:tcW w:w="709" w:type="dxa"/>
            <w:tcBorders>
              <w:bottom w:val="double" w:sz="4" w:space="0" w:color="auto"/>
            </w:tcBorders>
            <w:shd w:val="clear" w:color="auto" w:fill="FFCCCC"/>
            <w:textDirection w:val="btLr"/>
            <w:vAlign w:val="center"/>
            <w:hideMark/>
          </w:tcPr>
          <w:p w:rsidR="00306953" w:rsidRPr="001042AC" w:rsidRDefault="005464DF" w:rsidP="00990075">
            <w:pPr>
              <w:spacing w:after="0" w:line="240" w:lineRule="auto"/>
              <w:ind w:left="113" w:right="113"/>
              <w:jc w:val="center"/>
              <w:rPr>
                <w:rFonts w:cs="Arial"/>
                <w:b/>
                <w:color w:val="000000"/>
                <w:sz w:val="16"/>
                <w:szCs w:val="16"/>
              </w:rPr>
            </w:pPr>
            <w:r>
              <w:rPr>
                <w:rFonts w:cs="Arial"/>
                <w:b/>
                <w:color w:val="000000"/>
                <w:sz w:val="16"/>
                <w:szCs w:val="16"/>
              </w:rPr>
              <w:t>o</w:t>
            </w:r>
            <w:r w:rsidR="00306953" w:rsidRPr="001042AC">
              <w:rPr>
                <w:rFonts w:cs="Arial"/>
                <w:b/>
                <w:color w:val="000000"/>
                <w:sz w:val="16"/>
                <w:szCs w:val="16"/>
              </w:rPr>
              <w:t>statní běžné výdaje</w:t>
            </w:r>
          </w:p>
        </w:tc>
        <w:tc>
          <w:tcPr>
            <w:tcW w:w="569" w:type="dxa"/>
            <w:tcBorders>
              <w:bottom w:val="double" w:sz="4" w:space="0" w:color="auto"/>
            </w:tcBorders>
            <w:shd w:val="clear" w:color="auto" w:fill="FFCCCC"/>
            <w:textDirection w:val="btLr"/>
            <w:vAlign w:val="center"/>
            <w:hideMark/>
          </w:tcPr>
          <w:p w:rsidR="00306953" w:rsidRPr="001042AC" w:rsidRDefault="00306953" w:rsidP="00990075">
            <w:pPr>
              <w:spacing w:after="0" w:line="240" w:lineRule="auto"/>
              <w:jc w:val="center"/>
              <w:rPr>
                <w:rFonts w:cs="Arial"/>
                <w:b/>
                <w:color w:val="000000"/>
                <w:sz w:val="16"/>
                <w:szCs w:val="16"/>
              </w:rPr>
            </w:pPr>
            <w:r w:rsidRPr="001042AC">
              <w:rPr>
                <w:rFonts w:cs="Arial"/>
                <w:b/>
                <w:color w:val="000000"/>
                <w:sz w:val="16"/>
                <w:szCs w:val="16"/>
              </w:rPr>
              <w:t>běžné</w:t>
            </w:r>
          </w:p>
        </w:tc>
        <w:tc>
          <w:tcPr>
            <w:tcW w:w="695" w:type="dxa"/>
            <w:tcBorders>
              <w:bottom w:val="double" w:sz="4" w:space="0" w:color="auto"/>
            </w:tcBorders>
            <w:shd w:val="clear" w:color="auto" w:fill="FFCCCC"/>
            <w:textDirection w:val="btLr"/>
            <w:vAlign w:val="center"/>
            <w:hideMark/>
          </w:tcPr>
          <w:p w:rsidR="00306953" w:rsidRPr="001042AC" w:rsidRDefault="00306953" w:rsidP="00990075">
            <w:pPr>
              <w:spacing w:after="0" w:line="240" w:lineRule="auto"/>
              <w:jc w:val="center"/>
              <w:rPr>
                <w:rFonts w:cs="Arial"/>
                <w:b/>
                <w:color w:val="000000"/>
                <w:sz w:val="16"/>
                <w:szCs w:val="16"/>
              </w:rPr>
            </w:pPr>
            <w:r w:rsidRPr="001042AC">
              <w:rPr>
                <w:rFonts w:cs="Arial"/>
                <w:b/>
                <w:color w:val="000000"/>
                <w:sz w:val="16"/>
                <w:szCs w:val="16"/>
              </w:rPr>
              <w:t>kapitálové</w:t>
            </w:r>
          </w:p>
        </w:tc>
        <w:tc>
          <w:tcPr>
            <w:tcW w:w="719" w:type="dxa"/>
            <w:tcBorders>
              <w:bottom w:val="double" w:sz="4" w:space="0" w:color="auto"/>
            </w:tcBorders>
            <w:shd w:val="clear" w:color="auto" w:fill="FFCCCC"/>
            <w:textDirection w:val="btLr"/>
            <w:vAlign w:val="center"/>
            <w:hideMark/>
          </w:tcPr>
          <w:p w:rsidR="00306953" w:rsidRPr="001042AC" w:rsidRDefault="00306953" w:rsidP="00990075">
            <w:pPr>
              <w:spacing w:after="0" w:line="240" w:lineRule="auto"/>
              <w:ind w:left="113" w:right="113"/>
              <w:jc w:val="center"/>
              <w:rPr>
                <w:rFonts w:cs="Arial"/>
                <w:b/>
                <w:color w:val="000000"/>
                <w:sz w:val="16"/>
                <w:szCs w:val="16"/>
              </w:rPr>
            </w:pPr>
            <w:r w:rsidRPr="001042AC">
              <w:rPr>
                <w:rFonts w:cs="Arial"/>
                <w:b/>
                <w:color w:val="000000"/>
                <w:sz w:val="16"/>
                <w:szCs w:val="16"/>
              </w:rPr>
              <w:t>Mzdové prostředky pro učitele</w:t>
            </w:r>
          </w:p>
        </w:tc>
        <w:tc>
          <w:tcPr>
            <w:tcW w:w="851" w:type="dxa"/>
            <w:tcBorders>
              <w:bottom w:val="double" w:sz="4" w:space="0" w:color="auto"/>
            </w:tcBorders>
            <w:shd w:val="clear" w:color="auto" w:fill="FFCCCC"/>
            <w:textDirection w:val="btLr"/>
            <w:vAlign w:val="center"/>
            <w:hideMark/>
          </w:tcPr>
          <w:p w:rsidR="00306953" w:rsidRPr="001042AC" w:rsidRDefault="00306953" w:rsidP="00990075">
            <w:pPr>
              <w:spacing w:after="0" w:line="240" w:lineRule="auto"/>
              <w:ind w:left="113" w:right="113"/>
              <w:jc w:val="center"/>
              <w:rPr>
                <w:rFonts w:cs="Arial"/>
                <w:b/>
                <w:color w:val="000000"/>
                <w:sz w:val="16"/>
                <w:szCs w:val="16"/>
              </w:rPr>
            </w:pPr>
            <w:r w:rsidRPr="001042AC">
              <w:rPr>
                <w:rFonts w:cs="Arial"/>
                <w:b/>
                <w:color w:val="000000"/>
                <w:sz w:val="16"/>
                <w:szCs w:val="16"/>
              </w:rPr>
              <w:t>Mzdové prostředky pro jiný personál</w:t>
            </w:r>
          </w:p>
        </w:tc>
        <w:tc>
          <w:tcPr>
            <w:tcW w:w="850" w:type="dxa"/>
            <w:tcBorders>
              <w:bottom w:val="double" w:sz="4" w:space="0" w:color="auto"/>
            </w:tcBorders>
            <w:shd w:val="clear" w:color="auto" w:fill="FFCCCC"/>
            <w:textDirection w:val="btLr"/>
            <w:vAlign w:val="center"/>
            <w:hideMark/>
          </w:tcPr>
          <w:p w:rsidR="00306953" w:rsidRPr="001042AC" w:rsidRDefault="00306953" w:rsidP="00990075">
            <w:pPr>
              <w:spacing w:after="0" w:line="240" w:lineRule="auto"/>
              <w:ind w:left="113" w:right="113"/>
              <w:jc w:val="center"/>
              <w:rPr>
                <w:rFonts w:cs="Arial"/>
                <w:b/>
                <w:color w:val="000000"/>
                <w:sz w:val="16"/>
                <w:szCs w:val="16"/>
              </w:rPr>
            </w:pPr>
            <w:r w:rsidRPr="001042AC">
              <w:rPr>
                <w:rFonts w:cs="Arial"/>
                <w:b/>
                <w:color w:val="000000"/>
                <w:sz w:val="16"/>
                <w:szCs w:val="16"/>
              </w:rPr>
              <w:t>Mzdové prostředky pro veškerý personál</w:t>
            </w:r>
          </w:p>
        </w:tc>
        <w:tc>
          <w:tcPr>
            <w:tcW w:w="567" w:type="dxa"/>
            <w:tcBorders>
              <w:bottom w:val="double" w:sz="4" w:space="0" w:color="auto"/>
            </w:tcBorders>
            <w:shd w:val="clear" w:color="auto" w:fill="FFCCCC"/>
            <w:textDirection w:val="btLr"/>
            <w:vAlign w:val="center"/>
            <w:hideMark/>
          </w:tcPr>
          <w:p w:rsidR="00306953" w:rsidRPr="001042AC" w:rsidRDefault="005464DF" w:rsidP="00990075">
            <w:pPr>
              <w:spacing w:after="0" w:line="240" w:lineRule="auto"/>
              <w:ind w:left="113" w:right="113"/>
              <w:jc w:val="center"/>
              <w:rPr>
                <w:rFonts w:cs="Arial"/>
                <w:b/>
                <w:color w:val="000000"/>
                <w:sz w:val="16"/>
                <w:szCs w:val="16"/>
              </w:rPr>
            </w:pPr>
            <w:r>
              <w:rPr>
                <w:rFonts w:cs="Arial"/>
                <w:b/>
                <w:color w:val="000000"/>
                <w:sz w:val="16"/>
                <w:szCs w:val="16"/>
              </w:rPr>
              <w:t>o</w:t>
            </w:r>
            <w:r w:rsidR="00306953" w:rsidRPr="001042AC">
              <w:rPr>
                <w:rFonts w:cs="Arial"/>
                <w:b/>
                <w:color w:val="000000"/>
                <w:sz w:val="16"/>
                <w:szCs w:val="16"/>
              </w:rPr>
              <w:t>statní běžné výdaje</w:t>
            </w:r>
          </w:p>
        </w:tc>
      </w:tr>
      <w:tr w:rsidR="00306953" w:rsidRPr="00442515" w:rsidTr="007A5643">
        <w:trPr>
          <w:trHeight w:val="255"/>
        </w:trPr>
        <w:tc>
          <w:tcPr>
            <w:tcW w:w="1433" w:type="dxa"/>
            <w:tcBorders>
              <w:top w:val="double" w:sz="4" w:space="0" w:color="auto"/>
              <w:bottom w:val="single" w:sz="4" w:space="0" w:color="auto"/>
            </w:tcBorders>
            <w:shd w:val="clear" w:color="000000" w:fill="FFFFFF"/>
            <w:noWrap/>
            <w:vAlign w:val="center"/>
            <w:hideMark/>
          </w:tcPr>
          <w:p w:rsidR="00306953" w:rsidRPr="00442515" w:rsidRDefault="00306953" w:rsidP="007E5BD0">
            <w:pPr>
              <w:spacing w:after="0" w:line="240" w:lineRule="auto"/>
              <w:rPr>
                <w:rFonts w:cs="Arial"/>
                <w:sz w:val="16"/>
                <w:szCs w:val="16"/>
              </w:rPr>
            </w:pPr>
            <w:r w:rsidRPr="00442515">
              <w:rPr>
                <w:rFonts w:cs="Arial"/>
                <w:sz w:val="16"/>
                <w:szCs w:val="16"/>
              </w:rPr>
              <w:t>Česká republika</w:t>
            </w:r>
          </w:p>
        </w:tc>
        <w:tc>
          <w:tcPr>
            <w:tcW w:w="555" w:type="dxa"/>
            <w:tcBorders>
              <w:top w:val="double" w:sz="4" w:space="0" w:color="auto"/>
              <w:bottom w:val="single" w:sz="4" w:space="0" w:color="auto"/>
            </w:tcBorders>
            <w:shd w:val="clear" w:color="auto" w:fill="auto"/>
            <w:noWrap/>
            <w:vAlign w:val="center"/>
            <w:hideMark/>
          </w:tcPr>
          <w:p w:rsidR="00306953" w:rsidRPr="00442515" w:rsidRDefault="00306953" w:rsidP="007E5BD0">
            <w:pPr>
              <w:spacing w:after="0" w:line="240" w:lineRule="auto"/>
              <w:jc w:val="center"/>
              <w:rPr>
                <w:rFonts w:cs="Arial"/>
                <w:b/>
                <w:bCs/>
                <w:color w:val="000000"/>
                <w:sz w:val="16"/>
                <w:szCs w:val="16"/>
              </w:rPr>
            </w:pPr>
            <w:r w:rsidRPr="00442515">
              <w:rPr>
                <w:rFonts w:cs="Arial"/>
                <w:b/>
                <w:bCs/>
                <w:color w:val="000000"/>
                <w:sz w:val="16"/>
                <w:szCs w:val="16"/>
              </w:rPr>
              <w:t>92,2</w:t>
            </w:r>
          </w:p>
        </w:tc>
        <w:tc>
          <w:tcPr>
            <w:tcW w:w="561" w:type="dxa"/>
            <w:tcBorders>
              <w:top w:val="double" w:sz="4" w:space="0" w:color="auto"/>
              <w:bottom w:val="single" w:sz="4" w:space="0" w:color="auto"/>
            </w:tcBorders>
            <w:shd w:val="clear" w:color="auto" w:fill="auto"/>
            <w:noWrap/>
            <w:vAlign w:val="center"/>
            <w:hideMark/>
          </w:tcPr>
          <w:p w:rsidR="00306953" w:rsidRPr="00442515" w:rsidRDefault="00306953" w:rsidP="007E5BD0">
            <w:pPr>
              <w:spacing w:after="0" w:line="240" w:lineRule="auto"/>
              <w:jc w:val="center"/>
              <w:rPr>
                <w:rFonts w:cs="Arial"/>
                <w:b/>
                <w:bCs/>
                <w:color w:val="000000"/>
                <w:sz w:val="16"/>
                <w:szCs w:val="16"/>
              </w:rPr>
            </w:pPr>
            <w:r w:rsidRPr="00442515">
              <w:rPr>
                <w:rFonts w:cs="Arial"/>
                <w:b/>
                <w:bCs/>
                <w:color w:val="000000"/>
                <w:sz w:val="16"/>
                <w:szCs w:val="16"/>
              </w:rPr>
              <w:t>7,8</w:t>
            </w:r>
          </w:p>
        </w:tc>
        <w:tc>
          <w:tcPr>
            <w:tcW w:w="727" w:type="dxa"/>
            <w:tcBorders>
              <w:top w:val="double" w:sz="4" w:space="0" w:color="auto"/>
              <w:bottom w:val="single" w:sz="4" w:space="0" w:color="auto"/>
            </w:tcBorders>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43,6</w:t>
            </w:r>
          </w:p>
        </w:tc>
        <w:tc>
          <w:tcPr>
            <w:tcW w:w="709" w:type="dxa"/>
            <w:tcBorders>
              <w:top w:val="double" w:sz="4" w:space="0" w:color="auto"/>
              <w:bottom w:val="single" w:sz="4" w:space="0" w:color="auto"/>
            </w:tcBorders>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14,4</w:t>
            </w:r>
          </w:p>
        </w:tc>
        <w:tc>
          <w:tcPr>
            <w:tcW w:w="709" w:type="dxa"/>
            <w:tcBorders>
              <w:top w:val="double" w:sz="4" w:space="0" w:color="auto"/>
              <w:bottom w:val="single" w:sz="4" w:space="0" w:color="auto"/>
            </w:tcBorders>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58,0</w:t>
            </w:r>
          </w:p>
        </w:tc>
        <w:tc>
          <w:tcPr>
            <w:tcW w:w="709" w:type="dxa"/>
            <w:tcBorders>
              <w:top w:val="double" w:sz="4" w:space="0" w:color="auto"/>
              <w:bottom w:val="single" w:sz="4" w:space="0" w:color="auto"/>
            </w:tcBorders>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42,0</w:t>
            </w:r>
          </w:p>
        </w:tc>
        <w:tc>
          <w:tcPr>
            <w:tcW w:w="569" w:type="dxa"/>
            <w:tcBorders>
              <w:top w:val="double" w:sz="4" w:space="0" w:color="auto"/>
              <w:bottom w:val="single" w:sz="4" w:space="0" w:color="auto"/>
            </w:tcBorders>
            <w:shd w:val="clear" w:color="auto" w:fill="auto"/>
            <w:noWrap/>
            <w:vAlign w:val="center"/>
            <w:hideMark/>
          </w:tcPr>
          <w:p w:rsidR="00306953" w:rsidRPr="00442515" w:rsidRDefault="00306953" w:rsidP="007E5BD0">
            <w:pPr>
              <w:spacing w:after="0" w:line="240" w:lineRule="auto"/>
              <w:jc w:val="center"/>
              <w:rPr>
                <w:rFonts w:cs="Arial"/>
                <w:b/>
                <w:bCs/>
                <w:color w:val="000000"/>
                <w:sz w:val="16"/>
                <w:szCs w:val="16"/>
              </w:rPr>
            </w:pPr>
            <w:r w:rsidRPr="00442515">
              <w:rPr>
                <w:rFonts w:cs="Arial"/>
                <w:b/>
                <w:bCs/>
                <w:color w:val="000000"/>
                <w:sz w:val="16"/>
                <w:szCs w:val="16"/>
              </w:rPr>
              <w:t>90,6</w:t>
            </w:r>
          </w:p>
        </w:tc>
        <w:tc>
          <w:tcPr>
            <w:tcW w:w="695" w:type="dxa"/>
            <w:tcBorders>
              <w:top w:val="double" w:sz="4" w:space="0" w:color="auto"/>
              <w:bottom w:val="single" w:sz="4" w:space="0" w:color="auto"/>
            </w:tcBorders>
            <w:shd w:val="clear" w:color="auto" w:fill="auto"/>
            <w:noWrap/>
            <w:vAlign w:val="center"/>
            <w:hideMark/>
          </w:tcPr>
          <w:p w:rsidR="00306953" w:rsidRPr="00442515" w:rsidRDefault="00306953" w:rsidP="007E5BD0">
            <w:pPr>
              <w:spacing w:after="0" w:line="240" w:lineRule="auto"/>
              <w:jc w:val="center"/>
              <w:rPr>
                <w:rFonts w:cs="Arial"/>
                <w:b/>
                <w:bCs/>
                <w:color w:val="000000"/>
                <w:sz w:val="16"/>
                <w:szCs w:val="16"/>
              </w:rPr>
            </w:pPr>
            <w:r w:rsidRPr="00442515">
              <w:rPr>
                <w:rFonts w:cs="Arial"/>
                <w:b/>
                <w:bCs/>
                <w:color w:val="000000"/>
                <w:sz w:val="16"/>
                <w:szCs w:val="16"/>
              </w:rPr>
              <w:t>9,4</w:t>
            </w:r>
          </w:p>
        </w:tc>
        <w:tc>
          <w:tcPr>
            <w:tcW w:w="719" w:type="dxa"/>
            <w:tcBorders>
              <w:top w:val="double" w:sz="4" w:space="0" w:color="auto"/>
              <w:bottom w:val="single" w:sz="4" w:space="0" w:color="auto"/>
            </w:tcBorders>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25,2</w:t>
            </w:r>
          </w:p>
        </w:tc>
        <w:tc>
          <w:tcPr>
            <w:tcW w:w="851" w:type="dxa"/>
            <w:tcBorders>
              <w:top w:val="double" w:sz="4" w:space="0" w:color="auto"/>
              <w:bottom w:val="single" w:sz="4" w:space="0" w:color="auto"/>
            </w:tcBorders>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15,4</w:t>
            </w:r>
          </w:p>
        </w:tc>
        <w:tc>
          <w:tcPr>
            <w:tcW w:w="850" w:type="dxa"/>
            <w:tcBorders>
              <w:top w:val="double" w:sz="4" w:space="0" w:color="auto"/>
              <w:bottom w:val="single" w:sz="4" w:space="0" w:color="auto"/>
            </w:tcBorders>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40,6</w:t>
            </w:r>
          </w:p>
        </w:tc>
        <w:tc>
          <w:tcPr>
            <w:tcW w:w="567" w:type="dxa"/>
            <w:tcBorders>
              <w:top w:val="double" w:sz="4" w:space="0" w:color="auto"/>
              <w:bottom w:val="single" w:sz="4" w:space="0" w:color="auto"/>
            </w:tcBorders>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59,4</w:t>
            </w:r>
          </w:p>
        </w:tc>
      </w:tr>
      <w:tr w:rsidR="00306953" w:rsidRPr="00442515" w:rsidTr="007A5643">
        <w:trPr>
          <w:trHeight w:val="255"/>
        </w:trPr>
        <w:tc>
          <w:tcPr>
            <w:tcW w:w="1433" w:type="dxa"/>
            <w:tcBorders>
              <w:top w:val="single" w:sz="4" w:space="0" w:color="auto"/>
            </w:tcBorders>
            <w:shd w:val="clear" w:color="000000" w:fill="FFFFFF"/>
            <w:noWrap/>
            <w:vAlign w:val="center"/>
            <w:hideMark/>
          </w:tcPr>
          <w:p w:rsidR="00306953" w:rsidRPr="00442515" w:rsidRDefault="00306953" w:rsidP="007E5BD0">
            <w:pPr>
              <w:spacing w:after="0" w:line="240" w:lineRule="auto"/>
              <w:rPr>
                <w:rFonts w:cs="Arial"/>
                <w:sz w:val="16"/>
                <w:szCs w:val="16"/>
                <w:vertAlign w:val="superscript"/>
              </w:rPr>
            </w:pPr>
            <w:r w:rsidRPr="00442515">
              <w:rPr>
                <w:rFonts w:cs="Arial"/>
                <w:sz w:val="16"/>
                <w:szCs w:val="16"/>
              </w:rPr>
              <w:t>Slovensko</w:t>
            </w:r>
            <w:r w:rsidRPr="00442515">
              <w:rPr>
                <w:rFonts w:cs="Arial"/>
                <w:sz w:val="16"/>
                <w:szCs w:val="16"/>
                <w:vertAlign w:val="superscript"/>
              </w:rPr>
              <w:t>1)</w:t>
            </w:r>
          </w:p>
        </w:tc>
        <w:tc>
          <w:tcPr>
            <w:tcW w:w="555" w:type="dxa"/>
            <w:tcBorders>
              <w:top w:val="single" w:sz="4" w:space="0" w:color="auto"/>
            </w:tcBorders>
            <w:shd w:val="clear" w:color="auto" w:fill="auto"/>
            <w:noWrap/>
            <w:vAlign w:val="center"/>
            <w:hideMark/>
          </w:tcPr>
          <w:p w:rsidR="00306953" w:rsidRPr="00442515" w:rsidRDefault="00306953" w:rsidP="007E5BD0">
            <w:pPr>
              <w:spacing w:after="0" w:line="240" w:lineRule="auto"/>
              <w:jc w:val="center"/>
              <w:rPr>
                <w:rFonts w:cs="Arial"/>
                <w:b/>
                <w:bCs/>
                <w:color w:val="000000"/>
                <w:sz w:val="16"/>
                <w:szCs w:val="16"/>
              </w:rPr>
            </w:pPr>
            <w:r w:rsidRPr="00442515">
              <w:rPr>
                <w:rFonts w:cs="Arial"/>
                <w:b/>
                <w:bCs/>
                <w:color w:val="000000"/>
                <w:sz w:val="16"/>
                <w:szCs w:val="16"/>
              </w:rPr>
              <w:t>96,9</w:t>
            </w:r>
          </w:p>
        </w:tc>
        <w:tc>
          <w:tcPr>
            <w:tcW w:w="561" w:type="dxa"/>
            <w:tcBorders>
              <w:top w:val="single" w:sz="4" w:space="0" w:color="auto"/>
            </w:tcBorders>
            <w:shd w:val="clear" w:color="auto" w:fill="auto"/>
            <w:noWrap/>
            <w:vAlign w:val="center"/>
            <w:hideMark/>
          </w:tcPr>
          <w:p w:rsidR="00306953" w:rsidRPr="00442515" w:rsidRDefault="00306953" w:rsidP="007E5BD0">
            <w:pPr>
              <w:spacing w:after="0" w:line="240" w:lineRule="auto"/>
              <w:jc w:val="center"/>
              <w:rPr>
                <w:rFonts w:cs="Arial"/>
                <w:b/>
                <w:bCs/>
                <w:color w:val="000000"/>
                <w:sz w:val="16"/>
                <w:szCs w:val="16"/>
              </w:rPr>
            </w:pPr>
            <w:r w:rsidRPr="00442515">
              <w:rPr>
                <w:rFonts w:cs="Arial"/>
                <w:b/>
                <w:bCs/>
                <w:color w:val="000000"/>
                <w:sz w:val="16"/>
                <w:szCs w:val="16"/>
              </w:rPr>
              <w:t>3,1</w:t>
            </w:r>
          </w:p>
        </w:tc>
        <w:tc>
          <w:tcPr>
            <w:tcW w:w="727" w:type="dxa"/>
            <w:tcBorders>
              <w:top w:val="single" w:sz="4" w:space="0" w:color="auto"/>
            </w:tcBorders>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52,7</w:t>
            </w:r>
          </w:p>
        </w:tc>
        <w:tc>
          <w:tcPr>
            <w:tcW w:w="709" w:type="dxa"/>
            <w:tcBorders>
              <w:top w:val="single" w:sz="4" w:space="0" w:color="auto"/>
            </w:tcBorders>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13,4</w:t>
            </w:r>
          </w:p>
        </w:tc>
        <w:tc>
          <w:tcPr>
            <w:tcW w:w="709" w:type="dxa"/>
            <w:tcBorders>
              <w:top w:val="single" w:sz="4" w:space="0" w:color="auto"/>
            </w:tcBorders>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66,1</w:t>
            </w:r>
          </w:p>
        </w:tc>
        <w:tc>
          <w:tcPr>
            <w:tcW w:w="709" w:type="dxa"/>
            <w:tcBorders>
              <w:top w:val="single" w:sz="4" w:space="0" w:color="auto"/>
            </w:tcBorders>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33,9</w:t>
            </w:r>
          </w:p>
        </w:tc>
        <w:tc>
          <w:tcPr>
            <w:tcW w:w="569" w:type="dxa"/>
            <w:tcBorders>
              <w:top w:val="single" w:sz="4" w:space="0" w:color="auto"/>
            </w:tcBorders>
            <w:shd w:val="clear" w:color="auto" w:fill="auto"/>
            <w:noWrap/>
            <w:vAlign w:val="center"/>
            <w:hideMark/>
          </w:tcPr>
          <w:p w:rsidR="00306953" w:rsidRPr="00442515" w:rsidRDefault="00306953" w:rsidP="007E5BD0">
            <w:pPr>
              <w:spacing w:after="0" w:line="240" w:lineRule="auto"/>
              <w:jc w:val="center"/>
              <w:rPr>
                <w:rFonts w:cs="Arial"/>
                <w:b/>
                <w:bCs/>
                <w:color w:val="000000"/>
                <w:sz w:val="16"/>
                <w:szCs w:val="16"/>
              </w:rPr>
            </w:pPr>
            <w:r w:rsidRPr="00442515">
              <w:rPr>
                <w:rFonts w:cs="Arial"/>
                <w:b/>
                <w:bCs/>
                <w:color w:val="000000"/>
                <w:sz w:val="16"/>
                <w:szCs w:val="16"/>
              </w:rPr>
              <w:t>81,2</w:t>
            </w:r>
          </w:p>
        </w:tc>
        <w:tc>
          <w:tcPr>
            <w:tcW w:w="695" w:type="dxa"/>
            <w:tcBorders>
              <w:top w:val="single" w:sz="4" w:space="0" w:color="auto"/>
            </w:tcBorders>
            <w:shd w:val="clear" w:color="auto" w:fill="auto"/>
            <w:noWrap/>
            <w:vAlign w:val="center"/>
            <w:hideMark/>
          </w:tcPr>
          <w:p w:rsidR="00306953" w:rsidRPr="00442515" w:rsidRDefault="00306953" w:rsidP="007E5BD0">
            <w:pPr>
              <w:spacing w:after="0" w:line="240" w:lineRule="auto"/>
              <w:jc w:val="center"/>
              <w:rPr>
                <w:rFonts w:cs="Arial"/>
                <w:b/>
                <w:bCs/>
                <w:color w:val="000000"/>
                <w:sz w:val="16"/>
                <w:szCs w:val="16"/>
              </w:rPr>
            </w:pPr>
            <w:r w:rsidRPr="00442515">
              <w:rPr>
                <w:rFonts w:cs="Arial"/>
                <w:b/>
                <w:bCs/>
                <w:color w:val="000000"/>
                <w:sz w:val="16"/>
                <w:szCs w:val="16"/>
              </w:rPr>
              <w:t>18,8</w:t>
            </w:r>
          </w:p>
        </w:tc>
        <w:tc>
          <w:tcPr>
            <w:tcW w:w="719" w:type="dxa"/>
            <w:tcBorders>
              <w:top w:val="single" w:sz="4" w:space="0" w:color="auto"/>
            </w:tcBorders>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31,5</w:t>
            </w:r>
          </w:p>
        </w:tc>
        <w:tc>
          <w:tcPr>
            <w:tcW w:w="851" w:type="dxa"/>
            <w:tcBorders>
              <w:top w:val="single" w:sz="4" w:space="0" w:color="auto"/>
            </w:tcBorders>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22,2</w:t>
            </w:r>
          </w:p>
        </w:tc>
        <w:tc>
          <w:tcPr>
            <w:tcW w:w="850" w:type="dxa"/>
            <w:tcBorders>
              <w:top w:val="single" w:sz="4" w:space="0" w:color="auto"/>
            </w:tcBorders>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53,7</w:t>
            </w:r>
          </w:p>
        </w:tc>
        <w:tc>
          <w:tcPr>
            <w:tcW w:w="567" w:type="dxa"/>
            <w:tcBorders>
              <w:top w:val="single" w:sz="4" w:space="0" w:color="auto"/>
            </w:tcBorders>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46,3</w:t>
            </w:r>
          </w:p>
        </w:tc>
      </w:tr>
      <w:tr w:rsidR="00306953" w:rsidRPr="00442515" w:rsidTr="007A5643">
        <w:trPr>
          <w:trHeight w:val="255"/>
        </w:trPr>
        <w:tc>
          <w:tcPr>
            <w:tcW w:w="1433" w:type="dxa"/>
            <w:shd w:val="clear" w:color="000000" w:fill="FFFFFF"/>
            <w:noWrap/>
            <w:vAlign w:val="center"/>
            <w:hideMark/>
          </w:tcPr>
          <w:p w:rsidR="00306953" w:rsidRPr="00442515" w:rsidRDefault="00306953" w:rsidP="007E5BD0">
            <w:pPr>
              <w:spacing w:after="0" w:line="240" w:lineRule="auto"/>
              <w:rPr>
                <w:rFonts w:cs="Arial"/>
                <w:sz w:val="16"/>
                <w:szCs w:val="16"/>
              </w:rPr>
            </w:pPr>
            <w:r w:rsidRPr="00442515">
              <w:rPr>
                <w:rFonts w:cs="Arial"/>
                <w:sz w:val="16"/>
                <w:szCs w:val="16"/>
              </w:rPr>
              <w:t>Polsko</w:t>
            </w:r>
          </w:p>
        </w:tc>
        <w:tc>
          <w:tcPr>
            <w:tcW w:w="555" w:type="dxa"/>
            <w:shd w:val="clear" w:color="auto" w:fill="auto"/>
            <w:noWrap/>
            <w:vAlign w:val="center"/>
            <w:hideMark/>
          </w:tcPr>
          <w:p w:rsidR="00306953" w:rsidRPr="00442515" w:rsidRDefault="00306953" w:rsidP="007E5BD0">
            <w:pPr>
              <w:spacing w:after="0" w:line="240" w:lineRule="auto"/>
              <w:jc w:val="center"/>
              <w:rPr>
                <w:rFonts w:cs="Arial"/>
                <w:b/>
                <w:bCs/>
                <w:color w:val="000000"/>
                <w:sz w:val="16"/>
                <w:szCs w:val="16"/>
              </w:rPr>
            </w:pPr>
            <w:r w:rsidRPr="00442515">
              <w:rPr>
                <w:rFonts w:cs="Arial"/>
                <w:b/>
                <w:bCs/>
                <w:color w:val="000000"/>
                <w:sz w:val="16"/>
                <w:szCs w:val="16"/>
              </w:rPr>
              <w:t>95,7</w:t>
            </w:r>
          </w:p>
        </w:tc>
        <w:tc>
          <w:tcPr>
            <w:tcW w:w="561" w:type="dxa"/>
            <w:shd w:val="clear" w:color="auto" w:fill="auto"/>
            <w:noWrap/>
            <w:vAlign w:val="center"/>
            <w:hideMark/>
          </w:tcPr>
          <w:p w:rsidR="00306953" w:rsidRPr="00442515" w:rsidRDefault="00306953" w:rsidP="007E5BD0">
            <w:pPr>
              <w:spacing w:after="0" w:line="240" w:lineRule="auto"/>
              <w:jc w:val="center"/>
              <w:rPr>
                <w:rFonts w:cs="Arial"/>
                <w:b/>
                <w:bCs/>
                <w:color w:val="000000"/>
                <w:sz w:val="16"/>
                <w:szCs w:val="16"/>
              </w:rPr>
            </w:pPr>
            <w:r w:rsidRPr="00442515">
              <w:rPr>
                <w:rFonts w:cs="Arial"/>
                <w:b/>
                <w:bCs/>
                <w:color w:val="000000"/>
                <w:sz w:val="16"/>
                <w:szCs w:val="16"/>
              </w:rPr>
              <w:t>4,3</w:t>
            </w:r>
          </w:p>
        </w:tc>
        <w:tc>
          <w:tcPr>
            <w:tcW w:w="727" w:type="dxa"/>
            <w:shd w:val="clear" w:color="auto" w:fill="auto"/>
            <w:noWrap/>
            <w:vAlign w:val="center"/>
            <w:hideMark/>
          </w:tcPr>
          <w:p w:rsidR="00306953" w:rsidRPr="00442515" w:rsidRDefault="00306953" w:rsidP="007E5BD0">
            <w:pPr>
              <w:spacing w:after="0" w:line="240" w:lineRule="auto"/>
              <w:jc w:val="center"/>
              <w:rPr>
                <w:rFonts w:cs="Arial"/>
                <w:b/>
                <w:color w:val="000000"/>
                <w:sz w:val="16"/>
                <w:szCs w:val="16"/>
              </w:rPr>
            </w:pPr>
            <w:r w:rsidRPr="00442515">
              <w:rPr>
                <w:rFonts w:cs="Arial"/>
                <w:b/>
                <w:color w:val="000000"/>
                <w:sz w:val="16"/>
                <w:szCs w:val="16"/>
              </w:rPr>
              <w:t>.</w:t>
            </w:r>
          </w:p>
        </w:tc>
        <w:tc>
          <w:tcPr>
            <w:tcW w:w="709" w:type="dxa"/>
            <w:shd w:val="clear" w:color="auto" w:fill="auto"/>
            <w:noWrap/>
            <w:vAlign w:val="center"/>
            <w:hideMark/>
          </w:tcPr>
          <w:p w:rsidR="00306953" w:rsidRPr="00442515" w:rsidRDefault="00306953" w:rsidP="007E5BD0">
            <w:pPr>
              <w:spacing w:after="0" w:line="240" w:lineRule="auto"/>
              <w:jc w:val="center"/>
              <w:rPr>
                <w:rFonts w:cs="Arial"/>
                <w:b/>
                <w:color w:val="000000"/>
                <w:sz w:val="16"/>
                <w:szCs w:val="16"/>
              </w:rPr>
            </w:pPr>
            <w:r w:rsidRPr="00442515">
              <w:rPr>
                <w:rFonts w:cs="Arial"/>
                <w:b/>
                <w:color w:val="000000"/>
                <w:sz w:val="16"/>
                <w:szCs w:val="16"/>
              </w:rPr>
              <w:t>.</w:t>
            </w:r>
          </w:p>
        </w:tc>
        <w:tc>
          <w:tcPr>
            <w:tcW w:w="709" w:type="dxa"/>
            <w:shd w:val="clear" w:color="auto" w:fill="auto"/>
            <w:noWrap/>
            <w:vAlign w:val="center"/>
            <w:hideMark/>
          </w:tcPr>
          <w:p w:rsidR="00306953" w:rsidRPr="00442515" w:rsidRDefault="00306953" w:rsidP="007E5BD0">
            <w:pPr>
              <w:spacing w:after="0" w:line="240" w:lineRule="auto"/>
              <w:jc w:val="center"/>
              <w:rPr>
                <w:rFonts w:cs="Arial"/>
                <w:b/>
                <w:color w:val="000000"/>
                <w:sz w:val="16"/>
                <w:szCs w:val="16"/>
              </w:rPr>
            </w:pPr>
            <w:r w:rsidRPr="00442515">
              <w:rPr>
                <w:rFonts w:cs="Arial"/>
                <w:b/>
                <w:color w:val="000000"/>
                <w:sz w:val="16"/>
                <w:szCs w:val="16"/>
              </w:rPr>
              <w:t>.</w:t>
            </w:r>
          </w:p>
        </w:tc>
        <w:tc>
          <w:tcPr>
            <w:tcW w:w="709" w:type="dxa"/>
            <w:shd w:val="clear" w:color="auto" w:fill="auto"/>
            <w:noWrap/>
            <w:vAlign w:val="center"/>
            <w:hideMark/>
          </w:tcPr>
          <w:p w:rsidR="00306953" w:rsidRPr="00442515" w:rsidRDefault="00306953" w:rsidP="007E5BD0">
            <w:pPr>
              <w:spacing w:after="0" w:line="240" w:lineRule="auto"/>
              <w:jc w:val="center"/>
              <w:rPr>
                <w:rFonts w:cs="Arial"/>
                <w:b/>
                <w:color w:val="000000"/>
                <w:sz w:val="16"/>
                <w:szCs w:val="16"/>
              </w:rPr>
            </w:pPr>
            <w:r w:rsidRPr="00442515">
              <w:rPr>
                <w:rFonts w:cs="Arial"/>
                <w:b/>
                <w:color w:val="000000"/>
                <w:sz w:val="16"/>
                <w:szCs w:val="16"/>
              </w:rPr>
              <w:t>.</w:t>
            </w:r>
          </w:p>
        </w:tc>
        <w:tc>
          <w:tcPr>
            <w:tcW w:w="569" w:type="dxa"/>
            <w:shd w:val="clear" w:color="auto" w:fill="auto"/>
            <w:noWrap/>
            <w:vAlign w:val="center"/>
            <w:hideMark/>
          </w:tcPr>
          <w:p w:rsidR="00306953" w:rsidRPr="00442515" w:rsidRDefault="00306953" w:rsidP="007E5BD0">
            <w:pPr>
              <w:spacing w:after="0" w:line="240" w:lineRule="auto"/>
              <w:jc w:val="center"/>
              <w:rPr>
                <w:rFonts w:cs="Arial"/>
                <w:b/>
                <w:bCs/>
                <w:color w:val="000000"/>
                <w:sz w:val="16"/>
                <w:szCs w:val="16"/>
              </w:rPr>
            </w:pPr>
            <w:r w:rsidRPr="00442515">
              <w:rPr>
                <w:rFonts w:cs="Arial"/>
                <w:b/>
                <w:bCs/>
                <w:color w:val="000000"/>
                <w:sz w:val="16"/>
                <w:szCs w:val="16"/>
              </w:rPr>
              <w:t>81,6</w:t>
            </w:r>
          </w:p>
        </w:tc>
        <w:tc>
          <w:tcPr>
            <w:tcW w:w="695" w:type="dxa"/>
            <w:shd w:val="clear" w:color="auto" w:fill="auto"/>
            <w:noWrap/>
            <w:vAlign w:val="center"/>
            <w:hideMark/>
          </w:tcPr>
          <w:p w:rsidR="00306953" w:rsidRPr="00442515" w:rsidRDefault="00306953" w:rsidP="007E5BD0">
            <w:pPr>
              <w:spacing w:after="0" w:line="240" w:lineRule="auto"/>
              <w:jc w:val="center"/>
              <w:rPr>
                <w:rFonts w:cs="Arial"/>
                <w:b/>
                <w:bCs/>
                <w:color w:val="000000"/>
                <w:sz w:val="16"/>
                <w:szCs w:val="16"/>
              </w:rPr>
            </w:pPr>
            <w:r w:rsidRPr="00442515">
              <w:rPr>
                <w:rFonts w:cs="Arial"/>
                <w:b/>
                <w:bCs/>
                <w:color w:val="000000"/>
                <w:sz w:val="16"/>
                <w:szCs w:val="16"/>
              </w:rPr>
              <w:t>18,4</w:t>
            </w:r>
          </w:p>
        </w:tc>
        <w:tc>
          <w:tcPr>
            <w:tcW w:w="719" w:type="dxa"/>
            <w:shd w:val="clear" w:color="auto" w:fill="auto"/>
            <w:noWrap/>
            <w:vAlign w:val="center"/>
            <w:hideMark/>
          </w:tcPr>
          <w:p w:rsidR="00306953" w:rsidRPr="00442515" w:rsidRDefault="00306953" w:rsidP="007E5BD0">
            <w:pPr>
              <w:spacing w:after="0" w:line="240" w:lineRule="auto"/>
              <w:jc w:val="center"/>
              <w:rPr>
                <w:rFonts w:cs="Arial"/>
                <w:b/>
                <w:color w:val="000000"/>
                <w:sz w:val="16"/>
                <w:szCs w:val="16"/>
              </w:rPr>
            </w:pPr>
            <w:r w:rsidRPr="00442515">
              <w:rPr>
                <w:rFonts w:cs="Arial"/>
                <w:b/>
                <w:color w:val="000000"/>
                <w:sz w:val="16"/>
                <w:szCs w:val="16"/>
              </w:rPr>
              <w:t>.</w:t>
            </w:r>
          </w:p>
        </w:tc>
        <w:tc>
          <w:tcPr>
            <w:tcW w:w="851" w:type="dxa"/>
            <w:shd w:val="clear" w:color="auto" w:fill="auto"/>
            <w:noWrap/>
            <w:vAlign w:val="center"/>
            <w:hideMark/>
          </w:tcPr>
          <w:p w:rsidR="00306953" w:rsidRPr="00442515" w:rsidRDefault="00306953" w:rsidP="007E5BD0">
            <w:pPr>
              <w:spacing w:after="0" w:line="240" w:lineRule="auto"/>
              <w:jc w:val="center"/>
              <w:rPr>
                <w:rFonts w:cs="Arial"/>
                <w:b/>
                <w:color w:val="000000"/>
                <w:sz w:val="16"/>
                <w:szCs w:val="16"/>
              </w:rPr>
            </w:pPr>
            <w:r w:rsidRPr="00442515">
              <w:rPr>
                <w:rFonts w:cs="Arial"/>
                <w:b/>
                <w:color w:val="000000"/>
                <w:sz w:val="16"/>
                <w:szCs w:val="16"/>
              </w:rPr>
              <w:t>.</w:t>
            </w:r>
          </w:p>
        </w:tc>
        <w:tc>
          <w:tcPr>
            <w:tcW w:w="850"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75,7</w:t>
            </w:r>
          </w:p>
        </w:tc>
        <w:tc>
          <w:tcPr>
            <w:tcW w:w="567"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24,3</w:t>
            </w:r>
          </w:p>
        </w:tc>
      </w:tr>
      <w:tr w:rsidR="00306953" w:rsidRPr="00442515" w:rsidTr="007A5643">
        <w:trPr>
          <w:trHeight w:val="255"/>
        </w:trPr>
        <w:tc>
          <w:tcPr>
            <w:tcW w:w="1433" w:type="dxa"/>
            <w:shd w:val="clear" w:color="000000" w:fill="FFFFFF"/>
            <w:noWrap/>
            <w:vAlign w:val="center"/>
            <w:hideMark/>
          </w:tcPr>
          <w:p w:rsidR="00306953" w:rsidRPr="00442515" w:rsidRDefault="00306953" w:rsidP="007E5BD0">
            <w:pPr>
              <w:spacing w:after="0" w:line="240" w:lineRule="auto"/>
              <w:rPr>
                <w:rFonts w:cs="Arial"/>
                <w:sz w:val="16"/>
                <w:szCs w:val="16"/>
              </w:rPr>
            </w:pPr>
            <w:r w:rsidRPr="00442515">
              <w:rPr>
                <w:rFonts w:cs="Arial"/>
                <w:sz w:val="16"/>
                <w:szCs w:val="16"/>
              </w:rPr>
              <w:t>Rakousko</w:t>
            </w:r>
          </w:p>
        </w:tc>
        <w:tc>
          <w:tcPr>
            <w:tcW w:w="555" w:type="dxa"/>
            <w:shd w:val="clear" w:color="auto" w:fill="auto"/>
            <w:noWrap/>
            <w:vAlign w:val="center"/>
            <w:hideMark/>
          </w:tcPr>
          <w:p w:rsidR="00306953" w:rsidRPr="00442515" w:rsidRDefault="00306953" w:rsidP="007E5BD0">
            <w:pPr>
              <w:spacing w:after="0" w:line="240" w:lineRule="auto"/>
              <w:jc w:val="center"/>
              <w:rPr>
                <w:rFonts w:cs="Arial"/>
                <w:b/>
                <w:bCs/>
                <w:color w:val="000000"/>
                <w:sz w:val="16"/>
                <w:szCs w:val="16"/>
              </w:rPr>
            </w:pPr>
            <w:r w:rsidRPr="00442515">
              <w:rPr>
                <w:rFonts w:cs="Arial"/>
                <w:b/>
                <w:bCs/>
                <w:color w:val="000000"/>
                <w:sz w:val="16"/>
                <w:szCs w:val="16"/>
              </w:rPr>
              <w:t>97,8</w:t>
            </w:r>
          </w:p>
        </w:tc>
        <w:tc>
          <w:tcPr>
            <w:tcW w:w="561" w:type="dxa"/>
            <w:shd w:val="clear" w:color="auto" w:fill="auto"/>
            <w:noWrap/>
            <w:vAlign w:val="center"/>
            <w:hideMark/>
          </w:tcPr>
          <w:p w:rsidR="00306953" w:rsidRPr="00442515" w:rsidRDefault="00306953" w:rsidP="007E5BD0">
            <w:pPr>
              <w:spacing w:after="0" w:line="240" w:lineRule="auto"/>
              <w:jc w:val="center"/>
              <w:rPr>
                <w:rFonts w:cs="Arial"/>
                <w:b/>
                <w:bCs/>
                <w:color w:val="000000"/>
                <w:sz w:val="16"/>
                <w:szCs w:val="16"/>
              </w:rPr>
            </w:pPr>
            <w:r w:rsidRPr="00442515">
              <w:rPr>
                <w:rFonts w:cs="Arial"/>
                <w:b/>
                <w:bCs/>
                <w:color w:val="000000"/>
                <w:sz w:val="16"/>
                <w:szCs w:val="16"/>
              </w:rPr>
              <w:t>2,2</w:t>
            </w:r>
          </w:p>
        </w:tc>
        <w:tc>
          <w:tcPr>
            <w:tcW w:w="727"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62,0</w:t>
            </w:r>
          </w:p>
        </w:tc>
        <w:tc>
          <w:tcPr>
            <w:tcW w:w="709"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13,3</w:t>
            </w:r>
          </w:p>
        </w:tc>
        <w:tc>
          <w:tcPr>
            <w:tcW w:w="709"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75,3</w:t>
            </w:r>
          </w:p>
        </w:tc>
        <w:tc>
          <w:tcPr>
            <w:tcW w:w="709"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24,7</w:t>
            </w:r>
          </w:p>
        </w:tc>
        <w:tc>
          <w:tcPr>
            <w:tcW w:w="569" w:type="dxa"/>
            <w:shd w:val="clear" w:color="auto" w:fill="auto"/>
            <w:noWrap/>
            <w:vAlign w:val="center"/>
            <w:hideMark/>
          </w:tcPr>
          <w:p w:rsidR="00306953" w:rsidRPr="00442515" w:rsidRDefault="00306953" w:rsidP="007E5BD0">
            <w:pPr>
              <w:spacing w:after="0" w:line="240" w:lineRule="auto"/>
              <w:jc w:val="center"/>
              <w:rPr>
                <w:rFonts w:cs="Arial"/>
                <w:b/>
                <w:bCs/>
                <w:color w:val="000000"/>
                <w:sz w:val="16"/>
                <w:szCs w:val="16"/>
              </w:rPr>
            </w:pPr>
            <w:r w:rsidRPr="00442515">
              <w:rPr>
                <w:rFonts w:cs="Arial"/>
                <w:b/>
                <w:bCs/>
                <w:color w:val="000000"/>
                <w:sz w:val="16"/>
                <w:szCs w:val="16"/>
              </w:rPr>
              <w:t>98,1</w:t>
            </w:r>
          </w:p>
        </w:tc>
        <w:tc>
          <w:tcPr>
            <w:tcW w:w="695" w:type="dxa"/>
            <w:shd w:val="clear" w:color="auto" w:fill="auto"/>
            <w:noWrap/>
            <w:vAlign w:val="center"/>
            <w:hideMark/>
          </w:tcPr>
          <w:p w:rsidR="00306953" w:rsidRPr="00442515" w:rsidRDefault="00306953" w:rsidP="007E5BD0">
            <w:pPr>
              <w:spacing w:after="0" w:line="240" w:lineRule="auto"/>
              <w:jc w:val="center"/>
              <w:rPr>
                <w:rFonts w:cs="Arial"/>
                <w:b/>
                <w:bCs/>
                <w:color w:val="000000"/>
                <w:sz w:val="16"/>
                <w:szCs w:val="16"/>
              </w:rPr>
            </w:pPr>
            <w:r w:rsidRPr="00442515">
              <w:rPr>
                <w:rFonts w:cs="Arial"/>
                <w:b/>
                <w:bCs/>
                <w:color w:val="000000"/>
                <w:sz w:val="16"/>
                <w:szCs w:val="16"/>
              </w:rPr>
              <w:t>1,9</w:t>
            </w:r>
          </w:p>
        </w:tc>
        <w:tc>
          <w:tcPr>
            <w:tcW w:w="719"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66,9</w:t>
            </w:r>
          </w:p>
        </w:tc>
        <w:tc>
          <w:tcPr>
            <w:tcW w:w="851"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6,9</w:t>
            </w:r>
          </w:p>
        </w:tc>
        <w:tc>
          <w:tcPr>
            <w:tcW w:w="850"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73,8</w:t>
            </w:r>
          </w:p>
        </w:tc>
        <w:tc>
          <w:tcPr>
            <w:tcW w:w="567"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26,2</w:t>
            </w:r>
          </w:p>
        </w:tc>
      </w:tr>
      <w:tr w:rsidR="00306953" w:rsidRPr="00442515" w:rsidTr="007A5643">
        <w:trPr>
          <w:trHeight w:val="255"/>
        </w:trPr>
        <w:tc>
          <w:tcPr>
            <w:tcW w:w="1433" w:type="dxa"/>
            <w:shd w:val="clear" w:color="000000" w:fill="FFFFFF"/>
            <w:noWrap/>
            <w:vAlign w:val="center"/>
            <w:hideMark/>
          </w:tcPr>
          <w:p w:rsidR="00306953" w:rsidRPr="00442515" w:rsidRDefault="00306953" w:rsidP="007E5BD0">
            <w:pPr>
              <w:spacing w:after="0" w:line="240" w:lineRule="auto"/>
              <w:rPr>
                <w:rFonts w:cs="Arial"/>
                <w:sz w:val="16"/>
                <w:szCs w:val="16"/>
              </w:rPr>
            </w:pPr>
            <w:r w:rsidRPr="00442515">
              <w:rPr>
                <w:rFonts w:cs="Arial"/>
                <w:sz w:val="16"/>
                <w:szCs w:val="16"/>
              </w:rPr>
              <w:t>Finsko</w:t>
            </w:r>
          </w:p>
        </w:tc>
        <w:tc>
          <w:tcPr>
            <w:tcW w:w="555" w:type="dxa"/>
            <w:shd w:val="clear" w:color="auto" w:fill="auto"/>
            <w:noWrap/>
            <w:vAlign w:val="center"/>
            <w:hideMark/>
          </w:tcPr>
          <w:p w:rsidR="00306953" w:rsidRPr="00442515" w:rsidRDefault="00306953" w:rsidP="007E5BD0">
            <w:pPr>
              <w:spacing w:after="0" w:line="240" w:lineRule="auto"/>
              <w:jc w:val="center"/>
              <w:rPr>
                <w:rFonts w:cs="Arial"/>
                <w:b/>
                <w:bCs/>
                <w:color w:val="000000"/>
                <w:sz w:val="16"/>
                <w:szCs w:val="16"/>
              </w:rPr>
            </w:pPr>
            <w:r w:rsidRPr="00442515">
              <w:rPr>
                <w:rFonts w:cs="Arial"/>
                <w:b/>
                <w:bCs/>
                <w:color w:val="000000"/>
                <w:sz w:val="16"/>
                <w:szCs w:val="16"/>
              </w:rPr>
              <w:t>92,8</w:t>
            </w:r>
          </w:p>
        </w:tc>
        <w:tc>
          <w:tcPr>
            <w:tcW w:w="561" w:type="dxa"/>
            <w:shd w:val="clear" w:color="auto" w:fill="auto"/>
            <w:noWrap/>
            <w:vAlign w:val="center"/>
            <w:hideMark/>
          </w:tcPr>
          <w:p w:rsidR="00306953" w:rsidRPr="00442515" w:rsidRDefault="00306953" w:rsidP="007E5BD0">
            <w:pPr>
              <w:spacing w:after="0" w:line="240" w:lineRule="auto"/>
              <w:jc w:val="center"/>
              <w:rPr>
                <w:rFonts w:cs="Arial"/>
                <w:b/>
                <w:bCs/>
                <w:color w:val="000000"/>
                <w:sz w:val="16"/>
                <w:szCs w:val="16"/>
              </w:rPr>
            </w:pPr>
            <w:r w:rsidRPr="00442515">
              <w:rPr>
                <w:rFonts w:cs="Arial"/>
                <w:b/>
                <w:bCs/>
                <w:color w:val="000000"/>
                <w:sz w:val="16"/>
                <w:szCs w:val="16"/>
              </w:rPr>
              <w:t>7,2</w:t>
            </w:r>
          </w:p>
        </w:tc>
        <w:tc>
          <w:tcPr>
            <w:tcW w:w="727"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51,9</w:t>
            </w:r>
          </w:p>
        </w:tc>
        <w:tc>
          <w:tcPr>
            <w:tcW w:w="709"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12,4</w:t>
            </w:r>
          </w:p>
        </w:tc>
        <w:tc>
          <w:tcPr>
            <w:tcW w:w="709"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64,3</w:t>
            </w:r>
          </w:p>
        </w:tc>
        <w:tc>
          <w:tcPr>
            <w:tcW w:w="709"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35,7</w:t>
            </w:r>
          </w:p>
        </w:tc>
        <w:tc>
          <w:tcPr>
            <w:tcW w:w="569" w:type="dxa"/>
            <w:shd w:val="clear" w:color="auto" w:fill="auto"/>
            <w:noWrap/>
            <w:vAlign w:val="center"/>
            <w:hideMark/>
          </w:tcPr>
          <w:p w:rsidR="00306953" w:rsidRPr="00442515" w:rsidRDefault="00306953" w:rsidP="007E5BD0">
            <w:pPr>
              <w:spacing w:after="0" w:line="240" w:lineRule="auto"/>
              <w:jc w:val="center"/>
              <w:rPr>
                <w:rFonts w:cs="Arial"/>
                <w:b/>
                <w:bCs/>
                <w:color w:val="000000"/>
                <w:sz w:val="16"/>
                <w:szCs w:val="16"/>
              </w:rPr>
            </w:pPr>
            <w:r w:rsidRPr="00442515">
              <w:rPr>
                <w:rFonts w:cs="Arial"/>
                <w:b/>
                <w:bCs/>
                <w:color w:val="000000"/>
                <w:sz w:val="16"/>
                <w:szCs w:val="16"/>
              </w:rPr>
              <w:t>96,4</w:t>
            </w:r>
          </w:p>
        </w:tc>
        <w:tc>
          <w:tcPr>
            <w:tcW w:w="695" w:type="dxa"/>
            <w:shd w:val="clear" w:color="auto" w:fill="auto"/>
            <w:noWrap/>
            <w:vAlign w:val="center"/>
            <w:hideMark/>
          </w:tcPr>
          <w:p w:rsidR="00306953" w:rsidRPr="00442515" w:rsidRDefault="00306953" w:rsidP="007E5BD0">
            <w:pPr>
              <w:spacing w:after="0" w:line="240" w:lineRule="auto"/>
              <w:jc w:val="center"/>
              <w:rPr>
                <w:rFonts w:cs="Arial"/>
                <w:b/>
                <w:bCs/>
                <w:color w:val="000000"/>
                <w:sz w:val="16"/>
                <w:szCs w:val="16"/>
              </w:rPr>
            </w:pPr>
            <w:r w:rsidRPr="00442515">
              <w:rPr>
                <w:rFonts w:cs="Arial"/>
                <w:b/>
                <w:bCs/>
                <w:color w:val="000000"/>
                <w:sz w:val="16"/>
                <w:szCs w:val="16"/>
              </w:rPr>
              <w:t>3,6</w:t>
            </w:r>
          </w:p>
        </w:tc>
        <w:tc>
          <w:tcPr>
            <w:tcW w:w="719"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33,8</w:t>
            </w:r>
          </w:p>
        </w:tc>
        <w:tc>
          <w:tcPr>
            <w:tcW w:w="851"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28,9</w:t>
            </w:r>
          </w:p>
        </w:tc>
        <w:tc>
          <w:tcPr>
            <w:tcW w:w="850"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62,7</w:t>
            </w:r>
          </w:p>
        </w:tc>
        <w:tc>
          <w:tcPr>
            <w:tcW w:w="567"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37,3</w:t>
            </w:r>
          </w:p>
        </w:tc>
      </w:tr>
      <w:tr w:rsidR="00306953" w:rsidRPr="00442515" w:rsidTr="007A5643">
        <w:trPr>
          <w:trHeight w:val="255"/>
        </w:trPr>
        <w:tc>
          <w:tcPr>
            <w:tcW w:w="1433" w:type="dxa"/>
            <w:shd w:val="clear" w:color="auto" w:fill="C6D9F1" w:themeFill="text2" w:themeFillTint="33"/>
            <w:noWrap/>
            <w:vAlign w:val="center"/>
            <w:hideMark/>
          </w:tcPr>
          <w:p w:rsidR="00306953" w:rsidRPr="00442515" w:rsidRDefault="00B666C8" w:rsidP="007E5BD0">
            <w:pPr>
              <w:spacing w:after="0" w:line="240" w:lineRule="auto"/>
              <w:rPr>
                <w:rFonts w:cs="Arial"/>
                <w:b/>
                <w:bCs/>
                <w:sz w:val="16"/>
                <w:szCs w:val="16"/>
              </w:rPr>
            </w:pPr>
            <w:r>
              <w:rPr>
                <w:rFonts w:cs="Arial"/>
                <w:b/>
                <w:bCs/>
                <w:sz w:val="16"/>
                <w:szCs w:val="16"/>
              </w:rPr>
              <w:t>p</w:t>
            </w:r>
            <w:r w:rsidR="00306953" w:rsidRPr="00442515">
              <w:rPr>
                <w:rFonts w:cs="Arial"/>
                <w:b/>
                <w:bCs/>
                <w:sz w:val="16"/>
                <w:szCs w:val="16"/>
              </w:rPr>
              <w:t>růměr OECD</w:t>
            </w:r>
          </w:p>
        </w:tc>
        <w:tc>
          <w:tcPr>
            <w:tcW w:w="555" w:type="dxa"/>
            <w:shd w:val="clear" w:color="auto" w:fill="C6D9F1" w:themeFill="text2" w:themeFillTint="33"/>
            <w:noWrap/>
            <w:vAlign w:val="center"/>
            <w:hideMark/>
          </w:tcPr>
          <w:p w:rsidR="00306953" w:rsidRPr="00442515" w:rsidRDefault="00306953" w:rsidP="007E5BD0">
            <w:pPr>
              <w:spacing w:after="0" w:line="240" w:lineRule="auto"/>
              <w:jc w:val="center"/>
              <w:rPr>
                <w:rFonts w:cs="Arial"/>
                <w:b/>
                <w:bCs/>
                <w:sz w:val="16"/>
                <w:szCs w:val="16"/>
              </w:rPr>
            </w:pPr>
            <w:r w:rsidRPr="00442515">
              <w:rPr>
                <w:rFonts w:cs="Arial"/>
                <w:b/>
                <w:bCs/>
                <w:sz w:val="16"/>
                <w:szCs w:val="16"/>
              </w:rPr>
              <w:t>93,0</w:t>
            </w:r>
          </w:p>
        </w:tc>
        <w:tc>
          <w:tcPr>
            <w:tcW w:w="561" w:type="dxa"/>
            <w:shd w:val="clear" w:color="auto" w:fill="C6D9F1" w:themeFill="text2" w:themeFillTint="33"/>
            <w:noWrap/>
            <w:vAlign w:val="center"/>
            <w:hideMark/>
          </w:tcPr>
          <w:p w:rsidR="00306953" w:rsidRPr="00442515" w:rsidRDefault="00306953" w:rsidP="007E5BD0">
            <w:pPr>
              <w:spacing w:after="0" w:line="240" w:lineRule="auto"/>
              <w:jc w:val="center"/>
              <w:rPr>
                <w:rFonts w:cs="Arial"/>
                <w:b/>
                <w:bCs/>
                <w:sz w:val="16"/>
                <w:szCs w:val="16"/>
              </w:rPr>
            </w:pPr>
            <w:r w:rsidRPr="00442515">
              <w:rPr>
                <w:rFonts w:cs="Arial"/>
                <w:b/>
                <w:bCs/>
                <w:sz w:val="16"/>
                <w:szCs w:val="16"/>
              </w:rPr>
              <w:t>7,0</w:t>
            </w:r>
          </w:p>
        </w:tc>
        <w:tc>
          <w:tcPr>
            <w:tcW w:w="727"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62,4</w:t>
            </w:r>
          </w:p>
        </w:tc>
        <w:tc>
          <w:tcPr>
            <w:tcW w:w="709"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15,2</w:t>
            </w:r>
          </w:p>
        </w:tc>
        <w:tc>
          <w:tcPr>
            <w:tcW w:w="709"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78,6</w:t>
            </w:r>
          </w:p>
        </w:tc>
        <w:tc>
          <w:tcPr>
            <w:tcW w:w="709"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21,4</w:t>
            </w:r>
          </w:p>
        </w:tc>
        <w:tc>
          <w:tcPr>
            <w:tcW w:w="569" w:type="dxa"/>
            <w:shd w:val="clear" w:color="auto" w:fill="C6D9F1" w:themeFill="text2" w:themeFillTint="33"/>
            <w:noWrap/>
            <w:vAlign w:val="center"/>
            <w:hideMark/>
          </w:tcPr>
          <w:p w:rsidR="00306953" w:rsidRPr="00442515" w:rsidRDefault="00306953" w:rsidP="007E5BD0">
            <w:pPr>
              <w:spacing w:after="0" w:line="240" w:lineRule="auto"/>
              <w:jc w:val="center"/>
              <w:rPr>
                <w:rFonts w:cs="Arial"/>
                <w:b/>
                <w:bCs/>
                <w:sz w:val="16"/>
                <w:szCs w:val="16"/>
              </w:rPr>
            </w:pPr>
            <w:r w:rsidRPr="00442515">
              <w:rPr>
                <w:rFonts w:cs="Arial"/>
                <w:b/>
                <w:bCs/>
                <w:sz w:val="16"/>
                <w:szCs w:val="16"/>
              </w:rPr>
              <w:t>90,0</w:t>
            </w:r>
          </w:p>
        </w:tc>
        <w:tc>
          <w:tcPr>
            <w:tcW w:w="695" w:type="dxa"/>
            <w:shd w:val="clear" w:color="auto" w:fill="C6D9F1" w:themeFill="text2" w:themeFillTint="33"/>
            <w:noWrap/>
            <w:vAlign w:val="center"/>
            <w:hideMark/>
          </w:tcPr>
          <w:p w:rsidR="00306953" w:rsidRPr="00442515" w:rsidRDefault="00306953" w:rsidP="007E5BD0">
            <w:pPr>
              <w:spacing w:after="0" w:line="240" w:lineRule="auto"/>
              <w:jc w:val="center"/>
              <w:rPr>
                <w:rFonts w:cs="Arial"/>
                <w:b/>
                <w:bCs/>
                <w:sz w:val="16"/>
                <w:szCs w:val="16"/>
              </w:rPr>
            </w:pPr>
            <w:r w:rsidRPr="00442515">
              <w:rPr>
                <w:rFonts w:cs="Arial"/>
                <w:b/>
                <w:bCs/>
                <w:sz w:val="16"/>
                <w:szCs w:val="16"/>
              </w:rPr>
              <w:t>10,0</w:t>
            </w:r>
          </w:p>
        </w:tc>
        <w:tc>
          <w:tcPr>
            <w:tcW w:w="719"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39,7</w:t>
            </w:r>
          </w:p>
        </w:tc>
        <w:tc>
          <w:tcPr>
            <w:tcW w:w="851"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26,4</w:t>
            </w:r>
          </w:p>
        </w:tc>
        <w:tc>
          <w:tcPr>
            <w:tcW w:w="850"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67,1</w:t>
            </w:r>
          </w:p>
        </w:tc>
        <w:tc>
          <w:tcPr>
            <w:tcW w:w="567"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32,9</w:t>
            </w:r>
          </w:p>
        </w:tc>
      </w:tr>
      <w:tr w:rsidR="00306953" w:rsidRPr="00442515" w:rsidTr="007A5643">
        <w:trPr>
          <w:trHeight w:val="255"/>
        </w:trPr>
        <w:tc>
          <w:tcPr>
            <w:tcW w:w="1433" w:type="dxa"/>
            <w:shd w:val="clear" w:color="auto" w:fill="C6D9F1" w:themeFill="text2" w:themeFillTint="33"/>
            <w:noWrap/>
            <w:vAlign w:val="center"/>
            <w:hideMark/>
          </w:tcPr>
          <w:p w:rsidR="00306953" w:rsidRPr="00442515" w:rsidRDefault="00B666C8" w:rsidP="007E5BD0">
            <w:pPr>
              <w:spacing w:after="0" w:line="240" w:lineRule="auto"/>
              <w:rPr>
                <w:rFonts w:cs="Arial"/>
                <w:b/>
                <w:bCs/>
                <w:sz w:val="16"/>
                <w:szCs w:val="16"/>
              </w:rPr>
            </w:pPr>
            <w:r>
              <w:rPr>
                <w:rFonts w:cs="Arial"/>
                <w:b/>
                <w:bCs/>
                <w:sz w:val="16"/>
                <w:szCs w:val="16"/>
              </w:rPr>
              <w:t>p</w:t>
            </w:r>
            <w:r w:rsidR="00306953" w:rsidRPr="00442515">
              <w:rPr>
                <w:rFonts w:cs="Arial"/>
                <w:b/>
                <w:bCs/>
                <w:sz w:val="16"/>
                <w:szCs w:val="16"/>
              </w:rPr>
              <w:t>růměr EU21</w:t>
            </w:r>
          </w:p>
        </w:tc>
        <w:tc>
          <w:tcPr>
            <w:tcW w:w="555" w:type="dxa"/>
            <w:shd w:val="clear" w:color="auto" w:fill="C6D9F1" w:themeFill="text2" w:themeFillTint="33"/>
            <w:noWrap/>
            <w:vAlign w:val="center"/>
            <w:hideMark/>
          </w:tcPr>
          <w:p w:rsidR="00306953" w:rsidRPr="00442515" w:rsidRDefault="00306953" w:rsidP="007E5BD0">
            <w:pPr>
              <w:spacing w:after="0" w:line="240" w:lineRule="auto"/>
              <w:jc w:val="center"/>
              <w:rPr>
                <w:rFonts w:cs="Arial"/>
                <w:b/>
                <w:bCs/>
                <w:sz w:val="16"/>
                <w:szCs w:val="16"/>
              </w:rPr>
            </w:pPr>
            <w:r w:rsidRPr="00442515">
              <w:rPr>
                <w:rFonts w:cs="Arial"/>
                <w:b/>
                <w:bCs/>
                <w:sz w:val="16"/>
                <w:szCs w:val="16"/>
              </w:rPr>
              <w:t>93,8</w:t>
            </w:r>
          </w:p>
        </w:tc>
        <w:tc>
          <w:tcPr>
            <w:tcW w:w="561" w:type="dxa"/>
            <w:shd w:val="clear" w:color="auto" w:fill="C6D9F1" w:themeFill="text2" w:themeFillTint="33"/>
            <w:noWrap/>
            <w:vAlign w:val="center"/>
            <w:hideMark/>
          </w:tcPr>
          <w:p w:rsidR="00306953" w:rsidRPr="00442515" w:rsidRDefault="00306953" w:rsidP="007E5BD0">
            <w:pPr>
              <w:spacing w:after="0" w:line="240" w:lineRule="auto"/>
              <w:jc w:val="center"/>
              <w:rPr>
                <w:rFonts w:cs="Arial"/>
                <w:b/>
                <w:bCs/>
                <w:sz w:val="16"/>
                <w:szCs w:val="16"/>
              </w:rPr>
            </w:pPr>
            <w:r w:rsidRPr="00442515">
              <w:rPr>
                <w:rFonts w:cs="Arial"/>
                <w:b/>
                <w:bCs/>
                <w:sz w:val="16"/>
                <w:szCs w:val="16"/>
              </w:rPr>
              <w:t>6,2</w:t>
            </w:r>
          </w:p>
        </w:tc>
        <w:tc>
          <w:tcPr>
            <w:tcW w:w="727"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61,4</w:t>
            </w:r>
          </w:p>
        </w:tc>
        <w:tc>
          <w:tcPr>
            <w:tcW w:w="709"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14,6</w:t>
            </w:r>
          </w:p>
        </w:tc>
        <w:tc>
          <w:tcPr>
            <w:tcW w:w="709"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77,0</w:t>
            </w:r>
          </w:p>
        </w:tc>
        <w:tc>
          <w:tcPr>
            <w:tcW w:w="709"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23,0</w:t>
            </w:r>
          </w:p>
        </w:tc>
        <w:tc>
          <w:tcPr>
            <w:tcW w:w="569" w:type="dxa"/>
            <w:shd w:val="clear" w:color="auto" w:fill="C6D9F1" w:themeFill="text2" w:themeFillTint="33"/>
            <w:noWrap/>
            <w:vAlign w:val="center"/>
            <w:hideMark/>
          </w:tcPr>
          <w:p w:rsidR="00306953" w:rsidRPr="00442515" w:rsidRDefault="00306953" w:rsidP="007E5BD0">
            <w:pPr>
              <w:spacing w:after="0" w:line="240" w:lineRule="auto"/>
              <w:jc w:val="center"/>
              <w:rPr>
                <w:rFonts w:cs="Arial"/>
                <w:b/>
                <w:bCs/>
                <w:sz w:val="16"/>
                <w:szCs w:val="16"/>
              </w:rPr>
            </w:pPr>
            <w:r w:rsidRPr="00442515">
              <w:rPr>
                <w:rFonts w:cs="Arial"/>
                <w:b/>
                <w:bCs/>
                <w:sz w:val="16"/>
                <w:szCs w:val="16"/>
              </w:rPr>
              <w:t>90,6</w:t>
            </w:r>
          </w:p>
        </w:tc>
        <w:tc>
          <w:tcPr>
            <w:tcW w:w="695" w:type="dxa"/>
            <w:shd w:val="clear" w:color="auto" w:fill="C6D9F1" w:themeFill="text2" w:themeFillTint="33"/>
            <w:noWrap/>
            <w:vAlign w:val="center"/>
            <w:hideMark/>
          </w:tcPr>
          <w:p w:rsidR="00306953" w:rsidRPr="00442515" w:rsidRDefault="00306953" w:rsidP="007E5BD0">
            <w:pPr>
              <w:spacing w:after="0" w:line="240" w:lineRule="auto"/>
              <w:jc w:val="center"/>
              <w:rPr>
                <w:rFonts w:cs="Arial"/>
                <w:b/>
                <w:bCs/>
                <w:sz w:val="16"/>
                <w:szCs w:val="16"/>
              </w:rPr>
            </w:pPr>
            <w:r w:rsidRPr="00442515">
              <w:rPr>
                <w:rFonts w:cs="Arial"/>
                <w:b/>
                <w:bCs/>
                <w:sz w:val="16"/>
                <w:szCs w:val="16"/>
              </w:rPr>
              <w:t>9,4</w:t>
            </w:r>
          </w:p>
        </w:tc>
        <w:tc>
          <w:tcPr>
            <w:tcW w:w="719"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38,3</w:t>
            </w:r>
          </w:p>
        </w:tc>
        <w:tc>
          <w:tcPr>
            <w:tcW w:w="851"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26,9</w:t>
            </w:r>
          </w:p>
        </w:tc>
        <w:tc>
          <w:tcPr>
            <w:tcW w:w="850"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66,6</w:t>
            </w:r>
          </w:p>
        </w:tc>
        <w:tc>
          <w:tcPr>
            <w:tcW w:w="567"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33,4</w:t>
            </w:r>
          </w:p>
        </w:tc>
      </w:tr>
    </w:tbl>
    <w:p w:rsidR="00306953" w:rsidRPr="00442515" w:rsidRDefault="00306953" w:rsidP="00306953">
      <w:pPr>
        <w:spacing w:after="0" w:line="240" w:lineRule="auto"/>
        <w:jc w:val="both"/>
        <w:rPr>
          <w:rFonts w:eastAsia="ChaparralPro-Regular" w:cs="Arial"/>
          <w:sz w:val="16"/>
          <w:szCs w:val="16"/>
        </w:rPr>
      </w:pPr>
      <w:r w:rsidRPr="00442515">
        <w:rPr>
          <w:rFonts w:eastAsia="ChaparralPro-Regular" w:cs="Arial"/>
          <w:b/>
          <w:sz w:val="16"/>
          <w:szCs w:val="16"/>
        </w:rPr>
        <w:t xml:space="preserve">.  </w:t>
      </w:r>
      <w:r w:rsidRPr="00442515">
        <w:rPr>
          <w:rFonts w:eastAsia="ChaparralPro-Regular" w:cs="Arial"/>
          <w:sz w:val="16"/>
          <w:szCs w:val="16"/>
        </w:rPr>
        <w:t>… údaje nejsou k dispozici</w:t>
      </w:r>
    </w:p>
    <w:p w:rsidR="00306953" w:rsidRPr="00442515" w:rsidRDefault="00306953" w:rsidP="00306953">
      <w:pPr>
        <w:spacing w:after="0" w:line="240" w:lineRule="auto"/>
        <w:jc w:val="both"/>
        <w:rPr>
          <w:rFonts w:eastAsia="ChaparralPro-Regular" w:cs="Arial"/>
          <w:sz w:val="16"/>
          <w:szCs w:val="16"/>
        </w:rPr>
      </w:pPr>
      <w:r w:rsidRPr="00442515">
        <w:rPr>
          <w:rFonts w:eastAsia="ChaparralPro-Regular" w:cs="Arial"/>
          <w:sz w:val="16"/>
          <w:szCs w:val="16"/>
          <w:vertAlign w:val="superscript"/>
        </w:rPr>
        <w:t>1)</w:t>
      </w:r>
      <w:r w:rsidRPr="00442515">
        <w:rPr>
          <w:rFonts w:eastAsia="ChaparralPro-Regular" w:cs="Arial"/>
          <w:sz w:val="16"/>
          <w:szCs w:val="16"/>
        </w:rPr>
        <w:t xml:space="preserve"> Postsekundární neterciární vzdělávání a krátký cyklus terciárního vzdělávání je zahrnut do kategorie vyššího sekundárního vzdělávání, viz kód „x“ v tabulce B1.1a.</w:t>
      </w:r>
    </w:p>
    <w:p w:rsidR="00306953" w:rsidRPr="00442515" w:rsidRDefault="00306953" w:rsidP="00306953">
      <w:pPr>
        <w:spacing w:after="0" w:line="240" w:lineRule="auto"/>
        <w:jc w:val="both"/>
        <w:rPr>
          <w:rFonts w:eastAsia="ChaparralPro-Regular" w:cs="Arial"/>
          <w:sz w:val="16"/>
          <w:szCs w:val="16"/>
        </w:rPr>
      </w:pPr>
      <w:r w:rsidRPr="00442515">
        <w:rPr>
          <w:rFonts w:eastAsia="ChaparralPro-Regular" w:cs="Arial"/>
          <w:sz w:val="16"/>
          <w:szCs w:val="16"/>
        </w:rPr>
        <w:t xml:space="preserve">Zdroj: OECD 2015, tabulka B 6.2. StatLink: </w:t>
      </w:r>
      <w:hyperlink r:id="rId107" w:history="1">
        <w:r w:rsidRPr="00442515">
          <w:rPr>
            <w:rStyle w:val="Hypertextovodkaz"/>
            <w:rFonts w:cs="Arial"/>
            <w:sz w:val="16"/>
            <w:szCs w:val="16"/>
          </w:rPr>
          <w:t>http://dx.doi.org/10.1787/888933285646</w:t>
        </w:r>
      </w:hyperlink>
      <w:r w:rsidRPr="00442515">
        <w:rPr>
          <w:rFonts w:cs="Arial"/>
          <w:sz w:val="16"/>
          <w:szCs w:val="16"/>
        </w:rPr>
        <w:t xml:space="preserve">, </w:t>
      </w:r>
      <w:r w:rsidRPr="00442515">
        <w:rPr>
          <w:rFonts w:eastAsia="ChaparralPro-Regular" w:cs="Arial"/>
          <w:sz w:val="16"/>
          <w:szCs w:val="16"/>
        </w:rPr>
        <w:t>výběr údajů ČSÚ.</w:t>
      </w:r>
    </w:p>
    <w:p w:rsidR="00306953" w:rsidRPr="00306953" w:rsidRDefault="00306953" w:rsidP="00306953">
      <w:pPr>
        <w:autoSpaceDE w:val="0"/>
        <w:autoSpaceDN w:val="0"/>
        <w:adjustRightInd w:val="0"/>
        <w:spacing w:after="0" w:line="240" w:lineRule="auto"/>
        <w:jc w:val="both"/>
        <w:rPr>
          <w:rFonts w:eastAsia="ChaparralPro-Regular" w:cs="Arial"/>
        </w:rPr>
      </w:pPr>
    </w:p>
    <w:p w:rsidR="00306953" w:rsidRPr="00306953" w:rsidRDefault="00306953" w:rsidP="00306953">
      <w:pPr>
        <w:autoSpaceDE w:val="0"/>
        <w:autoSpaceDN w:val="0"/>
        <w:adjustRightInd w:val="0"/>
        <w:spacing w:after="120" w:line="240" w:lineRule="auto"/>
        <w:jc w:val="both"/>
        <w:rPr>
          <w:rFonts w:eastAsia="ChaparralPro-Regular" w:cs="Arial"/>
        </w:rPr>
      </w:pPr>
      <w:r w:rsidRPr="00306953">
        <w:rPr>
          <w:rFonts w:eastAsia="ChaparralPro-Regular" w:cs="Arial"/>
        </w:rPr>
        <w:t xml:space="preserve">Jak je patrné, v ČR připadal v roce 2012 </w:t>
      </w:r>
      <w:r w:rsidRPr="00306953">
        <w:rPr>
          <w:rFonts w:eastAsia="ChaparralPro-Regular" w:cs="Arial"/>
          <w:b/>
          <w:i/>
        </w:rPr>
        <w:t>na mzdové prostředky pro učitele</w:t>
      </w:r>
      <w:r w:rsidRPr="00306953">
        <w:rPr>
          <w:rFonts w:eastAsia="ChaparralPro-Regular" w:cs="Arial"/>
        </w:rPr>
        <w:t xml:space="preserve"> na primární až post-sekundární neterciární úrovni, ale též na terciární úrovni výrazně podprůměrný podíl běžných výdajů (a to jak mezi evropskými zeměmi, které jsou členy OECD, tak i celkově mezi všemi zeměmi OECD) a byl i nižší než na Slovensku, v Rakousku či Finsku (za Polsko a Estonsko tato data nejsou k dispozici).</w:t>
      </w:r>
    </w:p>
    <w:p w:rsidR="00306953" w:rsidRPr="00306953" w:rsidRDefault="00306953" w:rsidP="00306953">
      <w:pPr>
        <w:autoSpaceDE w:val="0"/>
        <w:autoSpaceDN w:val="0"/>
        <w:adjustRightInd w:val="0"/>
        <w:spacing w:after="120" w:line="240" w:lineRule="auto"/>
        <w:jc w:val="both"/>
        <w:rPr>
          <w:rFonts w:eastAsia="ChaparralPro-Regular" w:cs="Arial"/>
        </w:rPr>
      </w:pPr>
      <w:r w:rsidRPr="00306953">
        <w:rPr>
          <w:rFonts w:eastAsia="ChaparralPro-Regular" w:cs="Arial"/>
        </w:rPr>
        <w:t xml:space="preserve">Lze si také všimnout, že na úrovni </w:t>
      </w:r>
      <w:r w:rsidRPr="00306953">
        <w:rPr>
          <w:rFonts w:eastAsia="ChaparralPro-Regular" w:cs="Arial"/>
          <w:b/>
        </w:rPr>
        <w:t xml:space="preserve">primárního až post-sekundárního </w:t>
      </w:r>
      <w:r w:rsidRPr="00306953">
        <w:rPr>
          <w:rFonts w:eastAsia="ChaparralPro-Regular" w:cs="Arial"/>
        </w:rPr>
        <w:t xml:space="preserve">neterciárního vzdělávání i na úrovni </w:t>
      </w:r>
      <w:r w:rsidRPr="00306953">
        <w:rPr>
          <w:rFonts w:eastAsia="ChaparralPro-Regular" w:cs="Arial"/>
          <w:b/>
        </w:rPr>
        <w:t>terciárního vzdělávání</w:t>
      </w:r>
      <w:r w:rsidRPr="00306953">
        <w:rPr>
          <w:rFonts w:eastAsia="ChaparralPro-Regular" w:cs="Arial"/>
        </w:rPr>
        <w:t xml:space="preserve"> byl v roce 2012 </w:t>
      </w:r>
      <w:r w:rsidRPr="00306953">
        <w:rPr>
          <w:rFonts w:eastAsia="ChaparralPro-Regular" w:cs="Arial"/>
          <w:b/>
        </w:rPr>
        <w:t xml:space="preserve">v ČR podíl kapitálových výdajů zhruba odpovídající průměru za země OECD </w:t>
      </w:r>
      <w:r w:rsidRPr="00306953">
        <w:rPr>
          <w:rFonts w:eastAsia="ChaparralPro-Regular" w:cs="Arial"/>
        </w:rPr>
        <w:t>(blížil se v obou kategoriích jedné desetině) a též v roce 2010 tvořil téměř desetinu (9,1 %, resp. 8,5 %).  V roce 2011 byl však podíl kapitálových výdajů na terciární</w:t>
      </w:r>
      <w:r w:rsidR="00E52654">
        <w:rPr>
          <w:rFonts w:eastAsia="ChaparralPro-Regular" w:cs="Arial"/>
        </w:rPr>
        <w:t xml:space="preserve"> úrovni v ČR i na Slovensku a v </w:t>
      </w:r>
      <w:r w:rsidRPr="00306953">
        <w:rPr>
          <w:rFonts w:eastAsia="ChaparralPro-Regular" w:cs="Arial"/>
        </w:rPr>
        <w:t>Polsku pětinový (viz OECD 2014, graf B 6.2)</w:t>
      </w:r>
      <w:r w:rsidRPr="00306953">
        <w:rPr>
          <w:rStyle w:val="Znakapoznpodarou"/>
          <w:rFonts w:eastAsia="ChaparralPro-Regular" w:cs="Arial"/>
        </w:rPr>
        <w:footnoteReference w:id="9"/>
      </w:r>
      <w:r w:rsidRPr="00306953">
        <w:rPr>
          <w:rFonts w:eastAsia="ChaparralPro-Regular" w:cs="Arial"/>
        </w:rPr>
        <w:t>, přičemž na Slovensku a v Polsku tvořily kapitálové výdaje na terciární úrovni vzdělávání cca pětinu i v roce 2012 a 2010. V souladu s rokem 2011 a 2010 pak tvořily v roce 2012 kapitálové výdaje na primární až postsekundární neterciární vzd</w:t>
      </w:r>
      <w:r w:rsidR="00E52654">
        <w:rPr>
          <w:rFonts w:eastAsia="ChaparralPro-Regular" w:cs="Arial"/>
        </w:rPr>
        <w:t>ělávání v ČR oproti Slovensku a </w:t>
      </w:r>
      <w:r w:rsidRPr="00306953">
        <w:rPr>
          <w:rFonts w:eastAsia="ChaparralPro-Regular" w:cs="Arial"/>
        </w:rPr>
        <w:t>Polsku naopak vyšší podíl. Tabulka níže zobrazuje podíl kapitálových výdajů ze všech výdajů</w:t>
      </w:r>
      <w:r w:rsidR="00E52654">
        <w:rPr>
          <w:rFonts w:eastAsia="ChaparralPro-Regular" w:cs="Arial"/>
        </w:rPr>
        <w:t xml:space="preserve"> (tj. běžných i </w:t>
      </w:r>
      <w:r w:rsidRPr="00306953">
        <w:rPr>
          <w:rFonts w:eastAsia="ChaparralPro-Regular" w:cs="Arial"/>
        </w:rPr>
        <w:t>kapitálových) na úrovni primární až postsekundární neterciární a na úrovni</w:t>
      </w:r>
      <w:r w:rsidR="00E52654">
        <w:rPr>
          <w:rFonts w:eastAsia="ChaparralPro-Regular" w:cs="Arial"/>
        </w:rPr>
        <w:t xml:space="preserve"> terciární v ČR, na Slovensku a </w:t>
      </w:r>
      <w:r w:rsidRPr="00306953">
        <w:rPr>
          <w:rFonts w:eastAsia="ChaparralPro-Regular" w:cs="Arial"/>
        </w:rPr>
        <w:t xml:space="preserve">v Polsku v letech 2005 až 2012: </w:t>
      </w:r>
    </w:p>
    <w:p w:rsidR="00306953" w:rsidRPr="001042AC" w:rsidRDefault="005464DF" w:rsidP="00306953">
      <w:pPr>
        <w:autoSpaceDE w:val="0"/>
        <w:autoSpaceDN w:val="0"/>
        <w:adjustRightInd w:val="0"/>
        <w:spacing w:after="120" w:line="240" w:lineRule="auto"/>
        <w:jc w:val="both"/>
        <w:rPr>
          <w:rFonts w:eastAsia="ChaparralPro-Regular" w:cs="Arial"/>
          <w:b/>
        </w:rPr>
      </w:pPr>
      <w:r>
        <w:rPr>
          <w:rFonts w:eastAsia="ChaparralPro-Regular" w:cs="Arial"/>
          <w:b/>
        </w:rPr>
        <w:t xml:space="preserve">Tabulka č. 21 </w:t>
      </w:r>
      <w:r w:rsidR="00306953" w:rsidRPr="00306953">
        <w:rPr>
          <w:rFonts w:eastAsia="ChaparralPro-Regular" w:cs="Arial"/>
          <w:b/>
        </w:rPr>
        <w:t>Podíl kapitálových výdajů ze všech výdajů (2012), v %</w:t>
      </w:r>
    </w:p>
    <w:tbl>
      <w:tblPr>
        <w:tblW w:w="9434" w:type="dxa"/>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1575"/>
        <w:gridCol w:w="3118"/>
        <w:gridCol w:w="600"/>
        <w:gridCol w:w="600"/>
        <w:gridCol w:w="600"/>
        <w:gridCol w:w="541"/>
        <w:gridCol w:w="600"/>
        <w:gridCol w:w="600"/>
        <w:gridCol w:w="600"/>
        <w:gridCol w:w="600"/>
      </w:tblGrid>
      <w:tr w:rsidR="00306953" w:rsidRPr="001042AC" w:rsidTr="00B07DEE">
        <w:trPr>
          <w:trHeight w:val="300"/>
        </w:trPr>
        <w:tc>
          <w:tcPr>
            <w:tcW w:w="4693" w:type="dxa"/>
            <w:gridSpan w:val="2"/>
            <w:tcBorders>
              <w:top w:val="double" w:sz="4" w:space="0" w:color="auto"/>
              <w:bottom w:val="double" w:sz="4" w:space="0" w:color="auto"/>
            </w:tcBorders>
            <w:shd w:val="clear" w:color="auto" w:fill="FFCCCC"/>
            <w:noWrap/>
            <w:vAlign w:val="bottom"/>
            <w:hideMark/>
          </w:tcPr>
          <w:p w:rsidR="00306953" w:rsidRPr="001042AC" w:rsidRDefault="00306953" w:rsidP="00306953">
            <w:pPr>
              <w:spacing w:after="0" w:line="240" w:lineRule="auto"/>
              <w:rPr>
                <w:rFonts w:cs="Arial"/>
                <w:b/>
                <w:color w:val="000000"/>
                <w:sz w:val="16"/>
                <w:szCs w:val="16"/>
              </w:rPr>
            </w:pPr>
            <w:r w:rsidRPr="001042AC">
              <w:rPr>
                <w:rFonts w:cs="Arial"/>
                <w:b/>
                <w:color w:val="000000"/>
                <w:sz w:val="16"/>
                <w:szCs w:val="16"/>
              </w:rPr>
              <w:t> </w:t>
            </w:r>
          </w:p>
        </w:tc>
        <w:tc>
          <w:tcPr>
            <w:tcW w:w="600" w:type="dxa"/>
            <w:tcBorders>
              <w:top w:val="double" w:sz="4" w:space="0" w:color="auto"/>
              <w:bottom w:val="double" w:sz="4" w:space="0" w:color="auto"/>
            </w:tcBorders>
            <w:shd w:val="clear" w:color="auto" w:fill="FFCCCC"/>
            <w:noWrap/>
            <w:vAlign w:val="center"/>
            <w:hideMark/>
          </w:tcPr>
          <w:p w:rsidR="00306953" w:rsidRPr="001042AC" w:rsidRDefault="00306953" w:rsidP="007E5BD0">
            <w:pPr>
              <w:spacing w:after="0" w:line="240" w:lineRule="auto"/>
              <w:jc w:val="center"/>
              <w:rPr>
                <w:rFonts w:cs="Arial"/>
                <w:b/>
                <w:color w:val="000000"/>
                <w:sz w:val="16"/>
                <w:szCs w:val="16"/>
              </w:rPr>
            </w:pPr>
            <w:r w:rsidRPr="001042AC">
              <w:rPr>
                <w:rFonts w:cs="Arial"/>
                <w:b/>
                <w:color w:val="000000"/>
                <w:sz w:val="16"/>
                <w:szCs w:val="16"/>
              </w:rPr>
              <w:t>2005</w:t>
            </w:r>
          </w:p>
        </w:tc>
        <w:tc>
          <w:tcPr>
            <w:tcW w:w="600" w:type="dxa"/>
            <w:tcBorders>
              <w:top w:val="double" w:sz="4" w:space="0" w:color="auto"/>
              <w:bottom w:val="double" w:sz="4" w:space="0" w:color="auto"/>
            </w:tcBorders>
            <w:shd w:val="clear" w:color="auto" w:fill="FFCCCC"/>
            <w:noWrap/>
            <w:vAlign w:val="center"/>
            <w:hideMark/>
          </w:tcPr>
          <w:p w:rsidR="00306953" w:rsidRPr="001042AC" w:rsidRDefault="00306953" w:rsidP="007E5BD0">
            <w:pPr>
              <w:spacing w:after="0" w:line="240" w:lineRule="auto"/>
              <w:jc w:val="center"/>
              <w:rPr>
                <w:rFonts w:cs="Arial"/>
                <w:b/>
                <w:color w:val="000000"/>
                <w:sz w:val="16"/>
                <w:szCs w:val="16"/>
              </w:rPr>
            </w:pPr>
            <w:r w:rsidRPr="001042AC">
              <w:rPr>
                <w:rFonts w:cs="Arial"/>
                <w:b/>
                <w:color w:val="000000"/>
                <w:sz w:val="16"/>
                <w:szCs w:val="16"/>
              </w:rPr>
              <w:t>2006</w:t>
            </w:r>
          </w:p>
        </w:tc>
        <w:tc>
          <w:tcPr>
            <w:tcW w:w="600" w:type="dxa"/>
            <w:tcBorders>
              <w:top w:val="double" w:sz="4" w:space="0" w:color="auto"/>
              <w:bottom w:val="double" w:sz="4" w:space="0" w:color="auto"/>
            </w:tcBorders>
            <w:shd w:val="clear" w:color="auto" w:fill="FFCCCC"/>
            <w:noWrap/>
            <w:vAlign w:val="center"/>
            <w:hideMark/>
          </w:tcPr>
          <w:p w:rsidR="00306953" w:rsidRPr="001042AC" w:rsidRDefault="00306953" w:rsidP="007E5BD0">
            <w:pPr>
              <w:spacing w:after="0" w:line="240" w:lineRule="auto"/>
              <w:jc w:val="center"/>
              <w:rPr>
                <w:rFonts w:cs="Arial"/>
                <w:b/>
                <w:color w:val="000000"/>
                <w:sz w:val="16"/>
                <w:szCs w:val="16"/>
              </w:rPr>
            </w:pPr>
            <w:r w:rsidRPr="001042AC">
              <w:rPr>
                <w:rFonts w:cs="Arial"/>
                <w:b/>
                <w:color w:val="000000"/>
                <w:sz w:val="16"/>
                <w:szCs w:val="16"/>
              </w:rPr>
              <w:t>2007</w:t>
            </w:r>
          </w:p>
        </w:tc>
        <w:tc>
          <w:tcPr>
            <w:tcW w:w="541" w:type="dxa"/>
            <w:tcBorders>
              <w:top w:val="double" w:sz="4" w:space="0" w:color="auto"/>
              <w:bottom w:val="double" w:sz="4" w:space="0" w:color="auto"/>
            </w:tcBorders>
            <w:shd w:val="clear" w:color="auto" w:fill="FFCCCC"/>
            <w:noWrap/>
            <w:vAlign w:val="center"/>
            <w:hideMark/>
          </w:tcPr>
          <w:p w:rsidR="00306953" w:rsidRPr="001042AC" w:rsidRDefault="00306953" w:rsidP="007E5BD0">
            <w:pPr>
              <w:spacing w:after="0" w:line="240" w:lineRule="auto"/>
              <w:jc w:val="center"/>
              <w:rPr>
                <w:rFonts w:cs="Arial"/>
                <w:b/>
                <w:color w:val="000000"/>
                <w:sz w:val="16"/>
                <w:szCs w:val="16"/>
              </w:rPr>
            </w:pPr>
            <w:r w:rsidRPr="001042AC">
              <w:rPr>
                <w:rFonts w:cs="Arial"/>
                <w:b/>
                <w:color w:val="000000"/>
                <w:sz w:val="16"/>
                <w:szCs w:val="16"/>
              </w:rPr>
              <w:t>2008</w:t>
            </w:r>
          </w:p>
        </w:tc>
        <w:tc>
          <w:tcPr>
            <w:tcW w:w="600" w:type="dxa"/>
            <w:tcBorders>
              <w:top w:val="double" w:sz="4" w:space="0" w:color="auto"/>
              <w:bottom w:val="double" w:sz="4" w:space="0" w:color="auto"/>
            </w:tcBorders>
            <w:shd w:val="clear" w:color="auto" w:fill="FFCCCC"/>
            <w:noWrap/>
            <w:vAlign w:val="center"/>
            <w:hideMark/>
          </w:tcPr>
          <w:p w:rsidR="00306953" w:rsidRPr="001042AC" w:rsidRDefault="00306953" w:rsidP="007E5BD0">
            <w:pPr>
              <w:spacing w:after="0" w:line="240" w:lineRule="auto"/>
              <w:jc w:val="center"/>
              <w:rPr>
                <w:rFonts w:cs="Arial"/>
                <w:b/>
                <w:color w:val="000000"/>
                <w:sz w:val="16"/>
                <w:szCs w:val="16"/>
              </w:rPr>
            </w:pPr>
            <w:r w:rsidRPr="001042AC">
              <w:rPr>
                <w:rFonts w:cs="Arial"/>
                <w:b/>
                <w:color w:val="000000"/>
                <w:sz w:val="16"/>
                <w:szCs w:val="16"/>
              </w:rPr>
              <w:t>2009</w:t>
            </w:r>
          </w:p>
        </w:tc>
        <w:tc>
          <w:tcPr>
            <w:tcW w:w="600" w:type="dxa"/>
            <w:tcBorders>
              <w:top w:val="double" w:sz="4" w:space="0" w:color="auto"/>
              <w:bottom w:val="double" w:sz="4" w:space="0" w:color="auto"/>
            </w:tcBorders>
            <w:shd w:val="clear" w:color="auto" w:fill="FFCCCC"/>
            <w:noWrap/>
            <w:vAlign w:val="center"/>
            <w:hideMark/>
          </w:tcPr>
          <w:p w:rsidR="00306953" w:rsidRPr="001042AC" w:rsidRDefault="00306953" w:rsidP="007E5BD0">
            <w:pPr>
              <w:spacing w:after="0" w:line="240" w:lineRule="auto"/>
              <w:jc w:val="center"/>
              <w:rPr>
                <w:rFonts w:cs="Arial"/>
                <w:b/>
                <w:color w:val="000000"/>
                <w:sz w:val="16"/>
                <w:szCs w:val="16"/>
              </w:rPr>
            </w:pPr>
            <w:r w:rsidRPr="001042AC">
              <w:rPr>
                <w:rFonts w:cs="Arial"/>
                <w:b/>
                <w:color w:val="000000"/>
                <w:sz w:val="16"/>
                <w:szCs w:val="16"/>
              </w:rPr>
              <w:t>2010</w:t>
            </w:r>
          </w:p>
        </w:tc>
        <w:tc>
          <w:tcPr>
            <w:tcW w:w="600" w:type="dxa"/>
            <w:tcBorders>
              <w:top w:val="double" w:sz="4" w:space="0" w:color="auto"/>
              <w:bottom w:val="double" w:sz="4" w:space="0" w:color="auto"/>
            </w:tcBorders>
            <w:shd w:val="clear" w:color="auto" w:fill="FFCCCC"/>
            <w:noWrap/>
            <w:vAlign w:val="center"/>
            <w:hideMark/>
          </w:tcPr>
          <w:p w:rsidR="00306953" w:rsidRPr="001042AC" w:rsidRDefault="00306953" w:rsidP="007E5BD0">
            <w:pPr>
              <w:spacing w:after="0" w:line="240" w:lineRule="auto"/>
              <w:jc w:val="center"/>
              <w:rPr>
                <w:rFonts w:cs="Arial"/>
                <w:b/>
                <w:color w:val="000000"/>
                <w:sz w:val="16"/>
                <w:szCs w:val="16"/>
              </w:rPr>
            </w:pPr>
            <w:r w:rsidRPr="001042AC">
              <w:rPr>
                <w:rFonts w:cs="Arial"/>
                <w:b/>
                <w:color w:val="000000"/>
                <w:sz w:val="16"/>
                <w:szCs w:val="16"/>
              </w:rPr>
              <w:t>2011</w:t>
            </w:r>
          </w:p>
        </w:tc>
        <w:tc>
          <w:tcPr>
            <w:tcW w:w="600" w:type="dxa"/>
            <w:tcBorders>
              <w:top w:val="double" w:sz="4" w:space="0" w:color="auto"/>
              <w:bottom w:val="double" w:sz="4" w:space="0" w:color="auto"/>
            </w:tcBorders>
            <w:shd w:val="clear" w:color="auto" w:fill="FFCCCC"/>
            <w:noWrap/>
            <w:vAlign w:val="center"/>
            <w:hideMark/>
          </w:tcPr>
          <w:p w:rsidR="00306953" w:rsidRPr="001042AC" w:rsidRDefault="00306953" w:rsidP="007E5BD0">
            <w:pPr>
              <w:spacing w:after="0" w:line="240" w:lineRule="auto"/>
              <w:jc w:val="center"/>
              <w:rPr>
                <w:rFonts w:cs="Arial"/>
                <w:b/>
                <w:color w:val="000000"/>
                <w:sz w:val="16"/>
                <w:szCs w:val="16"/>
              </w:rPr>
            </w:pPr>
            <w:r w:rsidRPr="001042AC">
              <w:rPr>
                <w:rFonts w:cs="Arial"/>
                <w:b/>
                <w:color w:val="000000"/>
                <w:sz w:val="16"/>
                <w:szCs w:val="16"/>
              </w:rPr>
              <w:t>2012</w:t>
            </w:r>
          </w:p>
        </w:tc>
      </w:tr>
      <w:tr w:rsidR="00306953" w:rsidRPr="00442515" w:rsidTr="00B07DEE">
        <w:trPr>
          <w:trHeight w:val="300"/>
        </w:trPr>
        <w:tc>
          <w:tcPr>
            <w:tcW w:w="1575" w:type="dxa"/>
            <w:vMerge w:val="restart"/>
            <w:tcBorders>
              <w:top w:val="double" w:sz="4" w:space="0" w:color="auto"/>
            </w:tcBorders>
            <w:shd w:val="clear" w:color="auto" w:fill="auto"/>
            <w:noWrap/>
            <w:vAlign w:val="center"/>
            <w:hideMark/>
          </w:tcPr>
          <w:p w:rsidR="00306953" w:rsidRPr="00442515" w:rsidRDefault="005464DF" w:rsidP="007E5BD0">
            <w:pPr>
              <w:spacing w:after="0" w:line="240" w:lineRule="auto"/>
              <w:rPr>
                <w:rFonts w:cs="Arial"/>
                <w:color w:val="000000"/>
                <w:sz w:val="16"/>
                <w:szCs w:val="16"/>
              </w:rPr>
            </w:pPr>
            <w:r>
              <w:rPr>
                <w:rFonts w:cs="Arial"/>
                <w:color w:val="000000"/>
                <w:sz w:val="16"/>
                <w:szCs w:val="16"/>
              </w:rPr>
              <w:t>Č</w:t>
            </w:r>
            <w:r w:rsidR="00306953" w:rsidRPr="00442515">
              <w:rPr>
                <w:rFonts w:cs="Arial"/>
                <w:color w:val="000000"/>
                <w:sz w:val="16"/>
                <w:szCs w:val="16"/>
              </w:rPr>
              <w:t>eská republika</w:t>
            </w:r>
          </w:p>
        </w:tc>
        <w:tc>
          <w:tcPr>
            <w:tcW w:w="3118" w:type="dxa"/>
            <w:tcBorders>
              <w:top w:val="double" w:sz="4" w:space="0" w:color="auto"/>
            </w:tcBorders>
            <w:shd w:val="clear" w:color="auto" w:fill="auto"/>
            <w:noWrap/>
            <w:vAlign w:val="center"/>
            <w:hideMark/>
          </w:tcPr>
          <w:p w:rsidR="00306953" w:rsidRPr="00442515" w:rsidRDefault="005464DF" w:rsidP="007E5BD0">
            <w:pPr>
              <w:spacing w:after="0" w:line="240" w:lineRule="auto"/>
              <w:rPr>
                <w:rFonts w:cs="Arial"/>
                <w:color w:val="000000"/>
                <w:sz w:val="16"/>
                <w:szCs w:val="16"/>
              </w:rPr>
            </w:pPr>
            <w:r>
              <w:rPr>
                <w:rFonts w:cs="Arial"/>
                <w:color w:val="000000"/>
                <w:sz w:val="16"/>
                <w:szCs w:val="16"/>
              </w:rPr>
              <w:t>primární</w:t>
            </w:r>
            <w:r w:rsidR="00306953" w:rsidRPr="00442515">
              <w:rPr>
                <w:rFonts w:cs="Arial"/>
                <w:color w:val="000000"/>
                <w:sz w:val="16"/>
                <w:szCs w:val="16"/>
              </w:rPr>
              <w:t xml:space="preserve"> až postsekundární</w:t>
            </w:r>
            <w:r>
              <w:rPr>
                <w:rFonts w:cs="Arial"/>
                <w:color w:val="000000"/>
                <w:sz w:val="16"/>
                <w:szCs w:val="16"/>
              </w:rPr>
              <w:t xml:space="preserve"> neterciární</w:t>
            </w:r>
          </w:p>
        </w:tc>
        <w:tc>
          <w:tcPr>
            <w:tcW w:w="600" w:type="dxa"/>
            <w:tcBorders>
              <w:top w:val="double" w:sz="4" w:space="0" w:color="auto"/>
            </w:tcBorders>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7,3</w:t>
            </w:r>
          </w:p>
        </w:tc>
        <w:tc>
          <w:tcPr>
            <w:tcW w:w="600" w:type="dxa"/>
            <w:tcBorders>
              <w:top w:val="double" w:sz="4" w:space="0" w:color="auto"/>
            </w:tcBorders>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9,0</w:t>
            </w:r>
          </w:p>
        </w:tc>
        <w:tc>
          <w:tcPr>
            <w:tcW w:w="600" w:type="dxa"/>
            <w:tcBorders>
              <w:top w:val="double" w:sz="4" w:space="0" w:color="auto"/>
            </w:tcBorders>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6,8</w:t>
            </w:r>
          </w:p>
        </w:tc>
        <w:tc>
          <w:tcPr>
            <w:tcW w:w="541" w:type="dxa"/>
            <w:tcBorders>
              <w:top w:val="double" w:sz="4" w:space="0" w:color="auto"/>
            </w:tcBorders>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7,9</w:t>
            </w:r>
          </w:p>
        </w:tc>
        <w:tc>
          <w:tcPr>
            <w:tcW w:w="600" w:type="dxa"/>
            <w:tcBorders>
              <w:top w:val="double" w:sz="4" w:space="0" w:color="auto"/>
            </w:tcBorders>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10,1</w:t>
            </w:r>
          </w:p>
        </w:tc>
        <w:tc>
          <w:tcPr>
            <w:tcW w:w="600" w:type="dxa"/>
            <w:tcBorders>
              <w:top w:val="double" w:sz="4" w:space="0" w:color="auto"/>
            </w:tcBorders>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9,1</w:t>
            </w:r>
          </w:p>
        </w:tc>
        <w:tc>
          <w:tcPr>
            <w:tcW w:w="600" w:type="dxa"/>
            <w:tcBorders>
              <w:top w:val="double" w:sz="4" w:space="0" w:color="auto"/>
            </w:tcBorders>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8,4</w:t>
            </w:r>
          </w:p>
        </w:tc>
        <w:tc>
          <w:tcPr>
            <w:tcW w:w="600" w:type="dxa"/>
            <w:tcBorders>
              <w:top w:val="double" w:sz="4" w:space="0" w:color="auto"/>
            </w:tcBorders>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7,8</w:t>
            </w:r>
          </w:p>
        </w:tc>
      </w:tr>
      <w:tr w:rsidR="00306953" w:rsidRPr="00442515" w:rsidTr="00B07DEE">
        <w:trPr>
          <w:trHeight w:val="300"/>
        </w:trPr>
        <w:tc>
          <w:tcPr>
            <w:tcW w:w="1575" w:type="dxa"/>
            <w:vMerge/>
            <w:vAlign w:val="center"/>
            <w:hideMark/>
          </w:tcPr>
          <w:p w:rsidR="00306953" w:rsidRPr="00442515" w:rsidRDefault="00306953" w:rsidP="007E5BD0">
            <w:pPr>
              <w:spacing w:after="0" w:line="240" w:lineRule="auto"/>
              <w:rPr>
                <w:rFonts w:cs="Arial"/>
                <w:color w:val="000000"/>
                <w:sz w:val="16"/>
                <w:szCs w:val="16"/>
              </w:rPr>
            </w:pPr>
          </w:p>
        </w:tc>
        <w:tc>
          <w:tcPr>
            <w:tcW w:w="3118" w:type="dxa"/>
            <w:shd w:val="clear" w:color="auto" w:fill="auto"/>
            <w:noWrap/>
            <w:vAlign w:val="center"/>
            <w:hideMark/>
          </w:tcPr>
          <w:p w:rsidR="00306953" w:rsidRPr="00442515" w:rsidRDefault="00306953" w:rsidP="007E5BD0">
            <w:pPr>
              <w:spacing w:after="0" w:line="240" w:lineRule="auto"/>
              <w:rPr>
                <w:rFonts w:cs="Arial"/>
                <w:color w:val="000000"/>
                <w:sz w:val="16"/>
                <w:szCs w:val="16"/>
              </w:rPr>
            </w:pPr>
            <w:r w:rsidRPr="00442515">
              <w:rPr>
                <w:rFonts w:cs="Arial"/>
                <w:color w:val="000000"/>
                <w:sz w:val="16"/>
                <w:szCs w:val="16"/>
              </w:rPr>
              <w:t>terciární</w:t>
            </w:r>
          </w:p>
        </w:tc>
        <w:tc>
          <w:tcPr>
            <w:tcW w:w="600"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15,2</w:t>
            </w:r>
          </w:p>
        </w:tc>
        <w:tc>
          <w:tcPr>
            <w:tcW w:w="600"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13,5</w:t>
            </w:r>
          </w:p>
        </w:tc>
        <w:tc>
          <w:tcPr>
            <w:tcW w:w="600"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18,2</w:t>
            </w:r>
          </w:p>
        </w:tc>
        <w:tc>
          <w:tcPr>
            <w:tcW w:w="541"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11,7</w:t>
            </w:r>
          </w:p>
        </w:tc>
        <w:tc>
          <w:tcPr>
            <w:tcW w:w="600"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10,2</w:t>
            </w:r>
          </w:p>
        </w:tc>
        <w:tc>
          <w:tcPr>
            <w:tcW w:w="600"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8,5</w:t>
            </w:r>
          </w:p>
        </w:tc>
        <w:tc>
          <w:tcPr>
            <w:tcW w:w="600"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19,4</w:t>
            </w:r>
          </w:p>
        </w:tc>
        <w:tc>
          <w:tcPr>
            <w:tcW w:w="600"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9,4</w:t>
            </w:r>
          </w:p>
        </w:tc>
      </w:tr>
      <w:tr w:rsidR="00306953" w:rsidRPr="00442515" w:rsidTr="00B07DEE">
        <w:trPr>
          <w:trHeight w:val="300"/>
        </w:trPr>
        <w:tc>
          <w:tcPr>
            <w:tcW w:w="1575" w:type="dxa"/>
            <w:vMerge w:val="restart"/>
            <w:shd w:val="clear" w:color="auto" w:fill="auto"/>
            <w:noWrap/>
            <w:vAlign w:val="center"/>
            <w:hideMark/>
          </w:tcPr>
          <w:p w:rsidR="00306953" w:rsidRPr="00442515" w:rsidRDefault="00306953" w:rsidP="007E5BD0">
            <w:pPr>
              <w:spacing w:after="0" w:line="240" w:lineRule="auto"/>
              <w:rPr>
                <w:rFonts w:cs="Arial"/>
                <w:color w:val="000000"/>
                <w:sz w:val="16"/>
                <w:szCs w:val="16"/>
              </w:rPr>
            </w:pPr>
            <w:r w:rsidRPr="00442515">
              <w:rPr>
                <w:rFonts w:cs="Arial"/>
                <w:color w:val="000000"/>
                <w:sz w:val="16"/>
                <w:szCs w:val="16"/>
              </w:rPr>
              <w:t>Slovensko</w:t>
            </w:r>
          </w:p>
        </w:tc>
        <w:tc>
          <w:tcPr>
            <w:tcW w:w="3118" w:type="dxa"/>
            <w:shd w:val="clear" w:color="auto" w:fill="auto"/>
            <w:noWrap/>
            <w:vAlign w:val="center"/>
            <w:hideMark/>
          </w:tcPr>
          <w:p w:rsidR="00306953" w:rsidRPr="00442515" w:rsidRDefault="005464DF" w:rsidP="007E5BD0">
            <w:pPr>
              <w:spacing w:after="0" w:line="240" w:lineRule="auto"/>
              <w:rPr>
                <w:rFonts w:cs="Arial"/>
                <w:color w:val="000000"/>
                <w:sz w:val="16"/>
                <w:szCs w:val="16"/>
              </w:rPr>
            </w:pPr>
            <w:r>
              <w:rPr>
                <w:rFonts w:cs="Arial"/>
                <w:color w:val="000000"/>
                <w:sz w:val="16"/>
                <w:szCs w:val="16"/>
              </w:rPr>
              <w:t>primární</w:t>
            </w:r>
            <w:r w:rsidRPr="00442515">
              <w:rPr>
                <w:rFonts w:cs="Arial"/>
                <w:color w:val="000000"/>
                <w:sz w:val="16"/>
                <w:szCs w:val="16"/>
              </w:rPr>
              <w:t xml:space="preserve"> až postsekundární</w:t>
            </w:r>
            <w:r>
              <w:rPr>
                <w:rFonts w:cs="Arial"/>
                <w:color w:val="000000"/>
                <w:sz w:val="16"/>
                <w:szCs w:val="16"/>
              </w:rPr>
              <w:t xml:space="preserve"> neterciární</w:t>
            </w:r>
          </w:p>
        </w:tc>
        <w:tc>
          <w:tcPr>
            <w:tcW w:w="600"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4,8</w:t>
            </w:r>
          </w:p>
        </w:tc>
        <w:tc>
          <w:tcPr>
            <w:tcW w:w="600"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4,3</w:t>
            </w:r>
          </w:p>
        </w:tc>
        <w:tc>
          <w:tcPr>
            <w:tcW w:w="600"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3,1</w:t>
            </w:r>
          </w:p>
        </w:tc>
        <w:tc>
          <w:tcPr>
            <w:tcW w:w="541"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3,1</w:t>
            </w:r>
          </w:p>
        </w:tc>
        <w:tc>
          <w:tcPr>
            <w:tcW w:w="600"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4,4</w:t>
            </w:r>
          </w:p>
        </w:tc>
        <w:tc>
          <w:tcPr>
            <w:tcW w:w="600"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8,4</w:t>
            </w:r>
          </w:p>
        </w:tc>
        <w:tc>
          <w:tcPr>
            <w:tcW w:w="600"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5,9</w:t>
            </w:r>
          </w:p>
        </w:tc>
        <w:tc>
          <w:tcPr>
            <w:tcW w:w="600"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3,1</w:t>
            </w:r>
          </w:p>
        </w:tc>
      </w:tr>
      <w:tr w:rsidR="00306953" w:rsidRPr="00442515" w:rsidTr="00B07DEE">
        <w:trPr>
          <w:trHeight w:val="300"/>
        </w:trPr>
        <w:tc>
          <w:tcPr>
            <w:tcW w:w="1575" w:type="dxa"/>
            <w:vMerge/>
            <w:vAlign w:val="center"/>
            <w:hideMark/>
          </w:tcPr>
          <w:p w:rsidR="00306953" w:rsidRPr="00442515" w:rsidRDefault="00306953" w:rsidP="007E5BD0">
            <w:pPr>
              <w:spacing w:after="0" w:line="240" w:lineRule="auto"/>
              <w:rPr>
                <w:rFonts w:cs="Arial"/>
                <w:color w:val="000000"/>
                <w:sz w:val="16"/>
                <w:szCs w:val="16"/>
              </w:rPr>
            </w:pPr>
          </w:p>
        </w:tc>
        <w:tc>
          <w:tcPr>
            <w:tcW w:w="3118" w:type="dxa"/>
            <w:shd w:val="clear" w:color="auto" w:fill="auto"/>
            <w:noWrap/>
            <w:vAlign w:val="center"/>
            <w:hideMark/>
          </w:tcPr>
          <w:p w:rsidR="00306953" w:rsidRPr="00442515" w:rsidRDefault="00306953" w:rsidP="007E5BD0">
            <w:pPr>
              <w:spacing w:after="0" w:line="240" w:lineRule="auto"/>
              <w:rPr>
                <w:rFonts w:cs="Arial"/>
                <w:color w:val="000000"/>
                <w:sz w:val="16"/>
                <w:szCs w:val="16"/>
              </w:rPr>
            </w:pPr>
            <w:r w:rsidRPr="00442515">
              <w:rPr>
                <w:rFonts w:cs="Arial"/>
                <w:color w:val="000000"/>
                <w:sz w:val="16"/>
                <w:szCs w:val="16"/>
              </w:rPr>
              <w:t>terciární</w:t>
            </w:r>
          </w:p>
        </w:tc>
        <w:tc>
          <w:tcPr>
            <w:tcW w:w="600"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8,0</w:t>
            </w:r>
          </w:p>
        </w:tc>
        <w:tc>
          <w:tcPr>
            <w:tcW w:w="600"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9,4</w:t>
            </w:r>
          </w:p>
        </w:tc>
        <w:tc>
          <w:tcPr>
            <w:tcW w:w="600"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6,7</w:t>
            </w:r>
          </w:p>
        </w:tc>
        <w:tc>
          <w:tcPr>
            <w:tcW w:w="541"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8,6</w:t>
            </w:r>
          </w:p>
        </w:tc>
        <w:tc>
          <w:tcPr>
            <w:tcW w:w="600"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9,3</w:t>
            </w:r>
          </w:p>
        </w:tc>
        <w:tc>
          <w:tcPr>
            <w:tcW w:w="600"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21,5</w:t>
            </w:r>
          </w:p>
        </w:tc>
        <w:tc>
          <w:tcPr>
            <w:tcW w:w="600"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19,4</w:t>
            </w:r>
          </w:p>
        </w:tc>
        <w:tc>
          <w:tcPr>
            <w:tcW w:w="600"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18,8</w:t>
            </w:r>
          </w:p>
        </w:tc>
      </w:tr>
      <w:tr w:rsidR="00306953" w:rsidRPr="00442515" w:rsidTr="00B07DEE">
        <w:trPr>
          <w:trHeight w:val="300"/>
        </w:trPr>
        <w:tc>
          <w:tcPr>
            <w:tcW w:w="1575" w:type="dxa"/>
            <w:vMerge w:val="restart"/>
            <w:shd w:val="clear" w:color="auto" w:fill="auto"/>
            <w:noWrap/>
            <w:vAlign w:val="center"/>
            <w:hideMark/>
          </w:tcPr>
          <w:p w:rsidR="00306953" w:rsidRPr="00442515" w:rsidRDefault="00306953" w:rsidP="007E5BD0">
            <w:pPr>
              <w:spacing w:after="0" w:line="240" w:lineRule="auto"/>
              <w:rPr>
                <w:rFonts w:cs="Arial"/>
                <w:color w:val="000000"/>
                <w:sz w:val="16"/>
                <w:szCs w:val="16"/>
              </w:rPr>
            </w:pPr>
            <w:r w:rsidRPr="00442515">
              <w:rPr>
                <w:rFonts w:cs="Arial"/>
                <w:color w:val="000000"/>
                <w:sz w:val="16"/>
                <w:szCs w:val="16"/>
              </w:rPr>
              <w:t>Polsko</w:t>
            </w:r>
          </w:p>
        </w:tc>
        <w:tc>
          <w:tcPr>
            <w:tcW w:w="3118" w:type="dxa"/>
            <w:shd w:val="clear" w:color="auto" w:fill="auto"/>
            <w:noWrap/>
            <w:vAlign w:val="center"/>
            <w:hideMark/>
          </w:tcPr>
          <w:p w:rsidR="00306953" w:rsidRPr="00442515" w:rsidRDefault="005464DF" w:rsidP="007E5BD0">
            <w:pPr>
              <w:spacing w:after="0" w:line="240" w:lineRule="auto"/>
              <w:rPr>
                <w:rFonts w:cs="Arial"/>
                <w:color w:val="000000"/>
                <w:sz w:val="16"/>
                <w:szCs w:val="16"/>
              </w:rPr>
            </w:pPr>
            <w:r>
              <w:rPr>
                <w:rFonts w:cs="Arial"/>
                <w:color w:val="000000"/>
                <w:sz w:val="16"/>
                <w:szCs w:val="16"/>
              </w:rPr>
              <w:t>primární</w:t>
            </w:r>
            <w:r w:rsidRPr="00442515">
              <w:rPr>
                <w:rFonts w:cs="Arial"/>
                <w:color w:val="000000"/>
                <w:sz w:val="16"/>
                <w:szCs w:val="16"/>
              </w:rPr>
              <w:t xml:space="preserve"> až postsekundární</w:t>
            </w:r>
            <w:r>
              <w:rPr>
                <w:rFonts w:cs="Arial"/>
                <w:color w:val="000000"/>
                <w:sz w:val="16"/>
                <w:szCs w:val="16"/>
              </w:rPr>
              <w:t xml:space="preserve"> neterciární</w:t>
            </w:r>
          </w:p>
        </w:tc>
        <w:tc>
          <w:tcPr>
            <w:tcW w:w="600"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5,8</w:t>
            </w:r>
          </w:p>
        </w:tc>
        <w:tc>
          <w:tcPr>
            <w:tcW w:w="600"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7,4</w:t>
            </w:r>
          </w:p>
        </w:tc>
        <w:tc>
          <w:tcPr>
            <w:tcW w:w="600"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6,6</w:t>
            </w:r>
          </w:p>
        </w:tc>
        <w:tc>
          <w:tcPr>
            <w:tcW w:w="541"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6,9</w:t>
            </w:r>
          </w:p>
        </w:tc>
        <w:tc>
          <w:tcPr>
            <w:tcW w:w="600"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6,1</w:t>
            </w:r>
          </w:p>
        </w:tc>
        <w:tc>
          <w:tcPr>
            <w:tcW w:w="600"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6,3</w:t>
            </w:r>
          </w:p>
        </w:tc>
        <w:tc>
          <w:tcPr>
            <w:tcW w:w="600"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5,0</w:t>
            </w:r>
          </w:p>
        </w:tc>
        <w:tc>
          <w:tcPr>
            <w:tcW w:w="600"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4,3</w:t>
            </w:r>
          </w:p>
        </w:tc>
      </w:tr>
      <w:tr w:rsidR="00306953" w:rsidRPr="00442515" w:rsidTr="00B07DEE">
        <w:trPr>
          <w:trHeight w:val="300"/>
        </w:trPr>
        <w:tc>
          <w:tcPr>
            <w:tcW w:w="1575" w:type="dxa"/>
            <w:vMerge/>
            <w:vAlign w:val="center"/>
            <w:hideMark/>
          </w:tcPr>
          <w:p w:rsidR="00306953" w:rsidRPr="00442515" w:rsidRDefault="00306953" w:rsidP="007E5BD0">
            <w:pPr>
              <w:spacing w:after="0" w:line="240" w:lineRule="auto"/>
              <w:rPr>
                <w:rFonts w:cs="Arial"/>
                <w:color w:val="000000"/>
                <w:sz w:val="16"/>
                <w:szCs w:val="16"/>
              </w:rPr>
            </w:pPr>
          </w:p>
        </w:tc>
        <w:tc>
          <w:tcPr>
            <w:tcW w:w="3118" w:type="dxa"/>
            <w:shd w:val="clear" w:color="auto" w:fill="auto"/>
            <w:noWrap/>
            <w:vAlign w:val="center"/>
            <w:hideMark/>
          </w:tcPr>
          <w:p w:rsidR="00306953" w:rsidRPr="00442515" w:rsidRDefault="00306953" w:rsidP="007E5BD0">
            <w:pPr>
              <w:spacing w:after="0" w:line="240" w:lineRule="auto"/>
              <w:rPr>
                <w:rFonts w:cs="Arial"/>
                <w:color w:val="000000"/>
                <w:sz w:val="16"/>
                <w:szCs w:val="16"/>
              </w:rPr>
            </w:pPr>
            <w:r w:rsidRPr="00442515">
              <w:rPr>
                <w:rFonts w:cs="Arial"/>
                <w:color w:val="000000"/>
                <w:sz w:val="16"/>
                <w:szCs w:val="16"/>
              </w:rPr>
              <w:t>terciární</w:t>
            </w:r>
          </w:p>
        </w:tc>
        <w:tc>
          <w:tcPr>
            <w:tcW w:w="600"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12,2</w:t>
            </w:r>
          </w:p>
        </w:tc>
        <w:tc>
          <w:tcPr>
            <w:tcW w:w="600"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14,5</w:t>
            </w:r>
          </w:p>
        </w:tc>
        <w:tc>
          <w:tcPr>
            <w:tcW w:w="600"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15,0</w:t>
            </w:r>
          </w:p>
        </w:tc>
        <w:tc>
          <w:tcPr>
            <w:tcW w:w="541"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12,7</w:t>
            </w:r>
          </w:p>
        </w:tc>
        <w:tc>
          <w:tcPr>
            <w:tcW w:w="600" w:type="dxa"/>
            <w:shd w:val="clear" w:color="auto" w:fill="auto"/>
            <w:noWrap/>
            <w:vAlign w:val="center"/>
            <w:hideMark/>
          </w:tcPr>
          <w:p w:rsidR="00306953" w:rsidRPr="00442515" w:rsidRDefault="00306953" w:rsidP="007E5BD0">
            <w:pPr>
              <w:spacing w:after="0" w:line="240" w:lineRule="auto"/>
              <w:jc w:val="center"/>
              <w:rPr>
                <w:rFonts w:cs="Arial"/>
                <w:color w:val="000000"/>
                <w:sz w:val="16"/>
                <w:szCs w:val="16"/>
              </w:rPr>
            </w:pPr>
            <w:r w:rsidRPr="00442515">
              <w:rPr>
                <w:rFonts w:cs="Arial"/>
                <w:color w:val="000000"/>
                <w:sz w:val="16"/>
                <w:szCs w:val="16"/>
              </w:rPr>
              <w:t>13,1</w:t>
            </w:r>
          </w:p>
        </w:tc>
        <w:tc>
          <w:tcPr>
            <w:tcW w:w="600"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19,4</w:t>
            </w:r>
          </w:p>
        </w:tc>
        <w:tc>
          <w:tcPr>
            <w:tcW w:w="600"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20,2</w:t>
            </w:r>
          </w:p>
        </w:tc>
        <w:tc>
          <w:tcPr>
            <w:tcW w:w="600"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18,4</w:t>
            </w:r>
          </w:p>
        </w:tc>
      </w:tr>
    </w:tbl>
    <w:p w:rsidR="00306953" w:rsidRPr="00442515" w:rsidRDefault="00306953" w:rsidP="00E031F1">
      <w:pPr>
        <w:autoSpaceDE w:val="0"/>
        <w:autoSpaceDN w:val="0"/>
        <w:adjustRightInd w:val="0"/>
        <w:spacing w:before="120" w:after="120" w:line="240" w:lineRule="auto"/>
        <w:jc w:val="both"/>
        <w:rPr>
          <w:rFonts w:eastAsia="ChaparralPro-Regular" w:cs="Arial"/>
          <w:sz w:val="16"/>
          <w:szCs w:val="16"/>
        </w:rPr>
      </w:pPr>
      <w:r w:rsidRPr="00442515">
        <w:rPr>
          <w:rFonts w:eastAsia="ChaparralPro-Regular" w:cs="Arial"/>
          <w:sz w:val="16"/>
          <w:szCs w:val="16"/>
        </w:rPr>
        <w:t>Zdroj: Tabulka B 6.2 v publikaci OECD Education at a Glance 2015, 2014, 2013, 2012, 2011, 2010, 2009 a 2008.</w:t>
      </w:r>
    </w:p>
    <w:p w:rsidR="00442515" w:rsidRDefault="00442515" w:rsidP="00306953">
      <w:pPr>
        <w:autoSpaceDE w:val="0"/>
        <w:autoSpaceDN w:val="0"/>
        <w:adjustRightInd w:val="0"/>
        <w:spacing w:after="120" w:line="240" w:lineRule="auto"/>
        <w:jc w:val="both"/>
        <w:rPr>
          <w:rFonts w:eastAsia="ChaparralPro-Regular" w:cs="Arial"/>
        </w:rPr>
      </w:pPr>
    </w:p>
    <w:p w:rsidR="00306953" w:rsidRDefault="00306953" w:rsidP="00306953">
      <w:pPr>
        <w:autoSpaceDE w:val="0"/>
        <w:autoSpaceDN w:val="0"/>
        <w:adjustRightInd w:val="0"/>
        <w:spacing w:after="120" w:line="240" w:lineRule="auto"/>
        <w:jc w:val="both"/>
        <w:rPr>
          <w:rFonts w:eastAsia="ChaparralPro-Regular" w:cs="Arial"/>
        </w:rPr>
      </w:pPr>
      <w:r w:rsidRPr="00306953">
        <w:rPr>
          <w:rFonts w:eastAsia="ChaparralPro-Regular" w:cs="Arial"/>
        </w:rPr>
        <w:t>Doplňme, že ze zemí v tabulce č. 20 zaujímaly kapitálové výdaje na primární až postsekundární neterciární vzdělávání i na terciární vzdělávání v roce 2012 nejnižší podíl v Rakousku (2,2 %, resp. 1,9 %).</w:t>
      </w:r>
    </w:p>
    <w:p w:rsidR="00442515" w:rsidRPr="00306953" w:rsidRDefault="00442515" w:rsidP="00306953">
      <w:pPr>
        <w:autoSpaceDE w:val="0"/>
        <w:autoSpaceDN w:val="0"/>
        <w:adjustRightInd w:val="0"/>
        <w:spacing w:after="120" w:line="240" w:lineRule="auto"/>
        <w:jc w:val="both"/>
        <w:rPr>
          <w:rFonts w:eastAsia="ChaparralPro-Regular" w:cs="Arial"/>
        </w:rPr>
      </w:pPr>
    </w:p>
    <w:p w:rsidR="00306953" w:rsidRPr="00306953" w:rsidRDefault="00306953" w:rsidP="00306953">
      <w:pPr>
        <w:autoSpaceDE w:val="0"/>
        <w:autoSpaceDN w:val="0"/>
        <w:adjustRightInd w:val="0"/>
        <w:spacing w:after="120" w:line="240" w:lineRule="auto"/>
        <w:jc w:val="both"/>
        <w:rPr>
          <w:rFonts w:eastAsia="ChaparralPro-Regular" w:cs="Arial"/>
        </w:rPr>
      </w:pPr>
      <w:r w:rsidRPr="00306953">
        <w:rPr>
          <w:rFonts w:eastAsia="ChaparralPro-Regular" w:cs="Arial"/>
        </w:rPr>
        <w:t xml:space="preserve">Graf č. 14 se omezuje pouze na vyjádření </w:t>
      </w:r>
      <w:r w:rsidRPr="00306953">
        <w:rPr>
          <w:rFonts w:eastAsia="ChaparralPro-Regular" w:cs="Arial"/>
          <w:b/>
        </w:rPr>
        <w:t>podílu běžných a kapitálových výdajů</w:t>
      </w:r>
      <w:r w:rsidRPr="00306953">
        <w:rPr>
          <w:rFonts w:eastAsia="ChaparralPro-Regular" w:cs="Arial"/>
        </w:rPr>
        <w:t xml:space="preserve"> vynaložených v roce 2012 na instituce formálního vzdělávání </w:t>
      </w:r>
      <w:r w:rsidRPr="00306953">
        <w:rPr>
          <w:rFonts w:eastAsia="ChaparralPro-Regular" w:cs="Arial"/>
          <w:b/>
        </w:rPr>
        <w:t>v různých zemích</w:t>
      </w:r>
      <w:r w:rsidRPr="00306953">
        <w:rPr>
          <w:rFonts w:eastAsia="ChaparralPro-Regular" w:cs="Arial"/>
        </w:rPr>
        <w:t>, a sice v dělení na primární, sekundární a post-sekundární neterciární úroveň a na terciární úroveň vzdělávání.</w:t>
      </w:r>
    </w:p>
    <w:p w:rsidR="00306953" w:rsidRDefault="00306953" w:rsidP="00442515">
      <w:pPr>
        <w:keepNext/>
        <w:autoSpaceDE w:val="0"/>
        <w:autoSpaceDN w:val="0"/>
        <w:adjustRightInd w:val="0"/>
        <w:spacing w:after="120" w:line="240" w:lineRule="auto"/>
        <w:jc w:val="both"/>
        <w:rPr>
          <w:rFonts w:eastAsia="ChaparralPro-Regular" w:cs="Arial"/>
          <w:i/>
          <w:iCs/>
        </w:rPr>
      </w:pPr>
      <w:r w:rsidRPr="00306953">
        <w:rPr>
          <w:rFonts w:eastAsia="ChaparralPro-Regular" w:cs="Arial"/>
          <w:b/>
          <w:bCs/>
        </w:rPr>
        <w:lastRenderedPageBreak/>
        <w:t>Graf č. 14 Podíly běžných a kapitálových výdajů ze všech výdajů na vzdělávací instituce (2012)</w:t>
      </w:r>
      <w:r w:rsidRPr="00306953">
        <w:rPr>
          <w:rFonts w:eastAsia="ChaparralPro-Regular" w:cs="Arial"/>
        </w:rPr>
        <w:t xml:space="preserve"> - dle druhu zdroje a úrovně vzdělávání</w:t>
      </w:r>
      <w:r w:rsidRPr="00306953">
        <w:rPr>
          <w:rFonts w:eastAsia="ChaparralPro-Regular" w:cs="Arial"/>
          <w:i/>
          <w:iCs/>
        </w:rPr>
        <w:t xml:space="preserve"> </w:t>
      </w:r>
    </w:p>
    <w:p w:rsidR="001A2903" w:rsidRDefault="00BA5EE1" w:rsidP="001A2903">
      <w:pPr>
        <w:keepNext/>
        <w:autoSpaceDE w:val="0"/>
        <w:autoSpaceDN w:val="0"/>
        <w:adjustRightInd w:val="0"/>
        <w:spacing w:after="120" w:line="240" w:lineRule="auto"/>
        <w:jc w:val="both"/>
        <w:rPr>
          <w:rFonts w:eastAsia="ChaparralPro-Regular" w:cs="Arial"/>
          <w:i/>
          <w:noProof/>
        </w:rPr>
      </w:pPr>
      <w:r w:rsidRPr="00984E22">
        <w:rPr>
          <w:rFonts w:eastAsia="ChaparralPro-Regular" w:cs="Arial"/>
          <w:i/>
          <w:noProof/>
        </w:rPr>
        <w:pict>
          <v:shape id="_x0000_i1039" type="#_x0000_t75" style="width:470.25pt;height:273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">
            <v:imagedata r:id="rId108" o:title="" croptop="-2095f" cropbottom="-6718f" cropleft="-971f" cropright="-1652f"/>
            <o:lock v:ext="edit" aspectratio="f"/>
          </v:shape>
        </w:pict>
      </w:r>
    </w:p>
    <w:p w:rsidR="001A2903" w:rsidRPr="00312B18" w:rsidRDefault="00BA5EE1" w:rsidP="00312B18">
      <w:pPr>
        <w:keepNext/>
        <w:autoSpaceDE w:val="0"/>
        <w:autoSpaceDN w:val="0"/>
        <w:adjustRightInd w:val="0"/>
        <w:spacing w:after="120" w:line="240" w:lineRule="auto"/>
        <w:jc w:val="both"/>
        <w:rPr>
          <w:rFonts w:eastAsia="ChaparralPro-Regular" w:cs="Arial"/>
          <w:i/>
          <w:noProof/>
        </w:rPr>
      </w:pPr>
      <w:r w:rsidRPr="00984E22">
        <w:rPr>
          <w:rFonts w:eastAsia="ChaparralPro-Regular" w:cs="Arial"/>
          <w:i/>
          <w:noProof/>
        </w:rPr>
        <w:pict>
          <v:shape id="_x0000_i1040" type="#_x0000_t75" style="width:468pt;height:242.2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">
            <v:imagedata r:id="rId109" o:title="" croptop="-2618f" cropbottom="-9670f" cropleft="-275f" cropright="-1873f"/>
            <o:lock v:ext="edit" aspectratio="f"/>
          </v:shape>
        </w:pict>
      </w:r>
    </w:p>
    <w:p w:rsidR="00306953" w:rsidRPr="00442515" w:rsidRDefault="00E031F1" w:rsidP="00306953">
      <w:pPr>
        <w:autoSpaceDE w:val="0"/>
        <w:autoSpaceDN w:val="0"/>
        <w:adjustRightInd w:val="0"/>
        <w:spacing w:after="0" w:line="240" w:lineRule="auto"/>
        <w:jc w:val="both"/>
        <w:rPr>
          <w:rFonts w:eastAsia="ChaparralPro-Regular" w:cs="Arial"/>
          <w:sz w:val="16"/>
          <w:szCs w:val="16"/>
        </w:rPr>
      </w:pPr>
      <w:r w:rsidRPr="008F5F4B">
        <w:rPr>
          <w:rFonts w:eastAsia="ChaparralPro-Regular" w:cs="Arial"/>
          <w:sz w:val="16"/>
          <w:szCs w:val="16"/>
        </w:rPr>
        <w:t>(</w:t>
      </w:r>
      <w:r w:rsidR="00306953" w:rsidRPr="008F5F4B">
        <w:rPr>
          <w:rFonts w:eastAsia="ChaparralPro-Regular" w:cs="Arial"/>
          <w:sz w:val="16"/>
          <w:szCs w:val="16"/>
        </w:rPr>
        <w:t>1)</w:t>
      </w:r>
      <w:r w:rsidR="001A2903">
        <w:rPr>
          <w:rFonts w:eastAsia="ChaparralPro-Regular" w:cs="Arial"/>
          <w:sz w:val="16"/>
          <w:szCs w:val="16"/>
        </w:rPr>
        <w:t xml:space="preserve"> p</w:t>
      </w:r>
      <w:r w:rsidR="00306953" w:rsidRPr="00442515">
        <w:rPr>
          <w:rFonts w:eastAsia="ChaparralPro-Regular" w:cs="Arial"/>
          <w:sz w:val="16"/>
          <w:szCs w:val="16"/>
        </w:rPr>
        <w:t xml:space="preserve">ouze veřejné </w:t>
      </w:r>
      <w:r w:rsidR="001A2903">
        <w:rPr>
          <w:rFonts w:eastAsia="ChaparralPro-Regular" w:cs="Arial"/>
          <w:sz w:val="16"/>
          <w:szCs w:val="16"/>
        </w:rPr>
        <w:t>instituce</w:t>
      </w:r>
    </w:p>
    <w:p w:rsidR="00306953" w:rsidRPr="00442515" w:rsidRDefault="00E031F1" w:rsidP="00306953">
      <w:pPr>
        <w:autoSpaceDE w:val="0"/>
        <w:autoSpaceDN w:val="0"/>
        <w:adjustRightInd w:val="0"/>
        <w:spacing w:after="0" w:line="240" w:lineRule="auto"/>
        <w:jc w:val="both"/>
        <w:rPr>
          <w:rFonts w:eastAsia="ChaparralPro-Regular" w:cs="Arial"/>
          <w:sz w:val="16"/>
          <w:szCs w:val="16"/>
        </w:rPr>
      </w:pPr>
      <w:r w:rsidRPr="008F5F4B">
        <w:rPr>
          <w:rFonts w:eastAsia="ChaparralPro-Regular" w:cs="Arial"/>
          <w:sz w:val="16"/>
          <w:szCs w:val="16"/>
        </w:rPr>
        <w:t>(</w:t>
      </w:r>
      <w:r w:rsidR="00306953" w:rsidRPr="008F5F4B">
        <w:rPr>
          <w:rFonts w:eastAsia="ChaparralPro-Regular" w:cs="Arial"/>
          <w:sz w:val="16"/>
          <w:szCs w:val="16"/>
        </w:rPr>
        <w:t>2)</w:t>
      </w:r>
      <w:r w:rsidR="00306953" w:rsidRPr="00442515">
        <w:rPr>
          <w:rFonts w:eastAsia="ChaparralPro-Regular" w:cs="Arial"/>
          <w:sz w:val="16"/>
          <w:szCs w:val="16"/>
        </w:rPr>
        <w:t xml:space="preserve"> Některé úrovně vzdělávání jsou sloučeny s dalšími - viz kód "x" v tabulce B1.1a</w:t>
      </w:r>
      <w:r w:rsidR="001A2903">
        <w:rPr>
          <w:rFonts w:eastAsia="ChaparralPro-Regular" w:cs="Arial"/>
          <w:sz w:val="16"/>
          <w:szCs w:val="16"/>
        </w:rPr>
        <w:t xml:space="preserve"> (OECD 2015)</w:t>
      </w:r>
      <w:r w:rsidR="00306953" w:rsidRPr="00442515">
        <w:rPr>
          <w:rFonts w:eastAsia="ChaparralPro-Regular" w:cs="Arial"/>
          <w:sz w:val="16"/>
          <w:szCs w:val="16"/>
        </w:rPr>
        <w:t>.</w:t>
      </w:r>
    </w:p>
    <w:p w:rsidR="00306953" w:rsidRPr="00442515" w:rsidRDefault="00306953" w:rsidP="00306953">
      <w:pPr>
        <w:spacing w:after="0" w:line="240" w:lineRule="auto"/>
        <w:jc w:val="both"/>
        <w:rPr>
          <w:rFonts w:eastAsia="ChaparralPro-Regular" w:cs="Arial"/>
          <w:sz w:val="16"/>
          <w:szCs w:val="16"/>
        </w:rPr>
      </w:pPr>
      <w:r w:rsidRPr="00442515">
        <w:rPr>
          <w:rFonts w:eastAsia="ChaparralPro-Regular" w:cs="Arial"/>
          <w:sz w:val="16"/>
          <w:szCs w:val="16"/>
        </w:rPr>
        <w:t xml:space="preserve">Zdroj: OECD 2015, grafy B 6.2 (tabulka B 6.2). StatLink: </w:t>
      </w:r>
      <w:hyperlink r:id="rId110" w:history="1">
        <w:r w:rsidRPr="00442515">
          <w:rPr>
            <w:rStyle w:val="Hypertextovodkaz"/>
            <w:rFonts w:cs="Arial"/>
            <w:sz w:val="16"/>
            <w:szCs w:val="16"/>
          </w:rPr>
          <w:t>http://dx.doi.org/10.1787/888933284103</w:t>
        </w:r>
      </w:hyperlink>
      <w:r w:rsidRPr="00442515">
        <w:rPr>
          <w:rFonts w:cs="Arial"/>
          <w:color w:val="231F20"/>
          <w:sz w:val="16"/>
          <w:szCs w:val="16"/>
        </w:rPr>
        <w:t xml:space="preserve"> </w:t>
      </w:r>
    </w:p>
    <w:p w:rsidR="00306953" w:rsidRPr="00306953" w:rsidRDefault="00306953" w:rsidP="00306953">
      <w:pPr>
        <w:autoSpaceDE w:val="0"/>
        <w:autoSpaceDN w:val="0"/>
        <w:adjustRightInd w:val="0"/>
        <w:spacing w:after="0" w:line="240" w:lineRule="auto"/>
        <w:jc w:val="both"/>
        <w:rPr>
          <w:rFonts w:eastAsia="ChaparralPro-Regular" w:cs="Arial"/>
          <w:sz w:val="12"/>
          <w:szCs w:val="12"/>
        </w:rPr>
      </w:pPr>
    </w:p>
    <w:p w:rsidR="00306953" w:rsidRPr="00442515" w:rsidRDefault="00DC0C2D" w:rsidP="00306953">
      <w:pPr>
        <w:autoSpaceDE w:val="0"/>
        <w:autoSpaceDN w:val="0"/>
        <w:adjustRightInd w:val="0"/>
        <w:spacing w:after="120" w:line="240" w:lineRule="auto"/>
        <w:jc w:val="both"/>
        <w:rPr>
          <w:rFonts w:eastAsia="ChaparralPro-Regular" w:cs="Arial"/>
          <w:szCs w:val="20"/>
        </w:rPr>
      </w:pPr>
      <w:r>
        <w:rPr>
          <w:rFonts w:eastAsia="ChaparralPro-Regular" w:cs="Arial"/>
          <w:szCs w:val="20"/>
        </w:rPr>
        <w:t>Z grafu č. 14</w:t>
      </w:r>
      <w:r w:rsidR="00306953" w:rsidRPr="00442515">
        <w:rPr>
          <w:rFonts w:eastAsia="ChaparralPro-Regular" w:cs="Arial"/>
          <w:szCs w:val="20"/>
        </w:rPr>
        <w:t xml:space="preserve"> je možné vyčíst, že ze zemí s dostupnými daty je </w:t>
      </w:r>
      <w:r w:rsidR="00306953" w:rsidRPr="00442515">
        <w:rPr>
          <w:rFonts w:eastAsia="ChaparralPro-Regular" w:cs="Arial"/>
          <w:b/>
          <w:szCs w:val="20"/>
        </w:rPr>
        <w:t>největší rozdíl</w:t>
      </w:r>
      <w:r w:rsidR="00306953" w:rsidRPr="00442515">
        <w:rPr>
          <w:rFonts w:eastAsia="ChaparralPro-Regular" w:cs="Arial"/>
          <w:szCs w:val="20"/>
        </w:rPr>
        <w:t xml:space="preserve"> mezi podílem </w:t>
      </w:r>
      <w:r w:rsidR="00306953" w:rsidRPr="00442515">
        <w:rPr>
          <w:rFonts w:eastAsia="ChaparralPro-Regular" w:cs="Arial"/>
          <w:b/>
          <w:szCs w:val="20"/>
        </w:rPr>
        <w:t xml:space="preserve">kapitálových </w:t>
      </w:r>
      <w:r w:rsidR="00306953" w:rsidRPr="00442515">
        <w:rPr>
          <w:rFonts w:eastAsia="ChaparralPro-Regular" w:cs="Arial"/>
          <w:szCs w:val="20"/>
        </w:rPr>
        <w:t xml:space="preserve">výdajů na úrovni </w:t>
      </w:r>
      <w:r w:rsidR="00306953" w:rsidRPr="00442515">
        <w:rPr>
          <w:rFonts w:eastAsia="ChaparralPro-Regular" w:cs="Arial"/>
          <w:b/>
          <w:szCs w:val="20"/>
        </w:rPr>
        <w:t>primárního až postsekundárního</w:t>
      </w:r>
      <w:r w:rsidR="00306953" w:rsidRPr="00442515">
        <w:rPr>
          <w:rFonts w:eastAsia="ChaparralPro-Regular" w:cs="Arial"/>
          <w:szCs w:val="20"/>
        </w:rPr>
        <w:t xml:space="preserve"> </w:t>
      </w:r>
      <w:r w:rsidR="00306953" w:rsidRPr="00442515">
        <w:rPr>
          <w:rFonts w:eastAsia="ChaparralPro-Regular" w:cs="Arial"/>
          <w:b/>
          <w:szCs w:val="20"/>
        </w:rPr>
        <w:t xml:space="preserve">neterciárního vzdělávání </w:t>
      </w:r>
      <w:r w:rsidR="00306953" w:rsidRPr="00442515">
        <w:rPr>
          <w:rFonts w:eastAsia="ChaparralPro-Regular" w:cs="Arial"/>
          <w:szCs w:val="20"/>
        </w:rPr>
        <w:t xml:space="preserve">a </w:t>
      </w:r>
      <w:r w:rsidR="00306953" w:rsidRPr="00442515">
        <w:rPr>
          <w:rFonts w:eastAsia="ChaparralPro-Regular" w:cs="Arial"/>
          <w:b/>
          <w:szCs w:val="20"/>
        </w:rPr>
        <w:t>vzdělávání</w:t>
      </w:r>
      <w:r w:rsidR="00306953" w:rsidRPr="00442515">
        <w:rPr>
          <w:rFonts w:eastAsia="ChaparralPro-Regular" w:cs="Arial"/>
          <w:szCs w:val="20"/>
        </w:rPr>
        <w:t xml:space="preserve"> </w:t>
      </w:r>
      <w:r w:rsidR="00306953" w:rsidRPr="00442515">
        <w:rPr>
          <w:rFonts w:eastAsia="ChaparralPro-Regular" w:cs="Arial"/>
          <w:b/>
          <w:szCs w:val="20"/>
        </w:rPr>
        <w:t>terciárního</w:t>
      </w:r>
      <w:r w:rsidR="00306953" w:rsidRPr="00442515">
        <w:rPr>
          <w:rFonts w:eastAsia="ChaparralPro-Regular" w:cs="Arial"/>
          <w:szCs w:val="20"/>
        </w:rPr>
        <w:t xml:space="preserve"> v Turecku (o 16,2 procentního bodu), poté na Slovensku (o 15,7 pro</w:t>
      </w:r>
      <w:r w:rsidR="003A515E">
        <w:rPr>
          <w:rFonts w:eastAsia="ChaparralPro-Regular" w:cs="Arial"/>
          <w:szCs w:val="20"/>
        </w:rPr>
        <w:t>centního bodu) a v Polsku (14,1 </w:t>
      </w:r>
      <w:r w:rsidR="00306953" w:rsidRPr="00442515">
        <w:rPr>
          <w:rFonts w:eastAsia="ChaparralPro-Regular" w:cs="Arial"/>
          <w:szCs w:val="20"/>
        </w:rPr>
        <w:t xml:space="preserve">procentního bodu). </w:t>
      </w:r>
      <w:r w:rsidR="009708DA">
        <w:rPr>
          <w:rFonts w:eastAsia="ChaparralPro-Regular" w:cs="Arial"/>
          <w:szCs w:val="20"/>
        </w:rPr>
        <w:t xml:space="preserve">Ve všech těchto zemích byl podíl kapitálových výdajů vyšší v terciárním vzdělávání. U ostatních zemí činí </w:t>
      </w:r>
      <w:r w:rsidR="00306953" w:rsidRPr="00442515">
        <w:rPr>
          <w:rFonts w:eastAsia="ChaparralPro-Regular" w:cs="Arial"/>
          <w:szCs w:val="20"/>
        </w:rPr>
        <w:t xml:space="preserve">rozdíl </w:t>
      </w:r>
      <w:r w:rsidR="009708DA">
        <w:rPr>
          <w:rFonts w:eastAsia="ChaparralPro-Regular" w:cs="Arial"/>
          <w:szCs w:val="20"/>
        </w:rPr>
        <w:t xml:space="preserve">mezi oběma kategoriemi dle úrovně vzdělávání </w:t>
      </w:r>
      <w:r w:rsidR="003A515E">
        <w:rPr>
          <w:rFonts w:eastAsia="ChaparralPro-Regular" w:cs="Arial"/>
          <w:szCs w:val="20"/>
        </w:rPr>
        <w:t>již maximálně 10 </w:t>
      </w:r>
      <w:r w:rsidR="00306953" w:rsidRPr="00442515">
        <w:rPr>
          <w:rFonts w:eastAsia="ChaparralPro-Regular" w:cs="Arial"/>
          <w:szCs w:val="20"/>
        </w:rPr>
        <w:t xml:space="preserve">procentních bodů. Belgie, Francie a Japonsko patří mezi země, kde byly </w:t>
      </w:r>
      <w:r w:rsidR="00306953" w:rsidRPr="00442515">
        <w:rPr>
          <w:rFonts w:eastAsia="ChaparralPro-Regular" w:cs="Arial"/>
          <w:b/>
          <w:szCs w:val="20"/>
        </w:rPr>
        <w:t>tyto podíly v obou kategoriích vyrovnané</w:t>
      </w:r>
      <w:r w:rsidR="00306953" w:rsidRPr="00442515">
        <w:rPr>
          <w:rFonts w:eastAsia="ChaparralPro-Regular" w:cs="Arial"/>
          <w:szCs w:val="20"/>
        </w:rPr>
        <w:t xml:space="preserve"> (rozdíl je maximálně 0,5 procentního bodu). </w:t>
      </w:r>
      <w:r w:rsidR="00306953" w:rsidRPr="00442515">
        <w:rPr>
          <w:rFonts w:eastAsia="ChaparralPro-Regular" w:cs="Arial"/>
          <w:b/>
          <w:szCs w:val="20"/>
        </w:rPr>
        <w:t xml:space="preserve">Opačnou tendenci </w:t>
      </w:r>
      <w:r w:rsidR="00306953" w:rsidRPr="00DC0C2D">
        <w:rPr>
          <w:rFonts w:eastAsia="ChaparralPro-Regular" w:cs="Arial"/>
          <w:szCs w:val="20"/>
        </w:rPr>
        <w:t>než</w:t>
      </w:r>
      <w:r w:rsidR="003A515E">
        <w:rPr>
          <w:rFonts w:eastAsia="ChaparralPro-Regular" w:cs="Arial"/>
          <w:szCs w:val="20"/>
        </w:rPr>
        <w:t xml:space="preserve"> v Turecku, na Slovensku a </w:t>
      </w:r>
      <w:r w:rsidR="00306953" w:rsidRPr="00442515">
        <w:rPr>
          <w:rFonts w:eastAsia="ChaparralPro-Regular" w:cs="Arial"/>
          <w:szCs w:val="20"/>
        </w:rPr>
        <w:t xml:space="preserve">v Polsku lze nalézt zejména v Norsku, kde byl podíl kapitálových výdajů ze všech výdajů na </w:t>
      </w:r>
      <w:r w:rsidR="009708DA">
        <w:rPr>
          <w:rFonts w:eastAsia="ChaparralPro-Regular" w:cs="Arial"/>
          <w:szCs w:val="20"/>
        </w:rPr>
        <w:t>úrovni terciárního vzdělávání o </w:t>
      </w:r>
      <w:r w:rsidR="00306953" w:rsidRPr="00442515">
        <w:rPr>
          <w:rFonts w:eastAsia="ChaparralPro-Regular" w:cs="Arial"/>
          <w:szCs w:val="20"/>
        </w:rPr>
        <w:t xml:space="preserve">4,5 procentního bodu nižší než na úrovni primárního až post-sekundárního </w:t>
      </w:r>
      <w:r w:rsidR="00306953" w:rsidRPr="00442515">
        <w:rPr>
          <w:rFonts w:eastAsia="ChaparralPro-Regular" w:cs="Arial"/>
          <w:szCs w:val="20"/>
        </w:rPr>
        <w:lastRenderedPageBreak/>
        <w:t>vzdělávání. Mezi zeměmi však převažuje situace, že podíl kapitálových výdajů ze všech výdajů na terciární úrovni vzdělávání byl o něco vyšší.</w:t>
      </w:r>
    </w:p>
    <w:p w:rsidR="00306953" w:rsidRPr="00442515" w:rsidRDefault="00306953" w:rsidP="00306953">
      <w:pPr>
        <w:autoSpaceDE w:val="0"/>
        <w:autoSpaceDN w:val="0"/>
        <w:adjustRightInd w:val="0"/>
        <w:spacing w:after="120" w:line="240" w:lineRule="auto"/>
        <w:jc w:val="both"/>
        <w:rPr>
          <w:rFonts w:eastAsia="ChaparralPro-Regular" w:cs="Arial"/>
          <w:szCs w:val="20"/>
        </w:rPr>
      </w:pPr>
      <w:r w:rsidRPr="00442515">
        <w:rPr>
          <w:rFonts w:eastAsia="ChaparralPro-Regular" w:cs="Arial"/>
          <w:szCs w:val="20"/>
        </w:rPr>
        <w:t xml:space="preserve">Pro doplnění uvádíme ještě tabulku č. 22, která znázorňuje běžné a kapitálové výdaje na oblast školství v ČR z těchto rozpočtů: kapitola 333 - MŠMT, kapitola 700 - Obce a DSO, kapitola 700 - Krajské úřady, obce a DSO, Ministerstvo obrany (kapitola 307) – s očištěním o transfery z MŠMT veřejným rozpočtům místní úrovně nebo rozpočty ÚSC a transfery krajské, a sice </w:t>
      </w:r>
      <w:r w:rsidRPr="00442515">
        <w:rPr>
          <w:rFonts w:eastAsia="ChaparralPro-Regular" w:cs="Arial"/>
          <w:b/>
          <w:szCs w:val="20"/>
        </w:rPr>
        <w:t>v letech 2009 – 2015</w:t>
      </w:r>
      <w:r w:rsidRPr="00442515">
        <w:rPr>
          <w:rFonts w:eastAsia="ChaparralPro-Regular" w:cs="Arial"/>
          <w:szCs w:val="20"/>
        </w:rPr>
        <w:t xml:space="preserve">. </w:t>
      </w:r>
    </w:p>
    <w:p w:rsidR="00306953" w:rsidRPr="00442515" w:rsidRDefault="00306953" w:rsidP="00306953">
      <w:pPr>
        <w:autoSpaceDE w:val="0"/>
        <w:autoSpaceDN w:val="0"/>
        <w:adjustRightInd w:val="0"/>
        <w:spacing w:after="120" w:line="240" w:lineRule="auto"/>
        <w:jc w:val="both"/>
        <w:rPr>
          <w:rFonts w:eastAsia="ChaparralPro-Regular" w:cs="Arial"/>
          <w:b/>
          <w:szCs w:val="20"/>
        </w:rPr>
      </w:pPr>
      <w:r w:rsidRPr="00442515">
        <w:rPr>
          <w:rFonts w:eastAsia="ChaparralPro-Regular" w:cs="Arial"/>
          <w:b/>
          <w:szCs w:val="20"/>
        </w:rPr>
        <w:t>Tabulka č. 22  Kapitálové a běžné celkové veřejné výdaje na oblast školství v letech 2009 – 2015</w:t>
      </w:r>
    </w:p>
    <w:tbl>
      <w:tblPr>
        <w:tblW w:w="9223" w:type="dxa"/>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1291"/>
        <w:gridCol w:w="1851"/>
        <w:gridCol w:w="801"/>
        <w:gridCol w:w="1723"/>
        <w:gridCol w:w="851"/>
        <w:gridCol w:w="1855"/>
        <w:gridCol w:w="851"/>
      </w:tblGrid>
      <w:tr w:rsidR="00306953" w:rsidRPr="00442515" w:rsidTr="00CC4525">
        <w:trPr>
          <w:trHeight w:val="255"/>
        </w:trPr>
        <w:tc>
          <w:tcPr>
            <w:tcW w:w="1291" w:type="dxa"/>
            <w:tcBorders>
              <w:top w:val="double" w:sz="4" w:space="0" w:color="auto"/>
              <w:bottom w:val="double" w:sz="4" w:space="0" w:color="auto"/>
            </w:tcBorders>
            <w:shd w:val="clear" w:color="auto" w:fill="FFCCCC"/>
            <w:vAlign w:val="bottom"/>
            <w:hideMark/>
          </w:tcPr>
          <w:p w:rsidR="00306953" w:rsidRPr="00442515" w:rsidRDefault="00306953" w:rsidP="00306953">
            <w:pPr>
              <w:spacing w:after="0" w:line="240" w:lineRule="auto"/>
              <w:jc w:val="center"/>
              <w:rPr>
                <w:rFonts w:cs="Arial"/>
                <w:b/>
                <w:bCs/>
                <w:sz w:val="16"/>
                <w:szCs w:val="16"/>
              </w:rPr>
            </w:pPr>
            <w:r w:rsidRPr="00442515">
              <w:rPr>
                <w:rFonts w:cs="Arial"/>
                <w:b/>
                <w:bCs/>
                <w:sz w:val="16"/>
                <w:szCs w:val="16"/>
              </w:rPr>
              <w:t> </w:t>
            </w:r>
          </w:p>
        </w:tc>
        <w:tc>
          <w:tcPr>
            <w:tcW w:w="2652" w:type="dxa"/>
            <w:gridSpan w:val="2"/>
            <w:tcBorders>
              <w:top w:val="double" w:sz="4" w:space="0" w:color="auto"/>
              <w:bottom w:val="double" w:sz="4" w:space="0" w:color="auto"/>
            </w:tcBorders>
            <w:shd w:val="clear" w:color="auto" w:fill="FFCCCC"/>
            <w:vAlign w:val="center"/>
            <w:hideMark/>
          </w:tcPr>
          <w:p w:rsidR="00306953" w:rsidRPr="00442515" w:rsidRDefault="00306953" w:rsidP="007E5BD0">
            <w:pPr>
              <w:spacing w:after="0" w:line="240" w:lineRule="auto"/>
              <w:jc w:val="center"/>
              <w:rPr>
                <w:rFonts w:cs="Arial"/>
                <w:b/>
                <w:bCs/>
                <w:sz w:val="16"/>
                <w:szCs w:val="16"/>
              </w:rPr>
            </w:pPr>
            <w:r w:rsidRPr="00442515">
              <w:rPr>
                <w:rFonts w:cs="Arial"/>
                <w:b/>
                <w:bCs/>
                <w:sz w:val="16"/>
                <w:szCs w:val="16"/>
              </w:rPr>
              <w:t>běžné</w:t>
            </w:r>
          </w:p>
        </w:tc>
        <w:tc>
          <w:tcPr>
            <w:tcW w:w="2574" w:type="dxa"/>
            <w:gridSpan w:val="2"/>
            <w:tcBorders>
              <w:top w:val="double" w:sz="4" w:space="0" w:color="auto"/>
              <w:bottom w:val="double" w:sz="4" w:space="0" w:color="auto"/>
            </w:tcBorders>
            <w:shd w:val="clear" w:color="auto" w:fill="FFCCCC"/>
            <w:vAlign w:val="center"/>
            <w:hideMark/>
          </w:tcPr>
          <w:p w:rsidR="00306953" w:rsidRPr="00442515" w:rsidRDefault="00306953" w:rsidP="007E5BD0">
            <w:pPr>
              <w:spacing w:after="0" w:line="240" w:lineRule="auto"/>
              <w:jc w:val="center"/>
              <w:rPr>
                <w:rFonts w:cs="Arial"/>
                <w:b/>
                <w:bCs/>
                <w:sz w:val="16"/>
                <w:szCs w:val="16"/>
              </w:rPr>
            </w:pPr>
            <w:r w:rsidRPr="00442515">
              <w:rPr>
                <w:rFonts w:cs="Arial"/>
                <w:b/>
                <w:bCs/>
                <w:sz w:val="16"/>
                <w:szCs w:val="16"/>
              </w:rPr>
              <w:t>kapitálové</w:t>
            </w:r>
          </w:p>
        </w:tc>
        <w:tc>
          <w:tcPr>
            <w:tcW w:w="2706" w:type="dxa"/>
            <w:gridSpan w:val="2"/>
            <w:tcBorders>
              <w:top w:val="double" w:sz="4" w:space="0" w:color="auto"/>
              <w:bottom w:val="double" w:sz="4" w:space="0" w:color="auto"/>
            </w:tcBorders>
            <w:shd w:val="clear" w:color="auto" w:fill="FFCCCC"/>
            <w:vAlign w:val="center"/>
            <w:hideMark/>
          </w:tcPr>
          <w:p w:rsidR="00306953" w:rsidRPr="00442515" w:rsidRDefault="00306953" w:rsidP="007E5BD0">
            <w:pPr>
              <w:spacing w:after="0" w:line="240" w:lineRule="auto"/>
              <w:jc w:val="center"/>
              <w:rPr>
                <w:rFonts w:cs="Arial"/>
                <w:b/>
                <w:bCs/>
                <w:sz w:val="16"/>
                <w:szCs w:val="16"/>
              </w:rPr>
            </w:pPr>
            <w:r w:rsidRPr="00442515">
              <w:rPr>
                <w:rFonts w:cs="Arial"/>
                <w:b/>
                <w:bCs/>
                <w:sz w:val="16"/>
                <w:szCs w:val="16"/>
              </w:rPr>
              <w:t>celkem</w:t>
            </w:r>
          </w:p>
        </w:tc>
      </w:tr>
      <w:tr w:rsidR="00306953" w:rsidRPr="00442515" w:rsidTr="00CC4525">
        <w:trPr>
          <w:trHeight w:val="255"/>
        </w:trPr>
        <w:tc>
          <w:tcPr>
            <w:tcW w:w="1291" w:type="dxa"/>
            <w:tcBorders>
              <w:top w:val="double" w:sz="4" w:space="0" w:color="auto"/>
            </w:tcBorders>
            <w:shd w:val="clear" w:color="auto" w:fill="auto"/>
            <w:noWrap/>
            <w:vAlign w:val="center"/>
            <w:hideMark/>
          </w:tcPr>
          <w:p w:rsidR="00306953" w:rsidRPr="00442515" w:rsidRDefault="00306953" w:rsidP="007E5BD0">
            <w:pPr>
              <w:spacing w:after="0" w:line="240" w:lineRule="auto"/>
              <w:rPr>
                <w:rFonts w:cs="Arial"/>
                <w:color w:val="000000"/>
                <w:sz w:val="16"/>
                <w:szCs w:val="16"/>
              </w:rPr>
            </w:pPr>
            <w:r w:rsidRPr="00442515">
              <w:rPr>
                <w:rFonts w:cs="Arial"/>
                <w:color w:val="000000"/>
                <w:sz w:val="16"/>
                <w:szCs w:val="16"/>
              </w:rPr>
              <w:t>k 31. 12. 2009</w:t>
            </w:r>
          </w:p>
        </w:tc>
        <w:tc>
          <w:tcPr>
            <w:tcW w:w="1851" w:type="dxa"/>
            <w:tcBorders>
              <w:top w:val="double" w:sz="4" w:space="0" w:color="auto"/>
            </w:tcBorders>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139 749 295,6 tis Kč</w:t>
            </w:r>
          </w:p>
        </w:tc>
        <w:tc>
          <w:tcPr>
            <w:tcW w:w="801" w:type="dxa"/>
            <w:tcBorders>
              <w:top w:val="double" w:sz="4" w:space="0" w:color="auto"/>
            </w:tcBorders>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87,10%</w:t>
            </w:r>
          </w:p>
        </w:tc>
        <w:tc>
          <w:tcPr>
            <w:tcW w:w="1723" w:type="dxa"/>
            <w:tcBorders>
              <w:top w:val="double" w:sz="4" w:space="0" w:color="auto"/>
            </w:tcBorders>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20 714 899,4 tis Kč</w:t>
            </w:r>
          </w:p>
        </w:tc>
        <w:tc>
          <w:tcPr>
            <w:tcW w:w="851" w:type="dxa"/>
            <w:tcBorders>
              <w:top w:val="double" w:sz="4" w:space="0" w:color="auto"/>
            </w:tcBorders>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12,90%</w:t>
            </w:r>
          </w:p>
        </w:tc>
        <w:tc>
          <w:tcPr>
            <w:tcW w:w="1855" w:type="dxa"/>
            <w:tcBorders>
              <w:top w:val="double" w:sz="4" w:space="0" w:color="auto"/>
            </w:tcBorders>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160 464 195,0 tis Kč</w:t>
            </w:r>
          </w:p>
        </w:tc>
        <w:tc>
          <w:tcPr>
            <w:tcW w:w="851" w:type="dxa"/>
            <w:tcBorders>
              <w:top w:val="double" w:sz="4" w:space="0" w:color="auto"/>
            </w:tcBorders>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100,0 %</w:t>
            </w:r>
          </w:p>
        </w:tc>
      </w:tr>
      <w:tr w:rsidR="00306953" w:rsidRPr="00442515" w:rsidTr="00CC4525">
        <w:trPr>
          <w:trHeight w:val="255"/>
        </w:trPr>
        <w:tc>
          <w:tcPr>
            <w:tcW w:w="1291" w:type="dxa"/>
            <w:shd w:val="clear" w:color="auto" w:fill="auto"/>
            <w:noWrap/>
            <w:vAlign w:val="center"/>
            <w:hideMark/>
          </w:tcPr>
          <w:p w:rsidR="00306953" w:rsidRPr="00442515" w:rsidRDefault="00306953" w:rsidP="007E5BD0">
            <w:pPr>
              <w:spacing w:after="0" w:line="240" w:lineRule="auto"/>
              <w:rPr>
                <w:rFonts w:cs="Arial"/>
                <w:color w:val="000000"/>
                <w:sz w:val="16"/>
                <w:szCs w:val="16"/>
              </w:rPr>
            </w:pPr>
            <w:r w:rsidRPr="00442515">
              <w:rPr>
                <w:rFonts w:cs="Arial"/>
                <w:color w:val="000000"/>
                <w:sz w:val="16"/>
                <w:szCs w:val="16"/>
              </w:rPr>
              <w:t>k 31. 12. 2010</w:t>
            </w:r>
          </w:p>
        </w:tc>
        <w:tc>
          <w:tcPr>
            <w:tcW w:w="1851"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142 290 605,3 tis Kč</w:t>
            </w:r>
          </w:p>
        </w:tc>
        <w:tc>
          <w:tcPr>
            <w:tcW w:w="801"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87,30%</w:t>
            </w:r>
          </w:p>
        </w:tc>
        <w:tc>
          <w:tcPr>
            <w:tcW w:w="1723"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20 674 453,2 tis Kč</w:t>
            </w:r>
          </w:p>
        </w:tc>
        <w:tc>
          <w:tcPr>
            <w:tcW w:w="851"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12,70%</w:t>
            </w:r>
          </w:p>
        </w:tc>
        <w:tc>
          <w:tcPr>
            <w:tcW w:w="1855"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162 965 058,5 tis Kč</w:t>
            </w:r>
          </w:p>
        </w:tc>
        <w:tc>
          <w:tcPr>
            <w:tcW w:w="851"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100,0 %</w:t>
            </w:r>
          </w:p>
        </w:tc>
      </w:tr>
      <w:tr w:rsidR="00306953" w:rsidRPr="00442515" w:rsidTr="00CC4525">
        <w:trPr>
          <w:trHeight w:val="255"/>
        </w:trPr>
        <w:tc>
          <w:tcPr>
            <w:tcW w:w="1291" w:type="dxa"/>
            <w:shd w:val="clear" w:color="auto" w:fill="auto"/>
            <w:noWrap/>
            <w:vAlign w:val="center"/>
            <w:hideMark/>
          </w:tcPr>
          <w:p w:rsidR="00306953" w:rsidRPr="00442515" w:rsidRDefault="00306953" w:rsidP="007E5BD0">
            <w:pPr>
              <w:spacing w:after="0" w:line="240" w:lineRule="auto"/>
              <w:rPr>
                <w:rFonts w:cs="Arial"/>
                <w:color w:val="000000"/>
                <w:sz w:val="16"/>
                <w:szCs w:val="16"/>
              </w:rPr>
            </w:pPr>
            <w:r w:rsidRPr="00442515">
              <w:rPr>
                <w:rFonts w:cs="Arial"/>
                <w:color w:val="000000"/>
                <w:sz w:val="16"/>
                <w:szCs w:val="16"/>
              </w:rPr>
              <w:t>k 31. 12. 2011</w:t>
            </w:r>
          </w:p>
        </w:tc>
        <w:tc>
          <w:tcPr>
            <w:tcW w:w="1851"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146 203 214,0 tis Kč</w:t>
            </w:r>
          </w:p>
        </w:tc>
        <w:tc>
          <w:tcPr>
            <w:tcW w:w="801"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84,20%</w:t>
            </w:r>
          </w:p>
        </w:tc>
        <w:tc>
          <w:tcPr>
            <w:tcW w:w="1723"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27 518 754,9 tis Kč</w:t>
            </w:r>
          </w:p>
        </w:tc>
        <w:tc>
          <w:tcPr>
            <w:tcW w:w="851"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15,80%</w:t>
            </w:r>
          </w:p>
        </w:tc>
        <w:tc>
          <w:tcPr>
            <w:tcW w:w="1855"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173 721 968,9 tis Kč</w:t>
            </w:r>
          </w:p>
        </w:tc>
        <w:tc>
          <w:tcPr>
            <w:tcW w:w="851"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100,0 %</w:t>
            </w:r>
          </w:p>
        </w:tc>
      </w:tr>
      <w:tr w:rsidR="00306953" w:rsidRPr="00442515" w:rsidTr="00CC4525">
        <w:trPr>
          <w:trHeight w:val="255"/>
        </w:trPr>
        <w:tc>
          <w:tcPr>
            <w:tcW w:w="1291" w:type="dxa"/>
            <w:shd w:val="clear" w:color="auto" w:fill="auto"/>
            <w:noWrap/>
            <w:vAlign w:val="center"/>
            <w:hideMark/>
          </w:tcPr>
          <w:p w:rsidR="00306953" w:rsidRPr="00442515" w:rsidRDefault="00306953" w:rsidP="007E5BD0">
            <w:pPr>
              <w:spacing w:after="0" w:line="240" w:lineRule="auto"/>
              <w:rPr>
                <w:rFonts w:cs="Arial"/>
                <w:color w:val="000000"/>
                <w:sz w:val="16"/>
                <w:szCs w:val="16"/>
              </w:rPr>
            </w:pPr>
            <w:r w:rsidRPr="00442515">
              <w:rPr>
                <w:rFonts w:cs="Arial"/>
                <w:color w:val="000000"/>
                <w:sz w:val="16"/>
                <w:szCs w:val="16"/>
              </w:rPr>
              <w:t>k 31. 12. 2012</w:t>
            </w:r>
          </w:p>
        </w:tc>
        <w:tc>
          <w:tcPr>
            <w:tcW w:w="1851"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146 490 128,7 tis Kč</w:t>
            </w:r>
          </w:p>
        </w:tc>
        <w:tc>
          <w:tcPr>
            <w:tcW w:w="801"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87,5  %</w:t>
            </w:r>
          </w:p>
        </w:tc>
        <w:tc>
          <w:tcPr>
            <w:tcW w:w="1723"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20 854 514,6 tis Kč</w:t>
            </w:r>
          </w:p>
        </w:tc>
        <w:tc>
          <w:tcPr>
            <w:tcW w:w="851"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12,50 %</w:t>
            </w:r>
          </w:p>
        </w:tc>
        <w:tc>
          <w:tcPr>
            <w:tcW w:w="1855"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167 344 643,3 tis. Kč</w:t>
            </w:r>
          </w:p>
        </w:tc>
        <w:tc>
          <w:tcPr>
            <w:tcW w:w="851"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100,0 %</w:t>
            </w:r>
          </w:p>
        </w:tc>
      </w:tr>
      <w:tr w:rsidR="00306953" w:rsidRPr="00442515" w:rsidTr="00CC4525">
        <w:trPr>
          <w:trHeight w:val="255"/>
        </w:trPr>
        <w:tc>
          <w:tcPr>
            <w:tcW w:w="1291" w:type="dxa"/>
            <w:shd w:val="clear" w:color="auto" w:fill="auto"/>
            <w:noWrap/>
            <w:vAlign w:val="center"/>
            <w:hideMark/>
          </w:tcPr>
          <w:p w:rsidR="00306953" w:rsidRPr="00442515" w:rsidRDefault="00306953" w:rsidP="007E5BD0">
            <w:pPr>
              <w:spacing w:after="0" w:line="240" w:lineRule="auto"/>
              <w:rPr>
                <w:rFonts w:cs="Arial"/>
                <w:color w:val="000000"/>
                <w:sz w:val="16"/>
                <w:szCs w:val="16"/>
              </w:rPr>
            </w:pPr>
            <w:r w:rsidRPr="00442515">
              <w:rPr>
                <w:rFonts w:cs="Arial"/>
                <w:color w:val="000000"/>
                <w:sz w:val="16"/>
                <w:szCs w:val="16"/>
              </w:rPr>
              <w:t>k 31. 12. 2013</w:t>
            </w:r>
          </w:p>
        </w:tc>
        <w:tc>
          <w:tcPr>
            <w:tcW w:w="1851"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150 569 169,3 tis Kč</w:t>
            </w:r>
          </w:p>
        </w:tc>
        <w:tc>
          <w:tcPr>
            <w:tcW w:w="801"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87,10%</w:t>
            </w:r>
          </w:p>
        </w:tc>
        <w:tc>
          <w:tcPr>
            <w:tcW w:w="1723"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22 236 004,9 tis Kč</w:t>
            </w:r>
          </w:p>
        </w:tc>
        <w:tc>
          <w:tcPr>
            <w:tcW w:w="851"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12,90%</w:t>
            </w:r>
          </w:p>
        </w:tc>
        <w:tc>
          <w:tcPr>
            <w:tcW w:w="1855"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172 805 174,3 tis Kč</w:t>
            </w:r>
          </w:p>
        </w:tc>
        <w:tc>
          <w:tcPr>
            <w:tcW w:w="851"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100,0 %</w:t>
            </w:r>
          </w:p>
        </w:tc>
      </w:tr>
      <w:tr w:rsidR="00306953" w:rsidRPr="00442515" w:rsidTr="00CC4525">
        <w:trPr>
          <w:trHeight w:val="255"/>
        </w:trPr>
        <w:tc>
          <w:tcPr>
            <w:tcW w:w="1291" w:type="dxa"/>
            <w:shd w:val="clear" w:color="auto" w:fill="auto"/>
            <w:noWrap/>
            <w:vAlign w:val="center"/>
            <w:hideMark/>
          </w:tcPr>
          <w:p w:rsidR="00306953" w:rsidRPr="00442515" w:rsidRDefault="00306953" w:rsidP="007E5BD0">
            <w:pPr>
              <w:spacing w:after="0" w:line="240" w:lineRule="auto"/>
              <w:rPr>
                <w:rFonts w:cs="Arial"/>
                <w:color w:val="000000"/>
                <w:sz w:val="16"/>
                <w:szCs w:val="16"/>
              </w:rPr>
            </w:pPr>
            <w:r w:rsidRPr="00442515">
              <w:rPr>
                <w:rFonts w:cs="Arial"/>
                <w:color w:val="000000"/>
                <w:sz w:val="16"/>
                <w:szCs w:val="16"/>
              </w:rPr>
              <w:t>k 31. 12. 2014</w:t>
            </w:r>
          </w:p>
        </w:tc>
        <w:tc>
          <w:tcPr>
            <w:tcW w:w="1851"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153 693 222,8 tis. Kč</w:t>
            </w:r>
          </w:p>
        </w:tc>
        <w:tc>
          <w:tcPr>
            <w:tcW w:w="801"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86,00%</w:t>
            </w:r>
          </w:p>
        </w:tc>
        <w:tc>
          <w:tcPr>
            <w:tcW w:w="1723"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25 019 356,7 tis Kč</w:t>
            </w:r>
          </w:p>
        </w:tc>
        <w:tc>
          <w:tcPr>
            <w:tcW w:w="851"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14,00%</w:t>
            </w:r>
          </w:p>
        </w:tc>
        <w:tc>
          <w:tcPr>
            <w:tcW w:w="1855"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178 712 579,5 tis Kč</w:t>
            </w:r>
          </w:p>
        </w:tc>
        <w:tc>
          <w:tcPr>
            <w:tcW w:w="851"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100,0 %</w:t>
            </w:r>
          </w:p>
        </w:tc>
      </w:tr>
      <w:tr w:rsidR="00306953" w:rsidRPr="00442515" w:rsidTr="00CC4525">
        <w:trPr>
          <w:trHeight w:val="255"/>
        </w:trPr>
        <w:tc>
          <w:tcPr>
            <w:tcW w:w="1291" w:type="dxa"/>
            <w:shd w:val="clear" w:color="auto" w:fill="auto"/>
            <w:noWrap/>
            <w:vAlign w:val="center"/>
            <w:hideMark/>
          </w:tcPr>
          <w:p w:rsidR="00306953" w:rsidRPr="00442515" w:rsidRDefault="00306953" w:rsidP="007E5BD0">
            <w:pPr>
              <w:spacing w:after="0" w:line="240" w:lineRule="auto"/>
              <w:rPr>
                <w:rFonts w:cs="Arial"/>
                <w:color w:val="000000"/>
                <w:sz w:val="16"/>
                <w:szCs w:val="16"/>
              </w:rPr>
            </w:pPr>
            <w:r w:rsidRPr="00442515">
              <w:rPr>
                <w:rFonts w:cs="Arial"/>
                <w:color w:val="000000"/>
                <w:sz w:val="16"/>
                <w:szCs w:val="16"/>
              </w:rPr>
              <w:t>k 31. 12. 2015</w:t>
            </w:r>
          </w:p>
        </w:tc>
        <w:tc>
          <w:tcPr>
            <w:tcW w:w="1851"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155 770 795,7 tis Kč</w:t>
            </w:r>
          </w:p>
        </w:tc>
        <w:tc>
          <w:tcPr>
            <w:tcW w:w="801"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85,19%</w:t>
            </w:r>
          </w:p>
        </w:tc>
        <w:tc>
          <w:tcPr>
            <w:tcW w:w="1723"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27 077 349,8 tis Kč</w:t>
            </w:r>
          </w:p>
        </w:tc>
        <w:tc>
          <w:tcPr>
            <w:tcW w:w="851"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14,81%</w:t>
            </w:r>
          </w:p>
        </w:tc>
        <w:tc>
          <w:tcPr>
            <w:tcW w:w="1855"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182 848 145,5 tis Kč</w:t>
            </w:r>
          </w:p>
        </w:tc>
        <w:tc>
          <w:tcPr>
            <w:tcW w:w="851" w:type="dxa"/>
            <w:shd w:val="clear" w:color="auto" w:fill="auto"/>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100,0 %</w:t>
            </w:r>
          </w:p>
        </w:tc>
      </w:tr>
      <w:tr w:rsidR="00306953" w:rsidRPr="00442515" w:rsidTr="00CC4525">
        <w:trPr>
          <w:trHeight w:val="255"/>
        </w:trPr>
        <w:tc>
          <w:tcPr>
            <w:tcW w:w="1291" w:type="dxa"/>
            <w:shd w:val="clear" w:color="auto" w:fill="C6D9F1" w:themeFill="text2" w:themeFillTint="33"/>
            <w:noWrap/>
            <w:vAlign w:val="center"/>
            <w:hideMark/>
          </w:tcPr>
          <w:p w:rsidR="00306953" w:rsidRPr="00442515" w:rsidRDefault="001A2903" w:rsidP="007E5BD0">
            <w:pPr>
              <w:spacing w:after="0" w:line="240" w:lineRule="auto"/>
              <w:rPr>
                <w:rFonts w:cs="Arial"/>
                <w:color w:val="000000"/>
                <w:sz w:val="16"/>
                <w:szCs w:val="16"/>
              </w:rPr>
            </w:pPr>
            <w:r>
              <w:rPr>
                <w:rFonts w:cs="Arial"/>
                <w:color w:val="000000"/>
                <w:sz w:val="16"/>
                <w:szCs w:val="16"/>
              </w:rPr>
              <w:t>i</w:t>
            </w:r>
            <w:r w:rsidR="00306953" w:rsidRPr="00442515">
              <w:rPr>
                <w:rFonts w:cs="Arial"/>
                <w:color w:val="000000"/>
                <w:sz w:val="16"/>
                <w:szCs w:val="16"/>
              </w:rPr>
              <w:t>ndex</w:t>
            </w:r>
            <w:r w:rsidR="00306953" w:rsidRPr="00442515">
              <w:rPr>
                <w:rFonts w:cs="Arial"/>
                <w:color w:val="000000"/>
                <w:sz w:val="16"/>
                <w:szCs w:val="16"/>
                <w:vertAlign w:val="superscript"/>
              </w:rPr>
              <w:t>1)</w:t>
            </w:r>
          </w:p>
        </w:tc>
        <w:tc>
          <w:tcPr>
            <w:tcW w:w="1851"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1,11</w:t>
            </w:r>
          </w:p>
        </w:tc>
        <w:tc>
          <w:tcPr>
            <w:tcW w:w="801" w:type="dxa"/>
            <w:shd w:val="clear" w:color="auto" w:fill="D9D9D9" w:themeFill="background1" w:themeFillShade="D9"/>
            <w:noWrap/>
            <w:vAlign w:val="center"/>
            <w:hideMark/>
          </w:tcPr>
          <w:p w:rsidR="00306953" w:rsidRPr="00442515" w:rsidRDefault="00306953" w:rsidP="007E5BD0">
            <w:pPr>
              <w:spacing w:after="0" w:line="240" w:lineRule="auto"/>
              <w:jc w:val="center"/>
              <w:rPr>
                <w:rFonts w:cs="Arial"/>
                <w:sz w:val="16"/>
                <w:szCs w:val="16"/>
              </w:rPr>
            </w:pPr>
          </w:p>
        </w:tc>
        <w:tc>
          <w:tcPr>
            <w:tcW w:w="1723"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1,31</w:t>
            </w:r>
          </w:p>
        </w:tc>
        <w:tc>
          <w:tcPr>
            <w:tcW w:w="851" w:type="dxa"/>
            <w:shd w:val="clear" w:color="auto" w:fill="D9D9D9" w:themeFill="background1" w:themeFillShade="D9"/>
            <w:noWrap/>
            <w:vAlign w:val="center"/>
            <w:hideMark/>
          </w:tcPr>
          <w:p w:rsidR="00306953" w:rsidRPr="00442515" w:rsidRDefault="00306953" w:rsidP="007E5BD0">
            <w:pPr>
              <w:spacing w:after="0" w:line="240" w:lineRule="auto"/>
              <w:jc w:val="center"/>
              <w:rPr>
                <w:rFonts w:cs="Arial"/>
                <w:sz w:val="16"/>
                <w:szCs w:val="16"/>
              </w:rPr>
            </w:pPr>
          </w:p>
        </w:tc>
        <w:tc>
          <w:tcPr>
            <w:tcW w:w="1855" w:type="dxa"/>
            <w:shd w:val="clear" w:color="auto" w:fill="C6D9F1" w:themeFill="text2" w:themeFillTint="33"/>
            <w:noWrap/>
            <w:vAlign w:val="center"/>
            <w:hideMark/>
          </w:tcPr>
          <w:p w:rsidR="00306953" w:rsidRPr="00442515" w:rsidRDefault="00306953" w:rsidP="007E5BD0">
            <w:pPr>
              <w:spacing w:after="0" w:line="240" w:lineRule="auto"/>
              <w:jc w:val="center"/>
              <w:rPr>
                <w:rFonts w:cs="Arial"/>
                <w:sz w:val="16"/>
                <w:szCs w:val="16"/>
              </w:rPr>
            </w:pPr>
            <w:r w:rsidRPr="00442515">
              <w:rPr>
                <w:rFonts w:cs="Arial"/>
                <w:sz w:val="16"/>
                <w:szCs w:val="16"/>
              </w:rPr>
              <w:t>1,14</w:t>
            </w:r>
          </w:p>
        </w:tc>
        <w:tc>
          <w:tcPr>
            <w:tcW w:w="851" w:type="dxa"/>
            <w:shd w:val="clear" w:color="auto" w:fill="D9D9D9" w:themeFill="background1" w:themeFillShade="D9"/>
            <w:noWrap/>
            <w:vAlign w:val="center"/>
            <w:hideMark/>
          </w:tcPr>
          <w:p w:rsidR="00306953" w:rsidRPr="00442515" w:rsidRDefault="00306953" w:rsidP="007E5BD0">
            <w:pPr>
              <w:spacing w:after="0" w:line="240" w:lineRule="auto"/>
              <w:jc w:val="center"/>
              <w:rPr>
                <w:rFonts w:cs="Arial"/>
                <w:sz w:val="16"/>
                <w:szCs w:val="16"/>
              </w:rPr>
            </w:pPr>
          </w:p>
        </w:tc>
      </w:tr>
    </w:tbl>
    <w:p w:rsidR="00306953" w:rsidRPr="00442515" w:rsidRDefault="00306953" w:rsidP="00306953">
      <w:pPr>
        <w:spacing w:before="120" w:after="0" w:line="240" w:lineRule="auto"/>
        <w:rPr>
          <w:rFonts w:cs="Arial"/>
          <w:sz w:val="16"/>
          <w:szCs w:val="16"/>
        </w:rPr>
      </w:pPr>
      <w:r w:rsidRPr="00442515">
        <w:rPr>
          <w:rFonts w:cs="Arial"/>
          <w:sz w:val="16"/>
          <w:szCs w:val="16"/>
          <w:vertAlign w:val="superscript"/>
        </w:rPr>
        <w:t xml:space="preserve">1) </w:t>
      </w:r>
      <w:r w:rsidRPr="00442515">
        <w:rPr>
          <w:rFonts w:cs="Arial"/>
          <w:sz w:val="16"/>
          <w:szCs w:val="16"/>
        </w:rPr>
        <w:t>Rok 2009=100 %; např.: 1,15 = zvýšení o 15 %, 0,85 = snížení o 15 %.</w:t>
      </w:r>
    </w:p>
    <w:p w:rsidR="00306953" w:rsidRPr="00442515" w:rsidRDefault="00DC690F" w:rsidP="00306953">
      <w:pPr>
        <w:autoSpaceDE w:val="0"/>
        <w:autoSpaceDN w:val="0"/>
        <w:adjustRightInd w:val="0"/>
        <w:spacing w:after="0" w:line="240" w:lineRule="auto"/>
        <w:jc w:val="both"/>
        <w:rPr>
          <w:rFonts w:eastAsia="ChaparralPro-Regular" w:cs="Arial"/>
          <w:sz w:val="16"/>
          <w:szCs w:val="16"/>
        </w:rPr>
      </w:pPr>
      <w:r>
        <w:rPr>
          <w:rFonts w:eastAsia="ChaparralPro-Regular" w:cs="Arial"/>
          <w:sz w:val="16"/>
          <w:szCs w:val="16"/>
        </w:rPr>
        <w:t>Zdroj: MŠMT, Statistická</w:t>
      </w:r>
      <w:r w:rsidR="00306953" w:rsidRPr="00442515">
        <w:rPr>
          <w:rFonts w:eastAsia="ChaparralPro-Regular" w:cs="Arial"/>
          <w:sz w:val="16"/>
          <w:szCs w:val="16"/>
        </w:rPr>
        <w:t xml:space="preserve"> ročenka školství – Soubor ekonomických ukazatelů, tab. B1, výběr údajů ČSÚ.</w:t>
      </w:r>
    </w:p>
    <w:p w:rsidR="00306953" w:rsidRPr="00442515" w:rsidRDefault="00306953" w:rsidP="00306953">
      <w:pPr>
        <w:autoSpaceDE w:val="0"/>
        <w:autoSpaceDN w:val="0"/>
        <w:adjustRightInd w:val="0"/>
        <w:spacing w:after="0" w:line="240" w:lineRule="auto"/>
        <w:jc w:val="both"/>
        <w:rPr>
          <w:rFonts w:eastAsia="ChaparralPro-Regular" w:cs="Arial"/>
          <w:szCs w:val="20"/>
        </w:rPr>
      </w:pPr>
    </w:p>
    <w:p w:rsidR="00306953" w:rsidRDefault="00306953" w:rsidP="00306953">
      <w:pPr>
        <w:autoSpaceDE w:val="0"/>
        <w:autoSpaceDN w:val="0"/>
        <w:adjustRightInd w:val="0"/>
        <w:spacing w:after="0" w:line="240" w:lineRule="auto"/>
        <w:jc w:val="both"/>
        <w:rPr>
          <w:rFonts w:eastAsia="ChaparralPro-Regular" w:cs="Arial"/>
          <w:szCs w:val="20"/>
        </w:rPr>
      </w:pPr>
      <w:r w:rsidRPr="00442515">
        <w:rPr>
          <w:rFonts w:eastAsia="ChaparralPro-Regular" w:cs="Arial"/>
          <w:szCs w:val="20"/>
        </w:rPr>
        <w:t xml:space="preserve">Jak je patrné, podíl běžných a kapitálových výdajů na oblast školství z uvedených rozpočtů se v těchto letech </w:t>
      </w:r>
      <w:r w:rsidRPr="00442515">
        <w:rPr>
          <w:rFonts w:eastAsia="ChaparralPro-Regular" w:cs="Arial"/>
          <w:b/>
          <w:szCs w:val="20"/>
        </w:rPr>
        <w:t>téměř nelišil, pouze v roce 2011 byl podíl kapitálových výdajů o cca tři procentní body vyšší než v ostatních sledovaných rocích</w:t>
      </w:r>
      <w:r w:rsidR="00E34AA3">
        <w:rPr>
          <w:rFonts w:eastAsia="ChaparralPro-Regular" w:cs="Arial"/>
          <w:b/>
          <w:szCs w:val="20"/>
        </w:rPr>
        <w:t xml:space="preserve"> v období mezi 2009 – </w:t>
      </w:r>
      <w:r w:rsidRPr="00442515">
        <w:rPr>
          <w:rFonts w:eastAsia="ChaparralPro-Regular" w:cs="Arial"/>
          <w:b/>
          <w:szCs w:val="20"/>
        </w:rPr>
        <w:t>2013</w:t>
      </w:r>
      <w:r w:rsidRPr="00442515">
        <w:rPr>
          <w:rFonts w:eastAsia="ChaparralPro-Regular" w:cs="Arial"/>
          <w:szCs w:val="20"/>
        </w:rPr>
        <w:t>, v roce 2014 a 2015 pak začal znovu narůstat (je však třeba vzít v patrnost, že výdaje v této tabulce zahrnují kromě výdajů na samotné formální vzdělávání ve školských institucích také např. výdaje na podporu činnost</w:t>
      </w:r>
      <w:r w:rsidR="00E34AA3">
        <w:rPr>
          <w:rFonts w:eastAsia="ChaparralPro-Regular" w:cs="Arial"/>
          <w:szCs w:val="20"/>
        </w:rPr>
        <w:t>i ve sportu, podporu činnosti v </w:t>
      </w:r>
      <w:r w:rsidRPr="00442515">
        <w:rPr>
          <w:rFonts w:eastAsia="ChaparralPro-Regular" w:cs="Arial"/>
          <w:szCs w:val="20"/>
        </w:rPr>
        <w:t>oblasti mládeže, výzkum a vývoj apod.; bližší informace a dělení jsou k dispozici v </w:t>
      </w:r>
      <w:hyperlink r:id="rId111" w:history="1">
        <w:r w:rsidRPr="00E34AA3">
          <w:rPr>
            <w:rStyle w:val="Hypertextovodkaz"/>
            <w:rFonts w:eastAsia="ChaparralPro-Regular" w:cs="Arial"/>
            <w:szCs w:val="20"/>
          </w:rPr>
          <w:t>S</w:t>
        </w:r>
        <w:r w:rsidR="00E52654" w:rsidRPr="00E34AA3">
          <w:rPr>
            <w:rStyle w:val="Hypertextovodkaz"/>
            <w:rFonts w:eastAsia="ChaparralPro-Regular" w:cs="Arial"/>
            <w:szCs w:val="20"/>
          </w:rPr>
          <w:t>ouboru ekonomických ukazatelů</w:t>
        </w:r>
      </w:hyperlink>
      <w:r w:rsidR="00E52654">
        <w:rPr>
          <w:rFonts w:eastAsia="ChaparralPro-Regular" w:cs="Arial"/>
          <w:szCs w:val="20"/>
        </w:rPr>
        <w:t xml:space="preserve"> v </w:t>
      </w:r>
      <w:r w:rsidRPr="00442515">
        <w:rPr>
          <w:rFonts w:eastAsia="ChaparralPro-Regular" w:cs="Arial"/>
          <w:szCs w:val="20"/>
        </w:rPr>
        <w:t>tabulkách série Eko_b ve Statistické ročence školství sestavované MŠMT). Vyšší výdaje v roce 2011 mohou být zapříčiněny zavedením OP VaVpI</w:t>
      </w:r>
      <w:r w:rsidR="003E2CE3">
        <w:rPr>
          <w:rFonts w:eastAsia="ChaparralPro-Regular" w:cs="Arial"/>
          <w:szCs w:val="20"/>
        </w:rPr>
        <w:t xml:space="preserve"> (tj. </w:t>
      </w:r>
      <w:r w:rsidR="003E2CE3" w:rsidRPr="003E2CE3">
        <w:rPr>
          <w:rFonts w:eastAsia="ChaparralPro-Regular" w:cs="Arial"/>
          <w:szCs w:val="20"/>
        </w:rPr>
        <w:t>operačního programu Výzkum a vývoj pro inovace)</w:t>
      </w:r>
      <w:r w:rsidR="003A515E">
        <w:rPr>
          <w:rFonts w:eastAsia="ChaparralPro-Regular" w:cs="Arial"/>
          <w:szCs w:val="20"/>
        </w:rPr>
        <w:t xml:space="preserve"> a </w:t>
      </w:r>
      <w:r w:rsidRPr="00442515">
        <w:rPr>
          <w:rFonts w:eastAsia="ChaparralPro-Regular" w:cs="Arial"/>
          <w:szCs w:val="20"/>
        </w:rPr>
        <w:t xml:space="preserve">v rámci toho vyššími investicemi do různých výzkumných center.  V roce 2014 a 2015 pak byly realizovány investiční programy financované </w:t>
      </w:r>
      <w:hyperlink r:id="rId112" w:history="1">
        <w:r w:rsidRPr="00442515">
          <w:rPr>
            <w:rStyle w:val="Hypertextovodkaz"/>
            <w:rFonts w:eastAsia="ChaparralPro-Regular" w:cs="Arial"/>
            <w:szCs w:val="20"/>
          </w:rPr>
          <w:t>MŠMT</w:t>
        </w:r>
      </w:hyperlink>
      <w:r w:rsidRPr="00442515">
        <w:rPr>
          <w:rFonts w:eastAsia="ChaparralPro-Regular" w:cs="Arial"/>
          <w:szCs w:val="20"/>
        </w:rPr>
        <w:t xml:space="preserve">, které se </w:t>
      </w:r>
      <w:r w:rsidR="003E2CE3">
        <w:rPr>
          <w:rFonts w:eastAsia="ChaparralPro-Regular" w:cs="Arial"/>
          <w:szCs w:val="20"/>
        </w:rPr>
        <w:t>zaměřovaly na údržby sportovišť a</w:t>
      </w:r>
      <w:r w:rsidRPr="00442515">
        <w:rPr>
          <w:rFonts w:eastAsia="ChaparralPro-Regular" w:cs="Arial"/>
          <w:szCs w:val="20"/>
        </w:rPr>
        <w:t xml:space="preserve"> dostavby a výstavby nových škol a školek.  </w:t>
      </w:r>
    </w:p>
    <w:p w:rsidR="002C4A87" w:rsidRDefault="002C4A87" w:rsidP="00306953">
      <w:pPr>
        <w:autoSpaceDE w:val="0"/>
        <w:autoSpaceDN w:val="0"/>
        <w:adjustRightInd w:val="0"/>
        <w:spacing w:after="0" w:line="240" w:lineRule="auto"/>
        <w:jc w:val="both"/>
        <w:rPr>
          <w:rFonts w:eastAsia="ChaparralPro-Regular" w:cs="Arial"/>
          <w:szCs w:val="20"/>
        </w:rPr>
      </w:pPr>
    </w:p>
    <w:p w:rsidR="002C4A87" w:rsidRDefault="002C4A87" w:rsidP="00306953">
      <w:pPr>
        <w:autoSpaceDE w:val="0"/>
        <w:autoSpaceDN w:val="0"/>
        <w:adjustRightInd w:val="0"/>
        <w:spacing w:after="0" w:line="240" w:lineRule="auto"/>
        <w:jc w:val="both"/>
        <w:rPr>
          <w:rFonts w:eastAsia="ChaparralPro-Regular" w:cs="Arial"/>
          <w:szCs w:val="20"/>
        </w:rPr>
      </w:pPr>
    </w:p>
    <w:p w:rsidR="00306953" w:rsidRPr="002C4A87" w:rsidRDefault="002C4A87" w:rsidP="002C4A87">
      <w:pPr>
        <w:pStyle w:val="Nadpis3"/>
        <w:spacing w:after="120"/>
      </w:pPr>
      <w:bookmarkStart w:id="32" w:name="_Toc460424392"/>
      <w:r>
        <w:t>Shrnutí</w:t>
      </w:r>
      <w:bookmarkEnd w:id="32"/>
    </w:p>
    <w:p w:rsidR="00306953" w:rsidRPr="00442515" w:rsidRDefault="00306953" w:rsidP="002C4A87">
      <w:pPr>
        <w:spacing w:after="120" w:line="240" w:lineRule="auto"/>
        <w:jc w:val="both"/>
        <w:rPr>
          <w:rFonts w:eastAsia="ChaparralPro-Regular" w:cs="Arial"/>
          <w:szCs w:val="20"/>
        </w:rPr>
      </w:pPr>
      <w:r w:rsidRPr="00442515">
        <w:rPr>
          <w:rFonts w:eastAsia="ChaparralPro-Regular" w:cs="Arial"/>
          <w:szCs w:val="20"/>
        </w:rPr>
        <w:t>Ze zjištění uvedených v této kapitole zopakujme, že se Česká republika ukázala být zemí, ve které byl v roce 2012 ze všech sledovaných zemí OECD nejnižší podíl běžných výdajů věnovaný na platy zaměstnanců působících na úrovni primárního, sekundárního a postsekundárního neterciárního vzdělávání (58 %). Též na platy zaměstnanců v institucích terciárního vzdělávání vydávala Česká republika relativně malý podíl běžných výdajů (40,6 %). V tomto ohledu lze říci, že mezi zeměmi</w:t>
      </w:r>
      <w:r w:rsidR="008C5C0E">
        <w:rPr>
          <w:rFonts w:eastAsia="ChaparralPro-Regular" w:cs="Arial"/>
          <w:szCs w:val="20"/>
        </w:rPr>
        <w:t xml:space="preserve"> OECD s dostupnými daty připadla</w:t>
      </w:r>
      <w:r w:rsidRPr="00442515">
        <w:rPr>
          <w:rFonts w:eastAsia="ChaparralPro-Regular" w:cs="Arial"/>
          <w:szCs w:val="20"/>
        </w:rPr>
        <w:t xml:space="preserve"> pouze v ČR a Indonésii méně než polovina běžných výdajů institucí terciárního vzdělávání na platy personálu. V sousedním Polsku přitom tento podíl činil tři čtvrtiny. Pokud se jedná konkrétně o ohodnocení učitelů, pak v ČR připadal v roce 2012 na mzdové prostředky pro učitele působící na primární až post-sekundární neterciární úrovni, ale též na terciární úrovni výrazně podprůměrný podíl běžných výdajů (a to jak mezi evropskými zeměmi, které jsou členy OECD, tak i celkově mezi všemi zeměmi OECD) a byl i nižší než na Slovensku, v Rakousku či Finsku (za Polsko tato data nejsou dostupná). Tato kapitola také ukázala, že na úrovni primárního až post-sekundárního neterciárního vzdělávání i na úrovni terciárního vzdělávání byl v roce 2012 v ČR podíl kapitálových výdajů zhruba odpovídající průměru za země OECD. V roce 2011 však byly kapitálové výdaje na terciární vzdělávání v ČR oproti průměr</w:t>
      </w:r>
      <w:r w:rsidR="00E52654">
        <w:rPr>
          <w:rFonts w:eastAsia="ChaparralPro-Regular" w:cs="Arial"/>
          <w:szCs w:val="20"/>
        </w:rPr>
        <w:t>u za země OECD dvojnásobné (tj. </w:t>
      </w:r>
      <w:r w:rsidRPr="00442515">
        <w:rPr>
          <w:rFonts w:eastAsia="ChaparralPro-Regular" w:cs="Arial"/>
          <w:szCs w:val="20"/>
        </w:rPr>
        <w:t>pětinové) a srovnatelné se Slovenskem a Polskem, kde si pětinový podíl udržely i v roce 2012. V ČR i ve většině jiných zemí OECD přitom převažuje tendence, kdy byly kapitálové výdaje na terciární úrovni vzdělávání o něco vyšší než na nižších úrovních vzdělávání. Nakonec, z národních dat za ČR lze vyčíst, že v roce 2011 byl podíl kapitálových výdajů na celé školství cca o 3 procentní body vyšší než v letech 2009, 2010, 2012 a 2013 a o cca 2 procentní body vyšší než v roce 2014 a o 1 procentní bod vyšší než v roce 2015.</w:t>
      </w:r>
    </w:p>
    <w:p w:rsidR="00442515" w:rsidRDefault="00442515" w:rsidP="00306953">
      <w:pPr>
        <w:pStyle w:val="Nadpis2"/>
        <w:spacing w:after="120"/>
        <w:rPr>
          <w:rFonts w:eastAsia="ChaparralPro-Regular" w:cs="Arial"/>
        </w:rPr>
      </w:pPr>
      <w:bookmarkStart w:id="33" w:name="_Toc457225392"/>
    </w:p>
    <w:p w:rsidR="00306953" w:rsidRPr="00306953" w:rsidRDefault="00306953" w:rsidP="00C15ACB">
      <w:pPr>
        <w:pStyle w:val="Nadpis2"/>
        <w:spacing w:after="120"/>
        <w:rPr>
          <w:rFonts w:eastAsia="ChaparralPro-Regular" w:cs="Arial"/>
        </w:rPr>
      </w:pPr>
      <w:bookmarkStart w:id="34" w:name="_Toc460424393"/>
      <w:r w:rsidRPr="00306953">
        <w:rPr>
          <w:rFonts w:eastAsia="ChaparralPro-Regular" w:cs="Arial"/>
        </w:rPr>
        <w:t>Mzdy ve vzdělávání a výše platů učitelů na jednoho žáka dle úrovně vzdělávání</w:t>
      </w:r>
      <w:bookmarkEnd w:id="33"/>
      <w:bookmarkEnd w:id="34"/>
    </w:p>
    <w:p w:rsidR="002C4A87" w:rsidRDefault="002C4A87" w:rsidP="002C4A87">
      <w:pPr>
        <w:pStyle w:val="Nadpis3"/>
        <w:spacing w:after="120"/>
      </w:pPr>
      <w:bookmarkStart w:id="35" w:name="_Toc460424394"/>
      <w:r>
        <w:t>Úvod</w:t>
      </w:r>
      <w:bookmarkEnd w:id="35"/>
    </w:p>
    <w:p w:rsidR="00306953" w:rsidRDefault="00306953" w:rsidP="002C4A87">
      <w:pPr>
        <w:keepNext/>
        <w:spacing w:line="240" w:lineRule="auto"/>
        <w:jc w:val="both"/>
        <w:rPr>
          <w:rFonts w:eastAsia="ChaparralPro-Regular" w:cs="Arial"/>
          <w:bCs/>
          <w:szCs w:val="20"/>
        </w:rPr>
      </w:pPr>
      <w:r w:rsidRPr="00442515">
        <w:rPr>
          <w:rFonts w:eastAsia="ChaparralPro-Regular" w:cs="Arial"/>
          <w:szCs w:val="20"/>
        </w:rPr>
        <w:t>V této kapitole se nejprve budeme soustředit pouze na ČR a představíme počty zaměstnanců ve školách na různých úrovních vzdělávání v roce 2015, náklady na mzdy/platy celkem a dále průměrnou měsíční mzdu za rok 2015. Dále v ČR porovnáme průměrnou mzdu učitelů (resp. u VŠ akademických pracovníků) v jednotlivých úrovních vzdělání, jakož i průměrnou mzdu vychovatelů (res</w:t>
      </w:r>
      <w:r w:rsidR="003A515E">
        <w:rPr>
          <w:rFonts w:eastAsia="ChaparralPro-Regular" w:cs="Arial"/>
          <w:szCs w:val="20"/>
        </w:rPr>
        <w:t>p. u VŠ vědeckých pracovníků) a </w:t>
      </w:r>
      <w:r w:rsidRPr="00442515">
        <w:rPr>
          <w:rFonts w:eastAsia="ChaparralPro-Regular" w:cs="Arial"/>
          <w:szCs w:val="20"/>
        </w:rPr>
        <w:t>jiných pedagogických pracovníků a průměrnou mzdu nepedagogických pracovníků (resp. u VŠ jiných zaměstnanců než akademických a vědeckých). Dále představíme vývoj platů učitelů v ČR v čase.</w:t>
      </w:r>
      <w:r w:rsidRPr="00442515">
        <w:rPr>
          <w:rFonts w:eastAsia="ChaparralPro-Regular" w:cs="Arial"/>
          <w:color w:val="FF0000"/>
          <w:szCs w:val="20"/>
        </w:rPr>
        <w:t xml:space="preserve"> </w:t>
      </w:r>
      <w:r w:rsidRPr="00442515">
        <w:rPr>
          <w:rFonts w:eastAsia="ChaparralPro-Regular" w:cs="Arial"/>
          <w:szCs w:val="20"/>
        </w:rPr>
        <w:t>Poté se podíváme na n</w:t>
      </w:r>
      <w:r w:rsidRPr="00442515">
        <w:rPr>
          <w:rFonts w:cs="Arial"/>
          <w:bCs/>
          <w:szCs w:val="20"/>
        </w:rPr>
        <w:t xml:space="preserve">áklady na platy učitelů na jednoho žáka v různých úrovních </w:t>
      </w:r>
      <w:r w:rsidR="00E52654">
        <w:rPr>
          <w:rFonts w:cs="Arial"/>
          <w:bCs/>
          <w:szCs w:val="20"/>
        </w:rPr>
        <w:t>vzdělávání v roce 2013 v ČR a v </w:t>
      </w:r>
      <w:r w:rsidRPr="00442515">
        <w:rPr>
          <w:rFonts w:cs="Arial"/>
          <w:bCs/>
          <w:szCs w:val="20"/>
        </w:rPr>
        <w:t>dalších zemích OECD (v USD a v</w:t>
      </w:r>
      <w:r w:rsidRPr="00442515">
        <w:rPr>
          <w:rFonts w:eastAsiaTheme="minorHAnsi" w:cs="Arial"/>
          <w:bCs/>
          <w:szCs w:val="20"/>
        </w:rPr>
        <w:t xml:space="preserve"> podílu HDP na jednoho obyvatele)</w:t>
      </w:r>
      <w:r w:rsidRPr="00442515">
        <w:rPr>
          <w:rFonts w:cs="Arial"/>
          <w:bCs/>
          <w:szCs w:val="20"/>
        </w:rPr>
        <w:t xml:space="preserve"> a na </w:t>
      </w:r>
      <w:r w:rsidRPr="00442515">
        <w:rPr>
          <w:rFonts w:eastAsia="ChaparralPro-Regular" w:cs="Arial"/>
          <w:szCs w:val="20"/>
        </w:rPr>
        <w:t>vliv různých faktorů na výši nákladů na platy učitelů na jednoho žáka ve vyšším sekundárním vzdělávání v roce 2012 (údaje za rok 2013 pro tento indikátor nejsou za ČR k dispozici).</w:t>
      </w:r>
      <w:r w:rsidRPr="00442515">
        <w:rPr>
          <w:rFonts w:eastAsia="ChaparralPro-Regular" w:cs="Arial"/>
          <w:color w:val="FF0000"/>
          <w:szCs w:val="20"/>
        </w:rPr>
        <w:t xml:space="preserve">  </w:t>
      </w:r>
      <w:r w:rsidRPr="00442515">
        <w:rPr>
          <w:rFonts w:eastAsia="ChaparralPro-Regular" w:cs="Arial"/>
          <w:szCs w:val="20"/>
        </w:rPr>
        <w:t xml:space="preserve">Kromě toho znázorníme, jaké hlavní faktory měly v roce 2012 vliv na výši výdajů na mzdy učitelů na jednoho žáka ve vzdělávání na primární, nižší sekundární a vyšší sekundární úrovni v té které zemi OECD. V další části se budeme soustředit na porovnání platů učitelů různých úrovní vzdělávání v různých etapách učitelské profesní dráhy a mzdové náklady na jednu odučenou hodinu v roce 2013. Poté nabídneme v mezinárodním srovnání vývoj nákladů na mzdy učitelů na jednoho žáka v USD mezi rokem 2005 a 2012, náklady na mzdy učitelů primárního a nižšího sekundárního vzdělávání v USD a v % k HDP na jednoho obyvatele v roce 2013, </w:t>
      </w:r>
      <w:r w:rsidRPr="00442515">
        <w:rPr>
          <w:rFonts w:eastAsia="ChaparralPro-Regular" w:cs="Arial"/>
          <w:bCs/>
          <w:szCs w:val="20"/>
        </w:rPr>
        <w:t>procentuální změnu v nákladech na platy učitelů na jednoho žáka, platů učitelů a odhadované velikosti třídy v primárním a nižším sekundárním vzdělávání mezi roky 2008 a 2012 a procentuální vývoj platů učitelů mezi roky 2000 a 2013 v různých zemích OECD a v mezinárodních průměrech. Nakonec představíme platy učitelů nižšího sekundárního vzdělávání působících ve veřejných institucích ve vztahu k platů</w:t>
      </w:r>
      <w:r w:rsidR="0039186A">
        <w:rPr>
          <w:rFonts w:eastAsia="ChaparralPro-Regular" w:cs="Arial"/>
          <w:bCs/>
          <w:szCs w:val="20"/>
        </w:rPr>
        <w:t>m zaměstnanců v jiném povolání vyžadující podobné vzdělání</w:t>
      </w:r>
      <w:r w:rsidRPr="00442515">
        <w:rPr>
          <w:rFonts w:eastAsia="ChaparralPro-Regular" w:cs="Arial"/>
          <w:bCs/>
          <w:szCs w:val="20"/>
        </w:rPr>
        <w:t>.</w:t>
      </w:r>
    </w:p>
    <w:p w:rsidR="002C4A87" w:rsidRPr="00442515" w:rsidRDefault="002C4A87" w:rsidP="002C4A87">
      <w:pPr>
        <w:keepNext/>
        <w:spacing w:after="0" w:line="240" w:lineRule="auto"/>
        <w:jc w:val="both"/>
        <w:rPr>
          <w:rFonts w:eastAsia="ChaparralPro-Regular" w:cs="Arial"/>
          <w:bCs/>
          <w:szCs w:val="20"/>
        </w:rPr>
      </w:pPr>
    </w:p>
    <w:p w:rsidR="002C4A87" w:rsidRDefault="002C4A87" w:rsidP="002C4A87">
      <w:pPr>
        <w:pStyle w:val="Nadpis3"/>
        <w:spacing w:after="120"/>
      </w:pPr>
      <w:bookmarkStart w:id="36" w:name="_Toc460424395"/>
      <w:r>
        <w:t>Prezentace indikátorů</w:t>
      </w:r>
      <w:bookmarkEnd w:id="36"/>
    </w:p>
    <w:p w:rsidR="00306953" w:rsidRPr="00442515" w:rsidRDefault="00306953" w:rsidP="00306953">
      <w:pPr>
        <w:pStyle w:val="Textpoznpodarou"/>
        <w:spacing w:after="120"/>
        <w:jc w:val="both"/>
        <w:rPr>
          <w:rFonts w:ascii="Arial" w:eastAsia="ChaparralPro-Regular" w:hAnsi="Arial" w:cs="Arial"/>
        </w:rPr>
      </w:pPr>
      <w:r w:rsidRPr="00442515">
        <w:rPr>
          <w:rFonts w:ascii="Arial" w:eastAsia="ChaparralPro-Regular" w:hAnsi="Arial" w:cs="Arial"/>
        </w:rPr>
        <w:t>Dostatečné finanční ohodnocení učitelů je důležité pro přilákání talentovaných jedinců do této profese, ale také pro udržení dobrých učitelů ve svém povolání. Bližší rozbor příst</w:t>
      </w:r>
      <w:r w:rsidR="00E52654">
        <w:rPr>
          <w:rFonts w:ascii="Arial" w:eastAsia="ChaparralPro-Regular" w:hAnsi="Arial" w:cs="Arial"/>
        </w:rPr>
        <w:t>upu škol k odměňování učitelů a </w:t>
      </w:r>
      <w:r w:rsidRPr="00442515">
        <w:rPr>
          <w:rFonts w:ascii="Arial" w:eastAsia="ChaparralPro-Regular" w:hAnsi="Arial" w:cs="Arial"/>
        </w:rPr>
        <w:t>názorů učitelů na to, zda je jejich povolání dobře a spravedlivě ohodnoceno, není předmětem této publikace. Stručně však můžeme na úvod nastínit některá zjištění, která vypl</w:t>
      </w:r>
      <w:r w:rsidR="00E52654">
        <w:rPr>
          <w:rFonts w:ascii="Arial" w:eastAsia="ChaparralPro-Regular" w:hAnsi="Arial" w:cs="Arial"/>
        </w:rPr>
        <w:t>ynula z Mezinárodního šetření o </w:t>
      </w:r>
      <w:r w:rsidRPr="00442515">
        <w:rPr>
          <w:rFonts w:ascii="Arial" w:eastAsia="ChaparralPro-Regular" w:hAnsi="Arial" w:cs="Arial"/>
        </w:rPr>
        <w:t>vyučování a učení, neboli TALIS 2013 (</w:t>
      </w:r>
      <w:hyperlink r:id="rId113" w:history="1">
        <w:r w:rsidRPr="0092532F">
          <w:rPr>
            <w:rStyle w:val="Hypertextovodkaz"/>
            <w:rFonts w:ascii="Arial" w:eastAsia="ChaparralPro-Regular" w:hAnsi="Arial" w:cs="Arial"/>
          </w:rPr>
          <w:t>OECD 2014b</w:t>
        </w:r>
      </w:hyperlink>
      <w:r w:rsidRPr="00442515">
        <w:rPr>
          <w:rFonts w:ascii="Arial" w:eastAsia="ChaparralPro-Regular" w:hAnsi="Arial" w:cs="Arial"/>
        </w:rPr>
        <w:t xml:space="preserve">). Dle výsledků šetření TALIS 2013 v ČR pracuje 93,6 % učitelů působících na nižší sekundární úrovni ve školách, jejichž ředitel uvedl, že v důsledku formálního hodnocení učitelů se alespoň občas přistupuje ke změně ve výši platu nebo vyplácení odměn. Na Slovensku je takových učitelů 75,7 %, v Polsku 62,7 % a </w:t>
      </w:r>
      <w:r w:rsidR="00D751DB">
        <w:rPr>
          <w:rFonts w:ascii="Arial" w:eastAsia="ChaparralPro-Regular" w:hAnsi="Arial" w:cs="Arial"/>
        </w:rPr>
        <w:t>v mezinárodním průměru (tj. na jednu</w:t>
      </w:r>
      <w:r w:rsidRPr="00442515">
        <w:rPr>
          <w:rFonts w:ascii="Arial" w:eastAsia="ChaparralPro-Regular" w:hAnsi="Arial" w:cs="Arial"/>
        </w:rPr>
        <w:t xml:space="preserve"> zemi v šetření TALIS 2013) jen 34,3 %. Celkem 92,8 % ředitelů v ČR však uvedlo, že efektivita jejich práce je do určité či značné míry omezena nedostatečným rozpočtem školy a finančních zdrojů (v mezinárodním průměru byl tento podíl 79,5 %). Ač tedy ředitelé vnímají, že mají jisté pravomoci a možnosti (alespoň občas a do jisté míry) ocenit dobré učitele, považují finanční prostředky, které má škola k dispozici, za dosti omezené. Přitom jen mírně nadpoloviční většina (55,5 %) učitelů v ČR rozhodně souhlasila či souhlasila s výrokem, že „nejlépe pracujícím učitelům se v této škole dostává nejvyššího ocenění“ (zde se mohlo jednat o ocenění v jakékoliv podobě, nejen finanční). V Polsku tak uvedlo 63,9 %, na Slovensku však jen 48,4 % učitelů a též v mezinárodním průměru na jednu zemi v šetření TALIS 2013 byl tento podíl nižší než v ČR (37,7 %). K tomu je </w:t>
      </w:r>
      <w:r w:rsidR="00CC6CBE">
        <w:rPr>
          <w:rFonts w:ascii="Arial" w:eastAsia="ChaparralPro-Regular" w:hAnsi="Arial" w:cs="Arial"/>
        </w:rPr>
        <w:t>vhodné</w:t>
      </w:r>
      <w:r w:rsidRPr="00442515">
        <w:rPr>
          <w:rFonts w:ascii="Arial" w:eastAsia="ChaparralPro-Regular" w:hAnsi="Arial" w:cs="Arial"/>
        </w:rPr>
        <w:t xml:space="preserve"> doplnit, že v ČR byl ze všech zemí zapojených do tohoto šetření nejnižší podíl učitelů názoru, že výhody učitelského povolání jednoznačně převažují nad jeho nevýhodami (v ČR s tímto výrokem rozhodně souhlasilo či souhlasilo 53,0 % učitelů, na Slovensku 58,0 %; naopak ve Finsku bylo tohoto názoru 95,3 % učitelů a v Polsku 76,4 %; mezinárodní průměr byl pak 77,4 % souhlasných odpovědí). </w:t>
      </w:r>
    </w:p>
    <w:p w:rsidR="00306953" w:rsidRPr="00442515" w:rsidRDefault="00306953" w:rsidP="00306953">
      <w:pPr>
        <w:pStyle w:val="Textpoznpodarou"/>
        <w:spacing w:after="120"/>
        <w:jc w:val="both"/>
        <w:rPr>
          <w:rFonts w:ascii="Arial" w:eastAsia="ChaparralPro-Regular" w:hAnsi="Arial" w:cs="Arial"/>
        </w:rPr>
      </w:pPr>
      <w:r w:rsidRPr="00442515">
        <w:rPr>
          <w:rFonts w:ascii="Arial" w:eastAsia="ChaparralPro-Regular" w:hAnsi="Arial" w:cs="Arial"/>
        </w:rPr>
        <w:t xml:space="preserve">Výše uvedená zjištění z šetření TALIS 2013 jsou založena na subjektivních postojích, které mohou být ovlivněny nejrůznějšími faktory. Jedním z nich je i výše finančního ohodnocení učitelů, a to jak v absolutním vyjádření, tak zejména ve srovnání s jinými profesemi vyžadujícími vysokoškolské vzdělání, ve srovnání s ohodnocením učitelů v jiných zemích, ale též např. z perspektivy růstu platů učitelů spolu s nabýváním praxe. Těmto tématům se tedy budeme nyní věnovat a navíc srovnáme platy učitelů s platy jiných než pedagogických pracovníků ve školách. </w:t>
      </w:r>
    </w:p>
    <w:p w:rsidR="00306953" w:rsidRPr="00442515" w:rsidRDefault="00306953" w:rsidP="00306953">
      <w:pPr>
        <w:pStyle w:val="Textpoznpodarou"/>
        <w:spacing w:after="120"/>
        <w:jc w:val="both"/>
        <w:rPr>
          <w:rFonts w:ascii="Arial" w:eastAsia="ChaparralPro-Regular" w:hAnsi="Arial" w:cs="Arial"/>
        </w:rPr>
      </w:pPr>
      <w:r w:rsidRPr="00442515">
        <w:rPr>
          <w:rFonts w:ascii="Arial" w:eastAsia="ChaparralPro-Regular" w:hAnsi="Arial" w:cs="Arial"/>
        </w:rPr>
        <w:t xml:space="preserve">Nejprve nabídneme čtenářům tabulku č. 23, která ukazuje </w:t>
      </w:r>
      <w:r w:rsidRPr="00442515">
        <w:rPr>
          <w:rFonts w:ascii="Arial" w:eastAsia="ChaparralPro-Regular" w:hAnsi="Arial" w:cs="Arial"/>
          <w:b/>
        </w:rPr>
        <w:t>počet zaměstnanců</w:t>
      </w:r>
      <w:r w:rsidRPr="00442515">
        <w:rPr>
          <w:rFonts w:ascii="Arial" w:eastAsia="ChaparralPro-Regular" w:hAnsi="Arial" w:cs="Arial"/>
        </w:rPr>
        <w:t xml:space="preserve"> ve školách v ČR v roce 2015, </w:t>
      </w:r>
      <w:r w:rsidRPr="00442515">
        <w:rPr>
          <w:rFonts w:ascii="Arial" w:eastAsia="ChaparralPro-Regular" w:hAnsi="Arial" w:cs="Arial"/>
          <w:b/>
        </w:rPr>
        <w:t>náklady na mzdy/platy celkem</w:t>
      </w:r>
      <w:r w:rsidRPr="00442515">
        <w:rPr>
          <w:rFonts w:ascii="Arial" w:eastAsia="ChaparralPro-Regular" w:hAnsi="Arial" w:cs="Arial"/>
        </w:rPr>
        <w:t xml:space="preserve"> (bez OON/OPPP) v tis. Kč a průměrnou měsíční mzdu v Kč: </w:t>
      </w:r>
    </w:p>
    <w:p w:rsidR="00306953" w:rsidRPr="00442515" w:rsidRDefault="00306953" w:rsidP="00306953">
      <w:pPr>
        <w:pStyle w:val="Textpoznpodarou"/>
        <w:spacing w:after="120"/>
        <w:jc w:val="both"/>
        <w:rPr>
          <w:rFonts w:ascii="Arial" w:eastAsia="ChaparralPro-Regular" w:hAnsi="Arial" w:cs="Arial"/>
          <w:b/>
        </w:rPr>
      </w:pPr>
      <w:r w:rsidRPr="00442515">
        <w:rPr>
          <w:rFonts w:ascii="Arial" w:eastAsia="ChaparralPro-Regular" w:hAnsi="Arial" w:cs="Arial"/>
          <w:b/>
        </w:rPr>
        <w:lastRenderedPageBreak/>
        <w:t>Tabulka č. 23</w:t>
      </w:r>
      <w:r w:rsidRPr="00442515">
        <w:rPr>
          <w:rFonts w:ascii="Arial" w:eastAsia="ChaparralPro-Regular" w:hAnsi="Arial" w:cs="Arial"/>
        </w:rPr>
        <w:t xml:space="preserve"> </w:t>
      </w:r>
      <w:r w:rsidRPr="00442515">
        <w:rPr>
          <w:rFonts w:ascii="Arial" w:eastAsia="ChaparralPro-Regular" w:hAnsi="Arial" w:cs="Arial"/>
          <w:b/>
        </w:rPr>
        <w:t>Počet zaměstnanců ve školách v ČR v roce 2015,</w:t>
      </w:r>
      <w:r w:rsidR="00E52654">
        <w:rPr>
          <w:rFonts w:ascii="Arial" w:eastAsia="ChaparralPro-Regular" w:hAnsi="Arial" w:cs="Arial"/>
          <w:b/>
        </w:rPr>
        <w:t xml:space="preserve"> náklady na mzdy/platy celkem a </w:t>
      </w:r>
      <w:r w:rsidRPr="00442515">
        <w:rPr>
          <w:rFonts w:ascii="Arial" w:eastAsia="ChaparralPro-Regular" w:hAnsi="Arial" w:cs="Arial"/>
          <w:b/>
        </w:rPr>
        <w:t>průměrná měsíční mzda (v Kč)</w:t>
      </w:r>
    </w:p>
    <w:tbl>
      <w:tblPr>
        <w:tblW w:w="8379" w:type="dxa"/>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3134"/>
        <w:gridCol w:w="1701"/>
        <w:gridCol w:w="1701"/>
        <w:gridCol w:w="1843"/>
      </w:tblGrid>
      <w:tr w:rsidR="00306953" w:rsidRPr="00442515" w:rsidTr="00CC4525">
        <w:trPr>
          <w:trHeight w:val="300"/>
        </w:trPr>
        <w:tc>
          <w:tcPr>
            <w:tcW w:w="3134" w:type="dxa"/>
            <w:vMerge w:val="restart"/>
            <w:tcBorders>
              <w:top w:val="double" w:sz="4" w:space="0" w:color="auto"/>
              <w:bottom w:val="double" w:sz="4" w:space="0" w:color="auto"/>
            </w:tcBorders>
            <w:shd w:val="clear" w:color="auto" w:fill="FFCCCC"/>
            <w:vAlign w:val="center"/>
            <w:hideMark/>
          </w:tcPr>
          <w:p w:rsidR="00306953" w:rsidRPr="00442515" w:rsidRDefault="00B26952" w:rsidP="00306953">
            <w:pPr>
              <w:keepNext/>
              <w:spacing w:after="0" w:line="240" w:lineRule="auto"/>
              <w:rPr>
                <w:rFonts w:cs="Arial"/>
                <w:b/>
                <w:bCs/>
                <w:color w:val="000000"/>
                <w:sz w:val="16"/>
                <w:szCs w:val="16"/>
              </w:rPr>
            </w:pPr>
            <w:r>
              <w:rPr>
                <w:rFonts w:cs="Arial"/>
                <w:b/>
                <w:bCs/>
                <w:color w:val="000000"/>
                <w:sz w:val="16"/>
                <w:szCs w:val="16"/>
              </w:rPr>
              <w:t>ú</w:t>
            </w:r>
            <w:r w:rsidR="00306953" w:rsidRPr="00442515">
              <w:rPr>
                <w:rFonts w:cs="Arial"/>
                <w:b/>
                <w:bCs/>
                <w:color w:val="000000"/>
                <w:sz w:val="16"/>
                <w:szCs w:val="16"/>
              </w:rPr>
              <w:t>roveň (zřizovatel: MŠMT, obec, kraj, privátní sektor, církev)</w:t>
            </w:r>
          </w:p>
        </w:tc>
        <w:tc>
          <w:tcPr>
            <w:tcW w:w="1701" w:type="dxa"/>
            <w:vMerge w:val="restart"/>
            <w:tcBorders>
              <w:top w:val="double" w:sz="4" w:space="0" w:color="auto"/>
              <w:bottom w:val="double" w:sz="4" w:space="0" w:color="auto"/>
            </w:tcBorders>
            <w:shd w:val="clear" w:color="auto" w:fill="FFCCCC"/>
            <w:vAlign w:val="center"/>
            <w:hideMark/>
          </w:tcPr>
          <w:p w:rsidR="00306953" w:rsidRPr="00442515" w:rsidRDefault="001A2903" w:rsidP="00306953">
            <w:pPr>
              <w:spacing w:after="0" w:line="240" w:lineRule="auto"/>
              <w:jc w:val="center"/>
              <w:rPr>
                <w:rFonts w:cs="Arial"/>
                <w:b/>
                <w:bCs/>
                <w:color w:val="000000"/>
                <w:sz w:val="16"/>
                <w:szCs w:val="16"/>
              </w:rPr>
            </w:pPr>
            <w:r>
              <w:rPr>
                <w:rFonts w:cs="Arial"/>
                <w:b/>
                <w:bCs/>
                <w:color w:val="000000"/>
                <w:sz w:val="16"/>
                <w:szCs w:val="16"/>
              </w:rPr>
              <w:t>p</w:t>
            </w:r>
            <w:r w:rsidR="00306953" w:rsidRPr="00442515">
              <w:rPr>
                <w:rFonts w:cs="Arial"/>
                <w:b/>
                <w:bCs/>
                <w:color w:val="000000"/>
                <w:sz w:val="16"/>
                <w:szCs w:val="16"/>
              </w:rPr>
              <w:t>růměrný evidenční počet zaměstnanců (přepočtený) 2015</w:t>
            </w:r>
          </w:p>
        </w:tc>
        <w:tc>
          <w:tcPr>
            <w:tcW w:w="1701" w:type="dxa"/>
            <w:vMerge w:val="restart"/>
            <w:tcBorders>
              <w:top w:val="double" w:sz="4" w:space="0" w:color="auto"/>
              <w:bottom w:val="double" w:sz="4" w:space="0" w:color="auto"/>
            </w:tcBorders>
            <w:shd w:val="clear" w:color="auto" w:fill="FFCCCC"/>
            <w:vAlign w:val="center"/>
            <w:hideMark/>
          </w:tcPr>
          <w:p w:rsidR="00C25086" w:rsidRDefault="001A2903" w:rsidP="00306953">
            <w:pPr>
              <w:spacing w:after="0" w:line="240" w:lineRule="auto"/>
              <w:jc w:val="center"/>
              <w:rPr>
                <w:rFonts w:cs="Arial"/>
                <w:b/>
                <w:bCs/>
                <w:color w:val="000000"/>
                <w:sz w:val="16"/>
                <w:szCs w:val="16"/>
              </w:rPr>
            </w:pPr>
            <w:r>
              <w:rPr>
                <w:rFonts w:cs="Arial"/>
                <w:b/>
                <w:bCs/>
                <w:color w:val="000000"/>
                <w:sz w:val="16"/>
                <w:szCs w:val="16"/>
              </w:rPr>
              <w:t>m</w:t>
            </w:r>
            <w:r w:rsidR="00306953" w:rsidRPr="00442515">
              <w:rPr>
                <w:rFonts w:cs="Arial"/>
                <w:b/>
                <w:bCs/>
                <w:color w:val="000000"/>
                <w:sz w:val="16"/>
                <w:szCs w:val="16"/>
              </w:rPr>
              <w:t xml:space="preserve">zdy v tis. Kč za rok 2015 </w:t>
            </w:r>
          </w:p>
          <w:p w:rsidR="00306953" w:rsidRPr="00442515" w:rsidRDefault="00306953" w:rsidP="00306953">
            <w:pPr>
              <w:spacing w:after="0" w:line="240" w:lineRule="auto"/>
              <w:jc w:val="center"/>
              <w:rPr>
                <w:rFonts w:cs="Arial"/>
                <w:b/>
                <w:bCs/>
                <w:color w:val="000000"/>
                <w:sz w:val="16"/>
                <w:szCs w:val="16"/>
              </w:rPr>
            </w:pPr>
            <w:r w:rsidRPr="00442515">
              <w:rPr>
                <w:rFonts w:cs="Arial"/>
                <w:b/>
                <w:bCs/>
                <w:color w:val="000000"/>
                <w:sz w:val="16"/>
                <w:szCs w:val="16"/>
              </w:rPr>
              <w:t>(bez OON/OPPP)</w:t>
            </w:r>
          </w:p>
        </w:tc>
        <w:tc>
          <w:tcPr>
            <w:tcW w:w="1843" w:type="dxa"/>
            <w:vMerge w:val="restart"/>
            <w:tcBorders>
              <w:top w:val="double" w:sz="4" w:space="0" w:color="auto"/>
              <w:bottom w:val="double" w:sz="4" w:space="0" w:color="auto"/>
            </w:tcBorders>
            <w:shd w:val="clear" w:color="auto" w:fill="FFCCCC"/>
            <w:vAlign w:val="center"/>
            <w:hideMark/>
          </w:tcPr>
          <w:p w:rsidR="00C25086" w:rsidRDefault="001A2903" w:rsidP="00306953">
            <w:pPr>
              <w:spacing w:after="0" w:line="240" w:lineRule="auto"/>
              <w:jc w:val="center"/>
              <w:rPr>
                <w:rFonts w:cs="Arial"/>
                <w:b/>
                <w:bCs/>
                <w:color w:val="000000"/>
                <w:sz w:val="16"/>
                <w:szCs w:val="16"/>
              </w:rPr>
            </w:pPr>
            <w:r>
              <w:rPr>
                <w:rFonts w:cs="Arial"/>
                <w:b/>
                <w:bCs/>
                <w:color w:val="000000"/>
                <w:sz w:val="16"/>
                <w:szCs w:val="16"/>
              </w:rPr>
              <w:t>průměrná</w:t>
            </w:r>
            <w:r w:rsidR="00306953" w:rsidRPr="00442515">
              <w:rPr>
                <w:rFonts w:cs="Arial"/>
                <w:b/>
                <w:bCs/>
                <w:color w:val="000000"/>
                <w:sz w:val="16"/>
                <w:szCs w:val="16"/>
              </w:rPr>
              <w:t xml:space="preserve"> mzda 2015 celkem v Kč </w:t>
            </w:r>
          </w:p>
          <w:p w:rsidR="00306953" w:rsidRPr="00442515" w:rsidRDefault="00306953" w:rsidP="00306953">
            <w:pPr>
              <w:spacing w:after="0" w:line="240" w:lineRule="auto"/>
              <w:jc w:val="center"/>
              <w:rPr>
                <w:rFonts w:cs="Arial"/>
                <w:b/>
                <w:bCs/>
                <w:color w:val="000000"/>
                <w:sz w:val="16"/>
                <w:szCs w:val="16"/>
              </w:rPr>
            </w:pPr>
            <w:r w:rsidRPr="00442515">
              <w:rPr>
                <w:rFonts w:cs="Arial"/>
                <w:b/>
                <w:bCs/>
                <w:color w:val="000000"/>
                <w:sz w:val="16"/>
                <w:szCs w:val="16"/>
              </w:rPr>
              <w:t>(bez OON/OPPP)</w:t>
            </w:r>
          </w:p>
        </w:tc>
      </w:tr>
      <w:tr w:rsidR="00306953" w:rsidRPr="00442515" w:rsidTr="00CC4525">
        <w:trPr>
          <w:trHeight w:val="300"/>
        </w:trPr>
        <w:tc>
          <w:tcPr>
            <w:tcW w:w="3134" w:type="dxa"/>
            <w:vMerge/>
            <w:tcBorders>
              <w:top w:val="single" w:sz="4" w:space="0" w:color="auto"/>
              <w:bottom w:val="double" w:sz="4" w:space="0" w:color="auto"/>
            </w:tcBorders>
            <w:shd w:val="clear" w:color="auto" w:fill="FFCCCC"/>
            <w:vAlign w:val="center"/>
            <w:hideMark/>
          </w:tcPr>
          <w:p w:rsidR="00306953" w:rsidRPr="00442515" w:rsidRDefault="00306953" w:rsidP="00306953">
            <w:pPr>
              <w:keepNext/>
              <w:spacing w:after="0" w:line="240" w:lineRule="auto"/>
              <w:rPr>
                <w:rFonts w:cs="Arial"/>
                <w:b/>
                <w:bCs/>
                <w:color w:val="000000"/>
                <w:sz w:val="16"/>
                <w:szCs w:val="16"/>
              </w:rPr>
            </w:pPr>
          </w:p>
        </w:tc>
        <w:tc>
          <w:tcPr>
            <w:tcW w:w="1701" w:type="dxa"/>
            <w:vMerge/>
            <w:tcBorders>
              <w:top w:val="single" w:sz="4" w:space="0" w:color="auto"/>
              <w:bottom w:val="double" w:sz="4" w:space="0" w:color="auto"/>
            </w:tcBorders>
            <w:shd w:val="clear" w:color="auto" w:fill="FFCCCC"/>
            <w:vAlign w:val="center"/>
            <w:hideMark/>
          </w:tcPr>
          <w:p w:rsidR="00306953" w:rsidRPr="00442515" w:rsidRDefault="00306953" w:rsidP="00306953">
            <w:pPr>
              <w:spacing w:after="0" w:line="240" w:lineRule="auto"/>
              <w:rPr>
                <w:rFonts w:cs="Arial"/>
                <w:b/>
                <w:bCs/>
                <w:color w:val="000000"/>
                <w:sz w:val="16"/>
                <w:szCs w:val="16"/>
              </w:rPr>
            </w:pPr>
          </w:p>
        </w:tc>
        <w:tc>
          <w:tcPr>
            <w:tcW w:w="1701" w:type="dxa"/>
            <w:vMerge/>
            <w:tcBorders>
              <w:top w:val="single" w:sz="4" w:space="0" w:color="auto"/>
              <w:bottom w:val="double" w:sz="4" w:space="0" w:color="auto"/>
            </w:tcBorders>
            <w:shd w:val="clear" w:color="auto" w:fill="FFCCCC"/>
            <w:vAlign w:val="center"/>
            <w:hideMark/>
          </w:tcPr>
          <w:p w:rsidR="00306953" w:rsidRPr="00442515" w:rsidRDefault="00306953" w:rsidP="00306953">
            <w:pPr>
              <w:spacing w:after="0" w:line="240" w:lineRule="auto"/>
              <w:rPr>
                <w:rFonts w:cs="Arial"/>
                <w:b/>
                <w:bCs/>
                <w:color w:val="000000"/>
                <w:sz w:val="16"/>
                <w:szCs w:val="16"/>
              </w:rPr>
            </w:pPr>
          </w:p>
        </w:tc>
        <w:tc>
          <w:tcPr>
            <w:tcW w:w="1843" w:type="dxa"/>
            <w:vMerge/>
            <w:tcBorders>
              <w:top w:val="single" w:sz="4" w:space="0" w:color="auto"/>
              <w:bottom w:val="double" w:sz="4" w:space="0" w:color="auto"/>
            </w:tcBorders>
            <w:shd w:val="clear" w:color="auto" w:fill="FFCCCC"/>
            <w:vAlign w:val="center"/>
            <w:hideMark/>
          </w:tcPr>
          <w:p w:rsidR="00306953" w:rsidRPr="00442515" w:rsidRDefault="00306953" w:rsidP="00306953">
            <w:pPr>
              <w:spacing w:after="0" w:line="240" w:lineRule="auto"/>
              <w:rPr>
                <w:rFonts w:cs="Arial"/>
                <w:b/>
                <w:bCs/>
                <w:color w:val="000000"/>
                <w:sz w:val="16"/>
                <w:szCs w:val="16"/>
              </w:rPr>
            </w:pPr>
          </w:p>
        </w:tc>
      </w:tr>
      <w:tr w:rsidR="00306953" w:rsidRPr="00442515" w:rsidTr="00CC4525">
        <w:trPr>
          <w:trHeight w:val="184"/>
        </w:trPr>
        <w:tc>
          <w:tcPr>
            <w:tcW w:w="3134" w:type="dxa"/>
            <w:vMerge/>
            <w:tcBorders>
              <w:top w:val="single" w:sz="4" w:space="0" w:color="auto"/>
              <w:bottom w:val="double" w:sz="4" w:space="0" w:color="auto"/>
            </w:tcBorders>
            <w:shd w:val="clear" w:color="auto" w:fill="FFCCCC"/>
            <w:vAlign w:val="center"/>
            <w:hideMark/>
          </w:tcPr>
          <w:p w:rsidR="00306953" w:rsidRPr="00442515" w:rsidRDefault="00306953" w:rsidP="00306953">
            <w:pPr>
              <w:keepNext/>
              <w:spacing w:after="0" w:line="240" w:lineRule="auto"/>
              <w:rPr>
                <w:rFonts w:cs="Arial"/>
                <w:b/>
                <w:bCs/>
                <w:color w:val="000000"/>
                <w:sz w:val="16"/>
                <w:szCs w:val="16"/>
              </w:rPr>
            </w:pPr>
          </w:p>
        </w:tc>
        <w:tc>
          <w:tcPr>
            <w:tcW w:w="1701" w:type="dxa"/>
            <w:vMerge/>
            <w:tcBorders>
              <w:top w:val="single" w:sz="4" w:space="0" w:color="auto"/>
              <w:bottom w:val="double" w:sz="4" w:space="0" w:color="auto"/>
            </w:tcBorders>
            <w:shd w:val="clear" w:color="auto" w:fill="FFCCCC"/>
            <w:vAlign w:val="center"/>
            <w:hideMark/>
          </w:tcPr>
          <w:p w:rsidR="00306953" w:rsidRPr="00442515" w:rsidRDefault="00306953" w:rsidP="00306953">
            <w:pPr>
              <w:spacing w:after="0" w:line="240" w:lineRule="auto"/>
              <w:rPr>
                <w:rFonts w:cs="Arial"/>
                <w:b/>
                <w:bCs/>
                <w:color w:val="000000"/>
                <w:sz w:val="16"/>
                <w:szCs w:val="16"/>
              </w:rPr>
            </w:pPr>
          </w:p>
        </w:tc>
        <w:tc>
          <w:tcPr>
            <w:tcW w:w="1701" w:type="dxa"/>
            <w:vMerge/>
            <w:tcBorders>
              <w:top w:val="single" w:sz="4" w:space="0" w:color="auto"/>
              <w:bottom w:val="double" w:sz="4" w:space="0" w:color="auto"/>
            </w:tcBorders>
            <w:shd w:val="clear" w:color="auto" w:fill="FFCCCC"/>
            <w:vAlign w:val="center"/>
            <w:hideMark/>
          </w:tcPr>
          <w:p w:rsidR="00306953" w:rsidRPr="00442515" w:rsidRDefault="00306953" w:rsidP="00306953">
            <w:pPr>
              <w:spacing w:after="0" w:line="240" w:lineRule="auto"/>
              <w:rPr>
                <w:rFonts w:cs="Arial"/>
                <w:b/>
                <w:bCs/>
                <w:color w:val="000000"/>
                <w:sz w:val="16"/>
                <w:szCs w:val="16"/>
              </w:rPr>
            </w:pPr>
          </w:p>
        </w:tc>
        <w:tc>
          <w:tcPr>
            <w:tcW w:w="1843" w:type="dxa"/>
            <w:vMerge/>
            <w:tcBorders>
              <w:top w:val="single" w:sz="4" w:space="0" w:color="auto"/>
              <w:bottom w:val="double" w:sz="4" w:space="0" w:color="auto"/>
            </w:tcBorders>
            <w:shd w:val="clear" w:color="auto" w:fill="FFCCCC"/>
            <w:vAlign w:val="center"/>
            <w:hideMark/>
          </w:tcPr>
          <w:p w:rsidR="00306953" w:rsidRPr="00442515" w:rsidRDefault="00306953" w:rsidP="00306953">
            <w:pPr>
              <w:spacing w:after="0" w:line="240" w:lineRule="auto"/>
              <w:rPr>
                <w:rFonts w:cs="Arial"/>
                <w:b/>
                <w:bCs/>
                <w:color w:val="000000"/>
                <w:sz w:val="16"/>
                <w:szCs w:val="16"/>
              </w:rPr>
            </w:pPr>
          </w:p>
        </w:tc>
      </w:tr>
      <w:tr w:rsidR="00306953" w:rsidRPr="00442515" w:rsidTr="00CC4525">
        <w:trPr>
          <w:trHeight w:val="300"/>
        </w:trPr>
        <w:tc>
          <w:tcPr>
            <w:tcW w:w="3134" w:type="dxa"/>
            <w:tcBorders>
              <w:top w:val="double" w:sz="4" w:space="0" w:color="auto"/>
            </w:tcBorders>
            <w:shd w:val="clear" w:color="auto" w:fill="auto"/>
            <w:vAlign w:val="center"/>
            <w:hideMark/>
          </w:tcPr>
          <w:p w:rsidR="00306953" w:rsidRPr="00442515" w:rsidRDefault="00306953" w:rsidP="00306953">
            <w:pPr>
              <w:keepNext/>
              <w:spacing w:after="0" w:line="240" w:lineRule="auto"/>
              <w:rPr>
                <w:rFonts w:cs="Arial"/>
                <w:color w:val="000000"/>
                <w:sz w:val="16"/>
                <w:szCs w:val="16"/>
              </w:rPr>
            </w:pPr>
            <w:r w:rsidRPr="00442515">
              <w:rPr>
                <w:rFonts w:cs="Arial"/>
                <w:color w:val="000000"/>
                <w:sz w:val="16"/>
                <w:szCs w:val="16"/>
              </w:rPr>
              <w:t>předškolní vzdělávání</w:t>
            </w:r>
          </w:p>
        </w:tc>
        <w:tc>
          <w:tcPr>
            <w:tcW w:w="1701" w:type="dxa"/>
            <w:tcBorders>
              <w:top w:val="double" w:sz="4" w:space="0" w:color="auto"/>
            </w:tcBorders>
            <w:shd w:val="clear" w:color="auto" w:fill="auto"/>
            <w:vAlign w:val="center"/>
            <w:hideMark/>
          </w:tcPr>
          <w:p w:rsidR="00306953" w:rsidRPr="00442515" w:rsidRDefault="00306953" w:rsidP="00306953">
            <w:pPr>
              <w:spacing w:after="0" w:line="240" w:lineRule="auto"/>
              <w:jc w:val="center"/>
              <w:rPr>
                <w:rFonts w:cs="Arial"/>
                <w:color w:val="000000"/>
                <w:sz w:val="16"/>
                <w:szCs w:val="16"/>
              </w:rPr>
            </w:pPr>
            <w:r w:rsidRPr="00442515">
              <w:rPr>
                <w:rFonts w:cs="Arial"/>
                <w:color w:val="000000"/>
                <w:sz w:val="16"/>
                <w:szCs w:val="16"/>
              </w:rPr>
              <w:t>40 046,6</w:t>
            </w:r>
          </w:p>
        </w:tc>
        <w:tc>
          <w:tcPr>
            <w:tcW w:w="1701" w:type="dxa"/>
            <w:tcBorders>
              <w:top w:val="double" w:sz="4" w:space="0" w:color="auto"/>
            </w:tcBorders>
            <w:shd w:val="clear" w:color="auto" w:fill="auto"/>
            <w:vAlign w:val="center"/>
            <w:hideMark/>
          </w:tcPr>
          <w:p w:rsidR="00306953" w:rsidRPr="00442515" w:rsidRDefault="00306953" w:rsidP="00306953">
            <w:pPr>
              <w:spacing w:after="0" w:line="240" w:lineRule="auto"/>
              <w:jc w:val="center"/>
              <w:rPr>
                <w:rFonts w:cs="Arial"/>
                <w:color w:val="000000"/>
                <w:sz w:val="16"/>
                <w:szCs w:val="16"/>
              </w:rPr>
            </w:pPr>
            <w:r w:rsidRPr="00442515">
              <w:rPr>
                <w:rFonts w:cs="Arial"/>
                <w:color w:val="000000"/>
                <w:sz w:val="16"/>
                <w:szCs w:val="16"/>
              </w:rPr>
              <w:t>10 234 813,3</w:t>
            </w:r>
          </w:p>
        </w:tc>
        <w:tc>
          <w:tcPr>
            <w:tcW w:w="1843" w:type="dxa"/>
            <w:tcBorders>
              <w:top w:val="double" w:sz="4" w:space="0" w:color="auto"/>
            </w:tcBorders>
            <w:shd w:val="clear" w:color="auto" w:fill="auto"/>
            <w:vAlign w:val="center"/>
            <w:hideMark/>
          </w:tcPr>
          <w:p w:rsidR="00306953" w:rsidRPr="00442515" w:rsidRDefault="00306953" w:rsidP="00306953">
            <w:pPr>
              <w:spacing w:after="0" w:line="240" w:lineRule="auto"/>
              <w:jc w:val="center"/>
              <w:rPr>
                <w:rFonts w:cs="Arial"/>
                <w:color w:val="000000"/>
                <w:sz w:val="16"/>
                <w:szCs w:val="16"/>
              </w:rPr>
            </w:pPr>
            <w:r w:rsidRPr="00442515">
              <w:rPr>
                <w:rFonts w:cs="Arial"/>
                <w:color w:val="000000"/>
                <w:sz w:val="16"/>
                <w:szCs w:val="16"/>
              </w:rPr>
              <w:t>21 298</w:t>
            </w:r>
          </w:p>
        </w:tc>
      </w:tr>
      <w:tr w:rsidR="00306953" w:rsidRPr="00442515" w:rsidTr="00CC4525">
        <w:trPr>
          <w:trHeight w:val="300"/>
        </w:trPr>
        <w:tc>
          <w:tcPr>
            <w:tcW w:w="3134" w:type="dxa"/>
            <w:shd w:val="clear" w:color="auto" w:fill="auto"/>
            <w:vAlign w:val="center"/>
            <w:hideMark/>
          </w:tcPr>
          <w:p w:rsidR="00306953" w:rsidRPr="00442515" w:rsidRDefault="00306953" w:rsidP="00306953">
            <w:pPr>
              <w:keepNext/>
              <w:spacing w:after="0" w:line="240" w:lineRule="auto"/>
              <w:rPr>
                <w:rFonts w:cs="Arial"/>
                <w:color w:val="000000"/>
                <w:sz w:val="16"/>
                <w:szCs w:val="16"/>
              </w:rPr>
            </w:pPr>
            <w:r w:rsidRPr="00442515">
              <w:rPr>
                <w:rFonts w:cs="Arial"/>
                <w:color w:val="000000"/>
                <w:sz w:val="16"/>
                <w:szCs w:val="16"/>
              </w:rPr>
              <w:t>základní školství</w:t>
            </w:r>
          </w:p>
        </w:tc>
        <w:tc>
          <w:tcPr>
            <w:tcW w:w="1701" w:type="dxa"/>
            <w:shd w:val="clear" w:color="auto" w:fill="auto"/>
            <w:vAlign w:val="center"/>
            <w:hideMark/>
          </w:tcPr>
          <w:p w:rsidR="00306953" w:rsidRPr="00442515" w:rsidRDefault="00306953" w:rsidP="00306953">
            <w:pPr>
              <w:spacing w:after="0" w:line="240" w:lineRule="auto"/>
              <w:jc w:val="center"/>
              <w:rPr>
                <w:rFonts w:cs="Arial"/>
                <w:color w:val="000000"/>
                <w:sz w:val="16"/>
                <w:szCs w:val="16"/>
              </w:rPr>
            </w:pPr>
            <w:r w:rsidRPr="00442515">
              <w:rPr>
                <w:rFonts w:cs="Arial"/>
                <w:color w:val="000000"/>
                <w:sz w:val="16"/>
                <w:szCs w:val="16"/>
              </w:rPr>
              <w:t>82 478,4</w:t>
            </w:r>
          </w:p>
        </w:tc>
        <w:tc>
          <w:tcPr>
            <w:tcW w:w="1701" w:type="dxa"/>
            <w:shd w:val="clear" w:color="auto" w:fill="auto"/>
            <w:vAlign w:val="center"/>
            <w:hideMark/>
          </w:tcPr>
          <w:p w:rsidR="00306953" w:rsidRPr="00442515" w:rsidRDefault="00306953" w:rsidP="00306953">
            <w:pPr>
              <w:spacing w:after="0" w:line="240" w:lineRule="auto"/>
              <w:jc w:val="center"/>
              <w:rPr>
                <w:rFonts w:cs="Arial"/>
                <w:color w:val="000000"/>
                <w:sz w:val="16"/>
                <w:szCs w:val="16"/>
              </w:rPr>
            </w:pPr>
            <w:r w:rsidRPr="00442515">
              <w:rPr>
                <w:rFonts w:cs="Arial"/>
                <w:color w:val="000000"/>
                <w:sz w:val="16"/>
                <w:szCs w:val="16"/>
              </w:rPr>
              <w:t>25 251 659,2</w:t>
            </w:r>
          </w:p>
        </w:tc>
        <w:tc>
          <w:tcPr>
            <w:tcW w:w="1843" w:type="dxa"/>
            <w:shd w:val="clear" w:color="auto" w:fill="auto"/>
            <w:vAlign w:val="center"/>
            <w:hideMark/>
          </w:tcPr>
          <w:p w:rsidR="00306953" w:rsidRPr="00442515" w:rsidRDefault="00306953" w:rsidP="00306953">
            <w:pPr>
              <w:spacing w:after="0" w:line="240" w:lineRule="auto"/>
              <w:jc w:val="center"/>
              <w:rPr>
                <w:rFonts w:cs="Arial"/>
                <w:color w:val="000000"/>
                <w:sz w:val="16"/>
                <w:szCs w:val="16"/>
              </w:rPr>
            </w:pPr>
            <w:r w:rsidRPr="00442515">
              <w:rPr>
                <w:rFonts w:cs="Arial"/>
                <w:color w:val="000000"/>
                <w:sz w:val="16"/>
                <w:szCs w:val="16"/>
              </w:rPr>
              <w:t>25 513</w:t>
            </w:r>
          </w:p>
        </w:tc>
      </w:tr>
      <w:tr w:rsidR="00306953" w:rsidRPr="00442515" w:rsidTr="00CC4525">
        <w:trPr>
          <w:trHeight w:val="300"/>
        </w:trPr>
        <w:tc>
          <w:tcPr>
            <w:tcW w:w="3134" w:type="dxa"/>
            <w:shd w:val="clear" w:color="auto" w:fill="auto"/>
            <w:vAlign w:val="center"/>
            <w:hideMark/>
          </w:tcPr>
          <w:p w:rsidR="00306953" w:rsidRPr="00442515" w:rsidRDefault="00306953" w:rsidP="00306953">
            <w:pPr>
              <w:keepNext/>
              <w:spacing w:after="0" w:line="240" w:lineRule="auto"/>
              <w:rPr>
                <w:rFonts w:cs="Arial"/>
                <w:color w:val="000000"/>
                <w:sz w:val="16"/>
                <w:szCs w:val="16"/>
              </w:rPr>
            </w:pPr>
            <w:r w:rsidRPr="00442515">
              <w:rPr>
                <w:rFonts w:cs="Arial"/>
                <w:color w:val="000000"/>
                <w:sz w:val="16"/>
                <w:szCs w:val="16"/>
              </w:rPr>
              <w:t>střední vzdělávání, včetně konzervatoří</w:t>
            </w:r>
          </w:p>
        </w:tc>
        <w:tc>
          <w:tcPr>
            <w:tcW w:w="1701" w:type="dxa"/>
            <w:shd w:val="clear" w:color="auto" w:fill="auto"/>
            <w:vAlign w:val="center"/>
            <w:hideMark/>
          </w:tcPr>
          <w:p w:rsidR="00306953" w:rsidRPr="00442515" w:rsidRDefault="00306953" w:rsidP="00306953">
            <w:pPr>
              <w:spacing w:after="0" w:line="240" w:lineRule="auto"/>
              <w:jc w:val="center"/>
              <w:rPr>
                <w:rFonts w:cs="Arial"/>
                <w:color w:val="000000"/>
                <w:sz w:val="16"/>
                <w:szCs w:val="16"/>
              </w:rPr>
            </w:pPr>
            <w:r w:rsidRPr="00442515">
              <w:rPr>
                <w:rFonts w:cs="Arial"/>
                <w:color w:val="000000"/>
                <w:sz w:val="16"/>
                <w:szCs w:val="16"/>
              </w:rPr>
              <w:t>50 960,0</w:t>
            </w:r>
          </w:p>
        </w:tc>
        <w:tc>
          <w:tcPr>
            <w:tcW w:w="1701" w:type="dxa"/>
            <w:shd w:val="clear" w:color="auto" w:fill="auto"/>
            <w:vAlign w:val="center"/>
            <w:hideMark/>
          </w:tcPr>
          <w:p w:rsidR="00306953" w:rsidRPr="00442515" w:rsidRDefault="00306953" w:rsidP="00306953">
            <w:pPr>
              <w:spacing w:after="0" w:line="240" w:lineRule="auto"/>
              <w:jc w:val="center"/>
              <w:rPr>
                <w:rFonts w:cs="Arial"/>
                <w:color w:val="000000"/>
                <w:sz w:val="16"/>
                <w:szCs w:val="16"/>
              </w:rPr>
            </w:pPr>
            <w:r w:rsidRPr="00442515">
              <w:rPr>
                <w:rFonts w:cs="Arial"/>
                <w:color w:val="000000"/>
                <w:sz w:val="16"/>
                <w:szCs w:val="16"/>
              </w:rPr>
              <w:t xml:space="preserve"> 16 177 586,7</w:t>
            </w:r>
          </w:p>
        </w:tc>
        <w:tc>
          <w:tcPr>
            <w:tcW w:w="1843" w:type="dxa"/>
            <w:shd w:val="clear" w:color="auto" w:fill="auto"/>
            <w:vAlign w:val="center"/>
            <w:hideMark/>
          </w:tcPr>
          <w:p w:rsidR="00306953" w:rsidRPr="00442515" w:rsidRDefault="00306953" w:rsidP="00306953">
            <w:pPr>
              <w:spacing w:after="0" w:line="240" w:lineRule="auto"/>
              <w:jc w:val="center"/>
              <w:rPr>
                <w:rFonts w:cs="Arial"/>
                <w:color w:val="000000"/>
                <w:sz w:val="16"/>
                <w:szCs w:val="16"/>
              </w:rPr>
            </w:pPr>
            <w:r w:rsidRPr="00442515">
              <w:rPr>
                <w:rFonts w:cs="Arial"/>
                <w:color w:val="000000"/>
                <w:sz w:val="16"/>
                <w:szCs w:val="16"/>
              </w:rPr>
              <w:t>26 455</w:t>
            </w:r>
          </w:p>
        </w:tc>
      </w:tr>
      <w:tr w:rsidR="00306953" w:rsidRPr="00442515" w:rsidTr="00CC4525">
        <w:trPr>
          <w:trHeight w:val="300"/>
        </w:trPr>
        <w:tc>
          <w:tcPr>
            <w:tcW w:w="3134" w:type="dxa"/>
            <w:shd w:val="clear" w:color="auto" w:fill="auto"/>
            <w:vAlign w:val="center"/>
            <w:hideMark/>
          </w:tcPr>
          <w:p w:rsidR="00306953" w:rsidRPr="00442515" w:rsidRDefault="00306953" w:rsidP="00306953">
            <w:pPr>
              <w:spacing w:after="0" w:line="240" w:lineRule="auto"/>
              <w:rPr>
                <w:rFonts w:cs="Arial"/>
                <w:color w:val="000000"/>
                <w:sz w:val="16"/>
                <w:szCs w:val="16"/>
              </w:rPr>
            </w:pPr>
            <w:r w:rsidRPr="00442515">
              <w:rPr>
                <w:rFonts w:cs="Arial"/>
                <w:color w:val="000000"/>
                <w:sz w:val="16"/>
                <w:szCs w:val="16"/>
              </w:rPr>
              <w:t>vyšší odborné školy</w:t>
            </w:r>
          </w:p>
        </w:tc>
        <w:tc>
          <w:tcPr>
            <w:tcW w:w="1701" w:type="dxa"/>
            <w:shd w:val="clear" w:color="auto" w:fill="auto"/>
            <w:vAlign w:val="center"/>
            <w:hideMark/>
          </w:tcPr>
          <w:p w:rsidR="00306953" w:rsidRPr="00442515" w:rsidRDefault="00306953" w:rsidP="00306953">
            <w:pPr>
              <w:spacing w:after="0" w:line="240" w:lineRule="auto"/>
              <w:jc w:val="center"/>
              <w:rPr>
                <w:rFonts w:cs="Arial"/>
                <w:color w:val="000000"/>
                <w:sz w:val="16"/>
                <w:szCs w:val="16"/>
              </w:rPr>
            </w:pPr>
            <w:r w:rsidRPr="00442515">
              <w:rPr>
                <w:rFonts w:cs="Arial"/>
                <w:color w:val="000000"/>
                <w:sz w:val="16"/>
                <w:szCs w:val="16"/>
              </w:rPr>
              <w:t xml:space="preserve">   1 675,5</w:t>
            </w:r>
          </w:p>
        </w:tc>
        <w:tc>
          <w:tcPr>
            <w:tcW w:w="1701" w:type="dxa"/>
            <w:shd w:val="clear" w:color="auto" w:fill="auto"/>
            <w:vAlign w:val="center"/>
            <w:hideMark/>
          </w:tcPr>
          <w:p w:rsidR="00306953" w:rsidRPr="00442515" w:rsidRDefault="00306953" w:rsidP="00306953">
            <w:pPr>
              <w:spacing w:after="0" w:line="240" w:lineRule="auto"/>
              <w:jc w:val="center"/>
              <w:rPr>
                <w:rFonts w:cs="Arial"/>
                <w:color w:val="000000"/>
                <w:sz w:val="16"/>
                <w:szCs w:val="16"/>
              </w:rPr>
            </w:pPr>
            <w:r w:rsidRPr="00442515">
              <w:rPr>
                <w:rFonts w:cs="Arial"/>
                <w:color w:val="000000"/>
                <w:sz w:val="16"/>
                <w:szCs w:val="16"/>
              </w:rPr>
              <w:t xml:space="preserve">      560 859,5</w:t>
            </w:r>
          </w:p>
        </w:tc>
        <w:tc>
          <w:tcPr>
            <w:tcW w:w="1843" w:type="dxa"/>
            <w:shd w:val="clear" w:color="auto" w:fill="auto"/>
            <w:vAlign w:val="center"/>
            <w:hideMark/>
          </w:tcPr>
          <w:p w:rsidR="00306953" w:rsidRPr="00442515" w:rsidRDefault="00306953" w:rsidP="00306953">
            <w:pPr>
              <w:spacing w:after="0" w:line="240" w:lineRule="auto"/>
              <w:jc w:val="center"/>
              <w:rPr>
                <w:rFonts w:cs="Arial"/>
                <w:color w:val="000000"/>
                <w:sz w:val="16"/>
                <w:szCs w:val="16"/>
              </w:rPr>
            </w:pPr>
            <w:r w:rsidRPr="00442515">
              <w:rPr>
                <w:rFonts w:cs="Arial"/>
                <w:color w:val="000000"/>
                <w:sz w:val="16"/>
                <w:szCs w:val="16"/>
              </w:rPr>
              <w:t>27 895</w:t>
            </w:r>
          </w:p>
        </w:tc>
      </w:tr>
      <w:tr w:rsidR="00306953" w:rsidRPr="00442515" w:rsidTr="00CC4525">
        <w:trPr>
          <w:trHeight w:val="300"/>
        </w:trPr>
        <w:tc>
          <w:tcPr>
            <w:tcW w:w="3134" w:type="dxa"/>
            <w:shd w:val="clear" w:color="auto" w:fill="auto"/>
            <w:vAlign w:val="center"/>
            <w:hideMark/>
          </w:tcPr>
          <w:p w:rsidR="00306953" w:rsidRPr="00442515" w:rsidRDefault="00306953" w:rsidP="00306953">
            <w:pPr>
              <w:spacing w:after="0" w:line="240" w:lineRule="auto"/>
              <w:rPr>
                <w:rFonts w:cs="Arial"/>
                <w:color w:val="000000"/>
                <w:sz w:val="16"/>
                <w:szCs w:val="16"/>
              </w:rPr>
            </w:pPr>
            <w:r w:rsidRPr="00442515">
              <w:rPr>
                <w:rFonts w:cs="Arial"/>
                <w:color w:val="000000"/>
                <w:sz w:val="16"/>
                <w:szCs w:val="16"/>
              </w:rPr>
              <w:t>vysoké školy</w:t>
            </w:r>
            <w:r w:rsidRPr="00442515">
              <w:rPr>
                <w:rFonts w:cs="Arial"/>
                <w:color w:val="000000"/>
                <w:sz w:val="16"/>
                <w:szCs w:val="16"/>
                <w:vertAlign w:val="superscript"/>
              </w:rPr>
              <w:t>1)</w:t>
            </w:r>
          </w:p>
        </w:tc>
        <w:tc>
          <w:tcPr>
            <w:tcW w:w="1701" w:type="dxa"/>
            <w:shd w:val="clear" w:color="auto" w:fill="auto"/>
            <w:vAlign w:val="center"/>
            <w:hideMark/>
          </w:tcPr>
          <w:p w:rsidR="00306953" w:rsidRPr="00442515" w:rsidRDefault="00306953" w:rsidP="00306953">
            <w:pPr>
              <w:spacing w:after="0" w:line="240" w:lineRule="auto"/>
              <w:jc w:val="center"/>
              <w:rPr>
                <w:rFonts w:cs="Arial"/>
                <w:color w:val="000000"/>
                <w:sz w:val="16"/>
                <w:szCs w:val="16"/>
              </w:rPr>
            </w:pPr>
            <w:r w:rsidRPr="00442515">
              <w:rPr>
                <w:rFonts w:cs="Arial"/>
                <w:color w:val="000000"/>
                <w:sz w:val="16"/>
                <w:szCs w:val="16"/>
              </w:rPr>
              <w:t>36 841,0</w:t>
            </w:r>
          </w:p>
        </w:tc>
        <w:tc>
          <w:tcPr>
            <w:tcW w:w="1701" w:type="dxa"/>
            <w:shd w:val="clear" w:color="auto" w:fill="auto"/>
            <w:vAlign w:val="center"/>
            <w:hideMark/>
          </w:tcPr>
          <w:p w:rsidR="00306953" w:rsidRPr="00442515" w:rsidRDefault="00306953" w:rsidP="00306953">
            <w:pPr>
              <w:spacing w:after="0" w:line="240" w:lineRule="auto"/>
              <w:jc w:val="center"/>
              <w:rPr>
                <w:rFonts w:cs="Arial"/>
                <w:color w:val="000000"/>
                <w:sz w:val="16"/>
                <w:szCs w:val="16"/>
              </w:rPr>
            </w:pPr>
            <w:r w:rsidRPr="00442515">
              <w:rPr>
                <w:rFonts w:cs="Arial"/>
                <w:color w:val="000000"/>
                <w:sz w:val="16"/>
                <w:szCs w:val="16"/>
              </w:rPr>
              <w:t xml:space="preserve"> 16 642 554,3</w:t>
            </w:r>
          </w:p>
        </w:tc>
        <w:tc>
          <w:tcPr>
            <w:tcW w:w="1843" w:type="dxa"/>
            <w:shd w:val="clear" w:color="auto" w:fill="auto"/>
            <w:vAlign w:val="center"/>
            <w:hideMark/>
          </w:tcPr>
          <w:p w:rsidR="00306953" w:rsidRPr="00442515" w:rsidRDefault="00306953" w:rsidP="00306953">
            <w:pPr>
              <w:spacing w:after="0" w:line="240" w:lineRule="auto"/>
              <w:jc w:val="center"/>
              <w:rPr>
                <w:rFonts w:cs="Arial"/>
                <w:color w:val="000000"/>
                <w:sz w:val="16"/>
                <w:szCs w:val="16"/>
              </w:rPr>
            </w:pPr>
            <w:r w:rsidRPr="00442515">
              <w:rPr>
                <w:rFonts w:cs="Arial"/>
                <w:color w:val="000000"/>
                <w:sz w:val="16"/>
                <w:szCs w:val="16"/>
              </w:rPr>
              <w:t>37 645</w:t>
            </w:r>
          </w:p>
        </w:tc>
      </w:tr>
      <w:tr w:rsidR="00306953" w:rsidRPr="00442515" w:rsidTr="00CC4525">
        <w:trPr>
          <w:trHeight w:val="300"/>
        </w:trPr>
        <w:tc>
          <w:tcPr>
            <w:tcW w:w="3134" w:type="dxa"/>
            <w:shd w:val="clear" w:color="auto" w:fill="auto"/>
            <w:vAlign w:val="center"/>
            <w:hideMark/>
          </w:tcPr>
          <w:p w:rsidR="00306953" w:rsidRPr="00442515" w:rsidRDefault="001A2903" w:rsidP="00306953">
            <w:pPr>
              <w:spacing w:after="0" w:line="240" w:lineRule="auto"/>
              <w:rPr>
                <w:rFonts w:cs="Arial"/>
                <w:color w:val="000000"/>
                <w:sz w:val="16"/>
                <w:szCs w:val="16"/>
              </w:rPr>
            </w:pPr>
            <w:r>
              <w:rPr>
                <w:rFonts w:cs="Arial"/>
                <w:color w:val="000000"/>
                <w:sz w:val="16"/>
                <w:szCs w:val="16"/>
              </w:rPr>
              <w:t>c</w:t>
            </w:r>
            <w:r w:rsidR="00306953" w:rsidRPr="00442515">
              <w:rPr>
                <w:rFonts w:cs="Arial"/>
                <w:color w:val="000000"/>
                <w:sz w:val="16"/>
                <w:szCs w:val="16"/>
              </w:rPr>
              <w:t>elkem za oblast školství</w:t>
            </w:r>
          </w:p>
        </w:tc>
        <w:tc>
          <w:tcPr>
            <w:tcW w:w="1701" w:type="dxa"/>
            <w:shd w:val="clear" w:color="auto" w:fill="auto"/>
            <w:vAlign w:val="center"/>
            <w:hideMark/>
          </w:tcPr>
          <w:p w:rsidR="00306953" w:rsidRPr="00442515" w:rsidRDefault="00306953" w:rsidP="00306953">
            <w:pPr>
              <w:spacing w:after="0" w:line="240" w:lineRule="auto"/>
              <w:jc w:val="center"/>
              <w:rPr>
                <w:rFonts w:cs="Arial"/>
                <w:color w:val="000000"/>
                <w:sz w:val="16"/>
                <w:szCs w:val="16"/>
              </w:rPr>
            </w:pPr>
            <w:r w:rsidRPr="00442515">
              <w:rPr>
                <w:rFonts w:cs="Arial"/>
                <w:color w:val="000000"/>
                <w:sz w:val="16"/>
                <w:szCs w:val="16"/>
              </w:rPr>
              <w:t>274 992,8</w:t>
            </w:r>
          </w:p>
        </w:tc>
        <w:tc>
          <w:tcPr>
            <w:tcW w:w="1701" w:type="dxa"/>
            <w:shd w:val="clear" w:color="auto" w:fill="auto"/>
            <w:vAlign w:val="center"/>
            <w:hideMark/>
          </w:tcPr>
          <w:p w:rsidR="00306953" w:rsidRPr="00442515" w:rsidRDefault="00306953" w:rsidP="00306953">
            <w:pPr>
              <w:spacing w:after="0" w:line="240" w:lineRule="auto"/>
              <w:jc w:val="center"/>
              <w:rPr>
                <w:rFonts w:cs="Arial"/>
                <w:color w:val="000000"/>
                <w:sz w:val="16"/>
                <w:szCs w:val="16"/>
              </w:rPr>
            </w:pPr>
            <w:r w:rsidRPr="00442515">
              <w:rPr>
                <w:rFonts w:cs="Arial"/>
                <w:color w:val="000000"/>
                <w:sz w:val="16"/>
                <w:szCs w:val="16"/>
              </w:rPr>
              <w:t xml:space="preserve">  84 067 148,2</w:t>
            </w:r>
          </w:p>
        </w:tc>
        <w:tc>
          <w:tcPr>
            <w:tcW w:w="1843" w:type="dxa"/>
            <w:shd w:val="clear" w:color="auto" w:fill="auto"/>
            <w:vAlign w:val="center"/>
            <w:hideMark/>
          </w:tcPr>
          <w:p w:rsidR="00306953" w:rsidRPr="00442515" w:rsidRDefault="00306953" w:rsidP="00306953">
            <w:pPr>
              <w:spacing w:after="0" w:line="240" w:lineRule="auto"/>
              <w:jc w:val="center"/>
              <w:rPr>
                <w:rFonts w:cs="Arial"/>
                <w:color w:val="000000"/>
                <w:sz w:val="16"/>
                <w:szCs w:val="16"/>
              </w:rPr>
            </w:pPr>
            <w:r w:rsidRPr="00442515">
              <w:rPr>
                <w:rFonts w:cs="Arial"/>
                <w:color w:val="000000"/>
                <w:sz w:val="16"/>
                <w:szCs w:val="16"/>
              </w:rPr>
              <w:t>25 476</w:t>
            </w:r>
          </w:p>
        </w:tc>
      </w:tr>
    </w:tbl>
    <w:p w:rsidR="00306953" w:rsidRPr="00306953" w:rsidRDefault="00306953" w:rsidP="00306953">
      <w:pPr>
        <w:autoSpaceDE w:val="0"/>
        <w:autoSpaceDN w:val="0"/>
        <w:adjustRightInd w:val="0"/>
        <w:spacing w:after="0" w:line="240" w:lineRule="auto"/>
        <w:jc w:val="both"/>
        <w:rPr>
          <w:rFonts w:eastAsia="ChaparralPro-Regular" w:cs="Arial"/>
          <w:sz w:val="12"/>
          <w:szCs w:val="12"/>
        </w:rPr>
      </w:pPr>
    </w:p>
    <w:p w:rsidR="00306953" w:rsidRPr="00442515" w:rsidRDefault="00306953" w:rsidP="00306953">
      <w:pPr>
        <w:autoSpaceDE w:val="0"/>
        <w:autoSpaceDN w:val="0"/>
        <w:adjustRightInd w:val="0"/>
        <w:spacing w:after="0" w:line="240" w:lineRule="auto"/>
        <w:jc w:val="both"/>
        <w:rPr>
          <w:rFonts w:eastAsia="ChaparralPro-Regular" w:cs="Arial"/>
          <w:sz w:val="16"/>
          <w:szCs w:val="16"/>
        </w:rPr>
      </w:pPr>
      <w:r w:rsidRPr="00442515">
        <w:rPr>
          <w:rFonts w:eastAsia="ChaparralPro-Regular" w:cs="Arial"/>
          <w:sz w:val="16"/>
          <w:szCs w:val="16"/>
          <w:vertAlign w:val="superscript"/>
        </w:rPr>
        <w:t>1)</w:t>
      </w:r>
      <w:r w:rsidR="00B26952">
        <w:rPr>
          <w:rFonts w:eastAsia="ChaparralPro-Regular" w:cs="Arial"/>
          <w:sz w:val="16"/>
          <w:szCs w:val="16"/>
        </w:rPr>
        <w:t xml:space="preserve"> ú</w:t>
      </w:r>
      <w:r w:rsidRPr="00442515">
        <w:rPr>
          <w:rFonts w:eastAsia="ChaparralPro-Regular" w:cs="Arial"/>
          <w:sz w:val="16"/>
          <w:szCs w:val="16"/>
        </w:rPr>
        <w:t>daje za veřejné vysoké školy, bez pracovníků kolejí, menz, vysokoškolských zemědělských statků (VŠZS) a vysokoškolských lesních statků (VŠLS)</w:t>
      </w:r>
    </w:p>
    <w:p w:rsidR="00306953" w:rsidRPr="00442515" w:rsidRDefault="00306953" w:rsidP="00306953">
      <w:pPr>
        <w:pStyle w:val="Textkomente"/>
        <w:rPr>
          <w:rFonts w:ascii="Arial" w:hAnsi="Arial" w:cs="Arial"/>
          <w:sz w:val="16"/>
          <w:szCs w:val="16"/>
        </w:rPr>
      </w:pPr>
      <w:r w:rsidRPr="00442515">
        <w:rPr>
          <w:rFonts w:ascii="Arial" w:hAnsi="Arial" w:cs="Arial"/>
          <w:sz w:val="16"/>
          <w:szCs w:val="16"/>
        </w:rPr>
        <w:t xml:space="preserve">OON = ostatní osobní náklady, OPPP = ostatní platby za provedenou práci </w:t>
      </w:r>
    </w:p>
    <w:p w:rsidR="00306953" w:rsidRPr="00442515" w:rsidRDefault="00306953" w:rsidP="00306953">
      <w:pPr>
        <w:autoSpaceDE w:val="0"/>
        <w:autoSpaceDN w:val="0"/>
        <w:adjustRightInd w:val="0"/>
        <w:spacing w:after="0" w:line="240" w:lineRule="auto"/>
        <w:jc w:val="both"/>
        <w:rPr>
          <w:rFonts w:eastAsia="ChaparralPro-Regular" w:cs="Arial"/>
          <w:sz w:val="16"/>
          <w:szCs w:val="16"/>
        </w:rPr>
      </w:pPr>
      <w:r w:rsidRPr="00442515">
        <w:rPr>
          <w:rFonts w:eastAsia="ChaparralPro-Regular" w:cs="Arial"/>
          <w:sz w:val="16"/>
          <w:szCs w:val="16"/>
        </w:rPr>
        <w:t>Zdroj: MŠMT, Statistická ročenka školství (2015) - Soubor ekonomických ukazatelů (tabulka Eko C4), výběr údajů ČSÚ.</w:t>
      </w:r>
    </w:p>
    <w:p w:rsidR="00306953" w:rsidRPr="00306953" w:rsidRDefault="00306953" w:rsidP="00306953">
      <w:pPr>
        <w:autoSpaceDE w:val="0"/>
        <w:autoSpaceDN w:val="0"/>
        <w:adjustRightInd w:val="0"/>
        <w:spacing w:after="0" w:line="240" w:lineRule="auto"/>
        <w:jc w:val="both"/>
        <w:rPr>
          <w:rFonts w:eastAsia="ChaparralPro-Regular" w:cs="Arial"/>
          <w:sz w:val="12"/>
          <w:szCs w:val="12"/>
        </w:rPr>
      </w:pPr>
    </w:p>
    <w:p w:rsidR="00306953" w:rsidRPr="00442515" w:rsidRDefault="00306953" w:rsidP="00306953">
      <w:pPr>
        <w:autoSpaceDE w:val="0"/>
        <w:autoSpaceDN w:val="0"/>
        <w:adjustRightInd w:val="0"/>
        <w:spacing w:after="120" w:line="240" w:lineRule="auto"/>
        <w:jc w:val="both"/>
        <w:rPr>
          <w:rFonts w:eastAsia="ChaparralPro-Regular" w:cs="Arial"/>
          <w:szCs w:val="20"/>
        </w:rPr>
      </w:pPr>
      <w:r w:rsidRPr="00442515">
        <w:rPr>
          <w:rFonts w:eastAsia="ChaparralPro-Regular" w:cs="Arial"/>
          <w:szCs w:val="20"/>
        </w:rPr>
        <w:t xml:space="preserve">Jak je patrné, průměrná výše měsíční mzdy se v ČR v roce 2015 spolu se zvyšujícím se stupněm vzdělávání, ve kterém učitelé a další zaměstnanci institucí poskytujících formální vzdělávání působí, zvyšovala (tuto tendenci lze vysledovat i ve většině zemí OECD). </w:t>
      </w:r>
    </w:p>
    <w:p w:rsidR="00306953" w:rsidRPr="00442515" w:rsidRDefault="00306953" w:rsidP="00306953">
      <w:pPr>
        <w:autoSpaceDE w:val="0"/>
        <w:autoSpaceDN w:val="0"/>
        <w:adjustRightInd w:val="0"/>
        <w:spacing w:after="120" w:line="240" w:lineRule="auto"/>
        <w:jc w:val="both"/>
        <w:rPr>
          <w:rFonts w:eastAsia="ChaparralPro-Regular" w:cs="Arial"/>
          <w:szCs w:val="20"/>
        </w:rPr>
      </w:pPr>
      <w:r w:rsidRPr="00442515">
        <w:rPr>
          <w:rFonts w:eastAsia="ChaparralPro-Regular" w:cs="Arial"/>
          <w:szCs w:val="20"/>
        </w:rPr>
        <w:t xml:space="preserve">Další tabulka ukazuje znovu </w:t>
      </w:r>
      <w:r w:rsidRPr="00442515">
        <w:rPr>
          <w:rFonts w:eastAsia="ChaparralPro-Regular" w:cs="Arial"/>
          <w:b/>
          <w:szCs w:val="20"/>
        </w:rPr>
        <w:t>průměrnou měsíční mzdu</w:t>
      </w:r>
      <w:r w:rsidRPr="00442515">
        <w:rPr>
          <w:rFonts w:eastAsia="ChaparralPro-Regular" w:cs="Arial"/>
          <w:szCs w:val="20"/>
        </w:rPr>
        <w:t xml:space="preserve"> </w:t>
      </w:r>
      <w:r w:rsidRPr="00442515">
        <w:rPr>
          <w:rFonts w:eastAsia="ChaparralPro-Regular" w:cs="Arial"/>
          <w:b/>
          <w:szCs w:val="20"/>
        </w:rPr>
        <w:t>za všechny</w:t>
      </w:r>
      <w:r w:rsidRPr="00442515">
        <w:rPr>
          <w:rFonts w:eastAsia="ChaparralPro-Regular" w:cs="Arial"/>
          <w:szCs w:val="20"/>
        </w:rPr>
        <w:t xml:space="preserve"> </w:t>
      </w:r>
      <w:r w:rsidRPr="00442515">
        <w:rPr>
          <w:rFonts w:eastAsia="ChaparralPro-Regular" w:cs="Arial"/>
          <w:b/>
          <w:szCs w:val="20"/>
        </w:rPr>
        <w:t>zaměstnance</w:t>
      </w:r>
      <w:r w:rsidRPr="00442515">
        <w:rPr>
          <w:rFonts w:eastAsia="ChaparralPro-Regular" w:cs="Arial"/>
          <w:szCs w:val="20"/>
        </w:rPr>
        <w:t xml:space="preserve"> jednotlivých úrovní vzdělávání v roce 2015, dále průměrnou mzdu </w:t>
      </w:r>
      <w:r w:rsidRPr="00442515">
        <w:rPr>
          <w:rFonts w:eastAsia="ChaparralPro-Regular" w:cs="Arial"/>
          <w:b/>
          <w:szCs w:val="20"/>
        </w:rPr>
        <w:t>učitelů</w:t>
      </w:r>
      <w:r w:rsidRPr="00442515">
        <w:rPr>
          <w:rFonts w:eastAsia="ChaparralPro-Regular" w:cs="Arial"/>
          <w:szCs w:val="20"/>
        </w:rPr>
        <w:t xml:space="preserve"> (resp. u VŠ akademických pracovníků), průměrnou mzdu </w:t>
      </w:r>
      <w:r w:rsidRPr="00442515">
        <w:rPr>
          <w:rFonts w:eastAsia="ChaparralPro-Regular" w:cs="Arial"/>
          <w:b/>
          <w:szCs w:val="20"/>
        </w:rPr>
        <w:t>vychovatelů</w:t>
      </w:r>
      <w:r w:rsidRPr="00442515">
        <w:rPr>
          <w:rFonts w:eastAsia="ChaparralPro-Regular" w:cs="Arial"/>
          <w:szCs w:val="20"/>
        </w:rPr>
        <w:t xml:space="preserve"> (resp. u VŠ vědeckých pracovníků), jiných pedagogických pracovníků a průměrnou mzdu </w:t>
      </w:r>
      <w:r w:rsidRPr="00442515">
        <w:rPr>
          <w:rFonts w:eastAsia="ChaparralPro-Regular" w:cs="Arial"/>
          <w:b/>
          <w:szCs w:val="20"/>
        </w:rPr>
        <w:t>nepedagogických pracovníků</w:t>
      </w:r>
      <w:r w:rsidRPr="00442515">
        <w:rPr>
          <w:rFonts w:eastAsia="ChaparralPro-Regular" w:cs="Arial"/>
          <w:szCs w:val="20"/>
        </w:rPr>
        <w:t xml:space="preserve"> (resp. u VŠ „ostatních“ zaměstnanců):</w:t>
      </w:r>
    </w:p>
    <w:p w:rsidR="00306953" w:rsidRDefault="00306953" w:rsidP="00305E23">
      <w:pPr>
        <w:pStyle w:val="Textpoznpodarou"/>
        <w:jc w:val="both"/>
        <w:rPr>
          <w:rFonts w:ascii="Arial" w:eastAsia="ChaparralPro-Regular" w:hAnsi="Arial" w:cs="Arial"/>
          <w:b/>
        </w:rPr>
      </w:pPr>
      <w:r w:rsidRPr="00442515">
        <w:rPr>
          <w:rFonts w:ascii="Arial" w:eastAsia="ChaparralPro-Regular" w:hAnsi="Arial" w:cs="Arial"/>
          <w:b/>
        </w:rPr>
        <w:t>Tabulka č. 24 Průměrná</w:t>
      </w:r>
      <w:r w:rsidR="00014415">
        <w:rPr>
          <w:rFonts w:ascii="Arial" w:eastAsia="ChaparralPro-Regular" w:hAnsi="Arial" w:cs="Arial"/>
          <w:b/>
        </w:rPr>
        <w:t xml:space="preserve"> měsíční mzda zaměstnanců </w:t>
      </w:r>
      <w:r w:rsidRPr="00442515">
        <w:rPr>
          <w:rFonts w:ascii="Arial" w:eastAsia="ChaparralPro-Regular" w:hAnsi="Arial" w:cs="Arial"/>
          <w:b/>
        </w:rPr>
        <w:t>škol v ČR (v Kč)</w:t>
      </w:r>
      <w:r w:rsidR="003B0DA8">
        <w:rPr>
          <w:rFonts w:ascii="Arial" w:eastAsia="ChaparralPro-Regular" w:hAnsi="Arial" w:cs="Arial"/>
          <w:b/>
        </w:rPr>
        <w:t xml:space="preserve"> v roce 2015</w:t>
      </w:r>
    </w:p>
    <w:p w:rsidR="00305E23" w:rsidRPr="00305E23" w:rsidRDefault="00305E23" w:rsidP="00306953">
      <w:pPr>
        <w:pStyle w:val="Textpoznpodarou"/>
        <w:spacing w:after="120"/>
        <w:jc w:val="both"/>
        <w:rPr>
          <w:rFonts w:ascii="Arial" w:eastAsia="ChaparralPro-Regular" w:hAnsi="Arial" w:cs="Arial"/>
          <w:b/>
          <w:i/>
        </w:rPr>
      </w:pPr>
      <w:r>
        <w:rPr>
          <w:rFonts w:ascii="Arial" w:eastAsia="ChaparralPro-Regular" w:hAnsi="Arial" w:cs="Arial"/>
          <w:i/>
        </w:rPr>
        <w:t>m</w:t>
      </w:r>
      <w:r w:rsidRPr="00305E23">
        <w:rPr>
          <w:rFonts w:ascii="Arial" w:eastAsia="ChaparralPro-Regular" w:hAnsi="Arial" w:cs="Arial"/>
          <w:i/>
        </w:rPr>
        <w:t xml:space="preserve">zdy jsou uváděny bez </w:t>
      </w:r>
      <w:r w:rsidRPr="00305E23">
        <w:rPr>
          <w:rFonts w:ascii="Arial" w:hAnsi="Arial" w:cs="Arial"/>
          <w:i/>
        </w:rPr>
        <w:t>ostatních osobních nákladů (OON), a ostatních plateb za provedenou práci (OPPP)</w:t>
      </w:r>
    </w:p>
    <w:tbl>
      <w:tblPr>
        <w:tblW w:w="9571" w:type="dxa"/>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tblPr>
      <w:tblGrid>
        <w:gridCol w:w="1291"/>
        <w:gridCol w:w="1276"/>
        <w:gridCol w:w="1417"/>
        <w:gridCol w:w="1560"/>
        <w:gridCol w:w="1276"/>
        <w:gridCol w:w="1133"/>
        <w:gridCol w:w="1618"/>
      </w:tblGrid>
      <w:tr w:rsidR="00306953" w:rsidRPr="00306953" w:rsidTr="005354F4">
        <w:trPr>
          <w:trHeight w:val="742"/>
        </w:trPr>
        <w:tc>
          <w:tcPr>
            <w:tcW w:w="1291" w:type="dxa"/>
            <w:tcBorders>
              <w:top w:val="double" w:sz="4" w:space="0" w:color="auto"/>
              <w:bottom w:val="double" w:sz="4" w:space="0" w:color="auto"/>
            </w:tcBorders>
            <w:shd w:val="clear" w:color="auto" w:fill="FFCCCC"/>
            <w:noWrap/>
            <w:vAlign w:val="center"/>
            <w:hideMark/>
          </w:tcPr>
          <w:p w:rsidR="00306953" w:rsidRPr="00442515" w:rsidRDefault="00DC785D" w:rsidP="00306953">
            <w:pPr>
              <w:keepNext/>
              <w:spacing w:after="0" w:line="240" w:lineRule="auto"/>
              <w:jc w:val="center"/>
              <w:rPr>
                <w:rFonts w:cs="Arial"/>
                <w:b/>
                <w:bCs/>
                <w:color w:val="000000"/>
                <w:sz w:val="16"/>
                <w:szCs w:val="16"/>
              </w:rPr>
            </w:pPr>
            <w:r>
              <w:rPr>
                <w:rFonts w:cs="Arial"/>
                <w:b/>
                <w:bCs/>
                <w:color w:val="000000"/>
                <w:sz w:val="16"/>
                <w:szCs w:val="16"/>
              </w:rPr>
              <w:t>ú</w:t>
            </w:r>
            <w:r w:rsidR="00306953" w:rsidRPr="00442515">
              <w:rPr>
                <w:rFonts w:cs="Arial"/>
                <w:b/>
                <w:bCs/>
                <w:color w:val="000000"/>
                <w:sz w:val="16"/>
                <w:szCs w:val="16"/>
              </w:rPr>
              <w:t>roveň</w:t>
            </w:r>
            <w:r>
              <w:rPr>
                <w:rFonts w:cs="Arial"/>
                <w:b/>
                <w:bCs/>
                <w:color w:val="000000"/>
                <w:sz w:val="16"/>
                <w:szCs w:val="16"/>
              </w:rPr>
              <w:t xml:space="preserve"> vzdělávání</w:t>
            </w:r>
          </w:p>
        </w:tc>
        <w:tc>
          <w:tcPr>
            <w:tcW w:w="1276" w:type="dxa"/>
            <w:tcBorders>
              <w:top w:val="double" w:sz="4" w:space="0" w:color="auto"/>
              <w:bottom w:val="double" w:sz="4" w:space="0" w:color="auto"/>
            </w:tcBorders>
            <w:shd w:val="clear" w:color="auto" w:fill="FFCCCC"/>
            <w:noWrap/>
            <w:vAlign w:val="center"/>
            <w:hideMark/>
          </w:tcPr>
          <w:p w:rsidR="00306953" w:rsidRPr="00442515" w:rsidRDefault="00306953" w:rsidP="00306953">
            <w:pPr>
              <w:keepNext/>
              <w:spacing w:after="0" w:line="240" w:lineRule="auto"/>
              <w:jc w:val="center"/>
              <w:rPr>
                <w:rFonts w:cs="Arial"/>
                <w:b/>
                <w:bCs/>
                <w:color w:val="000000"/>
                <w:sz w:val="16"/>
                <w:szCs w:val="16"/>
              </w:rPr>
            </w:pPr>
            <w:r w:rsidRPr="00442515">
              <w:rPr>
                <w:rFonts w:cs="Arial"/>
                <w:b/>
                <w:bCs/>
                <w:color w:val="000000"/>
                <w:sz w:val="16"/>
                <w:szCs w:val="16"/>
              </w:rPr>
              <w:t>průměrná mzda celkem</w:t>
            </w:r>
          </w:p>
        </w:tc>
        <w:tc>
          <w:tcPr>
            <w:tcW w:w="1417" w:type="dxa"/>
            <w:tcBorders>
              <w:top w:val="double" w:sz="4" w:space="0" w:color="auto"/>
              <w:bottom w:val="double" w:sz="4" w:space="0" w:color="auto"/>
            </w:tcBorders>
            <w:shd w:val="clear" w:color="auto" w:fill="FFCCCC"/>
            <w:noWrap/>
            <w:vAlign w:val="center"/>
            <w:hideMark/>
          </w:tcPr>
          <w:p w:rsidR="00306953" w:rsidRPr="00442515" w:rsidRDefault="00306953" w:rsidP="00306953">
            <w:pPr>
              <w:keepNext/>
              <w:spacing w:after="0" w:line="240" w:lineRule="auto"/>
              <w:jc w:val="center"/>
              <w:rPr>
                <w:rFonts w:cs="Arial"/>
                <w:b/>
                <w:bCs/>
                <w:color w:val="000000"/>
                <w:sz w:val="16"/>
                <w:szCs w:val="16"/>
              </w:rPr>
            </w:pPr>
            <w:r w:rsidRPr="00442515">
              <w:rPr>
                <w:rFonts w:cs="Arial"/>
                <w:b/>
                <w:bCs/>
                <w:color w:val="000000"/>
                <w:sz w:val="16"/>
                <w:szCs w:val="16"/>
              </w:rPr>
              <w:t>průměrná mzda  učitelů</w:t>
            </w:r>
            <w:r w:rsidRPr="00442515">
              <w:rPr>
                <w:rFonts w:cs="Arial"/>
                <w:b/>
                <w:bCs/>
                <w:color w:val="000000"/>
                <w:sz w:val="16"/>
                <w:szCs w:val="16"/>
                <w:vertAlign w:val="superscript"/>
              </w:rPr>
              <w:t>1)</w:t>
            </w:r>
            <w:r w:rsidRPr="00442515">
              <w:rPr>
                <w:rFonts w:cs="Arial"/>
                <w:b/>
                <w:bCs/>
                <w:color w:val="000000"/>
                <w:sz w:val="16"/>
                <w:szCs w:val="16"/>
              </w:rPr>
              <w:t xml:space="preserve"> / u VŠ akademických pracovníků</w:t>
            </w:r>
          </w:p>
        </w:tc>
        <w:tc>
          <w:tcPr>
            <w:tcW w:w="1560" w:type="dxa"/>
            <w:tcBorders>
              <w:top w:val="double" w:sz="4" w:space="0" w:color="auto"/>
              <w:bottom w:val="double" w:sz="4" w:space="0" w:color="auto"/>
            </w:tcBorders>
            <w:shd w:val="clear" w:color="auto" w:fill="FFCCCC"/>
            <w:noWrap/>
            <w:vAlign w:val="center"/>
            <w:hideMark/>
          </w:tcPr>
          <w:p w:rsidR="00306953" w:rsidRPr="00442515" w:rsidRDefault="00306953" w:rsidP="00306953">
            <w:pPr>
              <w:keepNext/>
              <w:spacing w:after="0" w:line="240" w:lineRule="auto"/>
              <w:jc w:val="center"/>
              <w:rPr>
                <w:rFonts w:cs="Arial"/>
                <w:b/>
                <w:bCs/>
                <w:color w:val="000000"/>
                <w:sz w:val="16"/>
                <w:szCs w:val="16"/>
              </w:rPr>
            </w:pPr>
            <w:r w:rsidRPr="00442515">
              <w:rPr>
                <w:rFonts w:cs="Arial"/>
                <w:b/>
                <w:bCs/>
                <w:color w:val="000000"/>
                <w:sz w:val="16"/>
                <w:szCs w:val="16"/>
              </w:rPr>
              <w:t>průměrná mzda vychovatelů</w:t>
            </w:r>
          </w:p>
          <w:p w:rsidR="00306953" w:rsidRPr="00442515" w:rsidRDefault="00B26952" w:rsidP="00306953">
            <w:pPr>
              <w:keepNext/>
              <w:spacing w:after="0" w:line="240" w:lineRule="auto"/>
              <w:jc w:val="center"/>
              <w:rPr>
                <w:rFonts w:cs="Arial"/>
                <w:b/>
                <w:bCs/>
                <w:color w:val="000000"/>
                <w:sz w:val="16"/>
                <w:szCs w:val="16"/>
              </w:rPr>
            </w:pPr>
            <w:r>
              <w:rPr>
                <w:rFonts w:cs="Arial"/>
                <w:b/>
                <w:bCs/>
                <w:color w:val="000000"/>
                <w:sz w:val="16"/>
                <w:szCs w:val="16"/>
              </w:rPr>
              <w:t>/ u VŠ vědeckých</w:t>
            </w:r>
            <w:r w:rsidR="00306953" w:rsidRPr="00442515">
              <w:rPr>
                <w:rFonts w:cs="Arial"/>
                <w:b/>
                <w:bCs/>
                <w:color w:val="000000"/>
                <w:sz w:val="16"/>
                <w:szCs w:val="16"/>
              </w:rPr>
              <w:t xml:space="preserve"> pracovníků</w:t>
            </w:r>
          </w:p>
        </w:tc>
        <w:tc>
          <w:tcPr>
            <w:tcW w:w="1276" w:type="dxa"/>
            <w:tcBorders>
              <w:top w:val="double" w:sz="4" w:space="0" w:color="auto"/>
              <w:bottom w:val="double" w:sz="4" w:space="0" w:color="auto"/>
            </w:tcBorders>
            <w:shd w:val="clear" w:color="auto" w:fill="FFCCCC"/>
            <w:vAlign w:val="center"/>
          </w:tcPr>
          <w:p w:rsidR="00306953" w:rsidRPr="00442515" w:rsidRDefault="00306953" w:rsidP="00306953">
            <w:pPr>
              <w:keepNext/>
              <w:spacing w:after="0" w:line="240" w:lineRule="auto"/>
              <w:jc w:val="center"/>
              <w:rPr>
                <w:rFonts w:cs="Arial"/>
                <w:b/>
                <w:bCs/>
                <w:color w:val="000000"/>
                <w:sz w:val="16"/>
                <w:szCs w:val="16"/>
              </w:rPr>
            </w:pPr>
            <w:r w:rsidRPr="00442515">
              <w:rPr>
                <w:rFonts w:cs="Arial"/>
                <w:b/>
                <w:bCs/>
                <w:color w:val="000000"/>
                <w:sz w:val="16"/>
                <w:szCs w:val="16"/>
              </w:rPr>
              <w:t>průměrná mzda učitelů odborného výcviku</w:t>
            </w:r>
          </w:p>
        </w:tc>
        <w:tc>
          <w:tcPr>
            <w:tcW w:w="1133" w:type="dxa"/>
            <w:tcBorders>
              <w:top w:val="double" w:sz="4" w:space="0" w:color="auto"/>
              <w:bottom w:val="double" w:sz="4" w:space="0" w:color="auto"/>
            </w:tcBorders>
            <w:shd w:val="clear" w:color="auto" w:fill="FFCCCC"/>
            <w:vAlign w:val="center"/>
          </w:tcPr>
          <w:p w:rsidR="00306953" w:rsidRPr="00442515" w:rsidRDefault="00306953" w:rsidP="00306953">
            <w:pPr>
              <w:keepNext/>
              <w:spacing w:after="0" w:line="240" w:lineRule="auto"/>
              <w:jc w:val="center"/>
              <w:rPr>
                <w:rFonts w:cs="Arial"/>
                <w:b/>
                <w:bCs/>
                <w:color w:val="000000"/>
                <w:sz w:val="16"/>
                <w:szCs w:val="16"/>
              </w:rPr>
            </w:pPr>
            <w:r w:rsidRPr="00442515">
              <w:rPr>
                <w:rFonts w:cs="Arial"/>
                <w:b/>
                <w:bCs/>
                <w:color w:val="000000"/>
                <w:sz w:val="16"/>
                <w:szCs w:val="16"/>
              </w:rPr>
              <w:t>průměrná mzda ostatních pedagogů</w:t>
            </w:r>
          </w:p>
        </w:tc>
        <w:tc>
          <w:tcPr>
            <w:tcW w:w="1618" w:type="dxa"/>
            <w:tcBorders>
              <w:top w:val="double" w:sz="4" w:space="0" w:color="auto"/>
              <w:bottom w:val="double" w:sz="4" w:space="0" w:color="auto"/>
            </w:tcBorders>
            <w:shd w:val="clear" w:color="auto" w:fill="FFCCCC"/>
            <w:noWrap/>
            <w:vAlign w:val="center"/>
            <w:hideMark/>
          </w:tcPr>
          <w:p w:rsidR="00306953" w:rsidRPr="00442515" w:rsidRDefault="00306953" w:rsidP="00306953">
            <w:pPr>
              <w:keepNext/>
              <w:spacing w:after="0" w:line="240" w:lineRule="auto"/>
              <w:jc w:val="center"/>
              <w:rPr>
                <w:rFonts w:cs="Arial"/>
                <w:b/>
                <w:bCs/>
                <w:color w:val="000000"/>
                <w:sz w:val="16"/>
                <w:szCs w:val="16"/>
              </w:rPr>
            </w:pPr>
            <w:r w:rsidRPr="00442515">
              <w:rPr>
                <w:rFonts w:cs="Arial"/>
                <w:b/>
                <w:bCs/>
                <w:color w:val="000000"/>
                <w:sz w:val="16"/>
                <w:szCs w:val="16"/>
              </w:rPr>
              <w:t>průměrná mzda nepedagogických pracovníků</w:t>
            </w:r>
          </w:p>
          <w:p w:rsidR="00306953" w:rsidRPr="00442515" w:rsidRDefault="00306953" w:rsidP="00306953">
            <w:pPr>
              <w:keepNext/>
              <w:spacing w:after="0" w:line="240" w:lineRule="auto"/>
              <w:jc w:val="center"/>
              <w:rPr>
                <w:rFonts w:cs="Arial"/>
                <w:b/>
                <w:bCs/>
                <w:color w:val="000000"/>
                <w:sz w:val="16"/>
                <w:szCs w:val="16"/>
              </w:rPr>
            </w:pPr>
            <w:r w:rsidRPr="00442515">
              <w:rPr>
                <w:rFonts w:cs="Arial"/>
                <w:b/>
                <w:bCs/>
                <w:color w:val="000000"/>
                <w:sz w:val="16"/>
                <w:szCs w:val="16"/>
              </w:rPr>
              <w:t>/u VŠ ostatních zaměstnanců</w:t>
            </w:r>
          </w:p>
        </w:tc>
      </w:tr>
      <w:tr w:rsidR="00306953" w:rsidRPr="00306953" w:rsidTr="005354F4">
        <w:trPr>
          <w:trHeight w:val="300"/>
        </w:trPr>
        <w:tc>
          <w:tcPr>
            <w:tcW w:w="1291" w:type="dxa"/>
            <w:tcBorders>
              <w:top w:val="double" w:sz="4" w:space="0" w:color="auto"/>
            </w:tcBorders>
            <w:shd w:val="clear" w:color="auto" w:fill="auto"/>
            <w:noWrap/>
            <w:vAlign w:val="center"/>
            <w:hideMark/>
          </w:tcPr>
          <w:p w:rsidR="00306953" w:rsidRPr="00442515" w:rsidRDefault="0029469E" w:rsidP="00E062C9">
            <w:pPr>
              <w:keepNext/>
              <w:spacing w:after="0" w:line="240" w:lineRule="auto"/>
              <w:rPr>
                <w:rFonts w:cs="Arial"/>
                <w:color w:val="000000"/>
                <w:sz w:val="16"/>
                <w:szCs w:val="16"/>
              </w:rPr>
            </w:pPr>
            <w:r>
              <w:rPr>
                <w:rFonts w:cs="Arial"/>
                <w:color w:val="000000"/>
                <w:sz w:val="16"/>
                <w:szCs w:val="16"/>
              </w:rPr>
              <w:t>mateřské školy</w:t>
            </w:r>
          </w:p>
        </w:tc>
        <w:tc>
          <w:tcPr>
            <w:tcW w:w="1276" w:type="dxa"/>
            <w:tcBorders>
              <w:top w:val="double" w:sz="4" w:space="0" w:color="auto"/>
            </w:tcBorders>
            <w:shd w:val="clear" w:color="auto" w:fill="auto"/>
            <w:noWrap/>
            <w:vAlign w:val="center"/>
            <w:hideMark/>
          </w:tcPr>
          <w:p w:rsidR="00306953" w:rsidRPr="00442515" w:rsidRDefault="00306953" w:rsidP="00306953">
            <w:pPr>
              <w:keepNext/>
              <w:spacing w:after="0" w:line="240" w:lineRule="auto"/>
              <w:jc w:val="center"/>
              <w:rPr>
                <w:rFonts w:cs="Arial"/>
                <w:sz w:val="16"/>
                <w:szCs w:val="16"/>
              </w:rPr>
            </w:pPr>
            <w:r w:rsidRPr="00442515">
              <w:rPr>
                <w:rFonts w:cs="Arial"/>
                <w:sz w:val="16"/>
                <w:szCs w:val="16"/>
              </w:rPr>
              <w:t>21 298</w:t>
            </w:r>
          </w:p>
        </w:tc>
        <w:tc>
          <w:tcPr>
            <w:tcW w:w="1417" w:type="dxa"/>
            <w:tcBorders>
              <w:top w:val="double" w:sz="4" w:space="0" w:color="auto"/>
            </w:tcBorders>
            <w:shd w:val="clear" w:color="auto" w:fill="auto"/>
            <w:noWrap/>
            <w:vAlign w:val="center"/>
            <w:hideMark/>
          </w:tcPr>
          <w:p w:rsidR="00306953" w:rsidRPr="00442515" w:rsidRDefault="00306953" w:rsidP="00306953">
            <w:pPr>
              <w:keepNext/>
              <w:spacing w:after="0" w:line="240" w:lineRule="auto"/>
              <w:jc w:val="center"/>
              <w:rPr>
                <w:rFonts w:cs="Arial"/>
                <w:sz w:val="16"/>
                <w:szCs w:val="16"/>
              </w:rPr>
            </w:pPr>
            <w:r w:rsidRPr="00442515">
              <w:rPr>
                <w:rFonts w:cs="Arial"/>
                <w:sz w:val="16"/>
                <w:szCs w:val="16"/>
              </w:rPr>
              <w:t>24 108</w:t>
            </w:r>
          </w:p>
        </w:tc>
        <w:tc>
          <w:tcPr>
            <w:tcW w:w="1560" w:type="dxa"/>
            <w:tcBorders>
              <w:top w:val="double" w:sz="4" w:space="0" w:color="auto"/>
            </w:tcBorders>
            <w:shd w:val="clear" w:color="auto" w:fill="auto"/>
            <w:noWrap/>
            <w:vAlign w:val="center"/>
            <w:hideMark/>
          </w:tcPr>
          <w:p w:rsidR="00306953" w:rsidRPr="00442515" w:rsidRDefault="00306953" w:rsidP="00306953">
            <w:pPr>
              <w:keepNext/>
              <w:spacing w:after="0" w:line="240" w:lineRule="auto"/>
              <w:jc w:val="center"/>
              <w:rPr>
                <w:rFonts w:cs="Arial"/>
                <w:sz w:val="16"/>
                <w:szCs w:val="16"/>
              </w:rPr>
            </w:pPr>
            <w:r w:rsidRPr="00442515">
              <w:rPr>
                <w:rFonts w:cs="Arial"/>
                <w:sz w:val="16"/>
                <w:szCs w:val="16"/>
              </w:rPr>
              <w:t>24 829</w:t>
            </w:r>
          </w:p>
        </w:tc>
        <w:tc>
          <w:tcPr>
            <w:tcW w:w="1276" w:type="dxa"/>
            <w:tcBorders>
              <w:top w:val="double" w:sz="4" w:space="0" w:color="auto"/>
            </w:tcBorders>
            <w:vAlign w:val="center"/>
          </w:tcPr>
          <w:p w:rsidR="00306953" w:rsidRPr="00442515" w:rsidRDefault="00306953" w:rsidP="00306953">
            <w:pPr>
              <w:keepNext/>
              <w:spacing w:after="0" w:line="240" w:lineRule="auto"/>
              <w:jc w:val="center"/>
              <w:rPr>
                <w:rFonts w:cs="Arial"/>
                <w:sz w:val="16"/>
                <w:szCs w:val="16"/>
              </w:rPr>
            </w:pPr>
            <w:r w:rsidRPr="00442515">
              <w:rPr>
                <w:rFonts w:cs="Arial"/>
                <w:sz w:val="16"/>
                <w:szCs w:val="16"/>
              </w:rPr>
              <w:t>X</w:t>
            </w:r>
          </w:p>
        </w:tc>
        <w:tc>
          <w:tcPr>
            <w:tcW w:w="1133" w:type="dxa"/>
            <w:tcBorders>
              <w:top w:val="double" w:sz="4" w:space="0" w:color="auto"/>
            </w:tcBorders>
            <w:vAlign w:val="center"/>
          </w:tcPr>
          <w:p w:rsidR="00306953" w:rsidRPr="00442515" w:rsidRDefault="00306953" w:rsidP="00306953">
            <w:pPr>
              <w:keepNext/>
              <w:spacing w:after="0" w:line="240" w:lineRule="auto"/>
              <w:jc w:val="center"/>
              <w:rPr>
                <w:rFonts w:cs="Arial"/>
                <w:sz w:val="16"/>
                <w:szCs w:val="16"/>
              </w:rPr>
            </w:pPr>
            <w:r w:rsidRPr="00442515">
              <w:rPr>
                <w:rFonts w:cs="Arial"/>
                <w:sz w:val="16"/>
                <w:szCs w:val="16"/>
              </w:rPr>
              <w:t>15 693</w:t>
            </w:r>
          </w:p>
        </w:tc>
        <w:tc>
          <w:tcPr>
            <w:tcW w:w="1618" w:type="dxa"/>
            <w:tcBorders>
              <w:top w:val="double" w:sz="4" w:space="0" w:color="auto"/>
            </w:tcBorders>
            <w:shd w:val="clear" w:color="auto" w:fill="auto"/>
            <w:noWrap/>
            <w:vAlign w:val="center"/>
            <w:hideMark/>
          </w:tcPr>
          <w:p w:rsidR="00306953" w:rsidRPr="00442515" w:rsidRDefault="00306953" w:rsidP="00306953">
            <w:pPr>
              <w:keepNext/>
              <w:spacing w:after="0" w:line="240" w:lineRule="auto"/>
              <w:jc w:val="center"/>
              <w:rPr>
                <w:rFonts w:cs="Arial"/>
                <w:sz w:val="16"/>
                <w:szCs w:val="16"/>
              </w:rPr>
            </w:pPr>
            <w:r w:rsidRPr="00442515">
              <w:rPr>
                <w:rFonts w:cs="Arial"/>
                <w:sz w:val="16"/>
                <w:szCs w:val="16"/>
              </w:rPr>
              <w:t>13 018</w:t>
            </w:r>
          </w:p>
        </w:tc>
      </w:tr>
      <w:tr w:rsidR="00306953" w:rsidRPr="00306953" w:rsidTr="005354F4">
        <w:trPr>
          <w:trHeight w:val="300"/>
        </w:trPr>
        <w:tc>
          <w:tcPr>
            <w:tcW w:w="1291" w:type="dxa"/>
            <w:shd w:val="clear" w:color="auto" w:fill="auto"/>
            <w:noWrap/>
            <w:vAlign w:val="center"/>
            <w:hideMark/>
          </w:tcPr>
          <w:p w:rsidR="00306953" w:rsidRPr="00442515" w:rsidRDefault="0029469E" w:rsidP="00E062C9">
            <w:pPr>
              <w:keepNext/>
              <w:spacing w:after="0" w:line="240" w:lineRule="auto"/>
              <w:rPr>
                <w:rFonts w:cs="Arial"/>
                <w:color w:val="000000"/>
                <w:sz w:val="16"/>
                <w:szCs w:val="16"/>
              </w:rPr>
            </w:pPr>
            <w:r>
              <w:rPr>
                <w:rFonts w:cs="Arial"/>
                <w:color w:val="000000"/>
                <w:sz w:val="16"/>
                <w:szCs w:val="16"/>
              </w:rPr>
              <w:t>základní školy</w:t>
            </w:r>
          </w:p>
        </w:tc>
        <w:tc>
          <w:tcPr>
            <w:tcW w:w="1276" w:type="dxa"/>
            <w:shd w:val="clear" w:color="auto" w:fill="auto"/>
            <w:noWrap/>
            <w:vAlign w:val="center"/>
            <w:hideMark/>
          </w:tcPr>
          <w:p w:rsidR="00306953" w:rsidRPr="00442515" w:rsidRDefault="00306953" w:rsidP="00306953">
            <w:pPr>
              <w:keepNext/>
              <w:spacing w:after="0" w:line="240" w:lineRule="auto"/>
              <w:jc w:val="center"/>
              <w:rPr>
                <w:rFonts w:cs="Arial"/>
                <w:sz w:val="16"/>
                <w:szCs w:val="16"/>
              </w:rPr>
            </w:pPr>
            <w:r w:rsidRPr="00442515">
              <w:rPr>
                <w:rFonts w:cs="Arial"/>
                <w:sz w:val="16"/>
                <w:szCs w:val="16"/>
              </w:rPr>
              <w:t>25 513</w:t>
            </w:r>
          </w:p>
        </w:tc>
        <w:tc>
          <w:tcPr>
            <w:tcW w:w="1417" w:type="dxa"/>
            <w:shd w:val="clear" w:color="auto" w:fill="auto"/>
            <w:noWrap/>
            <w:vAlign w:val="center"/>
            <w:hideMark/>
          </w:tcPr>
          <w:p w:rsidR="00306953" w:rsidRPr="00442515" w:rsidRDefault="00306953" w:rsidP="00306953">
            <w:pPr>
              <w:keepNext/>
              <w:spacing w:after="0" w:line="240" w:lineRule="auto"/>
              <w:jc w:val="center"/>
              <w:rPr>
                <w:rFonts w:cs="Arial"/>
                <w:sz w:val="16"/>
                <w:szCs w:val="16"/>
              </w:rPr>
            </w:pPr>
            <w:r w:rsidRPr="00442515">
              <w:rPr>
                <w:rFonts w:cs="Arial"/>
                <w:sz w:val="16"/>
                <w:szCs w:val="16"/>
              </w:rPr>
              <w:t>29 005</w:t>
            </w:r>
          </w:p>
        </w:tc>
        <w:tc>
          <w:tcPr>
            <w:tcW w:w="1560" w:type="dxa"/>
            <w:shd w:val="clear" w:color="auto" w:fill="auto"/>
            <w:noWrap/>
            <w:vAlign w:val="center"/>
            <w:hideMark/>
          </w:tcPr>
          <w:p w:rsidR="00306953" w:rsidRPr="00442515" w:rsidRDefault="00306953" w:rsidP="00306953">
            <w:pPr>
              <w:keepNext/>
              <w:spacing w:after="0" w:line="240" w:lineRule="auto"/>
              <w:jc w:val="center"/>
              <w:rPr>
                <w:rFonts w:cs="Arial"/>
                <w:sz w:val="16"/>
                <w:szCs w:val="16"/>
              </w:rPr>
            </w:pPr>
            <w:r w:rsidRPr="00442515">
              <w:rPr>
                <w:rFonts w:cs="Arial"/>
                <w:sz w:val="16"/>
                <w:szCs w:val="16"/>
              </w:rPr>
              <w:t>22 869</w:t>
            </w:r>
          </w:p>
        </w:tc>
        <w:tc>
          <w:tcPr>
            <w:tcW w:w="1276" w:type="dxa"/>
            <w:vAlign w:val="center"/>
          </w:tcPr>
          <w:p w:rsidR="00306953" w:rsidRPr="00442515" w:rsidRDefault="00306953" w:rsidP="00306953">
            <w:pPr>
              <w:keepNext/>
              <w:spacing w:after="0" w:line="240" w:lineRule="auto"/>
              <w:jc w:val="center"/>
              <w:rPr>
                <w:rFonts w:cs="Arial"/>
                <w:sz w:val="16"/>
                <w:szCs w:val="16"/>
              </w:rPr>
            </w:pPr>
            <w:r w:rsidRPr="00442515">
              <w:rPr>
                <w:rFonts w:cs="Arial"/>
                <w:sz w:val="16"/>
                <w:szCs w:val="16"/>
              </w:rPr>
              <w:t>X</w:t>
            </w:r>
          </w:p>
        </w:tc>
        <w:tc>
          <w:tcPr>
            <w:tcW w:w="1133" w:type="dxa"/>
            <w:vAlign w:val="center"/>
          </w:tcPr>
          <w:p w:rsidR="00306953" w:rsidRPr="00442515" w:rsidRDefault="00306953" w:rsidP="00306953">
            <w:pPr>
              <w:keepNext/>
              <w:spacing w:after="0" w:line="240" w:lineRule="auto"/>
              <w:jc w:val="center"/>
              <w:rPr>
                <w:rFonts w:cs="Arial"/>
                <w:sz w:val="16"/>
                <w:szCs w:val="16"/>
              </w:rPr>
            </w:pPr>
            <w:r w:rsidRPr="00442515">
              <w:rPr>
                <w:rFonts w:cs="Arial"/>
                <w:sz w:val="16"/>
                <w:szCs w:val="16"/>
              </w:rPr>
              <w:t>17 598</w:t>
            </w:r>
          </w:p>
        </w:tc>
        <w:tc>
          <w:tcPr>
            <w:tcW w:w="1618" w:type="dxa"/>
            <w:shd w:val="clear" w:color="auto" w:fill="auto"/>
            <w:noWrap/>
            <w:vAlign w:val="center"/>
            <w:hideMark/>
          </w:tcPr>
          <w:p w:rsidR="00306953" w:rsidRPr="00442515" w:rsidRDefault="00306953" w:rsidP="00306953">
            <w:pPr>
              <w:keepNext/>
              <w:spacing w:after="0" w:line="240" w:lineRule="auto"/>
              <w:jc w:val="center"/>
              <w:rPr>
                <w:rFonts w:cs="Arial"/>
                <w:sz w:val="16"/>
                <w:szCs w:val="16"/>
              </w:rPr>
            </w:pPr>
            <w:r w:rsidRPr="00442515">
              <w:rPr>
                <w:rFonts w:cs="Arial"/>
                <w:sz w:val="16"/>
                <w:szCs w:val="16"/>
              </w:rPr>
              <w:t>15 345</w:t>
            </w:r>
          </w:p>
        </w:tc>
      </w:tr>
      <w:tr w:rsidR="00306953" w:rsidRPr="00306953" w:rsidTr="005354F4">
        <w:trPr>
          <w:trHeight w:val="300"/>
        </w:trPr>
        <w:tc>
          <w:tcPr>
            <w:tcW w:w="1291" w:type="dxa"/>
            <w:shd w:val="clear" w:color="auto" w:fill="auto"/>
            <w:noWrap/>
            <w:vAlign w:val="center"/>
            <w:hideMark/>
          </w:tcPr>
          <w:p w:rsidR="00306953" w:rsidRPr="00442515" w:rsidRDefault="0029469E" w:rsidP="00E062C9">
            <w:pPr>
              <w:keepNext/>
              <w:spacing w:after="0" w:line="240" w:lineRule="auto"/>
              <w:rPr>
                <w:rFonts w:cs="Arial"/>
                <w:color w:val="000000"/>
                <w:sz w:val="16"/>
                <w:szCs w:val="16"/>
              </w:rPr>
            </w:pPr>
            <w:r>
              <w:rPr>
                <w:rFonts w:cs="Arial"/>
                <w:color w:val="000000"/>
                <w:sz w:val="16"/>
                <w:szCs w:val="16"/>
              </w:rPr>
              <w:t>střední školy</w:t>
            </w:r>
            <w:r w:rsidR="00306953" w:rsidRPr="00442515">
              <w:rPr>
                <w:rFonts w:cs="Arial"/>
                <w:color w:val="000000"/>
                <w:sz w:val="16"/>
                <w:szCs w:val="16"/>
              </w:rPr>
              <w:t xml:space="preserve"> </w:t>
            </w:r>
            <w:r w:rsidR="00306953" w:rsidRPr="00442515">
              <w:rPr>
                <w:rFonts w:cs="Arial"/>
                <w:color w:val="000000"/>
                <w:sz w:val="16"/>
                <w:szCs w:val="16"/>
                <w:vertAlign w:val="superscript"/>
              </w:rPr>
              <w:t>2)</w:t>
            </w:r>
          </w:p>
        </w:tc>
        <w:tc>
          <w:tcPr>
            <w:tcW w:w="1276" w:type="dxa"/>
            <w:shd w:val="clear" w:color="auto" w:fill="auto"/>
            <w:noWrap/>
            <w:vAlign w:val="center"/>
            <w:hideMark/>
          </w:tcPr>
          <w:p w:rsidR="00306953" w:rsidRPr="00442515" w:rsidRDefault="00306953" w:rsidP="00306953">
            <w:pPr>
              <w:keepNext/>
              <w:spacing w:after="0" w:line="240" w:lineRule="auto"/>
              <w:jc w:val="center"/>
              <w:rPr>
                <w:rFonts w:cs="Arial"/>
                <w:sz w:val="16"/>
                <w:szCs w:val="16"/>
              </w:rPr>
            </w:pPr>
            <w:r w:rsidRPr="00442515">
              <w:rPr>
                <w:rFonts w:cs="Arial"/>
                <w:sz w:val="16"/>
                <w:szCs w:val="16"/>
              </w:rPr>
              <w:t>26 447</w:t>
            </w:r>
          </w:p>
        </w:tc>
        <w:tc>
          <w:tcPr>
            <w:tcW w:w="1417" w:type="dxa"/>
            <w:shd w:val="clear" w:color="auto" w:fill="auto"/>
            <w:noWrap/>
            <w:vAlign w:val="center"/>
            <w:hideMark/>
          </w:tcPr>
          <w:p w:rsidR="00306953" w:rsidRPr="00442515" w:rsidRDefault="00306953" w:rsidP="00306953">
            <w:pPr>
              <w:keepNext/>
              <w:spacing w:after="0" w:line="240" w:lineRule="auto"/>
              <w:jc w:val="center"/>
              <w:rPr>
                <w:rFonts w:cs="Arial"/>
                <w:sz w:val="16"/>
                <w:szCs w:val="16"/>
              </w:rPr>
            </w:pPr>
            <w:r w:rsidRPr="000E5A0E">
              <w:rPr>
                <w:rFonts w:cs="Arial"/>
                <w:sz w:val="16"/>
                <w:szCs w:val="16"/>
              </w:rPr>
              <w:t>29 568</w:t>
            </w:r>
          </w:p>
        </w:tc>
        <w:tc>
          <w:tcPr>
            <w:tcW w:w="1560" w:type="dxa"/>
            <w:shd w:val="clear" w:color="auto" w:fill="auto"/>
            <w:noWrap/>
            <w:vAlign w:val="center"/>
            <w:hideMark/>
          </w:tcPr>
          <w:p w:rsidR="00306953" w:rsidRPr="00442515" w:rsidRDefault="00306953" w:rsidP="00306953">
            <w:pPr>
              <w:keepNext/>
              <w:spacing w:after="0" w:line="240" w:lineRule="auto"/>
              <w:jc w:val="center"/>
              <w:rPr>
                <w:rFonts w:cs="Arial"/>
                <w:sz w:val="16"/>
                <w:szCs w:val="16"/>
              </w:rPr>
            </w:pPr>
            <w:r w:rsidRPr="00442515">
              <w:rPr>
                <w:rFonts w:cs="Arial"/>
                <w:sz w:val="16"/>
                <w:szCs w:val="16"/>
              </w:rPr>
              <w:t>22 040</w:t>
            </w:r>
          </w:p>
        </w:tc>
        <w:tc>
          <w:tcPr>
            <w:tcW w:w="1276" w:type="dxa"/>
            <w:vAlign w:val="center"/>
          </w:tcPr>
          <w:p w:rsidR="00306953" w:rsidRPr="00442515" w:rsidRDefault="00306953" w:rsidP="00306953">
            <w:pPr>
              <w:keepNext/>
              <w:spacing w:after="0" w:line="240" w:lineRule="auto"/>
              <w:jc w:val="center"/>
              <w:rPr>
                <w:rFonts w:cs="Arial"/>
                <w:sz w:val="16"/>
                <w:szCs w:val="16"/>
              </w:rPr>
            </w:pPr>
            <w:r w:rsidRPr="00442515">
              <w:rPr>
                <w:rFonts w:cs="Arial"/>
                <w:sz w:val="16"/>
                <w:szCs w:val="16"/>
              </w:rPr>
              <w:t>25 223</w:t>
            </w:r>
          </w:p>
        </w:tc>
        <w:tc>
          <w:tcPr>
            <w:tcW w:w="1133" w:type="dxa"/>
            <w:vAlign w:val="center"/>
          </w:tcPr>
          <w:p w:rsidR="00306953" w:rsidRPr="00442515" w:rsidRDefault="00306953" w:rsidP="00306953">
            <w:pPr>
              <w:keepNext/>
              <w:spacing w:after="0" w:line="240" w:lineRule="auto"/>
              <w:jc w:val="center"/>
              <w:rPr>
                <w:rFonts w:cs="Arial"/>
                <w:sz w:val="16"/>
                <w:szCs w:val="16"/>
              </w:rPr>
            </w:pPr>
            <w:r w:rsidRPr="00442515">
              <w:rPr>
                <w:rFonts w:cs="Arial"/>
                <w:sz w:val="16"/>
                <w:szCs w:val="16"/>
              </w:rPr>
              <w:t>20 895</w:t>
            </w:r>
          </w:p>
        </w:tc>
        <w:tc>
          <w:tcPr>
            <w:tcW w:w="1618" w:type="dxa"/>
            <w:shd w:val="clear" w:color="auto" w:fill="auto"/>
            <w:noWrap/>
            <w:vAlign w:val="center"/>
            <w:hideMark/>
          </w:tcPr>
          <w:p w:rsidR="00306953" w:rsidRPr="00442515" w:rsidRDefault="00306953" w:rsidP="00306953">
            <w:pPr>
              <w:keepNext/>
              <w:spacing w:after="0" w:line="240" w:lineRule="auto"/>
              <w:jc w:val="center"/>
              <w:rPr>
                <w:rFonts w:cs="Arial"/>
                <w:sz w:val="16"/>
                <w:szCs w:val="16"/>
              </w:rPr>
            </w:pPr>
            <w:r w:rsidRPr="00442515">
              <w:rPr>
                <w:rFonts w:cs="Arial"/>
                <w:sz w:val="16"/>
                <w:szCs w:val="16"/>
              </w:rPr>
              <w:t>18 365</w:t>
            </w:r>
          </w:p>
        </w:tc>
      </w:tr>
      <w:tr w:rsidR="00306953" w:rsidRPr="00306953" w:rsidTr="005354F4">
        <w:trPr>
          <w:trHeight w:val="300"/>
        </w:trPr>
        <w:tc>
          <w:tcPr>
            <w:tcW w:w="1291" w:type="dxa"/>
            <w:shd w:val="clear" w:color="auto" w:fill="auto"/>
            <w:noWrap/>
            <w:vAlign w:val="center"/>
            <w:hideMark/>
          </w:tcPr>
          <w:p w:rsidR="00306953" w:rsidRPr="00442515" w:rsidRDefault="0029469E" w:rsidP="00E062C9">
            <w:pPr>
              <w:keepNext/>
              <w:spacing w:after="0" w:line="240" w:lineRule="auto"/>
              <w:rPr>
                <w:rFonts w:cs="Arial"/>
                <w:color w:val="000000"/>
                <w:sz w:val="16"/>
                <w:szCs w:val="16"/>
              </w:rPr>
            </w:pPr>
            <w:r>
              <w:rPr>
                <w:rFonts w:cs="Arial"/>
                <w:color w:val="000000"/>
                <w:sz w:val="16"/>
                <w:szCs w:val="16"/>
              </w:rPr>
              <w:t>k</w:t>
            </w:r>
            <w:r w:rsidR="00306953" w:rsidRPr="00442515">
              <w:rPr>
                <w:rFonts w:cs="Arial"/>
                <w:color w:val="000000"/>
                <w:sz w:val="16"/>
                <w:szCs w:val="16"/>
              </w:rPr>
              <w:t>onzervatoře</w:t>
            </w:r>
          </w:p>
        </w:tc>
        <w:tc>
          <w:tcPr>
            <w:tcW w:w="1276" w:type="dxa"/>
            <w:shd w:val="clear" w:color="auto" w:fill="auto"/>
            <w:noWrap/>
            <w:vAlign w:val="center"/>
            <w:hideMark/>
          </w:tcPr>
          <w:p w:rsidR="00306953" w:rsidRPr="00442515" w:rsidRDefault="00306953" w:rsidP="00306953">
            <w:pPr>
              <w:keepNext/>
              <w:spacing w:after="0" w:line="240" w:lineRule="auto"/>
              <w:jc w:val="center"/>
              <w:rPr>
                <w:rFonts w:cs="Arial"/>
                <w:sz w:val="16"/>
                <w:szCs w:val="16"/>
              </w:rPr>
            </w:pPr>
            <w:r w:rsidRPr="00442515">
              <w:rPr>
                <w:rFonts w:cs="Arial"/>
                <w:sz w:val="16"/>
                <w:szCs w:val="16"/>
              </w:rPr>
              <w:t>27 444</w:t>
            </w:r>
          </w:p>
        </w:tc>
        <w:tc>
          <w:tcPr>
            <w:tcW w:w="1417" w:type="dxa"/>
            <w:shd w:val="clear" w:color="auto" w:fill="auto"/>
            <w:noWrap/>
            <w:vAlign w:val="center"/>
            <w:hideMark/>
          </w:tcPr>
          <w:p w:rsidR="00306953" w:rsidRPr="00442515" w:rsidRDefault="00306953" w:rsidP="00306953">
            <w:pPr>
              <w:keepNext/>
              <w:spacing w:after="0" w:line="240" w:lineRule="auto"/>
              <w:jc w:val="center"/>
              <w:rPr>
                <w:rFonts w:cs="Arial"/>
                <w:sz w:val="16"/>
                <w:szCs w:val="16"/>
              </w:rPr>
            </w:pPr>
            <w:r w:rsidRPr="00442515">
              <w:rPr>
                <w:rFonts w:cs="Arial"/>
                <w:sz w:val="16"/>
                <w:szCs w:val="16"/>
              </w:rPr>
              <w:t>29 01</w:t>
            </w:r>
            <w:r w:rsidR="00A4119D">
              <w:rPr>
                <w:rFonts w:cs="Arial"/>
                <w:sz w:val="16"/>
                <w:szCs w:val="16"/>
              </w:rPr>
              <w:t>9</w:t>
            </w:r>
          </w:p>
        </w:tc>
        <w:tc>
          <w:tcPr>
            <w:tcW w:w="1560" w:type="dxa"/>
            <w:shd w:val="clear" w:color="auto" w:fill="auto"/>
            <w:noWrap/>
            <w:vAlign w:val="center"/>
            <w:hideMark/>
          </w:tcPr>
          <w:p w:rsidR="00306953" w:rsidRPr="00442515" w:rsidRDefault="00306953" w:rsidP="00306953">
            <w:pPr>
              <w:keepNext/>
              <w:spacing w:after="0" w:line="240" w:lineRule="auto"/>
              <w:jc w:val="center"/>
              <w:rPr>
                <w:rFonts w:cs="Arial"/>
                <w:sz w:val="16"/>
                <w:szCs w:val="16"/>
              </w:rPr>
            </w:pPr>
            <w:r w:rsidRPr="00442515">
              <w:rPr>
                <w:rFonts w:cs="Arial"/>
                <w:sz w:val="16"/>
                <w:szCs w:val="16"/>
              </w:rPr>
              <w:t>22 569</w:t>
            </w:r>
          </w:p>
        </w:tc>
        <w:tc>
          <w:tcPr>
            <w:tcW w:w="1276" w:type="dxa"/>
            <w:vAlign w:val="center"/>
          </w:tcPr>
          <w:p w:rsidR="00306953" w:rsidRPr="00442515" w:rsidRDefault="00306953" w:rsidP="00306953">
            <w:pPr>
              <w:keepNext/>
              <w:spacing w:after="0" w:line="240" w:lineRule="auto"/>
              <w:jc w:val="center"/>
              <w:rPr>
                <w:rFonts w:cs="Arial"/>
                <w:sz w:val="16"/>
                <w:szCs w:val="16"/>
              </w:rPr>
            </w:pPr>
            <w:r w:rsidRPr="00442515">
              <w:rPr>
                <w:rFonts w:cs="Arial"/>
                <w:sz w:val="16"/>
                <w:szCs w:val="16"/>
              </w:rPr>
              <w:t>X</w:t>
            </w:r>
          </w:p>
        </w:tc>
        <w:tc>
          <w:tcPr>
            <w:tcW w:w="1133" w:type="dxa"/>
            <w:vAlign w:val="center"/>
          </w:tcPr>
          <w:p w:rsidR="00306953" w:rsidRPr="00442515" w:rsidRDefault="00306953" w:rsidP="00306953">
            <w:pPr>
              <w:keepNext/>
              <w:spacing w:after="0" w:line="240" w:lineRule="auto"/>
              <w:jc w:val="center"/>
              <w:rPr>
                <w:rFonts w:cs="Arial"/>
                <w:sz w:val="16"/>
                <w:szCs w:val="16"/>
              </w:rPr>
            </w:pPr>
            <w:r w:rsidRPr="00442515">
              <w:rPr>
                <w:rFonts w:cs="Arial"/>
                <w:sz w:val="16"/>
                <w:szCs w:val="16"/>
              </w:rPr>
              <w:t>21 761</w:t>
            </w:r>
          </w:p>
        </w:tc>
        <w:tc>
          <w:tcPr>
            <w:tcW w:w="1618" w:type="dxa"/>
            <w:shd w:val="clear" w:color="auto" w:fill="auto"/>
            <w:noWrap/>
            <w:vAlign w:val="center"/>
            <w:hideMark/>
          </w:tcPr>
          <w:p w:rsidR="00306953" w:rsidRPr="00442515" w:rsidRDefault="00306953" w:rsidP="00306953">
            <w:pPr>
              <w:keepNext/>
              <w:spacing w:after="0" w:line="240" w:lineRule="auto"/>
              <w:jc w:val="center"/>
              <w:rPr>
                <w:rFonts w:cs="Arial"/>
                <w:sz w:val="16"/>
                <w:szCs w:val="16"/>
              </w:rPr>
            </w:pPr>
            <w:r w:rsidRPr="00442515">
              <w:rPr>
                <w:rFonts w:cs="Arial"/>
                <w:sz w:val="16"/>
                <w:szCs w:val="16"/>
              </w:rPr>
              <w:t>19 932</w:t>
            </w:r>
          </w:p>
        </w:tc>
      </w:tr>
      <w:tr w:rsidR="00306953" w:rsidRPr="00306953" w:rsidTr="005354F4">
        <w:trPr>
          <w:trHeight w:val="300"/>
        </w:trPr>
        <w:tc>
          <w:tcPr>
            <w:tcW w:w="1291" w:type="dxa"/>
            <w:shd w:val="clear" w:color="auto" w:fill="auto"/>
            <w:noWrap/>
            <w:vAlign w:val="center"/>
            <w:hideMark/>
          </w:tcPr>
          <w:p w:rsidR="00306953" w:rsidRPr="00442515" w:rsidRDefault="0029469E" w:rsidP="007A5643">
            <w:pPr>
              <w:keepNext/>
              <w:spacing w:before="30" w:after="30" w:line="240" w:lineRule="auto"/>
              <w:rPr>
                <w:rFonts w:cs="Arial"/>
                <w:color w:val="000000"/>
                <w:sz w:val="16"/>
                <w:szCs w:val="16"/>
              </w:rPr>
            </w:pPr>
            <w:r>
              <w:rPr>
                <w:rFonts w:cs="Arial"/>
                <w:color w:val="000000"/>
                <w:sz w:val="16"/>
                <w:szCs w:val="16"/>
              </w:rPr>
              <w:t>vyšší odborné školy</w:t>
            </w:r>
          </w:p>
        </w:tc>
        <w:tc>
          <w:tcPr>
            <w:tcW w:w="1276" w:type="dxa"/>
            <w:shd w:val="clear" w:color="auto" w:fill="auto"/>
            <w:noWrap/>
            <w:vAlign w:val="center"/>
            <w:hideMark/>
          </w:tcPr>
          <w:p w:rsidR="00306953" w:rsidRPr="00442515" w:rsidRDefault="00306953" w:rsidP="00306953">
            <w:pPr>
              <w:keepNext/>
              <w:spacing w:after="0" w:line="240" w:lineRule="auto"/>
              <w:jc w:val="center"/>
              <w:rPr>
                <w:rFonts w:cs="Arial"/>
                <w:sz w:val="16"/>
                <w:szCs w:val="16"/>
              </w:rPr>
            </w:pPr>
            <w:r w:rsidRPr="00442515">
              <w:rPr>
                <w:rFonts w:cs="Arial"/>
                <w:sz w:val="16"/>
                <w:szCs w:val="16"/>
              </w:rPr>
              <w:t>27 895</w:t>
            </w:r>
          </w:p>
        </w:tc>
        <w:tc>
          <w:tcPr>
            <w:tcW w:w="1417" w:type="dxa"/>
            <w:shd w:val="clear" w:color="auto" w:fill="auto"/>
            <w:noWrap/>
            <w:vAlign w:val="center"/>
            <w:hideMark/>
          </w:tcPr>
          <w:p w:rsidR="00306953" w:rsidRPr="00442515" w:rsidRDefault="0017403C" w:rsidP="00306953">
            <w:pPr>
              <w:keepNext/>
              <w:spacing w:after="0" w:line="240" w:lineRule="auto"/>
              <w:jc w:val="center"/>
              <w:rPr>
                <w:rFonts w:cs="Arial"/>
                <w:sz w:val="16"/>
                <w:szCs w:val="16"/>
              </w:rPr>
            </w:pPr>
            <w:r>
              <w:rPr>
                <w:rFonts w:cs="Arial"/>
                <w:sz w:val="16"/>
                <w:szCs w:val="16"/>
              </w:rPr>
              <w:t>30 525</w:t>
            </w:r>
          </w:p>
        </w:tc>
        <w:tc>
          <w:tcPr>
            <w:tcW w:w="1560" w:type="dxa"/>
            <w:shd w:val="clear" w:color="auto" w:fill="auto"/>
            <w:noWrap/>
            <w:vAlign w:val="center"/>
            <w:hideMark/>
          </w:tcPr>
          <w:p w:rsidR="00306953" w:rsidRPr="00442515" w:rsidRDefault="00306953" w:rsidP="00306953">
            <w:pPr>
              <w:keepNext/>
              <w:spacing w:after="0" w:line="240" w:lineRule="auto"/>
              <w:jc w:val="center"/>
              <w:rPr>
                <w:rFonts w:cs="Arial"/>
                <w:sz w:val="16"/>
                <w:szCs w:val="16"/>
              </w:rPr>
            </w:pPr>
            <w:r w:rsidRPr="00442515">
              <w:rPr>
                <w:rFonts w:cs="Arial"/>
                <w:sz w:val="16"/>
                <w:szCs w:val="16"/>
              </w:rPr>
              <w:t>X</w:t>
            </w:r>
          </w:p>
        </w:tc>
        <w:tc>
          <w:tcPr>
            <w:tcW w:w="1276" w:type="dxa"/>
            <w:vAlign w:val="center"/>
          </w:tcPr>
          <w:p w:rsidR="00306953" w:rsidRPr="00442515" w:rsidRDefault="00306953" w:rsidP="00306953">
            <w:pPr>
              <w:keepNext/>
              <w:spacing w:after="0" w:line="240" w:lineRule="auto"/>
              <w:jc w:val="center"/>
              <w:rPr>
                <w:rFonts w:cs="Arial"/>
                <w:sz w:val="16"/>
                <w:szCs w:val="16"/>
              </w:rPr>
            </w:pPr>
            <w:r w:rsidRPr="00442515">
              <w:rPr>
                <w:rFonts w:cs="Arial"/>
                <w:sz w:val="16"/>
                <w:szCs w:val="16"/>
              </w:rPr>
              <w:t>X</w:t>
            </w:r>
          </w:p>
        </w:tc>
        <w:tc>
          <w:tcPr>
            <w:tcW w:w="1133" w:type="dxa"/>
            <w:vAlign w:val="center"/>
          </w:tcPr>
          <w:p w:rsidR="00306953" w:rsidRPr="00442515" w:rsidRDefault="0017403C" w:rsidP="00306953">
            <w:pPr>
              <w:keepNext/>
              <w:spacing w:after="0" w:line="240" w:lineRule="auto"/>
              <w:jc w:val="center"/>
              <w:rPr>
                <w:rFonts w:cs="Arial"/>
                <w:sz w:val="16"/>
                <w:szCs w:val="16"/>
              </w:rPr>
            </w:pPr>
            <w:r>
              <w:rPr>
                <w:rFonts w:cs="Arial"/>
                <w:sz w:val="16"/>
                <w:szCs w:val="16"/>
              </w:rPr>
              <w:t>27 912</w:t>
            </w:r>
          </w:p>
        </w:tc>
        <w:tc>
          <w:tcPr>
            <w:tcW w:w="1618" w:type="dxa"/>
            <w:shd w:val="clear" w:color="auto" w:fill="auto"/>
            <w:noWrap/>
            <w:vAlign w:val="center"/>
            <w:hideMark/>
          </w:tcPr>
          <w:p w:rsidR="00306953" w:rsidRPr="00442515" w:rsidRDefault="00306953" w:rsidP="00306953">
            <w:pPr>
              <w:keepNext/>
              <w:spacing w:after="0" w:line="240" w:lineRule="auto"/>
              <w:jc w:val="center"/>
              <w:rPr>
                <w:rFonts w:cs="Arial"/>
                <w:sz w:val="16"/>
                <w:szCs w:val="16"/>
              </w:rPr>
            </w:pPr>
            <w:r w:rsidRPr="00442515">
              <w:rPr>
                <w:rFonts w:cs="Arial"/>
                <w:sz w:val="16"/>
                <w:szCs w:val="16"/>
              </w:rPr>
              <w:t>19 749</w:t>
            </w:r>
          </w:p>
        </w:tc>
      </w:tr>
      <w:tr w:rsidR="00306953" w:rsidRPr="00306953" w:rsidTr="005354F4">
        <w:trPr>
          <w:trHeight w:val="300"/>
        </w:trPr>
        <w:tc>
          <w:tcPr>
            <w:tcW w:w="1291" w:type="dxa"/>
            <w:shd w:val="clear" w:color="auto" w:fill="auto"/>
            <w:noWrap/>
            <w:vAlign w:val="center"/>
            <w:hideMark/>
          </w:tcPr>
          <w:p w:rsidR="00306953" w:rsidRPr="00442515" w:rsidRDefault="0029469E" w:rsidP="007A5643">
            <w:pPr>
              <w:spacing w:before="30" w:after="30" w:line="240" w:lineRule="auto"/>
              <w:rPr>
                <w:rFonts w:cs="Arial"/>
                <w:color w:val="000000"/>
                <w:sz w:val="16"/>
                <w:szCs w:val="16"/>
              </w:rPr>
            </w:pPr>
            <w:r>
              <w:rPr>
                <w:rFonts w:cs="Arial"/>
                <w:color w:val="000000"/>
                <w:sz w:val="16"/>
                <w:szCs w:val="16"/>
              </w:rPr>
              <w:t>vysoké školy veřejné</w:t>
            </w:r>
            <w:r w:rsidR="00306953" w:rsidRPr="00442515">
              <w:rPr>
                <w:rFonts w:cs="Arial"/>
                <w:color w:val="000000"/>
                <w:sz w:val="16"/>
                <w:szCs w:val="16"/>
              </w:rPr>
              <w:t xml:space="preserve"> </w:t>
            </w:r>
            <w:r w:rsidR="00306953" w:rsidRPr="00442515">
              <w:rPr>
                <w:rFonts w:cs="Arial"/>
                <w:color w:val="000000"/>
                <w:sz w:val="16"/>
                <w:szCs w:val="16"/>
                <w:vertAlign w:val="superscript"/>
              </w:rPr>
              <w:t>3)</w:t>
            </w:r>
          </w:p>
        </w:tc>
        <w:tc>
          <w:tcPr>
            <w:tcW w:w="1276" w:type="dxa"/>
            <w:shd w:val="clear" w:color="auto" w:fill="auto"/>
            <w:noWrap/>
            <w:vAlign w:val="center"/>
            <w:hideMark/>
          </w:tcPr>
          <w:p w:rsidR="00306953" w:rsidRPr="00442515" w:rsidRDefault="00306953" w:rsidP="00306953">
            <w:pPr>
              <w:spacing w:after="0" w:line="240" w:lineRule="auto"/>
              <w:jc w:val="center"/>
              <w:rPr>
                <w:rFonts w:cs="Arial"/>
                <w:sz w:val="16"/>
                <w:szCs w:val="16"/>
              </w:rPr>
            </w:pPr>
            <w:r w:rsidRPr="00442515">
              <w:rPr>
                <w:rFonts w:cs="Arial"/>
                <w:sz w:val="16"/>
                <w:szCs w:val="16"/>
              </w:rPr>
              <w:t>36 324</w:t>
            </w:r>
          </w:p>
        </w:tc>
        <w:tc>
          <w:tcPr>
            <w:tcW w:w="1417" w:type="dxa"/>
            <w:shd w:val="clear" w:color="auto" w:fill="auto"/>
            <w:noWrap/>
            <w:vAlign w:val="center"/>
            <w:hideMark/>
          </w:tcPr>
          <w:p w:rsidR="00306953" w:rsidRPr="00442515" w:rsidRDefault="00306953" w:rsidP="00306953">
            <w:pPr>
              <w:spacing w:after="0" w:line="240" w:lineRule="auto"/>
              <w:jc w:val="center"/>
              <w:rPr>
                <w:rFonts w:cs="Arial"/>
                <w:sz w:val="16"/>
                <w:szCs w:val="16"/>
              </w:rPr>
            </w:pPr>
            <w:r w:rsidRPr="00442515">
              <w:rPr>
                <w:rFonts w:cs="Arial"/>
                <w:sz w:val="16"/>
                <w:szCs w:val="16"/>
              </w:rPr>
              <w:t>44 790</w:t>
            </w:r>
          </w:p>
        </w:tc>
        <w:tc>
          <w:tcPr>
            <w:tcW w:w="1560" w:type="dxa"/>
            <w:shd w:val="clear" w:color="auto" w:fill="auto"/>
            <w:noWrap/>
            <w:vAlign w:val="center"/>
            <w:hideMark/>
          </w:tcPr>
          <w:p w:rsidR="00306953" w:rsidRPr="00442515" w:rsidRDefault="00306953" w:rsidP="00306953">
            <w:pPr>
              <w:spacing w:after="0" w:line="240" w:lineRule="auto"/>
              <w:jc w:val="center"/>
              <w:rPr>
                <w:rFonts w:cs="Arial"/>
                <w:sz w:val="16"/>
                <w:szCs w:val="16"/>
              </w:rPr>
            </w:pPr>
            <w:r w:rsidRPr="00442515">
              <w:rPr>
                <w:rFonts w:cs="Arial"/>
                <w:sz w:val="16"/>
                <w:szCs w:val="16"/>
              </w:rPr>
              <w:t>40 021</w:t>
            </w:r>
          </w:p>
        </w:tc>
        <w:tc>
          <w:tcPr>
            <w:tcW w:w="1276" w:type="dxa"/>
            <w:vAlign w:val="center"/>
          </w:tcPr>
          <w:p w:rsidR="00306953" w:rsidRPr="00442515" w:rsidRDefault="00306953" w:rsidP="00306953">
            <w:pPr>
              <w:spacing w:after="0" w:line="240" w:lineRule="auto"/>
              <w:jc w:val="center"/>
              <w:rPr>
                <w:rFonts w:cs="Arial"/>
                <w:sz w:val="16"/>
                <w:szCs w:val="16"/>
              </w:rPr>
            </w:pPr>
            <w:r w:rsidRPr="00442515">
              <w:rPr>
                <w:rFonts w:cs="Arial"/>
                <w:sz w:val="16"/>
                <w:szCs w:val="16"/>
              </w:rPr>
              <w:t>X</w:t>
            </w:r>
          </w:p>
        </w:tc>
        <w:tc>
          <w:tcPr>
            <w:tcW w:w="1133" w:type="dxa"/>
            <w:vAlign w:val="center"/>
          </w:tcPr>
          <w:p w:rsidR="00306953" w:rsidRPr="00442515" w:rsidRDefault="00306953" w:rsidP="00306953">
            <w:pPr>
              <w:spacing w:after="0" w:line="240" w:lineRule="auto"/>
              <w:jc w:val="center"/>
              <w:rPr>
                <w:rFonts w:cs="Arial"/>
                <w:sz w:val="16"/>
                <w:szCs w:val="16"/>
              </w:rPr>
            </w:pPr>
            <w:r w:rsidRPr="00442515">
              <w:rPr>
                <w:rFonts w:cs="Arial"/>
                <w:sz w:val="16"/>
                <w:szCs w:val="16"/>
              </w:rPr>
              <w:t>X</w:t>
            </w:r>
          </w:p>
        </w:tc>
        <w:tc>
          <w:tcPr>
            <w:tcW w:w="1618" w:type="dxa"/>
            <w:shd w:val="clear" w:color="auto" w:fill="auto"/>
            <w:noWrap/>
            <w:vAlign w:val="center"/>
            <w:hideMark/>
          </w:tcPr>
          <w:p w:rsidR="00306953" w:rsidRPr="00442515" w:rsidRDefault="00306953" w:rsidP="00306953">
            <w:pPr>
              <w:spacing w:after="0" w:line="240" w:lineRule="auto"/>
              <w:jc w:val="center"/>
              <w:rPr>
                <w:rFonts w:cs="Arial"/>
                <w:sz w:val="16"/>
                <w:szCs w:val="16"/>
              </w:rPr>
            </w:pPr>
            <w:r w:rsidRPr="00442515">
              <w:rPr>
                <w:rFonts w:cs="Arial"/>
                <w:sz w:val="16"/>
                <w:szCs w:val="16"/>
              </w:rPr>
              <w:t>27 358</w:t>
            </w:r>
          </w:p>
        </w:tc>
      </w:tr>
    </w:tbl>
    <w:p w:rsidR="00306953" w:rsidRPr="00306953" w:rsidRDefault="00306953" w:rsidP="00306953">
      <w:pPr>
        <w:autoSpaceDE w:val="0"/>
        <w:autoSpaceDN w:val="0"/>
        <w:adjustRightInd w:val="0"/>
        <w:spacing w:after="0" w:line="240" w:lineRule="auto"/>
        <w:jc w:val="both"/>
        <w:rPr>
          <w:rFonts w:eastAsia="ChaparralPro-Regular" w:cs="Arial"/>
          <w:sz w:val="12"/>
          <w:szCs w:val="12"/>
        </w:rPr>
      </w:pPr>
    </w:p>
    <w:p w:rsidR="00306953" w:rsidRPr="00442515" w:rsidRDefault="00306953" w:rsidP="00306953">
      <w:pPr>
        <w:autoSpaceDE w:val="0"/>
        <w:autoSpaceDN w:val="0"/>
        <w:adjustRightInd w:val="0"/>
        <w:spacing w:after="0" w:line="240" w:lineRule="auto"/>
        <w:jc w:val="both"/>
        <w:rPr>
          <w:rFonts w:eastAsia="ChaparralPro-Regular" w:cs="Arial"/>
          <w:sz w:val="16"/>
          <w:szCs w:val="16"/>
        </w:rPr>
      </w:pPr>
      <w:r w:rsidRPr="00442515">
        <w:rPr>
          <w:rFonts w:eastAsia="ChaparralPro-Regular" w:cs="Arial"/>
          <w:sz w:val="16"/>
          <w:szCs w:val="16"/>
          <w:vertAlign w:val="superscript"/>
        </w:rPr>
        <w:t>1)</w:t>
      </w:r>
      <w:r w:rsidRPr="00442515">
        <w:rPr>
          <w:rFonts w:eastAsia="ChaparralPro-Regular" w:cs="Arial"/>
          <w:sz w:val="16"/>
          <w:szCs w:val="16"/>
        </w:rPr>
        <w:t xml:space="preserve"> Kategorie učitelé zahrnuje i ředitele, zástupce ředitele a výchovné poradce</w:t>
      </w:r>
      <w:r w:rsidR="00B26952">
        <w:rPr>
          <w:rFonts w:eastAsia="ChaparralPro-Regular" w:cs="Arial"/>
          <w:sz w:val="16"/>
          <w:szCs w:val="16"/>
        </w:rPr>
        <w:t>.</w:t>
      </w:r>
      <w:r w:rsidRPr="00442515">
        <w:rPr>
          <w:rFonts w:eastAsia="ChaparralPro-Regular" w:cs="Arial"/>
          <w:sz w:val="16"/>
          <w:szCs w:val="16"/>
        </w:rPr>
        <w:t xml:space="preserve"> </w:t>
      </w:r>
    </w:p>
    <w:p w:rsidR="00306953" w:rsidRPr="00442515" w:rsidRDefault="00306953" w:rsidP="00306953">
      <w:pPr>
        <w:autoSpaceDE w:val="0"/>
        <w:autoSpaceDN w:val="0"/>
        <w:adjustRightInd w:val="0"/>
        <w:spacing w:after="0" w:line="240" w:lineRule="auto"/>
        <w:jc w:val="both"/>
        <w:rPr>
          <w:rFonts w:eastAsia="ChaparralPro-Regular" w:cs="Arial"/>
          <w:sz w:val="16"/>
          <w:szCs w:val="16"/>
        </w:rPr>
      </w:pPr>
      <w:r w:rsidRPr="00442515">
        <w:rPr>
          <w:rFonts w:eastAsia="ChaparralPro-Regular" w:cs="Arial"/>
          <w:sz w:val="16"/>
          <w:szCs w:val="16"/>
          <w:vertAlign w:val="superscript"/>
        </w:rPr>
        <w:t>2)</w:t>
      </w:r>
      <w:r w:rsidRPr="00442515">
        <w:rPr>
          <w:rFonts w:eastAsia="ChaparralPro-Regular" w:cs="Arial"/>
          <w:sz w:val="16"/>
          <w:szCs w:val="16"/>
        </w:rPr>
        <w:t xml:space="preserve"> bez středisek praktického vyučování</w:t>
      </w:r>
    </w:p>
    <w:p w:rsidR="00306953" w:rsidRDefault="00306953" w:rsidP="00306953">
      <w:pPr>
        <w:autoSpaceDE w:val="0"/>
        <w:autoSpaceDN w:val="0"/>
        <w:adjustRightInd w:val="0"/>
        <w:spacing w:after="0" w:line="240" w:lineRule="auto"/>
        <w:jc w:val="both"/>
        <w:rPr>
          <w:rFonts w:eastAsia="ChaparralPro-Regular" w:cs="Arial"/>
          <w:sz w:val="16"/>
          <w:szCs w:val="16"/>
        </w:rPr>
      </w:pPr>
      <w:r w:rsidRPr="00442515">
        <w:rPr>
          <w:rFonts w:eastAsia="ChaparralPro-Regular" w:cs="Arial"/>
          <w:sz w:val="16"/>
          <w:szCs w:val="16"/>
          <w:vertAlign w:val="superscript"/>
        </w:rPr>
        <w:t>3)</w:t>
      </w:r>
      <w:r w:rsidRPr="00442515">
        <w:rPr>
          <w:rFonts w:eastAsia="ChaparralPro-Regular" w:cs="Arial"/>
          <w:sz w:val="16"/>
          <w:szCs w:val="16"/>
        </w:rPr>
        <w:t xml:space="preserve"> U VŠ tabulka obsahuje pouze údaje za veřejné VŠ včetně kolejí a menz, ovšem bez vysokoškolský</w:t>
      </w:r>
      <w:r w:rsidR="00E52654">
        <w:rPr>
          <w:rFonts w:eastAsia="ChaparralPro-Regular" w:cs="Arial"/>
          <w:sz w:val="16"/>
          <w:szCs w:val="16"/>
        </w:rPr>
        <w:t>ch zemědělských statků (VŠZS) a </w:t>
      </w:r>
      <w:r w:rsidRPr="00442515">
        <w:rPr>
          <w:rFonts w:eastAsia="ChaparralPro-Regular" w:cs="Arial"/>
          <w:sz w:val="16"/>
          <w:szCs w:val="16"/>
        </w:rPr>
        <w:t xml:space="preserve">vysokoškolských lesních statků (VŠLS). Neobsahuje údaje za soukromé </w:t>
      </w:r>
      <w:r w:rsidR="0017403C">
        <w:rPr>
          <w:rFonts w:eastAsia="ChaparralPro-Regular" w:cs="Arial"/>
          <w:sz w:val="16"/>
          <w:szCs w:val="16"/>
        </w:rPr>
        <w:t xml:space="preserve">a státní </w:t>
      </w:r>
      <w:r w:rsidRPr="00442515">
        <w:rPr>
          <w:rFonts w:eastAsia="ChaparralPro-Regular" w:cs="Arial"/>
          <w:sz w:val="16"/>
          <w:szCs w:val="16"/>
        </w:rPr>
        <w:t>VŠ.</w:t>
      </w:r>
    </w:p>
    <w:p w:rsidR="00305E23" w:rsidRPr="00442515" w:rsidRDefault="00305E23" w:rsidP="00306953">
      <w:pPr>
        <w:autoSpaceDE w:val="0"/>
        <w:autoSpaceDN w:val="0"/>
        <w:adjustRightInd w:val="0"/>
        <w:spacing w:after="0" w:line="240" w:lineRule="auto"/>
        <w:jc w:val="both"/>
        <w:rPr>
          <w:rFonts w:eastAsia="ChaparralPro-Regular" w:cs="Arial"/>
          <w:sz w:val="16"/>
          <w:szCs w:val="16"/>
        </w:rPr>
      </w:pPr>
      <w:r>
        <w:rPr>
          <w:rFonts w:eastAsia="ChaparralPro-Regular" w:cs="Arial"/>
          <w:sz w:val="16"/>
          <w:szCs w:val="16"/>
        </w:rPr>
        <w:t>X … údaj není uveden z logických důvodů</w:t>
      </w:r>
    </w:p>
    <w:p w:rsidR="00306953" w:rsidRPr="004C738C" w:rsidRDefault="00306953" w:rsidP="00306953">
      <w:pPr>
        <w:autoSpaceDE w:val="0"/>
        <w:autoSpaceDN w:val="0"/>
        <w:adjustRightInd w:val="0"/>
        <w:spacing w:after="0" w:line="240" w:lineRule="auto"/>
        <w:jc w:val="both"/>
        <w:rPr>
          <w:rFonts w:eastAsia="ChaparralPro-Regular" w:cs="Arial"/>
          <w:bCs/>
          <w:sz w:val="16"/>
          <w:szCs w:val="16"/>
        </w:rPr>
      </w:pPr>
      <w:r w:rsidRPr="00442515">
        <w:rPr>
          <w:rFonts w:eastAsia="ChaparralPro-Regular" w:cs="Arial"/>
          <w:sz w:val="16"/>
          <w:szCs w:val="16"/>
        </w:rPr>
        <w:t xml:space="preserve">Zdroj dat: </w:t>
      </w:r>
      <w:r w:rsidR="00DC690F">
        <w:rPr>
          <w:rFonts w:eastAsia="ChaparralPro-Regular" w:cs="Arial"/>
          <w:sz w:val="16"/>
          <w:szCs w:val="16"/>
        </w:rPr>
        <w:t xml:space="preserve">MŠMT, </w:t>
      </w:r>
      <w:r w:rsidR="00DC690F">
        <w:rPr>
          <w:rFonts w:eastAsia="ChaparralPro-Regular" w:cs="Arial"/>
          <w:bCs/>
          <w:sz w:val="16"/>
          <w:szCs w:val="16"/>
        </w:rPr>
        <w:t xml:space="preserve">Statistická ročenka školství </w:t>
      </w:r>
      <w:r w:rsidRPr="00442515">
        <w:rPr>
          <w:rFonts w:eastAsia="ChaparralPro-Regular" w:cs="Arial"/>
          <w:bCs/>
          <w:sz w:val="16"/>
          <w:szCs w:val="16"/>
        </w:rPr>
        <w:t xml:space="preserve">– </w:t>
      </w:r>
      <w:hyperlink r:id="rId114" w:history="1">
        <w:r w:rsidRPr="004C738C">
          <w:rPr>
            <w:rStyle w:val="Hypertextovodkaz"/>
            <w:rFonts w:eastAsia="ChaparralPro-Regular" w:cs="Arial"/>
            <w:bCs/>
            <w:sz w:val="16"/>
            <w:szCs w:val="16"/>
          </w:rPr>
          <w:t>Zaměstnanci a mzdové prostředky</w:t>
        </w:r>
      </w:hyperlink>
      <w:r w:rsidRPr="00442515">
        <w:rPr>
          <w:rFonts w:eastAsia="ChaparralPro-Regular" w:cs="Arial"/>
          <w:sz w:val="16"/>
          <w:szCs w:val="16"/>
        </w:rPr>
        <w:t xml:space="preserve"> - za MŠ (B1.1.7), ZŠ (B1.2.7), SŠ (B1.3.1.17), za konzervatoře (B1.3.2.17), za VOŠ (B1.4.7) a za VŠ (B1.6.2). Výběr údajů ČSÚ.</w:t>
      </w:r>
    </w:p>
    <w:p w:rsidR="00306953" w:rsidRPr="00E031F1" w:rsidRDefault="00306953" w:rsidP="00306953">
      <w:pPr>
        <w:autoSpaceDE w:val="0"/>
        <w:autoSpaceDN w:val="0"/>
        <w:adjustRightInd w:val="0"/>
        <w:spacing w:after="0" w:line="240" w:lineRule="auto"/>
        <w:jc w:val="both"/>
        <w:rPr>
          <w:rFonts w:eastAsia="ChaparralPro-Regular" w:cs="Arial"/>
          <w:sz w:val="16"/>
          <w:szCs w:val="16"/>
        </w:rPr>
      </w:pPr>
    </w:p>
    <w:p w:rsidR="00306953" w:rsidRPr="00306953" w:rsidRDefault="00306953" w:rsidP="00306953">
      <w:pPr>
        <w:autoSpaceDE w:val="0"/>
        <w:autoSpaceDN w:val="0"/>
        <w:adjustRightInd w:val="0"/>
        <w:spacing w:after="120" w:line="240" w:lineRule="auto"/>
        <w:jc w:val="both"/>
        <w:rPr>
          <w:rFonts w:eastAsia="ChaparralPro-Regular" w:cs="Arial"/>
        </w:rPr>
      </w:pPr>
      <w:r w:rsidRPr="00306953">
        <w:rPr>
          <w:rFonts w:eastAsia="ChaparralPro-Regular" w:cs="Arial"/>
        </w:rPr>
        <w:t xml:space="preserve">Jak je zřejmé, i </w:t>
      </w:r>
      <w:r w:rsidRPr="00306953">
        <w:rPr>
          <w:rFonts w:eastAsia="ChaparralPro-Regular" w:cs="Arial"/>
          <w:b/>
          <w:i/>
        </w:rPr>
        <w:t>průměrná měsíční mzda učitelů</w:t>
      </w:r>
      <w:r w:rsidR="00D751DB">
        <w:rPr>
          <w:rFonts w:eastAsia="ChaparralPro-Regular" w:cs="Arial"/>
        </w:rPr>
        <w:t xml:space="preserve"> má tendenci stoupat spolu</w:t>
      </w:r>
      <w:r w:rsidRPr="00306953">
        <w:rPr>
          <w:rFonts w:eastAsia="ChaparralPro-Regular" w:cs="Arial"/>
        </w:rPr>
        <w:t xml:space="preserve"> se zvyšující se úrovní vzdělávání, ve které učitelé působí, ovšem s výjimkou konzervatoří, kde byla v roce 2015 průměrná měsíční mzda učitelů shodná se mzdou učitelů působících na základních školách. Přitom výrazně vyšší než v jiných úrovních byla mzda vyučujících ve vysokém školství (zde se jedná o „akademické pracovníky“, tedy pedagogické pracovníky výzkumu a vývoje, profesory, docenty, odborné asistenty, asistenty a lektory). Též průměrná mzda vědeckých pracovníků na VŠ byla v roce 2015 vyšší než průměrný měsíční plat učitele na jakékoliv nižší úrovni vzdělávání. Co se týče </w:t>
      </w:r>
      <w:r w:rsidRPr="00306953">
        <w:rPr>
          <w:rFonts w:eastAsia="ChaparralPro-Regular" w:cs="Arial"/>
          <w:b/>
          <w:i/>
        </w:rPr>
        <w:t>průměrné měsíční mzdy</w:t>
      </w:r>
      <w:r w:rsidRPr="00306953">
        <w:rPr>
          <w:rFonts w:eastAsia="ChaparralPro-Regular" w:cs="Arial"/>
        </w:rPr>
        <w:t xml:space="preserve"> </w:t>
      </w:r>
      <w:r w:rsidRPr="00306953">
        <w:rPr>
          <w:rFonts w:eastAsia="ChaparralPro-Regular" w:cs="Arial"/>
          <w:b/>
          <w:i/>
        </w:rPr>
        <w:t>nepedagogických pracovníků</w:t>
      </w:r>
      <w:r w:rsidRPr="00306953">
        <w:rPr>
          <w:rFonts w:eastAsia="ChaparralPro-Regular" w:cs="Arial"/>
        </w:rPr>
        <w:t xml:space="preserve">, se zvyšující se úrovní vzdělávání se taktéž zvyšuje, nicméně průměrná měsíční mzda „ostatních“ zaměstnanců na VŠ je opět výrazně vyšší (více informací, resp. podrobnější informace o mzdách ve školství a členění dle různých charakteristik lze </w:t>
      </w:r>
      <w:r w:rsidRPr="00D751DB">
        <w:rPr>
          <w:rFonts w:eastAsia="ChaparralPro-Regular" w:cs="Arial"/>
        </w:rPr>
        <w:t xml:space="preserve">dohledat ve </w:t>
      </w:r>
      <w:hyperlink r:id="rId115" w:history="1">
        <w:r w:rsidR="00D751DB">
          <w:rPr>
            <w:rStyle w:val="Hypertextovodkaz"/>
            <w:rFonts w:eastAsia="ChaparralPro-Regular" w:cs="Arial"/>
          </w:rPr>
          <w:t>S</w:t>
        </w:r>
        <w:r w:rsidRPr="00D751DB">
          <w:rPr>
            <w:rStyle w:val="Hypertextovodkaz"/>
            <w:rFonts w:eastAsia="ChaparralPro-Regular" w:cs="Arial"/>
          </w:rPr>
          <w:t xml:space="preserve">tatistické ročence </w:t>
        </w:r>
        <w:r w:rsidR="00D751DB">
          <w:rPr>
            <w:rStyle w:val="Hypertextovodkaz"/>
            <w:rFonts w:eastAsia="ChaparralPro-Regular" w:cs="Arial"/>
          </w:rPr>
          <w:t xml:space="preserve">školství, </w:t>
        </w:r>
        <w:r w:rsidRPr="00D751DB">
          <w:rPr>
            <w:rStyle w:val="Hypertextovodkaz"/>
            <w:rFonts w:eastAsia="ChaparralPro-Regular" w:cs="Arial"/>
          </w:rPr>
          <w:t>MŠMT</w:t>
        </w:r>
      </w:hyperlink>
      <w:r w:rsidRPr="00306953">
        <w:rPr>
          <w:rFonts w:eastAsia="ChaparralPro-Regular" w:cs="Arial"/>
        </w:rPr>
        <w:t>).</w:t>
      </w:r>
    </w:p>
    <w:p w:rsidR="00306953" w:rsidRPr="00306953" w:rsidRDefault="00306953" w:rsidP="00306953">
      <w:pPr>
        <w:autoSpaceDE w:val="0"/>
        <w:autoSpaceDN w:val="0"/>
        <w:adjustRightInd w:val="0"/>
        <w:spacing w:after="120" w:line="240" w:lineRule="auto"/>
        <w:jc w:val="both"/>
        <w:rPr>
          <w:rFonts w:eastAsia="ChaparralPro-Regular" w:cs="Arial"/>
        </w:rPr>
      </w:pPr>
      <w:r w:rsidRPr="00306953">
        <w:rPr>
          <w:rFonts w:eastAsia="ChaparralPro-Regular" w:cs="Arial"/>
        </w:rPr>
        <w:lastRenderedPageBreak/>
        <w:t xml:space="preserve">Pokud se jedná o vývoj v čase, lze konstatovat, že od roku 2005 průměrné měsíční platy učitelů (včetně ředitelů a zástupců ředitelů, kteří mají též vyučovací povinnost, a výchovných poradců) v zařízeních předškolní výchovy, v základních školách, středních školách a vyšších odborných školách soustavně mírně rostly, pouze v roce 2010 byly nižší než v předešlém roce, tj. 2009. Pokud se jedná o platy učitelů na konzervatořích, zaznamenaly navíc pokles i v roce 2012 a v roce 2013 byly srovnatelné s předchozím rokem. V letech 2014 a 2015 pak již rostly. Obdobný vývoj v čase jako u většiny jiných úrovní lze konstatovat i u akademických pracovníků na vysokých školách – viz tabulka </w:t>
      </w:r>
      <w:r w:rsidRPr="00E031F1">
        <w:rPr>
          <w:rFonts w:eastAsia="ChaparralPro-Regular" w:cs="Arial"/>
        </w:rPr>
        <w:t>č. 25</w:t>
      </w:r>
      <w:r w:rsidRPr="00306953">
        <w:rPr>
          <w:rFonts w:eastAsia="ChaparralPro-Regular" w:cs="Arial"/>
        </w:rPr>
        <w:t xml:space="preserve">. </w:t>
      </w:r>
    </w:p>
    <w:p w:rsidR="00306953" w:rsidRPr="00306953" w:rsidRDefault="00306953" w:rsidP="00E031F1">
      <w:pPr>
        <w:keepNext/>
        <w:autoSpaceDE w:val="0"/>
        <w:autoSpaceDN w:val="0"/>
        <w:adjustRightInd w:val="0"/>
        <w:spacing w:after="120" w:line="240" w:lineRule="auto"/>
        <w:jc w:val="both"/>
        <w:rPr>
          <w:rFonts w:eastAsia="ChaparralPro-Regular" w:cs="Arial"/>
          <w:b/>
        </w:rPr>
      </w:pPr>
      <w:r w:rsidRPr="00306953">
        <w:rPr>
          <w:rFonts w:eastAsia="ChaparralPro-Regular" w:cs="Arial"/>
          <w:b/>
        </w:rPr>
        <w:t>Tabul</w:t>
      </w:r>
      <w:r w:rsidR="001D6E8F">
        <w:rPr>
          <w:rFonts w:eastAsia="ChaparralPro-Regular" w:cs="Arial"/>
          <w:b/>
        </w:rPr>
        <w:t>ka č. 25. Průměrné měsíční mzdy</w:t>
      </w:r>
      <w:r w:rsidRPr="00306953">
        <w:rPr>
          <w:rFonts w:eastAsia="ChaparralPro-Regular" w:cs="Arial"/>
          <w:b/>
        </w:rPr>
        <w:t xml:space="preserve"> učitelů</w:t>
      </w:r>
      <w:r w:rsidRPr="00306953">
        <w:rPr>
          <w:rFonts w:eastAsia="ChaparralPro-Regular" w:cs="Arial"/>
          <w:b/>
          <w:vertAlign w:val="superscript"/>
        </w:rPr>
        <w:t>1)</w:t>
      </w:r>
      <w:r w:rsidRPr="00306953">
        <w:rPr>
          <w:rFonts w:eastAsia="ChaparralPro-Regular" w:cs="Arial"/>
          <w:b/>
        </w:rPr>
        <w:t xml:space="preserve"> v běžných cenách v letech 2005 a 2008 až 2015</w:t>
      </w:r>
      <w:r w:rsidR="001D6E8F">
        <w:rPr>
          <w:rFonts w:eastAsia="ChaparralPro-Regular" w:cs="Arial"/>
          <w:b/>
        </w:rPr>
        <w:t xml:space="preserve"> (v Kč)</w:t>
      </w:r>
    </w:p>
    <w:tbl>
      <w:tblPr>
        <w:tblW w:w="9654" w:type="dxa"/>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2425"/>
        <w:gridCol w:w="709"/>
        <w:gridCol w:w="850"/>
        <w:gridCol w:w="851"/>
        <w:gridCol w:w="850"/>
        <w:gridCol w:w="709"/>
        <w:gridCol w:w="851"/>
        <w:gridCol w:w="850"/>
        <w:gridCol w:w="709"/>
        <w:gridCol w:w="850"/>
      </w:tblGrid>
      <w:tr w:rsidR="00306953" w:rsidRPr="00442515" w:rsidTr="001D6E8F">
        <w:trPr>
          <w:trHeight w:val="300"/>
        </w:trPr>
        <w:tc>
          <w:tcPr>
            <w:tcW w:w="2425" w:type="dxa"/>
            <w:tcBorders>
              <w:top w:val="double" w:sz="4" w:space="0" w:color="auto"/>
              <w:bottom w:val="double" w:sz="4" w:space="0" w:color="auto"/>
            </w:tcBorders>
            <w:shd w:val="clear" w:color="auto" w:fill="FFCCCC"/>
            <w:noWrap/>
            <w:vAlign w:val="bottom"/>
            <w:hideMark/>
          </w:tcPr>
          <w:p w:rsidR="00306953" w:rsidRPr="00442515" w:rsidRDefault="00306953" w:rsidP="00E031F1">
            <w:pPr>
              <w:keepNext/>
              <w:spacing w:after="0" w:line="240" w:lineRule="auto"/>
              <w:rPr>
                <w:rFonts w:cs="Arial"/>
                <w:b/>
                <w:bCs/>
                <w:color w:val="000000"/>
                <w:sz w:val="16"/>
                <w:szCs w:val="16"/>
              </w:rPr>
            </w:pPr>
            <w:r w:rsidRPr="00442515">
              <w:rPr>
                <w:rFonts w:cs="Arial"/>
                <w:b/>
                <w:bCs/>
                <w:color w:val="000000"/>
                <w:sz w:val="16"/>
                <w:szCs w:val="16"/>
              </w:rPr>
              <w:t> </w:t>
            </w:r>
          </w:p>
        </w:tc>
        <w:tc>
          <w:tcPr>
            <w:tcW w:w="709" w:type="dxa"/>
            <w:tcBorders>
              <w:top w:val="double" w:sz="4" w:space="0" w:color="auto"/>
              <w:bottom w:val="double" w:sz="4" w:space="0" w:color="auto"/>
            </w:tcBorders>
            <w:shd w:val="clear" w:color="auto" w:fill="FFCCCC"/>
            <w:noWrap/>
            <w:vAlign w:val="center"/>
            <w:hideMark/>
          </w:tcPr>
          <w:p w:rsidR="00306953" w:rsidRPr="00442515" w:rsidRDefault="00306953" w:rsidP="00E031F1">
            <w:pPr>
              <w:keepNext/>
              <w:spacing w:after="0" w:line="240" w:lineRule="auto"/>
              <w:jc w:val="center"/>
              <w:rPr>
                <w:rFonts w:cs="Arial"/>
                <w:b/>
                <w:bCs/>
                <w:color w:val="000000"/>
                <w:sz w:val="16"/>
                <w:szCs w:val="16"/>
              </w:rPr>
            </w:pPr>
            <w:r w:rsidRPr="00442515">
              <w:rPr>
                <w:rFonts w:cs="Arial"/>
                <w:b/>
                <w:bCs/>
                <w:color w:val="000000"/>
                <w:sz w:val="16"/>
                <w:szCs w:val="16"/>
              </w:rPr>
              <w:t>2005</w:t>
            </w:r>
          </w:p>
        </w:tc>
        <w:tc>
          <w:tcPr>
            <w:tcW w:w="850" w:type="dxa"/>
            <w:tcBorders>
              <w:top w:val="double" w:sz="4" w:space="0" w:color="auto"/>
              <w:bottom w:val="double" w:sz="4" w:space="0" w:color="auto"/>
            </w:tcBorders>
            <w:shd w:val="clear" w:color="auto" w:fill="FFCCCC"/>
            <w:noWrap/>
            <w:vAlign w:val="center"/>
            <w:hideMark/>
          </w:tcPr>
          <w:p w:rsidR="00306953" w:rsidRPr="00442515" w:rsidRDefault="00306953" w:rsidP="00E031F1">
            <w:pPr>
              <w:keepNext/>
              <w:spacing w:after="0" w:line="240" w:lineRule="auto"/>
              <w:jc w:val="center"/>
              <w:rPr>
                <w:rFonts w:cs="Arial"/>
                <w:b/>
                <w:bCs/>
                <w:color w:val="000000"/>
                <w:sz w:val="16"/>
                <w:szCs w:val="16"/>
              </w:rPr>
            </w:pPr>
            <w:r w:rsidRPr="00442515">
              <w:rPr>
                <w:rFonts w:cs="Arial"/>
                <w:b/>
                <w:bCs/>
                <w:color w:val="000000"/>
                <w:sz w:val="16"/>
                <w:szCs w:val="16"/>
              </w:rPr>
              <w:t>2008</w:t>
            </w:r>
          </w:p>
        </w:tc>
        <w:tc>
          <w:tcPr>
            <w:tcW w:w="851" w:type="dxa"/>
            <w:tcBorders>
              <w:top w:val="double" w:sz="4" w:space="0" w:color="auto"/>
              <w:bottom w:val="double" w:sz="4" w:space="0" w:color="auto"/>
            </w:tcBorders>
            <w:shd w:val="clear" w:color="auto" w:fill="FFCCCC"/>
            <w:noWrap/>
            <w:vAlign w:val="center"/>
            <w:hideMark/>
          </w:tcPr>
          <w:p w:rsidR="00306953" w:rsidRPr="00442515" w:rsidRDefault="00306953" w:rsidP="00E031F1">
            <w:pPr>
              <w:keepNext/>
              <w:spacing w:after="0" w:line="240" w:lineRule="auto"/>
              <w:jc w:val="center"/>
              <w:rPr>
                <w:rFonts w:cs="Arial"/>
                <w:b/>
                <w:bCs/>
                <w:color w:val="000000"/>
                <w:sz w:val="16"/>
                <w:szCs w:val="16"/>
              </w:rPr>
            </w:pPr>
            <w:r w:rsidRPr="00442515">
              <w:rPr>
                <w:rFonts w:cs="Arial"/>
                <w:b/>
                <w:bCs/>
                <w:color w:val="000000"/>
                <w:sz w:val="16"/>
                <w:szCs w:val="16"/>
              </w:rPr>
              <w:t>2009</w:t>
            </w:r>
          </w:p>
        </w:tc>
        <w:tc>
          <w:tcPr>
            <w:tcW w:w="850" w:type="dxa"/>
            <w:tcBorders>
              <w:top w:val="double" w:sz="4" w:space="0" w:color="auto"/>
              <w:bottom w:val="double" w:sz="4" w:space="0" w:color="auto"/>
            </w:tcBorders>
            <w:shd w:val="clear" w:color="auto" w:fill="FFCCCC"/>
            <w:noWrap/>
            <w:vAlign w:val="center"/>
            <w:hideMark/>
          </w:tcPr>
          <w:p w:rsidR="00306953" w:rsidRPr="00442515" w:rsidRDefault="00306953" w:rsidP="00E031F1">
            <w:pPr>
              <w:keepNext/>
              <w:spacing w:after="0" w:line="240" w:lineRule="auto"/>
              <w:jc w:val="center"/>
              <w:rPr>
                <w:rFonts w:cs="Arial"/>
                <w:b/>
                <w:bCs/>
                <w:color w:val="000000"/>
                <w:sz w:val="16"/>
                <w:szCs w:val="16"/>
              </w:rPr>
            </w:pPr>
            <w:r w:rsidRPr="00442515">
              <w:rPr>
                <w:rFonts w:cs="Arial"/>
                <w:b/>
                <w:bCs/>
                <w:color w:val="000000"/>
                <w:sz w:val="16"/>
                <w:szCs w:val="16"/>
              </w:rPr>
              <w:t>2010</w:t>
            </w:r>
          </w:p>
        </w:tc>
        <w:tc>
          <w:tcPr>
            <w:tcW w:w="709" w:type="dxa"/>
            <w:tcBorders>
              <w:top w:val="double" w:sz="4" w:space="0" w:color="auto"/>
              <w:bottom w:val="double" w:sz="4" w:space="0" w:color="auto"/>
            </w:tcBorders>
            <w:shd w:val="clear" w:color="auto" w:fill="FFCCCC"/>
            <w:noWrap/>
            <w:vAlign w:val="center"/>
            <w:hideMark/>
          </w:tcPr>
          <w:p w:rsidR="00306953" w:rsidRPr="00442515" w:rsidRDefault="00306953" w:rsidP="00E031F1">
            <w:pPr>
              <w:keepNext/>
              <w:spacing w:after="0" w:line="240" w:lineRule="auto"/>
              <w:jc w:val="center"/>
              <w:rPr>
                <w:rFonts w:cs="Arial"/>
                <w:b/>
                <w:bCs/>
                <w:color w:val="000000"/>
                <w:sz w:val="16"/>
                <w:szCs w:val="16"/>
              </w:rPr>
            </w:pPr>
            <w:r w:rsidRPr="00442515">
              <w:rPr>
                <w:rFonts w:cs="Arial"/>
                <w:b/>
                <w:bCs/>
                <w:color w:val="000000"/>
                <w:sz w:val="16"/>
                <w:szCs w:val="16"/>
              </w:rPr>
              <w:t>2011</w:t>
            </w:r>
          </w:p>
        </w:tc>
        <w:tc>
          <w:tcPr>
            <w:tcW w:w="851" w:type="dxa"/>
            <w:tcBorders>
              <w:top w:val="double" w:sz="4" w:space="0" w:color="auto"/>
              <w:bottom w:val="double" w:sz="4" w:space="0" w:color="auto"/>
            </w:tcBorders>
            <w:shd w:val="clear" w:color="auto" w:fill="FFCCCC"/>
            <w:noWrap/>
            <w:vAlign w:val="center"/>
            <w:hideMark/>
          </w:tcPr>
          <w:p w:rsidR="00306953" w:rsidRPr="00442515" w:rsidRDefault="00306953" w:rsidP="00E031F1">
            <w:pPr>
              <w:keepNext/>
              <w:spacing w:after="0" w:line="240" w:lineRule="auto"/>
              <w:jc w:val="center"/>
              <w:rPr>
                <w:rFonts w:cs="Arial"/>
                <w:b/>
                <w:bCs/>
                <w:color w:val="000000"/>
                <w:sz w:val="16"/>
                <w:szCs w:val="16"/>
              </w:rPr>
            </w:pPr>
            <w:r w:rsidRPr="00442515">
              <w:rPr>
                <w:rFonts w:cs="Arial"/>
                <w:b/>
                <w:bCs/>
                <w:color w:val="000000"/>
                <w:sz w:val="16"/>
                <w:szCs w:val="16"/>
              </w:rPr>
              <w:t>2012</w:t>
            </w:r>
          </w:p>
        </w:tc>
        <w:tc>
          <w:tcPr>
            <w:tcW w:w="850" w:type="dxa"/>
            <w:tcBorders>
              <w:top w:val="double" w:sz="4" w:space="0" w:color="auto"/>
              <w:bottom w:val="double" w:sz="4" w:space="0" w:color="auto"/>
            </w:tcBorders>
            <w:shd w:val="clear" w:color="auto" w:fill="FFCCCC"/>
            <w:noWrap/>
            <w:vAlign w:val="center"/>
            <w:hideMark/>
          </w:tcPr>
          <w:p w:rsidR="00306953" w:rsidRPr="00442515" w:rsidRDefault="00306953" w:rsidP="00E031F1">
            <w:pPr>
              <w:keepNext/>
              <w:spacing w:after="0" w:line="240" w:lineRule="auto"/>
              <w:jc w:val="center"/>
              <w:rPr>
                <w:rFonts w:cs="Arial"/>
                <w:b/>
                <w:bCs/>
                <w:color w:val="000000"/>
                <w:sz w:val="16"/>
                <w:szCs w:val="16"/>
              </w:rPr>
            </w:pPr>
            <w:r w:rsidRPr="00442515">
              <w:rPr>
                <w:rFonts w:cs="Arial"/>
                <w:b/>
                <w:bCs/>
                <w:color w:val="000000"/>
                <w:sz w:val="16"/>
                <w:szCs w:val="16"/>
              </w:rPr>
              <w:t>2013</w:t>
            </w:r>
          </w:p>
        </w:tc>
        <w:tc>
          <w:tcPr>
            <w:tcW w:w="709" w:type="dxa"/>
            <w:tcBorders>
              <w:top w:val="double" w:sz="4" w:space="0" w:color="auto"/>
              <w:bottom w:val="double" w:sz="4" w:space="0" w:color="auto"/>
            </w:tcBorders>
            <w:shd w:val="clear" w:color="auto" w:fill="FFCCCC"/>
            <w:noWrap/>
            <w:vAlign w:val="center"/>
            <w:hideMark/>
          </w:tcPr>
          <w:p w:rsidR="00306953" w:rsidRPr="00442515" w:rsidRDefault="00306953" w:rsidP="00E031F1">
            <w:pPr>
              <w:keepNext/>
              <w:spacing w:after="0" w:line="240" w:lineRule="auto"/>
              <w:jc w:val="center"/>
              <w:rPr>
                <w:rFonts w:cs="Arial"/>
                <w:b/>
                <w:bCs/>
                <w:color w:val="000000"/>
                <w:sz w:val="16"/>
                <w:szCs w:val="16"/>
              </w:rPr>
            </w:pPr>
            <w:r w:rsidRPr="00442515">
              <w:rPr>
                <w:rFonts w:cs="Arial"/>
                <w:b/>
                <w:bCs/>
                <w:color w:val="000000"/>
                <w:sz w:val="16"/>
                <w:szCs w:val="16"/>
              </w:rPr>
              <w:t>2014</w:t>
            </w:r>
          </w:p>
        </w:tc>
        <w:tc>
          <w:tcPr>
            <w:tcW w:w="850" w:type="dxa"/>
            <w:tcBorders>
              <w:top w:val="double" w:sz="4" w:space="0" w:color="auto"/>
              <w:bottom w:val="double" w:sz="4" w:space="0" w:color="auto"/>
            </w:tcBorders>
            <w:shd w:val="clear" w:color="auto" w:fill="FFCCCC"/>
            <w:vAlign w:val="center"/>
          </w:tcPr>
          <w:p w:rsidR="00306953" w:rsidRPr="00442515" w:rsidRDefault="00306953" w:rsidP="00E031F1">
            <w:pPr>
              <w:keepNext/>
              <w:spacing w:after="0" w:line="240" w:lineRule="auto"/>
              <w:jc w:val="center"/>
              <w:rPr>
                <w:rFonts w:cs="Arial"/>
                <w:b/>
                <w:bCs/>
                <w:color w:val="000000"/>
                <w:sz w:val="16"/>
                <w:szCs w:val="16"/>
              </w:rPr>
            </w:pPr>
            <w:r w:rsidRPr="00442515">
              <w:rPr>
                <w:rFonts w:cs="Arial"/>
                <w:b/>
                <w:bCs/>
                <w:color w:val="000000"/>
                <w:sz w:val="16"/>
                <w:szCs w:val="16"/>
              </w:rPr>
              <w:t>2015</w:t>
            </w:r>
          </w:p>
        </w:tc>
      </w:tr>
      <w:tr w:rsidR="00306953" w:rsidRPr="00442515" w:rsidTr="001D6E8F">
        <w:trPr>
          <w:trHeight w:val="300"/>
        </w:trPr>
        <w:tc>
          <w:tcPr>
            <w:tcW w:w="2425" w:type="dxa"/>
            <w:tcBorders>
              <w:top w:val="double" w:sz="4" w:space="0" w:color="auto"/>
            </w:tcBorders>
            <w:shd w:val="clear" w:color="auto" w:fill="auto"/>
            <w:noWrap/>
            <w:vAlign w:val="center"/>
            <w:hideMark/>
          </w:tcPr>
          <w:p w:rsidR="00306953" w:rsidRPr="00442515" w:rsidRDefault="00A20FBC" w:rsidP="004C55CD">
            <w:pPr>
              <w:keepNext/>
              <w:spacing w:after="0" w:line="240" w:lineRule="auto"/>
              <w:rPr>
                <w:rFonts w:cs="Arial"/>
                <w:color w:val="000000"/>
                <w:sz w:val="16"/>
                <w:szCs w:val="16"/>
              </w:rPr>
            </w:pPr>
            <w:r>
              <w:rPr>
                <w:rFonts w:cs="Arial"/>
                <w:color w:val="000000"/>
                <w:sz w:val="16"/>
                <w:szCs w:val="16"/>
              </w:rPr>
              <w:t>mateřské školy</w:t>
            </w:r>
          </w:p>
        </w:tc>
        <w:tc>
          <w:tcPr>
            <w:tcW w:w="709" w:type="dxa"/>
            <w:tcBorders>
              <w:top w:val="double" w:sz="4" w:space="0" w:color="auto"/>
            </w:tcBorders>
            <w:shd w:val="clear" w:color="auto" w:fill="auto"/>
            <w:noWrap/>
            <w:vAlign w:val="center"/>
            <w:hideMark/>
          </w:tcPr>
          <w:p w:rsidR="00306953" w:rsidRPr="00442515" w:rsidRDefault="001D6E8F" w:rsidP="004C55CD">
            <w:pPr>
              <w:keepNext/>
              <w:spacing w:after="0" w:line="240" w:lineRule="auto"/>
              <w:jc w:val="center"/>
              <w:rPr>
                <w:rFonts w:cs="Arial"/>
                <w:sz w:val="16"/>
                <w:szCs w:val="16"/>
              </w:rPr>
            </w:pPr>
            <w:r>
              <w:rPr>
                <w:rFonts w:cs="Arial"/>
                <w:sz w:val="16"/>
                <w:szCs w:val="16"/>
              </w:rPr>
              <w:t>17 209</w:t>
            </w:r>
          </w:p>
        </w:tc>
        <w:tc>
          <w:tcPr>
            <w:tcW w:w="850" w:type="dxa"/>
            <w:tcBorders>
              <w:top w:val="double" w:sz="4" w:space="0" w:color="auto"/>
            </w:tcBorders>
            <w:shd w:val="clear" w:color="auto" w:fill="auto"/>
            <w:noWrap/>
            <w:vAlign w:val="center"/>
            <w:hideMark/>
          </w:tcPr>
          <w:p w:rsidR="00306953" w:rsidRPr="00442515" w:rsidRDefault="00306953" w:rsidP="001D6E8F">
            <w:pPr>
              <w:keepNext/>
              <w:spacing w:after="0" w:line="240" w:lineRule="auto"/>
              <w:jc w:val="center"/>
              <w:rPr>
                <w:rFonts w:cs="Arial"/>
                <w:sz w:val="16"/>
                <w:szCs w:val="16"/>
              </w:rPr>
            </w:pPr>
            <w:r w:rsidRPr="00442515">
              <w:rPr>
                <w:rFonts w:cs="Arial"/>
                <w:sz w:val="16"/>
                <w:szCs w:val="16"/>
              </w:rPr>
              <w:t>19 866</w:t>
            </w:r>
          </w:p>
        </w:tc>
        <w:tc>
          <w:tcPr>
            <w:tcW w:w="851" w:type="dxa"/>
            <w:tcBorders>
              <w:top w:val="double" w:sz="4" w:space="0" w:color="auto"/>
            </w:tcBorders>
            <w:shd w:val="clear" w:color="auto" w:fill="auto"/>
            <w:noWrap/>
            <w:vAlign w:val="center"/>
            <w:hideMark/>
          </w:tcPr>
          <w:p w:rsidR="00306953" w:rsidRPr="00442515" w:rsidRDefault="001D6E8F" w:rsidP="004C55CD">
            <w:pPr>
              <w:keepNext/>
              <w:spacing w:after="0" w:line="240" w:lineRule="auto"/>
              <w:jc w:val="center"/>
              <w:rPr>
                <w:rFonts w:cs="Arial"/>
                <w:sz w:val="16"/>
                <w:szCs w:val="16"/>
              </w:rPr>
            </w:pPr>
            <w:r>
              <w:rPr>
                <w:rFonts w:cs="Arial"/>
                <w:sz w:val="16"/>
                <w:szCs w:val="16"/>
              </w:rPr>
              <w:t>21 037</w:t>
            </w:r>
          </w:p>
        </w:tc>
        <w:tc>
          <w:tcPr>
            <w:tcW w:w="850" w:type="dxa"/>
            <w:tcBorders>
              <w:top w:val="double" w:sz="4" w:space="0" w:color="auto"/>
            </w:tcBorders>
            <w:shd w:val="clear" w:color="auto" w:fill="auto"/>
            <w:noWrap/>
            <w:vAlign w:val="center"/>
            <w:hideMark/>
          </w:tcPr>
          <w:p w:rsidR="00306953" w:rsidRPr="00442515" w:rsidRDefault="00306953" w:rsidP="001D6E8F">
            <w:pPr>
              <w:keepNext/>
              <w:spacing w:after="0" w:line="240" w:lineRule="auto"/>
              <w:jc w:val="center"/>
              <w:rPr>
                <w:rFonts w:cs="Arial"/>
                <w:sz w:val="16"/>
                <w:szCs w:val="16"/>
              </w:rPr>
            </w:pPr>
            <w:r w:rsidRPr="00442515">
              <w:rPr>
                <w:rFonts w:cs="Arial"/>
                <w:sz w:val="16"/>
                <w:szCs w:val="16"/>
              </w:rPr>
              <w:t>20 299</w:t>
            </w:r>
          </w:p>
        </w:tc>
        <w:tc>
          <w:tcPr>
            <w:tcW w:w="709" w:type="dxa"/>
            <w:tcBorders>
              <w:top w:val="double" w:sz="4" w:space="0" w:color="auto"/>
            </w:tcBorders>
            <w:shd w:val="clear" w:color="auto" w:fill="auto"/>
            <w:noWrap/>
            <w:vAlign w:val="center"/>
            <w:hideMark/>
          </w:tcPr>
          <w:p w:rsidR="00306953" w:rsidRPr="00442515" w:rsidRDefault="00306953" w:rsidP="001D6E8F">
            <w:pPr>
              <w:keepNext/>
              <w:spacing w:after="0" w:line="240" w:lineRule="auto"/>
              <w:jc w:val="center"/>
              <w:rPr>
                <w:rFonts w:cs="Arial"/>
                <w:sz w:val="16"/>
                <w:szCs w:val="16"/>
              </w:rPr>
            </w:pPr>
            <w:r w:rsidRPr="00442515">
              <w:rPr>
                <w:rFonts w:cs="Arial"/>
                <w:sz w:val="16"/>
                <w:szCs w:val="16"/>
              </w:rPr>
              <w:t>21 025</w:t>
            </w:r>
          </w:p>
        </w:tc>
        <w:tc>
          <w:tcPr>
            <w:tcW w:w="851" w:type="dxa"/>
            <w:tcBorders>
              <w:top w:val="double" w:sz="4" w:space="0" w:color="auto"/>
            </w:tcBorders>
            <w:shd w:val="clear" w:color="auto" w:fill="auto"/>
            <w:noWrap/>
            <w:vAlign w:val="center"/>
            <w:hideMark/>
          </w:tcPr>
          <w:p w:rsidR="00306953" w:rsidRPr="00442515" w:rsidRDefault="00306953" w:rsidP="001D6E8F">
            <w:pPr>
              <w:keepNext/>
              <w:spacing w:after="0" w:line="240" w:lineRule="auto"/>
              <w:jc w:val="center"/>
              <w:rPr>
                <w:rFonts w:cs="Arial"/>
                <w:sz w:val="16"/>
                <w:szCs w:val="16"/>
              </w:rPr>
            </w:pPr>
            <w:r w:rsidRPr="00442515">
              <w:rPr>
                <w:rFonts w:cs="Arial"/>
                <w:sz w:val="16"/>
                <w:szCs w:val="16"/>
              </w:rPr>
              <w:t>23 327</w:t>
            </w:r>
          </w:p>
        </w:tc>
        <w:tc>
          <w:tcPr>
            <w:tcW w:w="850" w:type="dxa"/>
            <w:tcBorders>
              <w:top w:val="double" w:sz="4" w:space="0" w:color="auto"/>
            </w:tcBorders>
            <w:shd w:val="clear" w:color="auto" w:fill="auto"/>
            <w:noWrap/>
            <w:vAlign w:val="center"/>
            <w:hideMark/>
          </w:tcPr>
          <w:p w:rsidR="00306953" w:rsidRPr="00442515" w:rsidRDefault="001D6E8F" w:rsidP="004C55CD">
            <w:pPr>
              <w:keepNext/>
              <w:spacing w:after="0" w:line="240" w:lineRule="auto"/>
              <w:jc w:val="center"/>
              <w:rPr>
                <w:rFonts w:cs="Arial"/>
                <w:sz w:val="16"/>
                <w:szCs w:val="16"/>
              </w:rPr>
            </w:pPr>
            <w:r>
              <w:rPr>
                <w:rFonts w:cs="Arial"/>
                <w:sz w:val="16"/>
                <w:szCs w:val="16"/>
              </w:rPr>
              <w:t>23 399</w:t>
            </w:r>
          </w:p>
        </w:tc>
        <w:tc>
          <w:tcPr>
            <w:tcW w:w="709" w:type="dxa"/>
            <w:tcBorders>
              <w:top w:val="double" w:sz="4" w:space="0" w:color="auto"/>
            </w:tcBorders>
            <w:shd w:val="clear" w:color="auto" w:fill="auto"/>
            <w:noWrap/>
            <w:vAlign w:val="center"/>
            <w:hideMark/>
          </w:tcPr>
          <w:p w:rsidR="00306953" w:rsidRPr="00442515" w:rsidRDefault="001D6E8F" w:rsidP="004C55CD">
            <w:pPr>
              <w:keepNext/>
              <w:spacing w:after="0" w:line="240" w:lineRule="auto"/>
              <w:jc w:val="center"/>
              <w:rPr>
                <w:rFonts w:cs="Arial"/>
                <w:sz w:val="16"/>
                <w:szCs w:val="16"/>
              </w:rPr>
            </w:pPr>
            <w:r>
              <w:rPr>
                <w:rFonts w:cs="Arial"/>
                <w:sz w:val="16"/>
                <w:szCs w:val="16"/>
              </w:rPr>
              <w:t>23 720</w:t>
            </w:r>
          </w:p>
        </w:tc>
        <w:tc>
          <w:tcPr>
            <w:tcW w:w="850" w:type="dxa"/>
            <w:tcBorders>
              <w:top w:val="double" w:sz="4" w:space="0" w:color="auto"/>
            </w:tcBorders>
            <w:vAlign w:val="center"/>
          </w:tcPr>
          <w:p w:rsidR="00306953" w:rsidRPr="00442515" w:rsidRDefault="001D6E8F" w:rsidP="004C55CD">
            <w:pPr>
              <w:keepNext/>
              <w:spacing w:after="0" w:line="240" w:lineRule="auto"/>
              <w:jc w:val="center"/>
              <w:rPr>
                <w:rFonts w:cs="Arial"/>
                <w:sz w:val="16"/>
                <w:szCs w:val="16"/>
              </w:rPr>
            </w:pPr>
            <w:r>
              <w:rPr>
                <w:rFonts w:cs="Arial"/>
                <w:sz w:val="16"/>
                <w:szCs w:val="16"/>
              </w:rPr>
              <w:t>24 108</w:t>
            </w:r>
          </w:p>
        </w:tc>
      </w:tr>
      <w:tr w:rsidR="00306953" w:rsidRPr="00442515" w:rsidTr="001D6E8F">
        <w:trPr>
          <w:trHeight w:val="300"/>
        </w:trPr>
        <w:tc>
          <w:tcPr>
            <w:tcW w:w="2425" w:type="dxa"/>
            <w:shd w:val="clear" w:color="auto" w:fill="auto"/>
            <w:noWrap/>
            <w:vAlign w:val="center"/>
            <w:hideMark/>
          </w:tcPr>
          <w:p w:rsidR="00306953" w:rsidRPr="00442515" w:rsidRDefault="00306953" w:rsidP="00A20FBC">
            <w:pPr>
              <w:keepNext/>
              <w:spacing w:after="0" w:line="240" w:lineRule="auto"/>
              <w:rPr>
                <w:rFonts w:cs="Arial"/>
                <w:color w:val="000000"/>
                <w:sz w:val="16"/>
                <w:szCs w:val="16"/>
              </w:rPr>
            </w:pPr>
            <w:r w:rsidRPr="00442515">
              <w:rPr>
                <w:rFonts w:cs="Arial"/>
                <w:color w:val="000000"/>
                <w:sz w:val="16"/>
                <w:szCs w:val="16"/>
              </w:rPr>
              <w:t>základní š</w:t>
            </w:r>
            <w:r w:rsidR="00A20FBC">
              <w:rPr>
                <w:rFonts w:cs="Arial"/>
                <w:color w:val="000000"/>
                <w:sz w:val="16"/>
                <w:szCs w:val="16"/>
              </w:rPr>
              <w:t>koly</w:t>
            </w:r>
          </w:p>
        </w:tc>
        <w:tc>
          <w:tcPr>
            <w:tcW w:w="709" w:type="dxa"/>
            <w:shd w:val="clear" w:color="auto" w:fill="auto"/>
            <w:noWrap/>
            <w:vAlign w:val="center"/>
            <w:hideMark/>
          </w:tcPr>
          <w:p w:rsidR="00306953" w:rsidRPr="00442515" w:rsidRDefault="001D6E8F" w:rsidP="004C55CD">
            <w:pPr>
              <w:keepNext/>
              <w:spacing w:after="0" w:line="240" w:lineRule="auto"/>
              <w:jc w:val="center"/>
              <w:rPr>
                <w:rFonts w:cs="Arial"/>
                <w:sz w:val="16"/>
                <w:szCs w:val="16"/>
              </w:rPr>
            </w:pPr>
            <w:r>
              <w:rPr>
                <w:rFonts w:cs="Arial"/>
                <w:sz w:val="16"/>
                <w:szCs w:val="16"/>
              </w:rPr>
              <w:t>21 797</w:t>
            </w:r>
          </w:p>
        </w:tc>
        <w:tc>
          <w:tcPr>
            <w:tcW w:w="850" w:type="dxa"/>
            <w:shd w:val="clear" w:color="auto" w:fill="auto"/>
            <w:noWrap/>
            <w:vAlign w:val="center"/>
            <w:hideMark/>
          </w:tcPr>
          <w:p w:rsidR="00306953" w:rsidRPr="00442515" w:rsidRDefault="001D6E8F" w:rsidP="001D6E8F">
            <w:pPr>
              <w:keepNext/>
              <w:spacing w:after="0" w:line="240" w:lineRule="auto"/>
              <w:jc w:val="center"/>
              <w:rPr>
                <w:rFonts w:cs="Arial"/>
                <w:sz w:val="16"/>
                <w:szCs w:val="16"/>
              </w:rPr>
            </w:pPr>
            <w:r>
              <w:rPr>
                <w:rFonts w:cs="Arial"/>
                <w:sz w:val="16"/>
                <w:szCs w:val="16"/>
              </w:rPr>
              <w:t>25 209</w:t>
            </w:r>
          </w:p>
        </w:tc>
        <w:tc>
          <w:tcPr>
            <w:tcW w:w="851" w:type="dxa"/>
            <w:shd w:val="clear" w:color="auto" w:fill="auto"/>
            <w:noWrap/>
            <w:vAlign w:val="center"/>
            <w:hideMark/>
          </w:tcPr>
          <w:p w:rsidR="00306953" w:rsidRPr="00442515" w:rsidRDefault="00306953" w:rsidP="001D6E8F">
            <w:pPr>
              <w:keepNext/>
              <w:spacing w:after="0" w:line="240" w:lineRule="auto"/>
              <w:jc w:val="center"/>
              <w:rPr>
                <w:rFonts w:cs="Arial"/>
                <w:sz w:val="16"/>
                <w:szCs w:val="16"/>
              </w:rPr>
            </w:pPr>
            <w:r w:rsidRPr="00442515">
              <w:rPr>
                <w:rFonts w:cs="Arial"/>
                <w:sz w:val="16"/>
                <w:szCs w:val="16"/>
              </w:rPr>
              <w:t>26 807</w:t>
            </w:r>
          </w:p>
        </w:tc>
        <w:tc>
          <w:tcPr>
            <w:tcW w:w="850" w:type="dxa"/>
            <w:shd w:val="clear" w:color="auto" w:fill="auto"/>
            <w:noWrap/>
            <w:vAlign w:val="center"/>
            <w:hideMark/>
          </w:tcPr>
          <w:p w:rsidR="00306953" w:rsidRPr="00442515" w:rsidRDefault="00306953" w:rsidP="001D6E8F">
            <w:pPr>
              <w:keepNext/>
              <w:spacing w:after="0" w:line="240" w:lineRule="auto"/>
              <w:jc w:val="center"/>
              <w:rPr>
                <w:rFonts w:cs="Arial"/>
                <w:sz w:val="16"/>
                <w:szCs w:val="16"/>
              </w:rPr>
            </w:pPr>
            <w:r w:rsidRPr="00442515">
              <w:rPr>
                <w:rFonts w:cs="Arial"/>
                <w:sz w:val="16"/>
                <w:szCs w:val="16"/>
              </w:rPr>
              <w:t>25 802</w:t>
            </w:r>
          </w:p>
        </w:tc>
        <w:tc>
          <w:tcPr>
            <w:tcW w:w="709" w:type="dxa"/>
            <w:shd w:val="clear" w:color="auto" w:fill="auto"/>
            <w:noWrap/>
            <w:vAlign w:val="center"/>
            <w:hideMark/>
          </w:tcPr>
          <w:p w:rsidR="00306953" w:rsidRPr="00442515" w:rsidRDefault="00306953" w:rsidP="001D6E8F">
            <w:pPr>
              <w:keepNext/>
              <w:spacing w:after="0" w:line="240" w:lineRule="auto"/>
              <w:jc w:val="center"/>
              <w:rPr>
                <w:rFonts w:cs="Arial"/>
                <w:sz w:val="16"/>
                <w:szCs w:val="16"/>
              </w:rPr>
            </w:pPr>
            <w:r w:rsidRPr="00442515">
              <w:rPr>
                <w:rFonts w:cs="Arial"/>
                <w:sz w:val="16"/>
                <w:szCs w:val="16"/>
              </w:rPr>
              <w:t>26 995</w:t>
            </w:r>
          </w:p>
        </w:tc>
        <w:tc>
          <w:tcPr>
            <w:tcW w:w="851" w:type="dxa"/>
            <w:shd w:val="clear" w:color="auto" w:fill="auto"/>
            <w:noWrap/>
            <w:vAlign w:val="center"/>
            <w:hideMark/>
          </w:tcPr>
          <w:p w:rsidR="00306953" w:rsidRPr="00442515" w:rsidRDefault="00306953" w:rsidP="001D6E8F">
            <w:pPr>
              <w:keepNext/>
              <w:spacing w:after="0" w:line="240" w:lineRule="auto"/>
              <w:jc w:val="center"/>
              <w:rPr>
                <w:rFonts w:cs="Arial"/>
                <w:sz w:val="16"/>
                <w:szCs w:val="16"/>
              </w:rPr>
            </w:pPr>
            <w:r w:rsidRPr="00442515">
              <w:rPr>
                <w:rFonts w:cs="Arial"/>
                <w:sz w:val="16"/>
                <w:szCs w:val="16"/>
              </w:rPr>
              <w:t>27 332</w:t>
            </w:r>
          </w:p>
        </w:tc>
        <w:tc>
          <w:tcPr>
            <w:tcW w:w="850" w:type="dxa"/>
            <w:shd w:val="clear" w:color="auto" w:fill="auto"/>
            <w:noWrap/>
            <w:vAlign w:val="center"/>
            <w:hideMark/>
          </w:tcPr>
          <w:p w:rsidR="00306953" w:rsidRPr="00442515" w:rsidRDefault="001D6E8F" w:rsidP="004C55CD">
            <w:pPr>
              <w:keepNext/>
              <w:spacing w:after="0" w:line="240" w:lineRule="auto"/>
              <w:jc w:val="center"/>
              <w:rPr>
                <w:rFonts w:cs="Arial"/>
                <w:sz w:val="16"/>
                <w:szCs w:val="16"/>
              </w:rPr>
            </w:pPr>
            <w:r>
              <w:rPr>
                <w:rFonts w:cs="Arial"/>
                <w:sz w:val="16"/>
                <w:szCs w:val="16"/>
              </w:rPr>
              <w:t>27 623</w:t>
            </w:r>
          </w:p>
        </w:tc>
        <w:tc>
          <w:tcPr>
            <w:tcW w:w="709" w:type="dxa"/>
            <w:shd w:val="clear" w:color="auto" w:fill="auto"/>
            <w:noWrap/>
            <w:vAlign w:val="center"/>
            <w:hideMark/>
          </w:tcPr>
          <w:p w:rsidR="00306953" w:rsidRPr="00442515" w:rsidRDefault="001D6E8F" w:rsidP="004C55CD">
            <w:pPr>
              <w:keepNext/>
              <w:spacing w:after="0" w:line="240" w:lineRule="auto"/>
              <w:jc w:val="center"/>
              <w:rPr>
                <w:rFonts w:cs="Arial"/>
                <w:sz w:val="16"/>
                <w:szCs w:val="16"/>
              </w:rPr>
            </w:pPr>
            <w:r>
              <w:rPr>
                <w:rFonts w:cs="Arial"/>
                <w:sz w:val="16"/>
                <w:szCs w:val="16"/>
              </w:rPr>
              <w:t>28 151</w:t>
            </w:r>
          </w:p>
        </w:tc>
        <w:tc>
          <w:tcPr>
            <w:tcW w:w="850" w:type="dxa"/>
            <w:vAlign w:val="center"/>
          </w:tcPr>
          <w:p w:rsidR="00306953" w:rsidRPr="00442515" w:rsidRDefault="001D6E8F" w:rsidP="004C55CD">
            <w:pPr>
              <w:keepNext/>
              <w:spacing w:after="0" w:line="240" w:lineRule="auto"/>
              <w:jc w:val="center"/>
              <w:rPr>
                <w:rFonts w:cs="Arial"/>
                <w:sz w:val="16"/>
                <w:szCs w:val="16"/>
              </w:rPr>
            </w:pPr>
            <w:r>
              <w:rPr>
                <w:rFonts w:cs="Arial"/>
                <w:sz w:val="16"/>
                <w:szCs w:val="16"/>
              </w:rPr>
              <w:t>29 005</w:t>
            </w:r>
          </w:p>
        </w:tc>
      </w:tr>
      <w:tr w:rsidR="00306953" w:rsidRPr="00442515" w:rsidTr="001D6E8F">
        <w:trPr>
          <w:trHeight w:val="300"/>
        </w:trPr>
        <w:tc>
          <w:tcPr>
            <w:tcW w:w="2425" w:type="dxa"/>
            <w:shd w:val="clear" w:color="auto" w:fill="auto"/>
            <w:noWrap/>
            <w:vAlign w:val="center"/>
            <w:hideMark/>
          </w:tcPr>
          <w:p w:rsidR="00306953" w:rsidRPr="00442515" w:rsidRDefault="00306953" w:rsidP="004C55CD">
            <w:pPr>
              <w:keepNext/>
              <w:spacing w:after="0" w:line="240" w:lineRule="auto"/>
              <w:rPr>
                <w:rFonts w:cs="Arial"/>
                <w:color w:val="000000"/>
                <w:sz w:val="16"/>
                <w:szCs w:val="16"/>
              </w:rPr>
            </w:pPr>
            <w:r w:rsidRPr="00442515">
              <w:rPr>
                <w:rFonts w:cs="Arial"/>
                <w:color w:val="000000"/>
                <w:sz w:val="16"/>
                <w:szCs w:val="16"/>
              </w:rPr>
              <w:t xml:space="preserve">střední </w:t>
            </w:r>
            <w:r w:rsidR="00A20FBC">
              <w:rPr>
                <w:rFonts w:cs="Arial"/>
                <w:color w:val="000000"/>
                <w:sz w:val="16"/>
                <w:szCs w:val="16"/>
              </w:rPr>
              <w:t>školy</w:t>
            </w:r>
            <w:r w:rsidRPr="00442515">
              <w:rPr>
                <w:rFonts w:cs="Arial"/>
                <w:sz w:val="16"/>
                <w:szCs w:val="16"/>
                <w:vertAlign w:val="superscript"/>
              </w:rPr>
              <w:t>2)</w:t>
            </w:r>
          </w:p>
        </w:tc>
        <w:tc>
          <w:tcPr>
            <w:tcW w:w="709" w:type="dxa"/>
            <w:shd w:val="clear" w:color="auto" w:fill="auto"/>
            <w:noWrap/>
            <w:vAlign w:val="center"/>
            <w:hideMark/>
          </w:tcPr>
          <w:p w:rsidR="00306953" w:rsidRPr="00442515" w:rsidRDefault="001D6E8F" w:rsidP="004C55CD">
            <w:pPr>
              <w:keepNext/>
              <w:spacing w:after="0" w:line="240" w:lineRule="auto"/>
              <w:jc w:val="center"/>
              <w:rPr>
                <w:rFonts w:cs="Arial"/>
                <w:sz w:val="16"/>
                <w:szCs w:val="16"/>
              </w:rPr>
            </w:pPr>
            <w:r>
              <w:rPr>
                <w:rFonts w:cs="Arial"/>
                <w:sz w:val="16"/>
                <w:szCs w:val="16"/>
              </w:rPr>
              <w:t>22 627</w:t>
            </w:r>
          </w:p>
        </w:tc>
        <w:tc>
          <w:tcPr>
            <w:tcW w:w="850" w:type="dxa"/>
            <w:shd w:val="clear" w:color="auto" w:fill="auto"/>
            <w:noWrap/>
            <w:vAlign w:val="center"/>
            <w:hideMark/>
          </w:tcPr>
          <w:p w:rsidR="00306953" w:rsidRPr="00442515" w:rsidRDefault="001D6E8F" w:rsidP="004C55CD">
            <w:pPr>
              <w:keepNext/>
              <w:spacing w:after="0" w:line="240" w:lineRule="auto"/>
              <w:jc w:val="center"/>
              <w:rPr>
                <w:rFonts w:cs="Arial"/>
                <w:sz w:val="16"/>
                <w:szCs w:val="16"/>
              </w:rPr>
            </w:pPr>
            <w:r>
              <w:rPr>
                <w:rFonts w:cs="Arial"/>
                <w:sz w:val="16"/>
                <w:szCs w:val="16"/>
              </w:rPr>
              <w:t>26 530</w:t>
            </w:r>
          </w:p>
        </w:tc>
        <w:tc>
          <w:tcPr>
            <w:tcW w:w="851" w:type="dxa"/>
            <w:shd w:val="clear" w:color="auto" w:fill="auto"/>
            <w:noWrap/>
            <w:vAlign w:val="center"/>
            <w:hideMark/>
          </w:tcPr>
          <w:p w:rsidR="00306953" w:rsidRPr="00442515" w:rsidRDefault="00306953" w:rsidP="001D6E8F">
            <w:pPr>
              <w:keepNext/>
              <w:spacing w:after="0" w:line="240" w:lineRule="auto"/>
              <w:jc w:val="center"/>
              <w:rPr>
                <w:rFonts w:cs="Arial"/>
                <w:sz w:val="16"/>
                <w:szCs w:val="16"/>
              </w:rPr>
            </w:pPr>
            <w:r w:rsidRPr="00442515">
              <w:rPr>
                <w:rFonts w:cs="Arial"/>
                <w:sz w:val="16"/>
                <w:szCs w:val="16"/>
              </w:rPr>
              <w:t>27 811</w:t>
            </w:r>
          </w:p>
        </w:tc>
        <w:tc>
          <w:tcPr>
            <w:tcW w:w="850" w:type="dxa"/>
            <w:shd w:val="clear" w:color="auto" w:fill="auto"/>
            <w:noWrap/>
            <w:vAlign w:val="center"/>
            <w:hideMark/>
          </w:tcPr>
          <w:p w:rsidR="00306953" w:rsidRPr="00442515" w:rsidRDefault="00306953" w:rsidP="001D6E8F">
            <w:pPr>
              <w:keepNext/>
              <w:spacing w:after="0" w:line="240" w:lineRule="auto"/>
              <w:jc w:val="center"/>
              <w:rPr>
                <w:rFonts w:cs="Arial"/>
                <w:sz w:val="16"/>
                <w:szCs w:val="16"/>
              </w:rPr>
            </w:pPr>
            <w:r w:rsidRPr="00442515">
              <w:rPr>
                <w:rFonts w:cs="Arial"/>
                <w:sz w:val="16"/>
                <w:szCs w:val="16"/>
              </w:rPr>
              <w:t>27 163</w:t>
            </w:r>
          </w:p>
        </w:tc>
        <w:tc>
          <w:tcPr>
            <w:tcW w:w="709" w:type="dxa"/>
            <w:shd w:val="clear" w:color="auto" w:fill="auto"/>
            <w:noWrap/>
            <w:vAlign w:val="center"/>
            <w:hideMark/>
          </w:tcPr>
          <w:p w:rsidR="00306953" w:rsidRPr="00442515" w:rsidRDefault="00306953" w:rsidP="001D6E8F">
            <w:pPr>
              <w:keepNext/>
              <w:spacing w:after="0" w:line="240" w:lineRule="auto"/>
              <w:jc w:val="center"/>
              <w:rPr>
                <w:rFonts w:cs="Arial"/>
                <w:sz w:val="16"/>
                <w:szCs w:val="16"/>
              </w:rPr>
            </w:pPr>
            <w:r w:rsidRPr="00442515">
              <w:rPr>
                <w:rFonts w:cs="Arial"/>
                <w:sz w:val="16"/>
                <w:szCs w:val="16"/>
              </w:rPr>
              <w:t>27 843</w:t>
            </w:r>
          </w:p>
        </w:tc>
        <w:tc>
          <w:tcPr>
            <w:tcW w:w="851" w:type="dxa"/>
            <w:shd w:val="clear" w:color="auto" w:fill="auto"/>
            <w:noWrap/>
            <w:vAlign w:val="center"/>
            <w:hideMark/>
          </w:tcPr>
          <w:p w:rsidR="00306953" w:rsidRPr="00442515" w:rsidRDefault="001D6E8F" w:rsidP="004C55CD">
            <w:pPr>
              <w:keepNext/>
              <w:spacing w:after="0" w:line="240" w:lineRule="auto"/>
              <w:jc w:val="center"/>
              <w:rPr>
                <w:rFonts w:cs="Arial"/>
                <w:sz w:val="16"/>
                <w:szCs w:val="16"/>
              </w:rPr>
            </w:pPr>
            <w:r>
              <w:rPr>
                <w:rFonts w:cs="Arial"/>
                <w:sz w:val="16"/>
                <w:szCs w:val="16"/>
              </w:rPr>
              <w:t>27 991</w:t>
            </w:r>
          </w:p>
        </w:tc>
        <w:tc>
          <w:tcPr>
            <w:tcW w:w="850" w:type="dxa"/>
            <w:shd w:val="clear" w:color="auto" w:fill="auto"/>
            <w:noWrap/>
            <w:vAlign w:val="center"/>
            <w:hideMark/>
          </w:tcPr>
          <w:p w:rsidR="00306953" w:rsidRPr="00442515" w:rsidRDefault="001D6E8F" w:rsidP="004C55CD">
            <w:pPr>
              <w:keepNext/>
              <w:spacing w:after="0" w:line="240" w:lineRule="auto"/>
              <w:jc w:val="center"/>
              <w:rPr>
                <w:rFonts w:cs="Arial"/>
                <w:sz w:val="16"/>
                <w:szCs w:val="16"/>
              </w:rPr>
            </w:pPr>
            <w:r>
              <w:rPr>
                <w:rFonts w:cs="Arial"/>
                <w:sz w:val="16"/>
                <w:szCs w:val="16"/>
              </w:rPr>
              <w:t>28 184</w:t>
            </w:r>
          </w:p>
        </w:tc>
        <w:tc>
          <w:tcPr>
            <w:tcW w:w="709" w:type="dxa"/>
            <w:shd w:val="clear" w:color="auto" w:fill="auto"/>
            <w:noWrap/>
            <w:vAlign w:val="center"/>
            <w:hideMark/>
          </w:tcPr>
          <w:p w:rsidR="00306953" w:rsidRPr="00442515" w:rsidRDefault="001D6E8F" w:rsidP="004C55CD">
            <w:pPr>
              <w:keepNext/>
              <w:spacing w:after="0" w:line="240" w:lineRule="auto"/>
              <w:jc w:val="center"/>
              <w:rPr>
                <w:rFonts w:cs="Arial"/>
                <w:sz w:val="16"/>
                <w:szCs w:val="16"/>
              </w:rPr>
            </w:pPr>
            <w:r>
              <w:rPr>
                <w:rFonts w:cs="Arial"/>
                <w:sz w:val="16"/>
                <w:szCs w:val="16"/>
              </w:rPr>
              <w:t>28 736</w:t>
            </w:r>
          </w:p>
        </w:tc>
        <w:tc>
          <w:tcPr>
            <w:tcW w:w="850" w:type="dxa"/>
            <w:vAlign w:val="center"/>
          </w:tcPr>
          <w:p w:rsidR="00306953" w:rsidRPr="00442515" w:rsidRDefault="000E5A0E" w:rsidP="004C55CD">
            <w:pPr>
              <w:keepNext/>
              <w:spacing w:after="0" w:line="240" w:lineRule="auto"/>
              <w:jc w:val="center"/>
              <w:rPr>
                <w:rFonts w:cs="Arial"/>
                <w:sz w:val="16"/>
                <w:szCs w:val="16"/>
              </w:rPr>
            </w:pPr>
            <w:r w:rsidRPr="000E5A0E">
              <w:rPr>
                <w:rFonts w:cs="Arial"/>
                <w:sz w:val="16"/>
                <w:szCs w:val="16"/>
              </w:rPr>
              <w:t>29 568</w:t>
            </w:r>
          </w:p>
        </w:tc>
      </w:tr>
      <w:tr w:rsidR="00306953" w:rsidRPr="00442515" w:rsidTr="001D6E8F">
        <w:trPr>
          <w:trHeight w:val="258"/>
        </w:trPr>
        <w:tc>
          <w:tcPr>
            <w:tcW w:w="2425" w:type="dxa"/>
            <w:shd w:val="clear" w:color="auto" w:fill="auto"/>
            <w:noWrap/>
            <w:vAlign w:val="center"/>
            <w:hideMark/>
          </w:tcPr>
          <w:p w:rsidR="00306953" w:rsidRPr="00442515" w:rsidRDefault="00306953" w:rsidP="00F83F57">
            <w:pPr>
              <w:keepNext/>
              <w:spacing w:before="30" w:after="30" w:line="240" w:lineRule="auto"/>
              <w:rPr>
                <w:rFonts w:cs="Arial"/>
                <w:color w:val="000000"/>
                <w:sz w:val="16"/>
                <w:szCs w:val="16"/>
              </w:rPr>
            </w:pPr>
            <w:r w:rsidRPr="00442515">
              <w:rPr>
                <w:rFonts w:cs="Arial"/>
                <w:color w:val="000000"/>
                <w:sz w:val="16"/>
                <w:szCs w:val="16"/>
              </w:rPr>
              <w:t>konzervatoř</w:t>
            </w:r>
            <w:r w:rsidR="00A20FBC">
              <w:rPr>
                <w:rFonts w:cs="Arial"/>
                <w:color w:val="000000"/>
                <w:sz w:val="16"/>
                <w:szCs w:val="16"/>
              </w:rPr>
              <w:t>e</w:t>
            </w:r>
            <w:r w:rsidRPr="00442515">
              <w:rPr>
                <w:rFonts w:cs="Arial"/>
                <w:sz w:val="16"/>
                <w:szCs w:val="16"/>
                <w:vertAlign w:val="superscript"/>
              </w:rPr>
              <w:t>2)</w:t>
            </w:r>
          </w:p>
        </w:tc>
        <w:tc>
          <w:tcPr>
            <w:tcW w:w="709" w:type="dxa"/>
            <w:shd w:val="clear" w:color="auto" w:fill="auto"/>
            <w:noWrap/>
            <w:vAlign w:val="center"/>
            <w:hideMark/>
          </w:tcPr>
          <w:p w:rsidR="00306953" w:rsidRPr="00A275E0" w:rsidRDefault="00510886" w:rsidP="00A275E0">
            <w:pPr>
              <w:keepNext/>
              <w:spacing w:after="0" w:line="240" w:lineRule="auto"/>
              <w:jc w:val="center"/>
              <w:rPr>
                <w:rFonts w:cs="Arial"/>
                <w:sz w:val="16"/>
                <w:szCs w:val="16"/>
              </w:rPr>
            </w:pPr>
            <w:r>
              <w:rPr>
                <w:rFonts w:cs="Arial"/>
                <w:sz w:val="16"/>
                <w:szCs w:val="16"/>
              </w:rPr>
              <w:t>X</w:t>
            </w:r>
          </w:p>
        </w:tc>
        <w:tc>
          <w:tcPr>
            <w:tcW w:w="850" w:type="dxa"/>
            <w:shd w:val="clear" w:color="auto" w:fill="auto"/>
            <w:noWrap/>
            <w:vAlign w:val="center"/>
            <w:hideMark/>
          </w:tcPr>
          <w:p w:rsidR="00306953" w:rsidRPr="00442515" w:rsidRDefault="001D6E8F" w:rsidP="004C55CD">
            <w:pPr>
              <w:keepNext/>
              <w:spacing w:after="0" w:line="240" w:lineRule="auto"/>
              <w:jc w:val="center"/>
              <w:rPr>
                <w:rFonts w:cs="Arial"/>
                <w:sz w:val="16"/>
                <w:szCs w:val="16"/>
              </w:rPr>
            </w:pPr>
            <w:r>
              <w:rPr>
                <w:rFonts w:cs="Arial"/>
                <w:sz w:val="16"/>
                <w:szCs w:val="16"/>
              </w:rPr>
              <w:t>26 441</w:t>
            </w:r>
          </w:p>
        </w:tc>
        <w:tc>
          <w:tcPr>
            <w:tcW w:w="851" w:type="dxa"/>
            <w:shd w:val="clear" w:color="auto" w:fill="auto"/>
            <w:noWrap/>
            <w:vAlign w:val="center"/>
            <w:hideMark/>
          </w:tcPr>
          <w:p w:rsidR="00306953" w:rsidRPr="00442515" w:rsidRDefault="00306953" w:rsidP="001D6E8F">
            <w:pPr>
              <w:keepNext/>
              <w:spacing w:after="0" w:line="240" w:lineRule="auto"/>
              <w:jc w:val="center"/>
              <w:rPr>
                <w:rFonts w:cs="Arial"/>
                <w:sz w:val="16"/>
                <w:szCs w:val="16"/>
              </w:rPr>
            </w:pPr>
            <w:r w:rsidRPr="00442515">
              <w:rPr>
                <w:rFonts w:cs="Arial"/>
                <w:sz w:val="16"/>
                <w:szCs w:val="16"/>
              </w:rPr>
              <w:t>27 616</w:t>
            </w:r>
          </w:p>
        </w:tc>
        <w:tc>
          <w:tcPr>
            <w:tcW w:w="850" w:type="dxa"/>
            <w:shd w:val="clear" w:color="auto" w:fill="auto"/>
            <w:noWrap/>
            <w:vAlign w:val="center"/>
            <w:hideMark/>
          </w:tcPr>
          <w:p w:rsidR="00306953" w:rsidRPr="00442515" w:rsidRDefault="00306953" w:rsidP="001D6E8F">
            <w:pPr>
              <w:keepNext/>
              <w:spacing w:after="0" w:line="240" w:lineRule="auto"/>
              <w:jc w:val="center"/>
              <w:rPr>
                <w:rFonts w:cs="Arial"/>
                <w:sz w:val="16"/>
                <w:szCs w:val="16"/>
              </w:rPr>
            </w:pPr>
            <w:r w:rsidRPr="00442515">
              <w:rPr>
                <w:rFonts w:cs="Arial"/>
                <w:sz w:val="16"/>
                <w:szCs w:val="16"/>
              </w:rPr>
              <w:t>26 878</w:t>
            </w:r>
          </w:p>
        </w:tc>
        <w:tc>
          <w:tcPr>
            <w:tcW w:w="709"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27 850</w:t>
            </w:r>
          </w:p>
        </w:tc>
        <w:tc>
          <w:tcPr>
            <w:tcW w:w="851" w:type="dxa"/>
            <w:shd w:val="clear" w:color="auto" w:fill="auto"/>
            <w:noWrap/>
            <w:vAlign w:val="center"/>
            <w:hideMark/>
          </w:tcPr>
          <w:p w:rsidR="00306953" w:rsidRPr="00442515" w:rsidRDefault="001D6E8F" w:rsidP="004C55CD">
            <w:pPr>
              <w:keepNext/>
              <w:spacing w:after="0" w:line="240" w:lineRule="auto"/>
              <w:jc w:val="center"/>
              <w:rPr>
                <w:rFonts w:cs="Arial"/>
                <w:sz w:val="16"/>
                <w:szCs w:val="16"/>
              </w:rPr>
            </w:pPr>
            <w:r>
              <w:rPr>
                <w:rFonts w:cs="Arial"/>
                <w:sz w:val="16"/>
                <w:szCs w:val="16"/>
              </w:rPr>
              <w:t>27 163</w:t>
            </w:r>
          </w:p>
        </w:tc>
        <w:tc>
          <w:tcPr>
            <w:tcW w:w="850" w:type="dxa"/>
            <w:shd w:val="clear" w:color="auto" w:fill="auto"/>
            <w:noWrap/>
            <w:vAlign w:val="center"/>
            <w:hideMark/>
          </w:tcPr>
          <w:p w:rsidR="00306953" w:rsidRPr="00442515" w:rsidRDefault="001D6E8F" w:rsidP="004C55CD">
            <w:pPr>
              <w:keepNext/>
              <w:spacing w:after="0" w:line="240" w:lineRule="auto"/>
              <w:jc w:val="center"/>
              <w:rPr>
                <w:rFonts w:cs="Arial"/>
                <w:sz w:val="16"/>
                <w:szCs w:val="16"/>
              </w:rPr>
            </w:pPr>
            <w:r>
              <w:rPr>
                <w:rFonts w:cs="Arial"/>
                <w:sz w:val="16"/>
                <w:szCs w:val="16"/>
              </w:rPr>
              <w:t>27 119</w:t>
            </w:r>
          </w:p>
        </w:tc>
        <w:tc>
          <w:tcPr>
            <w:tcW w:w="709" w:type="dxa"/>
            <w:shd w:val="clear" w:color="auto" w:fill="auto"/>
            <w:noWrap/>
            <w:vAlign w:val="center"/>
            <w:hideMark/>
          </w:tcPr>
          <w:p w:rsidR="00306953" w:rsidRPr="00442515" w:rsidRDefault="001D6E8F" w:rsidP="004C55CD">
            <w:pPr>
              <w:keepNext/>
              <w:spacing w:after="0" w:line="240" w:lineRule="auto"/>
              <w:jc w:val="center"/>
              <w:rPr>
                <w:rFonts w:cs="Arial"/>
                <w:sz w:val="16"/>
                <w:szCs w:val="16"/>
              </w:rPr>
            </w:pPr>
            <w:r>
              <w:rPr>
                <w:rFonts w:cs="Arial"/>
                <w:sz w:val="16"/>
                <w:szCs w:val="16"/>
              </w:rPr>
              <w:t>27 939</w:t>
            </w:r>
          </w:p>
        </w:tc>
        <w:tc>
          <w:tcPr>
            <w:tcW w:w="850" w:type="dxa"/>
            <w:vAlign w:val="center"/>
          </w:tcPr>
          <w:p w:rsidR="00306953" w:rsidRPr="00442515" w:rsidRDefault="001D6E8F" w:rsidP="004C55CD">
            <w:pPr>
              <w:keepNext/>
              <w:spacing w:after="0" w:line="240" w:lineRule="auto"/>
              <w:jc w:val="center"/>
              <w:rPr>
                <w:rFonts w:cs="Arial"/>
                <w:sz w:val="16"/>
                <w:szCs w:val="16"/>
              </w:rPr>
            </w:pPr>
            <w:r>
              <w:rPr>
                <w:rFonts w:cs="Arial"/>
                <w:sz w:val="16"/>
                <w:szCs w:val="16"/>
              </w:rPr>
              <w:t>29 019</w:t>
            </w:r>
          </w:p>
        </w:tc>
      </w:tr>
      <w:tr w:rsidR="00306953" w:rsidRPr="00442515" w:rsidTr="001D6E8F">
        <w:trPr>
          <w:trHeight w:val="300"/>
        </w:trPr>
        <w:tc>
          <w:tcPr>
            <w:tcW w:w="2425" w:type="dxa"/>
            <w:shd w:val="clear" w:color="auto" w:fill="auto"/>
            <w:noWrap/>
            <w:vAlign w:val="center"/>
            <w:hideMark/>
          </w:tcPr>
          <w:p w:rsidR="00306953" w:rsidRPr="00442515" w:rsidRDefault="00A20FBC" w:rsidP="004C55CD">
            <w:pPr>
              <w:keepNext/>
              <w:spacing w:after="0" w:line="240" w:lineRule="auto"/>
              <w:rPr>
                <w:rFonts w:cs="Arial"/>
                <w:color w:val="000000"/>
                <w:sz w:val="16"/>
                <w:szCs w:val="16"/>
              </w:rPr>
            </w:pPr>
            <w:r>
              <w:rPr>
                <w:rFonts w:cs="Arial"/>
                <w:color w:val="000000"/>
                <w:sz w:val="16"/>
                <w:szCs w:val="16"/>
              </w:rPr>
              <w:t xml:space="preserve">vyšší odborné školy  </w:t>
            </w:r>
          </w:p>
        </w:tc>
        <w:tc>
          <w:tcPr>
            <w:tcW w:w="709" w:type="dxa"/>
            <w:shd w:val="clear" w:color="auto" w:fill="auto"/>
            <w:noWrap/>
            <w:vAlign w:val="center"/>
            <w:hideMark/>
          </w:tcPr>
          <w:p w:rsidR="00306953" w:rsidRPr="00442515" w:rsidRDefault="001D6E8F" w:rsidP="004C55CD">
            <w:pPr>
              <w:keepNext/>
              <w:spacing w:after="0" w:line="240" w:lineRule="auto"/>
              <w:jc w:val="center"/>
              <w:rPr>
                <w:rFonts w:cs="Arial"/>
                <w:sz w:val="16"/>
                <w:szCs w:val="16"/>
              </w:rPr>
            </w:pPr>
            <w:r>
              <w:rPr>
                <w:rFonts w:cs="Arial"/>
                <w:sz w:val="16"/>
                <w:szCs w:val="16"/>
              </w:rPr>
              <w:t>23 521</w:t>
            </w:r>
          </w:p>
        </w:tc>
        <w:tc>
          <w:tcPr>
            <w:tcW w:w="850" w:type="dxa"/>
            <w:shd w:val="clear" w:color="auto" w:fill="auto"/>
            <w:noWrap/>
            <w:vAlign w:val="center"/>
            <w:hideMark/>
          </w:tcPr>
          <w:p w:rsidR="00306953" w:rsidRPr="00442515" w:rsidRDefault="001D6E8F" w:rsidP="004C55CD">
            <w:pPr>
              <w:keepNext/>
              <w:spacing w:after="0" w:line="240" w:lineRule="auto"/>
              <w:jc w:val="center"/>
              <w:rPr>
                <w:rFonts w:cs="Arial"/>
                <w:sz w:val="16"/>
                <w:szCs w:val="16"/>
              </w:rPr>
            </w:pPr>
            <w:r>
              <w:rPr>
                <w:rFonts w:cs="Arial"/>
                <w:sz w:val="16"/>
                <w:szCs w:val="16"/>
              </w:rPr>
              <w:t>27 801</w:t>
            </w:r>
          </w:p>
        </w:tc>
        <w:tc>
          <w:tcPr>
            <w:tcW w:w="851" w:type="dxa"/>
            <w:shd w:val="clear" w:color="auto" w:fill="auto"/>
            <w:noWrap/>
            <w:vAlign w:val="center"/>
            <w:hideMark/>
          </w:tcPr>
          <w:p w:rsidR="00306953" w:rsidRPr="00442515" w:rsidRDefault="00306953" w:rsidP="001D6E8F">
            <w:pPr>
              <w:keepNext/>
              <w:spacing w:after="0" w:line="240" w:lineRule="auto"/>
              <w:jc w:val="center"/>
              <w:rPr>
                <w:rFonts w:cs="Arial"/>
                <w:sz w:val="16"/>
                <w:szCs w:val="16"/>
              </w:rPr>
            </w:pPr>
            <w:r w:rsidRPr="00442515">
              <w:rPr>
                <w:rFonts w:cs="Arial"/>
                <w:sz w:val="16"/>
                <w:szCs w:val="16"/>
              </w:rPr>
              <w:t>28 934</w:t>
            </w:r>
          </w:p>
        </w:tc>
        <w:tc>
          <w:tcPr>
            <w:tcW w:w="850" w:type="dxa"/>
            <w:shd w:val="clear" w:color="auto" w:fill="auto"/>
            <w:noWrap/>
            <w:vAlign w:val="center"/>
            <w:hideMark/>
          </w:tcPr>
          <w:p w:rsidR="00306953" w:rsidRPr="00442515" w:rsidRDefault="00306953" w:rsidP="001D6E8F">
            <w:pPr>
              <w:keepNext/>
              <w:spacing w:after="0" w:line="240" w:lineRule="auto"/>
              <w:jc w:val="center"/>
              <w:rPr>
                <w:rFonts w:cs="Arial"/>
                <w:sz w:val="16"/>
                <w:szCs w:val="16"/>
              </w:rPr>
            </w:pPr>
            <w:r w:rsidRPr="00442515">
              <w:rPr>
                <w:rFonts w:cs="Arial"/>
                <w:sz w:val="16"/>
                <w:szCs w:val="16"/>
              </w:rPr>
              <w:t>28 740</w:t>
            </w:r>
          </w:p>
        </w:tc>
        <w:tc>
          <w:tcPr>
            <w:tcW w:w="709" w:type="dxa"/>
            <w:shd w:val="clear" w:color="auto" w:fill="auto"/>
            <w:noWrap/>
            <w:vAlign w:val="center"/>
            <w:hideMark/>
          </w:tcPr>
          <w:p w:rsidR="00306953" w:rsidRPr="00442515" w:rsidRDefault="00306953" w:rsidP="001D6E8F">
            <w:pPr>
              <w:keepNext/>
              <w:spacing w:after="0" w:line="240" w:lineRule="auto"/>
              <w:jc w:val="center"/>
              <w:rPr>
                <w:rFonts w:cs="Arial"/>
                <w:sz w:val="16"/>
                <w:szCs w:val="16"/>
              </w:rPr>
            </w:pPr>
            <w:r w:rsidRPr="00442515">
              <w:rPr>
                <w:rFonts w:cs="Arial"/>
                <w:sz w:val="16"/>
                <w:szCs w:val="16"/>
              </w:rPr>
              <w:t>29 079</w:t>
            </w:r>
          </w:p>
        </w:tc>
        <w:tc>
          <w:tcPr>
            <w:tcW w:w="851" w:type="dxa"/>
            <w:shd w:val="clear" w:color="auto" w:fill="auto"/>
            <w:noWrap/>
            <w:vAlign w:val="center"/>
            <w:hideMark/>
          </w:tcPr>
          <w:p w:rsidR="00306953" w:rsidRPr="00442515" w:rsidRDefault="001D6E8F" w:rsidP="004C55CD">
            <w:pPr>
              <w:keepNext/>
              <w:spacing w:after="0" w:line="240" w:lineRule="auto"/>
              <w:jc w:val="center"/>
              <w:rPr>
                <w:rFonts w:cs="Arial"/>
                <w:sz w:val="16"/>
                <w:szCs w:val="16"/>
              </w:rPr>
            </w:pPr>
            <w:r>
              <w:rPr>
                <w:rFonts w:cs="Arial"/>
                <w:sz w:val="16"/>
                <w:szCs w:val="16"/>
              </w:rPr>
              <w:t>29 365</w:t>
            </w:r>
          </w:p>
        </w:tc>
        <w:tc>
          <w:tcPr>
            <w:tcW w:w="850" w:type="dxa"/>
            <w:shd w:val="clear" w:color="auto" w:fill="auto"/>
            <w:noWrap/>
            <w:vAlign w:val="center"/>
            <w:hideMark/>
          </w:tcPr>
          <w:p w:rsidR="00306953" w:rsidRPr="00442515" w:rsidRDefault="001D6E8F" w:rsidP="004C55CD">
            <w:pPr>
              <w:keepNext/>
              <w:spacing w:after="0" w:line="240" w:lineRule="auto"/>
              <w:jc w:val="center"/>
              <w:rPr>
                <w:rFonts w:cs="Arial"/>
                <w:sz w:val="16"/>
                <w:szCs w:val="16"/>
              </w:rPr>
            </w:pPr>
            <w:r>
              <w:rPr>
                <w:rFonts w:cs="Arial"/>
                <w:sz w:val="16"/>
                <w:szCs w:val="16"/>
              </w:rPr>
              <w:t>29 568</w:t>
            </w:r>
          </w:p>
        </w:tc>
        <w:tc>
          <w:tcPr>
            <w:tcW w:w="709" w:type="dxa"/>
            <w:shd w:val="clear" w:color="auto" w:fill="auto"/>
            <w:noWrap/>
            <w:vAlign w:val="center"/>
            <w:hideMark/>
          </w:tcPr>
          <w:p w:rsidR="00306953" w:rsidRPr="00442515" w:rsidRDefault="001D6E8F" w:rsidP="004C55CD">
            <w:pPr>
              <w:keepNext/>
              <w:spacing w:after="0" w:line="240" w:lineRule="auto"/>
              <w:jc w:val="center"/>
              <w:rPr>
                <w:rFonts w:cs="Arial"/>
                <w:sz w:val="16"/>
                <w:szCs w:val="16"/>
              </w:rPr>
            </w:pPr>
            <w:r>
              <w:rPr>
                <w:rFonts w:cs="Arial"/>
                <w:sz w:val="16"/>
                <w:szCs w:val="16"/>
              </w:rPr>
              <w:t>30 152</w:t>
            </w:r>
          </w:p>
        </w:tc>
        <w:tc>
          <w:tcPr>
            <w:tcW w:w="850" w:type="dxa"/>
            <w:vAlign w:val="center"/>
          </w:tcPr>
          <w:p w:rsidR="00306953" w:rsidRPr="00442515" w:rsidRDefault="001D6E8F" w:rsidP="004C55CD">
            <w:pPr>
              <w:keepNext/>
              <w:spacing w:after="0" w:line="240" w:lineRule="auto"/>
              <w:jc w:val="center"/>
              <w:rPr>
                <w:rFonts w:cs="Arial"/>
                <w:sz w:val="16"/>
                <w:szCs w:val="16"/>
              </w:rPr>
            </w:pPr>
            <w:r>
              <w:rPr>
                <w:rFonts w:cs="Arial"/>
                <w:sz w:val="16"/>
                <w:szCs w:val="16"/>
              </w:rPr>
              <w:t>30 525</w:t>
            </w:r>
          </w:p>
        </w:tc>
      </w:tr>
      <w:tr w:rsidR="00306953" w:rsidRPr="00442515" w:rsidTr="001D6E8F">
        <w:trPr>
          <w:trHeight w:val="345"/>
        </w:trPr>
        <w:tc>
          <w:tcPr>
            <w:tcW w:w="2425" w:type="dxa"/>
            <w:shd w:val="clear" w:color="auto" w:fill="auto"/>
            <w:noWrap/>
            <w:vAlign w:val="center"/>
            <w:hideMark/>
          </w:tcPr>
          <w:p w:rsidR="00306953" w:rsidRPr="00442515" w:rsidRDefault="00306953" w:rsidP="004C55CD">
            <w:pPr>
              <w:spacing w:after="0" w:line="240" w:lineRule="auto"/>
              <w:rPr>
                <w:rFonts w:cs="Arial"/>
                <w:color w:val="000000"/>
                <w:sz w:val="16"/>
                <w:szCs w:val="16"/>
              </w:rPr>
            </w:pPr>
            <w:r w:rsidRPr="00442515">
              <w:rPr>
                <w:rFonts w:cs="Arial"/>
                <w:color w:val="000000"/>
                <w:sz w:val="16"/>
                <w:szCs w:val="16"/>
              </w:rPr>
              <w:t>vysoké školy</w:t>
            </w:r>
            <w:r w:rsidR="003F3CCD">
              <w:rPr>
                <w:rFonts w:cs="Arial"/>
                <w:color w:val="000000"/>
                <w:sz w:val="16"/>
                <w:szCs w:val="16"/>
              </w:rPr>
              <w:t xml:space="preserve"> veřejné</w:t>
            </w:r>
            <w:r w:rsidRPr="00442515">
              <w:rPr>
                <w:rFonts w:cs="Arial"/>
                <w:color w:val="000000"/>
                <w:sz w:val="16"/>
                <w:szCs w:val="16"/>
                <w:vertAlign w:val="superscript"/>
              </w:rPr>
              <w:t>3)</w:t>
            </w:r>
          </w:p>
        </w:tc>
        <w:tc>
          <w:tcPr>
            <w:tcW w:w="709" w:type="dxa"/>
            <w:shd w:val="clear" w:color="auto" w:fill="auto"/>
            <w:noWrap/>
            <w:vAlign w:val="center"/>
            <w:hideMark/>
          </w:tcPr>
          <w:p w:rsidR="00306953" w:rsidRPr="00442515" w:rsidRDefault="001D6E8F" w:rsidP="004C55CD">
            <w:pPr>
              <w:spacing w:after="0" w:line="240" w:lineRule="auto"/>
              <w:jc w:val="center"/>
              <w:rPr>
                <w:rFonts w:cs="Arial"/>
                <w:sz w:val="16"/>
                <w:szCs w:val="16"/>
              </w:rPr>
            </w:pPr>
            <w:r>
              <w:rPr>
                <w:rFonts w:cs="Arial"/>
                <w:sz w:val="16"/>
                <w:szCs w:val="16"/>
              </w:rPr>
              <w:t>30 463</w:t>
            </w:r>
          </w:p>
        </w:tc>
        <w:tc>
          <w:tcPr>
            <w:tcW w:w="850" w:type="dxa"/>
            <w:shd w:val="clear" w:color="auto" w:fill="auto"/>
            <w:noWrap/>
            <w:vAlign w:val="center"/>
            <w:hideMark/>
          </w:tcPr>
          <w:p w:rsidR="00306953" w:rsidRPr="00442515" w:rsidRDefault="001D6E8F" w:rsidP="004C55CD">
            <w:pPr>
              <w:spacing w:after="0" w:line="240" w:lineRule="auto"/>
              <w:jc w:val="center"/>
              <w:rPr>
                <w:rFonts w:cs="Arial"/>
                <w:sz w:val="16"/>
                <w:szCs w:val="16"/>
              </w:rPr>
            </w:pPr>
            <w:r>
              <w:rPr>
                <w:rFonts w:cs="Arial"/>
                <w:sz w:val="16"/>
                <w:szCs w:val="16"/>
              </w:rPr>
              <w:t>35 529</w:t>
            </w:r>
          </w:p>
        </w:tc>
        <w:tc>
          <w:tcPr>
            <w:tcW w:w="851" w:type="dxa"/>
            <w:shd w:val="clear" w:color="auto" w:fill="auto"/>
            <w:noWrap/>
            <w:vAlign w:val="center"/>
            <w:hideMark/>
          </w:tcPr>
          <w:p w:rsidR="00306953" w:rsidRPr="00442515" w:rsidRDefault="00306953" w:rsidP="001D6E8F">
            <w:pPr>
              <w:spacing w:after="0" w:line="240" w:lineRule="auto"/>
              <w:jc w:val="center"/>
              <w:rPr>
                <w:rFonts w:cs="Arial"/>
                <w:sz w:val="16"/>
                <w:szCs w:val="16"/>
              </w:rPr>
            </w:pPr>
            <w:r w:rsidRPr="00442515">
              <w:rPr>
                <w:rFonts w:cs="Arial"/>
                <w:sz w:val="16"/>
                <w:szCs w:val="16"/>
              </w:rPr>
              <w:t>36 889</w:t>
            </w:r>
          </w:p>
        </w:tc>
        <w:tc>
          <w:tcPr>
            <w:tcW w:w="850" w:type="dxa"/>
            <w:shd w:val="clear" w:color="auto" w:fill="auto"/>
            <w:noWrap/>
            <w:vAlign w:val="center"/>
            <w:hideMark/>
          </w:tcPr>
          <w:p w:rsidR="00306953" w:rsidRPr="00442515" w:rsidRDefault="00306953" w:rsidP="001D6E8F">
            <w:pPr>
              <w:spacing w:after="0" w:line="240" w:lineRule="auto"/>
              <w:jc w:val="center"/>
              <w:rPr>
                <w:rFonts w:cs="Arial"/>
                <w:sz w:val="16"/>
                <w:szCs w:val="16"/>
              </w:rPr>
            </w:pPr>
            <w:r w:rsidRPr="00442515">
              <w:rPr>
                <w:rFonts w:cs="Arial"/>
                <w:sz w:val="16"/>
                <w:szCs w:val="16"/>
              </w:rPr>
              <w:t>36 636</w:t>
            </w:r>
          </w:p>
        </w:tc>
        <w:tc>
          <w:tcPr>
            <w:tcW w:w="709" w:type="dxa"/>
            <w:shd w:val="clear" w:color="auto" w:fill="auto"/>
            <w:noWrap/>
            <w:vAlign w:val="center"/>
            <w:hideMark/>
          </w:tcPr>
          <w:p w:rsidR="00306953" w:rsidRPr="00442515" w:rsidRDefault="00306953" w:rsidP="001D6E8F">
            <w:pPr>
              <w:spacing w:after="0" w:line="240" w:lineRule="auto"/>
              <w:jc w:val="center"/>
              <w:rPr>
                <w:rFonts w:cs="Arial"/>
                <w:sz w:val="16"/>
                <w:szCs w:val="16"/>
              </w:rPr>
            </w:pPr>
            <w:r w:rsidRPr="00442515">
              <w:rPr>
                <w:rFonts w:cs="Arial"/>
                <w:sz w:val="16"/>
                <w:szCs w:val="16"/>
              </w:rPr>
              <w:t>37 504</w:t>
            </w:r>
          </w:p>
        </w:tc>
        <w:tc>
          <w:tcPr>
            <w:tcW w:w="851" w:type="dxa"/>
            <w:shd w:val="clear" w:color="auto" w:fill="auto"/>
            <w:noWrap/>
            <w:vAlign w:val="center"/>
            <w:hideMark/>
          </w:tcPr>
          <w:p w:rsidR="00306953" w:rsidRPr="00442515" w:rsidRDefault="001D6E8F" w:rsidP="004C55CD">
            <w:pPr>
              <w:spacing w:after="0" w:line="240" w:lineRule="auto"/>
              <w:jc w:val="center"/>
              <w:rPr>
                <w:rFonts w:cs="Arial"/>
                <w:sz w:val="16"/>
                <w:szCs w:val="16"/>
              </w:rPr>
            </w:pPr>
            <w:r>
              <w:rPr>
                <w:rFonts w:cs="Arial"/>
                <w:sz w:val="16"/>
                <w:szCs w:val="16"/>
              </w:rPr>
              <w:t>39 171</w:t>
            </w:r>
          </w:p>
        </w:tc>
        <w:tc>
          <w:tcPr>
            <w:tcW w:w="850" w:type="dxa"/>
            <w:shd w:val="clear" w:color="auto" w:fill="auto"/>
            <w:noWrap/>
            <w:vAlign w:val="center"/>
            <w:hideMark/>
          </w:tcPr>
          <w:p w:rsidR="00306953" w:rsidRPr="00442515" w:rsidRDefault="001D6E8F" w:rsidP="004C55CD">
            <w:pPr>
              <w:spacing w:after="0" w:line="240" w:lineRule="auto"/>
              <w:jc w:val="center"/>
              <w:rPr>
                <w:rFonts w:cs="Arial"/>
                <w:sz w:val="16"/>
                <w:szCs w:val="16"/>
              </w:rPr>
            </w:pPr>
            <w:r>
              <w:rPr>
                <w:rFonts w:cs="Arial"/>
                <w:sz w:val="16"/>
                <w:szCs w:val="16"/>
              </w:rPr>
              <w:t>40 895</w:t>
            </w:r>
          </w:p>
        </w:tc>
        <w:tc>
          <w:tcPr>
            <w:tcW w:w="709" w:type="dxa"/>
            <w:shd w:val="clear" w:color="auto" w:fill="auto"/>
            <w:noWrap/>
            <w:vAlign w:val="center"/>
            <w:hideMark/>
          </w:tcPr>
          <w:p w:rsidR="00306953" w:rsidRPr="00442515" w:rsidRDefault="001D6E8F" w:rsidP="004C55CD">
            <w:pPr>
              <w:spacing w:after="0" w:line="240" w:lineRule="auto"/>
              <w:jc w:val="center"/>
              <w:rPr>
                <w:rFonts w:cs="Arial"/>
                <w:sz w:val="16"/>
                <w:szCs w:val="16"/>
              </w:rPr>
            </w:pPr>
            <w:r>
              <w:rPr>
                <w:rFonts w:cs="Arial"/>
                <w:sz w:val="16"/>
                <w:szCs w:val="16"/>
              </w:rPr>
              <w:t>42 223</w:t>
            </w:r>
          </w:p>
        </w:tc>
        <w:tc>
          <w:tcPr>
            <w:tcW w:w="850" w:type="dxa"/>
            <w:vAlign w:val="center"/>
          </w:tcPr>
          <w:p w:rsidR="00306953" w:rsidRPr="00442515" w:rsidRDefault="00306953" w:rsidP="004C55CD">
            <w:pPr>
              <w:keepNext/>
              <w:spacing w:after="0" w:line="240" w:lineRule="auto"/>
              <w:jc w:val="center"/>
              <w:rPr>
                <w:rFonts w:cs="Arial"/>
                <w:sz w:val="16"/>
                <w:szCs w:val="16"/>
              </w:rPr>
            </w:pPr>
            <w:r w:rsidRPr="00442515">
              <w:rPr>
                <w:rFonts w:cs="Arial"/>
                <w:sz w:val="16"/>
                <w:szCs w:val="16"/>
              </w:rPr>
              <w:t>44 </w:t>
            </w:r>
            <w:r w:rsidR="001D6E8F">
              <w:rPr>
                <w:rFonts w:cs="Arial"/>
                <w:sz w:val="16"/>
                <w:szCs w:val="16"/>
              </w:rPr>
              <w:t>790</w:t>
            </w:r>
          </w:p>
        </w:tc>
      </w:tr>
    </w:tbl>
    <w:p w:rsidR="00306953" w:rsidRPr="00442515" w:rsidRDefault="00306953" w:rsidP="00E031F1">
      <w:pPr>
        <w:autoSpaceDE w:val="0"/>
        <w:autoSpaceDN w:val="0"/>
        <w:adjustRightInd w:val="0"/>
        <w:spacing w:before="120" w:after="0" w:line="240" w:lineRule="auto"/>
        <w:jc w:val="both"/>
        <w:rPr>
          <w:rFonts w:eastAsia="ChaparralPro-Regular" w:cs="Arial"/>
          <w:sz w:val="16"/>
          <w:szCs w:val="16"/>
        </w:rPr>
      </w:pPr>
      <w:r w:rsidRPr="00442515">
        <w:rPr>
          <w:rFonts w:eastAsia="ChaparralPro-Regular" w:cs="Arial"/>
          <w:sz w:val="16"/>
          <w:szCs w:val="16"/>
          <w:vertAlign w:val="superscript"/>
        </w:rPr>
        <w:t>1)</w:t>
      </w:r>
      <w:r w:rsidRPr="00442515">
        <w:rPr>
          <w:rFonts w:eastAsia="ChaparralPro-Regular" w:cs="Arial"/>
          <w:sz w:val="16"/>
          <w:szCs w:val="16"/>
        </w:rPr>
        <w:t xml:space="preserve"> Kategorie učitelé zahrnuje i ředitele, zástupce ředitele a výchovné poradce (organizace, které vyplňují výkaz P1b-04, tj. VŠ, uvádějí počet akademických pracovníků, tabulka obsahuje pouze údaje za veřejné VŠ a neobsahuje údaje za soukromé VŠ).</w:t>
      </w:r>
    </w:p>
    <w:p w:rsidR="00306953" w:rsidRPr="00442515" w:rsidRDefault="00306953" w:rsidP="00306953">
      <w:pPr>
        <w:autoSpaceDE w:val="0"/>
        <w:autoSpaceDN w:val="0"/>
        <w:adjustRightInd w:val="0"/>
        <w:spacing w:after="0" w:line="240" w:lineRule="auto"/>
        <w:jc w:val="both"/>
        <w:rPr>
          <w:rFonts w:eastAsia="ChaparralPro-Regular" w:cs="Arial"/>
          <w:sz w:val="16"/>
          <w:szCs w:val="16"/>
        </w:rPr>
      </w:pPr>
      <w:r w:rsidRPr="00442515">
        <w:rPr>
          <w:rFonts w:eastAsia="ChaparralPro-Regular" w:cs="Arial"/>
          <w:sz w:val="16"/>
          <w:szCs w:val="16"/>
          <w:vertAlign w:val="superscript"/>
        </w:rPr>
        <w:t>2)</w:t>
      </w:r>
      <w:r w:rsidRPr="00442515">
        <w:rPr>
          <w:rFonts w:eastAsia="ChaparralPro-Regular" w:cs="Arial"/>
          <w:sz w:val="16"/>
          <w:szCs w:val="16"/>
        </w:rPr>
        <w:t xml:space="preserve"> V roce 2005 byly sledovány průměrné platy učitelů ve středním vzdělávání a v konzervatořích dohromady a uvedená průměrná mzda u středního vzdělávání tedy vypovídá za učitele v obou druzích vzdělávání. </w:t>
      </w:r>
    </w:p>
    <w:p w:rsidR="00306953" w:rsidRDefault="00306953" w:rsidP="00306953">
      <w:pPr>
        <w:autoSpaceDE w:val="0"/>
        <w:autoSpaceDN w:val="0"/>
        <w:adjustRightInd w:val="0"/>
        <w:spacing w:after="0" w:line="240" w:lineRule="auto"/>
        <w:jc w:val="both"/>
        <w:rPr>
          <w:rFonts w:eastAsia="ChaparralPro-Regular" w:cs="Arial"/>
          <w:sz w:val="16"/>
          <w:szCs w:val="16"/>
        </w:rPr>
      </w:pPr>
      <w:r w:rsidRPr="00442515">
        <w:rPr>
          <w:rFonts w:eastAsia="ChaparralPro-Regular" w:cs="Arial"/>
          <w:sz w:val="16"/>
          <w:szCs w:val="16"/>
          <w:vertAlign w:val="superscript"/>
        </w:rPr>
        <w:t>3)</w:t>
      </w:r>
      <w:r w:rsidRPr="00442515">
        <w:rPr>
          <w:rFonts w:eastAsia="ChaparralPro-Regular" w:cs="Arial"/>
          <w:sz w:val="16"/>
          <w:szCs w:val="16"/>
        </w:rPr>
        <w:t xml:space="preserve"> Údaje pouze za veřejné vysoké školy, nejsou zahrnuti pracovníci kolejí, menz, </w:t>
      </w:r>
      <w:r w:rsidR="00BD78B1" w:rsidRPr="00442515">
        <w:rPr>
          <w:rFonts w:eastAsia="ChaparralPro-Regular" w:cs="Arial"/>
          <w:sz w:val="16"/>
          <w:szCs w:val="16"/>
        </w:rPr>
        <w:t>vysokoškolský</w:t>
      </w:r>
      <w:r w:rsidR="00BD78B1">
        <w:rPr>
          <w:rFonts w:eastAsia="ChaparralPro-Regular" w:cs="Arial"/>
          <w:sz w:val="16"/>
          <w:szCs w:val="16"/>
        </w:rPr>
        <w:t>ch zemědělských statků (VŠZS) a </w:t>
      </w:r>
      <w:r w:rsidR="00BD78B1" w:rsidRPr="00442515">
        <w:rPr>
          <w:rFonts w:eastAsia="ChaparralPro-Regular" w:cs="Arial"/>
          <w:sz w:val="16"/>
          <w:szCs w:val="16"/>
        </w:rPr>
        <w:t>vysokoškolských lesních statků (VŠLS)</w:t>
      </w:r>
      <w:r w:rsidRPr="00442515">
        <w:rPr>
          <w:rFonts w:eastAsia="ChaparralPro-Regular" w:cs="Arial"/>
          <w:sz w:val="16"/>
          <w:szCs w:val="16"/>
        </w:rPr>
        <w:t>.</w:t>
      </w:r>
    </w:p>
    <w:p w:rsidR="00510886" w:rsidRPr="00442515" w:rsidRDefault="00510886" w:rsidP="00306953">
      <w:pPr>
        <w:autoSpaceDE w:val="0"/>
        <w:autoSpaceDN w:val="0"/>
        <w:adjustRightInd w:val="0"/>
        <w:spacing w:after="0" w:line="240" w:lineRule="auto"/>
        <w:jc w:val="both"/>
        <w:rPr>
          <w:rFonts w:eastAsia="ChaparralPro-Regular" w:cs="Arial"/>
          <w:sz w:val="16"/>
          <w:szCs w:val="16"/>
        </w:rPr>
      </w:pPr>
      <w:r>
        <w:rPr>
          <w:rFonts w:eastAsia="ChaparralPro-Regular" w:cs="Arial"/>
          <w:sz w:val="16"/>
          <w:szCs w:val="16"/>
        </w:rPr>
        <w:t>X … Údaj nelze uvést – viz poznámku pod tabulkou č. 2.</w:t>
      </w:r>
    </w:p>
    <w:p w:rsidR="00306953" w:rsidRPr="00442515" w:rsidRDefault="00306953" w:rsidP="00306953">
      <w:pPr>
        <w:autoSpaceDE w:val="0"/>
        <w:autoSpaceDN w:val="0"/>
        <w:adjustRightInd w:val="0"/>
        <w:spacing w:after="0" w:line="240" w:lineRule="auto"/>
        <w:jc w:val="both"/>
        <w:rPr>
          <w:rFonts w:cs="Arial"/>
          <w:sz w:val="16"/>
          <w:szCs w:val="16"/>
        </w:rPr>
      </w:pPr>
      <w:r w:rsidRPr="00442515">
        <w:rPr>
          <w:rFonts w:eastAsia="ChaparralPro-Regular" w:cs="Arial"/>
          <w:sz w:val="16"/>
          <w:szCs w:val="16"/>
        </w:rPr>
        <w:t>Pozn.: Výraznější nárůst platů učitelů mateřských škol v roce 2012 může být ovlivněn zvyšováním platů učitelů za působení ministra školství Josefa Dobeše. K prvnímu zvýšení došlo v roce 2011 (2,1 mld. korun), kdy se zvyšovaly</w:t>
      </w:r>
      <w:r w:rsidR="00E52654">
        <w:rPr>
          <w:rFonts w:eastAsia="ChaparralPro-Regular" w:cs="Arial"/>
          <w:sz w:val="16"/>
          <w:szCs w:val="16"/>
        </w:rPr>
        <w:t xml:space="preserve"> platy začínajících pedagožek a </w:t>
      </w:r>
      <w:r w:rsidRPr="00442515">
        <w:rPr>
          <w:rFonts w:eastAsia="ChaparralPro-Regular" w:cs="Arial"/>
          <w:sz w:val="16"/>
          <w:szCs w:val="16"/>
        </w:rPr>
        <w:t>pedagogů, a sice ze 14,5 tisíce korun na rovných 20 tisíc korun. K dalšímu zvýšení, tentokrát za</w:t>
      </w:r>
      <w:r w:rsidR="00E52654">
        <w:rPr>
          <w:rFonts w:eastAsia="ChaparralPro-Regular" w:cs="Arial"/>
          <w:sz w:val="16"/>
          <w:szCs w:val="16"/>
        </w:rPr>
        <w:t>měřenému na ocenění zkušených a </w:t>
      </w:r>
      <w:r w:rsidRPr="00442515">
        <w:rPr>
          <w:rFonts w:eastAsia="ChaparralPro-Regular" w:cs="Arial"/>
          <w:sz w:val="16"/>
          <w:szCs w:val="16"/>
        </w:rPr>
        <w:t xml:space="preserve">kvalifikovaných učitelů, došlo v roce 2012, kdy dostali sice přidáno všichni, nicméně kvalifikovaní učitelé byli zařazeni do vyšší platové třídy a dostali tak více peněz. Více viz </w:t>
      </w:r>
      <w:hyperlink r:id="rId116" w:history="1">
        <w:r w:rsidRPr="00BA5776">
          <w:rPr>
            <w:rStyle w:val="Hypertextovodkaz"/>
            <w:rFonts w:eastAsia="ChaparralPro-Regular" w:cs="Arial"/>
            <w:sz w:val="16"/>
            <w:szCs w:val="16"/>
          </w:rPr>
          <w:t>zde</w:t>
        </w:r>
      </w:hyperlink>
      <w:r w:rsidR="00BA5776">
        <w:rPr>
          <w:rFonts w:eastAsia="ChaparralPro-Regular" w:cs="Arial"/>
          <w:sz w:val="16"/>
          <w:szCs w:val="16"/>
        </w:rPr>
        <w:t>.</w:t>
      </w:r>
    </w:p>
    <w:p w:rsidR="00306953" w:rsidRPr="00442515" w:rsidRDefault="00306953" w:rsidP="00306953">
      <w:pPr>
        <w:autoSpaceDE w:val="0"/>
        <w:autoSpaceDN w:val="0"/>
        <w:adjustRightInd w:val="0"/>
        <w:spacing w:after="120" w:line="240" w:lineRule="auto"/>
        <w:jc w:val="both"/>
        <w:rPr>
          <w:rFonts w:eastAsia="ChaparralPro-Regular" w:cs="Arial"/>
          <w:sz w:val="16"/>
          <w:szCs w:val="16"/>
        </w:rPr>
      </w:pPr>
      <w:r w:rsidRPr="00442515">
        <w:rPr>
          <w:rFonts w:eastAsia="ChaparralPro-Regular" w:cs="Arial"/>
          <w:sz w:val="16"/>
          <w:szCs w:val="16"/>
        </w:rPr>
        <w:t>Zdroj: Tabulky Vyv B3.15, VyvB4.15, Vyv B5.1.21, Vyv B7.3.15,</w:t>
      </w:r>
      <w:r w:rsidR="00BA5776">
        <w:rPr>
          <w:rFonts w:eastAsia="ChaparralPro-Regular" w:cs="Arial"/>
          <w:sz w:val="16"/>
          <w:szCs w:val="16"/>
        </w:rPr>
        <w:t xml:space="preserve"> </w:t>
      </w:r>
      <w:hyperlink r:id="rId117" w:history="1">
        <w:r w:rsidR="00BA5776" w:rsidRPr="00BA5776">
          <w:rPr>
            <w:rStyle w:val="Hypertextovodkaz"/>
            <w:rFonts w:eastAsia="ChaparralPro-Regular" w:cs="Arial"/>
            <w:sz w:val="16"/>
            <w:szCs w:val="16"/>
          </w:rPr>
          <w:t>Vývojová ročenka školství</w:t>
        </w:r>
      </w:hyperlink>
      <w:r w:rsidRPr="00442515">
        <w:rPr>
          <w:rFonts w:eastAsia="ChaparralPro-Regular" w:cs="Arial"/>
          <w:sz w:val="16"/>
          <w:szCs w:val="16"/>
        </w:rPr>
        <w:t xml:space="preserve"> MŠMT, výběr údajů ČSÚ.</w:t>
      </w:r>
    </w:p>
    <w:p w:rsidR="00E031F1" w:rsidRDefault="00E031F1" w:rsidP="00E031F1">
      <w:pPr>
        <w:autoSpaceDE w:val="0"/>
        <w:autoSpaceDN w:val="0"/>
        <w:adjustRightInd w:val="0"/>
        <w:spacing w:after="0" w:line="240" w:lineRule="auto"/>
        <w:jc w:val="both"/>
        <w:rPr>
          <w:rFonts w:eastAsia="ChaparralPro-Regular" w:cs="Arial"/>
        </w:rPr>
      </w:pPr>
    </w:p>
    <w:p w:rsidR="00306953" w:rsidRPr="00306953" w:rsidRDefault="006A5F22" w:rsidP="00306953">
      <w:pPr>
        <w:autoSpaceDE w:val="0"/>
        <w:autoSpaceDN w:val="0"/>
        <w:adjustRightInd w:val="0"/>
        <w:spacing w:after="120" w:line="240" w:lineRule="auto"/>
        <w:jc w:val="both"/>
        <w:rPr>
          <w:rFonts w:eastAsia="ChaparralPro-Regular" w:cs="Arial"/>
        </w:rPr>
      </w:pPr>
      <w:r>
        <w:rPr>
          <w:rFonts w:eastAsia="ChaparralPro-Regular" w:cs="Arial"/>
        </w:rPr>
        <w:t xml:space="preserve">Přejděme ke srovnání situace v ČR s jinými zeměmi. </w:t>
      </w:r>
      <w:r w:rsidR="00306953" w:rsidRPr="00306953">
        <w:rPr>
          <w:rFonts w:eastAsia="ChaparralPro-Regular" w:cs="Arial"/>
        </w:rPr>
        <w:t xml:space="preserve">Aby byla při srovnávání různých zemí a úrovní vzdělávání zohledněna velikost populace žáků, sledují se v publikaci Education at a Glance </w:t>
      </w:r>
      <w:r w:rsidR="00306953" w:rsidRPr="00306953">
        <w:rPr>
          <w:rFonts w:eastAsia="ChaparralPro-Regular" w:cs="Arial"/>
          <w:b/>
          <w:i/>
        </w:rPr>
        <w:t>náklady na platy učitelů na jednoho žáka</w:t>
      </w:r>
      <w:r w:rsidR="00306953" w:rsidRPr="00306953">
        <w:rPr>
          <w:rFonts w:eastAsia="ChaparralPro-Regular" w:cs="Arial"/>
        </w:rPr>
        <w:t xml:space="preserve"> ve vzdělávacím systému různých zemí OECD v dělení na jednotlivé úrovně vzdělávání. Jak je v publikaci uvedeno, náklady na platy učitelů na jednoho žáka jsou ovlivňovány různou kombinací těchto </w:t>
      </w:r>
      <w:r w:rsidR="00306953" w:rsidRPr="00306953">
        <w:rPr>
          <w:rFonts w:eastAsia="ChaparralPro-Regular" w:cs="Arial"/>
          <w:b/>
          <w:i/>
        </w:rPr>
        <w:t>čtyř faktorů</w:t>
      </w:r>
      <w:r w:rsidR="00306953" w:rsidRPr="00306953">
        <w:rPr>
          <w:rFonts w:eastAsia="ChaparralPro-Regular" w:cs="Arial"/>
        </w:rPr>
        <w:t xml:space="preserve">: počtem hodin, které učitelé stráví výukou, počtem vyučovacích hodin, které žáci absolvují, výší platu učitelů a odhadovanou velikostí třídy (viz </w:t>
      </w:r>
      <w:hyperlink r:id="rId118" w:history="1">
        <w:r w:rsidR="00306953" w:rsidRPr="00306953">
          <w:rPr>
            <w:rStyle w:val="Hypertextovodkaz"/>
            <w:rFonts w:eastAsia="ChaparralPro-Regular" w:cs="Arial"/>
          </w:rPr>
          <w:t>OECD 2015</w:t>
        </w:r>
      </w:hyperlink>
      <w:r w:rsidR="00306953" w:rsidRPr="00306953">
        <w:rPr>
          <w:rFonts w:eastAsia="ChaparralPro-Regular" w:cs="Arial"/>
        </w:rPr>
        <w:t>, s. 292). Za shodnou výší nákladů na platy učitelů na jednoho žáka mohou stát</w:t>
      </w:r>
      <w:r w:rsidR="00306953" w:rsidRPr="00306953">
        <w:rPr>
          <w:rFonts w:eastAsia="ChaparralPro-Regular" w:cs="Arial"/>
          <w:b/>
          <w:i/>
        </w:rPr>
        <w:t xml:space="preserve"> různá i protichůdná politická opatření</w:t>
      </w:r>
      <w:r w:rsidR="00306953" w:rsidRPr="00306953">
        <w:rPr>
          <w:rFonts w:eastAsia="ChaparralPro-Regular" w:cs="Arial"/>
        </w:rPr>
        <w:t>. Z tohoto důvodu ani nelze jednoduše spojovat celkové výdaje na vzdělávání s výkony žáků (tamtéž, s. 291).</w:t>
      </w:r>
    </w:p>
    <w:p w:rsidR="00306953" w:rsidRPr="00306953" w:rsidRDefault="00306953" w:rsidP="00306953">
      <w:pPr>
        <w:autoSpaceDE w:val="0"/>
        <w:autoSpaceDN w:val="0"/>
        <w:adjustRightInd w:val="0"/>
        <w:spacing w:after="120" w:line="240" w:lineRule="auto"/>
        <w:jc w:val="both"/>
        <w:rPr>
          <w:rFonts w:eastAsia="ChaparralPro-Regular" w:cs="Arial"/>
        </w:rPr>
      </w:pPr>
      <w:r w:rsidRPr="00306953">
        <w:rPr>
          <w:rFonts w:eastAsia="ChaparralPro-Regular" w:cs="Arial"/>
        </w:rPr>
        <w:t xml:space="preserve">V grafech </w:t>
      </w:r>
      <w:r w:rsidR="00C12CBC">
        <w:rPr>
          <w:rFonts w:eastAsia="ChaparralPro-Regular" w:cs="Arial"/>
        </w:rPr>
        <w:t xml:space="preserve">a tabulkách </w:t>
      </w:r>
      <w:r w:rsidRPr="00306953">
        <w:rPr>
          <w:rFonts w:eastAsia="ChaparralPro-Regular" w:cs="Arial"/>
        </w:rPr>
        <w:t>níže OECD používá proměnnou „</w:t>
      </w:r>
      <w:r w:rsidRPr="00306953">
        <w:rPr>
          <w:rFonts w:eastAsia="ChaparralPro-Regular" w:cs="Arial"/>
          <w:b/>
        </w:rPr>
        <w:t>náklady na platy učitelů na žáka</w:t>
      </w:r>
      <w:r w:rsidRPr="00306953">
        <w:rPr>
          <w:rFonts w:eastAsia="ChaparralPro-Regular" w:cs="Arial"/>
        </w:rPr>
        <w:t>“. Tato proměnná je vypočítána následujícím způsobem:</w:t>
      </w:r>
    </w:p>
    <w:p w:rsidR="00306953" w:rsidRPr="00306953" w:rsidRDefault="00306953" w:rsidP="00306953">
      <w:pPr>
        <w:autoSpaceDE w:val="0"/>
        <w:autoSpaceDN w:val="0"/>
        <w:adjustRightInd w:val="0"/>
        <w:spacing w:after="0" w:line="240" w:lineRule="auto"/>
        <w:jc w:val="both"/>
        <w:rPr>
          <w:rFonts w:eastAsia="ChaparralPro-Regular" w:cs="Arial"/>
        </w:rPr>
      </w:pPr>
      <w:r w:rsidRPr="00306953">
        <w:rPr>
          <w:rFonts w:eastAsia="ChaparralPro-Regular" w:cs="Arial"/>
        </w:rPr>
        <w:t>CCS = SAL X instT X (1/teachT) X (1/ClassSize) = SAL/(Ratio stud/teacher)</w:t>
      </w:r>
    </w:p>
    <w:p w:rsidR="00306953" w:rsidRPr="00306953" w:rsidRDefault="00306953" w:rsidP="00306953">
      <w:pPr>
        <w:autoSpaceDE w:val="0"/>
        <w:autoSpaceDN w:val="0"/>
        <w:adjustRightInd w:val="0"/>
        <w:spacing w:after="0" w:line="240" w:lineRule="auto"/>
        <w:jc w:val="both"/>
        <w:rPr>
          <w:rFonts w:eastAsia="ChaparralPro-Regular" w:cs="Arial"/>
          <w:sz w:val="12"/>
          <w:szCs w:val="12"/>
        </w:rPr>
      </w:pPr>
      <w:r w:rsidRPr="00306953">
        <w:rPr>
          <w:rFonts w:eastAsia="ChaparralPro-Regular" w:cs="Arial"/>
        </w:rPr>
        <w:t xml:space="preserve"> </w:t>
      </w:r>
    </w:p>
    <w:p w:rsidR="00306953" w:rsidRPr="00306953" w:rsidRDefault="00306953" w:rsidP="00306953">
      <w:pPr>
        <w:autoSpaceDE w:val="0"/>
        <w:autoSpaceDN w:val="0"/>
        <w:adjustRightInd w:val="0"/>
        <w:spacing w:after="0" w:line="240" w:lineRule="auto"/>
        <w:jc w:val="both"/>
        <w:rPr>
          <w:rFonts w:eastAsia="ChaparralPro-Regular" w:cs="Arial"/>
        </w:rPr>
      </w:pPr>
      <w:r w:rsidRPr="00306953">
        <w:rPr>
          <w:rFonts w:eastAsia="ChaparralPro-Regular" w:cs="Arial"/>
        </w:rPr>
        <w:t>CCS … náklady na platy učitelů na žáka</w:t>
      </w:r>
    </w:p>
    <w:p w:rsidR="00306953" w:rsidRPr="00306953" w:rsidRDefault="00306953" w:rsidP="00306953">
      <w:pPr>
        <w:autoSpaceDE w:val="0"/>
        <w:autoSpaceDN w:val="0"/>
        <w:adjustRightInd w:val="0"/>
        <w:spacing w:after="0" w:line="240" w:lineRule="auto"/>
        <w:jc w:val="both"/>
        <w:rPr>
          <w:rFonts w:eastAsia="ChaparralPro-Regular" w:cs="Arial"/>
        </w:rPr>
      </w:pPr>
      <w:r w:rsidRPr="00306953">
        <w:rPr>
          <w:rFonts w:eastAsia="ChaparralPro-Regular" w:cs="Arial"/>
        </w:rPr>
        <w:t>SAL … platy učitelů (odhad učiněný na základě zákonem stanoveného platu po 15 letech praxe)</w:t>
      </w:r>
    </w:p>
    <w:p w:rsidR="00306953" w:rsidRPr="00306953" w:rsidRDefault="00306953" w:rsidP="00306953">
      <w:pPr>
        <w:autoSpaceDE w:val="0"/>
        <w:autoSpaceDN w:val="0"/>
        <w:adjustRightInd w:val="0"/>
        <w:spacing w:after="0" w:line="240" w:lineRule="auto"/>
        <w:jc w:val="both"/>
        <w:rPr>
          <w:rFonts w:eastAsia="ChaparralPro-Regular" w:cs="Arial"/>
        </w:rPr>
      </w:pPr>
      <w:r w:rsidRPr="00306953">
        <w:rPr>
          <w:rFonts w:eastAsia="ChaparralPro-Regular" w:cs="Arial"/>
        </w:rPr>
        <w:t>instT … doba vyučování žáků /studentů (odhad na základě plánovaného počtu hodin výuky za rok)</w:t>
      </w:r>
    </w:p>
    <w:p w:rsidR="00306953" w:rsidRPr="00306953" w:rsidRDefault="00306953" w:rsidP="00306953">
      <w:pPr>
        <w:autoSpaceDE w:val="0"/>
        <w:autoSpaceDN w:val="0"/>
        <w:adjustRightInd w:val="0"/>
        <w:spacing w:after="0" w:line="240" w:lineRule="auto"/>
        <w:jc w:val="both"/>
        <w:rPr>
          <w:rFonts w:eastAsia="ChaparralPro-Regular" w:cs="Arial"/>
        </w:rPr>
      </w:pPr>
      <w:r w:rsidRPr="00306953">
        <w:rPr>
          <w:rFonts w:eastAsia="ChaparralPro-Regular" w:cs="Arial"/>
        </w:rPr>
        <w:t>teachT … počet hodin odučených učiteli (odhad na základě počtu odučených hodin za rok)</w:t>
      </w:r>
    </w:p>
    <w:p w:rsidR="00306953" w:rsidRPr="00306953" w:rsidRDefault="00306953" w:rsidP="00306953">
      <w:pPr>
        <w:autoSpaceDE w:val="0"/>
        <w:autoSpaceDN w:val="0"/>
        <w:adjustRightInd w:val="0"/>
        <w:spacing w:after="0" w:line="240" w:lineRule="auto"/>
        <w:jc w:val="both"/>
        <w:rPr>
          <w:rFonts w:eastAsia="ChaparralPro-Regular" w:cs="Arial"/>
        </w:rPr>
      </w:pPr>
      <w:r w:rsidRPr="00306953">
        <w:rPr>
          <w:rFonts w:eastAsia="ChaparralPro-Regular" w:cs="Arial"/>
        </w:rPr>
        <w:t xml:space="preserve">ClassSize … odhad velikosti třídy </w:t>
      </w:r>
    </w:p>
    <w:p w:rsidR="00306953" w:rsidRPr="00306953" w:rsidRDefault="00306953" w:rsidP="00306953">
      <w:pPr>
        <w:autoSpaceDE w:val="0"/>
        <w:autoSpaceDN w:val="0"/>
        <w:adjustRightInd w:val="0"/>
        <w:spacing w:after="0" w:line="240" w:lineRule="auto"/>
        <w:jc w:val="both"/>
        <w:rPr>
          <w:rFonts w:eastAsia="ChaparralPro-Regular" w:cs="Arial"/>
        </w:rPr>
      </w:pPr>
      <w:r w:rsidRPr="00306953">
        <w:rPr>
          <w:rFonts w:eastAsia="ChaparralPro-Regular" w:cs="Arial"/>
        </w:rPr>
        <w:t xml:space="preserve">Ratio stud/teacher … podíl počtu žáků/studentů k počtu vyučujícího personálu </w:t>
      </w:r>
    </w:p>
    <w:p w:rsidR="00306953" w:rsidRPr="00306953" w:rsidRDefault="00306953" w:rsidP="00306953">
      <w:pPr>
        <w:autoSpaceDE w:val="0"/>
        <w:autoSpaceDN w:val="0"/>
        <w:adjustRightInd w:val="0"/>
        <w:spacing w:after="0" w:line="240" w:lineRule="auto"/>
        <w:jc w:val="both"/>
        <w:rPr>
          <w:rFonts w:eastAsia="ChaparralPro-Regular" w:cs="Arial"/>
          <w:sz w:val="12"/>
          <w:szCs w:val="12"/>
        </w:rPr>
      </w:pPr>
    </w:p>
    <w:p w:rsidR="00306953" w:rsidRPr="00306953" w:rsidRDefault="00306953" w:rsidP="00306953">
      <w:pPr>
        <w:autoSpaceDE w:val="0"/>
        <w:autoSpaceDN w:val="0"/>
        <w:adjustRightInd w:val="0"/>
        <w:spacing w:after="0" w:line="240" w:lineRule="auto"/>
        <w:jc w:val="both"/>
        <w:rPr>
          <w:rFonts w:eastAsia="ChaparralPro-Regular" w:cs="Arial"/>
        </w:rPr>
      </w:pPr>
      <w:r w:rsidRPr="00306953">
        <w:rPr>
          <w:rFonts w:eastAsia="ChaparralPro-Regular" w:cs="Arial"/>
        </w:rPr>
        <w:t xml:space="preserve">(Více viz </w:t>
      </w:r>
      <w:hyperlink r:id="rId119" w:history="1">
        <w:r w:rsidRPr="00306953">
          <w:rPr>
            <w:rStyle w:val="Hypertextovodkaz"/>
            <w:rFonts w:eastAsia="ChaparralPro-Regular" w:cs="Arial"/>
          </w:rPr>
          <w:t>OECD 2015</w:t>
        </w:r>
      </w:hyperlink>
      <w:r w:rsidRPr="00306953">
        <w:rPr>
          <w:rFonts w:eastAsia="ChaparralPro-Regular" w:cs="Arial"/>
        </w:rPr>
        <w:t>, s. 292)</w:t>
      </w:r>
    </w:p>
    <w:p w:rsidR="00306953" w:rsidRPr="00306953" w:rsidRDefault="00306953" w:rsidP="00306953">
      <w:pPr>
        <w:autoSpaceDE w:val="0"/>
        <w:autoSpaceDN w:val="0"/>
        <w:adjustRightInd w:val="0"/>
        <w:spacing w:after="0" w:line="240" w:lineRule="auto"/>
        <w:jc w:val="both"/>
        <w:rPr>
          <w:rFonts w:eastAsia="ChaparralPro-Regular" w:cs="Arial"/>
          <w:sz w:val="12"/>
          <w:szCs w:val="12"/>
        </w:rPr>
      </w:pPr>
    </w:p>
    <w:p w:rsidR="00306953" w:rsidRPr="00306953" w:rsidRDefault="00306953" w:rsidP="00306953">
      <w:pPr>
        <w:autoSpaceDE w:val="0"/>
        <w:autoSpaceDN w:val="0"/>
        <w:adjustRightInd w:val="0"/>
        <w:spacing w:after="0" w:line="240" w:lineRule="auto"/>
        <w:jc w:val="both"/>
        <w:rPr>
          <w:rFonts w:eastAsia="ChaparralPro-Regular" w:cs="Arial"/>
        </w:rPr>
      </w:pPr>
      <w:r w:rsidRPr="00306953">
        <w:rPr>
          <w:rFonts w:eastAsia="ChaparralPro-Regular" w:cs="Arial"/>
        </w:rPr>
        <w:t>Odhad velikosti třídy = počet žáků na učitele * (počet hodin výuky na 1 žáka / počet hodin, které učitel odučí)</w:t>
      </w:r>
    </w:p>
    <w:p w:rsidR="00306953" w:rsidRPr="00306953" w:rsidRDefault="00306953" w:rsidP="00306953">
      <w:pPr>
        <w:autoSpaceDE w:val="0"/>
        <w:autoSpaceDN w:val="0"/>
        <w:adjustRightInd w:val="0"/>
        <w:spacing w:after="0" w:line="240" w:lineRule="auto"/>
        <w:jc w:val="both"/>
        <w:rPr>
          <w:rFonts w:eastAsia="ChaparralPro-Regular" w:cs="Arial"/>
          <w:sz w:val="12"/>
          <w:szCs w:val="12"/>
        </w:rPr>
      </w:pPr>
    </w:p>
    <w:p w:rsidR="00306953" w:rsidRPr="00306953" w:rsidRDefault="00306953" w:rsidP="00306953">
      <w:pPr>
        <w:autoSpaceDE w:val="0"/>
        <w:autoSpaceDN w:val="0"/>
        <w:adjustRightInd w:val="0"/>
        <w:spacing w:after="0" w:line="240" w:lineRule="auto"/>
        <w:jc w:val="both"/>
        <w:rPr>
          <w:rFonts w:eastAsia="ChaparralPro-Regular" w:cs="Arial"/>
        </w:rPr>
      </w:pPr>
      <w:r w:rsidRPr="00306953">
        <w:rPr>
          <w:rFonts w:eastAsia="ChaparralPro-Regular" w:cs="Arial"/>
        </w:rPr>
        <w:t xml:space="preserve">(Více viz </w:t>
      </w:r>
      <w:hyperlink r:id="rId120" w:history="1">
        <w:r w:rsidRPr="00306953">
          <w:rPr>
            <w:rStyle w:val="Hypertextovodkaz"/>
            <w:rFonts w:eastAsia="ChaparralPro-Regular" w:cs="Arial"/>
          </w:rPr>
          <w:t>OECD 2015</w:t>
        </w:r>
      </w:hyperlink>
      <w:r w:rsidRPr="00306953">
        <w:rPr>
          <w:rFonts w:eastAsia="ChaparralPro-Regular" w:cs="Arial"/>
        </w:rPr>
        <w:t>, s. 421).</w:t>
      </w:r>
    </w:p>
    <w:p w:rsidR="00306953" w:rsidRPr="00306953" w:rsidRDefault="00306953" w:rsidP="00306953">
      <w:pPr>
        <w:autoSpaceDE w:val="0"/>
        <w:autoSpaceDN w:val="0"/>
        <w:adjustRightInd w:val="0"/>
        <w:spacing w:after="0" w:line="240" w:lineRule="auto"/>
        <w:jc w:val="both"/>
        <w:rPr>
          <w:rFonts w:eastAsia="ChaparralPro-Regular" w:cs="Arial"/>
          <w:sz w:val="12"/>
          <w:szCs w:val="12"/>
        </w:rPr>
      </w:pPr>
    </w:p>
    <w:p w:rsidR="00306953" w:rsidRPr="00306953" w:rsidRDefault="00306953" w:rsidP="00306953">
      <w:pPr>
        <w:autoSpaceDE w:val="0"/>
        <w:autoSpaceDN w:val="0"/>
        <w:adjustRightInd w:val="0"/>
        <w:spacing w:after="0" w:line="240" w:lineRule="auto"/>
        <w:jc w:val="both"/>
        <w:rPr>
          <w:rFonts w:eastAsia="ChaparralPro-Regular" w:cs="Arial"/>
        </w:rPr>
      </w:pPr>
      <w:r w:rsidRPr="00306953">
        <w:rPr>
          <w:rFonts w:eastAsia="ChaparralPro-Regular" w:cs="Arial"/>
        </w:rPr>
        <w:t xml:space="preserve">Graf č. 15 ukazuje, že mezi </w:t>
      </w:r>
      <w:r w:rsidR="006A5F22">
        <w:rPr>
          <w:rFonts w:eastAsia="ChaparralPro-Regular" w:cs="Arial"/>
        </w:rPr>
        <w:t xml:space="preserve">různými </w:t>
      </w:r>
      <w:r w:rsidRPr="00306953">
        <w:rPr>
          <w:rFonts w:eastAsia="ChaparralPro-Regular" w:cs="Arial"/>
        </w:rPr>
        <w:t>zeměmi byly v roce 2013 ve výši nákladů na platy učitelů na jednoho žáka primární až vyšší sekundární úrovně velké rozdíly a ve většině zemí stoupaly náklady na platy učitelů na jednoho žáka spolu se zvyšující se úrovní vzdělávání.</w:t>
      </w:r>
    </w:p>
    <w:p w:rsidR="00306953" w:rsidRPr="00306953" w:rsidRDefault="00306953" w:rsidP="00306953">
      <w:pPr>
        <w:autoSpaceDE w:val="0"/>
        <w:autoSpaceDN w:val="0"/>
        <w:adjustRightInd w:val="0"/>
        <w:spacing w:after="0" w:line="240" w:lineRule="auto"/>
        <w:jc w:val="both"/>
        <w:rPr>
          <w:rFonts w:eastAsia="ChaparralPro-Regular" w:cs="Arial"/>
        </w:rPr>
      </w:pPr>
    </w:p>
    <w:p w:rsidR="00306953" w:rsidRDefault="00306953" w:rsidP="00C15ACB">
      <w:pPr>
        <w:keepNext/>
        <w:autoSpaceDE w:val="0"/>
        <w:autoSpaceDN w:val="0"/>
        <w:adjustRightInd w:val="0"/>
        <w:spacing w:after="120" w:line="240" w:lineRule="auto"/>
        <w:jc w:val="both"/>
        <w:rPr>
          <w:rFonts w:eastAsia="ChaparralPro-Regular" w:cs="Arial"/>
          <w:b/>
          <w:i/>
          <w:iCs/>
        </w:rPr>
      </w:pPr>
      <w:r w:rsidRPr="00306953">
        <w:rPr>
          <w:rFonts w:eastAsia="ChaparralPro-Regular" w:cs="Arial"/>
          <w:b/>
        </w:rPr>
        <w:lastRenderedPageBreak/>
        <w:t>Graf č. 15</w:t>
      </w:r>
      <w:r w:rsidRPr="00306953">
        <w:rPr>
          <w:rFonts w:eastAsia="ChaparralPro-Regular" w:cs="Arial"/>
          <w:b/>
          <w:bCs/>
        </w:rPr>
        <w:t xml:space="preserve"> Náklady na platy učitelů na jednoho žáka, dle úrovně vzdělávání (2013) </w:t>
      </w:r>
      <w:r w:rsidRPr="00306953">
        <w:rPr>
          <w:rFonts w:eastAsia="ChaparralPro-Regular" w:cs="Arial"/>
          <w:b/>
          <w:i/>
          <w:iCs/>
        </w:rPr>
        <w:t>v</w:t>
      </w:r>
      <w:r w:rsidR="00F4784B">
        <w:rPr>
          <w:rFonts w:eastAsia="ChaparralPro-Regular" w:cs="Arial"/>
          <w:b/>
          <w:i/>
          <w:iCs/>
        </w:rPr>
        <w:t> </w:t>
      </w:r>
      <w:r w:rsidRPr="00306953">
        <w:rPr>
          <w:rFonts w:eastAsia="ChaparralPro-Regular" w:cs="Arial"/>
          <w:b/>
          <w:i/>
          <w:iCs/>
        </w:rPr>
        <w:t>USD</w:t>
      </w:r>
    </w:p>
    <w:p w:rsidR="00B26952" w:rsidRPr="00F4784B" w:rsidRDefault="00BA5EE1" w:rsidP="00C15ACB">
      <w:pPr>
        <w:keepNext/>
        <w:autoSpaceDE w:val="0"/>
        <w:autoSpaceDN w:val="0"/>
        <w:adjustRightInd w:val="0"/>
        <w:spacing w:after="120" w:line="240" w:lineRule="auto"/>
        <w:jc w:val="both"/>
        <w:rPr>
          <w:rFonts w:eastAsia="ChaparralPro-Regular" w:cs="Arial"/>
          <w:b/>
          <w:i/>
          <w:iCs/>
        </w:rPr>
      </w:pPr>
      <w:r w:rsidRPr="00984E22">
        <w:rPr>
          <w:rFonts w:eastAsia="ChaparralPro-Regular" w:cs="Arial"/>
          <w:b/>
          <w:i/>
          <w:noProof/>
        </w:rPr>
        <w:pict>
          <v:shape id="_x0000_i1041" type="#_x0000_t75" style="width:470.25pt;height:239.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CumPP3AAAAAUBAAAPAAAAZHJzL2Rvd25y&#10;ZXYueG1sTI9BawIxEIXvhf6HMIXealLR1a6blSLYm5TaQq9xM26W3UyWJOrqr2/0Ui8Dj/d475ti&#10;OdiOHdGHxpGE15EAhlQ53VAt4ed7/TIHFqIirTpHKOGMAZbl40Ohcu1O9IXHbaxZKqGQKwkmxj7n&#10;PFQGrQoj1yMlb++8VTFJX3Pt1SmV246Phci4VQ2lBaN6XBms2u3BSvisjWjDKuPnj8tls8ma2W/V&#10;eimfn4b3BbCIQ/wPwxU/oUOZmHbuQDqwTkJ6JN5u8t4mYgpsJ2Eym0+BlwW/py//AA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">
            <v:imagedata r:id="rId121" o:title="" croptop="-2128f" cropbottom="-3059f" cropleft="-1037f" cropright="-1159f"/>
            <o:lock v:ext="edit" aspectratio="f"/>
          </v:shape>
        </w:pict>
      </w:r>
    </w:p>
    <w:p w:rsidR="00306953" w:rsidRPr="00442515" w:rsidRDefault="00306953" w:rsidP="00306953">
      <w:pPr>
        <w:spacing w:after="0" w:line="240" w:lineRule="auto"/>
        <w:jc w:val="both"/>
        <w:rPr>
          <w:rFonts w:eastAsia="ChaparralPro-Regular" w:cs="Arial"/>
          <w:sz w:val="16"/>
          <w:szCs w:val="16"/>
        </w:rPr>
      </w:pPr>
      <w:r w:rsidRPr="00442515">
        <w:rPr>
          <w:rFonts w:eastAsia="ChaparralPro-Regular" w:cs="Arial"/>
          <w:sz w:val="16"/>
          <w:szCs w:val="16"/>
        </w:rPr>
        <w:t xml:space="preserve">Pozn.: Za Finsko, Austrálii, Slovinsko, Norsko, Španělsko, USA, Řecko, Japonsko, Island, Korejskou republiku, Polsko, Českou republiku, Estonsko a Mexiko nejsou k dispozici údaje o nákladech na platy učitelů na jednoho žáka ve vyšším sekundárním vzdělávání. Za USA nejsou k dispozici ani údaje za primární vzdělávání. </w:t>
      </w:r>
    </w:p>
    <w:p w:rsidR="00306953" w:rsidRPr="00442515" w:rsidRDefault="00306953" w:rsidP="00306953">
      <w:pPr>
        <w:spacing w:after="0" w:line="240" w:lineRule="auto"/>
        <w:jc w:val="both"/>
        <w:rPr>
          <w:rFonts w:eastAsia="ChaparralPro-Regular" w:cs="Arial"/>
          <w:sz w:val="16"/>
          <w:szCs w:val="16"/>
        </w:rPr>
      </w:pPr>
      <w:r w:rsidRPr="00442515">
        <w:rPr>
          <w:rFonts w:eastAsia="ChaparralPro-Regular" w:cs="Arial"/>
          <w:sz w:val="16"/>
          <w:szCs w:val="16"/>
        </w:rPr>
        <w:t xml:space="preserve">Zdroj: OECD 2015, graf B 7.1 (tabulka B 7.1). StatLink: </w:t>
      </w:r>
      <w:hyperlink r:id="rId122" w:history="1">
        <w:r w:rsidRPr="00442515">
          <w:rPr>
            <w:rStyle w:val="Hypertextovodkaz"/>
            <w:rFonts w:cs="Arial"/>
            <w:sz w:val="16"/>
            <w:szCs w:val="16"/>
          </w:rPr>
          <w:t>http://dx.doi.org/10.1787/888933284112</w:t>
        </w:r>
      </w:hyperlink>
      <w:r w:rsidRPr="00442515">
        <w:rPr>
          <w:rFonts w:cs="Arial"/>
          <w:color w:val="231F20"/>
          <w:sz w:val="16"/>
          <w:szCs w:val="16"/>
        </w:rPr>
        <w:t xml:space="preserve"> </w:t>
      </w:r>
    </w:p>
    <w:p w:rsidR="00306953" w:rsidRPr="00442515" w:rsidRDefault="00306953" w:rsidP="00306953">
      <w:pPr>
        <w:autoSpaceDE w:val="0"/>
        <w:autoSpaceDN w:val="0"/>
        <w:adjustRightInd w:val="0"/>
        <w:spacing w:after="0" w:line="240" w:lineRule="auto"/>
        <w:jc w:val="both"/>
        <w:rPr>
          <w:rFonts w:eastAsia="ChaparralPro-Regular" w:cs="Arial"/>
          <w:sz w:val="16"/>
          <w:szCs w:val="16"/>
        </w:rPr>
      </w:pPr>
    </w:p>
    <w:p w:rsidR="00306953" w:rsidRPr="00442515" w:rsidRDefault="00306953" w:rsidP="00306953">
      <w:pPr>
        <w:autoSpaceDE w:val="0"/>
        <w:autoSpaceDN w:val="0"/>
        <w:adjustRightInd w:val="0"/>
        <w:spacing w:after="120" w:line="240" w:lineRule="auto"/>
        <w:jc w:val="both"/>
        <w:rPr>
          <w:rFonts w:eastAsia="ChaparralPro-Regular" w:cs="Arial"/>
          <w:szCs w:val="20"/>
        </w:rPr>
      </w:pPr>
      <w:r w:rsidRPr="00442515">
        <w:rPr>
          <w:rFonts w:eastAsia="ChaparralPro-Regular" w:cs="Arial"/>
          <w:szCs w:val="20"/>
        </w:rPr>
        <w:t xml:space="preserve">Jak je z grafu č. 15 dále patrné, v roce 2013 byla výše </w:t>
      </w:r>
      <w:r w:rsidRPr="00442515">
        <w:rPr>
          <w:rFonts w:eastAsia="ChaparralPro-Regular" w:cs="Arial"/>
          <w:b/>
          <w:i/>
          <w:szCs w:val="20"/>
        </w:rPr>
        <w:t>nákladů na platy učitelů na jednoho žáka</w:t>
      </w:r>
      <w:r w:rsidRPr="00442515">
        <w:rPr>
          <w:rFonts w:eastAsia="ChaparralPro-Regular" w:cs="Arial"/>
          <w:szCs w:val="20"/>
        </w:rPr>
        <w:t xml:space="preserve"> v primárním i nižším sekundárním vzdělávání </w:t>
      </w:r>
      <w:r w:rsidRPr="00442515">
        <w:rPr>
          <w:rFonts w:eastAsia="ChaparralPro-Regular" w:cs="Arial"/>
          <w:b/>
          <w:i/>
          <w:szCs w:val="20"/>
        </w:rPr>
        <w:t>v ČR</w:t>
      </w:r>
      <w:r w:rsidRPr="00442515">
        <w:rPr>
          <w:rFonts w:eastAsia="ChaparralPro-Regular" w:cs="Arial"/>
          <w:szCs w:val="20"/>
        </w:rPr>
        <w:t xml:space="preserve"> v mezinárodním srovnání </w:t>
      </w:r>
      <w:r w:rsidRPr="00442515">
        <w:rPr>
          <w:rFonts w:eastAsia="ChaparralPro-Regular" w:cs="Arial"/>
          <w:b/>
          <w:i/>
          <w:szCs w:val="20"/>
        </w:rPr>
        <w:t>výrazně podprůměrná</w:t>
      </w:r>
      <w:r w:rsidRPr="00442515">
        <w:rPr>
          <w:rFonts w:eastAsia="ChaparralPro-Regular" w:cs="Arial"/>
          <w:szCs w:val="20"/>
        </w:rPr>
        <w:t>. V sousedním Polsku byly náklady na platy učitelů na jednoho žáka v primárním vzdělávání více než dvojnásobné a náklady na platy učitelů na jednoho žáka v nižším sekundá</w:t>
      </w:r>
      <w:r w:rsidR="00E52654">
        <w:rPr>
          <w:rFonts w:eastAsia="ChaparralPro-Regular" w:cs="Arial"/>
          <w:szCs w:val="20"/>
        </w:rPr>
        <w:t>rním vzdělávání byly více než o </w:t>
      </w:r>
      <w:r w:rsidRPr="00442515">
        <w:rPr>
          <w:rFonts w:eastAsia="ChaparralPro-Regular" w:cs="Arial"/>
          <w:szCs w:val="20"/>
        </w:rPr>
        <w:t>polovinu vyšší. Na Slovensku byly náklady na platy učitelů na jednoho žáka v primárním vzdělávání přibližně stejné jako v ČR, náklady na jednoho žáka v nižším sekundárním vzdělávání však byly o téměř čtvrtinu nižší. Lze tedy konstatovat, že na Slovensku byly náklady na mzdy u</w:t>
      </w:r>
      <w:r w:rsidR="003A515E">
        <w:rPr>
          <w:rFonts w:eastAsia="ChaparralPro-Regular" w:cs="Arial"/>
          <w:szCs w:val="20"/>
        </w:rPr>
        <w:t>čitelů v primárním vzdělávání a </w:t>
      </w:r>
      <w:r w:rsidRPr="00442515">
        <w:rPr>
          <w:rFonts w:eastAsia="ChaparralPro-Regular" w:cs="Arial"/>
          <w:szCs w:val="20"/>
        </w:rPr>
        <w:t>v nižším sekundárním vzdělávání vyrovnanější než v České republice. Přitom pouze v Chile, v Korejské republice a na Islandu mírně převážily výdaje na mzdy učitelů na jednoho žáka v primárním vzdělávání nad výdaji na mzdy učitelů na jednoho žáka v nižším sekundárním vzdělávání a v Kanadě byly tyto dva náklady vyrovnané.</w:t>
      </w:r>
    </w:p>
    <w:p w:rsidR="00306953" w:rsidRPr="00442515" w:rsidRDefault="00306953" w:rsidP="00306953">
      <w:pPr>
        <w:autoSpaceDE w:val="0"/>
        <w:autoSpaceDN w:val="0"/>
        <w:adjustRightInd w:val="0"/>
        <w:spacing w:after="120" w:line="240" w:lineRule="auto"/>
        <w:jc w:val="both"/>
        <w:rPr>
          <w:rFonts w:eastAsia="ChaparralPro-Regular" w:cs="Arial"/>
          <w:b/>
          <w:szCs w:val="20"/>
        </w:rPr>
      </w:pPr>
      <w:r w:rsidRPr="00442515">
        <w:rPr>
          <w:rFonts w:eastAsia="ChaparralPro-Regular" w:cs="Arial"/>
          <w:szCs w:val="20"/>
        </w:rPr>
        <w:t xml:space="preserve">Tabulka č. 26 obsahuje tytéž údaje jako graf č. 15, navíc však znázorňuje </w:t>
      </w:r>
      <w:r w:rsidRPr="00442515">
        <w:rPr>
          <w:rFonts w:eastAsia="ChaparralPro-Regular" w:cs="Arial"/>
          <w:b/>
          <w:szCs w:val="20"/>
        </w:rPr>
        <w:t>výdaje na mzdy učitelů působících v primárním až vyšším sekundárním vzd</w:t>
      </w:r>
      <w:r w:rsidR="006A5F22">
        <w:rPr>
          <w:rFonts w:eastAsia="ChaparralPro-Regular" w:cs="Arial"/>
          <w:b/>
          <w:szCs w:val="20"/>
        </w:rPr>
        <w:t xml:space="preserve">ělávání ve vyjádření v podílu </w:t>
      </w:r>
      <w:r w:rsidRPr="00442515">
        <w:rPr>
          <w:rFonts w:eastAsia="ChaparralPro-Regular" w:cs="Arial"/>
          <w:b/>
          <w:szCs w:val="20"/>
        </w:rPr>
        <w:t>HDP dané země</w:t>
      </w:r>
      <w:r w:rsidRPr="00442515">
        <w:rPr>
          <w:rFonts w:eastAsia="ChaparralPro-Regular" w:cs="Arial"/>
          <w:szCs w:val="20"/>
        </w:rPr>
        <w:t xml:space="preserve"> v roce 2013.</w:t>
      </w:r>
    </w:p>
    <w:p w:rsidR="00306953" w:rsidRPr="00E031F1" w:rsidRDefault="00306953" w:rsidP="00306953">
      <w:pPr>
        <w:autoSpaceDE w:val="0"/>
        <w:autoSpaceDN w:val="0"/>
        <w:adjustRightInd w:val="0"/>
        <w:spacing w:after="0" w:line="240" w:lineRule="auto"/>
        <w:jc w:val="both"/>
        <w:rPr>
          <w:rFonts w:eastAsia="ChaparralPro-Regular" w:cs="Arial"/>
          <w:sz w:val="16"/>
          <w:szCs w:val="16"/>
        </w:rPr>
      </w:pPr>
    </w:p>
    <w:p w:rsidR="00306953" w:rsidRPr="00442515" w:rsidRDefault="00306953" w:rsidP="00306953">
      <w:pPr>
        <w:keepNext/>
        <w:autoSpaceDE w:val="0"/>
        <w:autoSpaceDN w:val="0"/>
        <w:adjustRightInd w:val="0"/>
        <w:spacing w:after="0" w:line="240" w:lineRule="auto"/>
        <w:jc w:val="both"/>
        <w:rPr>
          <w:rFonts w:eastAsia="ChaparralPro-Regular" w:cs="Arial"/>
          <w:b/>
          <w:szCs w:val="20"/>
        </w:rPr>
      </w:pPr>
      <w:r w:rsidRPr="00442515">
        <w:rPr>
          <w:rFonts w:eastAsia="ChaparralPro-Regular" w:cs="Arial"/>
          <w:b/>
          <w:szCs w:val="20"/>
        </w:rPr>
        <w:t xml:space="preserve">Tabulka č. 26 Náklady na mzdy učitelů na jednoho žáka, dle úrovně vzdělávání (2013)   </w:t>
      </w:r>
    </w:p>
    <w:p w:rsidR="00306953" w:rsidRPr="00442515" w:rsidRDefault="00306953" w:rsidP="00306953">
      <w:pPr>
        <w:pStyle w:val="Textkomente"/>
        <w:rPr>
          <w:rFonts w:ascii="Arial" w:eastAsia="ChaparralPro-Regular" w:hAnsi="Arial" w:cs="Arial"/>
          <w:i/>
          <w:lang w:eastAsia="cs-CZ"/>
        </w:rPr>
      </w:pPr>
      <w:r w:rsidRPr="00442515">
        <w:rPr>
          <w:rFonts w:ascii="Arial" w:eastAsia="ChaparralPro-Regular" w:hAnsi="Arial" w:cs="Arial"/>
          <w:i/>
          <w:lang w:eastAsia="cs-CZ"/>
        </w:rPr>
        <w:t xml:space="preserve">ekvivalent USD konvertovaný podle parity kupní síly pro soukromou spotřebu k HDP na jednoho obyvatele  </w:t>
      </w:r>
    </w:p>
    <w:tbl>
      <w:tblPr>
        <w:tblW w:w="8918" w:type="dxa"/>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2000"/>
        <w:gridCol w:w="1074"/>
        <w:gridCol w:w="1276"/>
        <w:gridCol w:w="1134"/>
        <w:gridCol w:w="1134"/>
        <w:gridCol w:w="1166"/>
        <w:gridCol w:w="1134"/>
      </w:tblGrid>
      <w:tr w:rsidR="00306953" w:rsidRPr="00442515" w:rsidTr="00D810B8">
        <w:trPr>
          <w:trHeight w:val="720"/>
        </w:trPr>
        <w:tc>
          <w:tcPr>
            <w:tcW w:w="2000" w:type="dxa"/>
            <w:vMerge w:val="restart"/>
            <w:tcBorders>
              <w:top w:val="double" w:sz="4" w:space="0" w:color="auto"/>
              <w:bottom w:val="single" w:sz="4" w:space="0" w:color="auto"/>
            </w:tcBorders>
            <w:shd w:val="clear" w:color="auto" w:fill="FFCCCC"/>
            <w:noWrap/>
            <w:vAlign w:val="bottom"/>
            <w:hideMark/>
          </w:tcPr>
          <w:p w:rsidR="00306953" w:rsidRPr="00442515" w:rsidRDefault="00306953" w:rsidP="00306953">
            <w:pPr>
              <w:keepNext/>
              <w:spacing w:after="0" w:line="240" w:lineRule="auto"/>
              <w:rPr>
                <w:rFonts w:cs="Arial"/>
                <w:sz w:val="16"/>
                <w:szCs w:val="16"/>
              </w:rPr>
            </w:pPr>
            <w:r w:rsidRPr="00442515">
              <w:rPr>
                <w:rFonts w:cs="Arial"/>
                <w:sz w:val="16"/>
                <w:szCs w:val="16"/>
              </w:rPr>
              <w:t> </w:t>
            </w:r>
          </w:p>
          <w:p w:rsidR="00306953" w:rsidRPr="00442515" w:rsidRDefault="00306953" w:rsidP="00306953">
            <w:pPr>
              <w:keepNext/>
              <w:spacing w:after="0" w:line="240" w:lineRule="auto"/>
              <w:rPr>
                <w:rFonts w:cs="Arial"/>
                <w:sz w:val="16"/>
                <w:szCs w:val="16"/>
              </w:rPr>
            </w:pPr>
            <w:r w:rsidRPr="00442515">
              <w:rPr>
                <w:rFonts w:cs="Arial"/>
                <w:sz w:val="16"/>
                <w:szCs w:val="16"/>
              </w:rPr>
              <w:t> </w:t>
            </w:r>
          </w:p>
        </w:tc>
        <w:tc>
          <w:tcPr>
            <w:tcW w:w="3484" w:type="dxa"/>
            <w:gridSpan w:val="3"/>
            <w:tcBorders>
              <w:top w:val="double" w:sz="4" w:space="0" w:color="auto"/>
              <w:bottom w:val="single" w:sz="4" w:space="0" w:color="auto"/>
            </w:tcBorders>
            <w:shd w:val="clear" w:color="auto" w:fill="FFCCCC"/>
            <w:vAlign w:val="center"/>
            <w:hideMark/>
          </w:tcPr>
          <w:p w:rsidR="00306953" w:rsidRPr="00442515" w:rsidRDefault="009F4EC6" w:rsidP="00306953">
            <w:pPr>
              <w:keepNext/>
              <w:spacing w:after="0" w:line="240" w:lineRule="auto"/>
              <w:jc w:val="center"/>
              <w:rPr>
                <w:rFonts w:cs="Arial"/>
                <w:sz w:val="16"/>
                <w:szCs w:val="16"/>
              </w:rPr>
            </w:pPr>
            <w:r>
              <w:rPr>
                <w:rFonts w:cs="Arial"/>
                <w:b/>
                <w:bCs/>
                <w:sz w:val="16"/>
                <w:szCs w:val="16"/>
              </w:rPr>
              <w:t>n</w:t>
            </w:r>
            <w:r w:rsidR="00306953" w:rsidRPr="00442515">
              <w:rPr>
                <w:rFonts w:cs="Arial"/>
                <w:b/>
                <w:bCs/>
                <w:sz w:val="16"/>
                <w:szCs w:val="16"/>
              </w:rPr>
              <w:t xml:space="preserve">áklady na platy učitelů na jednoho žáka </w:t>
            </w:r>
            <w:r w:rsidR="00306953" w:rsidRPr="00442515">
              <w:rPr>
                <w:rFonts w:cs="Arial"/>
                <w:sz w:val="16"/>
                <w:szCs w:val="16"/>
              </w:rPr>
              <w:br/>
              <w:t>(v USD)</w:t>
            </w:r>
          </w:p>
        </w:tc>
        <w:tc>
          <w:tcPr>
            <w:tcW w:w="3434" w:type="dxa"/>
            <w:gridSpan w:val="3"/>
            <w:tcBorders>
              <w:top w:val="double" w:sz="4" w:space="0" w:color="auto"/>
              <w:bottom w:val="single" w:sz="4" w:space="0" w:color="auto"/>
            </w:tcBorders>
            <w:shd w:val="clear" w:color="auto" w:fill="FFCCCC"/>
            <w:vAlign w:val="center"/>
            <w:hideMark/>
          </w:tcPr>
          <w:p w:rsidR="00306953" w:rsidRPr="00442515" w:rsidRDefault="009F4EC6" w:rsidP="00306953">
            <w:pPr>
              <w:keepNext/>
              <w:spacing w:after="0" w:line="240" w:lineRule="auto"/>
              <w:jc w:val="center"/>
              <w:rPr>
                <w:rFonts w:cs="Arial"/>
                <w:sz w:val="16"/>
                <w:szCs w:val="16"/>
              </w:rPr>
            </w:pPr>
            <w:r>
              <w:rPr>
                <w:rFonts w:cs="Arial"/>
                <w:b/>
                <w:bCs/>
                <w:sz w:val="16"/>
                <w:szCs w:val="16"/>
              </w:rPr>
              <w:t>n</w:t>
            </w:r>
            <w:r w:rsidR="00306953" w:rsidRPr="00442515">
              <w:rPr>
                <w:rFonts w:cs="Arial"/>
                <w:b/>
                <w:bCs/>
                <w:sz w:val="16"/>
                <w:szCs w:val="16"/>
              </w:rPr>
              <w:t>áklady na platy učitelů na jednoho žáka</w:t>
            </w:r>
            <w:r w:rsidR="00306953" w:rsidRPr="00442515">
              <w:rPr>
                <w:rFonts w:cs="Arial"/>
                <w:sz w:val="16"/>
                <w:szCs w:val="16"/>
              </w:rPr>
              <w:t xml:space="preserve"> </w:t>
            </w:r>
            <w:r w:rsidR="00306953" w:rsidRPr="00442515">
              <w:rPr>
                <w:rFonts w:cs="Arial"/>
                <w:sz w:val="16"/>
                <w:szCs w:val="16"/>
              </w:rPr>
              <w:br/>
              <w:t>(v % HDP na jednoho obyvatele)</w:t>
            </w:r>
          </w:p>
        </w:tc>
      </w:tr>
      <w:tr w:rsidR="00306953" w:rsidRPr="00442515" w:rsidTr="00D810B8">
        <w:trPr>
          <w:trHeight w:val="675"/>
        </w:trPr>
        <w:tc>
          <w:tcPr>
            <w:tcW w:w="2000" w:type="dxa"/>
            <w:vMerge/>
            <w:tcBorders>
              <w:top w:val="single" w:sz="4" w:space="0" w:color="auto"/>
              <w:bottom w:val="double" w:sz="4" w:space="0" w:color="auto"/>
            </w:tcBorders>
            <w:shd w:val="clear" w:color="auto" w:fill="FFCCCC"/>
            <w:noWrap/>
            <w:vAlign w:val="bottom"/>
            <w:hideMark/>
          </w:tcPr>
          <w:p w:rsidR="00306953" w:rsidRPr="00442515" w:rsidRDefault="00306953" w:rsidP="00306953">
            <w:pPr>
              <w:keepNext/>
              <w:spacing w:after="0" w:line="240" w:lineRule="auto"/>
              <w:rPr>
                <w:rFonts w:cs="Arial"/>
                <w:sz w:val="16"/>
                <w:szCs w:val="16"/>
              </w:rPr>
            </w:pPr>
          </w:p>
        </w:tc>
        <w:tc>
          <w:tcPr>
            <w:tcW w:w="1074" w:type="dxa"/>
            <w:tcBorders>
              <w:top w:val="single" w:sz="4" w:space="0" w:color="auto"/>
              <w:bottom w:val="double" w:sz="4" w:space="0" w:color="auto"/>
            </w:tcBorders>
            <w:shd w:val="clear" w:color="auto" w:fill="FFCCCC"/>
            <w:vAlign w:val="bottom"/>
            <w:hideMark/>
          </w:tcPr>
          <w:p w:rsidR="00306953" w:rsidRPr="00442515" w:rsidRDefault="009F4EC6" w:rsidP="00306953">
            <w:pPr>
              <w:keepNext/>
              <w:spacing w:after="0" w:line="240" w:lineRule="auto"/>
              <w:jc w:val="center"/>
              <w:rPr>
                <w:rFonts w:cs="Arial"/>
                <w:sz w:val="16"/>
                <w:szCs w:val="16"/>
              </w:rPr>
            </w:pPr>
            <w:r>
              <w:rPr>
                <w:rFonts w:cs="Arial"/>
                <w:sz w:val="16"/>
                <w:szCs w:val="16"/>
              </w:rPr>
              <w:t>p</w:t>
            </w:r>
            <w:r w:rsidR="00306953" w:rsidRPr="00442515">
              <w:rPr>
                <w:rFonts w:cs="Arial"/>
                <w:sz w:val="16"/>
                <w:szCs w:val="16"/>
              </w:rPr>
              <w:t>rimární vzdělávání</w:t>
            </w:r>
          </w:p>
        </w:tc>
        <w:tc>
          <w:tcPr>
            <w:tcW w:w="1276" w:type="dxa"/>
            <w:tcBorders>
              <w:top w:val="single" w:sz="4" w:space="0" w:color="auto"/>
              <w:bottom w:val="double" w:sz="4" w:space="0" w:color="auto"/>
            </w:tcBorders>
            <w:shd w:val="clear" w:color="auto" w:fill="FFCCCC"/>
            <w:vAlign w:val="bottom"/>
            <w:hideMark/>
          </w:tcPr>
          <w:p w:rsidR="00306953" w:rsidRPr="00442515" w:rsidRDefault="009F4EC6" w:rsidP="00306953">
            <w:pPr>
              <w:keepNext/>
              <w:spacing w:after="0" w:line="240" w:lineRule="auto"/>
              <w:jc w:val="center"/>
              <w:rPr>
                <w:rFonts w:cs="Arial"/>
                <w:sz w:val="16"/>
                <w:szCs w:val="16"/>
              </w:rPr>
            </w:pPr>
            <w:r>
              <w:rPr>
                <w:rFonts w:cs="Arial"/>
                <w:sz w:val="16"/>
                <w:szCs w:val="16"/>
              </w:rPr>
              <w:t>n</w:t>
            </w:r>
            <w:r w:rsidR="00306953" w:rsidRPr="00442515">
              <w:rPr>
                <w:rFonts w:cs="Arial"/>
                <w:sz w:val="16"/>
                <w:szCs w:val="16"/>
              </w:rPr>
              <w:t>ižší sekundární vzdělávání</w:t>
            </w:r>
          </w:p>
        </w:tc>
        <w:tc>
          <w:tcPr>
            <w:tcW w:w="1134" w:type="dxa"/>
            <w:tcBorders>
              <w:top w:val="single" w:sz="4" w:space="0" w:color="auto"/>
              <w:bottom w:val="double" w:sz="4" w:space="0" w:color="auto"/>
            </w:tcBorders>
            <w:shd w:val="clear" w:color="auto" w:fill="FFCCCC"/>
            <w:vAlign w:val="bottom"/>
            <w:hideMark/>
          </w:tcPr>
          <w:p w:rsidR="00306953" w:rsidRPr="00442515" w:rsidRDefault="009F4EC6" w:rsidP="00306953">
            <w:pPr>
              <w:keepNext/>
              <w:spacing w:after="0" w:line="240" w:lineRule="auto"/>
              <w:jc w:val="center"/>
              <w:rPr>
                <w:rFonts w:cs="Arial"/>
                <w:sz w:val="16"/>
                <w:szCs w:val="16"/>
              </w:rPr>
            </w:pPr>
            <w:r>
              <w:rPr>
                <w:rFonts w:cs="Arial"/>
                <w:sz w:val="16"/>
                <w:szCs w:val="16"/>
              </w:rPr>
              <w:t>v</w:t>
            </w:r>
            <w:r w:rsidR="00306953" w:rsidRPr="00442515">
              <w:rPr>
                <w:rFonts w:cs="Arial"/>
                <w:sz w:val="16"/>
                <w:szCs w:val="16"/>
              </w:rPr>
              <w:t>yšší sekundární vzdělávání</w:t>
            </w:r>
          </w:p>
        </w:tc>
        <w:tc>
          <w:tcPr>
            <w:tcW w:w="1134" w:type="dxa"/>
            <w:tcBorders>
              <w:top w:val="single" w:sz="4" w:space="0" w:color="auto"/>
              <w:bottom w:val="double" w:sz="4" w:space="0" w:color="auto"/>
            </w:tcBorders>
            <w:shd w:val="clear" w:color="auto" w:fill="FFCCCC"/>
            <w:vAlign w:val="bottom"/>
            <w:hideMark/>
          </w:tcPr>
          <w:p w:rsidR="00306953" w:rsidRPr="00442515" w:rsidRDefault="009F4EC6" w:rsidP="00306953">
            <w:pPr>
              <w:keepNext/>
              <w:spacing w:after="0" w:line="240" w:lineRule="auto"/>
              <w:jc w:val="center"/>
              <w:rPr>
                <w:rFonts w:cs="Arial"/>
                <w:sz w:val="16"/>
                <w:szCs w:val="16"/>
              </w:rPr>
            </w:pPr>
            <w:r>
              <w:rPr>
                <w:rFonts w:cs="Arial"/>
                <w:sz w:val="16"/>
                <w:szCs w:val="16"/>
              </w:rPr>
              <w:t>p</w:t>
            </w:r>
            <w:r w:rsidR="00306953" w:rsidRPr="00442515">
              <w:rPr>
                <w:rFonts w:cs="Arial"/>
                <w:sz w:val="16"/>
                <w:szCs w:val="16"/>
              </w:rPr>
              <w:t>rimární vzdělávání</w:t>
            </w:r>
          </w:p>
        </w:tc>
        <w:tc>
          <w:tcPr>
            <w:tcW w:w="1166" w:type="dxa"/>
            <w:tcBorders>
              <w:top w:val="single" w:sz="4" w:space="0" w:color="auto"/>
              <w:bottom w:val="double" w:sz="4" w:space="0" w:color="auto"/>
            </w:tcBorders>
            <w:shd w:val="clear" w:color="auto" w:fill="FFCCCC"/>
            <w:vAlign w:val="bottom"/>
            <w:hideMark/>
          </w:tcPr>
          <w:p w:rsidR="00306953" w:rsidRPr="00442515" w:rsidRDefault="009F4EC6" w:rsidP="00306953">
            <w:pPr>
              <w:keepNext/>
              <w:spacing w:after="0" w:line="240" w:lineRule="auto"/>
              <w:jc w:val="center"/>
              <w:rPr>
                <w:rFonts w:cs="Arial"/>
                <w:sz w:val="16"/>
                <w:szCs w:val="16"/>
              </w:rPr>
            </w:pPr>
            <w:r>
              <w:rPr>
                <w:rFonts w:cs="Arial"/>
                <w:sz w:val="16"/>
                <w:szCs w:val="16"/>
              </w:rPr>
              <w:t>n</w:t>
            </w:r>
            <w:r w:rsidR="00306953" w:rsidRPr="00442515">
              <w:rPr>
                <w:rFonts w:cs="Arial"/>
                <w:sz w:val="16"/>
                <w:szCs w:val="16"/>
              </w:rPr>
              <w:t>ižší sekundární vzdělávání</w:t>
            </w:r>
          </w:p>
        </w:tc>
        <w:tc>
          <w:tcPr>
            <w:tcW w:w="1134" w:type="dxa"/>
            <w:tcBorders>
              <w:top w:val="single" w:sz="4" w:space="0" w:color="auto"/>
              <w:bottom w:val="double" w:sz="4" w:space="0" w:color="auto"/>
            </w:tcBorders>
            <w:shd w:val="clear" w:color="auto" w:fill="FFCCCC"/>
            <w:vAlign w:val="bottom"/>
            <w:hideMark/>
          </w:tcPr>
          <w:p w:rsidR="00306953" w:rsidRPr="00442515" w:rsidRDefault="009F4EC6" w:rsidP="00306953">
            <w:pPr>
              <w:keepNext/>
              <w:spacing w:after="0" w:line="240" w:lineRule="auto"/>
              <w:jc w:val="center"/>
              <w:rPr>
                <w:rFonts w:cs="Arial"/>
                <w:sz w:val="16"/>
                <w:szCs w:val="16"/>
              </w:rPr>
            </w:pPr>
            <w:r>
              <w:rPr>
                <w:rFonts w:cs="Arial"/>
                <w:sz w:val="16"/>
                <w:szCs w:val="16"/>
              </w:rPr>
              <w:t>v</w:t>
            </w:r>
            <w:r w:rsidR="00306953" w:rsidRPr="00442515">
              <w:rPr>
                <w:rFonts w:cs="Arial"/>
                <w:sz w:val="16"/>
                <w:szCs w:val="16"/>
              </w:rPr>
              <w:t>yšší sekundární vzdělávání</w:t>
            </w:r>
          </w:p>
        </w:tc>
      </w:tr>
      <w:tr w:rsidR="00306953" w:rsidRPr="00442515" w:rsidTr="00D810B8">
        <w:trPr>
          <w:trHeight w:val="255"/>
        </w:trPr>
        <w:tc>
          <w:tcPr>
            <w:tcW w:w="2000" w:type="dxa"/>
            <w:tcBorders>
              <w:top w:val="double" w:sz="4" w:space="0" w:color="auto"/>
            </w:tcBorders>
            <w:shd w:val="clear" w:color="000000" w:fill="FFFFFF"/>
            <w:noWrap/>
            <w:vAlign w:val="center"/>
            <w:hideMark/>
          </w:tcPr>
          <w:p w:rsidR="00306953" w:rsidRPr="00442515" w:rsidRDefault="00306953" w:rsidP="00306953">
            <w:pPr>
              <w:keepNext/>
              <w:spacing w:after="0" w:line="240" w:lineRule="auto"/>
              <w:rPr>
                <w:rFonts w:cs="Arial"/>
                <w:sz w:val="16"/>
                <w:szCs w:val="16"/>
              </w:rPr>
            </w:pPr>
            <w:r w:rsidRPr="00442515">
              <w:rPr>
                <w:rFonts w:cs="Arial"/>
                <w:sz w:val="16"/>
                <w:szCs w:val="16"/>
              </w:rPr>
              <w:t>Česká republika</w:t>
            </w:r>
          </w:p>
        </w:tc>
        <w:tc>
          <w:tcPr>
            <w:tcW w:w="1074" w:type="dxa"/>
            <w:tcBorders>
              <w:top w:val="double" w:sz="4" w:space="0" w:color="auto"/>
            </w:tcBorders>
            <w:shd w:val="clear" w:color="000000" w:fill="FFFFFF"/>
            <w:noWrap/>
            <w:vAlign w:val="center"/>
            <w:hideMark/>
          </w:tcPr>
          <w:p w:rsidR="00306953" w:rsidRPr="00442515" w:rsidRDefault="00306953" w:rsidP="00306953">
            <w:pPr>
              <w:keepNext/>
              <w:spacing w:after="0" w:line="240" w:lineRule="auto"/>
              <w:jc w:val="center"/>
              <w:rPr>
                <w:rFonts w:cs="Arial"/>
                <w:sz w:val="16"/>
                <w:szCs w:val="16"/>
              </w:rPr>
            </w:pPr>
            <w:r w:rsidRPr="00442515">
              <w:rPr>
                <w:rFonts w:cs="Arial"/>
                <w:sz w:val="16"/>
                <w:szCs w:val="16"/>
              </w:rPr>
              <w:t>973</w:t>
            </w:r>
          </w:p>
        </w:tc>
        <w:tc>
          <w:tcPr>
            <w:tcW w:w="1276" w:type="dxa"/>
            <w:tcBorders>
              <w:top w:val="double" w:sz="4" w:space="0" w:color="auto"/>
            </w:tcBorders>
            <w:shd w:val="clear" w:color="000000" w:fill="FFFFFF"/>
            <w:noWrap/>
            <w:vAlign w:val="center"/>
            <w:hideMark/>
          </w:tcPr>
          <w:p w:rsidR="00306953" w:rsidRPr="00442515" w:rsidRDefault="00306953" w:rsidP="00306953">
            <w:pPr>
              <w:keepNext/>
              <w:spacing w:after="0" w:line="240" w:lineRule="auto"/>
              <w:jc w:val="center"/>
              <w:rPr>
                <w:rFonts w:cs="Arial"/>
                <w:sz w:val="16"/>
                <w:szCs w:val="16"/>
              </w:rPr>
            </w:pPr>
            <w:r w:rsidRPr="00442515">
              <w:rPr>
                <w:rFonts w:cs="Arial"/>
                <w:sz w:val="16"/>
                <w:szCs w:val="16"/>
              </w:rPr>
              <w:t>1633</w:t>
            </w:r>
          </w:p>
        </w:tc>
        <w:tc>
          <w:tcPr>
            <w:tcW w:w="1134" w:type="dxa"/>
            <w:tcBorders>
              <w:top w:val="double" w:sz="4" w:space="0" w:color="auto"/>
            </w:tcBorders>
            <w:shd w:val="clear" w:color="000000" w:fill="FFFFFF"/>
            <w:noWrap/>
            <w:vAlign w:val="center"/>
            <w:hideMark/>
          </w:tcPr>
          <w:p w:rsidR="00306953" w:rsidRPr="00442515" w:rsidRDefault="00306953" w:rsidP="00306953">
            <w:pPr>
              <w:keepNext/>
              <w:spacing w:after="0" w:line="240" w:lineRule="auto"/>
              <w:jc w:val="center"/>
              <w:rPr>
                <w:rFonts w:cs="Arial"/>
                <w:b/>
                <w:sz w:val="16"/>
                <w:szCs w:val="16"/>
              </w:rPr>
            </w:pPr>
            <w:r w:rsidRPr="00442515">
              <w:rPr>
                <w:rFonts w:cs="Arial"/>
                <w:b/>
                <w:sz w:val="16"/>
                <w:szCs w:val="16"/>
              </w:rPr>
              <w:t>.</w:t>
            </w:r>
          </w:p>
        </w:tc>
        <w:tc>
          <w:tcPr>
            <w:tcW w:w="1134" w:type="dxa"/>
            <w:tcBorders>
              <w:top w:val="double" w:sz="4" w:space="0" w:color="auto"/>
            </w:tcBorders>
            <w:shd w:val="clear" w:color="000000" w:fill="FFFFFF"/>
            <w:noWrap/>
            <w:vAlign w:val="center"/>
            <w:hideMark/>
          </w:tcPr>
          <w:p w:rsidR="00306953" w:rsidRPr="00442515" w:rsidRDefault="00306953" w:rsidP="00306953">
            <w:pPr>
              <w:keepNext/>
              <w:spacing w:after="0" w:line="240" w:lineRule="auto"/>
              <w:jc w:val="center"/>
              <w:rPr>
                <w:rFonts w:cs="Arial"/>
                <w:sz w:val="16"/>
                <w:szCs w:val="16"/>
              </w:rPr>
            </w:pPr>
            <w:r w:rsidRPr="00442515">
              <w:rPr>
                <w:rFonts w:cs="Arial"/>
                <w:sz w:val="16"/>
                <w:szCs w:val="16"/>
              </w:rPr>
              <w:t>3,7</w:t>
            </w:r>
          </w:p>
        </w:tc>
        <w:tc>
          <w:tcPr>
            <w:tcW w:w="1166" w:type="dxa"/>
            <w:tcBorders>
              <w:top w:val="double" w:sz="4" w:space="0" w:color="auto"/>
            </w:tcBorders>
            <w:shd w:val="clear" w:color="000000" w:fill="FFFFFF"/>
            <w:noWrap/>
            <w:vAlign w:val="center"/>
            <w:hideMark/>
          </w:tcPr>
          <w:p w:rsidR="00306953" w:rsidRPr="00442515" w:rsidRDefault="00306953" w:rsidP="00306953">
            <w:pPr>
              <w:keepNext/>
              <w:spacing w:after="0" w:line="240" w:lineRule="auto"/>
              <w:jc w:val="center"/>
              <w:rPr>
                <w:rFonts w:cs="Arial"/>
                <w:sz w:val="16"/>
                <w:szCs w:val="16"/>
              </w:rPr>
            </w:pPr>
            <w:r w:rsidRPr="00442515">
              <w:rPr>
                <w:rFonts w:cs="Arial"/>
                <w:sz w:val="16"/>
                <w:szCs w:val="16"/>
              </w:rPr>
              <w:t>6,2</w:t>
            </w:r>
          </w:p>
        </w:tc>
        <w:tc>
          <w:tcPr>
            <w:tcW w:w="1134" w:type="dxa"/>
            <w:tcBorders>
              <w:top w:val="double" w:sz="4" w:space="0" w:color="auto"/>
            </w:tcBorders>
            <w:shd w:val="clear" w:color="000000" w:fill="FFFFFF"/>
            <w:noWrap/>
            <w:vAlign w:val="center"/>
            <w:hideMark/>
          </w:tcPr>
          <w:p w:rsidR="00306953" w:rsidRPr="00442515" w:rsidRDefault="00306953" w:rsidP="00306953">
            <w:pPr>
              <w:keepNext/>
              <w:spacing w:after="0" w:line="240" w:lineRule="auto"/>
              <w:jc w:val="center"/>
              <w:rPr>
                <w:rFonts w:cs="Arial"/>
                <w:b/>
                <w:sz w:val="16"/>
                <w:szCs w:val="16"/>
              </w:rPr>
            </w:pPr>
            <w:r w:rsidRPr="00442515">
              <w:rPr>
                <w:rFonts w:cs="Arial"/>
                <w:b/>
                <w:sz w:val="16"/>
                <w:szCs w:val="16"/>
              </w:rPr>
              <w:t>.</w:t>
            </w:r>
          </w:p>
        </w:tc>
      </w:tr>
      <w:tr w:rsidR="00306953" w:rsidRPr="00442515" w:rsidTr="00D810B8">
        <w:trPr>
          <w:trHeight w:val="255"/>
        </w:trPr>
        <w:tc>
          <w:tcPr>
            <w:tcW w:w="2000" w:type="dxa"/>
            <w:shd w:val="clear" w:color="000000" w:fill="FFFFFF"/>
            <w:noWrap/>
            <w:vAlign w:val="center"/>
            <w:hideMark/>
          </w:tcPr>
          <w:p w:rsidR="00306953" w:rsidRPr="00442515" w:rsidRDefault="00306953" w:rsidP="00306953">
            <w:pPr>
              <w:spacing w:after="0" w:line="240" w:lineRule="auto"/>
              <w:rPr>
                <w:rFonts w:cs="Arial"/>
                <w:sz w:val="16"/>
                <w:szCs w:val="16"/>
              </w:rPr>
            </w:pPr>
            <w:r w:rsidRPr="00442515">
              <w:rPr>
                <w:rFonts w:cs="Arial"/>
                <w:sz w:val="16"/>
                <w:szCs w:val="16"/>
              </w:rPr>
              <w:t>Slovensko</w:t>
            </w:r>
          </w:p>
        </w:tc>
        <w:tc>
          <w:tcPr>
            <w:tcW w:w="1074" w:type="dxa"/>
            <w:shd w:val="clear" w:color="000000" w:fill="FFFFFF"/>
            <w:noWrap/>
            <w:vAlign w:val="center"/>
            <w:hideMark/>
          </w:tcPr>
          <w:p w:rsidR="00306953" w:rsidRPr="00442515" w:rsidRDefault="00306953" w:rsidP="00306953">
            <w:pPr>
              <w:spacing w:after="0" w:line="240" w:lineRule="auto"/>
              <w:jc w:val="center"/>
              <w:rPr>
                <w:rFonts w:cs="Arial"/>
                <w:sz w:val="16"/>
                <w:szCs w:val="16"/>
              </w:rPr>
            </w:pPr>
            <w:r w:rsidRPr="00442515">
              <w:rPr>
                <w:rFonts w:cs="Arial"/>
                <w:sz w:val="16"/>
                <w:szCs w:val="16"/>
              </w:rPr>
              <w:t>924</w:t>
            </w:r>
          </w:p>
        </w:tc>
        <w:tc>
          <w:tcPr>
            <w:tcW w:w="1276" w:type="dxa"/>
            <w:shd w:val="clear" w:color="000000" w:fill="FFFFFF"/>
            <w:noWrap/>
            <w:vAlign w:val="center"/>
            <w:hideMark/>
          </w:tcPr>
          <w:p w:rsidR="00306953" w:rsidRPr="00442515" w:rsidRDefault="00306953" w:rsidP="00306953">
            <w:pPr>
              <w:spacing w:after="0" w:line="240" w:lineRule="auto"/>
              <w:jc w:val="center"/>
              <w:rPr>
                <w:rFonts w:cs="Arial"/>
                <w:sz w:val="16"/>
                <w:szCs w:val="16"/>
              </w:rPr>
            </w:pPr>
            <w:r w:rsidRPr="00442515">
              <w:rPr>
                <w:rFonts w:cs="Arial"/>
                <w:sz w:val="16"/>
                <w:szCs w:val="16"/>
              </w:rPr>
              <w:t>1254</w:t>
            </w:r>
          </w:p>
        </w:tc>
        <w:tc>
          <w:tcPr>
            <w:tcW w:w="1134" w:type="dxa"/>
            <w:shd w:val="clear" w:color="000000" w:fill="FFFFFF"/>
            <w:noWrap/>
            <w:vAlign w:val="center"/>
            <w:hideMark/>
          </w:tcPr>
          <w:p w:rsidR="00306953" w:rsidRPr="00442515" w:rsidRDefault="00306953" w:rsidP="00306953">
            <w:pPr>
              <w:spacing w:after="0" w:line="240" w:lineRule="auto"/>
              <w:jc w:val="center"/>
              <w:rPr>
                <w:rFonts w:cs="Arial"/>
                <w:sz w:val="16"/>
                <w:szCs w:val="16"/>
              </w:rPr>
            </w:pPr>
            <w:r w:rsidRPr="00442515">
              <w:rPr>
                <w:rFonts w:cs="Arial"/>
                <w:sz w:val="16"/>
                <w:szCs w:val="16"/>
              </w:rPr>
              <w:t>1152</w:t>
            </w:r>
          </w:p>
        </w:tc>
        <w:tc>
          <w:tcPr>
            <w:tcW w:w="1134" w:type="dxa"/>
            <w:shd w:val="clear" w:color="000000" w:fill="FFFFFF"/>
            <w:noWrap/>
            <w:vAlign w:val="center"/>
            <w:hideMark/>
          </w:tcPr>
          <w:p w:rsidR="00306953" w:rsidRPr="00442515" w:rsidRDefault="00306953" w:rsidP="00306953">
            <w:pPr>
              <w:spacing w:after="0" w:line="240" w:lineRule="auto"/>
              <w:jc w:val="center"/>
              <w:rPr>
                <w:rFonts w:cs="Arial"/>
                <w:sz w:val="16"/>
                <w:szCs w:val="16"/>
              </w:rPr>
            </w:pPr>
            <w:r w:rsidRPr="00442515">
              <w:rPr>
                <w:rFonts w:cs="Arial"/>
                <w:sz w:val="16"/>
                <w:szCs w:val="16"/>
              </w:rPr>
              <w:t>3,9</w:t>
            </w:r>
          </w:p>
        </w:tc>
        <w:tc>
          <w:tcPr>
            <w:tcW w:w="1166" w:type="dxa"/>
            <w:shd w:val="clear" w:color="000000" w:fill="FFFFFF"/>
            <w:noWrap/>
            <w:vAlign w:val="center"/>
            <w:hideMark/>
          </w:tcPr>
          <w:p w:rsidR="00306953" w:rsidRPr="00442515" w:rsidRDefault="00306953" w:rsidP="00306953">
            <w:pPr>
              <w:spacing w:after="0" w:line="240" w:lineRule="auto"/>
              <w:jc w:val="center"/>
              <w:rPr>
                <w:rFonts w:cs="Arial"/>
                <w:sz w:val="16"/>
                <w:szCs w:val="16"/>
              </w:rPr>
            </w:pPr>
            <w:r w:rsidRPr="00442515">
              <w:rPr>
                <w:rFonts w:cs="Arial"/>
                <w:sz w:val="16"/>
                <w:szCs w:val="16"/>
              </w:rPr>
              <w:t>5,2</w:t>
            </w:r>
          </w:p>
        </w:tc>
        <w:tc>
          <w:tcPr>
            <w:tcW w:w="1134" w:type="dxa"/>
            <w:shd w:val="clear" w:color="000000" w:fill="FFFFFF"/>
            <w:noWrap/>
            <w:vAlign w:val="center"/>
            <w:hideMark/>
          </w:tcPr>
          <w:p w:rsidR="00306953" w:rsidRPr="00442515" w:rsidRDefault="00306953" w:rsidP="00306953">
            <w:pPr>
              <w:spacing w:after="0" w:line="240" w:lineRule="auto"/>
              <w:jc w:val="center"/>
              <w:rPr>
                <w:rFonts w:cs="Arial"/>
                <w:sz w:val="16"/>
                <w:szCs w:val="16"/>
              </w:rPr>
            </w:pPr>
            <w:r w:rsidRPr="00442515">
              <w:rPr>
                <w:rFonts w:cs="Arial"/>
                <w:sz w:val="16"/>
                <w:szCs w:val="16"/>
              </w:rPr>
              <w:t>4,8</w:t>
            </w:r>
          </w:p>
        </w:tc>
      </w:tr>
      <w:tr w:rsidR="00306953" w:rsidRPr="00442515" w:rsidTr="00D810B8">
        <w:trPr>
          <w:trHeight w:val="255"/>
        </w:trPr>
        <w:tc>
          <w:tcPr>
            <w:tcW w:w="2000" w:type="dxa"/>
            <w:shd w:val="clear" w:color="000000" w:fill="FFFFFF"/>
            <w:noWrap/>
            <w:vAlign w:val="center"/>
            <w:hideMark/>
          </w:tcPr>
          <w:p w:rsidR="00306953" w:rsidRPr="00442515" w:rsidRDefault="00306953" w:rsidP="00306953">
            <w:pPr>
              <w:spacing w:after="0" w:line="240" w:lineRule="auto"/>
              <w:rPr>
                <w:rFonts w:cs="Arial"/>
                <w:sz w:val="16"/>
                <w:szCs w:val="16"/>
              </w:rPr>
            </w:pPr>
            <w:r w:rsidRPr="00442515">
              <w:rPr>
                <w:rFonts w:cs="Arial"/>
                <w:sz w:val="16"/>
                <w:szCs w:val="16"/>
              </w:rPr>
              <w:t>Polsko</w:t>
            </w:r>
          </w:p>
        </w:tc>
        <w:tc>
          <w:tcPr>
            <w:tcW w:w="1074" w:type="dxa"/>
            <w:shd w:val="clear" w:color="000000" w:fill="FFFFFF"/>
            <w:noWrap/>
            <w:vAlign w:val="center"/>
            <w:hideMark/>
          </w:tcPr>
          <w:p w:rsidR="00306953" w:rsidRPr="00442515" w:rsidRDefault="00306953" w:rsidP="00306953">
            <w:pPr>
              <w:spacing w:after="0" w:line="240" w:lineRule="auto"/>
              <w:jc w:val="center"/>
              <w:rPr>
                <w:rFonts w:cs="Arial"/>
                <w:sz w:val="16"/>
                <w:szCs w:val="16"/>
              </w:rPr>
            </w:pPr>
            <w:r w:rsidRPr="00442515">
              <w:rPr>
                <w:rFonts w:cs="Arial"/>
                <w:sz w:val="16"/>
                <w:szCs w:val="16"/>
              </w:rPr>
              <w:t>2247</w:t>
            </w:r>
          </w:p>
        </w:tc>
        <w:tc>
          <w:tcPr>
            <w:tcW w:w="1276" w:type="dxa"/>
            <w:shd w:val="clear" w:color="000000" w:fill="FFFFFF"/>
            <w:noWrap/>
            <w:vAlign w:val="center"/>
            <w:hideMark/>
          </w:tcPr>
          <w:p w:rsidR="00306953" w:rsidRPr="00442515" w:rsidRDefault="00306953" w:rsidP="00306953">
            <w:pPr>
              <w:spacing w:after="0" w:line="240" w:lineRule="auto"/>
              <w:jc w:val="center"/>
              <w:rPr>
                <w:rFonts w:cs="Arial"/>
                <w:sz w:val="16"/>
                <w:szCs w:val="16"/>
              </w:rPr>
            </w:pPr>
            <w:r w:rsidRPr="00442515">
              <w:rPr>
                <w:rFonts w:cs="Arial"/>
                <w:sz w:val="16"/>
                <w:szCs w:val="16"/>
              </w:rPr>
              <w:t>2519</w:t>
            </w:r>
          </w:p>
        </w:tc>
        <w:tc>
          <w:tcPr>
            <w:tcW w:w="1134" w:type="dxa"/>
            <w:shd w:val="clear" w:color="000000" w:fill="FFFFFF"/>
            <w:noWrap/>
            <w:vAlign w:val="center"/>
            <w:hideMark/>
          </w:tcPr>
          <w:p w:rsidR="00306953" w:rsidRPr="00442515" w:rsidRDefault="00306953" w:rsidP="00306953">
            <w:pPr>
              <w:spacing w:after="0" w:line="240" w:lineRule="auto"/>
              <w:jc w:val="center"/>
              <w:rPr>
                <w:rFonts w:cs="Arial"/>
                <w:b/>
                <w:sz w:val="16"/>
                <w:szCs w:val="16"/>
              </w:rPr>
            </w:pPr>
            <w:r w:rsidRPr="00442515">
              <w:rPr>
                <w:rFonts w:cs="Arial"/>
                <w:b/>
                <w:sz w:val="16"/>
                <w:szCs w:val="16"/>
              </w:rPr>
              <w:t>.</w:t>
            </w:r>
          </w:p>
        </w:tc>
        <w:tc>
          <w:tcPr>
            <w:tcW w:w="1134" w:type="dxa"/>
            <w:shd w:val="clear" w:color="000000" w:fill="FFFFFF"/>
            <w:noWrap/>
            <w:vAlign w:val="center"/>
            <w:hideMark/>
          </w:tcPr>
          <w:p w:rsidR="00306953" w:rsidRPr="00442515" w:rsidRDefault="00306953" w:rsidP="00306953">
            <w:pPr>
              <w:spacing w:after="0" w:line="240" w:lineRule="auto"/>
              <w:jc w:val="center"/>
              <w:rPr>
                <w:rFonts w:cs="Arial"/>
                <w:sz w:val="16"/>
                <w:szCs w:val="16"/>
              </w:rPr>
            </w:pPr>
            <w:r w:rsidRPr="00442515">
              <w:rPr>
                <w:rFonts w:cs="Arial"/>
                <w:sz w:val="16"/>
                <w:szCs w:val="16"/>
              </w:rPr>
              <w:t>9,9</w:t>
            </w:r>
          </w:p>
        </w:tc>
        <w:tc>
          <w:tcPr>
            <w:tcW w:w="1166" w:type="dxa"/>
            <w:shd w:val="clear" w:color="000000" w:fill="FFFFFF"/>
            <w:noWrap/>
            <w:vAlign w:val="center"/>
            <w:hideMark/>
          </w:tcPr>
          <w:p w:rsidR="00306953" w:rsidRPr="00442515" w:rsidRDefault="00306953" w:rsidP="00306953">
            <w:pPr>
              <w:spacing w:after="0" w:line="240" w:lineRule="auto"/>
              <w:jc w:val="center"/>
              <w:rPr>
                <w:rFonts w:cs="Arial"/>
                <w:sz w:val="16"/>
                <w:szCs w:val="16"/>
              </w:rPr>
            </w:pPr>
            <w:r w:rsidRPr="00442515">
              <w:rPr>
                <w:rFonts w:cs="Arial"/>
                <w:sz w:val="16"/>
                <w:szCs w:val="16"/>
              </w:rPr>
              <w:t>11,1</w:t>
            </w:r>
          </w:p>
        </w:tc>
        <w:tc>
          <w:tcPr>
            <w:tcW w:w="1134" w:type="dxa"/>
            <w:shd w:val="clear" w:color="000000" w:fill="FFFFFF"/>
            <w:noWrap/>
            <w:vAlign w:val="center"/>
            <w:hideMark/>
          </w:tcPr>
          <w:p w:rsidR="00306953" w:rsidRPr="00442515" w:rsidRDefault="00306953" w:rsidP="00306953">
            <w:pPr>
              <w:spacing w:after="0" w:line="240" w:lineRule="auto"/>
              <w:jc w:val="center"/>
              <w:rPr>
                <w:rFonts w:cs="Arial"/>
                <w:b/>
                <w:sz w:val="16"/>
                <w:szCs w:val="16"/>
              </w:rPr>
            </w:pPr>
            <w:r w:rsidRPr="00442515">
              <w:rPr>
                <w:rFonts w:cs="Arial"/>
                <w:b/>
                <w:sz w:val="16"/>
                <w:szCs w:val="16"/>
              </w:rPr>
              <w:t>.</w:t>
            </w:r>
          </w:p>
        </w:tc>
      </w:tr>
      <w:tr w:rsidR="00306953" w:rsidRPr="00442515" w:rsidTr="00D810B8">
        <w:trPr>
          <w:trHeight w:val="255"/>
        </w:trPr>
        <w:tc>
          <w:tcPr>
            <w:tcW w:w="2000" w:type="dxa"/>
            <w:shd w:val="clear" w:color="000000" w:fill="FFFFFF"/>
            <w:noWrap/>
            <w:vAlign w:val="center"/>
            <w:hideMark/>
          </w:tcPr>
          <w:p w:rsidR="00306953" w:rsidRPr="00442515" w:rsidRDefault="00306953" w:rsidP="00306953">
            <w:pPr>
              <w:spacing w:after="0" w:line="240" w:lineRule="auto"/>
              <w:rPr>
                <w:rFonts w:cs="Arial"/>
                <w:sz w:val="16"/>
                <w:szCs w:val="16"/>
              </w:rPr>
            </w:pPr>
            <w:r w:rsidRPr="00442515">
              <w:rPr>
                <w:rFonts w:cs="Arial"/>
                <w:sz w:val="16"/>
                <w:szCs w:val="16"/>
              </w:rPr>
              <w:t>Estonsko</w:t>
            </w:r>
          </w:p>
        </w:tc>
        <w:tc>
          <w:tcPr>
            <w:tcW w:w="1074" w:type="dxa"/>
            <w:shd w:val="clear" w:color="000000" w:fill="FFFFFF"/>
            <w:noWrap/>
            <w:vAlign w:val="center"/>
            <w:hideMark/>
          </w:tcPr>
          <w:p w:rsidR="00306953" w:rsidRPr="00442515" w:rsidRDefault="00306953" w:rsidP="00306953">
            <w:pPr>
              <w:spacing w:after="0" w:line="240" w:lineRule="auto"/>
              <w:jc w:val="center"/>
              <w:rPr>
                <w:rFonts w:cs="Arial"/>
                <w:sz w:val="16"/>
                <w:szCs w:val="16"/>
              </w:rPr>
            </w:pPr>
            <w:r w:rsidRPr="00442515">
              <w:rPr>
                <w:rFonts w:cs="Arial"/>
                <w:sz w:val="16"/>
                <w:szCs w:val="16"/>
              </w:rPr>
              <w:t>1015</w:t>
            </w:r>
          </w:p>
        </w:tc>
        <w:tc>
          <w:tcPr>
            <w:tcW w:w="1276" w:type="dxa"/>
            <w:shd w:val="clear" w:color="000000" w:fill="FFFFFF"/>
            <w:noWrap/>
            <w:vAlign w:val="center"/>
            <w:hideMark/>
          </w:tcPr>
          <w:p w:rsidR="00306953" w:rsidRPr="00442515" w:rsidRDefault="00306953" w:rsidP="00306953">
            <w:pPr>
              <w:spacing w:after="0" w:line="240" w:lineRule="auto"/>
              <w:jc w:val="center"/>
              <w:rPr>
                <w:rFonts w:cs="Arial"/>
                <w:sz w:val="16"/>
                <w:szCs w:val="16"/>
              </w:rPr>
            </w:pPr>
            <w:r w:rsidRPr="00442515">
              <w:rPr>
                <w:rFonts w:cs="Arial"/>
                <w:sz w:val="16"/>
                <w:szCs w:val="16"/>
              </w:rPr>
              <w:t>1350</w:t>
            </w:r>
          </w:p>
        </w:tc>
        <w:tc>
          <w:tcPr>
            <w:tcW w:w="1134" w:type="dxa"/>
            <w:shd w:val="clear" w:color="000000" w:fill="FFFFFF"/>
            <w:noWrap/>
            <w:vAlign w:val="center"/>
            <w:hideMark/>
          </w:tcPr>
          <w:p w:rsidR="00306953" w:rsidRPr="00442515" w:rsidRDefault="00306953" w:rsidP="00306953">
            <w:pPr>
              <w:spacing w:after="0" w:line="240" w:lineRule="auto"/>
              <w:jc w:val="center"/>
              <w:rPr>
                <w:rFonts w:cs="Arial"/>
                <w:b/>
                <w:sz w:val="16"/>
                <w:szCs w:val="16"/>
              </w:rPr>
            </w:pPr>
            <w:r w:rsidRPr="00442515">
              <w:rPr>
                <w:rFonts w:cs="Arial"/>
                <w:b/>
                <w:sz w:val="16"/>
                <w:szCs w:val="16"/>
              </w:rPr>
              <w:t>.</w:t>
            </w:r>
          </w:p>
        </w:tc>
        <w:tc>
          <w:tcPr>
            <w:tcW w:w="1134" w:type="dxa"/>
            <w:shd w:val="clear" w:color="000000" w:fill="FFFFFF"/>
            <w:noWrap/>
            <w:vAlign w:val="center"/>
            <w:hideMark/>
          </w:tcPr>
          <w:p w:rsidR="00306953" w:rsidRPr="00442515" w:rsidRDefault="00306953" w:rsidP="00306953">
            <w:pPr>
              <w:spacing w:after="0" w:line="240" w:lineRule="auto"/>
              <w:jc w:val="center"/>
              <w:rPr>
                <w:rFonts w:cs="Arial"/>
                <w:sz w:val="16"/>
                <w:szCs w:val="16"/>
              </w:rPr>
            </w:pPr>
            <w:r w:rsidRPr="00442515">
              <w:rPr>
                <w:rFonts w:cs="Arial"/>
                <w:sz w:val="16"/>
                <w:szCs w:val="16"/>
              </w:rPr>
              <w:t>4,5</w:t>
            </w:r>
          </w:p>
        </w:tc>
        <w:tc>
          <w:tcPr>
            <w:tcW w:w="1166" w:type="dxa"/>
            <w:shd w:val="clear" w:color="000000" w:fill="FFFFFF"/>
            <w:noWrap/>
            <w:vAlign w:val="center"/>
            <w:hideMark/>
          </w:tcPr>
          <w:p w:rsidR="00306953" w:rsidRPr="00442515" w:rsidRDefault="00306953" w:rsidP="00306953">
            <w:pPr>
              <w:spacing w:after="0" w:line="240" w:lineRule="auto"/>
              <w:jc w:val="center"/>
              <w:rPr>
                <w:rFonts w:cs="Arial"/>
                <w:sz w:val="16"/>
                <w:szCs w:val="16"/>
              </w:rPr>
            </w:pPr>
            <w:r w:rsidRPr="00442515">
              <w:rPr>
                <w:rFonts w:cs="Arial"/>
                <w:sz w:val="16"/>
                <w:szCs w:val="16"/>
              </w:rPr>
              <w:t>6,0</w:t>
            </w:r>
          </w:p>
        </w:tc>
        <w:tc>
          <w:tcPr>
            <w:tcW w:w="1134" w:type="dxa"/>
            <w:shd w:val="clear" w:color="000000" w:fill="FFFFFF"/>
            <w:noWrap/>
            <w:vAlign w:val="center"/>
            <w:hideMark/>
          </w:tcPr>
          <w:p w:rsidR="00306953" w:rsidRPr="00442515" w:rsidRDefault="00306953" w:rsidP="00306953">
            <w:pPr>
              <w:spacing w:after="0" w:line="240" w:lineRule="auto"/>
              <w:jc w:val="center"/>
              <w:rPr>
                <w:rFonts w:cs="Arial"/>
                <w:b/>
                <w:sz w:val="16"/>
                <w:szCs w:val="16"/>
              </w:rPr>
            </w:pPr>
            <w:r w:rsidRPr="00442515">
              <w:rPr>
                <w:rFonts w:cs="Arial"/>
                <w:b/>
                <w:sz w:val="16"/>
                <w:szCs w:val="16"/>
              </w:rPr>
              <w:t>.</w:t>
            </w:r>
          </w:p>
        </w:tc>
      </w:tr>
      <w:tr w:rsidR="00306953" w:rsidRPr="00442515" w:rsidTr="00D810B8">
        <w:trPr>
          <w:trHeight w:val="255"/>
        </w:trPr>
        <w:tc>
          <w:tcPr>
            <w:tcW w:w="2000" w:type="dxa"/>
            <w:shd w:val="clear" w:color="000000" w:fill="FFFFFF"/>
            <w:noWrap/>
            <w:vAlign w:val="center"/>
            <w:hideMark/>
          </w:tcPr>
          <w:p w:rsidR="00306953" w:rsidRPr="00442515" w:rsidRDefault="00306953" w:rsidP="00306953">
            <w:pPr>
              <w:spacing w:after="0" w:line="240" w:lineRule="auto"/>
              <w:rPr>
                <w:rFonts w:cs="Arial"/>
                <w:sz w:val="16"/>
                <w:szCs w:val="16"/>
              </w:rPr>
            </w:pPr>
            <w:r w:rsidRPr="00442515">
              <w:rPr>
                <w:rFonts w:cs="Arial"/>
                <w:sz w:val="16"/>
                <w:szCs w:val="16"/>
              </w:rPr>
              <w:t>Finsko</w:t>
            </w:r>
          </w:p>
        </w:tc>
        <w:tc>
          <w:tcPr>
            <w:tcW w:w="1074" w:type="dxa"/>
            <w:shd w:val="clear" w:color="000000" w:fill="FFFFFF"/>
            <w:noWrap/>
            <w:vAlign w:val="center"/>
            <w:hideMark/>
          </w:tcPr>
          <w:p w:rsidR="00306953" w:rsidRPr="00442515" w:rsidRDefault="00306953" w:rsidP="00306953">
            <w:pPr>
              <w:spacing w:after="0" w:line="240" w:lineRule="auto"/>
              <w:jc w:val="center"/>
              <w:rPr>
                <w:rFonts w:cs="Arial"/>
                <w:sz w:val="16"/>
                <w:szCs w:val="16"/>
              </w:rPr>
            </w:pPr>
            <w:r w:rsidRPr="00442515">
              <w:rPr>
                <w:rFonts w:cs="Arial"/>
                <w:sz w:val="16"/>
                <w:szCs w:val="16"/>
              </w:rPr>
              <w:t>3008</w:t>
            </w:r>
          </w:p>
        </w:tc>
        <w:tc>
          <w:tcPr>
            <w:tcW w:w="1276" w:type="dxa"/>
            <w:shd w:val="clear" w:color="000000" w:fill="FFFFFF"/>
            <w:noWrap/>
            <w:vAlign w:val="center"/>
            <w:hideMark/>
          </w:tcPr>
          <w:p w:rsidR="00306953" w:rsidRPr="00442515" w:rsidRDefault="00306953" w:rsidP="00306953">
            <w:pPr>
              <w:spacing w:after="0" w:line="240" w:lineRule="auto"/>
              <w:jc w:val="center"/>
              <w:rPr>
                <w:rFonts w:cs="Arial"/>
                <w:sz w:val="16"/>
                <w:szCs w:val="16"/>
              </w:rPr>
            </w:pPr>
            <w:r w:rsidRPr="00442515">
              <w:rPr>
                <w:rFonts w:cs="Arial"/>
                <w:sz w:val="16"/>
                <w:szCs w:val="16"/>
              </w:rPr>
              <w:t>4749</w:t>
            </w:r>
          </w:p>
        </w:tc>
        <w:tc>
          <w:tcPr>
            <w:tcW w:w="1134" w:type="dxa"/>
            <w:shd w:val="clear" w:color="000000" w:fill="FFFFFF"/>
            <w:noWrap/>
            <w:vAlign w:val="center"/>
            <w:hideMark/>
          </w:tcPr>
          <w:p w:rsidR="00306953" w:rsidRPr="00442515" w:rsidRDefault="00306953" w:rsidP="00306953">
            <w:pPr>
              <w:spacing w:after="0" w:line="240" w:lineRule="auto"/>
              <w:jc w:val="center"/>
              <w:rPr>
                <w:rFonts w:cs="Arial"/>
                <w:b/>
                <w:sz w:val="16"/>
                <w:szCs w:val="16"/>
              </w:rPr>
            </w:pPr>
            <w:r w:rsidRPr="00442515">
              <w:rPr>
                <w:rFonts w:cs="Arial"/>
                <w:b/>
                <w:sz w:val="16"/>
                <w:szCs w:val="16"/>
              </w:rPr>
              <w:t>.</w:t>
            </w:r>
          </w:p>
        </w:tc>
        <w:tc>
          <w:tcPr>
            <w:tcW w:w="1134" w:type="dxa"/>
            <w:shd w:val="clear" w:color="000000" w:fill="FFFFFF"/>
            <w:noWrap/>
            <w:vAlign w:val="center"/>
            <w:hideMark/>
          </w:tcPr>
          <w:p w:rsidR="00306953" w:rsidRPr="00442515" w:rsidRDefault="00306953" w:rsidP="00306953">
            <w:pPr>
              <w:spacing w:after="0" w:line="240" w:lineRule="auto"/>
              <w:jc w:val="center"/>
              <w:rPr>
                <w:rFonts w:cs="Arial"/>
                <w:sz w:val="16"/>
                <w:szCs w:val="16"/>
              </w:rPr>
            </w:pPr>
            <w:r w:rsidRPr="00442515">
              <w:rPr>
                <w:rFonts w:cs="Arial"/>
                <w:sz w:val="16"/>
                <w:szCs w:val="16"/>
              </w:rPr>
              <w:t>8,0</w:t>
            </w:r>
          </w:p>
        </w:tc>
        <w:tc>
          <w:tcPr>
            <w:tcW w:w="1166" w:type="dxa"/>
            <w:shd w:val="clear" w:color="000000" w:fill="FFFFFF"/>
            <w:noWrap/>
            <w:vAlign w:val="center"/>
            <w:hideMark/>
          </w:tcPr>
          <w:p w:rsidR="00306953" w:rsidRPr="00442515" w:rsidRDefault="00306953" w:rsidP="00306953">
            <w:pPr>
              <w:spacing w:after="0" w:line="240" w:lineRule="auto"/>
              <w:jc w:val="center"/>
              <w:rPr>
                <w:rFonts w:cs="Arial"/>
                <w:sz w:val="16"/>
                <w:szCs w:val="16"/>
              </w:rPr>
            </w:pPr>
            <w:r w:rsidRPr="00442515">
              <w:rPr>
                <w:rFonts w:cs="Arial"/>
                <w:sz w:val="16"/>
                <w:szCs w:val="16"/>
              </w:rPr>
              <w:t>12,7</w:t>
            </w:r>
          </w:p>
        </w:tc>
        <w:tc>
          <w:tcPr>
            <w:tcW w:w="1134" w:type="dxa"/>
            <w:shd w:val="clear" w:color="000000" w:fill="FFFFFF"/>
            <w:noWrap/>
            <w:vAlign w:val="center"/>
            <w:hideMark/>
          </w:tcPr>
          <w:p w:rsidR="00306953" w:rsidRPr="00442515" w:rsidRDefault="00306953" w:rsidP="00306953">
            <w:pPr>
              <w:spacing w:after="0" w:line="240" w:lineRule="auto"/>
              <w:jc w:val="center"/>
              <w:rPr>
                <w:rFonts w:cs="Arial"/>
                <w:b/>
                <w:sz w:val="16"/>
                <w:szCs w:val="16"/>
              </w:rPr>
            </w:pPr>
            <w:r w:rsidRPr="00442515">
              <w:rPr>
                <w:rFonts w:cs="Arial"/>
                <w:b/>
                <w:sz w:val="16"/>
                <w:szCs w:val="16"/>
              </w:rPr>
              <w:t>.</w:t>
            </w:r>
          </w:p>
        </w:tc>
      </w:tr>
      <w:tr w:rsidR="00306953" w:rsidRPr="00442515" w:rsidTr="00D810B8">
        <w:trPr>
          <w:trHeight w:val="255"/>
        </w:trPr>
        <w:tc>
          <w:tcPr>
            <w:tcW w:w="2000" w:type="dxa"/>
            <w:shd w:val="clear" w:color="000000" w:fill="FFFFFF"/>
            <w:noWrap/>
            <w:vAlign w:val="center"/>
            <w:hideMark/>
          </w:tcPr>
          <w:p w:rsidR="00306953" w:rsidRPr="00442515" w:rsidRDefault="00306953" w:rsidP="00306953">
            <w:pPr>
              <w:spacing w:after="0" w:line="240" w:lineRule="auto"/>
              <w:rPr>
                <w:rFonts w:cs="Arial"/>
                <w:sz w:val="16"/>
                <w:szCs w:val="16"/>
              </w:rPr>
            </w:pPr>
            <w:r w:rsidRPr="00442515">
              <w:rPr>
                <w:rFonts w:cs="Arial"/>
                <w:sz w:val="16"/>
                <w:szCs w:val="16"/>
              </w:rPr>
              <w:t>Rakousko</w:t>
            </w:r>
          </w:p>
        </w:tc>
        <w:tc>
          <w:tcPr>
            <w:tcW w:w="1074" w:type="dxa"/>
            <w:shd w:val="clear" w:color="000000" w:fill="FFFFFF"/>
            <w:noWrap/>
            <w:vAlign w:val="center"/>
            <w:hideMark/>
          </w:tcPr>
          <w:p w:rsidR="00306953" w:rsidRPr="00442515" w:rsidRDefault="00306953" w:rsidP="00306953">
            <w:pPr>
              <w:spacing w:after="0" w:line="240" w:lineRule="auto"/>
              <w:jc w:val="center"/>
              <w:rPr>
                <w:rFonts w:cs="Arial"/>
                <w:sz w:val="16"/>
                <w:szCs w:val="16"/>
              </w:rPr>
            </w:pPr>
            <w:r w:rsidRPr="00442515">
              <w:rPr>
                <w:rFonts w:cs="Arial"/>
                <w:sz w:val="16"/>
                <w:szCs w:val="16"/>
              </w:rPr>
              <w:t>3609</w:t>
            </w:r>
          </w:p>
        </w:tc>
        <w:tc>
          <w:tcPr>
            <w:tcW w:w="1276" w:type="dxa"/>
            <w:shd w:val="clear" w:color="000000" w:fill="FFFFFF"/>
            <w:noWrap/>
            <w:vAlign w:val="center"/>
            <w:hideMark/>
          </w:tcPr>
          <w:p w:rsidR="00306953" w:rsidRPr="00442515" w:rsidRDefault="00306953" w:rsidP="00306953">
            <w:pPr>
              <w:spacing w:after="0" w:line="240" w:lineRule="auto"/>
              <w:jc w:val="center"/>
              <w:rPr>
                <w:rFonts w:cs="Arial"/>
                <w:sz w:val="16"/>
                <w:szCs w:val="16"/>
              </w:rPr>
            </w:pPr>
            <w:r w:rsidRPr="00442515">
              <w:rPr>
                <w:rFonts w:cs="Arial"/>
                <w:sz w:val="16"/>
                <w:szCs w:val="16"/>
              </w:rPr>
              <w:t>5191</w:t>
            </w:r>
          </w:p>
        </w:tc>
        <w:tc>
          <w:tcPr>
            <w:tcW w:w="1134" w:type="dxa"/>
            <w:shd w:val="clear" w:color="000000" w:fill="FFFFFF"/>
            <w:noWrap/>
            <w:vAlign w:val="center"/>
            <w:hideMark/>
          </w:tcPr>
          <w:p w:rsidR="00306953" w:rsidRPr="00442515" w:rsidRDefault="00306953" w:rsidP="00306953">
            <w:pPr>
              <w:spacing w:after="0" w:line="240" w:lineRule="auto"/>
              <w:jc w:val="center"/>
              <w:rPr>
                <w:rFonts w:cs="Arial"/>
                <w:sz w:val="16"/>
                <w:szCs w:val="16"/>
              </w:rPr>
            </w:pPr>
            <w:r w:rsidRPr="00442515">
              <w:rPr>
                <w:rFonts w:cs="Arial"/>
                <w:sz w:val="16"/>
                <w:szCs w:val="16"/>
              </w:rPr>
              <w:t>5093</w:t>
            </w:r>
          </w:p>
        </w:tc>
        <w:tc>
          <w:tcPr>
            <w:tcW w:w="1134" w:type="dxa"/>
            <w:shd w:val="clear" w:color="000000" w:fill="FFFFFF"/>
            <w:noWrap/>
            <w:vAlign w:val="center"/>
            <w:hideMark/>
          </w:tcPr>
          <w:p w:rsidR="00306953" w:rsidRPr="00442515" w:rsidRDefault="00306953" w:rsidP="00306953">
            <w:pPr>
              <w:spacing w:after="0" w:line="240" w:lineRule="auto"/>
              <w:jc w:val="center"/>
              <w:rPr>
                <w:rFonts w:cs="Arial"/>
                <w:sz w:val="16"/>
                <w:szCs w:val="16"/>
              </w:rPr>
            </w:pPr>
            <w:r w:rsidRPr="00442515">
              <w:rPr>
                <w:rFonts w:cs="Arial"/>
                <w:sz w:val="16"/>
                <w:szCs w:val="16"/>
              </w:rPr>
              <w:t>8,2</w:t>
            </w:r>
          </w:p>
        </w:tc>
        <w:tc>
          <w:tcPr>
            <w:tcW w:w="1166" w:type="dxa"/>
            <w:shd w:val="clear" w:color="000000" w:fill="FFFFFF"/>
            <w:noWrap/>
            <w:vAlign w:val="center"/>
            <w:hideMark/>
          </w:tcPr>
          <w:p w:rsidR="00306953" w:rsidRPr="00442515" w:rsidRDefault="00306953" w:rsidP="00306953">
            <w:pPr>
              <w:spacing w:after="0" w:line="240" w:lineRule="auto"/>
              <w:jc w:val="center"/>
              <w:rPr>
                <w:rFonts w:cs="Arial"/>
                <w:sz w:val="16"/>
                <w:szCs w:val="16"/>
              </w:rPr>
            </w:pPr>
            <w:r w:rsidRPr="00442515">
              <w:rPr>
                <w:rFonts w:cs="Arial"/>
                <w:sz w:val="16"/>
                <w:szCs w:val="16"/>
              </w:rPr>
              <w:t>11,8</w:t>
            </w:r>
          </w:p>
        </w:tc>
        <w:tc>
          <w:tcPr>
            <w:tcW w:w="1134" w:type="dxa"/>
            <w:shd w:val="clear" w:color="000000" w:fill="FFFFFF"/>
            <w:noWrap/>
            <w:vAlign w:val="center"/>
            <w:hideMark/>
          </w:tcPr>
          <w:p w:rsidR="00306953" w:rsidRPr="00442515" w:rsidRDefault="00306953" w:rsidP="00306953">
            <w:pPr>
              <w:spacing w:after="0" w:line="240" w:lineRule="auto"/>
              <w:jc w:val="center"/>
              <w:rPr>
                <w:rFonts w:cs="Arial"/>
                <w:sz w:val="16"/>
                <w:szCs w:val="16"/>
              </w:rPr>
            </w:pPr>
            <w:r w:rsidRPr="00442515">
              <w:rPr>
                <w:rFonts w:cs="Arial"/>
                <w:sz w:val="16"/>
                <w:szCs w:val="16"/>
              </w:rPr>
              <w:t>11,6</w:t>
            </w:r>
          </w:p>
        </w:tc>
      </w:tr>
      <w:tr w:rsidR="00306953" w:rsidRPr="00442515" w:rsidTr="00D810B8">
        <w:trPr>
          <w:trHeight w:val="255"/>
        </w:trPr>
        <w:tc>
          <w:tcPr>
            <w:tcW w:w="2000" w:type="dxa"/>
            <w:shd w:val="clear" w:color="auto" w:fill="C6D9F1" w:themeFill="text2" w:themeFillTint="33"/>
            <w:noWrap/>
            <w:vAlign w:val="center"/>
            <w:hideMark/>
          </w:tcPr>
          <w:p w:rsidR="00306953" w:rsidRPr="00631582" w:rsidRDefault="009F4EC6" w:rsidP="00306953">
            <w:pPr>
              <w:spacing w:after="0" w:line="240" w:lineRule="auto"/>
              <w:rPr>
                <w:rFonts w:cs="Arial"/>
                <w:sz w:val="16"/>
                <w:szCs w:val="16"/>
              </w:rPr>
            </w:pPr>
            <w:r w:rsidRPr="00631582">
              <w:rPr>
                <w:rFonts w:cs="Arial"/>
                <w:sz w:val="16"/>
                <w:szCs w:val="16"/>
              </w:rPr>
              <w:t>p</w:t>
            </w:r>
            <w:r w:rsidR="00306953" w:rsidRPr="00631582">
              <w:rPr>
                <w:rFonts w:cs="Arial"/>
                <w:sz w:val="16"/>
                <w:szCs w:val="16"/>
              </w:rPr>
              <w:t>růměr OECD</w:t>
            </w:r>
          </w:p>
        </w:tc>
        <w:tc>
          <w:tcPr>
            <w:tcW w:w="1074" w:type="dxa"/>
            <w:shd w:val="clear" w:color="auto" w:fill="C6D9F1" w:themeFill="text2" w:themeFillTint="33"/>
            <w:noWrap/>
            <w:vAlign w:val="center"/>
            <w:hideMark/>
          </w:tcPr>
          <w:p w:rsidR="00306953" w:rsidRPr="00631582" w:rsidRDefault="00306953" w:rsidP="00306953">
            <w:pPr>
              <w:spacing w:after="0" w:line="240" w:lineRule="auto"/>
              <w:jc w:val="center"/>
              <w:rPr>
                <w:rFonts w:cs="Arial"/>
                <w:bCs/>
                <w:sz w:val="16"/>
                <w:szCs w:val="16"/>
              </w:rPr>
            </w:pPr>
            <w:r w:rsidRPr="00631582">
              <w:rPr>
                <w:rFonts w:cs="Arial"/>
                <w:bCs/>
                <w:sz w:val="16"/>
                <w:szCs w:val="16"/>
              </w:rPr>
              <w:t>2677</w:t>
            </w:r>
          </w:p>
        </w:tc>
        <w:tc>
          <w:tcPr>
            <w:tcW w:w="1276" w:type="dxa"/>
            <w:shd w:val="clear" w:color="auto" w:fill="C6D9F1" w:themeFill="text2" w:themeFillTint="33"/>
            <w:noWrap/>
            <w:vAlign w:val="center"/>
            <w:hideMark/>
          </w:tcPr>
          <w:p w:rsidR="00306953" w:rsidRPr="00631582" w:rsidRDefault="00306953" w:rsidP="00306953">
            <w:pPr>
              <w:spacing w:after="0" w:line="240" w:lineRule="auto"/>
              <w:jc w:val="center"/>
              <w:rPr>
                <w:rFonts w:cs="Arial"/>
                <w:bCs/>
                <w:sz w:val="16"/>
                <w:szCs w:val="16"/>
              </w:rPr>
            </w:pPr>
            <w:r w:rsidRPr="00631582">
              <w:rPr>
                <w:rFonts w:cs="Arial"/>
                <w:bCs/>
                <w:sz w:val="16"/>
                <w:szCs w:val="16"/>
              </w:rPr>
              <w:t>3350</w:t>
            </w:r>
          </w:p>
        </w:tc>
        <w:tc>
          <w:tcPr>
            <w:tcW w:w="1134" w:type="dxa"/>
            <w:shd w:val="clear" w:color="auto" w:fill="C6D9F1" w:themeFill="text2" w:themeFillTint="33"/>
            <w:noWrap/>
            <w:vAlign w:val="center"/>
            <w:hideMark/>
          </w:tcPr>
          <w:p w:rsidR="00306953" w:rsidRPr="00631582" w:rsidRDefault="00306953" w:rsidP="00306953">
            <w:pPr>
              <w:spacing w:after="0" w:line="240" w:lineRule="auto"/>
              <w:jc w:val="center"/>
              <w:rPr>
                <w:rFonts w:cs="Arial"/>
                <w:bCs/>
                <w:sz w:val="16"/>
                <w:szCs w:val="16"/>
              </w:rPr>
            </w:pPr>
            <w:r w:rsidRPr="00631582">
              <w:rPr>
                <w:rFonts w:cs="Arial"/>
                <w:bCs/>
                <w:sz w:val="16"/>
                <w:szCs w:val="16"/>
              </w:rPr>
              <w:t>3749</w:t>
            </w:r>
          </w:p>
        </w:tc>
        <w:tc>
          <w:tcPr>
            <w:tcW w:w="1134" w:type="dxa"/>
            <w:shd w:val="clear" w:color="auto" w:fill="C6D9F1" w:themeFill="text2" w:themeFillTint="33"/>
            <w:noWrap/>
            <w:vAlign w:val="center"/>
            <w:hideMark/>
          </w:tcPr>
          <w:p w:rsidR="00306953" w:rsidRPr="00631582" w:rsidRDefault="00306953" w:rsidP="00306953">
            <w:pPr>
              <w:spacing w:after="0" w:line="240" w:lineRule="auto"/>
              <w:jc w:val="center"/>
              <w:rPr>
                <w:rFonts w:cs="Arial"/>
                <w:bCs/>
                <w:sz w:val="16"/>
                <w:szCs w:val="16"/>
              </w:rPr>
            </w:pPr>
            <w:r w:rsidRPr="00631582">
              <w:rPr>
                <w:rFonts w:cs="Arial"/>
                <w:bCs/>
                <w:sz w:val="16"/>
                <w:szCs w:val="16"/>
              </w:rPr>
              <w:t>7,9</w:t>
            </w:r>
          </w:p>
        </w:tc>
        <w:tc>
          <w:tcPr>
            <w:tcW w:w="1166" w:type="dxa"/>
            <w:shd w:val="clear" w:color="auto" w:fill="C6D9F1" w:themeFill="text2" w:themeFillTint="33"/>
            <w:noWrap/>
            <w:vAlign w:val="center"/>
            <w:hideMark/>
          </w:tcPr>
          <w:p w:rsidR="00306953" w:rsidRPr="00631582" w:rsidRDefault="00306953" w:rsidP="00306953">
            <w:pPr>
              <w:spacing w:after="0" w:line="240" w:lineRule="auto"/>
              <w:jc w:val="center"/>
              <w:rPr>
                <w:rFonts w:cs="Arial"/>
                <w:bCs/>
                <w:sz w:val="16"/>
                <w:szCs w:val="16"/>
              </w:rPr>
            </w:pPr>
            <w:r w:rsidRPr="00631582">
              <w:rPr>
                <w:rFonts w:cs="Arial"/>
                <w:bCs/>
                <w:sz w:val="16"/>
                <w:szCs w:val="16"/>
              </w:rPr>
              <w:t>9,4</w:t>
            </w:r>
          </w:p>
        </w:tc>
        <w:tc>
          <w:tcPr>
            <w:tcW w:w="1134" w:type="dxa"/>
            <w:shd w:val="clear" w:color="auto" w:fill="C6D9F1" w:themeFill="text2" w:themeFillTint="33"/>
            <w:noWrap/>
            <w:vAlign w:val="center"/>
            <w:hideMark/>
          </w:tcPr>
          <w:p w:rsidR="00306953" w:rsidRPr="00631582" w:rsidRDefault="00306953" w:rsidP="00306953">
            <w:pPr>
              <w:spacing w:after="0" w:line="240" w:lineRule="auto"/>
              <w:jc w:val="center"/>
              <w:rPr>
                <w:rFonts w:cs="Arial"/>
                <w:bCs/>
                <w:sz w:val="16"/>
                <w:szCs w:val="16"/>
              </w:rPr>
            </w:pPr>
            <w:r w:rsidRPr="00631582">
              <w:rPr>
                <w:rFonts w:cs="Arial"/>
                <w:bCs/>
                <w:sz w:val="16"/>
                <w:szCs w:val="16"/>
              </w:rPr>
              <w:t>10,4</w:t>
            </w:r>
          </w:p>
        </w:tc>
      </w:tr>
    </w:tbl>
    <w:p w:rsidR="00306953" w:rsidRPr="00442515" w:rsidRDefault="00306953" w:rsidP="0014635D">
      <w:pPr>
        <w:spacing w:before="120" w:after="0" w:line="240" w:lineRule="auto"/>
        <w:jc w:val="both"/>
        <w:rPr>
          <w:rFonts w:eastAsia="ChaparralPro-Regular" w:cs="Arial"/>
          <w:sz w:val="16"/>
          <w:szCs w:val="16"/>
        </w:rPr>
      </w:pPr>
      <w:r w:rsidRPr="00442515">
        <w:rPr>
          <w:rFonts w:cs="Arial"/>
          <w:b/>
          <w:color w:val="000000"/>
          <w:sz w:val="16"/>
          <w:szCs w:val="16"/>
        </w:rPr>
        <w:t xml:space="preserve">. </w:t>
      </w:r>
      <w:r w:rsidRPr="00442515">
        <w:rPr>
          <w:rFonts w:cs="Arial"/>
          <w:color w:val="000000"/>
          <w:sz w:val="16"/>
          <w:szCs w:val="16"/>
        </w:rPr>
        <w:t xml:space="preserve"> …</w:t>
      </w:r>
      <w:r w:rsidR="0014635D">
        <w:rPr>
          <w:rFonts w:eastAsia="ChaparralPro-Regular" w:cs="Arial"/>
          <w:sz w:val="16"/>
          <w:szCs w:val="16"/>
        </w:rPr>
        <w:t xml:space="preserve"> </w:t>
      </w:r>
      <w:r w:rsidRPr="00442515">
        <w:rPr>
          <w:rFonts w:eastAsia="ChaparralPro-Regular" w:cs="Arial"/>
          <w:sz w:val="16"/>
          <w:szCs w:val="16"/>
        </w:rPr>
        <w:t>Náklady na úrovni vyššího sekundárního vzdělávání nejsou za ČR, Polsko, Estonsko a Finsko k dispozici.</w:t>
      </w:r>
    </w:p>
    <w:p w:rsidR="00306953" w:rsidRPr="00442515" w:rsidRDefault="00306953" w:rsidP="00306953">
      <w:pPr>
        <w:spacing w:after="0" w:line="240" w:lineRule="auto"/>
        <w:jc w:val="both"/>
        <w:rPr>
          <w:rFonts w:eastAsia="ChaparralPro-Regular" w:cs="Arial"/>
          <w:sz w:val="16"/>
          <w:szCs w:val="16"/>
        </w:rPr>
      </w:pPr>
      <w:r w:rsidRPr="00442515">
        <w:rPr>
          <w:rFonts w:eastAsia="ChaparralPro-Regular" w:cs="Arial"/>
          <w:sz w:val="16"/>
          <w:szCs w:val="16"/>
        </w:rPr>
        <w:t xml:space="preserve">Zdroj: OECD 2015, tabulka B 7.1. StatLink: </w:t>
      </w:r>
      <w:hyperlink r:id="rId123" w:history="1">
        <w:r w:rsidRPr="00442515">
          <w:rPr>
            <w:rStyle w:val="Hypertextovodkaz"/>
            <w:rFonts w:cs="Arial"/>
            <w:sz w:val="16"/>
            <w:szCs w:val="16"/>
          </w:rPr>
          <w:t>http://dx.doi.org/10.1787/888933285662</w:t>
        </w:r>
      </w:hyperlink>
      <w:r w:rsidRPr="00442515">
        <w:rPr>
          <w:rFonts w:cs="Arial"/>
          <w:color w:val="231F20"/>
          <w:sz w:val="16"/>
          <w:szCs w:val="16"/>
        </w:rPr>
        <w:t xml:space="preserve">, </w:t>
      </w:r>
      <w:r w:rsidRPr="00442515">
        <w:rPr>
          <w:rFonts w:eastAsia="ChaparralPro-Regular" w:cs="Arial"/>
          <w:sz w:val="16"/>
          <w:szCs w:val="16"/>
        </w:rPr>
        <w:t>výběr údajů ČSÚ.</w:t>
      </w:r>
    </w:p>
    <w:p w:rsidR="00306953" w:rsidRPr="00306953" w:rsidRDefault="00306953" w:rsidP="00306953">
      <w:pPr>
        <w:spacing w:after="0" w:line="240" w:lineRule="auto"/>
        <w:jc w:val="both"/>
        <w:rPr>
          <w:rFonts w:eastAsia="ChaparralPro-Regular" w:cs="Arial"/>
          <w:sz w:val="12"/>
          <w:szCs w:val="12"/>
        </w:rPr>
      </w:pPr>
    </w:p>
    <w:p w:rsidR="00306953" w:rsidRPr="00306953" w:rsidRDefault="00306953" w:rsidP="00306953">
      <w:pPr>
        <w:autoSpaceDE w:val="0"/>
        <w:autoSpaceDN w:val="0"/>
        <w:adjustRightInd w:val="0"/>
        <w:spacing w:after="0" w:line="240" w:lineRule="auto"/>
        <w:jc w:val="both"/>
        <w:rPr>
          <w:rFonts w:eastAsia="ChaparralPro-Regular" w:cs="Arial"/>
          <w:sz w:val="12"/>
          <w:szCs w:val="12"/>
        </w:rPr>
      </w:pPr>
    </w:p>
    <w:p w:rsidR="00306953" w:rsidRPr="00306953" w:rsidRDefault="00306953" w:rsidP="00306953">
      <w:pPr>
        <w:autoSpaceDE w:val="0"/>
        <w:autoSpaceDN w:val="0"/>
        <w:adjustRightInd w:val="0"/>
        <w:spacing w:after="120" w:line="240" w:lineRule="auto"/>
        <w:jc w:val="both"/>
        <w:rPr>
          <w:rFonts w:eastAsia="ChaparralPro-Regular" w:cs="Arial"/>
        </w:rPr>
      </w:pPr>
      <w:r w:rsidRPr="00306953">
        <w:rPr>
          <w:rFonts w:eastAsia="ChaparralPro-Regular" w:cs="Arial"/>
        </w:rPr>
        <w:t>Jak je zřejmé, též</w:t>
      </w:r>
      <w:r w:rsidRPr="00306953">
        <w:rPr>
          <w:rFonts w:cs="Arial"/>
        </w:rPr>
        <w:t xml:space="preserve"> </w:t>
      </w:r>
      <w:r w:rsidRPr="00306953">
        <w:rPr>
          <w:rFonts w:eastAsia="ChaparralPro-Regular" w:cs="Arial"/>
        </w:rPr>
        <w:t>podíl HDP na jednoho obyvatele věnovaný na mzdy učitelů na jednoho žáka</w:t>
      </w:r>
      <w:r w:rsidRPr="00306953">
        <w:rPr>
          <w:rFonts w:eastAsia="ChaparralPro-Regular" w:cs="Arial"/>
          <w:color w:val="FF0000"/>
        </w:rPr>
        <w:t xml:space="preserve"> </w:t>
      </w:r>
      <w:r w:rsidRPr="00306953">
        <w:rPr>
          <w:rFonts w:eastAsia="ChaparralPro-Regular" w:cs="Arial"/>
        </w:rPr>
        <w:t xml:space="preserve">byl </w:t>
      </w:r>
      <w:r w:rsidR="002C5FD0">
        <w:rPr>
          <w:rFonts w:eastAsia="ChaparralPro-Regular" w:cs="Arial"/>
          <w:b/>
        </w:rPr>
        <w:t>v ČR na</w:t>
      </w:r>
      <w:r w:rsidRPr="00306953">
        <w:rPr>
          <w:rFonts w:eastAsia="ChaparralPro-Regular" w:cs="Arial"/>
          <w:b/>
        </w:rPr>
        <w:t xml:space="preserve"> </w:t>
      </w:r>
      <w:r w:rsidR="002C5FD0">
        <w:rPr>
          <w:rFonts w:eastAsia="ChaparralPro-Regular" w:cs="Arial"/>
          <w:b/>
        </w:rPr>
        <w:t>primární a nižší sekundární úrovni</w:t>
      </w:r>
      <w:r w:rsidRPr="00306953">
        <w:rPr>
          <w:rFonts w:eastAsia="ChaparralPro-Regular" w:cs="Arial"/>
          <w:b/>
        </w:rPr>
        <w:t xml:space="preserve"> vzdělávání nižší než v průměru za země OECD</w:t>
      </w:r>
      <w:r w:rsidRPr="00306953">
        <w:rPr>
          <w:rFonts w:eastAsia="ChaparralPro-Regular" w:cs="Arial"/>
        </w:rPr>
        <w:t xml:space="preserve"> (průměr za země v EU i OECD není k dispozici) a byl také </w:t>
      </w:r>
      <w:r w:rsidRPr="00306953">
        <w:rPr>
          <w:rFonts w:eastAsia="ChaparralPro-Regular" w:cs="Arial"/>
          <w:b/>
        </w:rPr>
        <w:t>nižší než v Polsku, Finsku nebo Rakousku</w:t>
      </w:r>
      <w:r w:rsidR="003A515E">
        <w:rPr>
          <w:rFonts w:eastAsia="ChaparralPro-Regular" w:cs="Arial"/>
        </w:rPr>
        <w:t>. Slovensko a </w:t>
      </w:r>
      <w:r w:rsidRPr="00306953">
        <w:rPr>
          <w:rFonts w:eastAsia="ChaparralPro-Regular" w:cs="Arial"/>
        </w:rPr>
        <w:t xml:space="preserve">Estonsko se v podílu HDP věnovaného na platy učitelů na jednoho žáka v primárním a nižším sekundárním vzdělávání od ČR </w:t>
      </w:r>
      <w:r w:rsidR="007B139C">
        <w:rPr>
          <w:rFonts w:eastAsia="ChaparralPro-Regular" w:cs="Arial"/>
        </w:rPr>
        <w:t>již výrazně</w:t>
      </w:r>
      <w:r w:rsidRPr="00306953">
        <w:rPr>
          <w:rFonts w:eastAsia="ChaparralPro-Regular" w:cs="Arial"/>
        </w:rPr>
        <w:t xml:space="preserve"> nelišily. </w:t>
      </w:r>
    </w:p>
    <w:p w:rsidR="00306953" w:rsidRPr="00306953" w:rsidRDefault="00306953" w:rsidP="00306953">
      <w:pPr>
        <w:autoSpaceDE w:val="0"/>
        <w:autoSpaceDN w:val="0"/>
        <w:adjustRightInd w:val="0"/>
        <w:spacing w:after="0" w:line="240" w:lineRule="auto"/>
        <w:jc w:val="both"/>
        <w:rPr>
          <w:rFonts w:eastAsia="ChaparralPro-Regular" w:cs="Arial"/>
        </w:rPr>
      </w:pPr>
    </w:p>
    <w:p w:rsidR="00306953" w:rsidRPr="00306953" w:rsidRDefault="00306953" w:rsidP="00306953">
      <w:pPr>
        <w:autoSpaceDE w:val="0"/>
        <w:autoSpaceDN w:val="0"/>
        <w:adjustRightInd w:val="0"/>
        <w:spacing w:after="0" w:line="240" w:lineRule="auto"/>
        <w:jc w:val="both"/>
        <w:rPr>
          <w:rFonts w:eastAsia="ChaparralPro-Regular" w:cs="Arial"/>
        </w:rPr>
      </w:pPr>
      <w:r w:rsidRPr="00306953">
        <w:rPr>
          <w:rFonts w:eastAsia="ChaparralPro-Regular" w:cs="Arial"/>
        </w:rPr>
        <w:t xml:space="preserve">Graf č. 16 dále ukazuje </w:t>
      </w:r>
      <w:r w:rsidRPr="00306953">
        <w:rPr>
          <w:rFonts w:eastAsia="ChaparralPro-Regular" w:cs="Arial"/>
          <w:b/>
          <w:bCs/>
        </w:rPr>
        <w:t xml:space="preserve">rozsah vlivu </w:t>
      </w:r>
      <w:r w:rsidR="007B139C">
        <w:rPr>
          <w:rFonts w:eastAsia="ChaparralPro-Regular" w:cs="Arial"/>
          <w:b/>
          <w:bCs/>
        </w:rPr>
        <w:t xml:space="preserve">čtyř </w:t>
      </w:r>
      <w:r w:rsidRPr="00306953">
        <w:rPr>
          <w:rFonts w:eastAsia="ChaparralPro-Regular" w:cs="Arial"/>
          <w:b/>
          <w:bCs/>
        </w:rPr>
        <w:t>různých faktorů na náklady na platy učitelů na jednoho žáka ve vyšším sekundárním vzdělávání v roce 2012</w:t>
      </w:r>
      <w:r w:rsidRPr="00306953">
        <w:rPr>
          <w:rFonts w:eastAsia="ChaparralPro-Regular" w:cs="Arial"/>
        </w:rPr>
        <w:t>.</w:t>
      </w:r>
    </w:p>
    <w:p w:rsidR="00306953" w:rsidRPr="00306953" w:rsidRDefault="00306953" w:rsidP="00306953">
      <w:pPr>
        <w:autoSpaceDE w:val="0"/>
        <w:autoSpaceDN w:val="0"/>
        <w:adjustRightInd w:val="0"/>
        <w:spacing w:after="0" w:line="240" w:lineRule="auto"/>
        <w:jc w:val="both"/>
        <w:rPr>
          <w:rFonts w:eastAsia="ChaparralPro-Regular" w:cs="Arial"/>
        </w:rPr>
      </w:pPr>
    </w:p>
    <w:p w:rsidR="00306953" w:rsidRDefault="00306953" w:rsidP="00F61490">
      <w:pPr>
        <w:keepNext/>
        <w:autoSpaceDE w:val="0"/>
        <w:autoSpaceDN w:val="0"/>
        <w:adjustRightInd w:val="0"/>
        <w:spacing w:after="120" w:line="240" w:lineRule="auto"/>
        <w:jc w:val="both"/>
        <w:rPr>
          <w:rFonts w:eastAsia="ChaparralPro-Regular" w:cs="Arial"/>
          <w:bCs/>
          <w:i/>
        </w:rPr>
      </w:pPr>
      <w:r w:rsidRPr="00306953">
        <w:rPr>
          <w:rFonts w:eastAsia="ChaparralPro-Regular" w:cs="Arial"/>
          <w:b/>
        </w:rPr>
        <w:t>Graf č. 16</w:t>
      </w:r>
      <w:r w:rsidRPr="00306953">
        <w:rPr>
          <w:rFonts w:eastAsia="ChaparralPro-Regular" w:cs="Arial"/>
          <w:b/>
          <w:bCs/>
        </w:rPr>
        <w:t xml:space="preserve"> Rozsah a směr vlivu různých faktorů na náklady na platy učitelů na jednoho žáka ve vyšším sekundárním vzdělávání (2012), </w:t>
      </w:r>
      <w:r w:rsidRPr="00306953">
        <w:rPr>
          <w:rFonts w:eastAsia="ChaparralPro-Regular" w:cs="Arial"/>
          <w:bCs/>
          <w:i/>
        </w:rPr>
        <w:t>v</w:t>
      </w:r>
      <w:r w:rsidR="008D5980">
        <w:rPr>
          <w:rFonts w:eastAsia="ChaparralPro-Regular" w:cs="Arial"/>
          <w:bCs/>
          <w:i/>
        </w:rPr>
        <w:t> </w:t>
      </w:r>
      <w:r w:rsidRPr="00306953">
        <w:rPr>
          <w:rFonts w:eastAsia="ChaparralPro-Regular" w:cs="Arial"/>
          <w:bCs/>
          <w:i/>
        </w:rPr>
        <w:t>USD</w:t>
      </w:r>
    </w:p>
    <w:p w:rsidR="00306953" w:rsidRPr="00F61490" w:rsidRDefault="00BA5EE1" w:rsidP="00F61490">
      <w:pPr>
        <w:keepNext/>
        <w:autoSpaceDE w:val="0"/>
        <w:autoSpaceDN w:val="0"/>
        <w:adjustRightInd w:val="0"/>
        <w:spacing w:after="120" w:line="240" w:lineRule="auto"/>
        <w:jc w:val="both"/>
        <w:rPr>
          <w:rFonts w:eastAsia="ChaparralPro-Regular" w:cs="Arial"/>
          <w:bCs/>
          <w:i/>
        </w:rPr>
      </w:pPr>
      <w:r w:rsidRPr="00984E22">
        <w:rPr>
          <w:rFonts w:eastAsia="ChaparralPro-Regular" w:cs="Arial"/>
          <w:i/>
          <w:noProof/>
        </w:rPr>
        <w:pict>
          <v:shape id="_x0000_i1042" type="#_x0000_t75" style="width:470.25pt;height:264.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XOrR12wAAAAUBAAAPAAAAZHJzL2Rvd25y&#10;ZXYueG1sTI/NTsMwEITvSLyDtUjcqENEKhriVNCol14QBXHexksSiNeRf9rw9hgu9LLSaEYz31br&#10;2YziSM4PlhXcLjIQxK3VA3cK3l63N/cgfEDWOFomBd/kYV1fXlRYanviFzruQydSCfsSFfQhTKWU&#10;vu3JoF/YiTh5H9YZDEm6TmqHp1RuRpln2VIaHDgt9DjRpqf2ax+Ngudlvt1EfJ/mp6ZpPtu4i27Y&#10;KXV9NT8+gAg0h/8w/OIndKgT08FG1l6MCtIj4e8mb3WXFSAOCop8VYCsK3lOX/8A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">
            <v:imagedata r:id="rId124" o:title="" croptop="-2870f" cropbottom="-3618f" cropleft="-975f" cropright="-1943f"/>
            <o:lock v:ext="edit" aspectratio="f"/>
          </v:shape>
        </w:pict>
      </w:r>
    </w:p>
    <w:p w:rsidR="00957A8D" w:rsidRDefault="00957A8D" w:rsidP="0052747A">
      <w:pPr>
        <w:numPr>
          <w:ilvl w:val="0"/>
          <w:numId w:val="6"/>
        </w:numPr>
        <w:spacing w:after="0" w:line="240" w:lineRule="auto"/>
        <w:ind w:left="284" w:hanging="284"/>
        <w:jc w:val="both"/>
        <w:rPr>
          <w:rFonts w:eastAsia="ChaparralPro-Regular" w:cs="Arial"/>
          <w:sz w:val="16"/>
          <w:szCs w:val="16"/>
        </w:rPr>
      </w:pPr>
      <w:r w:rsidRPr="00957A8D">
        <w:rPr>
          <w:rFonts w:eastAsia="ChaparralPro-Regular" w:cs="Arial"/>
          <w:sz w:val="16"/>
          <w:szCs w:val="16"/>
        </w:rPr>
        <w:t>Vliv počtu vyučovacích hodin absolvovaných žáky je vypočítán na základě minimální délky</w:t>
      </w:r>
      <w:r>
        <w:rPr>
          <w:rFonts w:eastAsia="ChaparralPro-Regular" w:cs="Arial"/>
          <w:sz w:val="16"/>
          <w:szCs w:val="16"/>
        </w:rPr>
        <w:t xml:space="preserve"> </w:t>
      </w:r>
      <w:r w:rsidRPr="00957A8D">
        <w:rPr>
          <w:rFonts w:eastAsia="ChaparralPro-Regular" w:cs="Arial"/>
          <w:sz w:val="16"/>
          <w:szCs w:val="16"/>
        </w:rPr>
        <w:t>vyučování.</w:t>
      </w:r>
    </w:p>
    <w:p w:rsidR="00306953" w:rsidRPr="00442515" w:rsidRDefault="00306953" w:rsidP="00306953">
      <w:pPr>
        <w:spacing w:after="0" w:line="240" w:lineRule="auto"/>
        <w:jc w:val="both"/>
        <w:rPr>
          <w:rFonts w:eastAsia="ChaparralPro-Regular" w:cs="Arial"/>
          <w:sz w:val="16"/>
          <w:szCs w:val="16"/>
        </w:rPr>
      </w:pPr>
      <w:r w:rsidRPr="00442515">
        <w:rPr>
          <w:rFonts w:eastAsia="ChaparralPro-Regular" w:cs="Arial"/>
          <w:sz w:val="16"/>
          <w:szCs w:val="16"/>
        </w:rPr>
        <w:t xml:space="preserve">Zdroj: OECD 2014, graf B 7.4 (tabulka B 7.5). StatLink: </w:t>
      </w:r>
      <w:hyperlink r:id="rId125" w:history="1">
        <w:r w:rsidRPr="00442515">
          <w:rPr>
            <w:rStyle w:val="Hypertextovodkaz"/>
            <w:rFonts w:cs="Arial"/>
            <w:sz w:val="16"/>
            <w:szCs w:val="16"/>
          </w:rPr>
          <w:t>http://dx.doi.org/10.1787/888933118162</w:t>
        </w:r>
      </w:hyperlink>
      <w:r w:rsidRPr="00442515">
        <w:rPr>
          <w:rFonts w:cs="Arial"/>
          <w:sz w:val="16"/>
          <w:szCs w:val="16"/>
        </w:rPr>
        <w:t xml:space="preserve"> </w:t>
      </w:r>
    </w:p>
    <w:p w:rsidR="00306953" w:rsidRPr="00306953" w:rsidRDefault="00306953" w:rsidP="00306953">
      <w:pPr>
        <w:autoSpaceDE w:val="0"/>
        <w:autoSpaceDN w:val="0"/>
        <w:adjustRightInd w:val="0"/>
        <w:spacing w:after="0" w:line="240" w:lineRule="auto"/>
        <w:jc w:val="both"/>
        <w:rPr>
          <w:rFonts w:eastAsia="ChaparralPro-Regular" w:cs="Arial"/>
          <w:color w:val="C00000"/>
        </w:rPr>
      </w:pPr>
    </w:p>
    <w:p w:rsidR="00306953" w:rsidRPr="00306953" w:rsidRDefault="007B139C" w:rsidP="00306953">
      <w:pPr>
        <w:autoSpaceDE w:val="0"/>
        <w:autoSpaceDN w:val="0"/>
        <w:adjustRightInd w:val="0"/>
        <w:spacing w:after="0" w:line="240" w:lineRule="auto"/>
        <w:jc w:val="both"/>
        <w:rPr>
          <w:rFonts w:eastAsia="ChaparralPro-Regular" w:cs="Arial"/>
        </w:rPr>
      </w:pPr>
      <w:r w:rsidRPr="00D9583C">
        <w:rPr>
          <w:rFonts w:eastAsia="ChaparralPro-Regular" w:cs="Arial"/>
        </w:rPr>
        <w:t xml:space="preserve">Jak je z grafu č. 16 zřejmé, </w:t>
      </w:r>
      <w:r w:rsidR="00306953" w:rsidRPr="00D9583C">
        <w:rPr>
          <w:rFonts w:eastAsia="ChaparralPro-Regular" w:cs="Arial"/>
        </w:rPr>
        <w:t xml:space="preserve">náklady na platy učitelů na jednoho žáka ve vyšším sekundárním vzdělávání byly v roce 2012 </w:t>
      </w:r>
      <w:r w:rsidR="00306953" w:rsidRPr="00D9583C">
        <w:rPr>
          <w:rFonts w:eastAsia="ChaparralPro-Regular" w:cs="Arial"/>
          <w:b/>
        </w:rPr>
        <w:t xml:space="preserve">v ČR v mezinárodním srovnání podprůměrné, což bylo dáno zejména nižšími platy učitelů </w:t>
      </w:r>
      <w:r w:rsidR="00306953" w:rsidRPr="00D9583C">
        <w:rPr>
          <w:rFonts w:eastAsia="ChaparralPro-Regular" w:cs="Arial"/>
        </w:rPr>
        <w:t>(</w:t>
      </w:r>
      <w:r w:rsidR="00306953" w:rsidRPr="00D9583C">
        <w:rPr>
          <w:rFonts w:cs="Arial"/>
        </w:rPr>
        <w:t>tj. </w:t>
      </w:r>
      <w:r w:rsidR="00306953" w:rsidRPr="00D9583C">
        <w:rPr>
          <w:rFonts w:eastAsia="ChaparralPro-Regular" w:cs="Arial"/>
        </w:rPr>
        <w:t xml:space="preserve">odhad učiněný na základě zákonem stanoveného platu po 15 letech praxe – viz vzorec výše). O něco nižší než mezinárodní průměr byl i počet vyučovacích hodin, které mají žáci absolvovat, což také přispělo ke snížení nákladů. </w:t>
      </w:r>
      <w:r w:rsidR="00306953" w:rsidRPr="00D9583C">
        <w:rPr>
          <w:rFonts w:eastAsia="ChaparralPro-Regular" w:cs="Arial"/>
          <w:b/>
        </w:rPr>
        <w:t>Rozdíl mezi celkovými náklady na platy učitelů na jednoho žáka v ČR a v průměru za země OECD naopak o něco snížil</w:t>
      </w:r>
      <w:r w:rsidR="00306953" w:rsidRPr="00D9583C">
        <w:rPr>
          <w:rFonts w:eastAsia="ChaparralPro-Regular" w:cs="Arial"/>
        </w:rPr>
        <w:t xml:space="preserve"> podprůměrný počet žáků ve třídě v ČR (spočtený na základě odhadu – viz vzorec výše) a nižší počet hodin, které mají učitelé odučit. Podobné tendence najdeme i v Polsku, kde již platy učitelů hrají o něco menší roli. Slovensko a Estonsko pak zaznamenaly nejnižší náklady na platy učitelů na jednoho žáka ze všech sledovaných zemí, přičemž zde zcela dominantní roli hrály nižší platy učitelů.</w:t>
      </w:r>
    </w:p>
    <w:p w:rsidR="00306953" w:rsidRPr="00306953" w:rsidRDefault="00306953" w:rsidP="00306953">
      <w:pPr>
        <w:autoSpaceDE w:val="0"/>
        <w:autoSpaceDN w:val="0"/>
        <w:adjustRightInd w:val="0"/>
        <w:spacing w:after="0" w:line="240" w:lineRule="auto"/>
        <w:jc w:val="both"/>
        <w:rPr>
          <w:rFonts w:eastAsia="ChaparralPro-Regular" w:cs="Arial"/>
        </w:rPr>
      </w:pPr>
    </w:p>
    <w:p w:rsidR="00306953" w:rsidRPr="00306953" w:rsidRDefault="00306953" w:rsidP="00306953">
      <w:pPr>
        <w:autoSpaceDE w:val="0"/>
        <w:autoSpaceDN w:val="0"/>
        <w:adjustRightInd w:val="0"/>
        <w:spacing w:after="0" w:line="240" w:lineRule="auto"/>
        <w:jc w:val="both"/>
        <w:rPr>
          <w:rFonts w:eastAsia="ChaparralPro-Regular" w:cs="Arial"/>
        </w:rPr>
      </w:pPr>
      <w:r w:rsidRPr="00306953">
        <w:rPr>
          <w:rFonts w:eastAsia="ChaparralPro-Regular" w:cs="Arial"/>
        </w:rPr>
        <w:t xml:space="preserve">Pro kontrolu, jakou roli v rozdílech mezi zeměmi hrála v roce 2012 ekonomická prosperita té které země, byl pro publikaci Education at a Glane sestrojen také graf ukazující totéž </w:t>
      </w:r>
      <w:r w:rsidR="001451EF">
        <w:rPr>
          <w:rFonts w:eastAsia="ChaparralPro-Regular" w:cs="Arial"/>
        </w:rPr>
        <w:t xml:space="preserve">co graf č. 16, avšak v podílu </w:t>
      </w:r>
      <w:r w:rsidRPr="00306953">
        <w:rPr>
          <w:rFonts w:eastAsia="ChaparralPro-Regular" w:cs="Arial"/>
        </w:rPr>
        <w:t xml:space="preserve">HDP dané země:  </w:t>
      </w:r>
    </w:p>
    <w:p w:rsidR="00306953" w:rsidRPr="00306953" w:rsidRDefault="00306953" w:rsidP="00306953">
      <w:pPr>
        <w:autoSpaceDE w:val="0"/>
        <w:autoSpaceDN w:val="0"/>
        <w:adjustRightInd w:val="0"/>
        <w:spacing w:after="0" w:line="240" w:lineRule="auto"/>
        <w:jc w:val="both"/>
        <w:rPr>
          <w:rFonts w:eastAsia="ChaparralPro-Regular" w:cs="Arial"/>
        </w:rPr>
      </w:pPr>
    </w:p>
    <w:p w:rsidR="00306953" w:rsidRDefault="00306953" w:rsidP="00D9583C">
      <w:pPr>
        <w:keepNext/>
        <w:autoSpaceDE w:val="0"/>
        <w:autoSpaceDN w:val="0"/>
        <w:adjustRightInd w:val="0"/>
        <w:spacing w:after="120" w:line="240" w:lineRule="auto"/>
        <w:jc w:val="both"/>
        <w:rPr>
          <w:rFonts w:eastAsia="ChaparralPro-Regular" w:cs="Arial"/>
          <w:i/>
          <w:iCs/>
        </w:rPr>
      </w:pPr>
      <w:r w:rsidRPr="00306953">
        <w:rPr>
          <w:rFonts w:eastAsia="ChaparralPro-Regular" w:cs="Arial"/>
          <w:b/>
        </w:rPr>
        <w:lastRenderedPageBreak/>
        <w:t>Graf č. 17</w:t>
      </w:r>
      <w:r w:rsidRPr="00306953">
        <w:rPr>
          <w:rFonts w:eastAsia="ChaparralPro-Regular" w:cs="Arial"/>
          <w:b/>
          <w:bCs/>
        </w:rPr>
        <w:t xml:space="preserve"> Rozsah a směr vlivu různých faktorů na náklady na p</w:t>
      </w:r>
      <w:r w:rsidR="003A515E">
        <w:rPr>
          <w:rFonts w:eastAsia="ChaparralPro-Regular" w:cs="Arial"/>
          <w:b/>
          <w:bCs/>
        </w:rPr>
        <w:t>laty učitelů na jednoho žáka ve </w:t>
      </w:r>
      <w:r w:rsidRPr="00306953">
        <w:rPr>
          <w:rFonts w:eastAsia="ChaparralPro-Regular" w:cs="Arial"/>
          <w:b/>
          <w:bCs/>
        </w:rPr>
        <w:t>vyšším sekundárním vzdělávání (2012)</w:t>
      </w:r>
      <w:r w:rsidRPr="00306953">
        <w:rPr>
          <w:rFonts w:eastAsia="ChaparralPro-Regular" w:cs="Arial"/>
        </w:rPr>
        <w:t xml:space="preserve">, </w:t>
      </w:r>
      <w:r w:rsidRPr="00306953">
        <w:rPr>
          <w:rFonts w:eastAsia="ChaparralPro-Regular" w:cs="Arial"/>
          <w:i/>
          <w:iCs/>
        </w:rPr>
        <w:t xml:space="preserve">v procentních bodech HDP na jednoho obyvatele </w:t>
      </w:r>
    </w:p>
    <w:p w:rsidR="008D5980" w:rsidRDefault="00BA5EE1" w:rsidP="008D5980">
      <w:pPr>
        <w:keepNext/>
        <w:autoSpaceDE w:val="0"/>
        <w:autoSpaceDN w:val="0"/>
        <w:adjustRightInd w:val="0"/>
        <w:spacing w:after="120" w:line="240" w:lineRule="auto"/>
        <w:jc w:val="both"/>
        <w:rPr>
          <w:rFonts w:eastAsia="ChaparralPro-Regular" w:cs="Arial"/>
        </w:rPr>
      </w:pPr>
      <w:r w:rsidRPr="00984E22">
        <w:rPr>
          <w:rFonts w:eastAsia="ChaparralPro-Regular" w:cs="Arial"/>
          <w:noProof/>
        </w:rPr>
        <w:pict>
          <v:shape id="Graf 10" o:spid="_x0000_i1043" type="#_x0000_t75" style="width:470.25pt;height:287.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p4iUN2gAAAAUBAAAPAAAAZHJzL2Rvd25y&#10;ZXYueG1sTI9BS8NAEIXvgv9hGcGb3SiN1phNsUKPClbB6yY7boKZ2Zjdpum/d/RiLwOP93jvm3I9&#10;U68mHGMX2MD1IgOF3ATXsTfw/ra9WoGKybKzfWA0cMQI6+r8rLSFCwd+xWmXvJISjoU10KY0FFrH&#10;pkWycREGZPE+w0g2iRy9dqM9SDn1+ibLbjXZjmWhtQM+tdh87fZkwL9svtNHTfOkN8eJaPvsm5Uz&#10;5vJifnwAlXBO/2H4xRd0qISpDnt2UfUG5JH0d8W7X2Y5qNpAfrfMQVelPqWvfgA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">
            <v:imagedata r:id="rId126" o:title="" croptop="-2985f" cropbottom="-2985f" cropleft="-1007f" cropright="-4173f"/>
            <o:lock v:ext="edit" aspectratio="f"/>
          </v:shape>
        </w:pict>
      </w:r>
    </w:p>
    <w:p w:rsidR="00306953" w:rsidRPr="008D5980" w:rsidRDefault="00306953" w:rsidP="008D5980">
      <w:pPr>
        <w:keepNext/>
        <w:autoSpaceDE w:val="0"/>
        <w:autoSpaceDN w:val="0"/>
        <w:adjustRightInd w:val="0"/>
        <w:spacing w:after="120" w:line="240" w:lineRule="auto"/>
        <w:jc w:val="both"/>
        <w:rPr>
          <w:rFonts w:eastAsia="ChaparralPro-Regular" w:cs="Arial"/>
        </w:rPr>
      </w:pPr>
      <w:r w:rsidRPr="00442515">
        <w:rPr>
          <w:rFonts w:eastAsia="ChaparralPro-Regular" w:cs="Arial"/>
          <w:sz w:val="16"/>
          <w:szCs w:val="16"/>
        </w:rPr>
        <w:t xml:space="preserve">Zdroj: OECD 2014, graf B 7.4 (tabulka B 7.5 pokračování). StatLink: </w:t>
      </w:r>
      <w:hyperlink r:id="rId127" w:history="1">
        <w:r w:rsidRPr="00442515">
          <w:rPr>
            <w:rStyle w:val="Hypertextovodkaz"/>
            <w:rFonts w:cs="Arial"/>
            <w:sz w:val="16"/>
            <w:szCs w:val="16"/>
          </w:rPr>
          <w:t>http://dx.doi.org/10.1787/888933118162</w:t>
        </w:r>
      </w:hyperlink>
      <w:r w:rsidRPr="00442515">
        <w:rPr>
          <w:rFonts w:cs="Arial"/>
          <w:sz w:val="16"/>
          <w:szCs w:val="16"/>
        </w:rPr>
        <w:t xml:space="preserve"> </w:t>
      </w:r>
    </w:p>
    <w:p w:rsidR="00306953" w:rsidRPr="00306953" w:rsidRDefault="00306953" w:rsidP="00306953">
      <w:pPr>
        <w:autoSpaceDE w:val="0"/>
        <w:autoSpaceDN w:val="0"/>
        <w:adjustRightInd w:val="0"/>
        <w:spacing w:after="0" w:line="240" w:lineRule="auto"/>
        <w:jc w:val="both"/>
        <w:rPr>
          <w:rFonts w:eastAsia="ChaparralPro-Regular" w:cs="Arial"/>
          <w:sz w:val="12"/>
          <w:szCs w:val="12"/>
        </w:rPr>
      </w:pPr>
    </w:p>
    <w:p w:rsidR="00306953" w:rsidRPr="00306953" w:rsidRDefault="00306953" w:rsidP="00306953">
      <w:pPr>
        <w:autoSpaceDE w:val="0"/>
        <w:autoSpaceDN w:val="0"/>
        <w:adjustRightInd w:val="0"/>
        <w:spacing w:after="0" w:line="240" w:lineRule="auto"/>
        <w:jc w:val="both"/>
        <w:rPr>
          <w:rFonts w:eastAsia="ChaparralPro-Regular" w:cs="Arial"/>
        </w:rPr>
      </w:pPr>
      <w:r w:rsidRPr="00306953">
        <w:rPr>
          <w:rFonts w:eastAsia="ChaparralPro-Regular" w:cs="Arial"/>
        </w:rPr>
        <w:t>Po zohlednění bohatství dané země se pozice ČR v pomyslném žebříčku zemí téměř nezměnila a také Estonsko a Slovensko zůstaly na jeho konci. Z nám blízkých zemí však zaznamenalo výraznější posun Polsko, jehož náklady na platy učitelů na žáka vyjádřených jakožto podíl k HDP země na jednoho obyvatele nepatrně převýšily mezinárodní průměr a význam platu učitelů na snížení tohoto podílu je již oproti jiným sledovaným faktorům méně výrazný.</w:t>
      </w:r>
    </w:p>
    <w:p w:rsidR="00306953" w:rsidRPr="00306953" w:rsidRDefault="00306953" w:rsidP="00306953">
      <w:pPr>
        <w:autoSpaceDE w:val="0"/>
        <w:autoSpaceDN w:val="0"/>
        <w:adjustRightInd w:val="0"/>
        <w:spacing w:after="0" w:line="240" w:lineRule="auto"/>
        <w:jc w:val="both"/>
        <w:rPr>
          <w:rFonts w:eastAsia="ChaparralPro-Regular" w:cs="Arial"/>
          <w:sz w:val="12"/>
          <w:szCs w:val="12"/>
        </w:rPr>
      </w:pPr>
    </w:p>
    <w:p w:rsidR="00306953" w:rsidRPr="00306953" w:rsidRDefault="00306953" w:rsidP="00306953">
      <w:pPr>
        <w:autoSpaceDE w:val="0"/>
        <w:autoSpaceDN w:val="0"/>
        <w:adjustRightInd w:val="0"/>
        <w:spacing w:after="0" w:line="240" w:lineRule="auto"/>
        <w:jc w:val="both"/>
        <w:rPr>
          <w:rFonts w:eastAsia="ChaparralPro-Regular" w:cs="Arial"/>
        </w:rPr>
      </w:pPr>
      <w:r w:rsidRPr="00306953">
        <w:rPr>
          <w:rFonts w:eastAsia="ChaparralPro-Regular" w:cs="Arial"/>
          <w:b/>
        </w:rPr>
        <w:t>Pro přehled situace na úrovni primárního až vyššího sekundárního vzdělávání</w:t>
      </w:r>
      <w:r w:rsidRPr="00306953">
        <w:rPr>
          <w:rFonts w:eastAsia="ChaparralPro-Regular" w:cs="Arial"/>
        </w:rPr>
        <w:t xml:space="preserve"> ještě uvád</w:t>
      </w:r>
      <w:r w:rsidR="00E52654">
        <w:rPr>
          <w:rFonts w:eastAsia="ChaparralPro-Regular" w:cs="Arial"/>
        </w:rPr>
        <w:t>íme tabulku č. </w:t>
      </w:r>
      <w:r w:rsidRPr="00306953">
        <w:rPr>
          <w:rFonts w:eastAsia="ChaparralPro-Regular" w:cs="Arial"/>
        </w:rPr>
        <w:t>27, která ukazuje, ve kterých zemích hrály v roce 2012 významnou roli v nákladech na platy učitelů na jednoho žáka jednotlivé faktory. Jak je zřejmé, ČR patří mezi země, kde v </w:t>
      </w:r>
      <w:r w:rsidR="00E52654">
        <w:rPr>
          <w:rFonts w:eastAsia="ChaparralPro-Regular" w:cs="Arial"/>
        </w:rPr>
        <w:t>primárním, nižším sekundárním i </w:t>
      </w:r>
      <w:r w:rsidRPr="00306953">
        <w:rPr>
          <w:rFonts w:eastAsia="ChaparralPro-Regular" w:cs="Arial"/>
        </w:rPr>
        <w:t>vyšším sekundárním vzdělávání hrály významnou roli platy učitelů, které tyto náklady oproti mezinárodnímu průměru snižovaly:</w:t>
      </w:r>
    </w:p>
    <w:p w:rsidR="00306953" w:rsidRPr="00306953" w:rsidRDefault="00306953" w:rsidP="00306953">
      <w:pPr>
        <w:autoSpaceDE w:val="0"/>
        <w:autoSpaceDN w:val="0"/>
        <w:adjustRightInd w:val="0"/>
        <w:spacing w:after="0" w:line="240" w:lineRule="auto"/>
        <w:jc w:val="both"/>
        <w:rPr>
          <w:rFonts w:eastAsia="ChaparralPro-Regular" w:cs="Arial"/>
          <w:sz w:val="12"/>
          <w:szCs w:val="12"/>
        </w:rPr>
      </w:pPr>
    </w:p>
    <w:p w:rsidR="00306953" w:rsidRPr="00306953" w:rsidRDefault="00306953" w:rsidP="00306953">
      <w:pPr>
        <w:autoSpaceDE w:val="0"/>
        <w:autoSpaceDN w:val="0"/>
        <w:adjustRightInd w:val="0"/>
        <w:spacing w:after="0" w:line="240" w:lineRule="auto"/>
        <w:jc w:val="both"/>
        <w:rPr>
          <w:rFonts w:eastAsia="ChaparralPro-Regular" w:cs="Arial"/>
          <w:b/>
        </w:rPr>
      </w:pPr>
      <w:r w:rsidRPr="00306953">
        <w:rPr>
          <w:rFonts w:eastAsia="ChaparralPro-Regular" w:cs="Arial"/>
          <w:b/>
        </w:rPr>
        <w:t>Tabulka č. 27: Hlavní faktory ovlivňující náklady na platy učitelů na jednoho žáka, dle úrovně vzdělávání (2012)</w:t>
      </w:r>
    </w:p>
    <w:tbl>
      <w:tblPr>
        <w:tblW w:w="9749" w:type="dxa"/>
        <w:tblInd w:w="6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1706"/>
        <w:gridCol w:w="2977"/>
        <w:gridCol w:w="2783"/>
        <w:gridCol w:w="2283"/>
      </w:tblGrid>
      <w:tr w:rsidR="00306953" w:rsidRPr="00442515" w:rsidTr="00CC4525">
        <w:trPr>
          <w:trHeight w:val="477"/>
        </w:trPr>
        <w:tc>
          <w:tcPr>
            <w:tcW w:w="1706" w:type="dxa"/>
            <w:tcBorders>
              <w:top w:val="double" w:sz="4" w:space="0" w:color="auto"/>
              <w:bottom w:val="double" w:sz="4" w:space="0" w:color="auto"/>
            </w:tcBorders>
            <w:shd w:val="clear" w:color="auto" w:fill="FFCCCC"/>
            <w:noWrap/>
            <w:vAlign w:val="center"/>
            <w:hideMark/>
          </w:tcPr>
          <w:p w:rsidR="00306953" w:rsidRPr="00442515" w:rsidRDefault="00306953" w:rsidP="002E78B6">
            <w:pPr>
              <w:keepNext/>
              <w:spacing w:after="0" w:line="240" w:lineRule="auto"/>
              <w:jc w:val="center"/>
              <w:rPr>
                <w:rFonts w:cs="Arial"/>
                <w:sz w:val="16"/>
                <w:szCs w:val="16"/>
              </w:rPr>
            </w:pPr>
          </w:p>
        </w:tc>
        <w:tc>
          <w:tcPr>
            <w:tcW w:w="2977" w:type="dxa"/>
            <w:tcBorders>
              <w:top w:val="double" w:sz="4" w:space="0" w:color="auto"/>
              <w:bottom w:val="double" w:sz="4" w:space="0" w:color="auto"/>
            </w:tcBorders>
            <w:shd w:val="clear" w:color="auto" w:fill="FFCCCC"/>
            <w:vAlign w:val="center"/>
            <w:hideMark/>
          </w:tcPr>
          <w:p w:rsidR="00306953" w:rsidRPr="00442515" w:rsidRDefault="006B426D" w:rsidP="002E78B6">
            <w:pPr>
              <w:keepNext/>
              <w:spacing w:after="0" w:line="240" w:lineRule="auto"/>
              <w:jc w:val="center"/>
              <w:rPr>
                <w:rFonts w:cs="Arial"/>
                <w:b/>
                <w:bCs/>
                <w:sz w:val="16"/>
                <w:szCs w:val="16"/>
              </w:rPr>
            </w:pPr>
            <w:r>
              <w:rPr>
                <w:rFonts w:cs="Arial"/>
                <w:b/>
                <w:bCs/>
                <w:sz w:val="16"/>
                <w:szCs w:val="16"/>
              </w:rPr>
              <w:t>p</w:t>
            </w:r>
            <w:r w:rsidR="00306953" w:rsidRPr="00442515">
              <w:rPr>
                <w:rFonts w:cs="Arial"/>
                <w:b/>
                <w:bCs/>
                <w:sz w:val="16"/>
                <w:szCs w:val="16"/>
              </w:rPr>
              <w:t>rimární vzdělávání</w:t>
            </w:r>
          </w:p>
        </w:tc>
        <w:tc>
          <w:tcPr>
            <w:tcW w:w="2783" w:type="dxa"/>
            <w:tcBorders>
              <w:top w:val="double" w:sz="4" w:space="0" w:color="auto"/>
              <w:bottom w:val="double" w:sz="4" w:space="0" w:color="auto"/>
            </w:tcBorders>
            <w:shd w:val="clear" w:color="auto" w:fill="FFCCCC"/>
            <w:vAlign w:val="center"/>
            <w:hideMark/>
          </w:tcPr>
          <w:p w:rsidR="00306953" w:rsidRPr="00442515" w:rsidRDefault="006B426D" w:rsidP="002E78B6">
            <w:pPr>
              <w:keepNext/>
              <w:spacing w:after="0" w:line="240" w:lineRule="auto"/>
              <w:jc w:val="center"/>
              <w:rPr>
                <w:rFonts w:cs="Arial"/>
                <w:b/>
                <w:bCs/>
                <w:sz w:val="16"/>
                <w:szCs w:val="16"/>
              </w:rPr>
            </w:pPr>
            <w:r>
              <w:rPr>
                <w:rFonts w:cs="Arial"/>
                <w:b/>
                <w:bCs/>
                <w:sz w:val="16"/>
                <w:szCs w:val="16"/>
              </w:rPr>
              <w:t>n</w:t>
            </w:r>
            <w:r w:rsidR="00306953" w:rsidRPr="00442515">
              <w:rPr>
                <w:rFonts w:cs="Arial"/>
                <w:b/>
                <w:bCs/>
                <w:sz w:val="16"/>
                <w:szCs w:val="16"/>
              </w:rPr>
              <w:t>ižší sekundární vzdělávání</w:t>
            </w:r>
          </w:p>
        </w:tc>
        <w:tc>
          <w:tcPr>
            <w:tcW w:w="2283" w:type="dxa"/>
            <w:tcBorders>
              <w:top w:val="double" w:sz="4" w:space="0" w:color="auto"/>
              <w:bottom w:val="double" w:sz="4" w:space="0" w:color="auto"/>
            </w:tcBorders>
            <w:shd w:val="clear" w:color="auto" w:fill="FFCCCC"/>
            <w:vAlign w:val="center"/>
            <w:hideMark/>
          </w:tcPr>
          <w:p w:rsidR="00306953" w:rsidRPr="00442515" w:rsidRDefault="006B426D" w:rsidP="002E78B6">
            <w:pPr>
              <w:keepNext/>
              <w:spacing w:after="0" w:line="240" w:lineRule="auto"/>
              <w:jc w:val="center"/>
              <w:rPr>
                <w:rFonts w:cs="Arial"/>
                <w:b/>
                <w:bCs/>
                <w:sz w:val="16"/>
                <w:szCs w:val="16"/>
              </w:rPr>
            </w:pPr>
            <w:r>
              <w:rPr>
                <w:rFonts w:cs="Arial"/>
                <w:b/>
                <w:bCs/>
                <w:sz w:val="16"/>
                <w:szCs w:val="16"/>
              </w:rPr>
              <w:t>v</w:t>
            </w:r>
            <w:r w:rsidR="00306953" w:rsidRPr="00442515">
              <w:rPr>
                <w:rFonts w:cs="Arial"/>
                <w:b/>
                <w:bCs/>
                <w:sz w:val="16"/>
                <w:szCs w:val="16"/>
              </w:rPr>
              <w:t>yšší sekundární vzdělávání</w:t>
            </w:r>
          </w:p>
        </w:tc>
      </w:tr>
      <w:tr w:rsidR="002E78B6" w:rsidRPr="00442515" w:rsidTr="00CC4525">
        <w:trPr>
          <w:trHeight w:val="255"/>
        </w:trPr>
        <w:tc>
          <w:tcPr>
            <w:tcW w:w="1706" w:type="dxa"/>
            <w:vMerge w:val="restart"/>
            <w:tcBorders>
              <w:top w:val="double" w:sz="4" w:space="0" w:color="auto"/>
            </w:tcBorders>
            <w:shd w:val="clear" w:color="000000" w:fill="FFFFFF"/>
            <w:vAlign w:val="center"/>
            <w:hideMark/>
          </w:tcPr>
          <w:p w:rsidR="002E78B6" w:rsidRPr="00442515" w:rsidRDefault="006B426D" w:rsidP="004C55CD">
            <w:pPr>
              <w:keepNext/>
              <w:spacing w:after="0" w:line="240" w:lineRule="auto"/>
              <w:rPr>
                <w:rFonts w:cs="Arial"/>
                <w:b/>
                <w:bCs/>
                <w:sz w:val="16"/>
                <w:szCs w:val="16"/>
              </w:rPr>
            </w:pPr>
            <w:r>
              <w:rPr>
                <w:rFonts w:cs="Arial"/>
                <w:b/>
                <w:bCs/>
                <w:sz w:val="16"/>
                <w:szCs w:val="16"/>
              </w:rPr>
              <w:t>p</w:t>
            </w:r>
            <w:r w:rsidR="002E78B6" w:rsidRPr="00442515">
              <w:rPr>
                <w:rFonts w:cs="Arial"/>
                <w:b/>
                <w:bCs/>
                <w:sz w:val="16"/>
                <w:szCs w:val="16"/>
              </w:rPr>
              <w:t>laty učitelů</w:t>
            </w:r>
          </w:p>
          <w:p w:rsidR="002E78B6" w:rsidRPr="00442515" w:rsidRDefault="002E78B6" w:rsidP="004C55CD">
            <w:pPr>
              <w:rPr>
                <w:rFonts w:cs="Arial"/>
                <w:b/>
                <w:bCs/>
                <w:sz w:val="16"/>
                <w:szCs w:val="16"/>
              </w:rPr>
            </w:pPr>
            <w:r w:rsidRPr="00442515">
              <w:rPr>
                <w:rFonts w:cs="Arial"/>
                <w:sz w:val="16"/>
                <w:szCs w:val="16"/>
              </w:rPr>
              <w:t> </w:t>
            </w:r>
          </w:p>
        </w:tc>
        <w:tc>
          <w:tcPr>
            <w:tcW w:w="2977" w:type="dxa"/>
            <w:tcBorders>
              <w:top w:val="double" w:sz="4" w:space="0" w:color="auto"/>
            </w:tcBorders>
            <w:shd w:val="clear" w:color="000000" w:fill="FFFFFF"/>
            <w:vAlign w:val="center"/>
            <w:hideMark/>
          </w:tcPr>
          <w:p w:rsidR="002E78B6" w:rsidRPr="00442515" w:rsidRDefault="002E78B6" w:rsidP="004C55CD">
            <w:pPr>
              <w:keepNext/>
              <w:spacing w:after="0" w:line="240" w:lineRule="auto"/>
              <w:jc w:val="center"/>
              <w:rPr>
                <w:rFonts w:cs="Arial"/>
                <w:b/>
                <w:bCs/>
                <w:sz w:val="16"/>
                <w:szCs w:val="16"/>
              </w:rPr>
            </w:pPr>
            <w:r w:rsidRPr="00442515">
              <w:rPr>
                <w:rFonts w:cs="Arial"/>
                <w:b/>
                <w:bCs/>
                <w:sz w:val="16"/>
                <w:szCs w:val="16"/>
              </w:rPr>
              <w:t>21 zemí</w:t>
            </w:r>
          </w:p>
        </w:tc>
        <w:tc>
          <w:tcPr>
            <w:tcW w:w="2783" w:type="dxa"/>
            <w:tcBorders>
              <w:top w:val="double" w:sz="4" w:space="0" w:color="auto"/>
            </w:tcBorders>
            <w:shd w:val="clear" w:color="000000" w:fill="FFFFFF"/>
            <w:vAlign w:val="center"/>
            <w:hideMark/>
          </w:tcPr>
          <w:p w:rsidR="002E78B6" w:rsidRPr="00442515" w:rsidRDefault="002E78B6" w:rsidP="004C55CD">
            <w:pPr>
              <w:keepNext/>
              <w:spacing w:after="0" w:line="240" w:lineRule="auto"/>
              <w:jc w:val="center"/>
              <w:rPr>
                <w:rFonts w:cs="Arial"/>
                <w:b/>
                <w:bCs/>
                <w:sz w:val="16"/>
                <w:szCs w:val="16"/>
              </w:rPr>
            </w:pPr>
            <w:r w:rsidRPr="00442515">
              <w:rPr>
                <w:rFonts w:cs="Arial"/>
                <w:b/>
                <w:bCs/>
                <w:sz w:val="16"/>
                <w:szCs w:val="16"/>
              </w:rPr>
              <w:t>15 zemí</w:t>
            </w:r>
          </w:p>
        </w:tc>
        <w:tc>
          <w:tcPr>
            <w:tcW w:w="2283" w:type="dxa"/>
            <w:tcBorders>
              <w:top w:val="double" w:sz="4" w:space="0" w:color="auto"/>
            </w:tcBorders>
            <w:shd w:val="clear" w:color="000000" w:fill="FFFFFF"/>
            <w:vAlign w:val="center"/>
            <w:hideMark/>
          </w:tcPr>
          <w:p w:rsidR="002E78B6" w:rsidRPr="00442515" w:rsidRDefault="002E78B6" w:rsidP="004C55CD">
            <w:pPr>
              <w:keepNext/>
              <w:spacing w:after="0" w:line="240" w:lineRule="auto"/>
              <w:jc w:val="center"/>
              <w:rPr>
                <w:rFonts w:cs="Arial"/>
                <w:b/>
                <w:bCs/>
                <w:sz w:val="16"/>
                <w:szCs w:val="16"/>
              </w:rPr>
            </w:pPr>
            <w:r w:rsidRPr="00442515">
              <w:rPr>
                <w:rFonts w:cs="Arial"/>
                <w:b/>
                <w:bCs/>
                <w:sz w:val="16"/>
                <w:szCs w:val="16"/>
              </w:rPr>
              <w:t>14 zemí</w:t>
            </w:r>
          </w:p>
        </w:tc>
      </w:tr>
      <w:tr w:rsidR="002E78B6" w:rsidRPr="00442515" w:rsidTr="00CC4525">
        <w:trPr>
          <w:trHeight w:val="1060"/>
        </w:trPr>
        <w:tc>
          <w:tcPr>
            <w:tcW w:w="1706" w:type="dxa"/>
            <w:vMerge/>
            <w:shd w:val="clear" w:color="000000" w:fill="FFFFFF"/>
            <w:noWrap/>
            <w:vAlign w:val="center"/>
            <w:hideMark/>
          </w:tcPr>
          <w:p w:rsidR="002E78B6" w:rsidRPr="00442515" w:rsidRDefault="002E78B6" w:rsidP="004C55CD">
            <w:pPr>
              <w:spacing w:after="0" w:line="240" w:lineRule="auto"/>
              <w:rPr>
                <w:rFonts w:cs="Arial"/>
                <w:sz w:val="16"/>
                <w:szCs w:val="16"/>
              </w:rPr>
            </w:pPr>
          </w:p>
        </w:tc>
        <w:tc>
          <w:tcPr>
            <w:tcW w:w="2977" w:type="dxa"/>
            <w:shd w:val="clear" w:color="000000" w:fill="FFFFFF"/>
            <w:vAlign w:val="center"/>
            <w:hideMark/>
          </w:tcPr>
          <w:p w:rsidR="00D9583C" w:rsidRDefault="002E78B6" w:rsidP="004C55CD">
            <w:pPr>
              <w:spacing w:after="0" w:line="240" w:lineRule="auto"/>
              <w:jc w:val="center"/>
              <w:rPr>
                <w:rFonts w:cs="Arial"/>
                <w:sz w:val="16"/>
                <w:szCs w:val="16"/>
              </w:rPr>
            </w:pPr>
            <w:r w:rsidRPr="00442515">
              <w:rPr>
                <w:rFonts w:cs="Arial"/>
                <w:sz w:val="16"/>
                <w:szCs w:val="16"/>
              </w:rPr>
              <w:t xml:space="preserve">AUS(+), BFL(+), BFR(+), CAN(+), CHL(-), CZE(-), DNK(+), EST(-), DEU(+), GRC(-), HUN(-), IRL(+), ISR(-), ITA(-), JPN(+), KOR(+), LUX(+), </w:t>
            </w:r>
          </w:p>
          <w:p w:rsidR="002E78B6" w:rsidRPr="00442515" w:rsidRDefault="002E78B6" w:rsidP="004C55CD">
            <w:pPr>
              <w:spacing w:after="0" w:line="240" w:lineRule="auto"/>
              <w:jc w:val="center"/>
              <w:rPr>
                <w:rFonts w:cs="Arial"/>
                <w:sz w:val="16"/>
                <w:szCs w:val="16"/>
              </w:rPr>
            </w:pPr>
            <w:r w:rsidRPr="00442515">
              <w:rPr>
                <w:rFonts w:cs="Arial"/>
                <w:sz w:val="16"/>
                <w:szCs w:val="16"/>
              </w:rPr>
              <w:t>MEX(-), NLD(+), POL(-), SVK(-)</w:t>
            </w:r>
          </w:p>
        </w:tc>
        <w:tc>
          <w:tcPr>
            <w:tcW w:w="2783" w:type="dxa"/>
            <w:shd w:val="clear" w:color="000000" w:fill="FFFFFF"/>
            <w:vAlign w:val="center"/>
            <w:hideMark/>
          </w:tcPr>
          <w:p w:rsidR="002E78B6" w:rsidRPr="00442515" w:rsidRDefault="002E78B6" w:rsidP="004C55CD">
            <w:pPr>
              <w:spacing w:after="0" w:line="240" w:lineRule="auto"/>
              <w:jc w:val="center"/>
              <w:rPr>
                <w:rFonts w:cs="Arial"/>
                <w:sz w:val="16"/>
                <w:szCs w:val="16"/>
              </w:rPr>
            </w:pPr>
            <w:r w:rsidRPr="00442515">
              <w:rPr>
                <w:rFonts w:cs="Arial"/>
                <w:sz w:val="16"/>
                <w:szCs w:val="16"/>
              </w:rPr>
              <w:t>AUS(+), CAN(+), CHL(-), CZE(-), DNK(+), EST(-), DEU(+), HUN(-), IRL(+), ISR(-), ITA(-), LUX(+), NLD(+), POL(-), SVK(-)</w:t>
            </w:r>
          </w:p>
        </w:tc>
        <w:tc>
          <w:tcPr>
            <w:tcW w:w="2283" w:type="dxa"/>
            <w:shd w:val="clear" w:color="000000" w:fill="FFFFFF"/>
            <w:vAlign w:val="center"/>
            <w:hideMark/>
          </w:tcPr>
          <w:p w:rsidR="002E78B6" w:rsidRPr="00442515" w:rsidRDefault="002E78B6" w:rsidP="004C55CD">
            <w:pPr>
              <w:spacing w:after="0" w:line="240" w:lineRule="auto"/>
              <w:jc w:val="center"/>
              <w:rPr>
                <w:rFonts w:cs="Arial"/>
                <w:sz w:val="16"/>
                <w:szCs w:val="16"/>
              </w:rPr>
            </w:pPr>
            <w:r w:rsidRPr="00442515">
              <w:rPr>
                <w:rFonts w:cs="Arial"/>
                <w:sz w:val="16"/>
                <w:szCs w:val="16"/>
              </w:rPr>
              <w:t>BFL(+), CAN(+), CZE(-), EST(-), DEU(+), HUN(-), IRL(+), ISR(-), LUX(+), NLD(+), POL(-), SVK(-), SVN(-), TUR(-)</w:t>
            </w:r>
          </w:p>
        </w:tc>
      </w:tr>
      <w:tr w:rsidR="009E6109" w:rsidRPr="00442515" w:rsidTr="00CC4525">
        <w:trPr>
          <w:trHeight w:val="321"/>
        </w:trPr>
        <w:tc>
          <w:tcPr>
            <w:tcW w:w="1706" w:type="dxa"/>
            <w:vMerge w:val="restart"/>
            <w:shd w:val="clear" w:color="000000" w:fill="FFFFFF"/>
            <w:vAlign w:val="center"/>
            <w:hideMark/>
          </w:tcPr>
          <w:p w:rsidR="009E6109" w:rsidRPr="00442515" w:rsidRDefault="009E6109" w:rsidP="004C55CD">
            <w:pPr>
              <w:spacing w:after="0" w:line="240" w:lineRule="auto"/>
              <w:rPr>
                <w:rFonts w:cs="Arial"/>
                <w:b/>
                <w:bCs/>
                <w:sz w:val="16"/>
                <w:szCs w:val="16"/>
              </w:rPr>
            </w:pPr>
            <w:r w:rsidRPr="00442515">
              <w:rPr>
                <w:rFonts w:cs="Arial"/>
                <w:b/>
                <w:bCs/>
                <w:sz w:val="16"/>
                <w:szCs w:val="16"/>
              </w:rPr>
              <w:t>doba vyučování žáků /studentů</w:t>
            </w:r>
          </w:p>
        </w:tc>
        <w:tc>
          <w:tcPr>
            <w:tcW w:w="2977" w:type="dxa"/>
            <w:shd w:val="clear" w:color="000000" w:fill="FFFFFF"/>
            <w:vAlign w:val="center"/>
            <w:hideMark/>
          </w:tcPr>
          <w:p w:rsidR="009E6109" w:rsidRPr="00442515" w:rsidRDefault="009E6109" w:rsidP="004C55CD">
            <w:pPr>
              <w:spacing w:after="0" w:line="240" w:lineRule="auto"/>
              <w:jc w:val="center"/>
              <w:rPr>
                <w:rFonts w:cs="Arial"/>
                <w:b/>
                <w:bCs/>
                <w:sz w:val="16"/>
                <w:szCs w:val="16"/>
              </w:rPr>
            </w:pPr>
            <w:r w:rsidRPr="00442515">
              <w:rPr>
                <w:rFonts w:cs="Arial"/>
                <w:b/>
                <w:bCs/>
                <w:sz w:val="16"/>
                <w:szCs w:val="16"/>
              </w:rPr>
              <w:t>1 země</w:t>
            </w:r>
          </w:p>
        </w:tc>
        <w:tc>
          <w:tcPr>
            <w:tcW w:w="2783" w:type="dxa"/>
            <w:shd w:val="clear" w:color="000000" w:fill="FFFFFF"/>
            <w:vAlign w:val="center"/>
            <w:hideMark/>
          </w:tcPr>
          <w:p w:rsidR="009E6109" w:rsidRPr="00442515" w:rsidRDefault="009E6109" w:rsidP="004C55CD">
            <w:pPr>
              <w:spacing w:after="0" w:line="240" w:lineRule="auto"/>
              <w:jc w:val="center"/>
              <w:rPr>
                <w:rFonts w:cs="Arial"/>
                <w:b/>
                <w:bCs/>
                <w:sz w:val="16"/>
                <w:szCs w:val="16"/>
              </w:rPr>
            </w:pPr>
            <w:r w:rsidRPr="00442515">
              <w:rPr>
                <w:rFonts w:cs="Arial"/>
                <w:b/>
                <w:bCs/>
                <w:sz w:val="16"/>
                <w:szCs w:val="16"/>
              </w:rPr>
              <w:t>1 země</w:t>
            </w:r>
          </w:p>
        </w:tc>
        <w:tc>
          <w:tcPr>
            <w:tcW w:w="2283" w:type="dxa"/>
            <w:shd w:val="clear" w:color="000000" w:fill="FFFFFF"/>
            <w:vAlign w:val="center"/>
            <w:hideMark/>
          </w:tcPr>
          <w:p w:rsidR="009E6109" w:rsidRPr="00442515" w:rsidRDefault="009E6109" w:rsidP="004C55CD">
            <w:pPr>
              <w:spacing w:after="0" w:line="240" w:lineRule="auto"/>
              <w:jc w:val="center"/>
              <w:rPr>
                <w:rFonts w:cs="Arial"/>
                <w:b/>
                <w:bCs/>
                <w:sz w:val="16"/>
                <w:szCs w:val="16"/>
              </w:rPr>
            </w:pPr>
            <w:r w:rsidRPr="00442515">
              <w:rPr>
                <w:rFonts w:cs="Arial"/>
                <w:b/>
                <w:bCs/>
                <w:sz w:val="16"/>
                <w:szCs w:val="16"/>
              </w:rPr>
              <w:t>1 země</w:t>
            </w:r>
          </w:p>
        </w:tc>
      </w:tr>
      <w:tr w:rsidR="009E6109" w:rsidRPr="00442515" w:rsidTr="00CC4525">
        <w:trPr>
          <w:trHeight w:val="298"/>
        </w:trPr>
        <w:tc>
          <w:tcPr>
            <w:tcW w:w="1706" w:type="dxa"/>
            <w:vMerge/>
            <w:shd w:val="clear" w:color="000000" w:fill="FFFFFF"/>
            <w:vAlign w:val="center"/>
            <w:hideMark/>
          </w:tcPr>
          <w:p w:rsidR="009E6109" w:rsidRPr="00442515" w:rsidRDefault="009E6109" w:rsidP="004C55CD">
            <w:pPr>
              <w:spacing w:after="0" w:line="240" w:lineRule="auto"/>
              <w:rPr>
                <w:rFonts w:cs="Arial"/>
                <w:sz w:val="16"/>
                <w:szCs w:val="16"/>
              </w:rPr>
            </w:pPr>
          </w:p>
        </w:tc>
        <w:tc>
          <w:tcPr>
            <w:tcW w:w="2977" w:type="dxa"/>
            <w:shd w:val="clear" w:color="000000" w:fill="FFFFFF"/>
            <w:vAlign w:val="center"/>
            <w:hideMark/>
          </w:tcPr>
          <w:p w:rsidR="009E6109" w:rsidRPr="00442515" w:rsidRDefault="009E6109" w:rsidP="004C55CD">
            <w:pPr>
              <w:spacing w:after="0" w:line="240" w:lineRule="auto"/>
              <w:jc w:val="center"/>
              <w:rPr>
                <w:rFonts w:cs="Arial"/>
                <w:sz w:val="16"/>
                <w:szCs w:val="16"/>
              </w:rPr>
            </w:pPr>
            <w:r w:rsidRPr="00442515">
              <w:rPr>
                <w:rFonts w:cs="Arial"/>
                <w:sz w:val="16"/>
                <w:szCs w:val="16"/>
              </w:rPr>
              <w:t>FIN(-)</w:t>
            </w:r>
          </w:p>
        </w:tc>
        <w:tc>
          <w:tcPr>
            <w:tcW w:w="2783" w:type="dxa"/>
            <w:shd w:val="clear" w:color="000000" w:fill="FFFFFF"/>
            <w:vAlign w:val="center"/>
            <w:hideMark/>
          </w:tcPr>
          <w:p w:rsidR="009E6109" w:rsidRPr="00442515" w:rsidRDefault="009E6109" w:rsidP="004C55CD">
            <w:pPr>
              <w:spacing w:after="0" w:line="240" w:lineRule="auto"/>
              <w:jc w:val="center"/>
              <w:rPr>
                <w:rFonts w:cs="Arial"/>
                <w:sz w:val="16"/>
                <w:szCs w:val="16"/>
              </w:rPr>
            </w:pPr>
            <w:r w:rsidRPr="00442515">
              <w:rPr>
                <w:rFonts w:cs="Arial"/>
                <w:sz w:val="16"/>
                <w:szCs w:val="16"/>
              </w:rPr>
              <w:t>ESP(+)</w:t>
            </w:r>
          </w:p>
        </w:tc>
        <w:tc>
          <w:tcPr>
            <w:tcW w:w="2283" w:type="dxa"/>
            <w:shd w:val="clear" w:color="000000" w:fill="FFFFFF"/>
            <w:vAlign w:val="center"/>
            <w:hideMark/>
          </w:tcPr>
          <w:p w:rsidR="009E6109" w:rsidRPr="00442515" w:rsidRDefault="009E6109" w:rsidP="004C55CD">
            <w:pPr>
              <w:spacing w:after="0" w:line="240" w:lineRule="auto"/>
              <w:jc w:val="center"/>
              <w:rPr>
                <w:rFonts w:cs="Arial"/>
                <w:sz w:val="16"/>
                <w:szCs w:val="16"/>
              </w:rPr>
            </w:pPr>
            <w:r w:rsidRPr="00442515">
              <w:rPr>
                <w:rFonts w:cs="Arial"/>
                <w:sz w:val="16"/>
                <w:szCs w:val="16"/>
              </w:rPr>
              <w:t>FRA(+)</w:t>
            </w:r>
          </w:p>
        </w:tc>
      </w:tr>
      <w:tr w:rsidR="009E6109" w:rsidRPr="00442515" w:rsidTr="00CC4525">
        <w:trPr>
          <w:trHeight w:val="255"/>
        </w:trPr>
        <w:tc>
          <w:tcPr>
            <w:tcW w:w="1706" w:type="dxa"/>
            <w:vMerge w:val="restart"/>
            <w:shd w:val="clear" w:color="000000" w:fill="FFFFFF"/>
            <w:vAlign w:val="center"/>
            <w:hideMark/>
          </w:tcPr>
          <w:p w:rsidR="009E6109" w:rsidRPr="00442515" w:rsidRDefault="009E6109" w:rsidP="004C55CD">
            <w:pPr>
              <w:spacing w:after="0" w:line="240" w:lineRule="auto"/>
              <w:rPr>
                <w:rFonts w:cs="Arial"/>
                <w:b/>
                <w:bCs/>
                <w:sz w:val="16"/>
                <w:szCs w:val="16"/>
              </w:rPr>
            </w:pPr>
            <w:r w:rsidRPr="00442515">
              <w:rPr>
                <w:rFonts w:cs="Arial"/>
                <w:b/>
                <w:bCs/>
                <w:sz w:val="16"/>
                <w:szCs w:val="16"/>
              </w:rPr>
              <w:t>počet hodin odučených učiteli</w:t>
            </w:r>
          </w:p>
        </w:tc>
        <w:tc>
          <w:tcPr>
            <w:tcW w:w="2977" w:type="dxa"/>
            <w:shd w:val="clear" w:color="000000" w:fill="FFFFFF"/>
            <w:vAlign w:val="center"/>
            <w:hideMark/>
          </w:tcPr>
          <w:p w:rsidR="009E6109" w:rsidRPr="00442515" w:rsidRDefault="009E6109" w:rsidP="004C55CD">
            <w:pPr>
              <w:spacing w:after="0" w:line="240" w:lineRule="auto"/>
              <w:jc w:val="center"/>
              <w:rPr>
                <w:rFonts w:cs="Arial"/>
                <w:b/>
                <w:bCs/>
                <w:sz w:val="16"/>
                <w:szCs w:val="16"/>
              </w:rPr>
            </w:pPr>
            <w:r w:rsidRPr="00442515">
              <w:rPr>
                <w:rFonts w:cs="Arial"/>
                <w:b/>
                <w:bCs/>
                <w:sz w:val="16"/>
                <w:szCs w:val="16"/>
              </w:rPr>
              <w:t>3 země</w:t>
            </w:r>
          </w:p>
        </w:tc>
        <w:tc>
          <w:tcPr>
            <w:tcW w:w="2783" w:type="dxa"/>
            <w:shd w:val="clear" w:color="000000" w:fill="FFFFFF"/>
            <w:vAlign w:val="center"/>
            <w:hideMark/>
          </w:tcPr>
          <w:p w:rsidR="009E6109" w:rsidRPr="00442515" w:rsidRDefault="009E6109" w:rsidP="004C55CD">
            <w:pPr>
              <w:spacing w:after="0" w:line="240" w:lineRule="auto"/>
              <w:jc w:val="center"/>
              <w:rPr>
                <w:rFonts w:cs="Arial"/>
                <w:b/>
                <w:bCs/>
                <w:sz w:val="16"/>
                <w:szCs w:val="16"/>
              </w:rPr>
            </w:pPr>
            <w:r w:rsidRPr="00442515">
              <w:rPr>
                <w:rFonts w:cs="Arial"/>
                <w:b/>
                <w:bCs/>
                <w:sz w:val="16"/>
                <w:szCs w:val="16"/>
              </w:rPr>
              <w:t>1 země</w:t>
            </w:r>
          </w:p>
        </w:tc>
        <w:tc>
          <w:tcPr>
            <w:tcW w:w="2283" w:type="dxa"/>
            <w:shd w:val="clear" w:color="000000" w:fill="FFFFFF"/>
            <w:vAlign w:val="center"/>
            <w:hideMark/>
          </w:tcPr>
          <w:p w:rsidR="009E6109" w:rsidRPr="00442515" w:rsidRDefault="009E6109" w:rsidP="004C55CD">
            <w:pPr>
              <w:spacing w:after="0" w:line="240" w:lineRule="auto"/>
              <w:jc w:val="center"/>
              <w:rPr>
                <w:rFonts w:cs="Arial"/>
                <w:b/>
                <w:bCs/>
                <w:sz w:val="16"/>
                <w:szCs w:val="16"/>
              </w:rPr>
            </w:pPr>
            <w:r w:rsidRPr="00442515">
              <w:rPr>
                <w:rFonts w:cs="Arial"/>
                <w:b/>
                <w:bCs/>
                <w:sz w:val="16"/>
                <w:szCs w:val="16"/>
              </w:rPr>
              <w:t>4 země</w:t>
            </w:r>
          </w:p>
        </w:tc>
      </w:tr>
      <w:tr w:rsidR="009E6109" w:rsidRPr="00442515" w:rsidTr="00CC4525">
        <w:trPr>
          <w:trHeight w:val="210"/>
        </w:trPr>
        <w:tc>
          <w:tcPr>
            <w:tcW w:w="1706" w:type="dxa"/>
            <w:vMerge/>
            <w:shd w:val="clear" w:color="000000" w:fill="FFFFFF"/>
            <w:vAlign w:val="center"/>
            <w:hideMark/>
          </w:tcPr>
          <w:p w:rsidR="009E6109" w:rsidRPr="00442515" w:rsidRDefault="009E6109" w:rsidP="004C55CD">
            <w:pPr>
              <w:spacing w:after="0" w:line="240" w:lineRule="auto"/>
              <w:rPr>
                <w:rFonts w:cs="Arial"/>
                <w:sz w:val="16"/>
                <w:szCs w:val="16"/>
              </w:rPr>
            </w:pPr>
          </w:p>
        </w:tc>
        <w:tc>
          <w:tcPr>
            <w:tcW w:w="2977" w:type="dxa"/>
            <w:shd w:val="clear" w:color="000000" w:fill="FFFFFF"/>
            <w:vAlign w:val="center"/>
            <w:hideMark/>
          </w:tcPr>
          <w:p w:rsidR="009E6109" w:rsidRPr="00442515" w:rsidRDefault="009E6109" w:rsidP="004C55CD">
            <w:pPr>
              <w:spacing w:after="0" w:line="240" w:lineRule="auto"/>
              <w:jc w:val="center"/>
              <w:rPr>
                <w:rFonts w:cs="Arial"/>
                <w:sz w:val="16"/>
                <w:szCs w:val="16"/>
              </w:rPr>
            </w:pPr>
            <w:r w:rsidRPr="00442515">
              <w:rPr>
                <w:rFonts w:cs="Arial"/>
                <w:sz w:val="16"/>
                <w:szCs w:val="16"/>
              </w:rPr>
              <w:t>FRA(-), SVN(+), USA(-)</w:t>
            </w:r>
          </w:p>
        </w:tc>
        <w:tc>
          <w:tcPr>
            <w:tcW w:w="2783" w:type="dxa"/>
            <w:shd w:val="clear" w:color="000000" w:fill="FFFFFF"/>
            <w:vAlign w:val="center"/>
            <w:hideMark/>
          </w:tcPr>
          <w:p w:rsidR="009E6109" w:rsidRPr="00442515" w:rsidRDefault="009E6109" w:rsidP="004C55CD">
            <w:pPr>
              <w:spacing w:after="0" w:line="240" w:lineRule="auto"/>
              <w:jc w:val="center"/>
              <w:rPr>
                <w:rFonts w:cs="Arial"/>
                <w:sz w:val="16"/>
                <w:szCs w:val="16"/>
              </w:rPr>
            </w:pPr>
            <w:r w:rsidRPr="00442515">
              <w:rPr>
                <w:rFonts w:cs="Arial"/>
                <w:sz w:val="16"/>
                <w:szCs w:val="16"/>
              </w:rPr>
              <w:t>USA(-)</w:t>
            </w:r>
          </w:p>
        </w:tc>
        <w:tc>
          <w:tcPr>
            <w:tcW w:w="2283" w:type="dxa"/>
            <w:shd w:val="clear" w:color="000000" w:fill="FFFFFF"/>
            <w:vAlign w:val="center"/>
            <w:hideMark/>
          </w:tcPr>
          <w:p w:rsidR="009E6109" w:rsidRPr="00442515" w:rsidRDefault="009E6109" w:rsidP="004C55CD">
            <w:pPr>
              <w:spacing w:after="0" w:line="240" w:lineRule="auto"/>
              <w:jc w:val="center"/>
              <w:rPr>
                <w:rFonts w:cs="Arial"/>
                <w:sz w:val="16"/>
                <w:szCs w:val="16"/>
              </w:rPr>
            </w:pPr>
            <w:r w:rsidRPr="00442515">
              <w:rPr>
                <w:rFonts w:cs="Arial"/>
                <w:sz w:val="16"/>
                <w:szCs w:val="16"/>
              </w:rPr>
              <w:t>AUT(+), CHL(-), NOR(+), USA(-)</w:t>
            </w:r>
          </w:p>
        </w:tc>
      </w:tr>
      <w:tr w:rsidR="009E6109" w:rsidRPr="00442515" w:rsidTr="00CC4525">
        <w:trPr>
          <w:trHeight w:val="255"/>
        </w:trPr>
        <w:tc>
          <w:tcPr>
            <w:tcW w:w="1706" w:type="dxa"/>
            <w:vMerge w:val="restart"/>
            <w:shd w:val="clear" w:color="000000" w:fill="FFFFFF"/>
            <w:vAlign w:val="center"/>
            <w:hideMark/>
          </w:tcPr>
          <w:p w:rsidR="009E6109" w:rsidRPr="00442515" w:rsidRDefault="009E6109" w:rsidP="004C55CD">
            <w:pPr>
              <w:spacing w:after="0" w:line="240" w:lineRule="auto"/>
              <w:rPr>
                <w:rFonts w:cs="Arial"/>
                <w:b/>
                <w:bCs/>
                <w:sz w:val="16"/>
                <w:szCs w:val="16"/>
              </w:rPr>
            </w:pPr>
            <w:r w:rsidRPr="00442515">
              <w:rPr>
                <w:rFonts w:cs="Arial"/>
                <w:b/>
                <w:bCs/>
                <w:sz w:val="16"/>
                <w:szCs w:val="16"/>
              </w:rPr>
              <w:t>odhad velikosti třídy</w:t>
            </w:r>
          </w:p>
        </w:tc>
        <w:tc>
          <w:tcPr>
            <w:tcW w:w="2977" w:type="dxa"/>
            <w:shd w:val="clear" w:color="000000" w:fill="FFFFFF"/>
            <w:vAlign w:val="center"/>
            <w:hideMark/>
          </w:tcPr>
          <w:p w:rsidR="009E6109" w:rsidRPr="00442515" w:rsidRDefault="009E6109" w:rsidP="004C55CD">
            <w:pPr>
              <w:spacing w:after="0" w:line="240" w:lineRule="auto"/>
              <w:jc w:val="center"/>
              <w:rPr>
                <w:rFonts w:cs="Arial"/>
                <w:b/>
                <w:bCs/>
                <w:sz w:val="16"/>
                <w:szCs w:val="16"/>
              </w:rPr>
            </w:pPr>
            <w:r w:rsidRPr="00442515">
              <w:rPr>
                <w:rFonts w:cs="Arial"/>
                <w:b/>
                <w:bCs/>
                <w:sz w:val="16"/>
                <w:szCs w:val="16"/>
              </w:rPr>
              <w:t>6 zemí</w:t>
            </w:r>
          </w:p>
        </w:tc>
        <w:tc>
          <w:tcPr>
            <w:tcW w:w="2783" w:type="dxa"/>
            <w:shd w:val="clear" w:color="000000" w:fill="FFFFFF"/>
            <w:vAlign w:val="center"/>
            <w:hideMark/>
          </w:tcPr>
          <w:p w:rsidR="009E6109" w:rsidRPr="00442515" w:rsidRDefault="009E6109" w:rsidP="004C55CD">
            <w:pPr>
              <w:spacing w:after="0" w:line="240" w:lineRule="auto"/>
              <w:jc w:val="center"/>
              <w:rPr>
                <w:rFonts w:cs="Arial"/>
                <w:b/>
                <w:bCs/>
                <w:sz w:val="16"/>
                <w:szCs w:val="16"/>
              </w:rPr>
            </w:pPr>
            <w:r w:rsidRPr="00442515">
              <w:rPr>
                <w:rFonts w:cs="Arial"/>
                <w:b/>
                <w:bCs/>
                <w:sz w:val="16"/>
                <w:szCs w:val="16"/>
              </w:rPr>
              <w:t>13 zemí</w:t>
            </w:r>
          </w:p>
        </w:tc>
        <w:tc>
          <w:tcPr>
            <w:tcW w:w="2283" w:type="dxa"/>
            <w:shd w:val="clear" w:color="000000" w:fill="FFFFFF"/>
            <w:vAlign w:val="center"/>
            <w:hideMark/>
          </w:tcPr>
          <w:p w:rsidR="009E6109" w:rsidRPr="00442515" w:rsidRDefault="009E6109" w:rsidP="004C55CD">
            <w:pPr>
              <w:spacing w:after="0" w:line="240" w:lineRule="auto"/>
              <w:jc w:val="center"/>
              <w:rPr>
                <w:rFonts w:cs="Arial"/>
                <w:b/>
                <w:bCs/>
                <w:sz w:val="16"/>
                <w:szCs w:val="16"/>
              </w:rPr>
            </w:pPr>
            <w:r w:rsidRPr="00442515">
              <w:rPr>
                <w:rFonts w:cs="Arial"/>
                <w:b/>
                <w:bCs/>
                <w:sz w:val="16"/>
                <w:szCs w:val="16"/>
              </w:rPr>
              <w:t>7 zemí</w:t>
            </w:r>
          </w:p>
        </w:tc>
      </w:tr>
      <w:tr w:rsidR="009E6109" w:rsidRPr="00442515" w:rsidTr="00CC4525">
        <w:trPr>
          <w:trHeight w:val="843"/>
        </w:trPr>
        <w:tc>
          <w:tcPr>
            <w:tcW w:w="1706" w:type="dxa"/>
            <w:vMerge/>
            <w:shd w:val="clear" w:color="000000" w:fill="FFFFFF"/>
            <w:vAlign w:val="center"/>
            <w:hideMark/>
          </w:tcPr>
          <w:p w:rsidR="009E6109" w:rsidRPr="00442515" w:rsidRDefault="009E6109" w:rsidP="002E78B6">
            <w:pPr>
              <w:spacing w:after="0" w:line="240" w:lineRule="auto"/>
              <w:rPr>
                <w:rFonts w:cs="Arial"/>
                <w:sz w:val="16"/>
                <w:szCs w:val="16"/>
              </w:rPr>
            </w:pPr>
          </w:p>
        </w:tc>
        <w:tc>
          <w:tcPr>
            <w:tcW w:w="2977" w:type="dxa"/>
            <w:shd w:val="clear" w:color="000000" w:fill="FFFFFF"/>
            <w:vAlign w:val="center"/>
            <w:hideMark/>
          </w:tcPr>
          <w:p w:rsidR="009E6109" w:rsidRPr="00442515" w:rsidRDefault="009E6109" w:rsidP="004C55CD">
            <w:pPr>
              <w:spacing w:after="0" w:line="240" w:lineRule="auto"/>
              <w:jc w:val="center"/>
              <w:rPr>
                <w:rFonts w:cs="Arial"/>
                <w:sz w:val="16"/>
                <w:szCs w:val="16"/>
              </w:rPr>
            </w:pPr>
            <w:r w:rsidRPr="00442515">
              <w:rPr>
                <w:rFonts w:cs="Arial"/>
                <w:sz w:val="16"/>
                <w:szCs w:val="16"/>
              </w:rPr>
              <w:t>AUT(+), ENG(-), NOR(+), PRT(+), ESP(+), TUR(-)</w:t>
            </w:r>
          </w:p>
        </w:tc>
        <w:tc>
          <w:tcPr>
            <w:tcW w:w="2783" w:type="dxa"/>
            <w:shd w:val="clear" w:color="000000" w:fill="FFFFFF"/>
            <w:vAlign w:val="center"/>
            <w:hideMark/>
          </w:tcPr>
          <w:p w:rsidR="009E6109" w:rsidRPr="00442515" w:rsidRDefault="009E6109" w:rsidP="004C55CD">
            <w:pPr>
              <w:spacing w:after="0" w:line="240" w:lineRule="auto"/>
              <w:jc w:val="center"/>
              <w:rPr>
                <w:rFonts w:cs="Arial"/>
                <w:sz w:val="16"/>
                <w:szCs w:val="16"/>
              </w:rPr>
            </w:pPr>
            <w:r w:rsidRPr="00442515">
              <w:rPr>
                <w:rFonts w:cs="Arial"/>
                <w:sz w:val="16"/>
                <w:szCs w:val="16"/>
              </w:rPr>
              <w:t>AUT(+), BFL(+), BFR(+), ENG(-), FIN(+), FRA(-), JPN(-), KOR(-), MEX(-), NOR(+), PRT(+), SVN(+), TUR(-)</w:t>
            </w:r>
          </w:p>
        </w:tc>
        <w:tc>
          <w:tcPr>
            <w:tcW w:w="2283" w:type="dxa"/>
            <w:shd w:val="clear" w:color="000000" w:fill="FFFFFF"/>
            <w:vAlign w:val="center"/>
            <w:hideMark/>
          </w:tcPr>
          <w:p w:rsidR="00D9583C" w:rsidRDefault="009E6109" w:rsidP="00D9583C">
            <w:pPr>
              <w:spacing w:after="0" w:line="240" w:lineRule="auto"/>
              <w:jc w:val="center"/>
              <w:rPr>
                <w:rFonts w:cs="Arial"/>
                <w:sz w:val="16"/>
                <w:szCs w:val="16"/>
              </w:rPr>
            </w:pPr>
            <w:r w:rsidRPr="00442515">
              <w:rPr>
                <w:rFonts w:cs="Arial"/>
                <w:sz w:val="16"/>
                <w:szCs w:val="16"/>
              </w:rPr>
              <w:t xml:space="preserve">AUS(+), ENG(-), FIN(-), </w:t>
            </w:r>
          </w:p>
          <w:p w:rsidR="009E6109" w:rsidRPr="00442515" w:rsidRDefault="009E6109" w:rsidP="00D9583C">
            <w:pPr>
              <w:spacing w:after="0" w:line="240" w:lineRule="auto"/>
              <w:jc w:val="center"/>
              <w:rPr>
                <w:rFonts w:cs="Arial"/>
                <w:sz w:val="16"/>
                <w:szCs w:val="16"/>
              </w:rPr>
            </w:pPr>
            <w:r w:rsidRPr="00442515">
              <w:rPr>
                <w:rFonts w:cs="Arial"/>
                <w:sz w:val="16"/>
                <w:szCs w:val="16"/>
              </w:rPr>
              <w:t>ITA(-), KOR(-), PRT(+), ESP(+)</w:t>
            </w:r>
          </w:p>
        </w:tc>
      </w:tr>
    </w:tbl>
    <w:p w:rsidR="00306953" w:rsidRPr="00442515" w:rsidRDefault="00306953" w:rsidP="00306953">
      <w:pPr>
        <w:spacing w:after="0" w:line="240" w:lineRule="auto"/>
        <w:jc w:val="both"/>
        <w:rPr>
          <w:rFonts w:cs="Arial"/>
          <w:sz w:val="16"/>
          <w:szCs w:val="16"/>
        </w:rPr>
      </w:pPr>
    </w:p>
    <w:p w:rsidR="00306953" w:rsidRPr="00442515" w:rsidRDefault="00306953" w:rsidP="00306953">
      <w:pPr>
        <w:spacing w:after="0" w:line="240" w:lineRule="auto"/>
        <w:jc w:val="both"/>
        <w:rPr>
          <w:rFonts w:eastAsia="ChaparralPro-Regular" w:cs="Arial"/>
          <w:sz w:val="16"/>
          <w:szCs w:val="16"/>
        </w:rPr>
      </w:pPr>
      <w:r w:rsidRPr="00442515">
        <w:rPr>
          <w:rFonts w:cs="Arial"/>
          <w:sz w:val="16"/>
          <w:szCs w:val="16"/>
        </w:rPr>
        <w:t>Pozn.: Znaménko plus či mínus ukazuje, jestli uvedený faktor zvyšuje, nebo snižuje náklady na platy učitelů na jednoho žáka.</w:t>
      </w:r>
    </w:p>
    <w:p w:rsidR="00306953" w:rsidRPr="00442515" w:rsidRDefault="00306953" w:rsidP="00306953">
      <w:pPr>
        <w:spacing w:after="0" w:line="240" w:lineRule="auto"/>
        <w:jc w:val="both"/>
        <w:rPr>
          <w:rFonts w:eastAsia="ChaparralPro-Regular" w:cs="Arial"/>
          <w:sz w:val="16"/>
          <w:szCs w:val="16"/>
        </w:rPr>
      </w:pPr>
      <w:r w:rsidRPr="00442515">
        <w:rPr>
          <w:rFonts w:eastAsia="ChaparralPro-Regular" w:cs="Arial"/>
          <w:sz w:val="16"/>
          <w:szCs w:val="16"/>
        </w:rPr>
        <w:t xml:space="preserve">Zdroj: OECD 2014, box B 7.2 (tabulky B 7.3, B 7.4 a B 7.5). Dostupné zde: </w:t>
      </w:r>
      <w:hyperlink r:id="rId128" w:history="1">
        <w:r w:rsidRPr="00442515">
          <w:rPr>
            <w:rStyle w:val="Hypertextovodkaz"/>
            <w:rFonts w:eastAsia="ChaparralPro-Regular" w:cs="Arial"/>
            <w:sz w:val="16"/>
            <w:szCs w:val="16"/>
          </w:rPr>
          <w:t>http://www.oecd.org/edu/education-at-a-glance-2014-indicators-by-chapter.htm</w:t>
        </w:r>
      </w:hyperlink>
      <w:r w:rsidRPr="00442515">
        <w:rPr>
          <w:rFonts w:eastAsia="ChaparralPro-Regular" w:cs="Arial"/>
          <w:sz w:val="16"/>
          <w:szCs w:val="16"/>
        </w:rPr>
        <w:t xml:space="preserve"> v souboru tabulek k indikátoru B 7.2.</w:t>
      </w:r>
    </w:p>
    <w:p w:rsidR="00306953" w:rsidRPr="00306953" w:rsidRDefault="00306953" w:rsidP="00306953">
      <w:pPr>
        <w:autoSpaceDE w:val="0"/>
        <w:autoSpaceDN w:val="0"/>
        <w:adjustRightInd w:val="0"/>
        <w:spacing w:after="0" w:line="240" w:lineRule="auto"/>
        <w:jc w:val="both"/>
        <w:rPr>
          <w:rFonts w:eastAsia="ChaparralPro-Regular" w:cs="Arial"/>
        </w:rPr>
      </w:pPr>
    </w:p>
    <w:p w:rsidR="00306953" w:rsidRPr="00306953" w:rsidRDefault="00306953" w:rsidP="00306953">
      <w:pPr>
        <w:autoSpaceDE w:val="0"/>
        <w:autoSpaceDN w:val="0"/>
        <w:adjustRightInd w:val="0"/>
        <w:spacing w:after="0" w:line="240" w:lineRule="auto"/>
        <w:jc w:val="both"/>
        <w:rPr>
          <w:rFonts w:eastAsia="ChaparralPro-Regular" w:cs="Arial"/>
        </w:rPr>
      </w:pPr>
      <w:r w:rsidRPr="00306953">
        <w:rPr>
          <w:rFonts w:eastAsia="ChaparralPro-Regular" w:cs="Arial"/>
        </w:rPr>
        <w:t>Pro Českou republiku je toto zjištění platné i v případě, že sledujeme náklady na platy učitelů na jednoho žáka, jakož i platy učitelů, coby podíl z HDP země na jednoho obyvatele. V některých zemích však dochází</w:t>
      </w:r>
      <w:r w:rsidR="00003E69">
        <w:rPr>
          <w:rFonts w:eastAsia="ChaparralPro-Regular" w:cs="Arial"/>
        </w:rPr>
        <w:t xml:space="preserve"> k dílčím rozdílům – viz tabulku</w:t>
      </w:r>
      <w:r w:rsidRPr="00306953">
        <w:rPr>
          <w:rFonts w:eastAsia="ChaparralPro-Regular" w:cs="Arial"/>
        </w:rPr>
        <w:t xml:space="preserve"> č. 28:</w:t>
      </w:r>
    </w:p>
    <w:p w:rsidR="00306953" w:rsidRPr="00306953" w:rsidRDefault="00306953" w:rsidP="00306953">
      <w:pPr>
        <w:autoSpaceDE w:val="0"/>
        <w:autoSpaceDN w:val="0"/>
        <w:adjustRightInd w:val="0"/>
        <w:spacing w:after="0" w:line="240" w:lineRule="auto"/>
        <w:jc w:val="both"/>
        <w:rPr>
          <w:rFonts w:eastAsia="ChaparralPro-Regular" w:cs="Arial"/>
        </w:rPr>
      </w:pPr>
    </w:p>
    <w:p w:rsidR="00306953" w:rsidRPr="00306953" w:rsidRDefault="00306953" w:rsidP="00306953">
      <w:pPr>
        <w:autoSpaceDE w:val="0"/>
        <w:autoSpaceDN w:val="0"/>
        <w:adjustRightInd w:val="0"/>
        <w:spacing w:after="0" w:line="240" w:lineRule="auto"/>
        <w:jc w:val="both"/>
        <w:rPr>
          <w:rFonts w:eastAsia="ChaparralPro-Regular" w:cs="Arial"/>
          <w:b/>
        </w:rPr>
      </w:pPr>
      <w:r w:rsidRPr="00306953">
        <w:rPr>
          <w:rFonts w:eastAsia="ChaparralPro-Regular" w:cs="Arial"/>
          <w:b/>
        </w:rPr>
        <w:t>Tabulka č. 28 Hlavní faktory ovlivňující náklady na platy učitelů na jednoho žáka, jakožto podíl HDP na jednoho obyvatele, dle úrovně vzdělávání (2012)</w:t>
      </w:r>
    </w:p>
    <w:tbl>
      <w:tblPr>
        <w:tblW w:w="9644" w:type="dxa"/>
        <w:tblInd w:w="6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1848"/>
        <w:gridCol w:w="2552"/>
        <w:gridCol w:w="2409"/>
        <w:gridCol w:w="2835"/>
      </w:tblGrid>
      <w:tr w:rsidR="00306953" w:rsidRPr="00442515" w:rsidTr="00CC4525">
        <w:trPr>
          <w:trHeight w:val="705"/>
        </w:trPr>
        <w:tc>
          <w:tcPr>
            <w:tcW w:w="1848" w:type="dxa"/>
            <w:tcBorders>
              <w:top w:val="double" w:sz="4" w:space="0" w:color="auto"/>
              <w:bottom w:val="double" w:sz="4" w:space="0" w:color="auto"/>
            </w:tcBorders>
            <w:shd w:val="clear" w:color="auto" w:fill="FFCCCC"/>
            <w:noWrap/>
            <w:vAlign w:val="bottom"/>
            <w:hideMark/>
          </w:tcPr>
          <w:p w:rsidR="00306953" w:rsidRPr="00442515" w:rsidRDefault="00306953" w:rsidP="00306953">
            <w:pPr>
              <w:spacing w:after="0" w:line="240" w:lineRule="auto"/>
              <w:rPr>
                <w:rFonts w:cs="Arial"/>
                <w:sz w:val="16"/>
                <w:szCs w:val="16"/>
              </w:rPr>
            </w:pPr>
            <w:r w:rsidRPr="00442515">
              <w:rPr>
                <w:rFonts w:cs="Arial"/>
                <w:sz w:val="16"/>
                <w:szCs w:val="16"/>
              </w:rPr>
              <w:t> </w:t>
            </w:r>
          </w:p>
        </w:tc>
        <w:tc>
          <w:tcPr>
            <w:tcW w:w="2552" w:type="dxa"/>
            <w:tcBorders>
              <w:top w:val="double" w:sz="4" w:space="0" w:color="auto"/>
              <w:bottom w:val="double" w:sz="4" w:space="0" w:color="auto"/>
            </w:tcBorders>
            <w:shd w:val="clear" w:color="auto" w:fill="FFCCCC"/>
            <w:vAlign w:val="center"/>
            <w:hideMark/>
          </w:tcPr>
          <w:p w:rsidR="00306953" w:rsidRPr="00442515" w:rsidRDefault="006B426D" w:rsidP="009E6109">
            <w:pPr>
              <w:spacing w:after="0" w:line="240" w:lineRule="auto"/>
              <w:jc w:val="center"/>
              <w:rPr>
                <w:rFonts w:cs="Arial"/>
                <w:b/>
                <w:bCs/>
                <w:sz w:val="16"/>
                <w:szCs w:val="16"/>
              </w:rPr>
            </w:pPr>
            <w:r>
              <w:rPr>
                <w:rFonts w:cs="Arial"/>
                <w:b/>
                <w:bCs/>
                <w:sz w:val="16"/>
                <w:szCs w:val="16"/>
              </w:rPr>
              <w:t>p</w:t>
            </w:r>
            <w:r w:rsidR="00306953" w:rsidRPr="00442515">
              <w:rPr>
                <w:rFonts w:cs="Arial"/>
                <w:b/>
                <w:bCs/>
                <w:sz w:val="16"/>
                <w:szCs w:val="16"/>
              </w:rPr>
              <w:t>rimární vzdělávání</w:t>
            </w:r>
          </w:p>
        </w:tc>
        <w:tc>
          <w:tcPr>
            <w:tcW w:w="2409" w:type="dxa"/>
            <w:tcBorders>
              <w:top w:val="double" w:sz="4" w:space="0" w:color="auto"/>
              <w:bottom w:val="double" w:sz="4" w:space="0" w:color="auto"/>
            </w:tcBorders>
            <w:shd w:val="clear" w:color="auto" w:fill="FFCCCC"/>
            <w:vAlign w:val="center"/>
            <w:hideMark/>
          </w:tcPr>
          <w:p w:rsidR="00306953" w:rsidRPr="00442515" w:rsidRDefault="006B426D" w:rsidP="009E6109">
            <w:pPr>
              <w:spacing w:after="0" w:line="240" w:lineRule="auto"/>
              <w:jc w:val="center"/>
              <w:rPr>
                <w:rFonts w:cs="Arial"/>
                <w:b/>
                <w:bCs/>
                <w:sz w:val="16"/>
                <w:szCs w:val="16"/>
              </w:rPr>
            </w:pPr>
            <w:r>
              <w:rPr>
                <w:rFonts w:cs="Arial"/>
                <w:b/>
                <w:bCs/>
                <w:sz w:val="16"/>
                <w:szCs w:val="16"/>
              </w:rPr>
              <w:t>n</w:t>
            </w:r>
            <w:r w:rsidR="00306953" w:rsidRPr="00442515">
              <w:rPr>
                <w:rFonts w:cs="Arial"/>
                <w:b/>
                <w:bCs/>
                <w:sz w:val="16"/>
                <w:szCs w:val="16"/>
              </w:rPr>
              <w:t>ižší sekundární vzdělávání</w:t>
            </w:r>
          </w:p>
        </w:tc>
        <w:tc>
          <w:tcPr>
            <w:tcW w:w="2835" w:type="dxa"/>
            <w:tcBorders>
              <w:top w:val="double" w:sz="4" w:space="0" w:color="auto"/>
              <w:bottom w:val="double" w:sz="4" w:space="0" w:color="auto"/>
            </w:tcBorders>
            <w:shd w:val="clear" w:color="auto" w:fill="FFCCCC"/>
            <w:vAlign w:val="center"/>
            <w:hideMark/>
          </w:tcPr>
          <w:p w:rsidR="00306953" w:rsidRPr="00442515" w:rsidRDefault="006B426D" w:rsidP="009E6109">
            <w:pPr>
              <w:spacing w:after="0" w:line="240" w:lineRule="auto"/>
              <w:jc w:val="center"/>
              <w:rPr>
                <w:rFonts w:cs="Arial"/>
                <w:b/>
                <w:bCs/>
                <w:sz w:val="16"/>
                <w:szCs w:val="16"/>
              </w:rPr>
            </w:pPr>
            <w:r>
              <w:rPr>
                <w:rFonts w:cs="Arial"/>
                <w:b/>
                <w:bCs/>
                <w:sz w:val="16"/>
                <w:szCs w:val="16"/>
              </w:rPr>
              <w:t>v</w:t>
            </w:r>
            <w:r w:rsidR="00306953" w:rsidRPr="00442515">
              <w:rPr>
                <w:rFonts w:cs="Arial"/>
                <w:b/>
                <w:bCs/>
                <w:sz w:val="16"/>
                <w:szCs w:val="16"/>
              </w:rPr>
              <w:t>yšší sekundární vzdělávání</w:t>
            </w:r>
          </w:p>
        </w:tc>
      </w:tr>
      <w:tr w:rsidR="00306953" w:rsidRPr="00442515" w:rsidTr="00CC4525">
        <w:trPr>
          <w:trHeight w:val="255"/>
        </w:trPr>
        <w:tc>
          <w:tcPr>
            <w:tcW w:w="1848" w:type="dxa"/>
            <w:vMerge w:val="restart"/>
            <w:tcBorders>
              <w:top w:val="double" w:sz="4" w:space="0" w:color="auto"/>
            </w:tcBorders>
            <w:shd w:val="clear" w:color="000000" w:fill="FFFFFF"/>
            <w:vAlign w:val="center"/>
            <w:hideMark/>
          </w:tcPr>
          <w:p w:rsidR="00306953" w:rsidRPr="00442515" w:rsidRDefault="006B426D" w:rsidP="004C55CD">
            <w:pPr>
              <w:spacing w:after="0" w:line="240" w:lineRule="auto"/>
              <w:rPr>
                <w:rFonts w:cs="Arial"/>
                <w:b/>
                <w:bCs/>
                <w:sz w:val="16"/>
                <w:szCs w:val="16"/>
              </w:rPr>
            </w:pPr>
            <w:r>
              <w:rPr>
                <w:rFonts w:cs="Arial"/>
                <w:b/>
                <w:bCs/>
                <w:sz w:val="16"/>
                <w:szCs w:val="16"/>
              </w:rPr>
              <w:t>p</w:t>
            </w:r>
            <w:r w:rsidR="006C3A39">
              <w:rPr>
                <w:rFonts w:cs="Arial"/>
                <w:b/>
                <w:bCs/>
                <w:sz w:val="16"/>
                <w:szCs w:val="16"/>
              </w:rPr>
              <w:t>laty učitelů jako podíl</w:t>
            </w:r>
            <w:r w:rsidR="00306953" w:rsidRPr="00442515">
              <w:rPr>
                <w:rFonts w:cs="Arial"/>
                <w:b/>
                <w:bCs/>
                <w:sz w:val="16"/>
                <w:szCs w:val="16"/>
              </w:rPr>
              <w:t xml:space="preserve"> HDP na jednoho obyvatele</w:t>
            </w:r>
          </w:p>
        </w:tc>
        <w:tc>
          <w:tcPr>
            <w:tcW w:w="2552" w:type="dxa"/>
            <w:tcBorders>
              <w:top w:val="double" w:sz="4" w:space="0" w:color="auto"/>
            </w:tcBorders>
            <w:shd w:val="clear" w:color="000000" w:fill="FFFFFF"/>
            <w:vAlign w:val="center"/>
            <w:hideMark/>
          </w:tcPr>
          <w:p w:rsidR="00306953" w:rsidRPr="00442515" w:rsidRDefault="00306953" w:rsidP="004C55CD">
            <w:pPr>
              <w:spacing w:after="0" w:line="240" w:lineRule="auto"/>
              <w:jc w:val="center"/>
              <w:rPr>
                <w:rFonts w:cs="Arial"/>
                <w:b/>
                <w:bCs/>
                <w:sz w:val="16"/>
                <w:szCs w:val="16"/>
              </w:rPr>
            </w:pPr>
            <w:r w:rsidRPr="00442515">
              <w:rPr>
                <w:rFonts w:cs="Arial"/>
                <w:b/>
                <w:bCs/>
                <w:sz w:val="16"/>
                <w:szCs w:val="16"/>
              </w:rPr>
              <w:t>14 zemí</w:t>
            </w:r>
          </w:p>
        </w:tc>
        <w:tc>
          <w:tcPr>
            <w:tcW w:w="2409" w:type="dxa"/>
            <w:tcBorders>
              <w:top w:val="double" w:sz="4" w:space="0" w:color="auto"/>
            </w:tcBorders>
            <w:shd w:val="clear" w:color="000000" w:fill="FFFFFF"/>
            <w:vAlign w:val="center"/>
            <w:hideMark/>
          </w:tcPr>
          <w:p w:rsidR="00306953" w:rsidRPr="00442515" w:rsidRDefault="00306953" w:rsidP="004C55CD">
            <w:pPr>
              <w:spacing w:after="0" w:line="240" w:lineRule="auto"/>
              <w:jc w:val="center"/>
              <w:rPr>
                <w:rFonts w:cs="Arial"/>
                <w:b/>
                <w:bCs/>
                <w:sz w:val="16"/>
                <w:szCs w:val="16"/>
              </w:rPr>
            </w:pPr>
            <w:r w:rsidRPr="00442515">
              <w:rPr>
                <w:rFonts w:cs="Arial"/>
                <w:b/>
                <w:bCs/>
                <w:sz w:val="16"/>
                <w:szCs w:val="16"/>
              </w:rPr>
              <w:t>14 zemí</w:t>
            </w:r>
          </w:p>
        </w:tc>
        <w:tc>
          <w:tcPr>
            <w:tcW w:w="2835" w:type="dxa"/>
            <w:tcBorders>
              <w:top w:val="double" w:sz="4" w:space="0" w:color="auto"/>
            </w:tcBorders>
            <w:shd w:val="clear" w:color="000000" w:fill="FFFFFF"/>
            <w:vAlign w:val="center"/>
            <w:hideMark/>
          </w:tcPr>
          <w:p w:rsidR="00306953" w:rsidRPr="00442515" w:rsidRDefault="00306953" w:rsidP="004C55CD">
            <w:pPr>
              <w:spacing w:after="0" w:line="240" w:lineRule="auto"/>
              <w:jc w:val="center"/>
              <w:rPr>
                <w:rFonts w:cs="Arial"/>
                <w:b/>
                <w:bCs/>
                <w:sz w:val="16"/>
                <w:szCs w:val="16"/>
              </w:rPr>
            </w:pPr>
            <w:r w:rsidRPr="00442515">
              <w:rPr>
                <w:rFonts w:cs="Arial"/>
                <w:b/>
                <w:bCs/>
                <w:sz w:val="16"/>
                <w:szCs w:val="16"/>
              </w:rPr>
              <w:t>15 zemí</w:t>
            </w:r>
          </w:p>
        </w:tc>
      </w:tr>
      <w:tr w:rsidR="00306953" w:rsidRPr="00442515" w:rsidTr="00CC4525">
        <w:trPr>
          <w:trHeight w:val="1004"/>
        </w:trPr>
        <w:tc>
          <w:tcPr>
            <w:tcW w:w="1848" w:type="dxa"/>
            <w:vMerge/>
            <w:vAlign w:val="center"/>
            <w:hideMark/>
          </w:tcPr>
          <w:p w:rsidR="00306953" w:rsidRPr="00442515" w:rsidRDefault="00306953" w:rsidP="004C55CD">
            <w:pPr>
              <w:spacing w:after="0" w:line="240" w:lineRule="auto"/>
              <w:rPr>
                <w:rFonts w:cs="Arial"/>
                <w:b/>
                <w:bCs/>
                <w:sz w:val="16"/>
                <w:szCs w:val="16"/>
              </w:rPr>
            </w:pPr>
          </w:p>
        </w:tc>
        <w:tc>
          <w:tcPr>
            <w:tcW w:w="2552" w:type="dxa"/>
            <w:shd w:val="clear" w:color="000000" w:fill="FFFFFF"/>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CAN(+), CZE(-), EST(-), FRA(-), DEU(+), HUN(-), IRL(+), JPN(+), KOR(+), NOR(-), POL(-), PRT(+), SVK(-), ESP(+)</w:t>
            </w:r>
          </w:p>
        </w:tc>
        <w:tc>
          <w:tcPr>
            <w:tcW w:w="2409" w:type="dxa"/>
            <w:shd w:val="clear" w:color="000000" w:fill="FFFFFF"/>
            <w:vAlign w:val="center"/>
            <w:hideMark/>
          </w:tcPr>
          <w:p w:rsidR="004C3619" w:rsidRDefault="00306953" w:rsidP="004C55CD">
            <w:pPr>
              <w:spacing w:after="0" w:line="240" w:lineRule="auto"/>
              <w:jc w:val="center"/>
              <w:rPr>
                <w:rFonts w:cs="Arial"/>
                <w:sz w:val="16"/>
                <w:szCs w:val="16"/>
              </w:rPr>
            </w:pPr>
            <w:r w:rsidRPr="00442515">
              <w:rPr>
                <w:rFonts w:cs="Arial"/>
                <w:sz w:val="16"/>
                <w:szCs w:val="16"/>
              </w:rPr>
              <w:t xml:space="preserve">CAN(+), CZE(-), DNK(+), </w:t>
            </w:r>
          </w:p>
          <w:p w:rsidR="004C3619" w:rsidRDefault="00306953" w:rsidP="004C55CD">
            <w:pPr>
              <w:spacing w:after="0" w:line="240" w:lineRule="auto"/>
              <w:jc w:val="center"/>
              <w:rPr>
                <w:rFonts w:cs="Arial"/>
                <w:sz w:val="16"/>
                <w:szCs w:val="16"/>
              </w:rPr>
            </w:pPr>
            <w:r w:rsidRPr="00442515">
              <w:rPr>
                <w:rFonts w:cs="Arial"/>
                <w:sz w:val="16"/>
                <w:szCs w:val="16"/>
              </w:rPr>
              <w:t xml:space="preserve">EST(-), DEU(+), HUN(-), IRL(+), ISR(-), JPN(+), NLD(+), </w:t>
            </w:r>
          </w:p>
          <w:p w:rsidR="00306953" w:rsidRPr="00442515" w:rsidRDefault="00306953" w:rsidP="004C55CD">
            <w:pPr>
              <w:spacing w:after="0" w:line="240" w:lineRule="auto"/>
              <w:jc w:val="center"/>
              <w:rPr>
                <w:rFonts w:cs="Arial"/>
                <w:sz w:val="16"/>
                <w:szCs w:val="16"/>
              </w:rPr>
            </w:pPr>
            <w:r w:rsidRPr="00442515">
              <w:rPr>
                <w:rFonts w:cs="Arial"/>
                <w:sz w:val="16"/>
                <w:szCs w:val="16"/>
              </w:rPr>
              <w:t>NOR(-), POL(-), SVK(-), ESP(+)</w:t>
            </w:r>
          </w:p>
        </w:tc>
        <w:tc>
          <w:tcPr>
            <w:tcW w:w="2835" w:type="dxa"/>
            <w:shd w:val="clear" w:color="000000" w:fill="FFFFFF"/>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BFL(+), CAN(+), CZE(-), EST(-), FRA(-), DEU(+), HUN(-), IRL(+), ISR(-), KOR(+), NLD(+), NOR(-), SVK(-), ESP(+), TUR(+)</w:t>
            </w:r>
          </w:p>
        </w:tc>
      </w:tr>
      <w:tr w:rsidR="00306953" w:rsidRPr="00442515" w:rsidTr="00CC4525">
        <w:trPr>
          <w:trHeight w:val="255"/>
        </w:trPr>
        <w:tc>
          <w:tcPr>
            <w:tcW w:w="1848" w:type="dxa"/>
            <w:vMerge w:val="restart"/>
            <w:shd w:val="clear" w:color="000000" w:fill="FFFFFF"/>
            <w:vAlign w:val="center"/>
            <w:hideMark/>
          </w:tcPr>
          <w:p w:rsidR="00306953" w:rsidRPr="00442515" w:rsidRDefault="006C3A39" w:rsidP="004C55CD">
            <w:pPr>
              <w:spacing w:after="0" w:line="240" w:lineRule="auto"/>
              <w:rPr>
                <w:rFonts w:cs="Arial"/>
                <w:b/>
                <w:bCs/>
                <w:sz w:val="16"/>
                <w:szCs w:val="16"/>
              </w:rPr>
            </w:pPr>
            <w:r>
              <w:rPr>
                <w:rFonts w:cs="Arial"/>
                <w:b/>
                <w:bCs/>
                <w:sz w:val="16"/>
                <w:szCs w:val="16"/>
              </w:rPr>
              <w:t>doba vyučování žáků</w:t>
            </w:r>
            <w:r w:rsidR="00306953" w:rsidRPr="00442515">
              <w:rPr>
                <w:rFonts w:cs="Arial"/>
                <w:b/>
                <w:bCs/>
                <w:sz w:val="16"/>
                <w:szCs w:val="16"/>
              </w:rPr>
              <w:t>/studentů</w:t>
            </w:r>
          </w:p>
          <w:p w:rsidR="00306953" w:rsidRPr="00442515" w:rsidRDefault="00306953" w:rsidP="004C55CD">
            <w:pPr>
              <w:spacing w:after="0" w:line="240" w:lineRule="auto"/>
              <w:rPr>
                <w:rFonts w:cs="Arial"/>
                <w:b/>
                <w:bCs/>
                <w:sz w:val="16"/>
                <w:szCs w:val="16"/>
              </w:rPr>
            </w:pPr>
            <w:r w:rsidRPr="00442515">
              <w:rPr>
                <w:rFonts w:cs="Arial"/>
                <w:b/>
                <w:bCs/>
                <w:sz w:val="16"/>
                <w:szCs w:val="16"/>
              </w:rPr>
              <w:t xml:space="preserve"> </w:t>
            </w:r>
          </w:p>
        </w:tc>
        <w:tc>
          <w:tcPr>
            <w:tcW w:w="2552" w:type="dxa"/>
            <w:shd w:val="clear" w:color="000000" w:fill="FFFFFF"/>
            <w:vAlign w:val="center"/>
            <w:hideMark/>
          </w:tcPr>
          <w:p w:rsidR="00306953" w:rsidRPr="00442515" w:rsidRDefault="00306953" w:rsidP="004C55CD">
            <w:pPr>
              <w:spacing w:after="0" w:line="240" w:lineRule="auto"/>
              <w:jc w:val="center"/>
              <w:rPr>
                <w:rFonts w:cs="Arial"/>
                <w:b/>
                <w:bCs/>
                <w:sz w:val="16"/>
                <w:szCs w:val="16"/>
              </w:rPr>
            </w:pPr>
            <w:r w:rsidRPr="00442515">
              <w:rPr>
                <w:rFonts w:cs="Arial"/>
                <w:b/>
                <w:bCs/>
                <w:sz w:val="16"/>
                <w:szCs w:val="16"/>
              </w:rPr>
              <w:t>5 zemí</w:t>
            </w:r>
          </w:p>
        </w:tc>
        <w:tc>
          <w:tcPr>
            <w:tcW w:w="2409" w:type="dxa"/>
            <w:shd w:val="clear" w:color="000000" w:fill="FFFFFF"/>
            <w:vAlign w:val="center"/>
            <w:hideMark/>
          </w:tcPr>
          <w:p w:rsidR="00306953" w:rsidRPr="00442515" w:rsidRDefault="00306953" w:rsidP="004C55CD">
            <w:pPr>
              <w:spacing w:after="0" w:line="240" w:lineRule="auto"/>
              <w:jc w:val="center"/>
              <w:rPr>
                <w:rFonts w:cs="Arial"/>
                <w:b/>
                <w:bCs/>
                <w:sz w:val="16"/>
                <w:szCs w:val="16"/>
              </w:rPr>
            </w:pPr>
            <w:r w:rsidRPr="00442515">
              <w:rPr>
                <w:rFonts w:cs="Arial"/>
                <w:b/>
                <w:bCs/>
                <w:sz w:val="16"/>
                <w:szCs w:val="16"/>
              </w:rPr>
              <w:t>0 zemí</w:t>
            </w:r>
          </w:p>
        </w:tc>
        <w:tc>
          <w:tcPr>
            <w:tcW w:w="2835" w:type="dxa"/>
            <w:shd w:val="clear" w:color="000000" w:fill="FFFFFF"/>
            <w:vAlign w:val="center"/>
            <w:hideMark/>
          </w:tcPr>
          <w:p w:rsidR="00306953" w:rsidRPr="00442515" w:rsidRDefault="00306953" w:rsidP="004C55CD">
            <w:pPr>
              <w:spacing w:after="0" w:line="240" w:lineRule="auto"/>
              <w:jc w:val="center"/>
              <w:rPr>
                <w:rFonts w:cs="Arial"/>
                <w:b/>
                <w:bCs/>
                <w:sz w:val="16"/>
                <w:szCs w:val="16"/>
              </w:rPr>
            </w:pPr>
            <w:r w:rsidRPr="00442515">
              <w:rPr>
                <w:rFonts w:cs="Arial"/>
                <w:b/>
                <w:bCs/>
                <w:sz w:val="16"/>
                <w:szCs w:val="16"/>
              </w:rPr>
              <w:t>0 zemí</w:t>
            </w:r>
          </w:p>
        </w:tc>
      </w:tr>
      <w:tr w:rsidR="00306953" w:rsidRPr="00442515" w:rsidTr="00CC4525">
        <w:trPr>
          <w:trHeight w:val="460"/>
        </w:trPr>
        <w:tc>
          <w:tcPr>
            <w:tcW w:w="1848" w:type="dxa"/>
            <w:vMerge/>
            <w:vAlign w:val="center"/>
            <w:hideMark/>
          </w:tcPr>
          <w:p w:rsidR="00306953" w:rsidRPr="00442515" w:rsidRDefault="00306953" w:rsidP="004C55CD">
            <w:pPr>
              <w:spacing w:after="0" w:line="240" w:lineRule="auto"/>
              <w:rPr>
                <w:rFonts w:cs="Arial"/>
                <w:b/>
                <w:bCs/>
                <w:sz w:val="16"/>
                <w:szCs w:val="16"/>
              </w:rPr>
            </w:pPr>
          </w:p>
        </w:tc>
        <w:tc>
          <w:tcPr>
            <w:tcW w:w="2552" w:type="dxa"/>
            <w:shd w:val="clear" w:color="000000" w:fill="FFFFFF"/>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AUS(+), BFR(+), FIN(-), ISR(+), ITA(+)</w:t>
            </w:r>
          </w:p>
        </w:tc>
        <w:tc>
          <w:tcPr>
            <w:tcW w:w="2409" w:type="dxa"/>
            <w:shd w:val="clear" w:color="000000" w:fill="FFFFFF"/>
            <w:vAlign w:val="center"/>
            <w:hideMark/>
          </w:tcPr>
          <w:p w:rsidR="00306953" w:rsidRPr="00442515" w:rsidRDefault="00306953" w:rsidP="004C55CD">
            <w:pPr>
              <w:spacing w:after="0" w:line="240" w:lineRule="auto"/>
              <w:jc w:val="center"/>
              <w:rPr>
                <w:rFonts w:cs="Arial"/>
                <w:sz w:val="16"/>
                <w:szCs w:val="16"/>
              </w:rPr>
            </w:pPr>
          </w:p>
        </w:tc>
        <w:tc>
          <w:tcPr>
            <w:tcW w:w="2835" w:type="dxa"/>
            <w:shd w:val="clear" w:color="000000" w:fill="FFFFFF"/>
            <w:vAlign w:val="center"/>
            <w:hideMark/>
          </w:tcPr>
          <w:p w:rsidR="00306953" w:rsidRPr="00442515" w:rsidRDefault="00306953" w:rsidP="004C55CD">
            <w:pPr>
              <w:spacing w:after="0" w:line="240" w:lineRule="auto"/>
              <w:jc w:val="center"/>
              <w:rPr>
                <w:rFonts w:cs="Arial"/>
                <w:sz w:val="16"/>
                <w:szCs w:val="16"/>
              </w:rPr>
            </w:pPr>
          </w:p>
        </w:tc>
      </w:tr>
      <w:tr w:rsidR="00306953" w:rsidRPr="00442515" w:rsidTr="00CC4525">
        <w:trPr>
          <w:trHeight w:val="255"/>
        </w:trPr>
        <w:tc>
          <w:tcPr>
            <w:tcW w:w="1848" w:type="dxa"/>
            <w:vMerge w:val="restart"/>
            <w:shd w:val="clear" w:color="000000" w:fill="FFFFFF"/>
            <w:vAlign w:val="center"/>
            <w:hideMark/>
          </w:tcPr>
          <w:p w:rsidR="00306953" w:rsidRPr="00442515" w:rsidRDefault="00306953" w:rsidP="004C55CD">
            <w:pPr>
              <w:spacing w:after="0" w:line="240" w:lineRule="auto"/>
              <w:rPr>
                <w:rFonts w:cs="Arial"/>
                <w:b/>
                <w:bCs/>
                <w:sz w:val="16"/>
                <w:szCs w:val="16"/>
              </w:rPr>
            </w:pPr>
            <w:r w:rsidRPr="00442515">
              <w:rPr>
                <w:rFonts w:cs="Arial"/>
                <w:b/>
                <w:bCs/>
                <w:sz w:val="16"/>
                <w:szCs w:val="16"/>
              </w:rPr>
              <w:t>počet hodin odučených učiteli</w:t>
            </w:r>
          </w:p>
          <w:p w:rsidR="00306953" w:rsidRPr="00442515" w:rsidRDefault="00306953" w:rsidP="004C55CD">
            <w:pPr>
              <w:spacing w:after="0" w:line="240" w:lineRule="auto"/>
              <w:rPr>
                <w:rFonts w:cs="Arial"/>
                <w:b/>
                <w:bCs/>
                <w:sz w:val="16"/>
                <w:szCs w:val="16"/>
              </w:rPr>
            </w:pPr>
            <w:r w:rsidRPr="00442515">
              <w:rPr>
                <w:rFonts w:cs="Arial"/>
                <w:b/>
                <w:bCs/>
                <w:sz w:val="16"/>
                <w:szCs w:val="16"/>
              </w:rPr>
              <w:t xml:space="preserve"> </w:t>
            </w:r>
          </w:p>
        </w:tc>
        <w:tc>
          <w:tcPr>
            <w:tcW w:w="2552" w:type="dxa"/>
            <w:shd w:val="clear" w:color="000000" w:fill="FFFFFF"/>
            <w:vAlign w:val="center"/>
            <w:hideMark/>
          </w:tcPr>
          <w:p w:rsidR="00306953" w:rsidRPr="00442515" w:rsidRDefault="00306953" w:rsidP="004C55CD">
            <w:pPr>
              <w:spacing w:after="0" w:line="240" w:lineRule="auto"/>
              <w:jc w:val="center"/>
              <w:rPr>
                <w:rFonts w:cs="Arial"/>
                <w:b/>
                <w:bCs/>
                <w:sz w:val="16"/>
                <w:szCs w:val="16"/>
              </w:rPr>
            </w:pPr>
            <w:r w:rsidRPr="00442515">
              <w:rPr>
                <w:rFonts w:cs="Arial"/>
                <w:b/>
                <w:bCs/>
                <w:sz w:val="16"/>
                <w:szCs w:val="16"/>
              </w:rPr>
              <w:t>6 zemí</w:t>
            </w:r>
          </w:p>
        </w:tc>
        <w:tc>
          <w:tcPr>
            <w:tcW w:w="2409" w:type="dxa"/>
            <w:shd w:val="clear" w:color="000000" w:fill="FFFFFF"/>
            <w:vAlign w:val="center"/>
            <w:hideMark/>
          </w:tcPr>
          <w:p w:rsidR="00306953" w:rsidRPr="00442515" w:rsidRDefault="00306953" w:rsidP="004C55CD">
            <w:pPr>
              <w:spacing w:after="0" w:line="240" w:lineRule="auto"/>
              <w:jc w:val="center"/>
              <w:rPr>
                <w:rFonts w:cs="Arial"/>
                <w:b/>
                <w:bCs/>
                <w:sz w:val="16"/>
                <w:szCs w:val="16"/>
              </w:rPr>
            </w:pPr>
            <w:r w:rsidRPr="00442515">
              <w:rPr>
                <w:rFonts w:cs="Arial"/>
                <w:b/>
                <w:bCs/>
                <w:sz w:val="16"/>
                <w:szCs w:val="16"/>
              </w:rPr>
              <w:t>3 země</w:t>
            </w:r>
          </w:p>
        </w:tc>
        <w:tc>
          <w:tcPr>
            <w:tcW w:w="2835" w:type="dxa"/>
            <w:shd w:val="clear" w:color="000000" w:fill="FFFFFF"/>
            <w:vAlign w:val="center"/>
            <w:hideMark/>
          </w:tcPr>
          <w:p w:rsidR="00306953" w:rsidRPr="00442515" w:rsidRDefault="00306953" w:rsidP="004C55CD">
            <w:pPr>
              <w:spacing w:after="0" w:line="240" w:lineRule="auto"/>
              <w:jc w:val="center"/>
              <w:rPr>
                <w:rFonts w:cs="Arial"/>
                <w:b/>
                <w:bCs/>
                <w:sz w:val="16"/>
                <w:szCs w:val="16"/>
              </w:rPr>
            </w:pPr>
            <w:r w:rsidRPr="00442515">
              <w:rPr>
                <w:rFonts w:cs="Arial"/>
                <w:b/>
                <w:bCs/>
                <w:sz w:val="16"/>
                <w:szCs w:val="16"/>
              </w:rPr>
              <w:t>4 země</w:t>
            </w:r>
          </w:p>
        </w:tc>
      </w:tr>
      <w:tr w:rsidR="00306953" w:rsidRPr="00442515" w:rsidTr="00CC4525">
        <w:trPr>
          <w:trHeight w:val="711"/>
        </w:trPr>
        <w:tc>
          <w:tcPr>
            <w:tcW w:w="1848" w:type="dxa"/>
            <w:vMerge/>
            <w:vAlign w:val="center"/>
            <w:hideMark/>
          </w:tcPr>
          <w:p w:rsidR="00306953" w:rsidRPr="00442515" w:rsidRDefault="00306953" w:rsidP="004C55CD">
            <w:pPr>
              <w:spacing w:after="0" w:line="240" w:lineRule="auto"/>
              <w:rPr>
                <w:rFonts w:cs="Arial"/>
                <w:b/>
                <w:bCs/>
                <w:sz w:val="16"/>
                <w:szCs w:val="16"/>
              </w:rPr>
            </w:pPr>
          </w:p>
        </w:tc>
        <w:tc>
          <w:tcPr>
            <w:tcW w:w="2552" w:type="dxa"/>
            <w:shd w:val="clear" w:color="000000" w:fill="FFFFFF"/>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CHL(-), DNK(+), GRC(+), NLD(-), SVN(+), USA(-)</w:t>
            </w:r>
          </w:p>
        </w:tc>
        <w:tc>
          <w:tcPr>
            <w:tcW w:w="2409" w:type="dxa"/>
            <w:shd w:val="clear" w:color="000000" w:fill="FFFFFF"/>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CHL(-), ITA(+), USA(-)</w:t>
            </w:r>
          </w:p>
        </w:tc>
        <w:tc>
          <w:tcPr>
            <w:tcW w:w="2835" w:type="dxa"/>
            <w:shd w:val="clear" w:color="000000" w:fill="FFFFFF"/>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AUT(+), CHL(-), POL(+), USA(-)</w:t>
            </w:r>
          </w:p>
        </w:tc>
      </w:tr>
      <w:tr w:rsidR="00306953" w:rsidRPr="00442515" w:rsidTr="00CC4525">
        <w:trPr>
          <w:trHeight w:val="255"/>
        </w:trPr>
        <w:tc>
          <w:tcPr>
            <w:tcW w:w="1848" w:type="dxa"/>
            <w:vMerge w:val="restart"/>
            <w:shd w:val="clear" w:color="000000" w:fill="FFFFFF"/>
            <w:vAlign w:val="center"/>
            <w:hideMark/>
          </w:tcPr>
          <w:p w:rsidR="00306953" w:rsidRPr="00442515" w:rsidRDefault="00306953" w:rsidP="004C55CD">
            <w:pPr>
              <w:spacing w:after="0" w:line="240" w:lineRule="auto"/>
              <w:rPr>
                <w:rFonts w:cs="Arial"/>
                <w:b/>
                <w:bCs/>
                <w:sz w:val="16"/>
                <w:szCs w:val="16"/>
              </w:rPr>
            </w:pPr>
            <w:r w:rsidRPr="00442515">
              <w:rPr>
                <w:rFonts w:cs="Arial"/>
                <w:b/>
                <w:bCs/>
                <w:sz w:val="16"/>
                <w:szCs w:val="16"/>
              </w:rPr>
              <w:t>odhad velikosti třídy</w:t>
            </w:r>
          </w:p>
        </w:tc>
        <w:tc>
          <w:tcPr>
            <w:tcW w:w="2552" w:type="dxa"/>
            <w:shd w:val="clear" w:color="000000" w:fill="FFFFFF"/>
            <w:vAlign w:val="center"/>
            <w:hideMark/>
          </w:tcPr>
          <w:p w:rsidR="00306953" w:rsidRPr="00442515" w:rsidRDefault="00306953" w:rsidP="004C55CD">
            <w:pPr>
              <w:spacing w:after="0" w:line="240" w:lineRule="auto"/>
              <w:jc w:val="center"/>
              <w:rPr>
                <w:rFonts w:cs="Arial"/>
                <w:b/>
                <w:bCs/>
                <w:sz w:val="16"/>
                <w:szCs w:val="16"/>
              </w:rPr>
            </w:pPr>
            <w:r w:rsidRPr="00442515">
              <w:rPr>
                <w:rFonts w:cs="Arial"/>
                <w:b/>
                <w:bCs/>
                <w:sz w:val="16"/>
                <w:szCs w:val="16"/>
              </w:rPr>
              <w:t>6 zemí</w:t>
            </w:r>
          </w:p>
        </w:tc>
        <w:tc>
          <w:tcPr>
            <w:tcW w:w="2409" w:type="dxa"/>
            <w:shd w:val="clear" w:color="000000" w:fill="FFFFFF"/>
            <w:vAlign w:val="center"/>
            <w:hideMark/>
          </w:tcPr>
          <w:p w:rsidR="00306953" w:rsidRPr="00442515" w:rsidRDefault="00306953" w:rsidP="004C55CD">
            <w:pPr>
              <w:spacing w:after="0" w:line="240" w:lineRule="auto"/>
              <w:jc w:val="center"/>
              <w:rPr>
                <w:rFonts w:cs="Arial"/>
                <w:b/>
                <w:bCs/>
                <w:sz w:val="16"/>
                <w:szCs w:val="16"/>
              </w:rPr>
            </w:pPr>
            <w:r w:rsidRPr="00442515">
              <w:rPr>
                <w:rFonts w:cs="Arial"/>
                <w:b/>
                <w:bCs/>
                <w:sz w:val="16"/>
                <w:szCs w:val="16"/>
              </w:rPr>
              <w:t>13 zemí</w:t>
            </w:r>
          </w:p>
        </w:tc>
        <w:tc>
          <w:tcPr>
            <w:tcW w:w="2835" w:type="dxa"/>
            <w:shd w:val="clear" w:color="000000" w:fill="FFFFFF"/>
            <w:vAlign w:val="center"/>
            <w:hideMark/>
          </w:tcPr>
          <w:p w:rsidR="00306953" w:rsidRPr="00442515" w:rsidRDefault="00306953" w:rsidP="004C55CD">
            <w:pPr>
              <w:spacing w:after="0" w:line="240" w:lineRule="auto"/>
              <w:jc w:val="center"/>
              <w:rPr>
                <w:rFonts w:cs="Arial"/>
                <w:b/>
                <w:bCs/>
                <w:sz w:val="16"/>
                <w:szCs w:val="16"/>
              </w:rPr>
            </w:pPr>
            <w:r w:rsidRPr="00442515">
              <w:rPr>
                <w:rFonts w:cs="Arial"/>
                <w:b/>
                <w:bCs/>
                <w:sz w:val="16"/>
                <w:szCs w:val="16"/>
              </w:rPr>
              <w:t>7 zemí</w:t>
            </w:r>
          </w:p>
        </w:tc>
      </w:tr>
      <w:tr w:rsidR="00306953" w:rsidRPr="00442515" w:rsidTr="00CC4525">
        <w:trPr>
          <w:trHeight w:val="1137"/>
        </w:trPr>
        <w:tc>
          <w:tcPr>
            <w:tcW w:w="1848" w:type="dxa"/>
            <w:vMerge/>
            <w:vAlign w:val="center"/>
            <w:hideMark/>
          </w:tcPr>
          <w:p w:rsidR="00306953" w:rsidRPr="00442515" w:rsidRDefault="00306953" w:rsidP="00306953">
            <w:pPr>
              <w:spacing w:after="0" w:line="240" w:lineRule="auto"/>
              <w:rPr>
                <w:rFonts w:cs="Arial"/>
                <w:b/>
                <w:bCs/>
                <w:sz w:val="16"/>
                <w:szCs w:val="16"/>
              </w:rPr>
            </w:pPr>
          </w:p>
        </w:tc>
        <w:tc>
          <w:tcPr>
            <w:tcW w:w="2552" w:type="dxa"/>
            <w:shd w:val="clear" w:color="000000" w:fill="FFFFFF"/>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AUT(+), BFL(+), ENG(-), LUX(+), MEX(-), TUR(-)</w:t>
            </w:r>
          </w:p>
        </w:tc>
        <w:tc>
          <w:tcPr>
            <w:tcW w:w="2409" w:type="dxa"/>
            <w:shd w:val="clear" w:color="000000" w:fill="FFFFFF"/>
            <w:vAlign w:val="center"/>
            <w:hideMark/>
          </w:tcPr>
          <w:p w:rsidR="004C3619" w:rsidRDefault="00306953" w:rsidP="004C55CD">
            <w:pPr>
              <w:spacing w:after="0" w:line="240" w:lineRule="auto"/>
              <w:jc w:val="center"/>
              <w:rPr>
                <w:rFonts w:cs="Arial"/>
                <w:sz w:val="16"/>
                <w:szCs w:val="16"/>
              </w:rPr>
            </w:pPr>
            <w:r w:rsidRPr="00442515">
              <w:rPr>
                <w:rFonts w:cs="Arial"/>
                <w:sz w:val="16"/>
                <w:szCs w:val="16"/>
              </w:rPr>
              <w:t xml:space="preserve">AUS(+), AUT(+), BFL(+), BFR(+), ENG(-), FIN(+), </w:t>
            </w:r>
          </w:p>
          <w:p w:rsidR="004C3619" w:rsidRDefault="00306953" w:rsidP="004C55CD">
            <w:pPr>
              <w:spacing w:after="0" w:line="240" w:lineRule="auto"/>
              <w:jc w:val="center"/>
              <w:rPr>
                <w:rFonts w:cs="Arial"/>
                <w:sz w:val="16"/>
                <w:szCs w:val="16"/>
              </w:rPr>
            </w:pPr>
            <w:r w:rsidRPr="00442515">
              <w:rPr>
                <w:rFonts w:cs="Arial"/>
                <w:sz w:val="16"/>
                <w:szCs w:val="16"/>
              </w:rPr>
              <w:t xml:space="preserve">FRA(-), KOR(-), LUX(+), </w:t>
            </w:r>
          </w:p>
          <w:p w:rsidR="004C3619" w:rsidRDefault="00306953" w:rsidP="004C55CD">
            <w:pPr>
              <w:spacing w:after="0" w:line="240" w:lineRule="auto"/>
              <w:jc w:val="center"/>
              <w:rPr>
                <w:rFonts w:cs="Arial"/>
                <w:sz w:val="16"/>
                <w:szCs w:val="16"/>
              </w:rPr>
            </w:pPr>
            <w:r w:rsidRPr="00442515">
              <w:rPr>
                <w:rFonts w:cs="Arial"/>
                <w:sz w:val="16"/>
                <w:szCs w:val="16"/>
              </w:rPr>
              <w:t xml:space="preserve">MEX(-), PRT(+), SVN(+), </w:t>
            </w:r>
          </w:p>
          <w:p w:rsidR="00306953" w:rsidRPr="00442515" w:rsidRDefault="00306953" w:rsidP="004C55CD">
            <w:pPr>
              <w:spacing w:after="0" w:line="240" w:lineRule="auto"/>
              <w:jc w:val="center"/>
              <w:rPr>
                <w:rFonts w:cs="Arial"/>
                <w:sz w:val="16"/>
                <w:szCs w:val="16"/>
              </w:rPr>
            </w:pPr>
            <w:r w:rsidRPr="00442515">
              <w:rPr>
                <w:rFonts w:cs="Arial"/>
                <w:sz w:val="16"/>
                <w:szCs w:val="16"/>
              </w:rPr>
              <w:t>TUR(-)</w:t>
            </w:r>
          </w:p>
        </w:tc>
        <w:tc>
          <w:tcPr>
            <w:tcW w:w="2835" w:type="dxa"/>
            <w:shd w:val="clear" w:color="000000" w:fill="FFFFFF"/>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AUS(+), ENG(-), FIN(-), ITA(-), LUX(+), PRT(+), SVN(-)</w:t>
            </w:r>
          </w:p>
        </w:tc>
      </w:tr>
    </w:tbl>
    <w:p w:rsidR="00306953" w:rsidRPr="00442515" w:rsidRDefault="00306953" w:rsidP="00E031F1">
      <w:pPr>
        <w:spacing w:before="120" w:after="0" w:line="240" w:lineRule="auto"/>
        <w:jc w:val="both"/>
        <w:rPr>
          <w:rFonts w:eastAsia="ChaparralPro-Regular" w:cs="Arial"/>
          <w:sz w:val="16"/>
          <w:szCs w:val="16"/>
        </w:rPr>
      </w:pPr>
      <w:r w:rsidRPr="00442515">
        <w:rPr>
          <w:rFonts w:eastAsia="ChaparralPro-Regular" w:cs="Arial"/>
          <w:sz w:val="16"/>
          <w:szCs w:val="16"/>
        </w:rPr>
        <w:t>Zdroj: OECD 2014, box B7.2 co</w:t>
      </w:r>
      <w:r w:rsidR="00054EC6">
        <w:rPr>
          <w:rFonts w:eastAsia="ChaparralPro-Regular" w:cs="Arial"/>
          <w:sz w:val="16"/>
          <w:szCs w:val="16"/>
        </w:rPr>
        <w:t>ntinued (web only). Dostupné z</w:t>
      </w:r>
      <w:r w:rsidRPr="00442515">
        <w:rPr>
          <w:rFonts w:eastAsia="ChaparralPro-Regular" w:cs="Arial"/>
          <w:sz w:val="16"/>
          <w:szCs w:val="16"/>
        </w:rPr>
        <w:t xml:space="preserve">: </w:t>
      </w:r>
      <w:hyperlink r:id="rId129" w:history="1">
        <w:r w:rsidRPr="00442515">
          <w:rPr>
            <w:rStyle w:val="Hypertextovodkaz"/>
            <w:rFonts w:eastAsia="ChaparralPro-Regular" w:cs="Arial"/>
            <w:sz w:val="16"/>
            <w:szCs w:val="16"/>
          </w:rPr>
          <w:t>http://www.oecd.org/edu/education-at-a-glance-2014-indicators-by-chapter.htm</w:t>
        </w:r>
      </w:hyperlink>
      <w:r w:rsidRPr="00442515">
        <w:rPr>
          <w:rFonts w:eastAsia="ChaparralPro-Regular" w:cs="Arial"/>
          <w:sz w:val="16"/>
          <w:szCs w:val="16"/>
        </w:rPr>
        <w:t xml:space="preserve"> v</w:t>
      </w:r>
      <w:r w:rsidR="006A73AA">
        <w:rPr>
          <w:rFonts w:eastAsia="ChaparralPro-Regular" w:cs="Arial"/>
          <w:sz w:val="16"/>
          <w:szCs w:val="16"/>
        </w:rPr>
        <w:t> souboru tabulek k indikátoru B</w:t>
      </w:r>
      <w:r w:rsidRPr="00442515">
        <w:rPr>
          <w:rFonts w:eastAsia="ChaparralPro-Regular" w:cs="Arial"/>
          <w:sz w:val="16"/>
          <w:szCs w:val="16"/>
        </w:rPr>
        <w:t>7.</w:t>
      </w:r>
    </w:p>
    <w:p w:rsidR="00306953" w:rsidRPr="00306953" w:rsidRDefault="00306953" w:rsidP="00E031F1">
      <w:pPr>
        <w:autoSpaceDE w:val="0"/>
        <w:autoSpaceDN w:val="0"/>
        <w:adjustRightInd w:val="0"/>
        <w:spacing w:after="0" w:line="240" w:lineRule="auto"/>
        <w:jc w:val="both"/>
        <w:rPr>
          <w:rFonts w:eastAsia="ChaparralPro-Regular" w:cs="Arial"/>
        </w:rPr>
      </w:pPr>
    </w:p>
    <w:p w:rsidR="00306953" w:rsidRPr="00306953" w:rsidRDefault="00306953" w:rsidP="00306953">
      <w:pPr>
        <w:autoSpaceDE w:val="0"/>
        <w:autoSpaceDN w:val="0"/>
        <w:adjustRightInd w:val="0"/>
        <w:spacing w:after="120" w:line="240" w:lineRule="auto"/>
        <w:jc w:val="both"/>
        <w:rPr>
          <w:rFonts w:eastAsia="ChaparralPro-Regular" w:cs="Arial"/>
        </w:rPr>
      </w:pPr>
      <w:r w:rsidRPr="00306953">
        <w:rPr>
          <w:rFonts w:eastAsia="ChaparralPro-Regular" w:cs="Arial"/>
        </w:rPr>
        <w:t xml:space="preserve">Publikace Education at a Glance 2015 dále uvádí, že pokud jde o </w:t>
      </w:r>
      <w:r w:rsidRPr="00306953">
        <w:rPr>
          <w:rFonts w:eastAsia="ChaparralPro-Regular" w:cs="Arial"/>
          <w:i/>
        </w:rPr>
        <w:t>primární a nižší sekundární vzdělávání</w:t>
      </w:r>
      <w:r w:rsidRPr="00306953">
        <w:rPr>
          <w:rFonts w:eastAsia="ChaparralPro-Regular" w:cs="Arial"/>
        </w:rPr>
        <w:t xml:space="preserve">, </w:t>
      </w:r>
      <w:r w:rsidRPr="00306953">
        <w:rPr>
          <w:rFonts w:eastAsia="ChaparralPro-Regular" w:cs="Arial"/>
          <w:b/>
        </w:rPr>
        <w:t>ČR v roce 2013 patřila spolu s Chile, Maďarskem, Estonskem a Slovenskem mezi pět zemí s nejnižšími mzdovými výdaji na jednu odučenou hodinu učitele s patnáctiletou praxí a typickým požadovaným vzděláním</w:t>
      </w:r>
      <w:r w:rsidRPr="00306953">
        <w:rPr>
          <w:rFonts w:eastAsia="ChaparralPro-Regular" w:cs="Arial"/>
        </w:rPr>
        <w:t>, a sice méně než 30 USD</w:t>
      </w:r>
      <w:r w:rsidRPr="00306953">
        <w:rPr>
          <w:rStyle w:val="Znakapoznpodarou"/>
          <w:rFonts w:eastAsia="ChaparralPro-Regular" w:cs="Arial"/>
        </w:rPr>
        <w:footnoteReference w:id="10"/>
      </w:r>
      <w:r w:rsidRPr="00306953">
        <w:rPr>
          <w:rFonts w:eastAsia="ChaparralPro-Regular" w:cs="Arial"/>
        </w:rPr>
        <w:t>. Naopak v Kan</w:t>
      </w:r>
      <w:r w:rsidR="00E52654">
        <w:rPr>
          <w:rFonts w:eastAsia="ChaparralPro-Regular" w:cs="Arial"/>
        </w:rPr>
        <w:t>adě, v Německu, v Lucembursku a v </w:t>
      </w:r>
      <w:r w:rsidRPr="00306953">
        <w:rPr>
          <w:rFonts w:eastAsia="ChaparralPro-Regular" w:cs="Arial"/>
        </w:rPr>
        <w:t xml:space="preserve">Korejské republice dosahovaly tyto výdaje více než 90 USD. V rámci </w:t>
      </w:r>
      <w:r w:rsidRPr="00306953">
        <w:rPr>
          <w:rFonts w:eastAsia="ChaparralPro-Regular" w:cs="Arial"/>
          <w:i/>
        </w:rPr>
        <w:t>vyššího sekundárního vzdělávání</w:t>
      </w:r>
      <w:r w:rsidRPr="00306953">
        <w:rPr>
          <w:rFonts w:eastAsia="ChaparralPro-Regular" w:cs="Arial"/>
        </w:rPr>
        <w:t xml:space="preserve"> platí totéž pro Dánsko, Japonsko, Norsko a Lucembursko. V Lucembursku tak ve všech třech úrovních vzdělávání přesáhly mzdové výdaje na jednu odučenou hodinu učitele s patnáctiletou praxí a typicky požadovaným vzděláním 115 USD</w:t>
      </w:r>
      <w:r w:rsidRPr="00306953">
        <w:rPr>
          <w:rStyle w:val="Znakapoznpodarou"/>
          <w:rFonts w:eastAsia="ChaparralPro-Regular" w:cs="Arial"/>
        </w:rPr>
        <w:footnoteReference w:id="11"/>
      </w:r>
      <w:r w:rsidRPr="00306953">
        <w:rPr>
          <w:rFonts w:eastAsia="ChaparralPro-Regular" w:cs="Arial"/>
        </w:rPr>
        <w:t>.  (</w:t>
      </w:r>
      <w:hyperlink r:id="rId130" w:history="1">
        <w:r w:rsidRPr="00306953">
          <w:rPr>
            <w:rStyle w:val="Hypertextovodkaz"/>
            <w:rFonts w:eastAsia="ChaparralPro-Regular" w:cs="Arial"/>
          </w:rPr>
          <w:t>OECD 2015</w:t>
        </w:r>
      </w:hyperlink>
      <w:r w:rsidRPr="00306953">
        <w:rPr>
          <w:rFonts w:eastAsia="ChaparralPro-Regular" w:cs="Arial"/>
        </w:rPr>
        <w:t>, s. 432) Průměr OECD činí 53 USD pro primární vzdělávání, 63 USD pro nižší sekundární vzdělávání a 71 USD pro vyšší sekundární vzdělávání všeobecného zaměření.  Údaje za vybrané země obsahuje tabulka č. 29.</w:t>
      </w:r>
    </w:p>
    <w:p w:rsidR="00306953" w:rsidRPr="00306953" w:rsidRDefault="00306953" w:rsidP="00E52654">
      <w:pPr>
        <w:keepNext/>
        <w:autoSpaceDE w:val="0"/>
        <w:autoSpaceDN w:val="0"/>
        <w:adjustRightInd w:val="0"/>
        <w:spacing w:after="120" w:line="240" w:lineRule="auto"/>
        <w:jc w:val="both"/>
        <w:rPr>
          <w:rFonts w:eastAsia="ChaparralPro-Regular" w:cs="Arial"/>
          <w:b/>
        </w:rPr>
      </w:pPr>
      <w:r w:rsidRPr="00306953">
        <w:rPr>
          <w:rFonts w:eastAsia="ChaparralPro-Regular" w:cs="Arial"/>
          <w:b/>
        </w:rPr>
        <w:lastRenderedPageBreak/>
        <w:t>Tabulka č. 29 Porovnání zákonných platů učitelů s typicky požadovaným vzděláním (2013)</w:t>
      </w:r>
    </w:p>
    <w:p w:rsidR="00306953" w:rsidRPr="00306953" w:rsidRDefault="000A711C" w:rsidP="00E52654">
      <w:pPr>
        <w:keepNext/>
        <w:autoSpaceDE w:val="0"/>
        <w:autoSpaceDN w:val="0"/>
        <w:adjustRightInd w:val="0"/>
        <w:spacing w:after="120" w:line="240" w:lineRule="auto"/>
        <w:jc w:val="both"/>
        <w:rPr>
          <w:rFonts w:eastAsia="ChaparralPro-Regular" w:cs="Arial"/>
        </w:rPr>
      </w:pPr>
      <w:r>
        <w:rPr>
          <w:rFonts w:eastAsia="ChaparralPro-Regular" w:cs="Arial"/>
          <w:i/>
        </w:rPr>
        <w:t>n</w:t>
      </w:r>
      <w:r w:rsidR="00306953" w:rsidRPr="00306953">
        <w:rPr>
          <w:rFonts w:eastAsia="ChaparralPro-Regular" w:cs="Arial"/>
          <w:i/>
        </w:rPr>
        <w:t>ásobek platu učitele na vrcholu platového žebříčku vůči platu začínajícího učitele a mzda učitele za jednu hodinu výuky v USD - na různých úrovních vzdělávání a ve vybraných zemích</w:t>
      </w:r>
      <w:r w:rsidR="00306953" w:rsidRPr="00306953">
        <w:rPr>
          <w:rFonts w:eastAsia="ChaparralPro-Regular" w:cs="Arial"/>
        </w:rPr>
        <w:t xml:space="preserve">, </w:t>
      </w:r>
      <w:r w:rsidR="00306953" w:rsidRPr="00306953">
        <w:rPr>
          <w:rFonts w:eastAsia="ChaparralPro-Regular" w:cs="Arial"/>
          <w:i/>
        </w:rPr>
        <w:t>mzdy uváděny po zohlednění PPP pro soukromou spotřebu</w:t>
      </w:r>
    </w:p>
    <w:tbl>
      <w:tblPr>
        <w:tblW w:w="9654" w:type="dxa"/>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tblPr>
      <w:tblGrid>
        <w:gridCol w:w="1400"/>
        <w:gridCol w:w="742"/>
        <w:gridCol w:w="708"/>
        <w:gridCol w:w="851"/>
        <w:gridCol w:w="709"/>
        <w:gridCol w:w="850"/>
        <w:gridCol w:w="709"/>
        <w:gridCol w:w="709"/>
        <w:gridCol w:w="708"/>
        <w:gridCol w:w="960"/>
        <w:gridCol w:w="1308"/>
      </w:tblGrid>
      <w:tr w:rsidR="00306953" w:rsidRPr="00306953" w:rsidTr="00C83419">
        <w:trPr>
          <w:trHeight w:val="757"/>
        </w:trPr>
        <w:tc>
          <w:tcPr>
            <w:tcW w:w="1400" w:type="dxa"/>
            <w:vMerge w:val="restart"/>
            <w:shd w:val="clear" w:color="auto" w:fill="FFCCCC"/>
            <w:noWrap/>
            <w:vAlign w:val="bottom"/>
            <w:hideMark/>
          </w:tcPr>
          <w:p w:rsidR="00306953" w:rsidRPr="006B426D" w:rsidRDefault="00306953" w:rsidP="00442515">
            <w:pPr>
              <w:keepNext/>
              <w:spacing w:after="0" w:line="240" w:lineRule="auto"/>
              <w:rPr>
                <w:rFonts w:cs="Arial"/>
                <w:b/>
                <w:color w:val="000000"/>
                <w:sz w:val="16"/>
                <w:szCs w:val="16"/>
              </w:rPr>
            </w:pPr>
            <w:r w:rsidRPr="006B426D">
              <w:rPr>
                <w:rFonts w:cs="Arial"/>
                <w:b/>
                <w:color w:val="000000"/>
                <w:sz w:val="16"/>
                <w:szCs w:val="16"/>
              </w:rPr>
              <w:t> </w:t>
            </w:r>
          </w:p>
        </w:tc>
        <w:tc>
          <w:tcPr>
            <w:tcW w:w="3010" w:type="dxa"/>
            <w:gridSpan w:val="4"/>
            <w:shd w:val="clear" w:color="auto" w:fill="FFCCCC"/>
            <w:vAlign w:val="center"/>
            <w:hideMark/>
          </w:tcPr>
          <w:p w:rsidR="00306953" w:rsidRPr="006B426D" w:rsidRDefault="006B426D" w:rsidP="00442515">
            <w:pPr>
              <w:keepNext/>
              <w:spacing w:after="0" w:line="240" w:lineRule="auto"/>
              <w:jc w:val="center"/>
              <w:rPr>
                <w:rFonts w:cs="Arial"/>
                <w:b/>
                <w:color w:val="000000"/>
                <w:sz w:val="16"/>
                <w:szCs w:val="16"/>
              </w:rPr>
            </w:pPr>
            <w:r w:rsidRPr="006B426D">
              <w:rPr>
                <w:rFonts w:cs="Arial"/>
                <w:b/>
                <w:color w:val="000000"/>
                <w:sz w:val="16"/>
                <w:szCs w:val="16"/>
              </w:rPr>
              <w:t>p</w:t>
            </w:r>
            <w:r w:rsidR="00306953" w:rsidRPr="006B426D">
              <w:rPr>
                <w:rFonts w:cs="Arial"/>
                <w:b/>
                <w:color w:val="000000"/>
                <w:sz w:val="16"/>
                <w:szCs w:val="16"/>
              </w:rPr>
              <w:t>odíl platu učitele na vrcholu platového žebříčku vůči platu začínajícího učitele</w:t>
            </w:r>
          </w:p>
        </w:tc>
        <w:tc>
          <w:tcPr>
            <w:tcW w:w="850" w:type="dxa"/>
            <w:vMerge w:val="restart"/>
            <w:shd w:val="clear" w:color="auto" w:fill="FFCCCC"/>
            <w:textDirection w:val="btLr"/>
            <w:vAlign w:val="center"/>
            <w:hideMark/>
          </w:tcPr>
          <w:p w:rsidR="007A5643" w:rsidRDefault="006B426D" w:rsidP="00442515">
            <w:pPr>
              <w:keepNext/>
              <w:spacing w:after="0" w:line="240" w:lineRule="auto"/>
              <w:rPr>
                <w:rFonts w:cs="Arial"/>
                <w:b/>
                <w:color w:val="000000"/>
                <w:sz w:val="16"/>
                <w:szCs w:val="16"/>
              </w:rPr>
            </w:pPr>
            <w:r w:rsidRPr="006B426D">
              <w:rPr>
                <w:rFonts w:cs="Arial"/>
                <w:b/>
                <w:color w:val="000000"/>
                <w:sz w:val="16"/>
                <w:szCs w:val="16"/>
              </w:rPr>
              <w:t>p</w:t>
            </w:r>
            <w:r w:rsidR="007A5643">
              <w:rPr>
                <w:rFonts w:cs="Arial"/>
                <w:b/>
                <w:color w:val="000000"/>
                <w:sz w:val="16"/>
                <w:szCs w:val="16"/>
              </w:rPr>
              <w:t xml:space="preserve">očet let praxe od </w:t>
            </w:r>
            <w:r w:rsidR="00306953" w:rsidRPr="006B426D">
              <w:rPr>
                <w:rFonts w:cs="Arial"/>
                <w:b/>
                <w:color w:val="000000"/>
                <w:sz w:val="16"/>
                <w:szCs w:val="16"/>
              </w:rPr>
              <w:t xml:space="preserve">počátečního platu do nejvyššího platu </w:t>
            </w:r>
          </w:p>
          <w:p w:rsidR="00306953" w:rsidRPr="006B426D" w:rsidRDefault="00306953" w:rsidP="00442515">
            <w:pPr>
              <w:keepNext/>
              <w:spacing w:after="0" w:line="240" w:lineRule="auto"/>
              <w:rPr>
                <w:rFonts w:cs="Arial"/>
                <w:b/>
                <w:color w:val="000000"/>
                <w:sz w:val="16"/>
                <w:szCs w:val="16"/>
              </w:rPr>
            </w:pPr>
            <w:r w:rsidRPr="007A5643">
              <w:rPr>
                <w:rFonts w:cs="Arial"/>
                <w:color w:val="000000"/>
                <w:sz w:val="16"/>
                <w:szCs w:val="16"/>
              </w:rPr>
              <w:t>(nižší sekundární vzdělávání)</w:t>
            </w:r>
          </w:p>
        </w:tc>
        <w:tc>
          <w:tcPr>
            <w:tcW w:w="3086" w:type="dxa"/>
            <w:gridSpan w:val="4"/>
            <w:shd w:val="clear" w:color="auto" w:fill="FFCCCC"/>
            <w:vAlign w:val="center"/>
            <w:hideMark/>
          </w:tcPr>
          <w:p w:rsidR="00306953" w:rsidRPr="006B426D" w:rsidRDefault="006B426D" w:rsidP="00442515">
            <w:pPr>
              <w:keepNext/>
              <w:spacing w:after="0" w:line="240" w:lineRule="auto"/>
              <w:jc w:val="center"/>
              <w:rPr>
                <w:rFonts w:cs="Arial"/>
                <w:b/>
                <w:color w:val="000000"/>
                <w:sz w:val="16"/>
                <w:szCs w:val="16"/>
              </w:rPr>
            </w:pPr>
            <w:r w:rsidRPr="006B426D">
              <w:rPr>
                <w:rFonts w:cs="Arial"/>
                <w:b/>
                <w:color w:val="000000"/>
                <w:sz w:val="16"/>
                <w:szCs w:val="16"/>
              </w:rPr>
              <w:t>p</w:t>
            </w:r>
            <w:r w:rsidR="00306953" w:rsidRPr="006B426D">
              <w:rPr>
                <w:rFonts w:cs="Arial"/>
                <w:b/>
                <w:color w:val="000000"/>
                <w:sz w:val="16"/>
                <w:szCs w:val="16"/>
              </w:rPr>
              <w:t>lat učitele za jednu hodinu vyučovací praxe po 15 letech pracovní zkušenosti</w:t>
            </w:r>
          </w:p>
        </w:tc>
        <w:tc>
          <w:tcPr>
            <w:tcW w:w="1308" w:type="dxa"/>
            <w:vMerge w:val="restart"/>
            <w:shd w:val="clear" w:color="auto" w:fill="FFCCCC"/>
            <w:textDirection w:val="btLr"/>
            <w:vAlign w:val="center"/>
            <w:hideMark/>
          </w:tcPr>
          <w:p w:rsidR="00306953" w:rsidRPr="006B426D" w:rsidRDefault="006B426D" w:rsidP="00442515">
            <w:pPr>
              <w:keepNext/>
              <w:spacing w:after="0" w:line="240" w:lineRule="auto"/>
              <w:rPr>
                <w:rFonts w:cs="Arial"/>
                <w:b/>
                <w:color w:val="000000"/>
                <w:sz w:val="16"/>
                <w:szCs w:val="16"/>
              </w:rPr>
            </w:pPr>
            <w:r w:rsidRPr="006B426D">
              <w:rPr>
                <w:rFonts w:cs="Arial"/>
                <w:b/>
                <w:color w:val="000000"/>
                <w:sz w:val="16"/>
                <w:szCs w:val="16"/>
              </w:rPr>
              <w:t>p</w:t>
            </w:r>
            <w:r w:rsidR="00306953" w:rsidRPr="006B426D">
              <w:rPr>
                <w:rFonts w:cs="Arial"/>
                <w:b/>
                <w:color w:val="000000"/>
                <w:sz w:val="16"/>
                <w:szCs w:val="16"/>
              </w:rPr>
              <w:t xml:space="preserve">odíl platu učitele ve vyšším sekundárním vzdělávání vůči platu učitele v primárním vzdělávání </w:t>
            </w:r>
            <w:r w:rsidR="00306953" w:rsidRPr="006B426D">
              <w:rPr>
                <w:rFonts w:cs="Arial"/>
                <w:b/>
                <w:color w:val="000000"/>
                <w:sz w:val="16"/>
                <w:szCs w:val="16"/>
              </w:rPr>
              <w:br/>
            </w:r>
            <w:r w:rsidR="00306953" w:rsidRPr="007A5643">
              <w:rPr>
                <w:rFonts w:cs="Arial"/>
                <w:color w:val="000000"/>
                <w:sz w:val="16"/>
                <w:szCs w:val="16"/>
              </w:rPr>
              <w:t>- za jednu vyučovací hodinu a po 15 letech praxe v oboru</w:t>
            </w:r>
          </w:p>
        </w:tc>
      </w:tr>
      <w:tr w:rsidR="00306953" w:rsidRPr="00306953" w:rsidTr="00C83419">
        <w:trPr>
          <w:trHeight w:val="1489"/>
        </w:trPr>
        <w:tc>
          <w:tcPr>
            <w:tcW w:w="1400" w:type="dxa"/>
            <w:vMerge/>
            <w:tcBorders>
              <w:bottom w:val="double" w:sz="4" w:space="0" w:color="auto"/>
            </w:tcBorders>
            <w:vAlign w:val="center"/>
            <w:hideMark/>
          </w:tcPr>
          <w:p w:rsidR="00306953" w:rsidRPr="006B426D" w:rsidRDefault="00306953" w:rsidP="00442515">
            <w:pPr>
              <w:keepNext/>
              <w:spacing w:after="0" w:line="240" w:lineRule="auto"/>
              <w:rPr>
                <w:rFonts w:cs="Arial"/>
                <w:b/>
                <w:color w:val="000000"/>
                <w:sz w:val="16"/>
                <w:szCs w:val="16"/>
              </w:rPr>
            </w:pPr>
          </w:p>
        </w:tc>
        <w:tc>
          <w:tcPr>
            <w:tcW w:w="742" w:type="dxa"/>
            <w:tcBorders>
              <w:bottom w:val="double" w:sz="4" w:space="0" w:color="auto"/>
            </w:tcBorders>
            <w:shd w:val="clear" w:color="auto" w:fill="FFCCCC"/>
            <w:textDirection w:val="btLr"/>
            <w:vAlign w:val="center"/>
            <w:hideMark/>
          </w:tcPr>
          <w:p w:rsidR="00306953" w:rsidRPr="006B426D" w:rsidRDefault="006B426D" w:rsidP="00442515">
            <w:pPr>
              <w:keepNext/>
              <w:spacing w:after="0" w:line="240" w:lineRule="auto"/>
              <w:rPr>
                <w:rFonts w:cs="Arial"/>
                <w:b/>
                <w:color w:val="000000"/>
                <w:sz w:val="16"/>
                <w:szCs w:val="16"/>
              </w:rPr>
            </w:pPr>
            <w:r w:rsidRPr="006B426D">
              <w:rPr>
                <w:rFonts w:cs="Arial"/>
                <w:b/>
                <w:color w:val="000000"/>
                <w:sz w:val="16"/>
                <w:szCs w:val="16"/>
              </w:rPr>
              <w:t>p</w:t>
            </w:r>
            <w:r w:rsidR="00306953" w:rsidRPr="006B426D">
              <w:rPr>
                <w:rFonts w:cs="Arial"/>
                <w:b/>
                <w:color w:val="000000"/>
                <w:sz w:val="16"/>
                <w:szCs w:val="16"/>
              </w:rPr>
              <w:t>reprimární vzdělávání</w:t>
            </w:r>
            <w:r w:rsidR="000A711C" w:rsidRPr="000A711C">
              <w:rPr>
                <w:rFonts w:cs="Arial"/>
                <w:b/>
                <w:color w:val="000000"/>
                <w:sz w:val="16"/>
                <w:szCs w:val="16"/>
                <w:vertAlign w:val="superscript"/>
              </w:rPr>
              <w:t>1)</w:t>
            </w:r>
          </w:p>
        </w:tc>
        <w:tc>
          <w:tcPr>
            <w:tcW w:w="708" w:type="dxa"/>
            <w:tcBorders>
              <w:bottom w:val="double" w:sz="4" w:space="0" w:color="auto"/>
            </w:tcBorders>
            <w:shd w:val="clear" w:color="auto" w:fill="FFCCCC"/>
            <w:textDirection w:val="btLr"/>
            <w:vAlign w:val="center"/>
            <w:hideMark/>
          </w:tcPr>
          <w:p w:rsidR="00306953" w:rsidRPr="006B426D" w:rsidRDefault="006B426D" w:rsidP="00442515">
            <w:pPr>
              <w:keepNext/>
              <w:spacing w:after="0" w:line="240" w:lineRule="auto"/>
              <w:rPr>
                <w:rFonts w:cs="Arial"/>
                <w:b/>
                <w:color w:val="000000"/>
                <w:sz w:val="16"/>
                <w:szCs w:val="16"/>
              </w:rPr>
            </w:pPr>
            <w:r w:rsidRPr="006B426D">
              <w:rPr>
                <w:rFonts w:cs="Arial"/>
                <w:b/>
                <w:color w:val="000000"/>
                <w:sz w:val="16"/>
                <w:szCs w:val="16"/>
              </w:rPr>
              <w:t>p</w:t>
            </w:r>
            <w:r w:rsidR="00306953" w:rsidRPr="006B426D">
              <w:rPr>
                <w:rFonts w:cs="Arial"/>
                <w:b/>
                <w:color w:val="000000"/>
                <w:sz w:val="16"/>
                <w:szCs w:val="16"/>
              </w:rPr>
              <w:t>rimární vzdělávání</w:t>
            </w:r>
          </w:p>
        </w:tc>
        <w:tc>
          <w:tcPr>
            <w:tcW w:w="851" w:type="dxa"/>
            <w:tcBorders>
              <w:bottom w:val="double" w:sz="4" w:space="0" w:color="auto"/>
            </w:tcBorders>
            <w:shd w:val="clear" w:color="auto" w:fill="FFCCCC"/>
            <w:textDirection w:val="btLr"/>
            <w:vAlign w:val="center"/>
            <w:hideMark/>
          </w:tcPr>
          <w:p w:rsidR="00306953" w:rsidRPr="006B426D" w:rsidRDefault="006B426D" w:rsidP="00442515">
            <w:pPr>
              <w:keepNext/>
              <w:spacing w:after="0" w:line="240" w:lineRule="auto"/>
              <w:rPr>
                <w:rFonts w:cs="Arial"/>
                <w:b/>
                <w:color w:val="000000"/>
                <w:sz w:val="16"/>
                <w:szCs w:val="16"/>
              </w:rPr>
            </w:pPr>
            <w:r w:rsidRPr="006B426D">
              <w:rPr>
                <w:rFonts w:cs="Arial"/>
                <w:b/>
                <w:color w:val="000000"/>
                <w:sz w:val="16"/>
                <w:szCs w:val="16"/>
              </w:rPr>
              <w:t>n</w:t>
            </w:r>
            <w:r w:rsidR="00306953" w:rsidRPr="006B426D">
              <w:rPr>
                <w:rFonts w:cs="Arial"/>
                <w:b/>
                <w:color w:val="000000"/>
                <w:sz w:val="16"/>
                <w:szCs w:val="16"/>
              </w:rPr>
              <w:t>ižší sekundární vzdělávání</w:t>
            </w:r>
          </w:p>
        </w:tc>
        <w:tc>
          <w:tcPr>
            <w:tcW w:w="709" w:type="dxa"/>
            <w:tcBorders>
              <w:bottom w:val="double" w:sz="4" w:space="0" w:color="auto"/>
            </w:tcBorders>
            <w:shd w:val="clear" w:color="auto" w:fill="FFCCCC"/>
            <w:textDirection w:val="btLr"/>
            <w:vAlign w:val="center"/>
            <w:hideMark/>
          </w:tcPr>
          <w:p w:rsidR="00306953" w:rsidRPr="006B426D" w:rsidRDefault="006B426D" w:rsidP="00442515">
            <w:pPr>
              <w:keepNext/>
              <w:spacing w:after="0" w:line="240" w:lineRule="auto"/>
              <w:rPr>
                <w:rFonts w:cs="Arial"/>
                <w:b/>
                <w:color w:val="000000"/>
                <w:sz w:val="16"/>
                <w:szCs w:val="16"/>
              </w:rPr>
            </w:pPr>
            <w:r w:rsidRPr="006B426D">
              <w:rPr>
                <w:rFonts w:cs="Arial"/>
                <w:b/>
                <w:color w:val="000000"/>
                <w:sz w:val="16"/>
                <w:szCs w:val="16"/>
              </w:rPr>
              <w:t>v</w:t>
            </w:r>
            <w:r w:rsidR="00306953" w:rsidRPr="006B426D">
              <w:rPr>
                <w:rFonts w:cs="Arial"/>
                <w:b/>
                <w:color w:val="000000"/>
                <w:sz w:val="16"/>
                <w:szCs w:val="16"/>
              </w:rPr>
              <w:t>yšší sekundární vzdělávání</w:t>
            </w:r>
          </w:p>
        </w:tc>
        <w:tc>
          <w:tcPr>
            <w:tcW w:w="850" w:type="dxa"/>
            <w:vMerge/>
            <w:tcBorders>
              <w:bottom w:val="double" w:sz="4" w:space="0" w:color="auto"/>
            </w:tcBorders>
            <w:vAlign w:val="center"/>
            <w:hideMark/>
          </w:tcPr>
          <w:p w:rsidR="00306953" w:rsidRPr="006B426D" w:rsidRDefault="00306953" w:rsidP="00442515">
            <w:pPr>
              <w:keepNext/>
              <w:spacing w:after="0" w:line="240" w:lineRule="auto"/>
              <w:rPr>
                <w:rFonts w:cs="Arial"/>
                <w:b/>
                <w:color w:val="000000"/>
                <w:sz w:val="16"/>
                <w:szCs w:val="16"/>
              </w:rPr>
            </w:pPr>
          </w:p>
        </w:tc>
        <w:tc>
          <w:tcPr>
            <w:tcW w:w="709" w:type="dxa"/>
            <w:tcBorders>
              <w:bottom w:val="double" w:sz="4" w:space="0" w:color="auto"/>
            </w:tcBorders>
            <w:shd w:val="clear" w:color="auto" w:fill="FFCCCC"/>
            <w:textDirection w:val="btLr"/>
            <w:vAlign w:val="center"/>
            <w:hideMark/>
          </w:tcPr>
          <w:p w:rsidR="00306953" w:rsidRPr="006B426D" w:rsidRDefault="000A711C" w:rsidP="00442515">
            <w:pPr>
              <w:keepNext/>
              <w:spacing w:after="0" w:line="240" w:lineRule="auto"/>
              <w:rPr>
                <w:rFonts w:cs="Arial"/>
                <w:b/>
                <w:color w:val="000000"/>
                <w:sz w:val="16"/>
                <w:szCs w:val="16"/>
              </w:rPr>
            </w:pPr>
            <w:r w:rsidRPr="006B426D">
              <w:rPr>
                <w:rFonts w:cs="Arial"/>
                <w:b/>
                <w:color w:val="000000"/>
                <w:sz w:val="16"/>
                <w:szCs w:val="16"/>
              </w:rPr>
              <w:t>preprimární vzdělávání</w:t>
            </w:r>
            <w:r w:rsidRPr="000A711C">
              <w:rPr>
                <w:rFonts w:cs="Arial"/>
                <w:b/>
                <w:color w:val="000000"/>
                <w:sz w:val="16"/>
                <w:szCs w:val="16"/>
                <w:vertAlign w:val="superscript"/>
              </w:rPr>
              <w:t>1)</w:t>
            </w:r>
          </w:p>
        </w:tc>
        <w:tc>
          <w:tcPr>
            <w:tcW w:w="709" w:type="dxa"/>
            <w:tcBorders>
              <w:bottom w:val="double" w:sz="4" w:space="0" w:color="auto"/>
            </w:tcBorders>
            <w:shd w:val="clear" w:color="auto" w:fill="FFCCCC"/>
            <w:textDirection w:val="btLr"/>
            <w:vAlign w:val="center"/>
            <w:hideMark/>
          </w:tcPr>
          <w:p w:rsidR="00306953" w:rsidRPr="006B426D" w:rsidRDefault="006B426D" w:rsidP="00442515">
            <w:pPr>
              <w:keepNext/>
              <w:spacing w:after="0" w:line="240" w:lineRule="auto"/>
              <w:rPr>
                <w:rFonts w:cs="Arial"/>
                <w:b/>
                <w:color w:val="000000"/>
                <w:sz w:val="16"/>
                <w:szCs w:val="16"/>
              </w:rPr>
            </w:pPr>
            <w:r w:rsidRPr="006B426D">
              <w:rPr>
                <w:rFonts w:cs="Arial"/>
                <w:b/>
                <w:color w:val="000000"/>
                <w:sz w:val="16"/>
                <w:szCs w:val="16"/>
              </w:rPr>
              <w:t>p</w:t>
            </w:r>
            <w:r w:rsidR="00306953" w:rsidRPr="006B426D">
              <w:rPr>
                <w:rFonts w:cs="Arial"/>
                <w:b/>
                <w:color w:val="000000"/>
                <w:sz w:val="16"/>
                <w:szCs w:val="16"/>
              </w:rPr>
              <w:t>rimární vzdělávání</w:t>
            </w:r>
          </w:p>
        </w:tc>
        <w:tc>
          <w:tcPr>
            <w:tcW w:w="708" w:type="dxa"/>
            <w:tcBorders>
              <w:bottom w:val="double" w:sz="4" w:space="0" w:color="auto"/>
            </w:tcBorders>
            <w:shd w:val="clear" w:color="auto" w:fill="FFCCCC"/>
            <w:textDirection w:val="btLr"/>
            <w:vAlign w:val="center"/>
            <w:hideMark/>
          </w:tcPr>
          <w:p w:rsidR="00306953" w:rsidRPr="006B426D" w:rsidRDefault="006B426D" w:rsidP="00442515">
            <w:pPr>
              <w:keepNext/>
              <w:spacing w:after="0" w:line="240" w:lineRule="auto"/>
              <w:rPr>
                <w:rFonts w:cs="Arial"/>
                <w:b/>
                <w:color w:val="000000"/>
                <w:sz w:val="16"/>
                <w:szCs w:val="16"/>
              </w:rPr>
            </w:pPr>
            <w:r w:rsidRPr="006B426D">
              <w:rPr>
                <w:rFonts w:cs="Arial"/>
                <w:b/>
                <w:color w:val="000000"/>
                <w:sz w:val="16"/>
                <w:szCs w:val="16"/>
              </w:rPr>
              <w:t>n</w:t>
            </w:r>
            <w:r w:rsidR="00306953" w:rsidRPr="006B426D">
              <w:rPr>
                <w:rFonts w:cs="Arial"/>
                <w:b/>
                <w:color w:val="000000"/>
                <w:sz w:val="16"/>
                <w:szCs w:val="16"/>
              </w:rPr>
              <w:t>ižší sekundární vzdělávání</w:t>
            </w:r>
          </w:p>
        </w:tc>
        <w:tc>
          <w:tcPr>
            <w:tcW w:w="960" w:type="dxa"/>
            <w:tcBorders>
              <w:bottom w:val="double" w:sz="4" w:space="0" w:color="auto"/>
            </w:tcBorders>
            <w:shd w:val="clear" w:color="auto" w:fill="FFCCCC"/>
            <w:textDirection w:val="btLr"/>
            <w:vAlign w:val="center"/>
            <w:hideMark/>
          </w:tcPr>
          <w:p w:rsidR="00306953" w:rsidRPr="006B426D" w:rsidRDefault="006B426D" w:rsidP="00442515">
            <w:pPr>
              <w:keepNext/>
              <w:spacing w:after="0" w:line="240" w:lineRule="auto"/>
              <w:rPr>
                <w:rFonts w:cs="Arial"/>
                <w:b/>
                <w:color w:val="000000"/>
                <w:sz w:val="16"/>
                <w:szCs w:val="16"/>
              </w:rPr>
            </w:pPr>
            <w:r w:rsidRPr="006B426D">
              <w:rPr>
                <w:rFonts w:cs="Arial"/>
                <w:b/>
                <w:color w:val="000000"/>
                <w:sz w:val="16"/>
                <w:szCs w:val="16"/>
              </w:rPr>
              <w:t>v</w:t>
            </w:r>
            <w:r w:rsidR="00306953" w:rsidRPr="006B426D">
              <w:rPr>
                <w:rFonts w:cs="Arial"/>
                <w:b/>
                <w:color w:val="000000"/>
                <w:sz w:val="16"/>
                <w:szCs w:val="16"/>
              </w:rPr>
              <w:t>yšší sekundární vzdělávání</w:t>
            </w:r>
          </w:p>
        </w:tc>
        <w:tc>
          <w:tcPr>
            <w:tcW w:w="1308" w:type="dxa"/>
            <w:vMerge/>
            <w:tcBorders>
              <w:bottom w:val="double" w:sz="4" w:space="0" w:color="auto"/>
            </w:tcBorders>
            <w:vAlign w:val="center"/>
            <w:hideMark/>
          </w:tcPr>
          <w:p w:rsidR="00306953" w:rsidRPr="006B426D" w:rsidRDefault="00306953" w:rsidP="00442515">
            <w:pPr>
              <w:keepNext/>
              <w:spacing w:after="0" w:line="240" w:lineRule="auto"/>
              <w:rPr>
                <w:rFonts w:cs="Arial"/>
                <w:color w:val="000000"/>
                <w:sz w:val="16"/>
                <w:szCs w:val="16"/>
              </w:rPr>
            </w:pPr>
          </w:p>
        </w:tc>
      </w:tr>
      <w:tr w:rsidR="00306953" w:rsidRPr="00306953" w:rsidTr="00C83419">
        <w:trPr>
          <w:trHeight w:val="300"/>
        </w:trPr>
        <w:tc>
          <w:tcPr>
            <w:tcW w:w="1400" w:type="dxa"/>
            <w:tcBorders>
              <w:top w:val="double" w:sz="4" w:space="0" w:color="auto"/>
              <w:bottom w:val="single" w:sz="4" w:space="0" w:color="auto"/>
            </w:tcBorders>
            <w:shd w:val="clear" w:color="auto" w:fill="auto"/>
            <w:noWrap/>
            <w:vAlign w:val="center"/>
            <w:hideMark/>
          </w:tcPr>
          <w:p w:rsidR="00306953" w:rsidRPr="006B426D" w:rsidRDefault="00306953" w:rsidP="004C55CD">
            <w:pPr>
              <w:keepNext/>
              <w:spacing w:after="0" w:line="240" w:lineRule="auto"/>
              <w:rPr>
                <w:rFonts w:cs="Arial"/>
                <w:color w:val="000000"/>
                <w:sz w:val="16"/>
                <w:szCs w:val="16"/>
              </w:rPr>
            </w:pPr>
            <w:r w:rsidRPr="006B426D">
              <w:rPr>
                <w:rFonts w:cs="Arial"/>
                <w:color w:val="000000"/>
                <w:sz w:val="16"/>
                <w:szCs w:val="16"/>
              </w:rPr>
              <w:t>Česká republika</w:t>
            </w:r>
          </w:p>
        </w:tc>
        <w:tc>
          <w:tcPr>
            <w:tcW w:w="742" w:type="dxa"/>
            <w:tcBorders>
              <w:top w:val="double" w:sz="4" w:space="0" w:color="auto"/>
              <w:bottom w:val="single" w:sz="4" w:space="0" w:color="auto"/>
            </w:tcBorders>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1,10</w:t>
            </w:r>
          </w:p>
        </w:tc>
        <w:tc>
          <w:tcPr>
            <w:tcW w:w="708" w:type="dxa"/>
            <w:tcBorders>
              <w:top w:val="double" w:sz="4" w:space="0" w:color="auto"/>
              <w:bottom w:val="single" w:sz="4" w:space="0" w:color="auto"/>
            </w:tcBorders>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1,22</w:t>
            </w:r>
          </w:p>
        </w:tc>
        <w:tc>
          <w:tcPr>
            <w:tcW w:w="851" w:type="dxa"/>
            <w:tcBorders>
              <w:top w:val="double" w:sz="4" w:space="0" w:color="auto"/>
              <w:bottom w:val="single" w:sz="4" w:space="0" w:color="auto"/>
            </w:tcBorders>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1,22</w:t>
            </w:r>
          </w:p>
        </w:tc>
        <w:tc>
          <w:tcPr>
            <w:tcW w:w="709" w:type="dxa"/>
            <w:tcBorders>
              <w:top w:val="double" w:sz="4" w:space="0" w:color="auto"/>
              <w:bottom w:val="single" w:sz="4" w:space="0" w:color="auto"/>
            </w:tcBorders>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1,22</w:t>
            </w:r>
          </w:p>
        </w:tc>
        <w:tc>
          <w:tcPr>
            <w:tcW w:w="850" w:type="dxa"/>
            <w:tcBorders>
              <w:top w:val="double" w:sz="4" w:space="0" w:color="auto"/>
              <w:bottom w:val="single" w:sz="4" w:space="0" w:color="auto"/>
            </w:tcBorders>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27</w:t>
            </w:r>
          </w:p>
        </w:tc>
        <w:tc>
          <w:tcPr>
            <w:tcW w:w="709" w:type="dxa"/>
            <w:tcBorders>
              <w:top w:val="double" w:sz="4" w:space="0" w:color="auto"/>
              <w:bottom w:val="single" w:sz="4" w:space="0" w:color="auto"/>
            </w:tcBorders>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15</w:t>
            </w:r>
          </w:p>
        </w:tc>
        <w:tc>
          <w:tcPr>
            <w:tcW w:w="709" w:type="dxa"/>
            <w:tcBorders>
              <w:top w:val="double" w:sz="4" w:space="0" w:color="auto"/>
              <w:bottom w:val="single" w:sz="4" w:space="0" w:color="auto"/>
            </w:tcBorders>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22</w:t>
            </w:r>
          </w:p>
        </w:tc>
        <w:tc>
          <w:tcPr>
            <w:tcW w:w="708" w:type="dxa"/>
            <w:tcBorders>
              <w:top w:val="double" w:sz="4" w:space="0" w:color="auto"/>
              <w:bottom w:val="single" w:sz="4" w:space="0" w:color="auto"/>
            </w:tcBorders>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29</w:t>
            </w:r>
          </w:p>
        </w:tc>
        <w:tc>
          <w:tcPr>
            <w:tcW w:w="960" w:type="dxa"/>
            <w:tcBorders>
              <w:top w:val="double" w:sz="4" w:space="0" w:color="auto"/>
              <w:bottom w:val="single" w:sz="4" w:space="0" w:color="auto"/>
            </w:tcBorders>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31</w:t>
            </w:r>
          </w:p>
        </w:tc>
        <w:tc>
          <w:tcPr>
            <w:tcW w:w="1308" w:type="dxa"/>
            <w:tcBorders>
              <w:top w:val="double" w:sz="4" w:space="0" w:color="auto"/>
              <w:bottom w:val="single" w:sz="4" w:space="0" w:color="auto"/>
            </w:tcBorders>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1,40</w:t>
            </w:r>
          </w:p>
        </w:tc>
      </w:tr>
      <w:tr w:rsidR="00306953" w:rsidRPr="00306953" w:rsidTr="003553FB">
        <w:trPr>
          <w:trHeight w:val="325"/>
        </w:trPr>
        <w:tc>
          <w:tcPr>
            <w:tcW w:w="1400" w:type="dxa"/>
            <w:tcBorders>
              <w:top w:val="single" w:sz="4" w:space="0" w:color="auto"/>
            </w:tcBorders>
            <w:shd w:val="clear" w:color="auto" w:fill="auto"/>
            <w:noWrap/>
            <w:vAlign w:val="center"/>
            <w:hideMark/>
          </w:tcPr>
          <w:p w:rsidR="00306953" w:rsidRPr="006B426D" w:rsidRDefault="00306953" w:rsidP="003553FB">
            <w:pPr>
              <w:keepNext/>
              <w:spacing w:after="0" w:line="240" w:lineRule="auto"/>
              <w:rPr>
                <w:rFonts w:cs="Arial"/>
                <w:color w:val="000000"/>
                <w:sz w:val="16"/>
                <w:szCs w:val="16"/>
              </w:rPr>
            </w:pPr>
            <w:r w:rsidRPr="006B426D">
              <w:rPr>
                <w:rFonts w:cs="Arial"/>
                <w:color w:val="000000"/>
                <w:sz w:val="16"/>
                <w:szCs w:val="16"/>
              </w:rPr>
              <w:t>Slovensk</w:t>
            </w:r>
            <w:r w:rsidR="003553FB">
              <w:rPr>
                <w:rFonts w:cs="Arial"/>
                <w:color w:val="000000"/>
                <w:sz w:val="16"/>
                <w:szCs w:val="16"/>
              </w:rPr>
              <w:t>o</w:t>
            </w:r>
          </w:p>
        </w:tc>
        <w:tc>
          <w:tcPr>
            <w:tcW w:w="742" w:type="dxa"/>
            <w:tcBorders>
              <w:top w:val="single" w:sz="4" w:space="0" w:color="auto"/>
            </w:tcBorders>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1,24</w:t>
            </w:r>
          </w:p>
        </w:tc>
        <w:tc>
          <w:tcPr>
            <w:tcW w:w="708" w:type="dxa"/>
            <w:tcBorders>
              <w:top w:val="single" w:sz="4" w:space="0" w:color="auto"/>
            </w:tcBorders>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1,52</w:t>
            </w:r>
          </w:p>
        </w:tc>
        <w:tc>
          <w:tcPr>
            <w:tcW w:w="851" w:type="dxa"/>
            <w:tcBorders>
              <w:top w:val="single" w:sz="4" w:space="0" w:color="auto"/>
            </w:tcBorders>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1,52</w:t>
            </w:r>
          </w:p>
        </w:tc>
        <w:tc>
          <w:tcPr>
            <w:tcW w:w="709" w:type="dxa"/>
            <w:tcBorders>
              <w:top w:val="single" w:sz="4" w:space="0" w:color="auto"/>
            </w:tcBorders>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1,52</w:t>
            </w:r>
          </w:p>
        </w:tc>
        <w:tc>
          <w:tcPr>
            <w:tcW w:w="850" w:type="dxa"/>
            <w:tcBorders>
              <w:top w:val="single" w:sz="4" w:space="0" w:color="auto"/>
            </w:tcBorders>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32</w:t>
            </w:r>
          </w:p>
        </w:tc>
        <w:tc>
          <w:tcPr>
            <w:tcW w:w="709" w:type="dxa"/>
            <w:tcBorders>
              <w:top w:val="single" w:sz="4" w:space="0" w:color="auto"/>
            </w:tcBorders>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10</w:t>
            </w:r>
          </w:p>
        </w:tc>
        <w:tc>
          <w:tcPr>
            <w:tcW w:w="709" w:type="dxa"/>
            <w:tcBorders>
              <w:top w:val="single" w:sz="4" w:space="0" w:color="auto"/>
            </w:tcBorders>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19</w:t>
            </w:r>
          </w:p>
        </w:tc>
        <w:tc>
          <w:tcPr>
            <w:tcW w:w="708" w:type="dxa"/>
            <w:tcBorders>
              <w:top w:val="single" w:sz="4" w:space="0" w:color="auto"/>
            </w:tcBorders>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24</w:t>
            </w:r>
          </w:p>
        </w:tc>
        <w:tc>
          <w:tcPr>
            <w:tcW w:w="960" w:type="dxa"/>
            <w:tcBorders>
              <w:top w:val="single" w:sz="4" w:space="0" w:color="auto"/>
            </w:tcBorders>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25</w:t>
            </w:r>
          </w:p>
        </w:tc>
        <w:tc>
          <w:tcPr>
            <w:tcW w:w="1308" w:type="dxa"/>
            <w:tcBorders>
              <w:top w:val="single" w:sz="4" w:space="0" w:color="auto"/>
            </w:tcBorders>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1,35</w:t>
            </w:r>
          </w:p>
        </w:tc>
      </w:tr>
      <w:tr w:rsidR="00306953" w:rsidRPr="00306953" w:rsidTr="00C83419">
        <w:trPr>
          <w:trHeight w:val="300"/>
        </w:trPr>
        <w:tc>
          <w:tcPr>
            <w:tcW w:w="1400" w:type="dxa"/>
            <w:shd w:val="clear" w:color="auto" w:fill="auto"/>
            <w:noWrap/>
            <w:vAlign w:val="center"/>
            <w:hideMark/>
          </w:tcPr>
          <w:p w:rsidR="00306953" w:rsidRPr="006B426D" w:rsidRDefault="00306953" w:rsidP="004C55CD">
            <w:pPr>
              <w:keepNext/>
              <w:spacing w:after="0" w:line="240" w:lineRule="auto"/>
              <w:rPr>
                <w:rFonts w:cs="Arial"/>
                <w:color w:val="000000"/>
                <w:sz w:val="16"/>
                <w:szCs w:val="16"/>
              </w:rPr>
            </w:pPr>
            <w:r w:rsidRPr="006B426D">
              <w:rPr>
                <w:rFonts w:cs="Arial"/>
                <w:color w:val="000000"/>
                <w:sz w:val="16"/>
                <w:szCs w:val="16"/>
              </w:rPr>
              <w:t xml:space="preserve">Polsko </w:t>
            </w:r>
          </w:p>
        </w:tc>
        <w:tc>
          <w:tcPr>
            <w:tcW w:w="742" w:type="dxa"/>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1,71</w:t>
            </w:r>
          </w:p>
        </w:tc>
        <w:tc>
          <w:tcPr>
            <w:tcW w:w="708" w:type="dxa"/>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1,71</w:t>
            </w:r>
          </w:p>
        </w:tc>
        <w:tc>
          <w:tcPr>
            <w:tcW w:w="851" w:type="dxa"/>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1,71</w:t>
            </w:r>
          </w:p>
        </w:tc>
        <w:tc>
          <w:tcPr>
            <w:tcW w:w="709" w:type="dxa"/>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1,71</w:t>
            </w:r>
          </w:p>
        </w:tc>
        <w:tc>
          <w:tcPr>
            <w:tcW w:w="850" w:type="dxa"/>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20</w:t>
            </w:r>
          </w:p>
        </w:tc>
        <w:tc>
          <w:tcPr>
            <w:tcW w:w="709" w:type="dxa"/>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23</w:t>
            </w:r>
          </w:p>
        </w:tc>
        <w:tc>
          <w:tcPr>
            <w:tcW w:w="709" w:type="dxa"/>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43</w:t>
            </w:r>
          </w:p>
        </w:tc>
        <w:tc>
          <w:tcPr>
            <w:tcW w:w="708" w:type="dxa"/>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51</w:t>
            </w:r>
          </w:p>
        </w:tc>
        <w:tc>
          <w:tcPr>
            <w:tcW w:w="960" w:type="dxa"/>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52</w:t>
            </w:r>
          </w:p>
        </w:tc>
        <w:tc>
          <w:tcPr>
            <w:tcW w:w="1308" w:type="dxa"/>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1,20</w:t>
            </w:r>
          </w:p>
        </w:tc>
      </w:tr>
      <w:tr w:rsidR="00306953" w:rsidRPr="00306953" w:rsidTr="00C83419">
        <w:trPr>
          <w:trHeight w:val="300"/>
        </w:trPr>
        <w:tc>
          <w:tcPr>
            <w:tcW w:w="1400" w:type="dxa"/>
            <w:shd w:val="clear" w:color="auto" w:fill="auto"/>
            <w:noWrap/>
            <w:vAlign w:val="center"/>
            <w:hideMark/>
          </w:tcPr>
          <w:p w:rsidR="00306953" w:rsidRPr="006B426D" w:rsidRDefault="00306953" w:rsidP="004C55CD">
            <w:pPr>
              <w:keepNext/>
              <w:spacing w:after="0" w:line="240" w:lineRule="auto"/>
              <w:rPr>
                <w:rFonts w:cs="Arial"/>
                <w:color w:val="000000"/>
                <w:sz w:val="16"/>
                <w:szCs w:val="16"/>
              </w:rPr>
            </w:pPr>
            <w:r w:rsidRPr="006B426D">
              <w:rPr>
                <w:rFonts w:cs="Arial"/>
                <w:color w:val="000000"/>
                <w:sz w:val="16"/>
                <w:szCs w:val="16"/>
              </w:rPr>
              <w:t>Estonsko</w:t>
            </w:r>
          </w:p>
        </w:tc>
        <w:tc>
          <w:tcPr>
            <w:tcW w:w="742" w:type="dxa"/>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m</w:t>
            </w:r>
          </w:p>
        </w:tc>
        <w:tc>
          <w:tcPr>
            <w:tcW w:w="708" w:type="dxa"/>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1,31</w:t>
            </w:r>
          </w:p>
        </w:tc>
        <w:tc>
          <w:tcPr>
            <w:tcW w:w="851" w:type="dxa"/>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1,31</w:t>
            </w:r>
          </w:p>
        </w:tc>
        <w:tc>
          <w:tcPr>
            <w:tcW w:w="709" w:type="dxa"/>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1,31</w:t>
            </w:r>
          </w:p>
        </w:tc>
        <w:tc>
          <w:tcPr>
            <w:tcW w:w="850" w:type="dxa"/>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7</w:t>
            </w:r>
          </w:p>
        </w:tc>
        <w:tc>
          <w:tcPr>
            <w:tcW w:w="709" w:type="dxa"/>
            <w:shd w:val="clear" w:color="auto" w:fill="auto"/>
            <w:noWrap/>
            <w:vAlign w:val="center"/>
            <w:hideMark/>
          </w:tcPr>
          <w:p w:rsidR="00306953" w:rsidRPr="006B426D" w:rsidRDefault="00306953" w:rsidP="004C55CD">
            <w:pPr>
              <w:keepNext/>
              <w:spacing w:after="0" w:line="240" w:lineRule="auto"/>
              <w:jc w:val="center"/>
              <w:rPr>
                <w:rFonts w:cs="Arial"/>
                <w:b/>
                <w:color w:val="000000"/>
                <w:sz w:val="16"/>
                <w:szCs w:val="16"/>
              </w:rPr>
            </w:pPr>
            <w:r w:rsidRPr="006B426D">
              <w:rPr>
                <w:rFonts w:cs="Arial"/>
                <w:b/>
                <w:color w:val="000000"/>
                <w:sz w:val="16"/>
                <w:szCs w:val="16"/>
              </w:rPr>
              <w:t>.</w:t>
            </w:r>
          </w:p>
        </w:tc>
        <w:tc>
          <w:tcPr>
            <w:tcW w:w="709" w:type="dxa"/>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21</w:t>
            </w:r>
          </w:p>
        </w:tc>
        <w:tc>
          <w:tcPr>
            <w:tcW w:w="708" w:type="dxa"/>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21</w:t>
            </w:r>
          </w:p>
        </w:tc>
        <w:tc>
          <w:tcPr>
            <w:tcW w:w="960" w:type="dxa"/>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23</w:t>
            </w:r>
          </w:p>
        </w:tc>
        <w:tc>
          <w:tcPr>
            <w:tcW w:w="1308" w:type="dxa"/>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1,09</w:t>
            </w:r>
          </w:p>
        </w:tc>
      </w:tr>
      <w:tr w:rsidR="00306953" w:rsidRPr="00306953" w:rsidTr="00C83419">
        <w:trPr>
          <w:trHeight w:val="300"/>
        </w:trPr>
        <w:tc>
          <w:tcPr>
            <w:tcW w:w="1400" w:type="dxa"/>
            <w:shd w:val="clear" w:color="auto" w:fill="auto"/>
            <w:noWrap/>
            <w:vAlign w:val="center"/>
            <w:hideMark/>
          </w:tcPr>
          <w:p w:rsidR="00306953" w:rsidRPr="006B426D" w:rsidRDefault="00306953" w:rsidP="004C55CD">
            <w:pPr>
              <w:keepNext/>
              <w:spacing w:after="0" w:line="240" w:lineRule="auto"/>
              <w:rPr>
                <w:rFonts w:cs="Arial"/>
                <w:color w:val="000000"/>
                <w:sz w:val="16"/>
                <w:szCs w:val="16"/>
              </w:rPr>
            </w:pPr>
            <w:r w:rsidRPr="006B426D">
              <w:rPr>
                <w:rFonts w:cs="Arial"/>
                <w:color w:val="000000"/>
                <w:sz w:val="16"/>
                <w:szCs w:val="16"/>
              </w:rPr>
              <w:t>Finsko</w:t>
            </w:r>
          </w:p>
        </w:tc>
        <w:tc>
          <w:tcPr>
            <w:tcW w:w="742" w:type="dxa"/>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1,08</w:t>
            </w:r>
          </w:p>
        </w:tc>
        <w:tc>
          <w:tcPr>
            <w:tcW w:w="708" w:type="dxa"/>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1,30</w:t>
            </w:r>
          </w:p>
        </w:tc>
        <w:tc>
          <w:tcPr>
            <w:tcW w:w="851" w:type="dxa"/>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1,30</w:t>
            </w:r>
          </w:p>
        </w:tc>
        <w:tc>
          <w:tcPr>
            <w:tcW w:w="709" w:type="dxa"/>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1,32</w:t>
            </w:r>
          </w:p>
        </w:tc>
        <w:tc>
          <w:tcPr>
            <w:tcW w:w="850" w:type="dxa"/>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20</w:t>
            </w:r>
          </w:p>
        </w:tc>
        <w:tc>
          <w:tcPr>
            <w:tcW w:w="709" w:type="dxa"/>
            <w:shd w:val="clear" w:color="auto" w:fill="auto"/>
            <w:noWrap/>
            <w:vAlign w:val="center"/>
            <w:hideMark/>
          </w:tcPr>
          <w:p w:rsidR="00306953" w:rsidRPr="006B426D" w:rsidRDefault="00306953" w:rsidP="004C55CD">
            <w:pPr>
              <w:keepNext/>
              <w:spacing w:after="0" w:line="240" w:lineRule="auto"/>
              <w:jc w:val="center"/>
              <w:rPr>
                <w:rFonts w:cs="Arial"/>
                <w:b/>
                <w:color w:val="000000"/>
                <w:sz w:val="16"/>
                <w:szCs w:val="16"/>
              </w:rPr>
            </w:pPr>
            <w:r w:rsidRPr="006B426D">
              <w:rPr>
                <w:rFonts w:cs="Arial"/>
                <w:b/>
                <w:color w:val="000000"/>
                <w:sz w:val="16"/>
                <w:szCs w:val="16"/>
              </w:rPr>
              <w:t>.</w:t>
            </w:r>
          </w:p>
        </w:tc>
        <w:tc>
          <w:tcPr>
            <w:tcW w:w="709" w:type="dxa"/>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59</w:t>
            </w:r>
          </w:p>
        </w:tc>
        <w:tc>
          <w:tcPr>
            <w:tcW w:w="708" w:type="dxa"/>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72</w:t>
            </w:r>
          </w:p>
        </w:tc>
        <w:tc>
          <w:tcPr>
            <w:tcW w:w="960" w:type="dxa"/>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84</w:t>
            </w:r>
          </w:p>
        </w:tc>
        <w:tc>
          <w:tcPr>
            <w:tcW w:w="1308" w:type="dxa"/>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1,43</w:t>
            </w:r>
          </w:p>
        </w:tc>
      </w:tr>
      <w:tr w:rsidR="00306953" w:rsidRPr="00306953" w:rsidTr="00C83419">
        <w:trPr>
          <w:trHeight w:val="300"/>
        </w:trPr>
        <w:tc>
          <w:tcPr>
            <w:tcW w:w="1400" w:type="dxa"/>
            <w:shd w:val="clear" w:color="auto" w:fill="auto"/>
            <w:noWrap/>
            <w:vAlign w:val="center"/>
            <w:hideMark/>
          </w:tcPr>
          <w:p w:rsidR="00306953" w:rsidRPr="006B426D" w:rsidRDefault="00306953" w:rsidP="004C55CD">
            <w:pPr>
              <w:keepNext/>
              <w:spacing w:after="0" w:line="240" w:lineRule="auto"/>
              <w:rPr>
                <w:rFonts w:cs="Arial"/>
                <w:color w:val="000000"/>
                <w:sz w:val="16"/>
                <w:szCs w:val="16"/>
              </w:rPr>
            </w:pPr>
            <w:r w:rsidRPr="006B426D">
              <w:rPr>
                <w:rFonts w:cs="Arial"/>
                <w:color w:val="000000"/>
                <w:sz w:val="16"/>
                <w:szCs w:val="16"/>
              </w:rPr>
              <w:t>Rakousko</w:t>
            </w:r>
          </w:p>
        </w:tc>
        <w:tc>
          <w:tcPr>
            <w:tcW w:w="742" w:type="dxa"/>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1,96</w:t>
            </w:r>
          </w:p>
        </w:tc>
        <w:tc>
          <w:tcPr>
            <w:tcW w:w="708" w:type="dxa"/>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1,96</w:t>
            </w:r>
          </w:p>
        </w:tc>
        <w:tc>
          <w:tcPr>
            <w:tcW w:w="851" w:type="dxa"/>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1,94</w:t>
            </w:r>
          </w:p>
        </w:tc>
        <w:tc>
          <w:tcPr>
            <w:tcW w:w="709" w:type="dxa"/>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2,07</w:t>
            </w:r>
          </w:p>
        </w:tc>
        <w:tc>
          <w:tcPr>
            <w:tcW w:w="850" w:type="dxa"/>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34</w:t>
            </w:r>
          </w:p>
        </w:tc>
        <w:tc>
          <w:tcPr>
            <w:tcW w:w="709" w:type="dxa"/>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55</w:t>
            </w:r>
          </w:p>
        </w:tc>
        <w:tc>
          <w:tcPr>
            <w:tcW w:w="709" w:type="dxa"/>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55</w:t>
            </w:r>
          </w:p>
        </w:tc>
        <w:tc>
          <w:tcPr>
            <w:tcW w:w="708" w:type="dxa"/>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77</w:t>
            </w:r>
          </w:p>
        </w:tc>
        <w:tc>
          <w:tcPr>
            <w:tcW w:w="960" w:type="dxa"/>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85</w:t>
            </w:r>
          </w:p>
        </w:tc>
        <w:tc>
          <w:tcPr>
            <w:tcW w:w="1308" w:type="dxa"/>
            <w:shd w:val="clear" w:color="auto" w:fill="auto"/>
            <w:noWrap/>
            <w:vAlign w:val="center"/>
            <w:hideMark/>
          </w:tcPr>
          <w:p w:rsidR="00306953" w:rsidRPr="006B426D" w:rsidRDefault="00306953" w:rsidP="004C55CD">
            <w:pPr>
              <w:keepNext/>
              <w:spacing w:after="0" w:line="240" w:lineRule="auto"/>
              <w:jc w:val="center"/>
              <w:rPr>
                <w:rFonts w:cs="Arial"/>
                <w:color w:val="000000"/>
                <w:sz w:val="16"/>
                <w:szCs w:val="16"/>
              </w:rPr>
            </w:pPr>
            <w:r w:rsidRPr="006B426D">
              <w:rPr>
                <w:rFonts w:cs="Arial"/>
                <w:color w:val="000000"/>
                <w:sz w:val="16"/>
                <w:szCs w:val="16"/>
              </w:rPr>
              <w:t>1,54</w:t>
            </w:r>
          </w:p>
        </w:tc>
      </w:tr>
      <w:tr w:rsidR="00306953" w:rsidRPr="00306953" w:rsidTr="00C83419">
        <w:trPr>
          <w:trHeight w:val="300"/>
        </w:trPr>
        <w:tc>
          <w:tcPr>
            <w:tcW w:w="1400" w:type="dxa"/>
            <w:shd w:val="clear" w:color="000000" w:fill="C5D9F1"/>
            <w:noWrap/>
            <w:vAlign w:val="center"/>
            <w:hideMark/>
          </w:tcPr>
          <w:p w:rsidR="00306953" w:rsidRPr="00631582" w:rsidRDefault="006B426D" w:rsidP="004C55CD">
            <w:pPr>
              <w:keepNext/>
              <w:spacing w:after="0" w:line="240" w:lineRule="auto"/>
              <w:rPr>
                <w:rFonts w:cs="Arial"/>
                <w:bCs/>
                <w:iCs/>
                <w:color w:val="000000"/>
                <w:sz w:val="16"/>
                <w:szCs w:val="16"/>
              </w:rPr>
            </w:pPr>
            <w:r w:rsidRPr="00631582">
              <w:rPr>
                <w:rFonts w:cs="Arial"/>
                <w:bCs/>
                <w:iCs/>
                <w:color w:val="000000"/>
                <w:sz w:val="16"/>
                <w:szCs w:val="16"/>
              </w:rPr>
              <w:t>p</w:t>
            </w:r>
            <w:r w:rsidR="00306953" w:rsidRPr="00631582">
              <w:rPr>
                <w:rFonts w:cs="Arial"/>
                <w:bCs/>
                <w:iCs/>
                <w:color w:val="000000"/>
                <w:sz w:val="16"/>
                <w:szCs w:val="16"/>
              </w:rPr>
              <w:t>růměr OECD</w:t>
            </w:r>
          </w:p>
        </w:tc>
        <w:tc>
          <w:tcPr>
            <w:tcW w:w="742" w:type="dxa"/>
            <w:shd w:val="clear" w:color="000000" w:fill="C5D9F1"/>
            <w:noWrap/>
            <w:vAlign w:val="center"/>
            <w:hideMark/>
          </w:tcPr>
          <w:p w:rsidR="00306953" w:rsidRPr="00631582" w:rsidRDefault="00306953" w:rsidP="004C55CD">
            <w:pPr>
              <w:keepNext/>
              <w:spacing w:after="0" w:line="240" w:lineRule="auto"/>
              <w:jc w:val="center"/>
              <w:rPr>
                <w:rFonts w:cs="Arial"/>
                <w:bCs/>
                <w:iCs/>
                <w:color w:val="000000"/>
                <w:sz w:val="16"/>
                <w:szCs w:val="16"/>
              </w:rPr>
            </w:pPr>
            <w:r w:rsidRPr="00631582">
              <w:rPr>
                <w:rFonts w:cs="Arial"/>
                <w:bCs/>
                <w:iCs/>
                <w:color w:val="000000"/>
                <w:sz w:val="16"/>
                <w:szCs w:val="16"/>
              </w:rPr>
              <w:t>1,64</w:t>
            </w:r>
          </w:p>
        </w:tc>
        <w:tc>
          <w:tcPr>
            <w:tcW w:w="708" w:type="dxa"/>
            <w:shd w:val="clear" w:color="000000" w:fill="C5D9F1"/>
            <w:noWrap/>
            <w:vAlign w:val="center"/>
            <w:hideMark/>
          </w:tcPr>
          <w:p w:rsidR="00306953" w:rsidRPr="00631582" w:rsidRDefault="00306953" w:rsidP="004C55CD">
            <w:pPr>
              <w:keepNext/>
              <w:spacing w:after="0" w:line="240" w:lineRule="auto"/>
              <w:jc w:val="center"/>
              <w:rPr>
                <w:rFonts w:cs="Arial"/>
                <w:bCs/>
                <w:iCs/>
                <w:color w:val="000000"/>
                <w:sz w:val="16"/>
                <w:szCs w:val="16"/>
              </w:rPr>
            </w:pPr>
            <w:r w:rsidRPr="00631582">
              <w:rPr>
                <w:rFonts w:cs="Arial"/>
                <w:bCs/>
                <w:iCs/>
                <w:color w:val="000000"/>
                <w:sz w:val="16"/>
                <w:szCs w:val="16"/>
              </w:rPr>
              <w:t>1,66</w:t>
            </w:r>
          </w:p>
        </w:tc>
        <w:tc>
          <w:tcPr>
            <w:tcW w:w="851" w:type="dxa"/>
            <w:shd w:val="clear" w:color="000000" w:fill="C5D9F1"/>
            <w:noWrap/>
            <w:vAlign w:val="center"/>
            <w:hideMark/>
          </w:tcPr>
          <w:p w:rsidR="00306953" w:rsidRPr="00631582" w:rsidRDefault="00306953" w:rsidP="004C55CD">
            <w:pPr>
              <w:keepNext/>
              <w:spacing w:after="0" w:line="240" w:lineRule="auto"/>
              <w:jc w:val="center"/>
              <w:rPr>
                <w:rFonts w:cs="Arial"/>
                <w:bCs/>
                <w:iCs/>
                <w:color w:val="000000"/>
                <w:sz w:val="16"/>
                <w:szCs w:val="16"/>
              </w:rPr>
            </w:pPr>
            <w:r w:rsidRPr="00631582">
              <w:rPr>
                <w:rFonts w:cs="Arial"/>
                <w:bCs/>
                <w:iCs/>
                <w:color w:val="000000"/>
                <w:sz w:val="16"/>
                <w:szCs w:val="16"/>
              </w:rPr>
              <w:t>1,65</w:t>
            </w:r>
          </w:p>
        </w:tc>
        <w:tc>
          <w:tcPr>
            <w:tcW w:w="709" w:type="dxa"/>
            <w:shd w:val="clear" w:color="000000" w:fill="C5D9F1"/>
            <w:noWrap/>
            <w:vAlign w:val="center"/>
            <w:hideMark/>
          </w:tcPr>
          <w:p w:rsidR="00306953" w:rsidRPr="00631582" w:rsidRDefault="00306953" w:rsidP="004C55CD">
            <w:pPr>
              <w:keepNext/>
              <w:spacing w:after="0" w:line="240" w:lineRule="auto"/>
              <w:jc w:val="center"/>
              <w:rPr>
                <w:rFonts w:cs="Arial"/>
                <w:bCs/>
                <w:iCs/>
                <w:color w:val="000000"/>
                <w:sz w:val="16"/>
                <w:szCs w:val="16"/>
              </w:rPr>
            </w:pPr>
            <w:r w:rsidRPr="00631582">
              <w:rPr>
                <w:rFonts w:cs="Arial"/>
                <w:bCs/>
                <w:iCs/>
                <w:color w:val="000000"/>
                <w:sz w:val="16"/>
                <w:szCs w:val="16"/>
              </w:rPr>
              <w:t>1,66</w:t>
            </w:r>
          </w:p>
        </w:tc>
        <w:tc>
          <w:tcPr>
            <w:tcW w:w="850" w:type="dxa"/>
            <w:shd w:val="clear" w:color="000000" w:fill="C5D9F1"/>
            <w:noWrap/>
            <w:vAlign w:val="center"/>
            <w:hideMark/>
          </w:tcPr>
          <w:p w:rsidR="00306953" w:rsidRPr="00631582" w:rsidRDefault="00306953" w:rsidP="004C55CD">
            <w:pPr>
              <w:keepNext/>
              <w:spacing w:after="0" w:line="240" w:lineRule="auto"/>
              <w:jc w:val="center"/>
              <w:rPr>
                <w:rFonts w:cs="Arial"/>
                <w:bCs/>
                <w:iCs/>
                <w:color w:val="000000"/>
                <w:sz w:val="16"/>
                <w:szCs w:val="16"/>
              </w:rPr>
            </w:pPr>
            <w:r w:rsidRPr="00631582">
              <w:rPr>
                <w:rFonts w:cs="Arial"/>
                <w:bCs/>
                <w:iCs/>
                <w:color w:val="000000"/>
                <w:sz w:val="16"/>
                <w:szCs w:val="16"/>
              </w:rPr>
              <w:t>24</w:t>
            </w:r>
          </w:p>
        </w:tc>
        <w:tc>
          <w:tcPr>
            <w:tcW w:w="709" w:type="dxa"/>
            <w:shd w:val="clear" w:color="000000" w:fill="C5D9F1"/>
            <w:noWrap/>
            <w:vAlign w:val="center"/>
            <w:hideMark/>
          </w:tcPr>
          <w:p w:rsidR="00306953" w:rsidRPr="00631582" w:rsidRDefault="00306953" w:rsidP="004C55CD">
            <w:pPr>
              <w:keepNext/>
              <w:spacing w:after="0" w:line="240" w:lineRule="auto"/>
              <w:jc w:val="center"/>
              <w:rPr>
                <w:rFonts w:cs="Arial"/>
                <w:bCs/>
                <w:iCs/>
                <w:color w:val="000000"/>
                <w:sz w:val="16"/>
                <w:szCs w:val="16"/>
              </w:rPr>
            </w:pPr>
            <w:r w:rsidRPr="00631582">
              <w:rPr>
                <w:rFonts w:cs="Arial"/>
                <w:bCs/>
                <w:iCs/>
                <w:color w:val="000000"/>
                <w:sz w:val="16"/>
                <w:szCs w:val="16"/>
              </w:rPr>
              <w:t>43</w:t>
            </w:r>
          </w:p>
        </w:tc>
        <w:tc>
          <w:tcPr>
            <w:tcW w:w="709" w:type="dxa"/>
            <w:shd w:val="clear" w:color="000000" w:fill="C5D9F1"/>
            <w:noWrap/>
            <w:vAlign w:val="center"/>
            <w:hideMark/>
          </w:tcPr>
          <w:p w:rsidR="00306953" w:rsidRPr="00631582" w:rsidRDefault="00306953" w:rsidP="004C55CD">
            <w:pPr>
              <w:keepNext/>
              <w:spacing w:after="0" w:line="240" w:lineRule="auto"/>
              <w:jc w:val="center"/>
              <w:rPr>
                <w:rFonts w:cs="Arial"/>
                <w:bCs/>
                <w:iCs/>
                <w:color w:val="000000"/>
                <w:sz w:val="16"/>
                <w:szCs w:val="16"/>
              </w:rPr>
            </w:pPr>
            <w:r w:rsidRPr="00631582">
              <w:rPr>
                <w:rFonts w:cs="Arial"/>
                <w:bCs/>
                <w:iCs/>
                <w:color w:val="000000"/>
                <w:sz w:val="16"/>
                <w:szCs w:val="16"/>
              </w:rPr>
              <w:t>53</w:t>
            </w:r>
          </w:p>
        </w:tc>
        <w:tc>
          <w:tcPr>
            <w:tcW w:w="708" w:type="dxa"/>
            <w:shd w:val="clear" w:color="000000" w:fill="C5D9F1"/>
            <w:noWrap/>
            <w:vAlign w:val="center"/>
            <w:hideMark/>
          </w:tcPr>
          <w:p w:rsidR="00306953" w:rsidRPr="00631582" w:rsidRDefault="00306953" w:rsidP="004C55CD">
            <w:pPr>
              <w:keepNext/>
              <w:spacing w:after="0" w:line="240" w:lineRule="auto"/>
              <w:jc w:val="center"/>
              <w:rPr>
                <w:rFonts w:cs="Arial"/>
                <w:bCs/>
                <w:iCs/>
                <w:color w:val="000000"/>
                <w:sz w:val="16"/>
                <w:szCs w:val="16"/>
              </w:rPr>
            </w:pPr>
            <w:r w:rsidRPr="00631582">
              <w:rPr>
                <w:rFonts w:cs="Arial"/>
                <w:bCs/>
                <w:iCs/>
                <w:color w:val="000000"/>
                <w:sz w:val="16"/>
                <w:szCs w:val="16"/>
              </w:rPr>
              <w:t>63</w:t>
            </w:r>
          </w:p>
        </w:tc>
        <w:tc>
          <w:tcPr>
            <w:tcW w:w="960" w:type="dxa"/>
            <w:shd w:val="clear" w:color="000000" w:fill="C5D9F1"/>
            <w:noWrap/>
            <w:vAlign w:val="center"/>
            <w:hideMark/>
          </w:tcPr>
          <w:p w:rsidR="00306953" w:rsidRPr="00631582" w:rsidRDefault="00306953" w:rsidP="004C55CD">
            <w:pPr>
              <w:keepNext/>
              <w:spacing w:after="0" w:line="240" w:lineRule="auto"/>
              <w:jc w:val="center"/>
              <w:rPr>
                <w:rFonts w:cs="Arial"/>
                <w:bCs/>
                <w:iCs/>
                <w:color w:val="000000"/>
                <w:sz w:val="16"/>
                <w:szCs w:val="16"/>
              </w:rPr>
            </w:pPr>
            <w:r w:rsidRPr="00631582">
              <w:rPr>
                <w:rFonts w:cs="Arial"/>
                <w:bCs/>
                <w:iCs/>
                <w:color w:val="000000"/>
                <w:sz w:val="16"/>
                <w:szCs w:val="16"/>
              </w:rPr>
              <w:t>71</w:t>
            </w:r>
          </w:p>
        </w:tc>
        <w:tc>
          <w:tcPr>
            <w:tcW w:w="1308" w:type="dxa"/>
            <w:shd w:val="clear" w:color="000000" w:fill="C5D9F1"/>
            <w:noWrap/>
            <w:vAlign w:val="center"/>
            <w:hideMark/>
          </w:tcPr>
          <w:p w:rsidR="00306953" w:rsidRPr="00631582" w:rsidRDefault="00306953" w:rsidP="004C55CD">
            <w:pPr>
              <w:keepNext/>
              <w:spacing w:after="0" w:line="240" w:lineRule="auto"/>
              <w:jc w:val="center"/>
              <w:rPr>
                <w:rFonts w:cs="Arial"/>
                <w:bCs/>
                <w:iCs/>
                <w:color w:val="000000"/>
                <w:sz w:val="16"/>
                <w:szCs w:val="16"/>
              </w:rPr>
            </w:pPr>
            <w:r w:rsidRPr="00631582">
              <w:rPr>
                <w:rFonts w:cs="Arial"/>
                <w:bCs/>
                <w:iCs/>
                <w:color w:val="000000"/>
                <w:sz w:val="16"/>
                <w:szCs w:val="16"/>
              </w:rPr>
              <w:t>1,32</w:t>
            </w:r>
          </w:p>
        </w:tc>
      </w:tr>
      <w:tr w:rsidR="00306953" w:rsidRPr="00442515" w:rsidTr="00C83419">
        <w:trPr>
          <w:trHeight w:val="300"/>
        </w:trPr>
        <w:tc>
          <w:tcPr>
            <w:tcW w:w="1400" w:type="dxa"/>
            <w:shd w:val="clear" w:color="000000" w:fill="C5D9F1"/>
            <w:noWrap/>
            <w:vAlign w:val="center"/>
            <w:hideMark/>
          </w:tcPr>
          <w:p w:rsidR="00306953" w:rsidRPr="00631582" w:rsidRDefault="006B426D" w:rsidP="004C55CD">
            <w:pPr>
              <w:spacing w:after="0" w:line="240" w:lineRule="auto"/>
              <w:rPr>
                <w:rFonts w:cs="Arial"/>
                <w:bCs/>
                <w:iCs/>
                <w:color w:val="000000"/>
                <w:sz w:val="16"/>
                <w:szCs w:val="16"/>
              </w:rPr>
            </w:pPr>
            <w:r w:rsidRPr="00631582">
              <w:rPr>
                <w:rFonts w:cs="Arial"/>
                <w:bCs/>
                <w:iCs/>
                <w:color w:val="000000"/>
                <w:sz w:val="16"/>
                <w:szCs w:val="16"/>
              </w:rPr>
              <w:t>p</w:t>
            </w:r>
            <w:r w:rsidR="00306953" w:rsidRPr="00631582">
              <w:rPr>
                <w:rFonts w:cs="Arial"/>
                <w:bCs/>
                <w:iCs/>
                <w:color w:val="000000"/>
                <w:sz w:val="16"/>
                <w:szCs w:val="16"/>
              </w:rPr>
              <w:t>růměr EU21</w:t>
            </w:r>
          </w:p>
        </w:tc>
        <w:tc>
          <w:tcPr>
            <w:tcW w:w="742" w:type="dxa"/>
            <w:shd w:val="clear" w:color="000000" w:fill="C5D9F1"/>
            <w:noWrap/>
            <w:vAlign w:val="center"/>
            <w:hideMark/>
          </w:tcPr>
          <w:p w:rsidR="00306953" w:rsidRPr="00631582" w:rsidRDefault="00306953" w:rsidP="004C55CD">
            <w:pPr>
              <w:spacing w:after="0" w:line="240" w:lineRule="auto"/>
              <w:jc w:val="center"/>
              <w:rPr>
                <w:rFonts w:cs="Arial"/>
                <w:bCs/>
                <w:iCs/>
                <w:color w:val="000000"/>
                <w:sz w:val="16"/>
                <w:szCs w:val="16"/>
              </w:rPr>
            </w:pPr>
            <w:r w:rsidRPr="00631582">
              <w:rPr>
                <w:rFonts w:cs="Arial"/>
                <w:bCs/>
                <w:iCs/>
                <w:color w:val="000000"/>
                <w:sz w:val="16"/>
                <w:szCs w:val="16"/>
              </w:rPr>
              <w:t>1,56</w:t>
            </w:r>
          </w:p>
        </w:tc>
        <w:tc>
          <w:tcPr>
            <w:tcW w:w="708" w:type="dxa"/>
            <w:shd w:val="clear" w:color="000000" w:fill="C5D9F1"/>
            <w:noWrap/>
            <w:vAlign w:val="center"/>
            <w:hideMark/>
          </w:tcPr>
          <w:p w:rsidR="00306953" w:rsidRPr="00631582" w:rsidRDefault="00306953" w:rsidP="004C55CD">
            <w:pPr>
              <w:spacing w:after="0" w:line="240" w:lineRule="auto"/>
              <w:jc w:val="center"/>
              <w:rPr>
                <w:rFonts w:cs="Arial"/>
                <w:bCs/>
                <w:iCs/>
                <w:color w:val="000000"/>
                <w:sz w:val="16"/>
                <w:szCs w:val="16"/>
              </w:rPr>
            </w:pPr>
            <w:r w:rsidRPr="00631582">
              <w:rPr>
                <w:rFonts w:cs="Arial"/>
                <w:bCs/>
                <w:iCs/>
                <w:color w:val="000000"/>
                <w:sz w:val="16"/>
                <w:szCs w:val="16"/>
              </w:rPr>
              <w:t>1,59</w:t>
            </w:r>
          </w:p>
        </w:tc>
        <w:tc>
          <w:tcPr>
            <w:tcW w:w="851" w:type="dxa"/>
            <w:shd w:val="clear" w:color="000000" w:fill="C5D9F1"/>
            <w:noWrap/>
            <w:vAlign w:val="center"/>
            <w:hideMark/>
          </w:tcPr>
          <w:p w:rsidR="00306953" w:rsidRPr="00631582" w:rsidRDefault="00306953" w:rsidP="004C55CD">
            <w:pPr>
              <w:spacing w:after="0" w:line="240" w:lineRule="auto"/>
              <w:jc w:val="center"/>
              <w:rPr>
                <w:rFonts w:cs="Arial"/>
                <w:bCs/>
                <w:iCs/>
                <w:color w:val="000000"/>
                <w:sz w:val="16"/>
                <w:szCs w:val="16"/>
              </w:rPr>
            </w:pPr>
            <w:r w:rsidRPr="00631582">
              <w:rPr>
                <w:rFonts w:cs="Arial"/>
                <w:bCs/>
                <w:iCs/>
                <w:color w:val="000000"/>
                <w:sz w:val="16"/>
                <w:szCs w:val="16"/>
              </w:rPr>
              <w:t>1,60</w:t>
            </w:r>
          </w:p>
        </w:tc>
        <w:tc>
          <w:tcPr>
            <w:tcW w:w="709" w:type="dxa"/>
            <w:shd w:val="clear" w:color="000000" w:fill="C5D9F1"/>
            <w:noWrap/>
            <w:vAlign w:val="center"/>
            <w:hideMark/>
          </w:tcPr>
          <w:p w:rsidR="00306953" w:rsidRPr="00631582" w:rsidRDefault="00306953" w:rsidP="004C55CD">
            <w:pPr>
              <w:spacing w:after="0" w:line="240" w:lineRule="auto"/>
              <w:jc w:val="center"/>
              <w:rPr>
                <w:rFonts w:cs="Arial"/>
                <w:bCs/>
                <w:iCs/>
                <w:color w:val="000000"/>
                <w:sz w:val="16"/>
                <w:szCs w:val="16"/>
              </w:rPr>
            </w:pPr>
            <w:r w:rsidRPr="00631582">
              <w:rPr>
                <w:rFonts w:cs="Arial"/>
                <w:bCs/>
                <w:iCs/>
                <w:color w:val="000000"/>
                <w:sz w:val="16"/>
                <w:szCs w:val="16"/>
              </w:rPr>
              <w:t>1,62</w:t>
            </w:r>
          </w:p>
        </w:tc>
        <w:tc>
          <w:tcPr>
            <w:tcW w:w="850" w:type="dxa"/>
            <w:shd w:val="clear" w:color="000000" w:fill="C5D9F1"/>
            <w:noWrap/>
            <w:vAlign w:val="center"/>
            <w:hideMark/>
          </w:tcPr>
          <w:p w:rsidR="00306953" w:rsidRPr="00631582" w:rsidRDefault="00306953" w:rsidP="004C55CD">
            <w:pPr>
              <w:spacing w:after="0" w:line="240" w:lineRule="auto"/>
              <w:jc w:val="center"/>
              <w:rPr>
                <w:rFonts w:cs="Arial"/>
                <w:bCs/>
                <w:iCs/>
                <w:color w:val="000000"/>
                <w:sz w:val="16"/>
                <w:szCs w:val="16"/>
              </w:rPr>
            </w:pPr>
            <w:r w:rsidRPr="00631582">
              <w:rPr>
                <w:rFonts w:cs="Arial"/>
                <w:bCs/>
                <w:iCs/>
                <w:color w:val="000000"/>
                <w:sz w:val="16"/>
                <w:szCs w:val="16"/>
              </w:rPr>
              <w:t>26</w:t>
            </w:r>
          </w:p>
        </w:tc>
        <w:tc>
          <w:tcPr>
            <w:tcW w:w="709" w:type="dxa"/>
            <w:shd w:val="clear" w:color="000000" w:fill="C5D9F1"/>
            <w:noWrap/>
            <w:vAlign w:val="center"/>
            <w:hideMark/>
          </w:tcPr>
          <w:p w:rsidR="00306953" w:rsidRPr="00631582" w:rsidRDefault="00306953" w:rsidP="004C55CD">
            <w:pPr>
              <w:spacing w:after="0" w:line="240" w:lineRule="auto"/>
              <w:jc w:val="center"/>
              <w:rPr>
                <w:rFonts w:cs="Arial"/>
                <w:bCs/>
                <w:iCs/>
                <w:color w:val="000000"/>
                <w:sz w:val="16"/>
                <w:szCs w:val="16"/>
              </w:rPr>
            </w:pPr>
            <w:r w:rsidRPr="00631582">
              <w:rPr>
                <w:rFonts w:cs="Arial"/>
                <w:bCs/>
                <w:iCs/>
                <w:color w:val="000000"/>
                <w:sz w:val="16"/>
                <w:szCs w:val="16"/>
              </w:rPr>
              <w:t>44</w:t>
            </w:r>
          </w:p>
        </w:tc>
        <w:tc>
          <w:tcPr>
            <w:tcW w:w="709" w:type="dxa"/>
            <w:shd w:val="clear" w:color="000000" w:fill="C5D9F1"/>
            <w:noWrap/>
            <w:vAlign w:val="center"/>
            <w:hideMark/>
          </w:tcPr>
          <w:p w:rsidR="00306953" w:rsidRPr="00631582" w:rsidRDefault="00306953" w:rsidP="004C55CD">
            <w:pPr>
              <w:spacing w:after="0" w:line="240" w:lineRule="auto"/>
              <w:jc w:val="center"/>
              <w:rPr>
                <w:rFonts w:cs="Arial"/>
                <w:bCs/>
                <w:iCs/>
                <w:color w:val="000000"/>
                <w:sz w:val="16"/>
                <w:szCs w:val="16"/>
              </w:rPr>
            </w:pPr>
            <w:r w:rsidRPr="00631582">
              <w:rPr>
                <w:rFonts w:cs="Arial"/>
                <w:bCs/>
                <w:iCs/>
                <w:color w:val="000000"/>
                <w:sz w:val="16"/>
                <w:szCs w:val="16"/>
              </w:rPr>
              <w:t>54</w:t>
            </w:r>
          </w:p>
        </w:tc>
        <w:tc>
          <w:tcPr>
            <w:tcW w:w="708" w:type="dxa"/>
            <w:shd w:val="clear" w:color="000000" w:fill="C5D9F1"/>
            <w:noWrap/>
            <w:vAlign w:val="center"/>
            <w:hideMark/>
          </w:tcPr>
          <w:p w:rsidR="00306953" w:rsidRPr="00631582" w:rsidRDefault="00306953" w:rsidP="004C55CD">
            <w:pPr>
              <w:spacing w:after="0" w:line="240" w:lineRule="auto"/>
              <w:jc w:val="center"/>
              <w:rPr>
                <w:rFonts w:cs="Arial"/>
                <w:bCs/>
                <w:iCs/>
                <w:color w:val="000000"/>
                <w:sz w:val="16"/>
                <w:szCs w:val="16"/>
              </w:rPr>
            </w:pPr>
            <w:r w:rsidRPr="00631582">
              <w:rPr>
                <w:rFonts w:cs="Arial"/>
                <w:bCs/>
                <w:iCs/>
                <w:color w:val="000000"/>
                <w:sz w:val="16"/>
                <w:szCs w:val="16"/>
              </w:rPr>
              <w:t>64</w:t>
            </w:r>
          </w:p>
        </w:tc>
        <w:tc>
          <w:tcPr>
            <w:tcW w:w="960" w:type="dxa"/>
            <w:shd w:val="clear" w:color="000000" w:fill="C5D9F1"/>
            <w:noWrap/>
            <w:vAlign w:val="center"/>
            <w:hideMark/>
          </w:tcPr>
          <w:p w:rsidR="00306953" w:rsidRPr="00631582" w:rsidRDefault="00306953" w:rsidP="004C55CD">
            <w:pPr>
              <w:spacing w:after="0" w:line="240" w:lineRule="auto"/>
              <w:jc w:val="center"/>
              <w:rPr>
                <w:rFonts w:cs="Arial"/>
                <w:bCs/>
                <w:iCs/>
                <w:color w:val="000000"/>
                <w:sz w:val="16"/>
                <w:szCs w:val="16"/>
              </w:rPr>
            </w:pPr>
            <w:r w:rsidRPr="00631582">
              <w:rPr>
                <w:rFonts w:cs="Arial"/>
                <w:bCs/>
                <w:iCs/>
                <w:color w:val="000000"/>
                <w:sz w:val="16"/>
                <w:szCs w:val="16"/>
              </w:rPr>
              <w:t>72</w:t>
            </w:r>
          </w:p>
        </w:tc>
        <w:tc>
          <w:tcPr>
            <w:tcW w:w="1308" w:type="dxa"/>
            <w:shd w:val="clear" w:color="000000" w:fill="C5D9F1"/>
            <w:noWrap/>
            <w:vAlign w:val="center"/>
            <w:hideMark/>
          </w:tcPr>
          <w:p w:rsidR="00306953" w:rsidRPr="00631582" w:rsidRDefault="00306953" w:rsidP="004C55CD">
            <w:pPr>
              <w:spacing w:after="0" w:line="240" w:lineRule="auto"/>
              <w:jc w:val="center"/>
              <w:rPr>
                <w:rFonts w:cs="Arial"/>
                <w:bCs/>
                <w:iCs/>
                <w:color w:val="000000"/>
                <w:sz w:val="16"/>
                <w:szCs w:val="16"/>
              </w:rPr>
            </w:pPr>
            <w:r w:rsidRPr="00631582">
              <w:rPr>
                <w:rFonts w:cs="Arial"/>
                <w:bCs/>
                <w:iCs/>
                <w:color w:val="000000"/>
                <w:sz w:val="16"/>
                <w:szCs w:val="16"/>
              </w:rPr>
              <w:t>1,34</w:t>
            </w:r>
          </w:p>
        </w:tc>
      </w:tr>
    </w:tbl>
    <w:p w:rsidR="00306953" w:rsidRPr="00442515" w:rsidRDefault="00306953" w:rsidP="00E031F1">
      <w:pPr>
        <w:spacing w:before="120" w:after="0" w:line="240" w:lineRule="auto"/>
        <w:jc w:val="both"/>
        <w:rPr>
          <w:rFonts w:eastAsia="ChaparralPro-Regular" w:cs="Arial"/>
          <w:sz w:val="16"/>
          <w:szCs w:val="16"/>
        </w:rPr>
      </w:pPr>
      <w:r w:rsidRPr="00442515">
        <w:rPr>
          <w:rFonts w:eastAsia="ChaparralPro-Regular" w:cs="Arial"/>
          <w:b/>
          <w:sz w:val="16"/>
          <w:szCs w:val="16"/>
        </w:rPr>
        <w:t>.</w:t>
      </w:r>
      <w:r w:rsidRPr="00442515">
        <w:rPr>
          <w:rFonts w:eastAsia="ChaparralPro-Regular" w:cs="Arial"/>
          <w:sz w:val="16"/>
          <w:szCs w:val="16"/>
        </w:rPr>
        <w:t xml:space="preserve">   …. Uvedený údaj není k dispozici.</w:t>
      </w:r>
    </w:p>
    <w:p w:rsidR="00306953" w:rsidRPr="00442515" w:rsidRDefault="000A711C" w:rsidP="000A711C">
      <w:pPr>
        <w:spacing w:after="0" w:line="240" w:lineRule="auto"/>
        <w:jc w:val="both"/>
        <w:rPr>
          <w:rFonts w:eastAsia="ChaparralPro-Regular" w:cs="Arial"/>
          <w:sz w:val="16"/>
          <w:szCs w:val="16"/>
        </w:rPr>
      </w:pPr>
      <w:r w:rsidRPr="000A711C">
        <w:rPr>
          <w:rFonts w:eastAsia="ChaparralPro-Regular" w:cs="Arial"/>
          <w:sz w:val="16"/>
          <w:szCs w:val="16"/>
          <w:vertAlign w:val="superscript"/>
        </w:rPr>
        <w:t>1)</w:t>
      </w:r>
      <w:r w:rsidR="00306953" w:rsidRPr="00442515">
        <w:rPr>
          <w:rFonts w:eastAsia="ChaparralPro-Regular" w:cs="Arial"/>
          <w:sz w:val="16"/>
          <w:szCs w:val="16"/>
        </w:rPr>
        <w:t> </w:t>
      </w:r>
      <w:r>
        <w:rPr>
          <w:rFonts w:eastAsia="ChaparralPro-Regular" w:cs="Arial"/>
          <w:sz w:val="16"/>
          <w:szCs w:val="16"/>
        </w:rPr>
        <w:t xml:space="preserve">V </w:t>
      </w:r>
      <w:r w:rsidR="00306953" w:rsidRPr="00442515">
        <w:rPr>
          <w:rFonts w:eastAsia="ChaparralPro-Regular" w:cs="Arial"/>
          <w:sz w:val="16"/>
          <w:szCs w:val="16"/>
        </w:rPr>
        <w:t xml:space="preserve">rámci preprimárního vzdělávání ve Finsku jsou v této tabulce zohledněni pouze učitelé mateřských škol a v Rakousku učitelé škol poskytujících primární vzdělávání, kteří vyučují ve třídách preprimárního vzdělávání.  </w:t>
      </w:r>
    </w:p>
    <w:p w:rsidR="00306953" w:rsidRPr="00442515" w:rsidRDefault="00EA4FF7" w:rsidP="00306953">
      <w:pPr>
        <w:spacing w:after="0" w:line="240" w:lineRule="auto"/>
        <w:jc w:val="both"/>
        <w:rPr>
          <w:rFonts w:eastAsia="ChaparralPro-Regular" w:cs="Arial"/>
          <w:sz w:val="16"/>
          <w:szCs w:val="16"/>
        </w:rPr>
      </w:pPr>
      <w:r>
        <w:rPr>
          <w:rFonts w:eastAsia="ChaparralPro-Regular" w:cs="Arial"/>
          <w:sz w:val="16"/>
          <w:szCs w:val="16"/>
        </w:rPr>
        <w:t>Pozn.</w:t>
      </w:r>
      <w:r w:rsidR="00306953" w:rsidRPr="00442515">
        <w:rPr>
          <w:rFonts w:eastAsia="ChaparralPro-Regular" w:cs="Arial"/>
          <w:sz w:val="16"/>
          <w:szCs w:val="16"/>
        </w:rPr>
        <w:t xml:space="preserve">: Rozdíly v hodinové sazbě učitele primárního vzdělávání a nižšího sekundárního vzdělávání v ČR jsou dány též odlišnými propočty v souladu s metodikou OECD. Do hodin vyučovací praxe se počítá doba, kdy se učitel věnuje žákům, při čemž u primárního vzdělávání se započítávají též přestávky, kdy má učitel nad dětmi dozor, zatímco u nižšího sekundárního vzdělávání se započítává pouze čistý čas výuky (doba vyučovací hodiny je 45 minut). </w:t>
      </w:r>
    </w:p>
    <w:p w:rsidR="00306953" w:rsidRPr="00442515" w:rsidRDefault="00306953" w:rsidP="00306953">
      <w:pPr>
        <w:spacing w:after="0" w:line="240" w:lineRule="auto"/>
        <w:jc w:val="both"/>
        <w:rPr>
          <w:rFonts w:eastAsia="ChaparralPro-Regular" w:cs="Arial"/>
          <w:sz w:val="16"/>
          <w:szCs w:val="16"/>
        </w:rPr>
      </w:pPr>
      <w:r w:rsidRPr="00442515">
        <w:rPr>
          <w:rFonts w:eastAsia="ChaparralPro-Regular" w:cs="Arial"/>
          <w:sz w:val="16"/>
          <w:szCs w:val="16"/>
        </w:rPr>
        <w:t xml:space="preserve">Zdroj: OECD 2015, tabulka D 3.3a, sledováno vzdělávání všeobecného zaměření. </w:t>
      </w:r>
    </w:p>
    <w:p w:rsidR="00306953" w:rsidRPr="00442515" w:rsidRDefault="00306953" w:rsidP="00306953">
      <w:pPr>
        <w:spacing w:after="0" w:line="240" w:lineRule="auto"/>
        <w:jc w:val="both"/>
        <w:rPr>
          <w:rFonts w:eastAsia="ChaparralPro-Regular" w:cs="Arial"/>
          <w:sz w:val="16"/>
          <w:szCs w:val="16"/>
        </w:rPr>
      </w:pPr>
      <w:r w:rsidRPr="00442515">
        <w:rPr>
          <w:rFonts w:eastAsia="ChaparralPro-Regular" w:cs="Arial"/>
          <w:sz w:val="16"/>
          <w:szCs w:val="16"/>
        </w:rPr>
        <w:t xml:space="preserve">StatLink: </w:t>
      </w:r>
      <w:hyperlink r:id="rId131" w:history="1">
        <w:r w:rsidRPr="00442515">
          <w:rPr>
            <w:rStyle w:val="Hypertextovodkaz"/>
            <w:rFonts w:cs="Arial"/>
            <w:sz w:val="16"/>
            <w:szCs w:val="16"/>
          </w:rPr>
          <w:t>http://dx.doi.org/10.1787/888933286208</w:t>
        </w:r>
      </w:hyperlink>
      <w:r w:rsidRPr="00442515">
        <w:rPr>
          <w:rFonts w:cs="Arial"/>
          <w:color w:val="231F20"/>
          <w:sz w:val="16"/>
          <w:szCs w:val="16"/>
        </w:rPr>
        <w:t xml:space="preserve">, </w:t>
      </w:r>
      <w:r w:rsidRPr="00442515">
        <w:rPr>
          <w:rFonts w:eastAsia="ChaparralPro-Regular" w:cs="Arial"/>
          <w:sz w:val="16"/>
          <w:szCs w:val="16"/>
        </w:rPr>
        <w:t>výběr údajů ČSÚ.</w:t>
      </w:r>
    </w:p>
    <w:p w:rsidR="00306953" w:rsidRPr="00306953" w:rsidRDefault="00306953" w:rsidP="00306953">
      <w:pPr>
        <w:spacing w:after="0" w:line="240" w:lineRule="auto"/>
        <w:jc w:val="both"/>
        <w:rPr>
          <w:rFonts w:eastAsia="ChaparralPro-Regular" w:cs="Arial"/>
        </w:rPr>
      </w:pPr>
    </w:p>
    <w:p w:rsidR="00306953" w:rsidRPr="00442515" w:rsidRDefault="00306953" w:rsidP="00306953">
      <w:pPr>
        <w:pStyle w:val="Default"/>
        <w:spacing w:after="120"/>
        <w:jc w:val="both"/>
        <w:rPr>
          <w:rFonts w:ascii="Arial" w:eastAsia="ChaparralPro-Regular" w:hAnsi="Arial" w:cs="Arial"/>
          <w:sz w:val="20"/>
          <w:szCs w:val="20"/>
        </w:rPr>
      </w:pPr>
      <w:r w:rsidRPr="00442515">
        <w:rPr>
          <w:rFonts w:ascii="Arial" w:eastAsia="ChaparralPro-Regular" w:hAnsi="Arial" w:cs="Arial"/>
          <w:sz w:val="20"/>
          <w:szCs w:val="20"/>
        </w:rPr>
        <w:t xml:space="preserve">Při interpretaci dalších údajů v tabulce č. 29 je třeba si uvědomit, že učitelé působící na vyšší sekundární úrovni vzdělávání obvykle mají za povinnost odučit méně hodin než učitelé v primárním vzdělávání. Tím je zpravidla hodina odučená učiteli vyššího sekundárního vzdělávání nákladnější, a to i v zemích, kde se standardní platy učitelů příliš neliší. Jak je z tabulky zřejmé, </w:t>
      </w:r>
      <w:r w:rsidRPr="00442515">
        <w:rPr>
          <w:rFonts w:ascii="Arial" w:eastAsia="ChaparralPro-Regular" w:hAnsi="Arial" w:cs="Arial"/>
          <w:b/>
          <w:sz w:val="20"/>
          <w:szCs w:val="20"/>
        </w:rPr>
        <w:t>ve všech uvedených zemích i v mezinárodních průměrech</w:t>
      </w:r>
      <w:r w:rsidRPr="00442515">
        <w:rPr>
          <w:rFonts w:ascii="Arial" w:eastAsia="ChaparralPro-Regular" w:hAnsi="Arial" w:cs="Arial"/>
          <w:sz w:val="20"/>
          <w:szCs w:val="20"/>
        </w:rPr>
        <w:t xml:space="preserve"> byl v roce 2013 plat učitele ve </w:t>
      </w:r>
      <w:r w:rsidRPr="00442515">
        <w:rPr>
          <w:rFonts w:ascii="Arial" w:eastAsia="ChaparralPro-Regular" w:hAnsi="Arial" w:cs="Arial"/>
          <w:b/>
          <w:sz w:val="20"/>
          <w:szCs w:val="20"/>
        </w:rPr>
        <w:t>vyšším sekundárním vzdělávání</w:t>
      </w:r>
      <w:r w:rsidRPr="00442515">
        <w:rPr>
          <w:rFonts w:ascii="Arial" w:eastAsia="ChaparralPro-Regular" w:hAnsi="Arial" w:cs="Arial"/>
          <w:sz w:val="20"/>
          <w:szCs w:val="20"/>
        </w:rPr>
        <w:t xml:space="preserve"> s patnáctiletou praxí v oboru na</w:t>
      </w:r>
      <w:r w:rsidRPr="00442515">
        <w:rPr>
          <w:rFonts w:ascii="Arial" w:eastAsia="ChaparralPro-Regular" w:hAnsi="Arial" w:cs="Arial"/>
          <w:b/>
          <w:sz w:val="20"/>
          <w:szCs w:val="20"/>
        </w:rPr>
        <w:t xml:space="preserve"> </w:t>
      </w:r>
      <w:r w:rsidRPr="00442515">
        <w:rPr>
          <w:rFonts w:ascii="Arial" w:eastAsia="ChaparralPro-Regular" w:hAnsi="Arial" w:cs="Arial"/>
          <w:sz w:val="20"/>
          <w:szCs w:val="20"/>
        </w:rPr>
        <w:t>jednu hodinu vyučovací praxe</w:t>
      </w:r>
      <w:r w:rsidRPr="00442515">
        <w:rPr>
          <w:rFonts w:ascii="Arial" w:eastAsia="ChaparralPro-Regular" w:hAnsi="Arial" w:cs="Arial"/>
          <w:b/>
          <w:sz w:val="20"/>
          <w:szCs w:val="20"/>
        </w:rPr>
        <w:t xml:space="preserve"> vyšší než</w:t>
      </w:r>
      <w:r w:rsidRPr="00442515">
        <w:rPr>
          <w:rFonts w:ascii="Arial" w:eastAsia="ChaparralPro-Regular" w:hAnsi="Arial" w:cs="Arial"/>
          <w:sz w:val="20"/>
          <w:szCs w:val="20"/>
        </w:rPr>
        <w:t xml:space="preserve"> </w:t>
      </w:r>
      <w:r w:rsidRPr="00442515">
        <w:rPr>
          <w:rFonts w:ascii="Arial" w:eastAsia="ChaparralPro-Regular" w:hAnsi="Arial" w:cs="Arial"/>
          <w:b/>
          <w:sz w:val="20"/>
          <w:szCs w:val="20"/>
        </w:rPr>
        <w:t>plat učitele v primárním vzdělávání</w:t>
      </w:r>
      <w:r w:rsidRPr="00442515">
        <w:rPr>
          <w:rFonts w:ascii="Arial" w:eastAsia="ChaparralPro-Regular" w:hAnsi="Arial" w:cs="Arial"/>
          <w:sz w:val="20"/>
          <w:szCs w:val="20"/>
        </w:rPr>
        <w:t xml:space="preserve"> s patnáctiletou praxí v oboru</w:t>
      </w:r>
      <w:r w:rsidRPr="00442515">
        <w:rPr>
          <w:rFonts w:ascii="Arial" w:hAnsi="Arial" w:cs="Arial"/>
          <w:sz w:val="20"/>
          <w:szCs w:val="20"/>
        </w:rPr>
        <w:t xml:space="preserve"> </w:t>
      </w:r>
      <w:r w:rsidRPr="00442515">
        <w:rPr>
          <w:rFonts w:ascii="Arial" w:eastAsia="ChaparralPro-Regular" w:hAnsi="Arial" w:cs="Arial"/>
          <w:sz w:val="20"/>
          <w:szCs w:val="20"/>
        </w:rPr>
        <w:t>na jednu hodinu vyučovací praxe (u nás o dvě pětiny hodinové mzdy učitele v primárním vzdělávání, na Slovensku a v mezinárodních prům</w:t>
      </w:r>
      <w:r w:rsidR="00E52654">
        <w:rPr>
          <w:rFonts w:ascii="Arial" w:eastAsia="ChaparralPro-Regular" w:hAnsi="Arial" w:cs="Arial"/>
          <w:sz w:val="20"/>
          <w:szCs w:val="20"/>
        </w:rPr>
        <w:t>ěrech o třetinu, v Polsku o </w:t>
      </w:r>
      <w:r w:rsidRPr="00442515">
        <w:rPr>
          <w:rFonts w:ascii="Arial" w:eastAsia="ChaparralPro-Regular" w:hAnsi="Arial" w:cs="Arial"/>
          <w:sz w:val="20"/>
          <w:szCs w:val="20"/>
        </w:rPr>
        <w:t xml:space="preserve">pětinu a v Estonsku o desetinu; ve Finsku a Rakousku je tento rozdíl ještě výraznější než u nás). Tabulka č. 29 také ukazuje, že v ČR byl podíl platu </w:t>
      </w:r>
      <w:r w:rsidRPr="00442515">
        <w:rPr>
          <w:rFonts w:ascii="Arial" w:eastAsia="ChaparralPro-Regular" w:hAnsi="Arial" w:cs="Arial"/>
          <w:b/>
          <w:sz w:val="20"/>
          <w:szCs w:val="20"/>
        </w:rPr>
        <w:t>učitele na vrcholu platového žebříčku vůči platu začínajícího učitele</w:t>
      </w:r>
      <w:r w:rsidRPr="00442515">
        <w:rPr>
          <w:rFonts w:ascii="Arial" w:eastAsia="ChaparralPro-Regular" w:hAnsi="Arial" w:cs="Arial"/>
          <w:sz w:val="20"/>
          <w:szCs w:val="20"/>
        </w:rPr>
        <w:t xml:space="preserve"> ve všech sledovaných úrovních vzdělávání </w:t>
      </w:r>
      <w:r w:rsidRPr="00442515">
        <w:rPr>
          <w:rFonts w:ascii="Arial" w:eastAsia="ChaparralPro-Regular" w:hAnsi="Arial" w:cs="Arial"/>
          <w:b/>
          <w:sz w:val="20"/>
          <w:szCs w:val="20"/>
        </w:rPr>
        <w:t>značně podprůměrný</w:t>
      </w:r>
      <w:r w:rsidRPr="00442515">
        <w:rPr>
          <w:rFonts w:ascii="Arial" w:eastAsia="ChaparralPro-Regular" w:hAnsi="Arial" w:cs="Arial"/>
          <w:sz w:val="20"/>
          <w:szCs w:val="20"/>
        </w:rPr>
        <w:t xml:space="preserve"> a nižší než na sousedním Slovensku a ještě výrazněji nižší než v sousedním Polsku a zejména Rakousku. Od Finska a Estonska se ČR v tomto ohledu odlišovala již méně výrazně.</w:t>
      </w:r>
    </w:p>
    <w:p w:rsidR="00306953" w:rsidRPr="00442515" w:rsidRDefault="00306953" w:rsidP="003B77B9">
      <w:pPr>
        <w:pStyle w:val="Default"/>
        <w:spacing w:after="120"/>
        <w:jc w:val="both"/>
        <w:rPr>
          <w:rFonts w:ascii="Arial" w:eastAsia="ChaparralPro-Regular" w:hAnsi="Arial" w:cs="Arial"/>
          <w:color w:val="auto"/>
          <w:sz w:val="20"/>
          <w:szCs w:val="20"/>
        </w:rPr>
      </w:pPr>
      <w:r w:rsidRPr="00442515">
        <w:rPr>
          <w:rFonts w:ascii="Arial" w:eastAsia="ChaparralPro-Regular" w:hAnsi="Arial" w:cs="Arial"/>
          <w:sz w:val="20"/>
          <w:szCs w:val="20"/>
        </w:rPr>
        <w:t xml:space="preserve">K uvedeným poznatkům lze doplnit, že podle údajů zveřejněných v publikaci Education at a Glance (OECD, 2015) </w:t>
      </w:r>
      <w:r w:rsidRPr="00442515">
        <w:rPr>
          <w:rFonts w:ascii="Arial" w:eastAsia="ChaparralPro-Regular" w:hAnsi="Arial" w:cs="Arial"/>
          <w:b/>
          <w:sz w:val="20"/>
          <w:szCs w:val="20"/>
        </w:rPr>
        <w:t>patřila ČR v roce 2013 mezi země s podprůměrným rozdílem mezi platy začínajících učitelů s typicky požadovaným vzděláním a nejzkušenějších učitelů na vrcholu platového žebříčku a</w:t>
      </w:r>
      <w:r w:rsidR="00E52654">
        <w:rPr>
          <w:rFonts w:ascii="Arial" w:eastAsia="ChaparralPro-Regular" w:hAnsi="Arial" w:cs="Arial"/>
          <w:b/>
          <w:sz w:val="20"/>
          <w:szCs w:val="20"/>
        </w:rPr>
        <w:t> </w:t>
      </w:r>
      <w:r w:rsidRPr="00442515">
        <w:rPr>
          <w:rFonts w:ascii="Arial" w:eastAsia="ChaparralPro-Regular" w:hAnsi="Arial" w:cs="Arial"/>
          <w:b/>
          <w:sz w:val="20"/>
          <w:szCs w:val="20"/>
        </w:rPr>
        <w:t>s maximálním dosaženým vzděláním působících na úrovni nižšího sekundárního vzdělávání</w:t>
      </w:r>
      <w:r w:rsidR="003B77B9">
        <w:rPr>
          <w:rFonts w:ascii="Arial" w:eastAsia="ChaparralPro-Regular" w:hAnsi="Arial" w:cs="Arial"/>
          <w:sz w:val="20"/>
          <w:szCs w:val="20"/>
        </w:rPr>
        <w:t>. Jak uvádí tabulka č. 30, z</w:t>
      </w:r>
      <w:r w:rsidRPr="00442515">
        <w:rPr>
          <w:rFonts w:ascii="Arial" w:eastAsia="ChaparralPro-Regular" w:hAnsi="Arial" w:cs="Arial"/>
          <w:sz w:val="20"/>
          <w:szCs w:val="20"/>
        </w:rPr>
        <w:t>ačínající učitelé s klasicky požadovaným vzděláním dosahovali v ČR</w:t>
      </w:r>
      <w:r w:rsidR="00E52654">
        <w:rPr>
          <w:rFonts w:ascii="Arial" w:eastAsia="ChaparralPro-Regular" w:hAnsi="Arial" w:cs="Arial"/>
          <w:sz w:val="20"/>
          <w:szCs w:val="20"/>
        </w:rPr>
        <w:t xml:space="preserve"> 69,2 % platu nejzkušenějších a </w:t>
      </w:r>
      <w:r w:rsidRPr="00442515">
        <w:rPr>
          <w:rFonts w:ascii="Arial" w:eastAsia="ChaparralPro-Regular" w:hAnsi="Arial" w:cs="Arial"/>
          <w:sz w:val="20"/>
          <w:szCs w:val="20"/>
        </w:rPr>
        <w:t xml:space="preserve">nejvzdělanějších učitelů, ve Finsku a Estonsku byl však </w:t>
      </w:r>
      <w:r w:rsidR="003A515E">
        <w:rPr>
          <w:rFonts w:ascii="Arial" w:eastAsia="ChaparralPro-Regular" w:hAnsi="Arial" w:cs="Arial"/>
          <w:sz w:val="20"/>
          <w:szCs w:val="20"/>
        </w:rPr>
        <w:t>tento podíl ještě vyšší (cca </w:t>
      </w:r>
      <w:r w:rsidR="001C4685">
        <w:rPr>
          <w:rFonts w:ascii="Arial" w:eastAsia="ChaparralPro-Regular" w:hAnsi="Arial" w:cs="Arial"/>
          <w:sz w:val="20"/>
          <w:szCs w:val="20"/>
        </w:rPr>
        <w:t>o sedm</w:t>
      </w:r>
      <w:r w:rsidRPr="00442515">
        <w:rPr>
          <w:rFonts w:ascii="Arial" w:eastAsia="ChaparralPro-Regular" w:hAnsi="Arial" w:cs="Arial"/>
          <w:sz w:val="20"/>
          <w:szCs w:val="20"/>
        </w:rPr>
        <w:t xml:space="preserve"> procentních bodů). V průměru za země OECD činil tento podíl 57,7</w:t>
      </w:r>
      <w:r w:rsidR="003B77B9">
        <w:rPr>
          <w:rFonts w:ascii="Arial" w:eastAsia="ChaparralPro-Regular" w:hAnsi="Arial" w:cs="Arial"/>
          <w:sz w:val="20"/>
          <w:szCs w:val="20"/>
        </w:rPr>
        <w:t> %, průměrných hodnot dosáhlo i </w:t>
      </w:r>
      <w:r w:rsidRPr="00442515">
        <w:rPr>
          <w:rFonts w:ascii="Arial" w:eastAsia="ChaparralPro-Regular" w:hAnsi="Arial" w:cs="Arial"/>
          <w:sz w:val="20"/>
          <w:szCs w:val="20"/>
        </w:rPr>
        <w:t xml:space="preserve">Slovensko a Polsko (cca 59 %). Naopak v Rakousku začínající učitelé s klasicky požadovaným vzděláním dosahovali jen 43,6 % platu učitelů </w:t>
      </w:r>
      <w:r w:rsidRPr="00442515">
        <w:rPr>
          <w:rFonts w:ascii="Arial" w:eastAsia="ChaparralPro-Regular" w:hAnsi="Arial" w:cs="Arial"/>
          <w:color w:val="auto"/>
          <w:sz w:val="20"/>
          <w:szCs w:val="20"/>
        </w:rPr>
        <w:t>na vrcholu platového žebříčku a s maximálním dosaženým vzděláním</w:t>
      </w:r>
      <w:r w:rsidRPr="00442515">
        <w:rPr>
          <w:rFonts w:ascii="Arial" w:eastAsia="ChaparralPro-Regular" w:hAnsi="Arial" w:cs="Arial"/>
          <w:sz w:val="20"/>
          <w:szCs w:val="20"/>
        </w:rPr>
        <w:t xml:space="preserve"> </w:t>
      </w:r>
      <w:r w:rsidR="003A515E">
        <w:rPr>
          <w:rFonts w:ascii="Arial" w:eastAsia="ChaparralPro-Regular" w:hAnsi="Arial" w:cs="Arial"/>
          <w:sz w:val="20"/>
          <w:szCs w:val="20"/>
        </w:rPr>
        <w:t>a </w:t>
      </w:r>
      <w:r w:rsidRPr="00442515">
        <w:rPr>
          <w:rFonts w:ascii="Arial" w:eastAsia="ChaparralPro-Regular" w:hAnsi="Arial" w:cs="Arial"/>
          <w:sz w:val="20"/>
          <w:szCs w:val="20"/>
        </w:rPr>
        <w:t xml:space="preserve">z evropských zemí začleněných do OECD s dostupnými daty byl tak v Rakousku zaznamenán mezi těmito dvěma skupinami učitelů největší rozdíl. </w:t>
      </w:r>
    </w:p>
    <w:p w:rsidR="00306953" w:rsidRPr="00442515" w:rsidRDefault="00306953" w:rsidP="00306953">
      <w:pPr>
        <w:pStyle w:val="Default"/>
        <w:keepNext/>
        <w:spacing w:after="120"/>
        <w:jc w:val="both"/>
        <w:rPr>
          <w:rFonts w:ascii="Arial" w:eastAsia="ChaparralPro-Regular" w:hAnsi="Arial" w:cs="Arial"/>
          <w:i/>
          <w:color w:val="auto"/>
          <w:sz w:val="20"/>
          <w:szCs w:val="20"/>
        </w:rPr>
      </w:pPr>
      <w:r w:rsidRPr="00442515">
        <w:rPr>
          <w:rFonts w:ascii="Arial" w:eastAsia="ChaparralPro-Regular" w:hAnsi="Arial" w:cs="Arial"/>
          <w:b/>
          <w:color w:val="auto"/>
          <w:sz w:val="20"/>
          <w:szCs w:val="20"/>
        </w:rPr>
        <w:lastRenderedPageBreak/>
        <w:t>Tabulka č. 30 Roční platy učitelů nižšího sekundárního vzdělávání v různých etapách učitelské profesní dráhy (2013)</w:t>
      </w:r>
      <w:r w:rsidRPr="00442515">
        <w:rPr>
          <w:rFonts w:ascii="Arial" w:eastAsia="ChaparralPro-Regular" w:hAnsi="Arial" w:cs="Arial"/>
          <w:b/>
          <w:color w:val="auto"/>
          <w:sz w:val="20"/>
          <w:szCs w:val="20"/>
        </w:rPr>
        <w:cr/>
      </w:r>
      <w:r w:rsidR="00AB388A">
        <w:rPr>
          <w:rFonts w:ascii="Arial" w:eastAsia="ChaparralPro-Regular" w:hAnsi="Arial" w:cs="Arial"/>
          <w:i/>
          <w:color w:val="auto"/>
          <w:sz w:val="20"/>
          <w:szCs w:val="20"/>
        </w:rPr>
        <w:t>r</w:t>
      </w:r>
      <w:r w:rsidRPr="00442515">
        <w:rPr>
          <w:rFonts w:ascii="Arial" w:eastAsia="ChaparralPro-Regular" w:hAnsi="Arial" w:cs="Arial"/>
          <w:i/>
          <w:color w:val="auto"/>
          <w:sz w:val="20"/>
          <w:szCs w:val="20"/>
        </w:rPr>
        <w:t>oční zákonem stanovené platy učitelů ve veřejných institucích, přepočteno na USD a paritu kupní síly</w:t>
      </w:r>
    </w:p>
    <w:tbl>
      <w:tblPr>
        <w:tblW w:w="9087" w:type="dxa"/>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1433"/>
        <w:gridCol w:w="1560"/>
        <w:gridCol w:w="1701"/>
        <w:gridCol w:w="1701"/>
        <w:gridCol w:w="2692"/>
      </w:tblGrid>
      <w:tr w:rsidR="00306953" w:rsidRPr="00442515" w:rsidTr="00C83419">
        <w:trPr>
          <w:trHeight w:val="1150"/>
        </w:trPr>
        <w:tc>
          <w:tcPr>
            <w:tcW w:w="1433" w:type="dxa"/>
            <w:vMerge w:val="restart"/>
            <w:tcBorders>
              <w:top w:val="double" w:sz="4" w:space="0" w:color="auto"/>
              <w:bottom w:val="single" w:sz="4" w:space="0" w:color="auto"/>
            </w:tcBorders>
            <w:shd w:val="clear" w:color="auto" w:fill="FFCCCC"/>
            <w:vAlign w:val="center"/>
            <w:hideMark/>
          </w:tcPr>
          <w:p w:rsidR="00306953" w:rsidRPr="00442515" w:rsidRDefault="00306953" w:rsidP="006B426D">
            <w:pPr>
              <w:spacing w:after="0" w:line="240" w:lineRule="auto"/>
              <w:jc w:val="center"/>
              <w:rPr>
                <w:rFonts w:cs="Arial"/>
                <w:b/>
                <w:bCs/>
                <w:color w:val="000000"/>
                <w:sz w:val="16"/>
                <w:szCs w:val="16"/>
              </w:rPr>
            </w:pPr>
          </w:p>
        </w:tc>
        <w:tc>
          <w:tcPr>
            <w:tcW w:w="1560" w:type="dxa"/>
            <w:tcBorders>
              <w:top w:val="double" w:sz="4" w:space="0" w:color="auto"/>
              <w:bottom w:val="single" w:sz="4" w:space="0" w:color="auto"/>
            </w:tcBorders>
            <w:shd w:val="clear" w:color="auto" w:fill="FFCCCC"/>
            <w:vAlign w:val="center"/>
            <w:hideMark/>
          </w:tcPr>
          <w:p w:rsidR="00306953" w:rsidRPr="00442515" w:rsidRDefault="006B426D" w:rsidP="00306953">
            <w:pPr>
              <w:spacing w:after="0" w:line="240" w:lineRule="auto"/>
              <w:jc w:val="center"/>
              <w:rPr>
                <w:rFonts w:cs="Arial"/>
                <w:b/>
                <w:bCs/>
                <w:color w:val="000000"/>
                <w:sz w:val="16"/>
                <w:szCs w:val="16"/>
              </w:rPr>
            </w:pPr>
            <w:r>
              <w:rPr>
                <w:rFonts w:cs="Arial"/>
                <w:b/>
                <w:bCs/>
                <w:color w:val="000000"/>
                <w:sz w:val="16"/>
                <w:szCs w:val="16"/>
              </w:rPr>
              <w:t>p</w:t>
            </w:r>
            <w:r w:rsidR="00306953" w:rsidRPr="00442515">
              <w:rPr>
                <w:rFonts w:cs="Arial"/>
                <w:b/>
                <w:bCs/>
                <w:color w:val="000000"/>
                <w:sz w:val="16"/>
                <w:szCs w:val="16"/>
              </w:rPr>
              <w:t>lat začínajícího učitele s nejčastěji požadovaným vzděláním</w:t>
            </w:r>
          </w:p>
        </w:tc>
        <w:tc>
          <w:tcPr>
            <w:tcW w:w="1701" w:type="dxa"/>
            <w:tcBorders>
              <w:top w:val="double" w:sz="4" w:space="0" w:color="auto"/>
              <w:bottom w:val="single" w:sz="4" w:space="0" w:color="auto"/>
            </w:tcBorders>
            <w:shd w:val="clear" w:color="auto" w:fill="FFCCCC"/>
            <w:vAlign w:val="center"/>
            <w:hideMark/>
          </w:tcPr>
          <w:p w:rsidR="00306953" w:rsidRPr="00442515" w:rsidRDefault="006B426D" w:rsidP="00306953">
            <w:pPr>
              <w:spacing w:after="0" w:line="240" w:lineRule="auto"/>
              <w:jc w:val="center"/>
              <w:rPr>
                <w:rFonts w:cs="Arial"/>
                <w:b/>
                <w:bCs/>
                <w:color w:val="000000"/>
                <w:sz w:val="16"/>
                <w:szCs w:val="16"/>
              </w:rPr>
            </w:pPr>
            <w:r>
              <w:rPr>
                <w:rFonts w:cs="Arial"/>
                <w:b/>
                <w:bCs/>
                <w:color w:val="000000"/>
                <w:sz w:val="16"/>
                <w:szCs w:val="16"/>
              </w:rPr>
              <w:t>p</w:t>
            </w:r>
            <w:r w:rsidR="00306953" w:rsidRPr="00442515">
              <w:rPr>
                <w:rFonts w:cs="Arial"/>
                <w:b/>
                <w:bCs/>
                <w:color w:val="000000"/>
                <w:sz w:val="16"/>
                <w:szCs w:val="16"/>
              </w:rPr>
              <w:t>lat učitele s 15le</w:t>
            </w:r>
            <w:r w:rsidR="007A5643">
              <w:rPr>
                <w:rFonts w:cs="Arial"/>
                <w:b/>
                <w:bCs/>
                <w:color w:val="000000"/>
                <w:sz w:val="16"/>
                <w:szCs w:val="16"/>
              </w:rPr>
              <w:t>tou praxí a </w:t>
            </w:r>
            <w:r w:rsidR="00306953" w:rsidRPr="00442515">
              <w:rPr>
                <w:rFonts w:cs="Arial"/>
                <w:b/>
                <w:bCs/>
                <w:color w:val="000000"/>
                <w:sz w:val="16"/>
                <w:szCs w:val="16"/>
              </w:rPr>
              <w:t>nejčastěji požadovaným vzděláním</w:t>
            </w:r>
          </w:p>
        </w:tc>
        <w:tc>
          <w:tcPr>
            <w:tcW w:w="1701" w:type="dxa"/>
            <w:tcBorders>
              <w:top w:val="double" w:sz="4" w:space="0" w:color="auto"/>
              <w:bottom w:val="single" w:sz="4" w:space="0" w:color="auto"/>
            </w:tcBorders>
            <w:shd w:val="clear" w:color="auto" w:fill="FFCCCC"/>
            <w:vAlign w:val="center"/>
            <w:hideMark/>
          </w:tcPr>
          <w:p w:rsidR="00306953" w:rsidRPr="00442515" w:rsidRDefault="006B426D" w:rsidP="00306953">
            <w:pPr>
              <w:spacing w:after="0" w:line="240" w:lineRule="auto"/>
              <w:jc w:val="center"/>
              <w:rPr>
                <w:rFonts w:cs="Arial"/>
                <w:b/>
                <w:bCs/>
                <w:color w:val="000000"/>
                <w:sz w:val="16"/>
                <w:szCs w:val="16"/>
              </w:rPr>
            </w:pPr>
            <w:r>
              <w:rPr>
                <w:rFonts w:cs="Arial"/>
                <w:b/>
                <w:bCs/>
                <w:color w:val="000000"/>
                <w:sz w:val="16"/>
                <w:szCs w:val="16"/>
              </w:rPr>
              <w:t>pl</w:t>
            </w:r>
            <w:r w:rsidR="00306953" w:rsidRPr="00442515">
              <w:rPr>
                <w:rFonts w:cs="Arial"/>
                <w:b/>
                <w:bCs/>
                <w:color w:val="000000"/>
                <w:sz w:val="16"/>
                <w:szCs w:val="16"/>
              </w:rPr>
              <w:t xml:space="preserve">at učitele </w:t>
            </w:r>
            <w:r w:rsidR="007A5643">
              <w:rPr>
                <w:rFonts w:cs="Arial"/>
                <w:b/>
                <w:bCs/>
                <w:color w:val="000000"/>
                <w:sz w:val="16"/>
                <w:szCs w:val="16"/>
              </w:rPr>
              <w:t>na vrcholu platového žebříčku a </w:t>
            </w:r>
            <w:r w:rsidR="00306953" w:rsidRPr="00442515">
              <w:rPr>
                <w:rFonts w:cs="Arial"/>
                <w:b/>
                <w:bCs/>
                <w:color w:val="000000"/>
                <w:sz w:val="16"/>
                <w:szCs w:val="16"/>
              </w:rPr>
              <w:t>s maximálním dosaženým vzděláním</w:t>
            </w:r>
          </w:p>
        </w:tc>
        <w:tc>
          <w:tcPr>
            <w:tcW w:w="2692" w:type="dxa"/>
            <w:tcBorders>
              <w:top w:val="double" w:sz="4" w:space="0" w:color="auto"/>
              <w:bottom w:val="single" w:sz="4" w:space="0" w:color="auto"/>
            </w:tcBorders>
            <w:shd w:val="clear" w:color="auto" w:fill="FFCCCC"/>
            <w:vAlign w:val="center"/>
            <w:hideMark/>
          </w:tcPr>
          <w:p w:rsidR="00306953" w:rsidRPr="00442515" w:rsidRDefault="006B426D" w:rsidP="00306953">
            <w:pPr>
              <w:spacing w:after="0" w:line="240" w:lineRule="auto"/>
              <w:jc w:val="center"/>
              <w:rPr>
                <w:rFonts w:cs="Arial"/>
                <w:b/>
                <w:bCs/>
                <w:color w:val="000000"/>
                <w:sz w:val="16"/>
                <w:szCs w:val="16"/>
              </w:rPr>
            </w:pPr>
            <w:r>
              <w:rPr>
                <w:rFonts w:cs="Arial"/>
                <w:b/>
                <w:bCs/>
                <w:color w:val="000000"/>
                <w:sz w:val="16"/>
                <w:szCs w:val="16"/>
              </w:rPr>
              <w:t>p</w:t>
            </w:r>
            <w:r w:rsidR="00306953" w:rsidRPr="00442515">
              <w:rPr>
                <w:rFonts w:cs="Arial"/>
                <w:b/>
                <w:bCs/>
                <w:color w:val="000000"/>
                <w:sz w:val="16"/>
                <w:szCs w:val="16"/>
              </w:rPr>
              <w:t xml:space="preserve">odíl platu začínajícího učitele s nejčastěji požadovaným vzděláním vůči platu učitele </w:t>
            </w:r>
            <w:r w:rsidR="007A5643">
              <w:rPr>
                <w:rFonts w:cs="Arial"/>
                <w:b/>
                <w:bCs/>
                <w:color w:val="000000"/>
                <w:sz w:val="16"/>
                <w:szCs w:val="16"/>
              </w:rPr>
              <w:t>na vrcholu platového žebříčku a </w:t>
            </w:r>
            <w:r w:rsidR="00306953" w:rsidRPr="00442515">
              <w:rPr>
                <w:rFonts w:cs="Arial"/>
                <w:b/>
                <w:bCs/>
                <w:color w:val="000000"/>
                <w:sz w:val="16"/>
                <w:szCs w:val="16"/>
              </w:rPr>
              <w:t>s maximálním dosaženým vzděláním</w:t>
            </w:r>
          </w:p>
        </w:tc>
      </w:tr>
      <w:tr w:rsidR="00306953" w:rsidRPr="00442515" w:rsidTr="00C83419">
        <w:trPr>
          <w:trHeight w:val="300"/>
        </w:trPr>
        <w:tc>
          <w:tcPr>
            <w:tcW w:w="1433" w:type="dxa"/>
            <w:vMerge/>
            <w:tcBorders>
              <w:top w:val="single" w:sz="4" w:space="0" w:color="auto"/>
              <w:bottom w:val="double" w:sz="4" w:space="0" w:color="auto"/>
            </w:tcBorders>
            <w:shd w:val="clear" w:color="auto" w:fill="FFCCCC"/>
            <w:vAlign w:val="center"/>
            <w:hideMark/>
          </w:tcPr>
          <w:p w:rsidR="00306953" w:rsidRPr="00442515" w:rsidRDefault="00306953" w:rsidP="00306953">
            <w:pPr>
              <w:spacing w:after="0" w:line="240" w:lineRule="auto"/>
              <w:rPr>
                <w:rFonts w:cs="Arial"/>
                <w:b/>
                <w:bCs/>
                <w:color w:val="000000"/>
                <w:sz w:val="16"/>
                <w:szCs w:val="16"/>
              </w:rPr>
            </w:pPr>
          </w:p>
        </w:tc>
        <w:tc>
          <w:tcPr>
            <w:tcW w:w="1560" w:type="dxa"/>
            <w:tcBorders>
              <w:top w:val="single" w:sz="4" w:space="0" w:color="auto"/>
              <w:bottom w:val="double" w:sz="4" w:space="0" w:color="auto"/>
            </w:tcBorders>
            <w:shd w:val="clear" w:color="auto" w:fill="FFCCCC"/>
            <w:noWrap/>
            <w:vAlign w:val="bottom"/>
            <w:hideMark/>
          </w:tcPr>
          <w:p w:rsidR="00306953" w:rsidRPr="00442515" w:rsidRDefault="00306953" w:rsidP="00306953">
            <w:pPr>
              <w:spacing w:after="0" w:line="240" w:lineRule="auto"/>
              <w:jc w:val="center"/>
              <w:rPr>
                <w:rFonts w:cs="Arial"/>
                <w:b/>
                <w:bCs/>
                <w:color w:val="000000"/>
                <w:sz w:val="16"/>
                <w:szCs w:val="16"/>
              </w:rPr>
            </w:pPr>
            <w:r w:rsidRPr="00442515">
              <w:rPr>
                <w:rFonts w:cs="Arial"/>
                <w:b/>
                <w:bCs/>
                <w:color w:val="000000"/>
                <w:sz w:val="16"/>
                <w:szCs w:val="16"/>
                <w:lang w:val="en-US"/>
              </w:rPr>
              <w:t>USD</w:t>
            </w:r>
          </w:p>
        </w:tc>
        <w:tc>
          <w:tcPr>
            <w:tcW w:w="1701" w:type="dxa"/>
            <w:tcBorders>
              <w:top w:val="single" w:sz="4" w:space="0" w:color="auto"/>
              <w:bottom w:val="double" w:sz="4" w:space="0" w:color="auto"/>
            </w:tcBorders>
            <w:shd w:val="clear" w:color="auto" w:fill="FFCCCC"/>
            <w:noWrap/>
            <w:vAlign w:val="bottom"/>
            <w:hideMark/>
          </w:tcPr>
          <w:p w:rsidR="00306953" w:rsidRPr="00442515" w:rsidRDefault="00306953" w:rsidP="00306953">
            <w:pPr>
              <w:spacing w:after="0" w:line="240" w:lineRule="auto"/>
              <w:jc w:val="center"/>
              <w:rPr>
                <w:rFonts w:cs="Arial"/>
                <w:b/>
                <w:bCs/>
                <w:color w:val="000000"/>
                <w:sz w:val="16"/>
                <w:szCs w:val="16"/>
              </w:rPr>
            </w:pPr>
            <w:r w:rsidRPr="00442515">
              <w:rPr>
                <w:rFonts w:cs="Arial"/>
                <w:b/>
                <w:bCs/>
                <w:color w:val="000000"/>
                <w:sz w:val="16"/>
                <w:szCs w:val="16"/>
                <w:lang w:val="en-US"/>
              </w:rPr>
              <w:t>USD</w:t>
            </w:r>
          </w:p>
        </w:tc>
        <w:tc>
          <w:tcPr>
            <w:tcW w:w="1701" w:type="dxa"/>
            <w:tcBorders>
              <w:top w:val="single" w:sz="4" w:space="0" w:color="auto"/>
              <w:bottom w:val="double" w:sz="4" w:space="0" w:color="auto"/>
            </w:tcBorders>
            <w:shd w:val="clear" w:color="auto" w:fill="FFCCCC"/>
            <w:noWrap/>
            <w:vAlign w:val="bottom"/>
            <w:hideMark/>
          </w:tcPr>
          <w:p w:rsidR="00306953" w:rsidRPr="00442515" w:rsidRDefault="00306953" w:rsidP="00306953">
            <w:pPr>
              <w:spacing w:after="0" w:line="240" w:lineRule="auto"/>
              <w:jc w:val="center"/>
              <w:rPr>
                <w:rFonts w:cs="Arial"/>
                <w:b/>
                <w:bCs/>
                <w:color w:val="000000"/>
                <w:sz w:val="16"/>
                <w:szCs w:val="16"/>
              </w:rPr>
            </w:pPr>
            <w:r w:rsidRPr="00442515">
              <w:rPr>
                <w:rFonts w:cs="Arial"/>
                <w:b/>
                <w:bCs/>
                <w:color w:val="000000"/>
                <w:sz w:val="16"/>
                <w:szCs w:val="16"/>
                <w:lang w:val="en-US"/>
              </w:rPr>
              <w:t>USD</w:t>
            </w:r>
          </w:p>
        </w:tc>
        <w:tc>
          <w:tcPr>
            <w:tcW w:w="2692" w:type="dxa"/>
            <w:tcBorders>
              <w:top w:val="single" w:sz="4" w:space="0" w:color="auto"/>
              <w:bottom w:val="double" w:sz="4" w:space="0" w:color="auto"/>
            </w:tcBorders>
            <w:shd w:val="clear" w:color="auto" w:fill="FFCCCC"/>
            <w:vAlign w:val="center"/>
            <w:hideMark/>
          </w:tcPr>
          <w:p w:rsidR="00306953" w:rsidRPr="00442515" w:rsidRDefault="00306953" w:rsidP="009E6109">
            <w:pPr>
              <w:spacing w:after="0" w:line="240" w:lineRule="auto"/>
              <w:jc w:val="center"/>
              <w:rPr>
                <w:rFonts w:cs="Arial"/>
                <w:b/>
                <w:bCs/>
                <w:color w:val="000000"/>
                <w:sz w:val="16"/>
                <w:szCs w:val="16"/>
              </w:rPr>
            </w:pPr>
            <w:r w:rsidRPr="00442515">
              <w:rPr>
                <w:rFonts w:cs="Arial"/>
                <w:b/>
                <w:bCs/>
                <w:color w:val="000000"/>
                <w:sz w:val="16"/>
                <w:szCs w:val="16"/>
                <w:lang w:val="en-US"/>
              </w:rPr>
              <w:t>%</w:t>
            </w:r>
          </w:p>
        </w:tc>
      </w:tr>
      <w:tr w:rsidR="00306953" w:rsidRPr="00442515" w:rsidTr="00C83419">
        <w:trPr>
          <w:trHeight w:val="300"/>
        </w:trPr>
        <w:tc>
          <w:tcPr>
            <w:tcW w:w="1433" w:type="dxa"/>
            <w:tcBorders>
              <w:top w:val="double" w:sz="4" w:space="0" w:color="auto"/>
            </w:tcBorders>
            <w:shd w:val="clear" w:color="auto" w:fill="auto"/>
            <w:noWrap/>
            <w:vAlign w:val="center"/>
            <w:hideMark/>
          </w:tcPr>
          <w:p w:rsidR="00306953" w:rsidRPr="00442515" w:rsidRDefault="00306953" w:rsidP="004C55CD">
            <w:pPr>
              <w:spacing w:after="0" w:line="240" w:lineRule="auto"/>
              <w:rPr>
                <w:rFonts w:cs="Arial"/>
                <w:color w:val="000000"/>
                <w:sz w:val="16"/>
                <w:szCs w:val="16"/>
              </w:rPr>
            </w:pPr>
            <w:r w:rsidRPr="00442515">
              <w:rPr>
                <w:rFonts w:cs="Arial"/>
                <w:color w:val="000000"/>
                <w:sz w:val="16"/>
                <w:szCs w:val="16"/>
              </w:rPr>
              <w:t>Česká republika</w:t>
            </w:r>
          </w:p>
        </w:tc>
        <w:tc>
          <w:tcPr>
            <w:tcW w:w="1560" w:type="dxa"/>
            <w:tcBorders>
              <w:top w:val="double" w:sz="4" w:space="0" w:color="auto"/>
            </w:tcBorders>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17 032,78</w:t>
            </w:r>
          </w:p>
        </w:tc>
        <w:tc>
          <w:tcPr>
            <w:tcW w:w="1701" w:type="dxa"/>
            <w:tcBorders>
              <w:top w:val="double" w:sz="4" w:space="0" w:color="auto"/>
            </w:tcBorders>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18 273,04</w:t>
            </w:r>
          </w:p>
        </w:tc>
        <w:tc>
          <w:tcPr>
            <w:tcW w:w="1701" w:type="dxa"/>
            <w:tcBorders>
              <w:top w:val="double" w:sz="4" w:space="0" w:color="auto"/>
            </w:tcBorders>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24 598,32</w:t>
            </w:r>
          </w:p>
        </w:tc>
        <w:tc>
          <w:tcPr>
            <w:tcW w:w="2692" w:type="dxa"/>
            <w:tcBorders>
              <w:top w:val="double" w:sz="4" w:space="0" w:color="auto"/>
            </w:tcBorders>
            <w:shd w:val="clear" w:color="auto" w:fill="auto"/>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lang w:val="en-US"/>
              </w:rPr>
              <w:t>69,24%</w:t>
            </w:r>
          </w:p>
        </w:tc>
      </w:tr>
      <w:tr w:rsidR="00306953" w:rsidRPr="00442515" w:rsidTr="00C83419">
        <w:trPr>
          <w:trHeight w:val="300"/>
        </w:trPr>
        <w:tc>
          <w:tcPr>
            <w:tcW w:w="1433" w:type="dxa"/>
            <w:shd w:val="clear" w:color="auto" w:fill="auto"/>
            <w:noWrap/>
            <w:vAlign w:val="center"/>
            <w:hideMark/>
          </w:tcPr>
          <w:p w:rsidR="00306953" w:rsidRPr="00442515" w:rsidRDefault="00306953" w:rsidP="004C55CD">
            <w:pPr>
              <w:spacing w:after="0" w:line="240" w:lineRule="auto"/>
              <w:rPr>
                <w:rFonts w:cs="Arial"/>
                <w:color w:val="000000"/>
                <w:sz w:val="16"/>
                <w:szCs w:val="16"/>
              </w:rPr>
            </w:pPr>
            <w:r w:rsidRPr="00442515">
              <w:rPr>
                <w:rFonts w:cs="Arial"/>
                <w:color w:val="000000"/>
                <w:sz w:val="16"/>
                <w:szCs w:val="16"/>
              </w:rPr>
              <w:t>Slovensko</w:t>
            </w:r>
          </w:p>
        </w:tc>
        <w:tc>
          <w:tcPr>
            <w:tcW w:w="15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11 115,80</w:t>
            </w:r>
          </w:p>
        </w:tc>
        <w:tc>
          <w:tcPr>
            <w:tcW w:w="1701"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15 649,55</w:t>
            </w:r>
          </w:p>
        </w:tc>
        <w:tc>
          <w:tcPr>
            <w:tcW w:w="1701"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18 900,04</w:t>
            </w:r>
          </w:p>
        </w:tc>
        <w:tc>
          <w:tcPr>
            <w:tcW w:w="2692" w:type="dxa"/>
            <w:shd w:val="clear" w:color="auto" w:fill="auto"/>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lang w:val="en-US"/>
              </w:rPr>
              <w:t>58,81%</w:t>
            </w:r>
          </w:p>
        </w:tc>
      </w:tr>
      <w:tr w:rsidR="00306953" w:rsidRPr="00442515" w:rsidTr="00C83419">
        <w:trPr>
          <w:trHeight w:val="300"/>
        </w:trPr>
        <w:tc>
          <w:tcPr>
            <w:tcW w:w="1433" w:type="dxa"/>
            <w:shd w:val="clear" w:color="auto" w:fill="auto"/>
            <w:noWrap/>
            <w:vAlign w:val="center"/>
            <w:hideMark/>
          </w:tcPr>
          <w:p w:rsidR="00306953" w:rsidRPr="00442515" w:rsidRDefault="00306953" w:rsidP="004C55CD">
            <w:pPr>
              <w:spacing w:after="0" w:line="240" w:lineRule="auto"/>
              <w:rPr>
                <w:rFonts w:cs="Arial"/>
                <w:color w:val="000000"/>
                <w:sz w:val="16"/>
                <w:szCs w:val="16"/>
              </w:rPr>
            </w:pPr>
            <w:r w:rsidRPr="00442515">
              <w:rPr>
                <w:rFonts w:cs="Arial"/>
                <w:color w:val="000000"/>
                <w:sz w:val="16"/>
                <w:szCs w:val="16"/>
              </w:rPr>
              <w:t xml:space="preserve">Polsko </w:t>
            </w:r>
          </w:p>
        </w:tc>
        <w:tc>
          <w:tcPr>
            <w:tcW w:w="15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15 220,26</w:t>
            </w:r>
          </w:p>
        </w:tc>
        <w:tc>
          <w:tcPr>
            <w:tcW w:w="1701"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24 921,22</w:t>
            </w:r>
          </w:p>
        </w:tc>
        <w:tc>
          <w:tcPr>
            <w:tcW w:w="1701"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25 979,83</w:t>
            </w:r>
          </w:p>
        </w:tc>
        <w:tc>
          <w:tcPr>
            <w:tcW w:w="2692" w:type="dxa"/>
            <w:shd w:val="clear" w:color="auto" w:fill="auto"/>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lang w:val="en-US"/>
              </w:rPr>
              <w:t>58,58%</w:t>
            </w:r>
          </w:p>
        </w:tc>
      </w:tr>
      <w:tr w:rsidR="00306953" w:rsidRPr="00442515" w:rsidTr="00C83419">
        <w:trPr>
          <w:trHeight w:val="300"/>
        </w:trPr>
        <w:tc>
          <w:tcPr>
            <w:tcW w:w="1433" w:type="dxa"/>
            <w:shd w:val="clear" w:color="auto" w:fill="auto"/>
            <w:noWrap/>
            <w:vAlign w:val="center"/>
            <w:hideMark/>
          </w:tcPr>
          <w:p w:rsidR="00306953" w:rsidRPr="00442515" w:rsidRDefault="00306953" w:rsidP="004C55CD">
            <w:pPr>
              <w:spacing w:after="0" w:line="240" w:lineRule="auto"/>
              <w:rPr>
                <w:rFonts w:cs="Arial"/>
                <w:color w:val="000000"/>
                <w:sz w:val="16"/>
                <w:szCs w:val="16"/>
              </w:rPr>
            </w:pPr>
            <w:r w:rsidRPr="00442515">
              <w:rPr>
                <w:rFonts w:cs="Arial"/>
                <w:color w:val="000000"/>
                <w:sz w:val="16"/>
                <w:szCs w:val="16"/>
              </w:rPr>
              <w:t>Estonsko</w:t>
            </w:r>
          </w:p>
        </w:tc>
        <w:tc>
          <w:tcPr>
            <w:tcW w:w="15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13 003,84</w:t>
            </w:r>
          </w:p>
        </w:tc>
        <w:tc>
          <w:tcPr>
            <w:tcW w:w="1701"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13 232,63</w:t>
            </w:r>
          </w:p>
        </w:tc>
        <w:tc>
          <w:tcPr>
            <w:tcW w:w="1701"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17 015,03</w:t>
            </w:r>
          </w:p>
        </w:tc>
        <w:tc>
          <w:tcPr>
            <w:tcW w:w="2692" w:type="dxa"/>
            <w:shd w:val="clear" w:color="auto" w:fill="auto"/>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lang w:val="en-US"/>
              </w:rPr>
              <w:t>76,43%</w:t>
            </w:r>
          </w:p>
        </w:tc>
      </w:tr>
      <w:tr w:rsidR="00306953" w:rsidRPr="00442515" w:rsidTr="00C83419">
        <w:trPr>
          <w:trHeight w:val="300"/>
        </w:trPr>
        <w:tc>
          <w:tcPr>
            <w:tcW w:w="1433" w:type="dxa"/>
            <w:shd w:val="clear" w:color="auto" w:fill="auto"/>
            <w:noWrap/>
            <w:vAlign w:val="center"/>
            <w:hideMark/>
          </w:tcPr>
          <w:p w:rsidR="00306953" w:rsidRPr="00442515" w:rsidRDefault="00306953" w:rsidP="004C55CD">
            <w:pPr>
              <w:spacing w:after="0" w:line="240" w:lineRule="auto"/>
              <w:rPr>
                <w:rFonts w:cs="Arial"/>
                <w:color w:val="000000"/>
                <w:sz w:val="16"/>
                <w:szCs w:val="16"/>
              </w:rPr>
            </w:pPr>
            <w:r w:rsidRPr="00442515">
              <w:rPr>
                <w:rFonts w:cs="Arial"/>
                <w:color w:val="000000"/>
                <w:sz w:val="16"/>
                <w:szCs w:val="16"/>
              </w:rPr>
              <w:t>Finsko</w:t>
            </w:r>
          </w:p>
        </w:tc>
        <w:tc>
          <w:tcPr>
            <w:tcW w:w="15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34 945,24</w:t>
            </w:r>
          </w:p>
        </w:tc>
        <w:tc>
          <w:tcPr>
            <w:tcW w:w="1701"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42 876,75</w:t>
            </w:r>
          </w:p>
        </w:tc>
        <w:tc>
          <w:tcPr>
            <w:tcW w:w="1701"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45 449,39</w:t>
            </w:r>
          </w:p>
        </w:tc>
        <w:tc>
          <w:tcPr>
            <w:tcW w:w="2692" w:type="dxa"/>
            <w:shd w:val="clear" w:color="auto" w:fill="auto"/>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lang w:val="en-US"/>
              </w:rPr>
              <w:t>76,89%</w:t>
            </w:r>
          </w:p>
        </w:tc>
      </w:tr>
      <w:tr w:rsidR="00306953" w:rsidRPr="00442515" w:rsidTr="00C83419">
        <w:trPr>
          <w:trHeight w:val="300"/>
        </w:trPr>
        <w:tc>
          <w:tcPr>
            <w:tcW w:w="1433" w:type="dxa"/>
            <w:shd w:val="clear" w:color="auto" w:fill="auto"/>
            <w:noWrap/>
            <w:vAlign w:val="center"/>
            <w:hideMark/>
          </w:tcPr>
          <w:p w:rsidR="00306953" w:rsidRPr="00442515" w:rsidRDefault="00306953" w:rsidP="004C55CD">
            <w:pPr>
              <w:spacing w:after="0" w:line="240" w:lineRule="auto"/>
              <w:rPr>
                <w:rFonts w:cs="Arial"/>
                <w:color w:val="000000"/>
                <w:sz w:val="16"/>
                <w:szCs w:val="16"/>
              </w:rPr>
            </w:pPr>
            <w:r w:rsidRPr="00442515">
              <w:rPr>
                <w:rFonts w:cs="Arial"/>
                <w:color w:val="000000"/>
                <w:sz w:val="16"/>
                <w:szCs w:val="16"/>
              </w:rPr>
              <w:t>Rakousko</w:t>
            </w:r>
          </w:p>
        </w:tc>
        <w:tc>
          <w:tcPr>
            <w:tcW w:w="15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34 142,95</w:t>
            </w:r>
          </w:p>
        </w:tc>
        <w:tc>
          <w:tcPr>
            <w:tcW w:w="1701"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46 631,03</w:t>
            </w:r>
          </w:p>
        </w:tc>
        <w:tc>
          <w:tcPr>
            <w:tcW w:w="1701"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78 272,01</w:t>
            </w:r>
          </w:p>
        </w:tc>
        <w:tc>
          <w:tcPr>
            <w:tcW w:w="2692" w:type="dxa"/>
            <w:shd w:val="clear" w:color="auto" w:fill="auto"/>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lang w:val="en-US"/>
              </w:rPr>
              <w:t>43,62%</w:t>
            </w:r>
          </w:p>
        </w:tc>
      </w:tr>
      <w:tr w:rsidR="00306953" w:rsidRPr="00442515" w:rsidTr="00C83419">
        <w:trPr>
          <w:trHeight w:val="300"/>
        </w:trPr>
        <w:tc>
          <w:tcPr>
            <w:tcW w:w="1433" w:type="dxa"/>
            <w:shd w:val="clear" w:color="auto" w:fill="C6D9F1" w:themeFill="text2" w:themeFillTint="33"/>
            <w:noWrap/>
            <w:vAlign w:val="center"/>
            <w:hideMark/>
          </w:tcPr>
          <w:p w:rsidR="00306953" w:rsidRPr="00631582" w:rsidRDefault="00306953" w:rsidP="004C55CD">
            <w:pPr>
              <w:spacing w:after="0" w:line="240" w:lineRule="auto"/>
              <w:rPr>
                <w:rFonts w:cs="Arial"/>
                <w:color w:val="000000"/>
                <w:sz w:val="16"/>
                <w:szCs w:val="16"/>
              </w:rPr>
            </w:pPr>
            <w:r w:rsidRPr="00631582">
              <w:rPr>
                <w:rFonts w:cs="Arial"/>
                <w:color w:val="000000"/>
                <w:sz w:val="16"/>
                <w:szCs w:val="16"/>
              </w:rPr>
              <w:t>průměr OECD</w:t>
            </w:r>
          </w:p>
        </w:tc>
        <w:tc>
          <w:tcPr>
            <w:tcW w:w="15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color w:val="000000"/>
                <w:sz w:val="16"/>
                <w:szCs w:val="16"/>
              </w:rPr>
            </w:pPr>
            <w:r w:rsidRPr="00631582">
              <w:rPr>
                <w:rFonts w:cs="Arial"/>
                <w:color w:val="000000"/>
                <w:sz w:val="16"/>
                <w:szCs w:val="16"/>
              </w:rPr>
              <w:t>31 012,90</w:t>
            </w:r>
          </w:p>
        </w:tc>
        <w:tc>
          <w:tcPr>
            <w:tcW w:w="1701" w:type="dxa"/>
            <w:shd w:val="clear" w:color="auto" w:fill="C6D9F1" w:themeFill="text2" w:themeFillTint="33"/>
            <w:noWrap/>
            <w:vAlign w:val="center"/>
            <w:hideMark/>
          </w:tcPr>
          <w:p w:rsidR="00306953" w:rsidRPr="00631582" w:rsidRDefault="00306953" w:rsidP="004C55CD">
            <w:pPr>
              <w:spacing w:after="0" w:line="240" w:lineRule="auto"/>
              <w:jc w:val="center"/>
              <w:rPr>
                <w:rFonts w:cs="Arial"/>
                <w:color w:val="000000"/>
                <w:sz w:val="16"/>
                <w:szCs w:val="16"/>
              </w:rPr>
            </w:pPr>
            <w:r w:rsidRPr="00631582">
              <w:rPr>
                <w:rFonts w:cs="Arial"/>
                <w:color w:val="000000"/>
                <w:sz w:val="16"/>
                <w:szCs w:val="16"/>
              </w:rPr>
              <w:t>42 825,38</w:t>
            </w:r>
          </w:p>
        </w:tc>
        <w:tc>
          <w:tcPr>
            <w:tcW w:w="1701" w:type="dxa"/>
            <w:shd w:val="clear" w:color="auto" w:fill="C6D9F1" w:themeFill="text2" w:themeFillTint="33"/>
            <w:noWrap/>
            <w:vAlign w:val="center"/>
            <w:hideMark/>
          </w:tcPr>
          <w:p w:rsidR="00306953" w:rsidRPr="00631582" w:rsidRDefault="00306953" w:rsidP="004C55CD">
            <w:pPr>
              <w:spacing w:after="0" w:line="240" w:lineRule="auto"/>
              <w:jc w:val="center"/>
              <w:rPr>
                <w:rFonts w:cs="Arial"/>
                <w:color w:val="000000"/>
                <w:sz w:val="16"/>
                <w:szCs w:val="16"/>
              </w:rPr>
            </w:pPr>
            <w:r w:rsidRPr="00631582">
              <w:rPr>
                <w:rFonts w:cs="Arial"/>
                <w:color w:val="000000"/>
                <w:sz w:val="16"/>
                <w:szCs w:val="16"/>
              </w:rPr>
              <w:t>53 786,04</w:t>
            </w:r>
          </w:p>
        </w:tc>
        <w:tc>
          <w:tcPr>
            <w:tcW w:w="2692" w:type="dxa"/>
            <w:shd w:val="clear" w:color="auto" w:fill="C6D9F1" w:themeFill="text2" w:themeFillTint="33"/>
            <w:vAlign w:val="center"/>
            <w:hideMark/>
          </w:tcPr>
          <w:p w:rsidR="00306953" w:rsidRPr="00631582" w:rsidRDefault="00306953" w:rsidP="004C55CD">
            <w:pPr>
              <w:spacing w:after="0" w:line="240" w:lineRule="auto"/>
              <w:jc w:val="center"/>
              <w:rPr>
                <w:rFonts w:cs="Arial"/>
                <w:color w:val="000000"/>
                <w:sz w:val="16"/>
                <w:szCs w:val="16"/>
              </w:rPr>
            </w:pPr>
            <w:r w:rsidRPr="00631582">
              <w:rPr>
                <w:rFonts w:cs="Arial"/>
                <w:color w:val="000000"/>
                <w:sz w:val="16"/>
                <w:szCs w:val="16"/>
              </w:rPr>
              <w:t>57,66%</w:t>
            </w:r>
          </w:p>
        </w:tc>
      </w:tr>
    </w:tbl>
    <w:p w:rsidR="00306953" w:rsidRPr="00442515" w:rsidRDefault="00306953" w:rsidP="006B426D">
      <w:pPr>
        <w:pStyle w:val="Default"/>
        <w:keepNext/>
        <w:spacing w:before="120"/>
        <w:jc w:val="both"/>
        <w:rPr>
          <w:rFonts w:ascii="Arial" w:eastAsia="ChaparralPro-Regular" w:hAnsi="Arial" w:cs="Arial"/>
          <w:sz w:val="16"/>
          <w:szCs w:val="16"/>
        </w:rPr>
      </w:pPr>
      <w:r w:rsidRPr="00442515">
        <w:rPr>
          <w:rFonts w:ascii="Arial" w:eastAsia="ChaparralPro-Regular" w:hAnsi="Arial" w:cs="Arial"/>
          <w:color w:val="auto"/>
          <w:sz w:val="16"/>
          <w:szCs w:val="16"/>
        </w:rPr>
        <w:t>Zdroj: OECD 2015, tabulka ke grafu D3.2</w:t>
      </w:r>
      <w:r w:rsidRPr="00442515">
        <w:rPr>
          <w:rFonts w:ascii="Arial" w:eastAsia="ChaparralPro-Regular" w:hAnsi="Arial" w:cs="Arial"/>
          <w:sz w:val="16"/>
          <w:szCs w:val="16"/>
        </w:rPr>
        <w:t xml:space="preserve">. StatLink: </w:t>
      </w:r>
      <w:hyperlink r:id="rId132" w:history="1">
        <w:r w:rsidRPr="00442515">
          <w:rPr>
            <w:rStyle w:val="Hypertextovodkaz"/>
            <w:rFonts w:ascii="Arial" w:hAnsi="Arial" w:cs="Arial"/>
            <w:sz w:val="16"/>
            <w:szCs w:val="16"/>
          </w:rPr>
          <w:t>http://dx.doi.org/10.1787/888933284469</w:t>
        </w:r>
      </w:hyperlink>
      <w:r w:rsidRPr="00442515">
        <w:rPr>
          <w:rFonts w:ascii="Arial" w:hAnsi="Arial" w:cs="Arial"/>
          <w:color w:val="231F20"/>
          <w:sz w:val="16"/>
          <w:szCs w:val="16"/>
        </w:rPr>
        <w:t xml:space="preserve">. </w:t>
      </w:r>
    </w:p>
    <w:p w:rsidR="00306953" w:rsidRPr="00442515" w:rsidRDefault="00306953" w:rsidP="00306953">
      <w:pPr>
        <w:pStyle w:val="Default"/>
        <w:keepNext/>
        <w:spacing w:after="120"/>
        <w:jc w:val="both"/>
        <w:rPr>
          <w:rFonts w:ascii="Arial" w:eastAsia="ChaparralPro-Regular" w:hAnsi="Arial" w:cs="Arial"/>
          <w:color w:val="auto"/>
          <w:sz w:val="16"/>
          <w:szCs w:val="16"/>
        </w:rPr>
      </w:pPr>
      <w:r w:rsidRPr="00442515">
        <w:rPr>
          <w:rFonts w:ascii="Arial" w:eastAsia="ChaparralPro-Regular" w:hAnsi="Arial" w:cs="Arial"/>
          <w:sz w:val="16"/>
          <w:szCs w:val="16"/>
        </w:rPr>
        <w:t>Výběr údajů a dopočet podílu platu začínajícího učitele s nejčastěji požadovaným vzděláním vůči platu učitele na vrcholu platového žebříčku a s maximálním dosaženým vzděláním ČSÚ.</w:t>
      </w:r>
    </w:p>
    <w:p w:rsidR="003B77B9" w:rsidRDefault="003B77B9" w:rsidP="003B77B9">
      <w:pPr>
        <w:pStyle w:val="Default"/>
        <w:jc w:val="both"/>
        <w:rPr>
          <w:rFonts w:ascii="Arial" w:eastAsia="ChaparralPro-Regular" w:hAnsi="Arial" w:cs="Arial"/>
          <w:color w:val="auto"/>
          <w:sz w:val="20"/>
          <w:szCs w:val="20"/>
        </w:rPr>
      </w:pPr>
    </w:p>
    <w:p w:rsidR="003B77B9" w:rsidRPr="00442515" w:rsidRDefault="003B77B9" w:rsidP="003B77B9">
      <w:pPr>
        <w:pStyle w:val="Default"/>
        <w:spacing w:after="120"/>
        <w:jc w:val="both"/>
        <w:rPr>
          <w:rFonts w:ascii="Arial" w:eastAsia="ChaparralPro-Regular" w:hAnsi="Arial" w:cs="Arial"/>
          <w:color w:val="auto"/>
          <w:sz w:val="20"/>
          <w:szCs w:val="20"/>
        </w:rPr>
      </w:pPr>
      <w:r w:rsidRPr="00442515">
        <w:rPr>
          <w:rFonts w:ascii="Arial" w:eastAsia="ChaparralPro-Regular" w:hAnsi="Arial" w:cs="Arial"/>
          <w:color w:val="auto"/>
          <w:sz w:val="20"/>
          <w:szCs w:val="20"/>
        </w:rPr>
        <w:t>Přitom o rok dříve se na místo nejčastěji požadovaného vzdělávání sledovalo minimální požadované vzdělávání a ČR byla v roce 2012 po Dánsku druhou zemí, ve které byly rozdíly mezi začínajícími učiteli s minimálním požadovaným vzděláním a učiteli na vrcholu platového žebříčku a</w:t>
      </w:r>
      <w:r>
        <w:rPr>
          <w:rFonts w:ascii="Arial" w:eastAsia="ChaparralPro-Regular" w:hAnsi="Arial" w:cs="Arial"/>
          <w:color w:val="auto"/>
          <w:sz w:val="20"/>
          <w:szCs w:val="20"/>
        </w:rPr>
        <w:t> </w:t>
      </w:r>
      <w:r w:rsidRPr="00442515">
        <w:rPr>
          <w:rFonts w:ascii="Arial" w:eastAsia="ChaparralPro-Regular" w:hAnsi="Arial" w:cs="Arial"/>
          <w:color w:val="auto"/>
          <w:sz w:val="20"/>
          <w:szCs w:val="20"/>
        </w:rPr>
        <w:t>s maximálním dosaženým vzděláním nejnižší</w:t>
      </w:r>
      <w:r>
        <w:rPr>
          <w:rFonts w:ascii="Arial" w:eastAsia="ChaparralPro-Regular" w:hAnsi="Arial" w:cs="Arial"/>
          <w:color w:val="auto"/>
          <w:sz w:val="20"/>
          <w:szCs w:val="20"/>
        </w:rPr>
        <w:t xml:space="preserve"> – viz graf č. 31</w:t>
      </w:r>
      <w:r w:rsidRPr="00442515">
        <w:rPr>
          <w:rFonts w:ascii="Arial" w:eastAsia="ChaparralPro-Regular" w:hAnsi="Arial" w:cs="Arial"/>
          <w:color w:val="auto"/>
          <w:sz w:val="20"/>
          <w:szCs w:val="20"/>
        </w:rPr>
        <w:t xml:space="preserve">. V tomto ohledu tedy došlo v ČR ke změně. </w:t>
      </w:r>
    </w:p>
    <w:p w:rsidR="00306953" w:rsidRPr="003B77B9" w:rsidRDefault="00306953" w:rsidP="00306953">
      <w:pPr>
        <w:pStyle w:val="Default"/>
        <w:keepNext/>
        <w:spacing w:after="120"/>
        <w:jc w:val="both"/>
        <w:rPr>
          <w:rFonts w:ascii="Arial" w:eastAsia="ChaparralPro-Regular" w:hAnsi="Arial" w:cs="Arial"/>
          <w:b/>
          <w:color w:val="auto"/>
          <w:sz w:val="12"/>
          <w:szCs w:val="12"/>
          <w:highlight w:val="yellow"/>
        </w:rPr>
      </w:pPr>
    </w:p>
    <w:p w:rsidR="00306953" w:rsidRPr="00442515" w:rsidRDefault="00306953" w:rsidP="00306953">
      <w:pPr>
        <w:pStyle w:val="Default"/>
        <w:keepNext/>
        <w:spacing w:after="120"/>
        <w:jc w:val="both"/>
        <w:rPr>
          <w:rFonts w:ascii="Arial" w:eastAsia="ChaparralPro-Regular" w:hAnsi="Arial" w:cs="Arial"/>
          <w:i/>
          <w:color w:val="auto"/>
          <w:sz w:val="20"/>
          <w:szCs w:val="20"/>
        </w:rPr>
      </w:pPr>
      <w:r w:rsidRPr="00442515">
        <w:rPr>
          <w:rFonts w:ascii="Arial" w:eastAsia="ChaparralPro-Regular" w:hAnsi="Arial" w:cs="Arial"/>
          <w:b/>
          <w:color w:val="auto"/>
          <w:sz w:val="20"/>
          <w:szCs w:val="20"/>
        </w:rPr>
        <w:t>Tabulka č. 31 Roční platy učitelů nižšího sekundárního vzdělávání v různých etapách učitelské profesní dráhy (2012)</w:t>
      </w:r>
      <w:r w:rsidRPr="00442515">
        <w:rPr>
          <w:rFonts w:ascii="Arial" w:eastAsia="ChaparralPro-Regular" w:hAnsi="Arial" w:cs="Arial"/>
          <w:b/>
          <w:color w:val="auto"/>
          <w:sz w:val="20"/>
          <w:szCs w:val="20"/>
        </w:rPr>
        <w:cr/>
      </w:r>
      <w:r w:rsidR="00AB388A">
        <w:rPr>
          <w:rFonts w:ascii="Arial" w:eastAsia="ChaparralPro-Regular" w:hAnsi="Arial" w:cs="Arial"/>
          <w:i/>
          <w:color w:val="auto"/>
          <w:sz w:val="20"/>
          <w:szCs w:val="20"/>
        </w:rPr>
        <w:t>r</w:t>
      </w:r>
      <w:r w:rsidRPr="00442515">
        <w:rPr>
          <w:rFonts w:ascii="Arial" w:eastAsia="ChaparralPro-Regular" w:hAnsi="Arial" w:cs="Arial"/>
          <w:i/>
          <w:color w:val="auto"/>
          <w:sz w:val="20"/>
          <w:szCs w:val="20"/>
        </w:rPr>
        <w:t>oční zákonem stanovené platy učitelů ve veřejných institucích, přepočteno na USD a paritu kupní síly</w:t>
      </w:r>
    </w:p>
    <w:tbl>
      <w:tblPr>
        <w:tblW w:w="9613" w:type="dxa"/>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1433"/>
        <w:gridCol w:w="1620"/>
        <w:gridCol w:w="1620"/>
        <w:gridCol w:w="2140"/>
        <w:gridCol w:w="2800"/>
      </w:tblGrid>
      <w:tr w:rsidR="00306953" w:rsidRPr="00442515" w:rsidTr="001C4685">
        <w:trPr>
          <w:trHeight w:val="915"/>
        </w:trPr>
        <w:tc>
          <w:tcPr>
            <w:tcW w:w="1433" w:type="dxa"/>
            <w:vMerge w:val="restart"/>
            <w:tcBorders>
              <w:top w:val="double" w:sz="4" w:space="0" w:color="auto"/>
              <w:bottom w:val="single" w:sz="4" w:space="0" w:color="auto"/>
            </w:tcBorders>
            <w:shd w:val="clear" w:color="auto" w:fill="FFCCCC"/>
            <w:vAlign w:val="center"/>
            <w:hideMark/>
          </w:tcPr>
          <w:p w:rsidR="00306953" w:rsidRPr="00442515" w:rsidRDefault="00306953" w:rsidP="00E11E29">
            <w:pPr>
              <w:spacing w:after="0" w:line="240" w:lineRule="auto"/>
              <w:rPr>
                <w:rFonts w:cs="Arial"/>
                <w:b/>
                <w:bCs/>
                <w:color w:val="000000"/>
                <w:sz w:val="16"/>
                <w:szCs w:val="16"/>
              </w:rPr>
            </w:pPr>
          </w:p>
        </w:tc>
        <w:tc>
          <w:tcPr>
            <w:tcW w:w="1620" w:type="dxa"/>
            <w:tcBorders>
              <w:top w:val="double" w:sz="4" w:space="0" w:color="auto"/>
              <w:bottom w:val="single" w:sz="4" w:space="0" w:color="auto"/>
            </w:tcBorders>
            <w:shd w:val="clear" w:color="auto" w:fill="FFCCCC"/>
            <w:vAlign w:val="center"/>
            <w:hideMark/>
          </w:tcPr>
          <w:p w:rsidR="00306953" w:rsidRPr="00442515" w:rsidRDefault="006B426D" w:rsidP="00306953">
            <w:pPr>
              <w:spacing w:after="0" w:line="240" w:lineRule="auto"/>
              <w:jc w:val="center"/>
              <w:rPr>
                <w:rFonts w:cs="Arial"/>
                <w:b/>
                <w:bCs/>
                <w:color w:val="000000"/>
                <w:sz w:val="16"/>
                <w:szCs w:val="16"/>
              </w:rPr>
            </w:pPr>
            <w:r>
              <w:rPr>
                <w:rFonts w:cs="Arial"/>
                <w:b/>
                <w:bCs/>
                <w:color w:val="000000"/>
                <w:sz w:val="16"/>
                <w:szCs w:val="16"/>
              </w:rPr>
              <w:t>p</w:t>
            </w:r>
            <w:r w:rsidR="007A5643">
              <w:rPr>
                <w:rFonts w:cs="Arial"/>
                <w:b/>
                <w:bCs/>
                <w:color w:val="000000"/>
                <w:sz w:val="16"/>
                <w:szCs w:val="16"/>
              </w:rPr>
              <w:t>lat začínajícího učitele s minimálním</w:t>
            </w:r>
            <w:r w:rsidR="00306953" w:rsidRPr="00442515">
              <w:rPr>
                <w:rFonts w:cs="Arial"/>
                <w:b/>
                <w:bCs/>
                <w:color w:val="000000"/>
                <w:sz w:val="16"/>
                <w:szCs w:val="16"/>
              </w:rPr>
              <w:t xml:space="preserve"> požadovaným vzděláním</w:t>
            </w:r>
          </w:p>
        </w:tc>
        <w:tc>
          <w:tcPr>
            <w:tcW w:w="1620" w:type="dxa"/>
            <w:tcBorders>
              <w:top w:val="double" w:sz="4" w:space="0" w:color="auto"/>
              <w:bottom w:val="single" w:sz="4" w:space="0" w:color="auto"/>
            </w:tcBorders>
            <w:shd w:val="clear" w:color="auto" w:fill="FFCCCC"/>
            <w:vAlign w:val="center"/>
            <w:hideMark/>
          </w:tcPr>
          <w:p w:rsidR="00306953" w:rsidRPr="00442515" w:rsidRDefault="006B426D" w:rsidP="00306953">
            <w:pPr>
              <w:spacing w:after="0" w:line="240" w:lineRule="auto"/>
              <w:jc w:val="center"/>
              <w:rPr>
                <w:rFonts w:cs="Arial"/>
                <w:b/>
                <w:bCs/>
                <w:color w:val="000000"/>
                <w:sz w:val="16"/>
                <w:szCs w:val="16"/>
              </w:rPr>
            </w:pPr>
            <w:r>
              <w:rPr>
                <w:rFonts w:cs="Arial"/>
                <w:b/>
                <w:bCs/>
                <w:color w:val="000000"/>
                <w:sz w:val="16"/>
                <w:szCs w:val="16"/>
              </w:rPr>
              <w:t>plat učitele s </w:t>
            </w:r>
            <w:r w:rsidR="007A5643">
              <w:rPr>
                <w:rFonts w:cs="Arial"/>
                <w:b/>
                <w:bCs/>
                <w:color w:val="000000"/>
                <w:sz w:val="16"/>
                <w:szCs w:val="16"/>
              </w:rPr>
              <w:t>15letou praxí a minimálním</w:t>
            </w:r>
            <w:r w:rsidR="00306953" w:rsidRPr="00442515">
              <w:rPr>
                <w:rFonts w:cs="Arial"/>
                <w:b/>
                <w:bCs/>
                <w:color w:val="000000"/>
                <w:sz w:val="16"/>
                <w:szCs w:val="16"/>
              </w:rPr>
              <w:t xml:space="preserve"> požadovaným vzděláním </w:t>
            </w:r>
          </w:p>
        </w:tc>
        <w:tc>
          <w:tcPr>
            <w:tcW w:w="2140" w:type="dxa"/>
            <w:tcBorders>
              <w:top w:val="double" w:sz="4" w:space="0" w:color="auto"/>
              <w:bottom w:val="single" w:sz="4" w:space="0" w:color="auto"/>
            </w:tcBorders>
            <w:shd w:val="clear" w:color="auto" w:fill="FFCCCC"/>
            <w:vAlign w:val="center"/>
            <w:hideMark/>
          </w:tcPr>
          <w:p w:rsidR="00306953" w:rsidRPr="00442515" w:rsidRDefault="006B426D" w:rsidP="00306953">
            <w:pPr>
              <w:spacing w:after="0" w:line="240" w:lineRule="auto"/>
              <w:jc w:val="center"/>
              <w:rPr>
                <w:rFonts w:cs="Arial"/>
                <w:b/>
                <w:bCs/>
                <w:color w:val="000000"/>
                <w:sz w:val="16"/>
                <w:szCs w:val="16"/>
              </w:rPr>
            </w:pPr>
            <w:r>
              <w:rPr>
                <w:rFonts w:cs="Arial"/>
                <w:b/>
                <w:bCs/>
                <w:color w:val="000000"/>
                <w:sz w:val="16"/>
                <w:szCs w:val="16"/>
              </w:rPr>
              <w:t>p</w:t>
            </w:r>
            <w:r w:rsidR="00306953" w:rsidRPr="00442515">
              <w:rPr>
                <w:rFonts w:cs="Arial"/>
                <w:b/>
                <w:bCs/>
                <w:color w:val="000000"/>
                <w:sz w:val="16"/>
                <w:szCs w:val="16"/>
              </w:rPr>
              <w:t xml:space="preserve">lat učitele </w:t>
            </w:r>
            <w:r w:rsidR="007A5643">
              <w:rPr>
                <w:rFonts w:cs="Arial"/>
                <w:b/>
                <w:bCs/>
                <w:color w:val="000000"/>
                <w:sz w:val="16"/>
                <w:szCs w:val="16"/>
              </w:rPr>
              <w:t>na vrcholu platového žebříčku a </w:t>
            </w:r>
            <w:r w:rsidR="00306953" w:rsidRPr="00442515">
              <w:rPr>
                <w:rFonts w:cs="Arial"/>
                <w:b/>
                <w:bCs/>
                <w:color w:val="000000"/>
                <w:sz w:val="16"/>
                <w:szCs w:val="16"/>
              </w:rPr>
              <w:t xml:space="preserve">s maximálním dosaženým vzděláním </w:t>
            </w:r>
          </w:p>
        </w:tc>
        <w:tc>
          <w:tcPr>
            <w:tcW w:w="2800" w:type="dxa"/>
            <w:tcBorders>
              <w:top w:val="double" w:sz="4" w:space="0" w:color="auto"/>
              <w:bottom w:val="single" w:sz="4" w:space="0" w:color="auto"/>
            </w:tcBorders>
            <w:shd w:val="clear" w:color="auto" w:fill="FFCCCC"/>
            <w:vAlign w:val="center"/>
            <w:hideMark/>
          </w:tcPr>
          <w:p w:rsidR="00306953" w:rsidRPr="00442515" w:rsidRDefault="006B426D" w:rsidP="00306953">
            <w:pPr>
              <w:spacing w:after="0" w:line="240" w:lineRule="auto"/>
              <w:jc w:val="center"/>
              <w:rPr>
                <w:rFonts w:cs="Arial"/>
                <w:b/>
                <w:bCs/>
                <w:color w:val="000000"/>
                <w:sz w:val="16"/>
                <w:szCs w:val="16"/>
              </w:rPr>
            </w:pPr>
            <w:r>
              <w:rPr>
                <w:rFonts w:cs="Arial"/>
                <w:b/>
                <w:bCs/>
                <w:color w:val="000000"/>
                <w:sz w:val="16"/>
                <w:szCs w:val="16"/>
              </w:rPr>
              <w:t>p</w:t>
            </w:r>
            <w:r w:rsidR="00306953" w:rsidRPr="00442515">
              <w:rPr>
                <w:rFonts w:cs="Arial"/>
                <w:b/>
                <w:bCs/>
                <w:color w:val="000000"/>
                <w:sz w:val="16"/>
                <w:szCs w:val="16"/>
              </w:rPr>
              <w:t>od</w:t>
            </w:r>
            <w:r>
              <w:rPr>
                <w:rFonts w:cs="Arial"/>
                <w:b/>
                <w:bCs/>
                <w:color w:val="000000"/>
                <w:sz w:val="16"/>
                <w:szCs w:val="16"/>
              </w:rPr>
              <w:t>íl platu začínajícího učitele s </w:t>
            </w:r>
            <w:r w:rsidR="00306953" w:rsidRPr="00442515">
              <w:rPr>
                <w:rFonts w:cs="Arial"/>
                <w:b/>
                <w:bCs/>
                <w:color w:val="000000"/>
                <w:sz w:val="16"/>
                <w:szCs w:val="16"/>
              </w:rPr>
              <w:t xml:space="preserve">min. požadovaným vzděláním vůči platu učitele </w:t>
            </w:r>
            <w:r w:rsidR="007A5643">
              <w:rPr>
                <w:rFonts w:cs="Arial"/>
                <w:b/>
                <w:bCs/>
                <w:color w:val="000000"/>
                <w:sz w:val="16"/>
                <w:szCs w:val="16"/>
              </w:rPr>
              <w:t>na vrcholu platového žebříčku a </w:t>
            </w:r>
            <w:r w:rsidR="00306953" w:rsidRPr="00442515">
              <w:rPr>
                <w:rFonts w:cs="Arial"/>
                <w:b/>
                <w:bCs/>
                <w:color w:val="000000"/>
                <w:sz w:val="16"/>
                <w:szCs w:val="16"/>
              </w:rPr>
              <w:t>s maximálním dosaženým vzděláním</w:t>
            </w:r>
          </w:p>
        </w:tc>
      </w:tr>
      <w:tr w:rsidR="00306953" w:rsidRPr="00442515" w:rsidTr="001C4685">
        <w:trPr>
          <w:trHeight w:val="315"/>
        </w:trPr>
        <w:tc>
          <w:tcPr>
            <w:tcW w:w="1433" w:type="dxa"/>
            <w:vMerge/>
            <w:tcBorders>
              <w:top w:val="single" w:sz="4" w:space="0" w:color="auto"/>
              <w:bottom w:val="double" w:sz="4" w:space="0" w:color="auto"/>
            </w:tcBorders>
            <w:shd w:val="clear" w:color="auto" w:fill="FFCCCC"/>
            <w:vAlign w:val="center"/>
            <w:hideMark/>
          </w:tcPr>
          <w:p w:rsidR="00306953" w:rsidRPr="00442515" w:rsidRDefault="00306953" w:rsidP="00306953">
            <w:pPr>
              <w:spacing w:after="0" w:line="240" w:lineRule="auto"/>
              <w:rPr>
                <w:rFonts w:cs="Arial"/>
                <w:b/>
                <w:bCs/>
                <w:color w:val="000000"/>
                <w:sz w:val="16"/>
                <w:szCs w:val="16"/>
              </w:rPr>
            </w:pPr>
          </w:p>
        </w:tc>
        <w:tc>
          <w:tcPr>
            <w:tcW w:w="1620" w:type="dxa"/>
            <w:tcBorders>
              <w:top w:val="single" w:sz="4" w:space="0" w:color="auto"/>
              <w:bottom w:val="double" w:sz="4" w:space="0" w:color="auto"/>
            </w:tcBorders>
            <w:shd w:val="clear" w:color="auto" w:fill="FFCCCC"/>
            <w:noWrap/>
            <w:vAlign w:val="center"/>
            <w:hideMark/>
          </w:tcPr>
          <w:p w:rsidR="00306953" w:rsidRPr="00442515" w:rsidRDefault="00306953" w:rsidP="00306953">
            <w:pPr>
              <w:spacing w:after="0" w:line="240" w:lineRule="auto"/>
              <w:jc w:val="center"/>
              <w:rPr>
                <w:rFonts w:cs="Arial"/>
                <w:b/>
                <w:bCs/>
                <w:color w:val="000000"/>
                <w:sz w:val="16"/>
                <w:szCs w:val="16"/>
              </w:rPr>
            </w:pPr>
            <w:r w:rsidRPr="00442515">
              <w:rPr>
                <w:rFonts w:cs="Arial"/>
                <w:b/>
                <w:bCs/>
                <w:color w:val="000000"/>
                <w:sz w:val="16"/>
                <w:szCs w:val="16"/>
                <w:lang w:val="en-US"/>
              </w:rPr>
              <w:t>USD</w:t>
            </w:r>
          </w:p>
        </w:tc>
        <w:tc>
          <w:tcPr>
            <w:tcW w:w="1620" w:type="dxa"/>
            <w:tcBorders>
              <w:top w:val="single" w:sz="4" w:space="0" w:color="auto"/>
              <w:bottom w:val="double" w:sz="4" w:space="0" w:color="auto"/>
            </w:tcBorders>
            <w:shd w:val="clear" w:color="auto" w:fill="FFCCCC"/>
            <w:noWrap/>
            <w:vAlign w:val="center"/>
            <w:hideMark/>
          </w:tcPr>
          <w:p w:rsidR="00306953" w:rsidRPr="00442515" w:rsidRDefault="00306953" w:rsidP="00306953">
            <w:pPr>
              <w:spacing w:after="0" w:line="240" w:lineRule="auto"/>
              <w:jc w:val="center"/>
              <w:rPr>
                <w:rFonts w:cs="Arial"/>
                <w:b/>
                <w:bCs/>
                <w:color w:val="000000"/>
                <w:sz w:val="16"/>
                <w:szCs w:val="16"/>
              </w:rPr>
            </w:pPr>
            <w:r w:rsidRPr="00442515">
              <w:rPr>
                <w:rFonts w:cs="Arial"/>
                <w:b/>
                <w:bCs/>
                <w:color w:val="000000"/>
                <w:sz w:val="16"/>
                <w:szCs w:val="16"/>
                <w:lang w:val="en-US"/>
              </w:rPr>
              <w:t>USD</w:t>
            </w:r>
          </w:p>
        </w:tc>
        <w:tc>
          <w:tcPr>
            <w:tcW w:w="2140" w:type="dxa"/>
            <w:tcBorders>
              <w:top w:val="single" w:sz="4" w:space="0" w:color="auto"/>
              <w:bottom w:val="double" w:sz="4" w:space="0" w:color="auto"/>
            </w:tcBorders>
            <w:shd w:val="clear" w:color="auto" w:fill="FFCCCC"/>
            <w:noWrap/>
            <w:vAlign w:val="center"/>
            <w:hideMark/>
          </w:tcPr>
          <w:p w:rsidR="00306953" w:rsidRPr="00442515" w:rsidRDefault="00306953" w:rsidP="00306953">
            <w:pPr>
              <w:spacing w:after="0" w:line="240" w:lineRule="auto"/>
              <w:jc w:val="center"/>
              <w:rPr>
                <w:rFonts w:cs="Arial"/>
                <w:b/>
                <w:bCs/>
                <w:color w:val="000000"/>
                <w:sz w:val="16"/>
                <w:szCs w:val="16"/>
              </w:rPr>
            </w:pPr>
            <w:r w:rsidRPr="00442515">
              <w:rPr>
                <w:rFonts w:cs="Arial"/>
                <w:b/>
                <w:bCs/>
                <w:color w:val="000000"/>
                <w:sz w:val="16"/>
                <w:szCs w:val="16"/>
                <w:lang w:val="en-US"/>
              </w:rPr>
              <w:t>USD</w:t>
            </w:r>
          </w:p>
        </w:tc>
        <w:tc>
          <w:tcPr>
            <w:tcW w:w="2800" w:type="dxa"/>
            <w:tcBorders>
              <w:top w:val="single" w:sz="4" w:space="0" w:color="auto"/>
              <w:bottom w:val="double" w:sz="4" w:space="0" w:color="auto"/>
            </w:tcBorders>
            <w:shd w:val="clear" w:color="auto" w:fill="FFCCCC"/>
            <w:vAlign w:val="center"/>
            <w:hideMark/>
          </w:tcPr>
          <w:p w:rsidR="00306953" w:rsidRPr="00442515" w:rsidRDefault="00306953" w:rsidP="00306953">
            <w:pPr>
              <w:spacing w:after="0" w:line="240" w:lineRule="auto"/>
              <w:jc w:val="center"/>
              <w:rPr>
                <w:rFonts w:cs="Arial"/>
                <w:b/>
                <w:bCs/>
                <w:color w:val="000000"/>
                <w:sz w:val="16"/>
                <w:szCs w:val="16"/>
              </w:rPr>
            </w:pPr>
            <w:r w:rsidRPr="00442515">
              <w:rPr>
                <w:rFonts w:cs="Arial"/>
                <w:b/>
                <w:bCs/>
                <w:color w:val="000000"/>
                <w:sz w:val="16"/>
                <w:szCs w:val="16"/>
                <w:lang w:val="en-US"/>
              </w:rPr>
              <w:t>%</w:t>
            </w:r>
          </w:p>
        </w:tc>
      </w:tr>
      <w:tr w:rsidR="00306953" w:rsidRPr="00442515" w:rsidTr="001C4685">
        <w:trPr>
          <w:trHeight w:val="315"/>
        </w:trPr>
        <w:tc>
          <w:tcPr>
            <w:tcW w:w="1433" w:type="dxa"/>
            <w:tcBorders>
              <w:top w:val="double" w:sz="4" w:space="0" w:color="auto"/>
            </w:tcBorders>
            <w:shd w:val="clear" w:color="auto" w:fill="auto"/>
            <w:noWrap/>
            <w:vAlign w:val="center"/>
            <w:hideMark/>
          </w:tcPr>
          <w:p w:rsidR="00306953" w:rsidRPr="00442515" w:rsidRDefault="00306953" w:rsidP="004C55CD">
            <w:pPr>
              <w:spacing w:after="0" w:line="240" w:lineRule="auto"/>
              <w:rPr>
                <w:rFonts w:cs="Arial"/>
                <w:color w:val="000000"/>
                <w:sz w:val="16"/>
                <w:szCs w:val="16"/>
              </w:rPr>
            </w:pPr>
            <w:r w:rsidRPr="00442515">
              <w:rPr>
                <w:rFonts w:cs="Arial"/>
                <w:color w:val="000000"/>
                <w:sz w:val="16"/>
                <w:szCs w:val="16"/>
              </w:rPr>
              <w:t>Česká republika</w:t>
            </w:r>
            <w:r w:rsidR="001C4685" w:rsidRPr="001C4685">
              <w:rPr>
                <w:rFonts w:cs="Arial"/>
                <w:color w:val="000000"/>
                <w:sz w:val="16"/>
                <w:szCs w:val="16"/>
                <w:vertAlign w:val="superscript"/>
              </w:rPr>
              <w:t>1)</w:t>
            </w:r>
          </w:p>
        </w:tc>
        <w:tc>
          <w:tcPr>
            <w:tcW w:w="1620" w:type="dxa"/>
            <w:tcBorders>
              <w:top w:val="double" w:sz="4" w:space="0" w:color="auto"/>
            </w:tcBorders>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lang w:val="en-US"/>
              </w:rPr>
              <w:t>17 104,18</w:t>
            </w:r>
          </w:p>
        </w:tc>
        <w:tc>
          <w:tcPr>
            <w:tcW w:w="1620" w:type="dxa"/>
            <w:tcBorders>
              <w:top w:val="double" w:sz="4" w:space="0" w:color="auto"/>
            </w:tcBorders>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lang w:val="en-US"/>
              </w:rPr>
              <w:t>19 514,74</w:t>
            </w:r>
          </w:p>
        </w:tc>
        <w:tc>
          <w:tcPr>
            <w:tcW w:w="2140" w:type="dxa"/>
            <w:tcBorders>
              <w:top w:val="double" w:sz="4" w:space="0" w:color="auto"/>
            </w:tcBorders>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lang w:val="en-US"/>
              </w:rPr>
              <w:t>21 950,92</w:t>
            </w:r>
          </w:p>
        </w:tc>
        <w:tc>
          <w:tcPr>
            <w:tcW w:w="2800" w:type="dxa"/>
            <w:tcBorders>
              <w:top w:val="double" w:sz="4" w:space="0" w:color="auto"/>
            </w:tcBorders>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lang w:val="en-US"/>
              </w:rPr>
              <w:t>77,90%</w:t>
            </w:r>
          </w:p>
        </w:tc>
      </w:tr>
      <w:tr w:rsidR="00306953" w:rsidRPr="00442515" w:rsidTr="001C4685">
        <w:trPr>
          <w:trHeight w:val="315"/>
        </w:trPr>
        <w:tc>
          <w:tcPr>
            <w:tcW w:w="1433" w:type="dxa"/>
            <w:shd w:val="clear" w:color="auto" w:fill="auto"/>
            <w:noWrap/>
            <w:vAlign w:val="center"/>
            <w:hideMark/>
          </w:tcPr>
          <w:p w:rsidR="00306953" w:rsidRPr="00442515" w:rsidRDefault="00306953" w:rsidP="004C55CD">
            <w:pPr>
              <w:spacing w:after="0" w:line="240" w:lineRule="auto"/>
              <w:rPr>
                <w:rFonts w:cs="Arial"/>
                <w:color w:val="000000"/>
                <w:sz w:val="16"/>
                <w:szCs w:val="16"/>
              </w:rPr>
            </w:pPr>
            <w:r w:rsidRPr="00442515">
              <w:rPr>
                <w:rFonts w:cs="Arial"/>
                <w:color w:val="000000"/>
                <w:sz w:val="16"/>
                <w:szCs w:val="16"/>
              </w:rPr>
              <w:t>Slovensko</w:t>
            </w:r>
          </w:p>
        </w:tc>
        <w:tc>
          <w:tcPr>
            <w:tcW w:w="162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lang w:val="en-US"/>
              </w:rPr>
              <w:t>10 643,87</w:t>
            </w:r>
          </w:p>
        </w:tc>
        <w:tc>
          <w:tcPr>
            <w:tcW w:w="162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lang w:val="en-US"/>
              </w:rPr>
              <w:t>13 364,51</w:t>
            </w:r>
          </w:p>
        </w:tc>
        <w:tc>
          <w:tcPr>
            <w:tcW w:w="214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lang w:val="en-US"/>
              </w:rPr>
              <w:t>17 703,50</w:t>
            </w:r>
          </w:p>
        </w:tc>
        <w:tc>
          <w:tcPr>
            <w:tcW w:w="280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lang w:val="en-US"/>
              </w:rPr>
              <w:t>60,10%</w:t>
            </w:r>
          </w:p>
        </w:tc>
      </w:tr>
      <w:tr w:rsidR="00306953" w:rsidRPr="00442515" w:rsidTr="001C4685">
        <w:trPr>
          <w:trHeight w:val="315"/>
        </w:trPr>
        <w:tc>
          <w:tcPr>
            <w:tcW w:w="1433" w:type="dxa"/>
            <w:shd w:val="clear" w:color="auto" w:fill="auto"/>
            <w:noWrap/>
            <w:vAlign w:val="center"/>
            <w:hideMark/>
          </w:tcPr>
          <w:p w:rsidR="00306953" w:rsidRPr="00442515" w:rsidRDefault="00306953" w:rsidP="004C55CD">
            <w:pPr>
              <w:spacing w:after="0" w:line="240" w:lineRule="auto"/>
              <w:rPr>
                <w:rFonts w:cs="Arial"/>
                <w:color w:val="000000"/>
                <w:sz w:val="16"/>
                <w:szCs w:val="16"/>
              </w:rPr>
            </w:pPr>
            <w:r w:rsidRPr="00442515">
              <w:rPr>
                <w:rFonts w:cs="Arial"/>
                <w:color w:val="000000"/>
                <w:sz w:val="16"/>
                <w:szCs w:val="16"/>
              </w:rPr>
              <w:t xml:space="preserve">Polsko </w:t>
            </w:r>
          </w:p>
        </w:tc>
        <w:tc>
          <w:tcPr>
            <w:tcW w:w="162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lang w:val="en-US"/>
              </w:rPr>
              <w:t>12 824,08</w:t>
            </w:r>
          </w:p>
        </w:tc>
        <w:tc>
          <w:tcPr>
            <w:tcW w:w="162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lang w:val="en-US"/>
              </w:rPr>
              <w:t>20 700,13</w:t>
            </w:r>
          </w:p>
        </w:tc>
        <w:tc>
          <w:tcPr>
            <w:tcW w:w="214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lang w:val="en-US"/>
              </w:rPr>
              <w:t>24 693,29</w:t>
            </w:r>
          </w:p>
        </w:tc>
        <w:tc>
          <w:tcPr>
            <w:tcW w:w="280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lang w:val="en-US"/>
              </w:rPr>
              <w:t>51,90%</w:t>
            </w:r>
          </w:p>
        </w:tc>
      </w:tr>
      <w:tr w:rsidR="00306953" w:rsidRPr="00442515" w:rsidTr="001C4685">
        <w:trPr>
          <w:trHeight w:val="315"/>
        </w:trPr>
        <w:tc>
          <w:tcPr>
            <w:tcW w:w="1433" w:type="dxa"/>
            <w:shd w:val="clear" w:color="auto" w:fill="auto"/>
            <w:noWrap/>
            <w:vAlign w:val="center"/>
            <w:hideMark/>
          </w:tcPr>
          <w:p w:rsidR="00306953" w:rsidRPr="00442515" w:rsidRDefault="00306953" w:rsidP="004C55CD">
            <w:pPr>
              <w:spacing w:after="0" w:line="240" w:lineRule="auto"/>
              <w:rPr>
                <w:rFonts w:cs="Arial"/>
                <w:color w:val="000000"/>
                <w:sz w:val="16"/>
                <w:szCs w:val="16"/>
              </w:rPr>
            </w:pPr>
            <w:r w:rsidRPr="00442515">
              <w:rPr>
                <w:rFonts w:cs="Arial"/>
                <w:color w:val="000000"/>
                <w:sz w:val="16"/>
                <w:szCs w:val="16"/>
              </w:rPr>
              <w:t>Estonsko</w:t>
            </w:r>
          </w:p>
        </w:tc>
        <w:tc>
          <w:tcPr>
            <w:tcW w:w="162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lang w:val="en-US"/>
              </w:rPr>
              <w:t>11 828,12</w:t>
            </w:r>
          </w:p>
        </w:tc>
        <w:tc>
          <w:tcPr>
            <w:tcW w:w="162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lang w:val="en-US"/>
              </w:rPr>
              <w:t>12 525,03</w:t>
            </w:r>
          </w:p>
        </w:tc>
        <w:tc>
          <w:tcPr>
            <w:tcW w:w="214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lang w:val="en-US"/>
              </w:rPr>
              <w:t>17 288,37</w:t>
            </w:r>
          </w:p>
        </w:tc>
        <w:tc>
          <w:tcPr>
            <w:tcW w:w="280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lang w:val="en-US"/>
              </w:rPr>
              <w:t>68,40%</w:t>
            </w:r>
          </w:p>
        </w:tc>
      </w:tr>
      <w:tr w:rsidR="00306953" w:rsidRPr="00442515" w:rsidTr="001C4685">
        <w:trPr>
          <w:trHeight w:val="315"/>
        </w:trPr>
        <w:tc>
          <w:tcPr>
            <w:tcW w:w="1433" w:type="dxa"/>
            <w:shd w:val="clear" w:color="auto" w:fill="auto"/>
            <w:noWrap/>
            <w:vAlign w:val="center"/>
            <w:hideMark/>
          </w:tcPr>
          <w:p w:rsidR="00306953" w:rsidRPr="00442515" w:rsidRDefault="00306953" w:rsidP="004C55CD">
            <w:pPr>
              <w:spacing w:after="0" w:line="240" w:lineRule="auto"/>
              <w:rPr>
                <w:rFonts w:cs="Arial"/>
                <w:color w:val="000000"/>
                <w:sz w:val="16"/>
                <w:szCs w:val="16"/>
              </w:rPr>
            </w:pPr>
            <w:r w:rsidRPr="00442515">
              <w:rPr>
                <w:rFonts w:cs="Arial"/>
                <w:color w:val="000000"/>
                <w:sz w:val="16"/>
                <w:szCs w:val="16"/>
              </w:rPr>
              <w:t>Finsko</w:t>
            </w:r>
          </w:p>
        </w:tc>
        <w:tc>
          <w:tcPr>
            <w:tcW w:w="162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lang w:val="en-US"/>
              </w:rPr>
              <w:t>34 720,13</w:t>
            </w:r>
          </w:p>
        </w:tc>
        <w:tc>
          <w:tcPr>
            <w:tcW w:w="162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lang w:val="en-US"/>
              </w:rPr>
              <w:t>42 600,64</w:t>
            </w:r>
          </w:p>
        </w:tc>
        <w:tc>
          <w:tcPr>
            <w:tcW w:w="214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lang w:val="en-US"/>
              </w:rPr>
              <w:t>45 156,70</w:t>
            </w:r>
          </w:p>
        </w:tc>
        <w:tc>
          <w:tcPr>
            <w:tcW w:w="280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lang w:val="en-US"/>
              </w:rPr>
              <w:t>76,90%</w:t>
            </w:r>
          </w:p>
        </w:tc>
      </w:tr>
      <w:tr w:rsidR="00306953" w:rsidRPr="00442515" w:rsidTr="001C4685">
        <w:trPr>
          <w:trHeight w:val="315"/>
        </w:trPr>
        <w:tc>
          <w:tcPr>
            <w:tcW w:w="1433" w:type="dxa"/>
            <w:shd w:val="clear" w:color="auto" w:fill="auto"/>
            <w:noWrap/>
            <w:vAlign w:val="center"/>
            <w:hideMark/>
          </w:tcPr>
          <w:p w:rsidR="00306953" w:rsidRPr="00442515" w:rsidRDefault="00306953" w:rsidP="004C55CD">
            <w:pPr>
              <w:spacing w:after="0" w:line="240" w:lineRule="auto"/>
              <w:rPr>
                <w:rFonts w:cs="Arial"/>
                <w:color w:val="000000"/>
                <w:sz w:val="16"/>
                <w:szCs w:val="16"/>
              </w:rPr>
            </w:pPr>
            <w:r w:rsidRPr="00442515">
              <w:rPr>
                <w:rFonts w:cs="Arial"/>
                <w:color w:val="000000"/>
                <w:sz w:val="16"/>
                <w:szCs w:val="16"/>
              </w:rPr>
              <w:t>Rakousko</w:t>
            </w:r>
          </w:p>
        </w:tc>
        <w:tc>
          <w:tcPr>
            <w:tcW w:w="162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34 126,22</w:t>
            </w:r>
          </w:p>
        </w:tc>
        <w:tc>
          <w:tcPr>
            <w:tcW w:w="162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46 624,58</w:t>
            </w:r>
          </w:p>
        </w:tc>
        <w:tc>
          <w:tcPr>
            <w:tcW w:w="214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78 553,77</w:t>
            </w:r>
          </w:p>
        </w:tc>
        <w:tc>
          <w:tcPr>
            <w:tcW w:w="280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43,40%</w:t>
            </w:r>
          </w:p>
        </w:tc>
      </w:tr>
      <w:tr w:rsidR="00306953" w:rsidRPr="007E5BD0" w:rsidTr="001C4685">
        <w:trPr>
          <w:trHeight w:val="315"/>
        </w:trPr>
        <w:tc>
          <w:tcPr>
            <w:tcW w:w="1433" w:type="dxa"/>
            <w:shd w:val="clear" w:color="auto" w:fill="C6D9F1" w:themeFill="text2" w:themeFillTint="33"/>
            <w:noWrap/>
            <w:vAlign w:val="center"/>
            <w:hideMark/>
          </w:tcPr>
          <w:p w:rsidR="00306953" w:rsidRPr="00631582" w:rsidRDefault="006B426D" w:rsidP="004C55CD">
            <w:pPr>
              <w:spacing w:after="0" w:line="240" w:lineRule="auto"/>
              <w:rPr>
                <w:rFonts w:cs="Arial"/>
                <w:color w:val="000000"/>
                <w:sz w:val="16"/>
                <w:szCs w:val="16"/>
              </w:rPr>
            </w:pPr>
            <w:r w:rsidRPr="00631582">
              <w:rPr>
                <w:rFonts w:cs="Arial"/>
                <w:color w:val="000000"/>
                <w:sz w:val="16"/>
                <w:szCs w:val="16"/>
              </w:rPr>
              <w:t>p</w:t>
            </w:r>
            <w:r w:rsidR="00306953" w:rsidRPr="00631582">
              <w:rPr>
                <w:rFonts w:cs="Arial"/>
                <w:color w:val="000000"/>
                <w:sz w:val="16"/>
                <w:szCs w:val="16"/>
              </w:rPr>
              <w:t>růměr OECD</w:t>
            </w:r>
          </w:p>
        </w:tc>
        <w:tc>
          <w:tcPr>
            <w:tcW w:w="162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color w:val="000000"/>
                <w:sz w:val="16"/>
                <w:szCs w:val="16"/>
              </w:rPr>
            </w:pPr>
            <w:r w:rsidRPr="00631582">
              <w:rPr>
                <w:rFonts w:cs="Arial"/>
                <w:color w:val="000000"/>
                <w:sz w:val="16"/>
                <w:szCs w:val="16"/>
                <w:lang w:val="en-US"/>
              </w:rPr>
              <w:t>30 735,23</w:t>
            </w:r>
          </w:p>
        </w:tc>
        <w:tc>
          <w:tcPr>
            <w:tcW w:w="162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color w:val="000000"/>
                <w:sz w:val="16"/>
                <w:szCs w:val="16"/>
              </w:rPr>
            </w:pPr>
            <w:r w:rsidRPr="00631582">
              <w:rPr>
                <w:rFonts w:cs="Arial"/>
                <w:color w:val="000000"/>
                <w:sz w:val="16"/>
                <w:szCs w:val="16"/>
                <w:lang w:val="en-US"/>
              </w:rPr>
              <w:t>40 569,58</w:t>
            </w:r>
          </w:p>
        </w:tc>
        <w:tc>
          <w:tcPr>
            <w:tcW w:w="214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color w:val="000000"/>
                <w:sz w:val="16"/>
                <w:szCs w:val="16"/>
              </w:rPr>
            </w:pPr>
            <w:r w:rsidRPr="00631582">
              <w:rPr>
                <w:rFonts w:cs="Arial"/>
                <w:color w:val="000000"/>
                <w:sz w:val="16"/>
                <w:szCs w:val="16"/>
                <w:lang w:val="en-US"/>
              </w:rPr>
              <w:t>53 686,11</w:t>
            </w:r>
          </w:p>
        </w:tc>
        <w:tc>
          <w:tcPr>
            <w:tcW w:w="280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color w:val="000000"/>
                <w:sz w:val="16"/>
                <w:szCs w:val="16"/>
              </w:rPr>
            </w:pPr>
            <w:r w:rsidRPr="00631582">
              <w:rPr>
                <w:rFonts w:cs="Arial"/>
                <w:color w:val="000000"/>
                <w:sz w:val="16"/>
                <w:szCs w:val="16"/>
                <w:lang w:val="en-US"/>
              </w:rPr>
              <w:t>57,20%</w:t>
            </w:r>
          </w:p>
        </w:tc>
      </w:tr>
    </w:tbl>
    <w:p w:rsidR="00306953" w:rsidRPr="00442515" w:rsidRDefault="00306953" w:rsidP="00306953">
      <w:pPr>
        <w:autoSpaceDE w:val="0"/>
        <w:autoSpaceDN w:val="0"/>
        <w:adjustRightInd w:val="0"/>
        <w:spacing w:after="0" w:line="240" w:lineRule="auto"/>
        <w:jc w:val="both"/>
        <w:rPr>
          <w:rFonts w:eastAsia="ChaparralPro-Regular" w:cs="Arial"/>
          <w:i/>
          <w:sz w:val="16"/>
          <w:szCs w:val="16"/>
        </w:rPr>
      </w:pPr>
    </w:p>
    <w:p w:rsidR="00306953" w:rsidRPr="00E031F1" w:rsidRDefault="001C4685" w:rsidP="00306953">
      <w:pPr>
        <w:autoSpaceDE w:val="0"/>
        <w:autoSpaceDN w:val="0"/>
        <w:adjustRightInd w:val="0"/>
        <w:spacing w:after="0" w:line="240" w:lineRule="auto"/>
        <w:jc w:val="both"/>
        <w:rPr>
          <w:rFonts w:eastAsia="ChaparralPro-Regular" w:cs="Arial"/>
          <w:sz w:val="16"/>
          <w:szCs w:val="16"/>
        </w:rPr>
      </w:pPr>
      <w:r w:rsidRPr="001C4685">
        <w:rPr>
          <w:rFonts w:eastAsia="ChaparralPro-Regular" w:cs="Arial"/>
          <w:sz w:val="16"/>
          <w:szCs w:val="16"/>
          <w:vertAlign w:val="superscript"/>
        </w:rPr>
        <w:t>1)</w:t>
      </w:r>
      <w:r>
        <w:rPr>
          <w:rFonts w:eastAsia="ChaparralPro-Regular" w:cs="Arial"/>
          <w:sz w:val="16"/>
          <w:szCs w:val="16"/>
        </w:rPr>
        <w:t xml:space="preserve"> Ú</w:t>
      </w:r>
      <w:r w:rsidR="00306953" w:rsidRPr="00E031F1">
        <w:rPr>
          <w:rFonts w:eastAsia="ChaparralPro-Regular" w:cs="Arial"/>
          <w:sz w:val="16"/>
          <w:szCs w:val="16"/>
        </w:rPr>
        <w:t>daje za nejzkušenější učitele v ČR odpovídají platům nejzkušenějších učitelů s minimální požadovanou kvalifikací, nikoliv maximální kvalifikací.</w:t>
      </w:r>
    </w:p>
    <w:p w:rsidR="00306953" w:rsidRPr="004F3978" w:rsidRDefault="001C4685" w:rsidP="00306953">
      <w:pPr>
        <w:autoSpaceDE w:val="0"/>
        <w:autoSpaceDN w:val="0"/>
        <w:adjustRightInd w:val="0"/>
        <w:spacing w:after="0" w:line="240" w:lineRule="auto"/>
        <w:jc w:val="both"/>
        <w:rPr>
          <w:rFonts w:eastAsia="ChaparralPro-Regular" w:cs="Arial"/>
          <w:sz w:val="16"/>
          <w:szCs w:val="16"/>
        </w:rPr>
      </w:pPr>
      <w:r>
        <w:rPr>
          <w:rFonts w:eastAsia="ChaparralPro-Regular" w:cs="Arial"/>
          <w:sz w:val="16"/>
          <w:szCs w:val="16"/>
        </w:rPr>
        <w:t xml:space="preserve">Pozn. </w:t>
      </w:r>
      <w:r w:rsidR="00306953" w:rsidRPr="004F3978">
        <w:rPr>
          <w:rFonts w:eastAsia="ChaparralPro-Regular" w:cs="Arial"/>
          <w:sz w:val="16"/>
          <w:szCs w:val="16"/>
        </w:rPr>
        <w:t xml:space="preserve">: Zákonem stanovené platy (statutory salaries) učitelů je třeba odlišit od reálných výdajů vlád zemí na platy a od reálných průměrných platů učitelů, které za svou práci dostávají. Průměrné platy učitelů, které ve skutečnosti dostávají za svou práci, jsou ovlivněny takovými faktory, jako je průměrná délka pracovní zkušenosti učitelů v dané zemi a míra poskytování různých prémií a odměn v rámci systému hodnocení. Tyto další benefity mohou platy učitelů významně zvýšit. Např. na Slovensku dostává většina učitelů každý měsíc prémie/odměny, zejména formou osobního ohodnocení. V závislosti na finančních zdrojích školy a na hodnocení jednotlivých učitelů mohou dosáhnout průměrné platy učitelů, které reálně dostávají (tj. včetně odměn) v té které zemi až dvojnásobné výše zákonného platu. (OECD 2014, s. 456) </w:t>
      </w:r>
    </w:p>
    <w:p w:rsidR="00306953" w:rsidRPr="00442515" w:rsidRDefault="00306953" w:rsidP="00306953">
      <w:pPr>
        <w:spacing w:after="0" w:line="240" w:lineRule="auto"/>
        <w:jc w:val="both"/>
        <w:rPr>
          <w:rFonts w:cs="Arial"/>
          <w:sz w:val="16"/>
          <w:szCs w:val="16"/>
        </w:rPr>
      </w:pPr>
      <w:r w:rsidRPr="00442515">
        <w:rPr>
          <w:rFonts w:eastAsia="ChaparralPro-Regular" w:cs="Arial"/>
          <w:sz w:val="16"/>
          <w:szCs w:val="16"/>
        </w:rPr>
        <w:t xml:space="preserve">Zdroj: OECD 2014, tabulka ke grafu D3.2. StatLink: </w:t>
      </w:r>
      <w:hyperlink r:id="rId133" w:history="1">
        <w:r w:rsidR="00FF736C" w:rsidRPr="00834CDC">
          <w:rPr>
            <w:rStyle w:val="Hypertextovodkaz"/>
            <w:rFonts w:eastAsia="ChaparralPro-Regular" w:cs="Arial"/>
            <w:sz w:val="16"/>
            <w:szCs w:val="16"/>
          </w:rPr>
          <w:t>http://dx.doi.org/10.1787/888933119948</w:t>
        </w:r>
      </w:hyperlink>
      <w:r w:rsidR="00902E5E">
        <w:rPr>
          <w:rFonts w:cs="Arial"/>
          <w:sz w:val="16"/>
          <w:szCs w:val="16"/>
        </w:rPr>
        <w:t>.</w:t>
      </w:r>
      <w:r w:rsidRPr="00442515">
        <w:rPr>
          <w:rFonts w:cs="Arial"/>
          <w:sz w:val="16"/>
          <w:szCs w:val="16"/>
        </w:rPr>
        <w:t xml:space="preserve"> </w:t>
      </w:r>
    </w:p>
    <w:p w:rsidR="00306953" w:rsidRPr="00442515" w:rsidRDefault="00306953" w:rsidP="00306953">
      <w:pPr>
        <w:spacing w:after="0" w:line="240" w:lineRule="auto"/>
        <w:jc w:val="both"/>
        <w:rPr>
          <w:rFonts w:eastAsia="ChaparralPro-Regular" w:cs="Arial"/>
          <w:sz w:val="16"/>
          <w:szCs w:val="16"/>
        </w:rPr>
      </w:pPr>
      <w:r w:rsidRPr="00442515">
        <w:rPr>
          <w:rFonts w:eastAsia="ChaparralPro-Regular" w:cs="Arial"/>
          <w:sz w:val="16"/>
          <w:szCs w:val="16"/>
        </w:rPr>
        <w:t>Výběr údajů a dopočet p</w:t>
      </w:r>
      <w:r w:rsidRPr="00442515">
        <w:rPr>
          <w:rFonts w:eastAsia="ChaparralPro-Regular" w:cs="Arial"/>
          <w:color w:val="000000"/>
          <w:sz w:val="16"/>
          <w:szCs w:val="16"/>
        </w:rPr>
        <w:t>odíl</w:t>
      </w:r>
      <w:r w:rsidRPr="00442515">
        <w:rPr>
          <w:rFonts w:eastAsia="ChaparralPro-Regular" w:cs="Arial"/>
          <w:sz w:val="16"/>
          <w:szCs w:val="16"/>
        </w:rPr>
        <w:t>u</w:t>
      </w:r>
      <w:r w:rsidRPr="00442515">
        <w:rPr>
          <w:rFonts w:eastAsia="ChaparralPro-Regular" w:cs="Arial"/>
          <w:color w:val="000000"/>
          <w:sz w:val="16"/>
          <w:szCs w:val="16"/>
        </w:rPr>
        <w:t xml:space="preserve"> platu začínajícího učitele s min. požadovaným vzděláním vůči platu učitele na vrcholu platového žebříčku a s maximálním dosaženým vzděláním</w:t>
      </w:r>
      <w:r w:rsidRPr="00442515">
        <w:rPr>
          <w:rFonts w:eastAsia="ChaparralPro-Regular" w:cs="Arial"/>
          <w:sz w:val="16"/>
          <w:szCs w:val="16"/>
        </w:rPr>
        <w:t xml:space="preserve"> ČSÚ.</w:t>
      </w:r>
    </w:p>
    <w:p w:rsidR="00306953" w:rsidRPr="00306953" w:rsidRDefault="00306953" w:rsidP="00306953">
      <w:pPr>
        <w:pStyle w:val="Default"/>
        <w:jc w:val="both"/>
        <w:rPr>
          <w:rFonts w:ascii="Arial" w:eastAsia="ChaparralPro-Regular" w:hAnsi="Arial" w:cs="Arial"/>
          <w:sz w:val="22"/>
          <w:szCs w:val="22"/>
        </w:rPr>
      </w:pPr>
    </w:p>
    <w:p w:rsidR="00306953" w:rsidRPr="00442515" w:rsidRDefault="00306953" w:rsidP="00306953">
      <w:pPr>
        <w:spacing w:after="120" w:line="240" w:lineRule="auto"/>
        <w:jc w:val="both"/>
        <w:rPr>
          <w:rFonts w:cs="Arial"/>
          <w:szCs w:val="20"/>
        </w:rPr>
      </w:pPr>
      <w:r w:rsidRPr="00442515">
        <w:rPr>
          <w:rFonts w:eastAsia="ChaparralPro-Regular" w:cs="Arial"/>
          <w:szCs w:val="20"/>
        </w:rPr>
        <w:lastRenderedPageBreak/>
        <w:t xml:space="preserve">Kromě dat prezentovaných v publikaci Education at a Glance lze také využít publikaci od </w:t>
      </w:r>
      <w:r w:rsidRPr="00442515">
        <w:rPr>
          <w:rFonts w:cs="Arial"/>
          <w:szCs w:val="20"/>
        </w:rPr>
        <w:t xml:space="preserve">EACEA/Eurydice (2014), která srovnává roční </w:t>
      </w:r>
      <w:r w:rsidRPr="00442515">
        <w:rPr>
          <w:rFonts w:cs="Arial"/>
          <w:b/>
          <w:szCs w:val="20"/>
        </w:rPr>
        <w:t>zákonem stanovené platy učitelů</w:t>
      </w:r>
      <w:r w:rsidRPr="00442515">
        <w:rPr>
          <w:rFonts w:cs="Arial"/>
          <w:szCs w:val="20"/>
        </w:rPr>
        <w:t xml:space="preserve"> v různých evropských zemích. Ta např. uvádí, že ve školním roce 2013/14 byl ve třech čtvrtinách evropských zemí/regionů (včetně ČR) roční </w:t>
      </w:r>
      <w:r w:rsidRPr="00442515">
        <w:rPr>
          <w:rFonts w:cs="Arial"/>
          <w:b/>
          <w:szCs w:val="20"/>
        </w:rPr>
        <w:t xml:space="preserve">minimální zákonem stanovený plat učitele </w:t>
      </w:r>
      <w:r w:rsidRPr="00442515">
        <w:rPr>
          <w:rFonts w:cs="Arial"/>
          <w:szCs w:val="20"/>
        </w:rPr>
        <w:t>působícího na primární a nižší sekundární úrovni nižší než HDP země na jednoho obyvatele a též roční zákonem stanovený minimální plat učitele vyšší sekundární úrovně byl ve většině zemí (včetně ČR) nižší. Pokud se však jedná o roční </w:t>
      </w:r>
      <w:r w:rsidRPr="00442515">
        <w:rPr>
          <w:rFonts w:cs="Arial"/>
          <w:b/>
          <w:szCs w:val="20"/>
        </w:rPr>
        <w:t>maximální zákonem stanovený plat učitele</w:t>
      </w:r>
      <w:r w:rsidRPr="00442515">
        <w:rPr>
          <w:rFonts w:cs="Arial"/>
          <w:szCs w:val="20"/>
        </w:rPr>
        <w:t xml:space="preserve"> primární, nižší sekundární i vyšší sekundární úrovně, ve většině zemí byl již vyšší než HDP na jednoho obyvatele, v některých zemích (včetně ČR) však za ním také zaostával (</w:t>
      </w:r>
      <w:hyperlink r:id="rId134" w:history="1">
        <w:r w:rsidRPr="00442515">
          <w:rPr>
            <w:rStyle w:val="Hypertextovodkaz"/>
            <w:rFonts w:cs="Arial"/>
            <w:szCs w:val="20"/>
          </w:rPr>
          <w:t>EACEA/</w:t>
        </w:r>
        <w:proofErr w:type="spellStart"/>
        <w:r w:rsidRPr="00442515">
          <w:rPr>
            <w:rStyle w:val="Hypertextovodkaz"/>
            <w:rFonts w:cs="Arial"/>
            <w:szCs w:val="20"/>
          </w:rPr>
          <w:t>Eurydice</w:t>
        </w:r>
        <w:proofErr w:type="spellEnd"/>
        <w:r w:rsidRPr="00442515">
          <w:rPr>
            <w:rStyle w:val="Hypertextovodkaz"/>
            <w:rFonts w:cs="Arial"/>
            <w:szCs w:val="20"/>
          </w:rPr>
          <w:t xml:space="preserve"> 2014</w:t>
        </w:r>
      </w:hyperlink>
      <w:r w:rsidR="005424E4">
        <w:rPr>
          <w:rFonts w:cs="Arial"/>
          <w:szCs w:val="20"/>
        </w:rPr>
        <w:t xml:space="preserve"> s. </w:t>
      </w:r>
      <w:r w:rsidRPr="00442515">
        <w:rPr>
          <w:rFonts w:cs="Arial"/>
          <w:szCs w:val="20"/>
        </w:rPr>
        <w:t xml:space="preserve">8-12). </w:t>
      </w:r>
    </w:p>
    <w:p w:rsidR="00306953" w:rsidRPr="00442515" w:rsidRDefault="00306953" w:rsidP="00306953">
      <w:pPr>
        <w:spacing w:after="120" w:line="240" w:lineRule="auto"/>
        <w:jc w:val="both"/>
        <w:rPr>
          <w:rFonts w:cs="Arial"/>
          <w:szCs w:val="20"/>
        </w:rPr>
      </w:pPr>
      <w:r w:rsidRPr="00442515">
        <w:rPr>
          <w:rFonts w:cs="Arial"/>
          <w:szCs w:val="20"/>
        </w:rPr>
        <w:t xml:space="preserve">V publikaci EACEA/Eurydice (2014) jsou také porovnány roční zákonem </w:t>
      </w:r>
      <w:r w:rsidRPr="00442515">
        <w:rPr>
          <w:rFonts w:cs="Arial"/>
          <w:b/>
          <w:szCs w:val="20"/>
        </w:rPr>
        <w:t>stanovené platy ředitelů</w:t>
      </w:r>
      <w:r w:rsidRPr="00442515">
        <w:rPr>
          <w:rFonts w:cs="Arial"/>
          <w:szCs w:val="20"/>
        </w:rPr>
        <w:t xml:space="preserve">. Zde lze uvést, že v ČR byly ve školním roce 2013/14 opět roční minimální i maximální zákonem stanovené platy ředitelů působících ve školách na všech sledovaných úrovních (tj. ISCED 1–3) nižší než HDP na jednoho obyvatele. V mezinárodním kontextu byl roční </w:t>
      </w:r>
      <w:r w:rsidRPr="00442515">
        <w:rPr>
          <w:rFonts w:cs="Arial"/>
          <w:b/>
          <w:szCs w:val="20"/>
        </w:rPr>
        <w:t>maximální</w:t>
      </w:r>
      <w:r w:rsidRPr="00442515">
        <w:rPr>
          <w:rFonts w:cs="Arial"/>
          <w:szCs w:val="20"/>
        </w:rPr>
        <w:t xml:space="preserve"> zákonem stanovený plat ředitelů vyšší než HDP na jednoho obyvatele ve všech evropských zemích kromě ČR (platí pro všechny sledované úrovně vzdělávání), Polska a Slovenska (platí pouze pro primární vzdělávání). Roční </w:t>
      </w:r>
      <w:r w:rsidRPr="00442515">
        <w:rPr>
          <w:rFonts w:cs="Arial"/>
          <w:b/>
          <w:szCs w:val="20"/>
        </w:rPr>
        <w:t>minimální</w:t>
      </w:r>
      <w:r w:rsidRPr="00442515">
        <w:rPr>
          <w:rFonts w:cs="Arial"/>
          <w:szCs w:val="20"/>
        </w:rPr>
        <w:t xml:space="preserve"> zákonem stanovený plat pro ředitele v </w:t>
      </w:r>
      <w:r w:rsidRPr="00442515">
        <w:rPr>
          <w:rFonts w:cs="Arial"/>
          <w:b/>
          <w:i/>
          <w:szCs w:val="20"/>
        </w:rPr>
        <w:t>primárním a nižším sekundárním</w:t>
      </w:r>
      <w:r w:rsidRPr="00442515">
        <w:rPr>
          <w:rFonts w:cs="Arial"/>
          <w:szCs w:val="20"/>
        </w:rPr>
        <w:t xml:space="preserve"> vzdělávání byl vyšší než výše HDP na jednoho obyvatele ve třech čtvrtinách zemí a pokud se jedná o </w:t>
      </w:r>
      <w:r w:rsidRPr="00442515">
        <w:rPr>
          <w:rFonts w:cs="Arial"/>
          <w:b/>
          <w:i/>
          <w:szCs w:val="20"/>
        </w:rPr>
        <w:t>vyšší sekundární vzdělávání</w:t>
      </w:r>
      <w:r w:rsidRPr="00442515">
        <w:rPr>
          <w:rFonts w:cs="Arial"/>
          <w:szCs w:val="20"/>
        </w:rPr>
        <w:t>, pouze v sedmi zemích (včetně ČR, Polska a Slovenska) byla výše HDP nižší než zákonem stanovený minimální plat ředitele školy.  (</w:t>
      </w:r>
      <w:hyperlink r:id="rId135" w:history="1">
        <w:r w:rsidRPr="00442515">
          <w:rPr>
            <w:rStyle w:val="Hypertextovodkaz"/>
            <w:rFonts w:cs="Arial"/>
            <w:szCs w:val="20"/>
          </w:rPr>
          <w:t>EACEA/Eurydice 2014</w:t>
        </w:r>
      </w:hyperlink>
      <w:r w:rsidRPr="00442515">
        <w:rPr>
          <w:rFonts w:cs="Arial"/>
          <w:szCs w:val="20"/>
        </w:rPr>
        <w:t xml:space="preserve"> s. 13-15). </w:t>
      </w:r>
      <w:r w:rsidRPr="00442515">
        <w:rPr>
          <w:rStyle w:val="Znakapoznpodarou"/>
          <w:rFonts w:eastAsia="MS Gothic" w:cs="Arial"/>
          <w:szCs w:val="20"/>
        </w:rPr>
        <w:footnoteReference w:id="12"/>
      </w:r>
    </w:p>
    <w:p w:rsidR="00306953" w:rsidRPr="00442515" w:rsidRDefault="00306953" w:rsidP="00306953">
      <w:pPr>
        <w:pStyle w:val="Default"/>
        <w:jc w:val="both"/>
        <w:rPr>
          <w:rFonts w:ascii="Arial" w:eastAsia="ChaparralPro-Regular" w:hAnsi="Arial" w:cs="Arial"/>
          <w:sz w:val="20"/>
          <w:szCs w:val="20"/>
        </w:rPr>
      </w:pPr>
      <w:r w:rsidRPr="00442515">
        <w:rPr>
          <w:rFonts w:ascii="Arial" w:eastAsia="ChaparralPro-Regular" w:hAnsi="Arial" w:cs="Arial"/>
          <w:sz w:val="20"/>
          <w:szCs w:val="20"/>
        </w:rPr>
        <w:t xml:space="preserve">Pro přehled o </w:t>
      </w:r>
      <w:r w:rsidRPr="00442515">
        <w:rPr>
          <w:rFonts w:ascii="Arial" w:eastAsia="ChaparralPro-Regular" w:hAnsi="Arial" w:cs="Arial"/>
          <w:b/>
          <w:sz w:val="20"/>
          <w:szCs w:val="20"/>
        </w:rPr>
        <w:t xml:space="preserve">vývoji nákladů na platy učitelů na jednoho žáka v čase </w:t>
      </w:r>
      <w:r w:rsidR="00E52654">
        <w:rPr>
          <w:rFonts w:ascii="Arial" w:eastAsia="ChaparralPro-Regular" w:hAnsi="Arial" w:cs="Arial"/>
          <w:sz w:val="20"/>
          <w:szCs w:val="20"/>
        </w:rPr>
        <w:t>jsou v publikaci Education at a </w:t>
      </w:r>
      <w:r w:rsidRPr="00442515">
        <w:rPr>
          <w:rFonts w:ascii="Arial" w:eastAsia="ChaparralPro-Regular" w:hAnsi="Arial" w:cs="Arial"/>
          <w:sz w:val="20"/>
          <w:szCs w:val="20"/>
        </w:rPr>
        <w:t xml:space="preserve">Glance dále zahrnuta </w:t>
      </w:r>
      <w:r w:rsidRPr="00442515">
        <w:rPr>
          <w:rFonts w:ascii="Arial" w:eastAsia="ChaparralPro-Regular" w:hAnsi="Arial" w:cs="Arial"/>
          <w:b/>
          <w:sz w:val="20"/>
          <w:szCs w:val="20"/>
        </w:rPr>
        <w:t>porovnání výdajů různých zemí v letech 2005, 2008 a 2012, a sice v dělení na primární a nižší sekundární vzdělávání</w:t>
      </w:r>
      <w:r w:rsidRPr="00442515">
        <w:rPr>
          <w:rFonts w:ascii="Arial" w:eastAsia="ChaparralPro-Regular" w:hAnsi="Arial" w:cs="Arial"/>
          <w:sz w:val="20"/>
          <w:szCs w:val="20"/>
        </w:rPr>
        <w:t>. Jak je z grafu č. 18 patrné, v České republice byly tyto náklady ve sledovaných letech v mezinárodním srovnání s dalšími zeměmi OECD jedny z nejnižších a od roku 2008 do roku 2012 poklesly o 15,1 % v primárním vzdělávání a o 6,4 % v nižším sekundárním vzdělávání (viz níže uvedené grafy č. 20 a 21).  Jak uvádí MŠMT, je tomu tak „</w:t>
      </w:r>
      <w:r w:rsidRPr="00442515">
        <w:rPr>
          <w:rFonts w:ascii="Arial" w:eastAsia="ChaparralPro-Regular" w:hAnsi="Arial" w:cs="Arial"/>
          <w:i/>
          <w:sz w:val="20"/>
          <w:szCs w:val="20"/>
        </w:rPr>
        <w:t>zejména v důsledku zvyšování velikosti třídy, postupného navyšování počtu žáků zejména na 1. stupni základní školy, zv</w:t>
      </w:r>
      <w:r w:rsidR="00E52654">
        <w:rPr>
          <w:rFonts w:ascii="Arial" w:eastAsia="ChaparralPro-Regular" w:hAnsi="Arial" w:cs="Arial"/>
          <w:i/>
          <w:sz w:val="20"/>
          <w:szCs w:val="20"/>
        </w:rPr>
        <w:t>yšování počtu žáků na učitele a </w:t>
      </w:r>
      <w:r w:rsidRPr="00442515">
        <w:rPr>
          <w:rFonts w:ascii="Arial" w:eastAsia="ChaparralPro-Regular" w:hAnsi="Arial" w:cs="Arial"/>
          <w:i/>
          <w:sz w:val="20"/>
          <w:szCs w:val="20"/>
        </w:rPr>
        <w:t>určitou roli zde hraje i metodika vykazování údajů o počtu hodin výuky žáků v důsledku zavedení rámcových vzdělávacích programů (RVP) a školních vzdělávacích programů (ŠVP) – proto je nutné údaje za ČR brát spíše jako orientační.</w:t>
      </w:r>
      <w:r w:rsidRPr="00442515">
        <w:rPr>
          <w:rFonts w:ascii="Arial" w:eastAsia="ChaparralPro-Regular" w:hAnsi="Arial" w:cs="Arial"/>
          <w:sz w:val="20"/>
          <w:szCs w:val="20"/>
        </w:rPr>
        <w:t>“ (</w:t>
      </w:r>
      <w:hyperlink r:id="rId136" w:history="1">
        <w:r w:rsidRPr="00442515">
          <w:rPr>
            <w:rStyle w:val="Hypertextovodkaz"/>
            <w:rFonts w:ascii="Arial" w:eastAsia="ChaparralPro-Regular" w:hAnsi="Arial" w:cs="Arial"/>
            <w:sz w:val="20"/>
            <w:szCs w:val="20"/>
          </w:rPr>
          <w:t>MŠMT 2014</w:t>
        </w:r>
      </w:hyperlink>
      <w:r w:rsidRPr="00442515">
        <w:rPr>
          <w:rFonts w:ascii="Arial" w:eastAsia="ChaparralPro-Regular" w:hAnsi="Arial" w:cs="Arial"/>
          <w:sz w:val="20"/>
          <w:szCs w:val="20"/>
        </w:rPr>
        <w:t>, s. 26). Přitom v sousedním Polsku byl zaznamenán růst nákladů na platy učitelů na jednoho žáka v čase.</w:t>
      </w:r>
    </w:p>
    <w:p w:rsidR="00306953" w:rsidRPr="00442515" w:rsidRDefault="00306953" w:rsidP="00306953">
      <w:pPr>
        <w:pStyle w:val="Default"/>
        <w:jc w:val="both"/>
        <w:rPr>
          <w:rFonts w:ascii="Arial" w:eastAsia="ChaparralPro-Regular" w:hAnsi="Arial" w:cs="Arial"/>
          <w:i/>
          <w:color w:val="FF0000"/>
          <w:sz w:val="20"/>
          <w:szCs w:val="20"/>
        </w:rPr>
      </w:pPr>
    </w:p>
    <w:p w:rsidR="007F7AC0" w:rsidRDefault="00306953" w:rsidP="00306953">
      <w:pPr>
        <w:pStyle w:val="Default"/>
        <w:keepNext/>
        <w:jc w:val="both"/>
        <w:rPr>
          <w:rFonts w:ascii="Arial" w:eastAsia="ChaparralPro-Regular" w:hAnsi="Arial" w:cs="Arial"/>
          <w:b/>
          <w:bCs/>
          <w:color w:val="auto"/>
          <w:sz w:val="20"/>
          <w:szCs w:val="20"/>
        </w:rPr>
      </w:pPr>
      <w:r w:rsidRPr="00442515">
        <w:rPr>
          <w:rFonts w:ascii="Arial" w:eastAsia="ChaparralPro-Regular" w:hAnsi="Arial" w:cs="Arial"/>
          <w:b/>
          <w:color w:val="auto"/>
          <w:sz w:val="20"/>
          <w:szCs w:val="20"/>
        </w:rPr>
        <w:lastRenderedPageBreak/>
        <w:t>Graf č. 18</w:t>
      </w:r>
      <w:r w:rsidRPr="00442515">
        <w:rPr>
          <w:rFonts w:ascii="Arial" w:eastAsia="ChaparralPro-Regular" w:hAnsi="Arial" w:cs="Arial"/>
          <w:b/>
          <w:bCs/>
          <w:color w:val="auto"/>
          <w:sz w:val="20"/>
          <w:szCs w:val="20"/>
        </w:rPr>
        <w:t xml:space="preserve"> Vývoj nákladů na mzdy učitelů na jednoho </w:t>
      </w:r>
      <w:r w:rsidR="007F7AC0">
        <w:rPr>
          <w:rFonts w:ascii="Arial" w:eastAsia="ChaparralPro-Regular" w:hAnsi="Arial" w:cs="Arial"/>
          <w:b/>
          <w:bCs/>
          <w:color w:val="auto"/>
          <w:sz w:val="20"/>
          <w:szCs w:val="20"/>
        </w:rPr>
        <w:t>žáka v letech 2005, 2008 a 2012</w:t>
      </w:r>
      <w:r w:rsidRPr="00442515">
        <w:rPr>
          <w:rFonts w:ascii="Arial" w:eastAsia="ChaparralPro-Regular" w:hAnsi="Arial" w:cs="Arial"/>
          <w:b/>
          <w:bCs/>
          <w:color w:val="auto"/>
          <w:sz w:val="20"/>
          <w:szCs w:val="20"/>
        </w:rPr>
        <w:t xml:space="preserve"> </w:t>
      </w:r>
    </w:p>
    <w:p w:rsidR="00306953" w:rsidRDefault="00306953" w:rsidP="00306953">
      <w:pPr>
        <w:pStyle w:val="Default"/>
        <w:keepNext/>
        <w:jc w:val="both"/>
        <w:rPr>
          <w:rFonts w:ascii="Arial" w:eastAsia="ChaparralPro-Regular" w:hAnsi="Arial" w:cs="Arial"/>
          <w:iCs/>
          <w:color w:val="auto"/>
          <w:sz w:val="20"/>
          <w:szCs w:val="20"/>
        </w:rPr>
      </w:pPr>
      <w:r w:rsidRPr="00442515">
        <w:rPr>
          <w:rFonts w:ascii="Arial" w:eastAsia="ChaparralPro-Regular" w:hAnsi="Arial" w:cs="Arial"/>
          <w:iCs/>
          <w:color w:val="auto"/>
          <w:sz w:val="20"/>
          <w:szCs w:val="20"/>
        </w:rPr>
        <w:t xml:space="preserve">v USD </w:t>
      </w:r>
      <w:r w:rsidR="00E92F35">
        <w:rPr>
          <w:rFonts w:ascii="Arial" w:eastAsia="ChaparralPro-Regular" w:hAnsi="Arial" w:cs="Arial"/>
          <w:iCs/>
          <w:color w:val="auto"/>
          <w:sz w:val="20"/>
          <w:szCs w:val="20"/>
        </w:rPr>
        <w:t>a v paritě kupní síly</w:t>
      </w:r>
    </w:p>
    <w:p w:rsidR="007C6842" w:rsidRDefault="007C6842" w:rsidP="00306953">
      <w:pPr>
        <w:pStyle w:val="Default"/>
        <w:keepNext/>
        <w:jc w:val="both"/>
        <w:rPr>
          <w:rFonts w:ascii="Arial" w:eastAsia="ChaparralPro-Regular" w:hAnsi="Arial" w:cs="Arial"/>
          <w:iCs/>
          <w:color w:val="auto"/>
          <w:sz w:val="20"/>
          <w:szCs w:val="20"/>
        </w:rPr>
      </w:pPr>
    </w:p>
    <w:p w:rsidR="007C6842" w:rsidRPr="007C6842" w:rsidRDefault="00BA5EE1" w:rsidP="007C6842">
      <w:pPr>
        <w:pStyle w:val="Default"/>
        <w:keepNext/>
        <w:jc w:val="both"/>
        <w:rPr>
          <w:rFonts w:ascii="Arial" w:eastAsia="ChaparralPro-Regular" w:hAnsi="Arial" w:cs="Arial"/>
          <w:iCs/>
          <w:color w:val="auto"/>
          <w:sz w:val="20"/>
          <w:szCs w:val="20"/>
        </w:rPr>
      </w:pPr>
      <w:r w:rsidRPr="00984E22">
        <w:rPr>
          <w:rFonts w:ascii="Arial" w:eastAsia="ChaparralPro-Regular" w:hAnsi="Arial" w:cs="Arial"/>
          <w:noProof/>
          <w:color w:val="auto"/>
          <w:sz w:val="20"/>
          <w:szCs w:val="20"/>
        </w:rPr>
        <w:pict>
          <v:shape id="_x0000_i1044" type="#_x0000_t75" style="width:470.25pt;height:249.7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">
            <v:imagedata r:id="rId137" o:title="" croptop="-2484f" cropbottom="-8060f" cropleft="-419f" cropright="-2068f"/>
            <o:lock v:ext="edit" aspectratio="f"/>
          </v:shape>
        </w:pict>
      </w:r>
    </w:p>
    <w:p w:rsidR="007C6842" w:rsidRDefault="00BA5EE1" w:rsidP="007C6842">
      <w:pPr>
        <w:pStyle w:val="Default"/>
        <w:keepNext/>
        <w:jc w:val="both"/>
        <w:rPr>
          <w:rFonts w:ascii="Arial" w:eastAsia="ChaparralPro-Regular" w:hAnsi="Arial" w:cs="Arial"/>
          <w:noProof/>
          <w:color w:val="auto"/>
          <w:sz w:val="20"/>
          <w:szCs w:val="20"/>
        </w:rPr>
      </w:pPr>
      <w:r w:rsidRPr="00984E22">
        <w:rPr>
          <w:rFonts w:ascii="Arial" w:eastAsia="ChaparralPro-Regular" w:hAnsi="Arial" w:cs="Arial"/>
          <w:noProof/>
          <w:color w:val="auto"/>
          <w:sz w:val="20"/>
          <w:szCs w:val="20"/>
        </w:rPr>
        <w:pict>
          <v:shape id="Graf 23" o:spid="_x0000_i1045" type="#_x0000_t75" style="width:470.25pt;height:246.7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">
            <v:imagedata r:id="rId138" o:title="" croptop="-2607f" cropbottom="-6238f" cropleft="-273f" cropright="-1849f"/>
            <o:lock v:ext="edit" aspectratio="f"/>
          </v:shape>
        </w:pict>
      </w:r>
    </w:p>
    <w:p w:rsidR="00306953" w:rsidRPr="001E0836" w:rsidRDefault="00306953" w:rsidP="007C6842">
      <w:pPr>
        <w:pStyle w:val="Default"/>
        <w:keepNext/>
        <w:jc w:val="both"/>
        <w:rPr>
          <w:rFonts w:ascii="Arial" w:eastAsia="ChaparralPro-Regular" w:hAnsi="Arial" w:cs="Arial"/>
          <w:color w:val="auto"/>
          <w:sz w:val="16"/>
          <w:szCs w:val="16"/>
        </w:rPr>
      </w:pPr>
      <w:r w:rsidRPr="001E0836">
        <w:rPr>
          <w:rFonts w:ascii="Arial" w:eastAsia="ChaparralPro-Regular" w:hAnsi="Arial" w:cs="Arial"/>
          <w:sz w:val="16"/>
          <w:szCs w:val="16"/>
        </w:rPr>
        <w:t xml:space="preserve">Zdroj: OECD 2014, graf B 7.2 (tabulka B 7.3 a B 7.4). StatLink: </w:t>
      </w:r>
      <w:hyperlink r:id="rId139" w:history="1">
        <w:r w:rsidRPr="001E0836">
          <w:rPr>
            <w:rStyle w:val="Hypertextovodkaz"/>
            <w:rFonts w:ascii="Arial" w:hAnsi="Arial" w:cs="Arial"/>
            <w:sz w:val="16"/>
            <w:szCs w:val="16"/>
          </w:rPr>
          <w:t>http://dx.doi.org/10.1787/888933118124</w:t>
        </w:r>
      </w:hyperlink>
      <w:r w:rsidRPr="001E0836">
        <w:rPr>
          <w:rFonts w:ascii="Arial" w:hAnsi="Arial" w:cs="Arial"/>
          <w:sz w:val="16"/>
          <w:szCs w:val="16"/>
        </w:rPr>
        <w:t xml:space="preserve"> </w:t>
      </w:r>
    </w:p>
    <w:p w:rsidR="00306953" w:rsidRPr="00306953" w:rsidRDefault="00306953" w:rsidP="00306953">
      <w:pPr>
        <w:autoSpaceDE w:val="0"/>
        <w:autoSpaceDN w:val="0"/>
        <w:adjustRightInd w:val="0"/>
        <w:spacing w:after="0" w:line="240" w:lineRule="auto"/>
        <w:jc w:val="both"/>
        <w:rPr>
          <w:rFonts w:eastAsia="ChaparralPro-Regular" w:cs="Arial"/>
          <w:szCs w:val="20"/>
        </w:rPr>
      </w:pPr>
    </w:p>
    <w:p w:rsidR="00306953" w:rsidRPr="00442515" w:rsidRDefault="00306953" w:rsidP="00306953">
      <w:pPr>
        <w:pStyle w:val="Default"/>
        <w:jc w:val="both"/>
        <w:rPr>
          <w:rFonts w:ascii="Arial" w:eastAsia="ChaparralPro-Regular" w:hAnsi="Arial" w:cs="Arial"/>
          <w:i/>
          <w:color w:val="FF0000"/>
          <w:sz w:val="20"/>
          <w:szCs w:val="20"/>
        </w:rPr>
      </w:pPr>
      <w:r w:rsidRPr="00442515">
        <w:rPr>
          <w:rFonts w:ascii="Arial" w:eastAsia="ChaparralPro-Regular" w:hAnsi="Arial" w:cs="Arial"/>
          <w:sz w:val="20"/>
          <w:szCs w:val="20"/>
        </w:rPr>
        <w:t xml:space="preserve">V publikaci Education at a Glance 2015 jsou dále porovnány náklady na platy učitelů na jednoho žáka primárního a nižšího sekundárního vzdělávání v roce 2013 v USD a v procentech k HDP na jednoho obyvatele. Pokud se jedná o náklady v USD na primární vzdělávání, umístila se ČR jako 3. země s nejnižšími náklady (po Mexiku a Slovensku), ve vyjádření v % k HDP na jednoho obyvatele pak dosáhla ze všech sledovaných zemí nejnižší hodnoty. Pokud se jedná o nižší sekundární vzdělávání, umístila se ČR jako 7. země s nejnižšími náklady v USD a jako 5. země s nejnižšími náklady, vyjádříme-li je v % k HDP (viz graf č. 19). </w:t>
      </w:r>
    </w:p>
    <w:p w:rsidR="00306953" w:rsidRPr="00442515" w:rsidRDefault="00306953" w:rsidP="00306953">
      <w:pPr>
        <w:autoSpaceDE w:val="0"/>
        <w:autoSpaceDN w:val="0"/>
        <w:adjustRightInd w:val="0"/>
        <w:spacing w:after="0" w:line="240" w:lineRule="auto"/>
        <w:jc w:val="both"/>
        <w:rPr>
          <w:rFonts w:eastAsia="ChaparralPro-Regular" w:cs="Arial"/>
          <w:szCs w:val="20"/>
        </w:rPr>
      </w:pPr>
    </w:p>
    <w:p w:rsidR="007F6E7D" w:rsidRDefault="00306953" w:rsidP="007F6E7D">
      <w:pPr>
        <w:keepNext/>
        <w:autoSpaceDE w:val="0"/>
        <w:autoSpaceDN w:val="0"/>
        <w:adjustRightInd w:val="0"/>
        <w:spacing w:after="0" w:line="240" w:lineRule="auto"/>
        <w:jc w:val="both"/>
        <w:rPr>
          <w:rFonts w:eastAsia="ChaparralPro-Regular" w:cs="Arial"/>
          <w:b/>
          <w:szCs w:val="20"/>
        </w:rPr>
      </w:pPr>
      <w:r w:rsidRPr="00442515">
        <w:rPr>
          <w:rFonts w:eastAsia="ChaparralPro-Regular" w:cs="Arial"/>
          <w:b/>
          <w:szCs w:val="20"/>
        </w:rPr>
        <w:lastRenderedPageBreak/>
        <w:t xml:space="preserve">Graf č. 19 Náklady na mzdy učitelů </w:t>
      </w:r>
      <w:r w:rsidR="00D31939">
        <w:rPr>
          <w:rFonts w:eastAsia="ChaparralPro-Regular" w:cs="Arial"/>
          <w:b/>
          <w:szCs w:val="20"/>
        </w:rPr>
        <w:t xml:space="preserve">na jednoho žáka </w:t>
      </w:r>
      <w:r w:rsidRPr="00442515">
        <w:rPr>
          <w:rFonts w:eastAsia="ChaparralPro-Regular" w:cs="Arial"/>
          <w:b/>
          <w:szCs w:val="20"/>
        </w:rPr>
        <w:t>primárního a nižšího sekundárního vzdělávání v USD a v % k HDP na jednoho obyvatele v roce 2013</w:t>
      </w:r>
    </w:p>
    <w:p w:rsidR="00D31939" w:rsidRDefault="00BA5EE1" w:rsidP="00D31939">
      <w:pPr>
        <w:keepNext/>
        <w:autoSpaceDE w:val="0"/>
        <w:autoSpaceDN w:val="0"/>
        <w:adjustRightInd w:val="0"/>
        <w:spacing w:after="0" w:line="240" w:lineRule="auto"/>
        <w:jc w:val="both"/>
        <w:rPr>
          <w:rFonts w:eastAsia="ChaparralPro-Regular" w:cs="Arial"/>
          <w:b/>
          <w:szCs w:val="20"/>
        </w:rPr>
      </w:pPr>
      <w:r w:rsidRPr="00984E22">
        <w:rPr>
          <w:rFonts w:eastAsia="ChaparralPro-Regular" w:cs="Arial"/>
          <w:b/>
          <w:noProof/>
          <w:szCs w:val="20"/>
        </w:rPr>
        <w:pict>
          <v:shape id="Graf 2" o:spid="_x0000_i1046" type="#_x0000_t75" style="width:470.25pt;height:280.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">
            <v:imagedata r:id="rId140" o:title="" croptop="-452f" cropbottom="-630f" cropleft="-966f" cropright="-1298f"/>
            <o:lock v:ext="edit" aspectratio="f"/>
          </v:shape>
        </w:pict>
      </w:r>
    </w:p>
    <w:p w:rsidR="00306953" w:rsidRPr="00D31939" w:rsidRDefault="00306953" w:rsidP="00D31939">
      <w:pPr>
        <w:keepNext/>
        <w:autoSpaceDE w:val="0"/>
        <w:autoSpaceDN w:val="0"/>
        <w:adjustRightInd w:val="0"/>
        <w:spacing w:after="0" w:line="240" w:lineRule="auto"/>
        <w:jc w:val="both"/>
        <w:rPr>
          <w:rFonts w:eastAsia="ChaparralPro-Regular" w:cs="Arial"/>
          <w:b/>
          <w:szCs w:val="20"/>
        </w:rPr>
      </w:pPr>
      <w:r w:rsidRPr="00442515">
        <w:rPr>
          <w:rFonts w:eastAsia="ChaparralPro-Regular" w:cs="Arial"/>
          <w:sz w:val="16"/>
          <w:szCs w:val="16"/>
        </w:rPr>
        <w:t>Zdroj: sest</w:t>
      </w:r>
      <w:r w:rsidR="00987F9A">
        <w:rPr>
          <w:rFonts w:eastAsia="ChaparralPro-Regular" w:cs="Arial"/>
          <w:sz w:val="16"/>
          <w:szCs w:val="16"/>
        </w:rPr>
        <w:t>rojeno ČSÚ z dat ke grafu B 7.2</w:t>
      </w:r>
      <w:r w:rsidRPr="00442515">
        <w:rPr>
          <w:rFonts w:eastAsia="ChaparralPro-Regular" w:cs="Arial"/>
          <w:sz w:val="16"/>
          <w:szCs w:val="16"/>
        </w:rPr>
        <w:t xml:space="preserve"> </w:t>
      </w:r>
      <w:r w:rsidR="00987F9A">
        <w:rPr>
          <w:rFonts w:eastAsia="ChaparralPro-Regular" w:cs="Arial"/>
          <w:sz w:val="16"/>
          <w:szCs w:val="16"/>
        </w:rPr>
        <w:t>(</w:t>
      </w:r>
      <w:r w:rsidRPr="00442515">
        <w:rPr>
          <w:rFonts w:eastAsia="ChaparralPro-Regular" w:cs="Arial"/>
          <w:sz w:val="16"/>
          <w:szCs w:val="16"/>
        </w:rPr>
        <w:t>OECD 2015</w:t>
      </w:r>
      <w:r w:rsidR="00987F9A">
        <w:rPr>
          <w:rFonts w:eastAsia="ChaparralPro-Regular" w:cs="Arial"/>
          <w:sz w:val="16"/>
          <w:szCs w:val="16"/>
        </w:rPr>
        <w:t xml:space="preserve">), dostupné </w:t>
      </w:r>
      <w:hyperlink r:id="rId141" w:history="1">
        <w:r w:rsidR="00987F9A" w:rsidRPr="00987F9A">
          <w:rPr>
            <w:rStyle w:val="Hypertextovodkaz"/>
            <w:rFonts w:eastAsia="ChaparralPro-Regular" w:cs="Arial"/>
            <w:sz w:val="16"/>
            <w:szCs w:val="16"/>
          </w:rPr>
          <w:t>zde</w:t>
        </w:r>
      </w:hyperlink>
      <w:r w:rsidR="00987F9A">
        <w:rPr>
          <w:rFonts w:eastAsia="ChaparralPro-Regular" w:cs="Arial"/>
          <w:sz w:val="16"/>
          <w:szCs w:val="16"/>
        </w:rPr>
        <w:t>.</w:t>
      </w:r>
    </w:p>
    <w:p w:rsidR="00306953" w:rsidRPr="00306953" w:rsidRDefault="00306953" w:rsidP="00306953">
      <w:pPr>
        <w:autoSpaceDE w:val="0"/>
        <w:autoSpaceDN w:val="0"/>
        <w:adjustRightInd w:val="0"/>
        <w:spacing w:after="0" w:line="240" w:lineRule="auto"/>
        <w:jc w:val="both"/>
        <w:rPr>
          <w:rFonts w:eastAsia="ChaparralPro-Regular" w:cs="Arial"/>
        </w:rPr>
      </w:pPr>
    </w:p>
    <w:p w:rsidR="00306953" w:rsidRPr="00306953" w:rsidRDefault="00306953" w:rsidP="00306953">
      <w:pPr>
        <w:autoSpaceDE w:val="0"/>
        <w:autoSpaceDN w:val="0"/>
        <w:adjustRightInd w:val="0"/>
        <w:spacing w:after="0" w:line="240" w:lineRule="auto"/>
        <w:jc w:val="both"/>
        <w:rPr>
          <w:rFonts w:eastAsia="ChaparralPro-Regular" w:cs="Arial"/>
        </w:rPr>
      </w:pPr>
      <w:r w:rsidRPr="00306953">
        <w:rPr>
          <w:rFonts w:eastAsia="ChaparralPro-Regular" w:cs="Arial"/>
        </w:rPr>
        <w:t>Graf č. 20 znázorňuje nárůst, resp. pokles nákladů na mzdy učitelů na</w:t>
      </w:r>
      <w:r w:rsidR="00E52654">
        <w:rPr>
          <w:rFonts w:eastAsia="ChaparralPro-Regular" w:cs="Arial"/>
        </w:rPr>
        <w:t xml:space="preserve"> jednoho žáka </w:t>
      </w:r>
      <w:r w:rsidR="00792D6F">
        <w:rPr>
          <w:rFonts w:eastAsia="ChaparralPro-Regular" w:cs="Arial"/>
        </w:rPr>
        <w:t xml:space="preserve">primární úrovně vzdělávání </w:t>
      </w:r>
      <w:r w:rsidR="00E52654">
        <w:rPr>
          <w:rFonts w:eastAsia="ChaparralPro-Regular" w:cs="Arial"/>
        </w:rPr>
        <w:t>mezi rokem 2008 a </w:t>
      </w:r>
      <w:r w:rsidRPr="00306953">
        <w:rPr>
          <w:rFonts w:eastAsia="ChaparralPro-Regular" w:cs="Arial"/>
        </w:rPr>
        <w:t>2012, který byl ovlivněn zejména změnami na dvou úrovních, a sice na úrovni platů učitelů a na úrovni odhadované velikosti třídy.</w:t>
      </w:r>
    </w:p>
    <w:p w:rsidR="00306953" w:rsidRPr="00306953" w:rsidRDefault="00306953" w:rsidP="00306953">
      <w:pPr>
        <w:autoSpaceDE w:val="0"/>
        <w:autoSpaceDN w:val="0"/>
        <w:adjustRightInd w:val="0"/>
        <w:spacing w:after="0" w:line="240" w:lineRule="auto"/>
        <w:jc w:val="both"/>
        <w:rPr>
          <w:rFonts w:eastAsia="ChaparralPro-Regular" w:cs="Arial"/>
        </w:rPr>
      </w:pPr>
    </w:p>
    <w:p w:rsidR="00306953" w:rsidRPr="00306953" w:rsidRDefault="00306953" w:rsidP="00306953">
      <w:pPr>
        <w:autoSpaceDE w:val="0"/>
        <w:autoSpaceDN w:val="0"/>
        <w:adjustRightInd w:val="0"/>
        <w:spacing w:after="0" w:line="240" w:lineRule="auto"/>
        <w:jc w:val="both"/>
        <w:rPr>
          <w:rFonts w:eastAsia="ChaparralPro-Regular" w:cs="Arial"/>
        </w:rPr>
      </w:pPr>
      <w:r w:rsidRPr="00306953">
        <w:rPr>
          <w:rFonts w:eastAsia="ChaparralPro-Regular" w:cs="Arial"/>
          <w:b/>
        </w:rPr>
        <w:t>Graf č. 20</w:t>
      </w:r>
      <w:r w:rsidRPr="00306953">
        <w:rPr>
          <w:rFonts w:eastAsia="ChaparralPro-Regular" w:cs="Arial"/>
        </w:rPr>
        <w:t xml:space="preserve"> </w:t>
      </w:r>
      <w:r w:rsidRPr="00306953">
        <w:rPr>
          <w:rFonts w:eastAsia="ChaparralPro-Regular" w:cs="Arial"/>
          <w:b/>
          <w:bCs/>
        </w:rPr>
        <w:t xml:space="preserve">Vývoj nákladů na platy učitelů na 1 žáka, platů učitelů a odhadované velikosti třídy </w:t>
      </w:r>
    </w:p>
    <w:p w:rsidR="00306953" w:rsidRPr="00306953" w:rsidRDefault="00306953" w:rsidP="00306953">
      <w:pPr>
        <w:autoSpaceDE w:val="0"/>
        <w:autoSpaceDN w:val="0"/>
        <w:adjustRightInd w:val="0"/>
        <w:spacing w:after="0" w:line="240" w:lineRule="auto"/>
        <w:jc w:val="both"/>
        <w:rPr>
          <w:rFonts w:eastAsia="ChaparralPro-Regular" w:cs="Arial"/>
        </w:rPr>
      </w:pPr>
      <w:r w:rsidRPr="00306953">
        <w:rPr>
          <w:rFonts w:eastAsia="ChaparralPro-Regular" w:cs="Arial"/>
          <w:b/>
          <w:bCs/>
        </w:rPr>
        <w:t>v primárním vzdělávání mezi roky 2008 a 2012</w:t>
      </w:r>
    </w:p>
    <w:p w:rsidR="00306953" w:rsidRDefault="00306953" w:rsidP="00306953">
      <w:pPr>
        <w:autoSpaceDE w:val="0"/>
        <w:autoSpaceDN w:val="0"/>
        <w:adjustRightInd w:val="0"/>
        <w:spacing w:after="0" w:line="240" w:lineRule="auto"/>
        <w:jc w:val="both"/>
        <w:rPr>
          <w:rFonts w:eastAsia="ChaparralPro-Regular" w:cs="Arial"/>
          <w:i/>
          <w:iCs/>
          <w:lang w:val="en-GB"/>
        </w:rPr>
      </w:pPr>
      <w:r w:rsidRPr="00306953">
        <w:rPr>
          <w:rFonts w:eastAsia="ChaparralPro-Regular" w:cs="Arial"/>
          <w:i/>
          <w:iCs/>
        </w:rPr>
        <w:t xml:space="preserve">Změna v procentech mezi roky </w:t>
      </w:r>
      <w:r w:rsidRPr="00306953">
        <w:rPr>
          <w:rFonts w:eastAsia="ChaparralPro-Regular" w:cs="Arial"/>
          <w:i/>
          <w:iCs/>
          <w:lang w:val="en-GB"/>
        </w:rPr>
        <w:t>2008 a 2012</w:t>
      </w:r>
    </w:p>
    <w:p w:rsidR="00CF6504" w:rsidRDefault="00BA5EE1" w:rsidP="00306953">
      <w:pPr>
        <w:autoSpaceDE w:val="0"/>
        <w:autoSpaceDN w:val="0"/>
        <w:adjustRightInd w:val="0"/>
        <w:spacing w:after="0" w:line="240" w:lineRule="auto"/>
        <w:jc w:val="both"/>
        <w:rPr>
          <w:rFonts w:eastAsia="ChaparralPro-Regular" w:cs="Arial"/>
          <w:i/>
          <w:iCs/>
          <w:lang w:val="en-GB"/>
        </w:rPr>
      </w:pPr>
      <w:r w:rsidRPr="00984E22">
        <w:rPr>
          <w:rFonts w:eastAsia="ChaparralPro-Regular" w:cs="Arial"/>
          <w:i/>
          <w:noProof/>
        </w:rPr>
        <w:pict>
          <v:shape id="_x0000_i1047" type="#_x0000_t75" style="width:470.25pt;height:257.2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">
            <v:imagedata r:id="rId142" o:title="" croptop="-1586f" cropbottom="-3889f" cropleft="-135f" cropright="-1144f"/>
            <o:lock v:ext="edit" aspectratio="f"/>
          </v:shape>
        </w:pict>
      </w:r>
    </w:p>
    <w:p w:rsidR="00306953" w:rsidRPr="00DC690F" w:rsidRDefault="00306953" w:rsidP="00306953">
      <w:pPr>
        <w:spacing w:after="0" w:line="240" w:lineRule="auto"/>
        <w:jc w:val="both"/>
        <w:rPr>
          <w:rFonts w:eastAsia="ChaparralPro-Regular" w:cs="Arial"/>
          <w:sz w:val="16"/>
          <w:szCs w:val="16"/>
        </w:rPr>
      </w:pPr>
      <w:r w:rsidRPr="00442515">
        <w:rPr>
          <w:rFonts w:eastAsia="ChaparralPro-Regular" w:cs="Arial"/>
          <w:sz w:val="16"/>
          <w:szCs w:val="16"/>
        </w:rPr>
        <w:t xml:space="preserve">Zdroj: OECD 2014, graf B 7.3 (tabulka B 7.2a, B 7.2b, B 7.3 a B 7.4). </w:t>
      </w:r>
      <w:proofErr w:type="spellStart"/>
      <w:r w:rsidRPr="00442515">
        <w:rPr>
          <w:rFonts w:eastAsia="ChaparralPro-Regular" w:cs="Arial"/>
          <w:sz w:val="16"/>
          <w:szCs w:val="16"/>
        </w:rPr>
        <w:t>StatLink</w:t>
      </w:r>
      <w:proofErr w:type="spellEnd"/>
      <w:r w:rsidRPr="00442515">
        <w:rPr>
          <w:rFonts w:eastAsia="ChaparralPro-Regular" w:cs="Arial"/>
          <w:sz w:val="16"/>
          <w:szCs w:val="16"/>
        </w:rPr>
        <w:t xml:space="preserve">: </w:t>
      </w:r>
      <w:hyperlink r:id="rId143" w:history="1">
        <w:r w:rsidRPr="00442515">
          <w:rPr>
            <w:rStyle w:val="Hypertextovodkaz"/>
            <w:rFonts w:cs="Arial"/>
            <w:sz w:val="16"/>
            <w:szCs w:val="16"/>
          </w:rPr>
          <w:t>http://dx.doi.org/10.1787/888933118143</w:t>
        </w:r>
      </w:hyperlink>
      <w:r w:rsidRPr="00306953">
        <w:rPr>
          <w:rFonts w:cs="Arial"/>
          <w:szCs w:val="20"/>
        </w:rPr>
        <w:t xml:space="preserve"> </w:t>
      </w:r>
    </w:p>
    <w:p w:rsidR="00306953" w:rsidRPr="00306953" w:rsidRDefault="00306953" w:rsidP="00306953">
      <w:pPr>
        <w:pStyle w:val="Default"/>
        <w:jc w:val="both"/>
        <w:rPr>
          <w:rFonts w:ascii="Arial" w:eastAsia="ChaparralPro-Regular" w:hAnsi="Arial" w:cs="Arial"/>
          <w:sz w:val="22"/>
          <w:szCs w:val="22"/>
        </w:rPr>
      </w:pPr>
    </w:p>
    <w:p w:rsidR="00306953" w:rsidRPr="00442515" w:rsidRDefault="00306953" w:rsidP="00306953">
      <w:pPr>
        <w:pStyle w:val="Default"/>
        <w:jc w:val="both"/>
        <w:rPr>
          <w:rFonts w:ascii="Arial" w:eastAsia="ChaparralPro-Regular" w:hAnsi="Arial" w:cs="Arial"/>
          <w:sz w:val="20"/>
          <w:szCs w:val="20"/>
        </w:rPr>
      </w:pPr>
      <w:r w:rsidRPr="00442515">
        <w:rPr>
          <w:rFonts w:ascii="Arial" w:eastAsia="ChaparralPro-Regular" w:hAnsi="Arial" w:cs="Arial"/>
          <w:sz w:val="20"/>
          <w:szCs w:val="20"/>
        </w:rPr>
        <w:t xml:space="preserve">Jak již bylo předesláno, z grafu č. 20 vyplývá, že v ČR došlo mezi roky 2008 a 2012 k </w:t>
      </w:r>
      <w:r w:rsidRPr="00442515">
        <w:rPr>
          <w:rFonts w:ascii="Arial" w:eastAsia="ChaparralPro-Regular" w:hAnsi="Arial" w:cs="Arial"/>
          <w:b/>
          <w:sz w:val="20"/>
          <w:szCs w:val="20"/>
        </w:rPr>
        <w:t>poklesu vynaložených finančních prostředků na platy učitelů na jednoho žáka v primárním vzdělávání</w:t>
      </w:r>
      <w:r w:rsidR="0078407E" w:rsidRPr="0078407E">
        <w:rPr>
          <w:rFonts w:ascii="Arial" w:eastAsia="ChaparralPro-Regular" w:hAnsi="Arial" w:cs="Arial"/>
          <w:sz w:val="20"/>
          <w:szCs w:val="20"/>
        </w:rPr>
        <w:t>,</w:t>
      </w:r>
      <w:r w:rsidRPr="0078407E">
        <w:rPr>
          <w:rFonts w:ascii="Arial" w:eastAsia="ChaparralPro-Regular" w:hAnsi="Arial" w:cs="Arial"/>
          <w:sz w:val="20"/>
          <w:szCs w:val="20"/>
        </w:rPr>
        <w:t xml:space="preserve"> </w:t>
      </w:r>
      <w:r w:rsidR="0078407E" w:rsidRPr="0078407E">
        <w:rPr>
          <w:rFonts w:ascii="Arial" w:eastAsia="ChaparralPro-Regular" w:hAnsi="Arial" w:cs="Arial"/>
          <w:sz w:val="20"/>
          <w:szCs w:val="20"/>
        </w:rPr>
        <w:t>a sice</w:t>
      </w:r>
      <w:r w:rsidR="0078407E">
        <w:rPr>
          <w:rFonts w:ascii="Arial" w:eastAsia="ChaparralPro-Regular" w:hAnsi="Arial" w:cs="Arial"/>
          <w:b/>
          <w:sz w:val="20"/>
          <w:szCs w:val="20"/>
        </w:rPr>
        <w:t xml:space="preserve"> </w:t>
      </w:r>
      <w:r w:rsidR="0078407E">
        <w:rPr>
          <w:rFonts w:ascii="Arial" w:eastAsia="ChaparralPro-Regular" w:hAnsi="Arial" w:cs="Arial"/>
          <w:sz w:val="20"/>
          <w:szCs w:val="20"/>
        </w:rPr>
        <w:lastRenderedPageBreak/>
        <w:t>o 15,1 %</w:t>
      </w:r>
      <w:r w:rsidRPr="00442515">
        <w:rPr>
          <w:rFonts w:ascii="Arial" w:eastAsia="ChaparralPro-Regular" w:hAnsi="Arial" w:cs="Arial"/>
          <w:sz w:val="20"/>
          <w:szCs w:val="20"/>
        </w:rPr>
        <w:t xml:space="preserve">. To je </w:t>
      </w:r>
      <w:r w:rsidRPr="00442515">
        <w:rPr>
          <w:rFonts w:ascii="Arial" w:eastAsia="ChaparralPro-Regular" w:hAnsi="Arial" w:cs="Arial"/>
          <w:b/>
          <w:sz w:val="20"/>
          <w:szCs w:val="20"/>
        </w:rPr>
        <w:t>dáno především snížením platů učitelů</w:t>
      </w:r>
      <w:r w:rsidRPr="00442515">
        <w:rPr>
          <w:rFonts w:ascii="Arial" w:eastAsia="ChaparralPro-Regular" w:hAnsi="Arial" w:cs="Arial"/>
          <w:sz w:val="20"/>
          <w:szCs w:val="20"/>
        </w:rPr>
        <w:t xml:space="preserve"> (o 11,4 %); velikost třídy se zvýšila jen nepatrně (tj. o 1,9 %). V Polsku došlo naopak k  nárůstu nákladů na platy učitelů na jedno</w:t>
      </w:r>
      <w:r w:rsidR="0078407E">
        <w:rPr>
          <w:rFonts w:ascii="Arial" w:eastAsia="ChaparralPro-Regular" w:hAnsi="Arial" w:cs="Arial"/>
          <w:sz w:val="20"/>
          <w:szCs w:val="20"/>
        </w:rPr>
        <w:t>ho žáka v primárním vzdělávání o 8,8 %</w:t>
      </w:r>
      <w:r w:rsidRPr="00442515">
        <w:rPr>
          <w:rFonts w:ascii="Arial" w:eastAsia="ChaparralPro-Regular" w:hAnsi="Arial" w:cs="Arial"/>
          <w:sz w:val="20"/>
          <w:szCs w:val="20"/>
        </w:rPr>
        <w:t xml:space="preserve">, při čemž si lze všimnout, že platy učitelů vzrostly, ještě výrazněji se však zvýšila průměrná velikost třídy. V tomto ohledu lze poznamenat, že v různých studiích (např. na základě dat z šetření PISA) se příliš neprokazuje vliv velikosti třídy na studijní výsledky žáků a jeví se jako mnohem důležitější kvalita práce učitelů (viz např. </w:t>
      </w:r>
      <w:hyperlink r:id="rId144" w:history="1">
        <w:r w:rsidRPr="00442515">
          <w:rPr>
            <w:rStyle w:val="Hypertextovodkaz"/>
            <w:rFonts w:ascii="Arial" w:eastAsia="ChaparralPro-Regular" w:hAnsi="Arial" w:cs="Arial"/>
            <w:sz w:val="20"/>
            <w:szCs w:val="20"/>
          </w:rPr>
          <w:t>Hanushek &amp; Woessmann 2011</w:t>
        </w:r>
      </w:hyperlink>
      <w:r w:rsidRPr="00442515">
        <w:rPr>
          <w:rFonts w:ascii="Arial" w:eastAsia="ChaparralPro-Regular" w:hAnsi="Arial" w:cs="Arial"/>
          <w:sz w:val="20"/>
          <w:szCs w:val="20"/>
        </w:rPr>
        <w:t xml:space="preserve">). Pro učitele nejpříznivější situace byla zaznamenána v Lucembursku, kde došlo k výraznému zvýšení platů učitelů a naopak snížení velikosti třídy. </w:t>
      </w:r>
    </w:p>
    <w:p w:rsidR="00306953" w:rsidRPr="00442515" w:rsidRDefault="00306953" w:rsidP="00306953">
      <w:pPr>
        <w:pStyle w:val="Default"/>
        <w:jc w:val="both"/>
        <w:rPr>
          <w:rFonts w:ascii="Arial" w:eastAsia="ChaparralPro-Regular" w:hAnsi="Arial" w:cs="Arial"/>
          <w:sz w:val="20"/>
          <w:szCs w:val="20"/>
        </w:rPr>
      </w:pPr>
    </w:p>
    <w:p w:rsidR="00306953" w:rsidRPr="00442515" w:rsidRDefault="00306953" w:rsidP="00306953">
      <w:pPr>
        <w:pStyle w:val="Default"/>
        <w:jc w:val="both"/>
        <w:rPr>
          <w:rFonts w:ascii="Arial" w:eastAsia="ChaparralPro-Regular" w:hAnsi="Arial" w:cs="Arial"/>
          <w:sz w:val="20"/>
          <w:szCs w:val="20"/>
        </w:rPr>
      </w:pPr>
      <w:r w:rsidRPr="00442515">
        <w:rPr>
          <w:rFonts w:ascii="Arial" w:eastAsia="ChaparralPro-Regular" w:hAnsi="Arial" w:cs="Arial"/>
          <w:sz w:val="20"/>
          <w:szCs w:val="20"/>
        </w:rPr>
        <w:t>Graf č. 21 je věnován nižší sekundární úrovni vzdělávání.</w:t>
      </w:r>
    </w:p>
    <w:p w:rsidR="00306953" w:rsidRPr="00A97217" w:rsidRDefault="00306953" w:rsidP="00306953">
      <w:pPr>
        <w:pStyle w:val="Default"/>
        <w:jc w:val="both"/>
        <w:rPr>
          <w:rFonts w:ascii="Arial" w:eastAsia="ChaparralPro-Regular" w:hAnsi="Arial" w:cs="Arial"/>
          <w:sz w:val="12"/>
          <w:szCs w:val="12"/>
        </w:rPr>
      </w:pPr>
    </w:p>
    <w:p w:rsidR="00306953" w:rsidRPr="00442515" w:rsidRDefault="00306953" w:rsidP="00306953">
      <w:pPr>
        <w:autoSpaceDE w:val="0"/>
        <w:autoSpaceDN w:val="0"/>
        <w:adjustRightInd w:val="0"/>
        <w:spacing w:after="0" w:line="240" w:lineRule="auto"/>
        <w:jc w:val="both"/>
        <w:rPr>
          <w:rFonts w:eastAsia="ChaparralPro-Regular" w:cs="Arial"/>
          <w:szCs w:val="20"/>
        </w:rPr>
      </w:pPr>
      <w:r w:rsidRPr="00442515">
        <w:rPr>
          <w:rFonts w:eastAsia="ChaparralPro-Regular" w:cs="Arial"/>
          <w:b/>
          <w:szCs w:val="20"/>
        </w:rPr>
        <w:t>Graf č. 21</w:t>
      </w:r>
      <w:r w:rsidRPr="00442515">
        <w:rPr>
          <w:rFonts w:eastAsia="ChaparralPro-Regular" w:cs="Arial"/>
          <w:szCs w:val="20"/>
        </w:rPr>
        <w:t xml:space="preserve"> </w:t>
      </w:r>
      <w:r w:rsidRPr="00442515">
        <w:rPr>
          <w:rFonts w:eastAsia="ChaparralPro-Regular" w:cs="Arial"/>
          <w:b/>
          <w:bCs/>
          <w:szCs w:val="20"/>
        </w:rPr>
        <w:t xml:space="preserve">Vývoj nákladů na platy učitelů na 1 žáka, platů učitelů a odhadované velikosti třídy </w:t>
      </w:r>
    </w:p>
    <w:p w:rsidR="00306953" w:rsidRPr="00442515" w:rsidRDefault="00306953" w:rsidP="00306953">
      <w:pPr>
        <w:autoSpaceDE w:val="0"/>
        <w:autoSpaceDN w:val="0"/>
        <w:adjustRightInd w:val="0"/>
        <w:spacing w:after="0" w:line="240" w:lineRule="auto"/>
        <w:jc w:val="both"/>
        <w:rPr>
          <w:rFonts w:eastAsia="ChaparralPro-Regular" w:cs="Arial"/>
          <w:szCs w:val="20"/>
        </w:rPr>
      </w:pPr>
      <w:r w:rsidRPr="00442515">
        <w:rPr>
          <w:rFonts w:eastAsia="ChaparralPro-Regular" w:cs="Arial"/>
          <w:b/>
          <w:bCs/>
          <w:szCs w:val="20"/>
        </w:rPr>
        <w:t>v nižším sekundárním vzdělávání mezi roky 2008 a 2012</w:t>
      </w:r>
    </w:p>
    <w:p w:rsidR="00306953" w:rsidRDefault="00A97217" w:rsidP="00306953">
      <w:pPr>
        <w:autoSpaceDE w:val="0"/>
        <w:autoSpaceDN w:val="0"/>
        <w:adjustRightInd w:val="0"/>
        <w:spacing w:after="0" w:line="240" w:lineRule="auto"/>
        <w:jc w:val="both"/>
        <w:rPr>
          <w:rFonts w:eastAsia="ChaparralPro-Regular" w:cs="Arial"/>
          <w:i/>
          <w:iCs/>
          <w:szCs w:val="20"/>
          <w:lang w:val="en-GB"/>
        </w:rPr>
      </w:pPr>
      <w:r>
        <w:rPr>
          <w:rFonts w:eastAsia="ChaparralPro-Regular" w:cs="Arial"/>
          <w:i/>
          <w:iCs/>
          <w:szCs w:val="20"/>
        </w:rPr>
        <w:t>z</w:t>
      </w:r>
      <w:r w:rsidR="00306953" w:rsidRPr="00442515">
        <w:rPr>
          <w:rFonts w:eastAsia="ChaparralPro-Regular" w:cs="Arial"/>
          <w:i/>
          <w:iCs/>
          <w:szCs w:val="20"/>
        </w:rPr>
        <w:t xml:space="preserve">měna v procentech mezi roky </w:t>
      </w:r>
      <w:r w:rsidR="00306953" w:rsidRPr="00442515">
        <w:rPr>
          <w:rFonts w:eastAsia="ChaparralPro-Regular" w:cs="Arial"/>
          <w:i/>
          <w:iCs/>
          <w:szCs w:val="20"/>
          <w:lang w:val="en-GB"/>
        </w:rPr>
        <w:t>2008 a 2012</w:t>
      </w:r>
    </w:p>
    <w:p w:rsidR="00CF6504" w:rsidRDefault="00BA5EE1" w:rsidP="00CF6504">
      <w:pPr>
        <w:autoSpaceDE w:val="0"/>
        <w:autoSpaceDN w:val="0"/>
        <w:adjustRightInd w:val="0"/>
        <w:spacing w:after="0" w:line="240" w:lineRule="auto"/>
        <w:jc w:val="both"/>
        <w:rPr>
          <w:rFonts w:eastAsia="ChaparralPro-Regular" w:cs="Arial"/>
          <w:i/>
          <w:iCs/>
          <w:szCs w:val="20"/>
          <w:lang w:val="en-GB"/>
        </w:rPr>
      </w:pPr>
      <w:r w:rsidRPr="00984E22">
        <w:rPr>
          <w:rFonts w:eastAsia="ChaparralPro-Regular" w:cs="Arial"/>
          <w:i/>
          <w:noProof/>
          <w:szCs w:val="20"/>
        </w:rPr>
        <w:pict>
          <v:shape id="Graf 34" o:spid="_x0000_i1048" type="#_x0000_t75" style="width:470.25pt;height:246.7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">
            <v:imagedata r:id="rId145" o:title="" croptop="-2659f" cropbottom="-2382f" cropleft="-767f" cropright="-1721f"/>
            <o:lock v:ext="edit" aspectratio="f"/>
          </v:shape>
        </w:pict>
      </w:r>
    </w:p>
    <w:p w:rsidR="00306953" w:rsidRPr="005F4DF2" w:rsidRDefault="00306953" w:rsidP="00A97217">
      <w:pPr>
        <w:autoSpaceDE w:val="0"/>
        <w:autoSpaceDN w:val="0"/>
        <w:adjustRightInd w:val="0"/>
        <w:spacing w:after="0" w:line="240" w:lineRule="auto"/>
        <w:jc w:val="both"/>
        <w:rPr>
          <w:rFonts w:eastAsia="ChaparralPro-Regular" w:cs="Arial"/>
          <w:i/>
          <w:iCs/>
          <w:szCs w:val="20"/>
        </w:rPr>
      </w:pPr>
      <w:r w:rsidRPr="00442515">
        <w:rPr>
          <w:rFonts w:eastAsia="ChaparralPro-Regular" w:cs="Arial"/>
          <w:sz w:val="16"/>
          <w:szCs w:val="16"/>
        </w:rPr>
        <w:t xml:space="preserve">Zdroj: OECD 2014, graf B 7.3 (tabulka B 7.2a, B 7.2b, B 7.3 a B 7.4). </w:t>
      </w:r>
      <w:proofErr w:type="spellStart"/>
      <w:r w:rsidRPr="00442515">
        <w:rPr>
          <w:rFonts w:eastAsia="ChaparralPro-Regular" w:cs="Arial"/>
          <w:sz w:val="16"/>
          <w:szCs w:val="16"/>
        </w:rPr>
        <w:t>StatLink</w:t>
      </w:r>
      <w:proofErr w:type="spellEnd"/>
      <w:r w:rsidRPr="00442515">
        <w:rPr>
          <w:rFonts w:eastAsia="ChaparralPro-Regular" w:cs="Arial"/>
          <w:sz w:val="16"/>
          <w:szCs w:val="16"/>
        </w:rPr>
        <w:t xml:space="preserve">: </w:t>
      </w:r>
      <w:hyperlink r:id="rId146" w:history="1">
        <w:r w:rsidRPr="00442515">
          <w:rPr>
            <w:rStyle w:val="Hypertextovodkaz"/>
            <w:rFonts w:cs="Arial"/>
            <w:sz w:val="16"/>
            <w:szCs w:val="16"/>
          </w:rPr>
          <w:t>http://dx.doi.org/10.1787/888933118143</w:t>
        </w:r>
      </w:hyperlink>
      <w:r w:rsidRPr="00442515">
        <w:rPr>
          <w:rFonts w:cs="Arial"/>
          <w:sz w:val="16"/>
          <w:szCs w:val="16"/>
        </w:rPr>
        <w:t xml:space="preserve"> </w:t>
      </w:r>
    </w:p>
    <w:p w:rsidR="00306953" w:rsidRPr="00306953" w:rsidRDefault="00306953" w:rsidP="00306953">
      <w:pPr>
        <w:autoSpaceDE w:val="0"/>
        <w:autoSpaceDN w:val="0"/>
        <w:adjustRightInd w:val="0"/>
        <w:spacing w:after="0" w:line="240" w:lineRule="auto"/>
        <w:jc w:val="both"/>
        <w:rPr>
          <w:rFonts w:eastAsia="ChaparralPro-Regular" w:cs="Arial"/>
        </w:rPr>
      </w:pPr>
    </w:p>
    <w:p w:rsidR="00306953" w:rsidRPr="00442515" w:rsidRDefault="00306953" w:rsidP="00306953">
      <w:pPr>
        <w:autoSpaceDE w:val="0"/>
        <w:autoSpaceDN w:val="0"/>
        <w:adjustRightInd w:val="0"/>
        <w:spacing w:after="120" w:line="240" w:lineRule="auto"/>
        <w:jc w:val="both"/>
        <w:rPr>
          <w:rFonts w:eastAsia="ChaparralPro-Regular" w:cs="Arial"/>
          <w:szCs w:val="20"/>
        </w:rPr>
      </w:pPr>
      <w:r w:rsidRPr="00442515">
        <w:rPr>
          <w:rFonts w:eastAsia="ChaparralPro-Regular" w:cs="Arial"/>
          <w:szCs w:val="20"/>
        </w:rPr>
        <w:t xml:space="preserve">Též v oblasti </w:t>
      </w:r>
      <w:r w:rsidRPr="00442515">
        <w:rPr>
          <w:rFonts w:eastAsia="ChaparralPro-Regular" w:cs="Arial"/>
          <w:b/>
          <w:szCs w:val="20"/>
        </w:rPr>
        <w:t>nižšího</w:t>
      </w:r>
      <w:r w:rsidRPr="00442515">
        <w:rPr>
          <w:rFonts w:eastAsia="ChaparralPro-Regular" w:cs="Arial"/>
          <w:szCs w:val="20"/>
        </w:rPr>
        <w:t xml:space="preserve"> </w:t>
      </w:r>
      <w:r w:rsidRPr="00442515">
        <w:rPr>
          <w:rFonts w:eastAsia="ChaparralPro-Regular" w:cs="Arial"/>
          <w:b/>
          <w:szCs w:val="20"/>
        </w:rPr>
        <w:t>sekundárního vzdělávání</w:t>
      </w:r>
      <w:r w:rsidRPr="00442515">
        <w:rPr>
          <w:rFonts w:eastAsia="ChaparralPro-Regular" w:cs="Arial"/>
          <w:szCs w:val="20"/>
        </w:rPr>
        <w:t xml:space="preserve"> došlo v ČR mezi lety 2008 a 2012 k </w:t>
      </w:r>
      <w:r w:rsidRPr="00442515">
        <w:rPr>
          <w:rFonts w:eastAsia="ChaparralPro-Regular" w:cs="Arial"/>
          <w:b/>
          <w:szCs w:val="20"/>
        </w:rPr>
        <w:t>poklesu vynaložených finančních prostředků na platy učitelů na jednoho žáka</w:t>
      </w:r>
      <w:r w:rsidR="0078407E" w:rsidRPr="0078407E">
        <w:rPr>
          <w:rFonts w:eastAsia="ChaparralPro-Regular" w:cs="Arial"/>
          <w:szCs w:val="20"/>
        </w:rPr>
        <w:t>, a sice</w:t>
      </w:r>
      <w:r w:rsidR="0078407E">
        <w:rPr>
          <w:rFonts w:eastAsia="ChaparralPro-Regular" w:cs="Arial"/>
          <w:b/>
          <w:szCs w:val="20"/>
        </w:rPr>
        <w:t xml:space="preserve"> </w:t>
      </w:r>
      <w:r w:rsidR="0078407E">
        <w:rPr>
          <w:rFonts w:eastAsia="ChaparralPro-Regular" w:cs="Arial"/>
          <w:szCs w:val="20"/>
        </w:rPr>
        <w:t>o 6,4 %</w:t>
      </w:r>
      <w:r w:rsidRPr="00442515">
        <w:rPr>
          <w:rFonts w:eastAsia="ChaparralPro-Regular" w:cs="Arial"/>
          <w:szCs w:val="20"/>
        </w:rPr>
        <w:t>. Zde přitom v ČR došlo jak ke snížení platů učitelů (o 12,5 %), tak i ke snížení průměrné velikosti třídy (o 7 %). Lze si všimnout, že k výraznějšímu poklesu výše platů učitelů došlo ze sledovaných zemí již jen v</w:t>
      </w:r>
      <w:r w:rsidR="00623673">
        <w:rPr>
          <w:rFonts w:eastAsia="ChaparralPro-Regular" w:cs="Arial"/>
          <w:szCs w:val="20"/>
        </w:rPr>
        <w:t> </w:t>
      </w:r>
      <w:r w:rsidRPr="00442515">
        <w:rPr>
          <w:rFonts w:eastAsia="ChaparralPro-Regular" w:cs="Arial"/>
          <w:szCs w:val="20"/>
        </w:rPr>
        <w:t>Maďarsku</w:t>
      </w:r>
      <w:r w:rsidR="00623673">
        <w:rPr>
          <w:rFonts w:eastAsia="ChaparralPro-Regular" w:cs="Arial"/>
          <w:szCs w:val="20"/>
        </w:rPr>
        <w:t>.</w:t>
      </w:r>
      <w:r w:rsidRPr="00442515">
        <w:rPr>
          <w:rStyle w:val="Znakapoznpodarou"/>
          <w:rFonts w:eastAsia="ChaparralPro-Regular" w:cs="Arial"/>
          <w:szCs w:val="20"/>
        </w:rPr>
        <w:footnoteReference w:id="13"/>
      </w:r>
      <w:r w:rsidRPr="00442515">
        <w:rPr>
          <w:rFonts w:eastAsia="ChaparralPro-Regular" w:cs="Arial"/>
          <w:szCs w:val="20"/>
        </w:rPr>
        <w:t xml:space="preserve"> Zajímavé je také znatelné zvýšení nákladů na platy učitelů na jednoho žáka v Polsku, které bylo navíc ovlivněno zejména zvýšením platů učitelů (po Nizozemsku druhým nejvyšším), přestože od</w:t>
      </w:r>
      <w:r w:rsidR="00E52654">
        <w:rPr>
          <w:rFonts w:eastAsia="ChaparralPro-Regular" w:cs="Arial"/>
          <w:szCs w:val="20"/>
        </w:rPr>
        <w:t xml:space="preserve"> roku 2008 do roku 2012 došlo v </w:t>
      </w:r>
      <w:r w:rsidRPr="00442515">
        <w:rPr>
          <w:rFonts w:eastAsia="ChaparralPro-Regular" w:cs="Arial"/>
          <w:szCs w:val="20"/>
        </w:rPr>
        <w:t xml:space="preserve">Polsku též ke zmenšení odhadované velikosti třídy. </w:t>
      </w:r>
    </w:p>
    <w:p w:rsidR="00306953" w:rsidRPr="00442515" w:rsidRDefault="00306953" w:rsidP="00306953">
      <w:pPr>
        <w:autoSpaceDE w:val="0"/>
        <w:autoSpaceDN w:val="0"/>
        <w:adjustRightInd w:val="0"/>
        <w:spacing w:after="120" w:line="240" w:lineRule="auto"/>
        <w:jc w:val="both"/>
        <w:rPr>
          <w:rFonts w:eastAsia="ChaparralPro-Regular" w:cs="Arial"/>
          <w:szCs w:val="20"/>
        </w:rPr>
      </w:pPr>
      <w:r w:rsidRPr="00442515">
        <w:rPr>
          <w:rFonts w:eastAsia="ChaparralPro-Regular" w:cs="Arial"/>
          <w:szCs w:val="20"/>
        </w:rPr>
        <w:t>Ve shrnutí od MŠMT se uvádí, že důvodem poklesu platů učitelů v ČR, jak jej</w:t>
      </w:r>
      <w:r w:rsidR="00E52654">
        <w:rPr>
          <w:rFonts w:eastAsia="ChaparralPro-Regular" w:cs="Arial"/>
          <w:szCs w:val="20"/>
        </w:rPr>
        <w:t xml:space="preserve"> uvádí publikace </w:t>
      </w:r>
      <w:proofErr w:type="spellStart"/>
      <w:r w:rsidR="00E52654">
        <w:rPr>
          <w:rFonts w:eastAsia="ChaparralPro-Regular" w:cs="Arial"/>
          <w:szCs w:val="20"/>
        </w:rPr>
        <w:t>Education</w:t>
      </w:r>
      <w:proofErr w:type="spellEnd"/>
      <w:r w:rsidR="00E52654">
        <w:rPr>
          <w:rFonts w:eastAsia="ChaparralPro-Regular" w:cs="Arial"/>
          <w:szCs w:val="20"/>
        </w:rPr>
        <w:t xml:space="preserve"> </w:t>
      </w:r>
      <w:proofErr w:type="spellStart"/>
      <w:r w:rsidR="00E52654">
        <w:rPr>
          <w:rFonts w:eastAsia="ChaparralPro-Regular" w:cs="Arial"/>
          <w:szCs w:val="20"/>
        </w:rPr>
        <w:t>at</w:t>
      </w:r>
      <w:proofErr w:type="spellEnd"/>
      <w:r w:rsidR="00E52654">
        <w:rPr>
          <w:rFonts w:eastAsia="ChaparralPro-Regular" w:cs="Arial"/>
          <w:szCs w:val="20"/>
        </w:rPr>
        <w:t xml:space="preserve"> a </w:t>
      </w:r>
      <w:proofErr w:type="spellStart"/>
      <w:r w:rsidRPr="00442515">
        <w:rPr>
          <w:rFonts w:eastAsia="ChaparralPro-Regular" w:cs="Arial"/>
          <w:szCs w:val="20"/>
        </w:rPr>
        <w:t>Glance</w:t>
      </w:r>
      <w:proofErr w:type="spellEnd"/>
      <w:r w:rsidRPr="00442515">
        <w:rPr>
          <w:rFonts w:eastAsia="ChaparralPro-Regular" w:cs="Arial"/>
          <w:szCs w:val="20"/>
        </w:rPr>
        <w:t xml:space="preserve"> (</w:t>
      </w:r>
      <w:hyperlink r:id="rId147" w:history="1">
        <w:r w:rsidR="005F4935">
          <w:rPr>
            <w:rStyle w:val="Hypertextovodkaz"/>
            <w:rFonts w:eastAsia="ChaparralPro-Regular" w:cs="Arial"/>
            <w:szCs w:val="20"/>
          </w:rPr>
          <w:t>OECD, </w:t>
        </w:r>
        <w:r w:rsidRPr="00442515">
          <w:rPr>
            <w:rStyle w:val="Hypertextovodkaz"/>
            <w:rFonts w:eastAsia="ChaparralPro-Regular" w:cs="Arial"/>
            <w:szCs w:val="20"/>
          </w:rPr>
          <w:t>2014</w:t>
        </w:r>
      </w:hyperlink>
      <w:r w:rsidRPr="00442515">
        <w:rPr>
          <w:rFonts w:eastAsia="ChaparralPro-Regular" w:cs="Arial"/>
          <w:szCs w:val="20"/>
        </w:rPr>
        <w:t>), „</w:t>
      </w:r>
      <w:r w:rsidRPr="00442515">
        <w:rPr>
          <w:rFonts w:eastAsia="ChaparralPro-Regular" w:cs="Arial"/>
          <w:i/>
          <w:szCs w:val="20"/>
        </w:rPr>
        <w:t>bylo i navýšení cenové hladiny v ČR oproti ostatním státům – platy se přepočítávají na USD a paritu kupní síly</w:t>
      </w:r>
      <w:r w:rsidRPr="00442515">
        <w:rPr>
          <w:rFonts w:eastAsia="ChaparralPro-Regular" w:cs="Arial"/>
          <w:szCs w:val="20"/>
        </w:rPr>
        <w:t>.“ (</w:t>
      </w:r>
      <w:hyperlink r:id="rId148" w:history="1">
        <w:r w:rsidRPr="00442515">
          <w:rPr>
            <w:rStyle w:val="Hypertextovodkaz"/>
            <w:rFonts w:eastAsia="ChaparralPro-Regular" w:cs="Arial"/>
            <w:szCs w:val="20"/>
          </w:rPr>
          <w:t>MŠMT 2014</w:t>
        </w:r>
      </w:hyperlink>
      <w:r w:rsidRPr="00442515">
        <w:rPr>
          <w:rFonts w:eastAsia="ChaparralPro-Regular" w:cs="Arial"/>
          <w:szCs w:val="20"/>
        </w:rPr>
        <w:t>, s. 27).</w:t>
      </w:r>
      <w:r w:rsidR="00034F00">
        <w:rPr>
          <w:rFonts w:eastAsia="ChaparralPro-Regular" w:cs="Arial"/>
          <w:szCs w:val="20"/>
        </w:rPr>
        <w:t xml:space="preserve"> </w:t>
      </w:r>
      <w:r w:rsidRPr="00442515">
        <w:rPr>
          <w:rFonts w:eastAsia="ChaparralPro-Regular" w:cs="Arial"/>
          <w:szCs w:val="20"/>
        </w:rPr>
        <w:t xml:space="preserve">Také je třeba připomenout, že v publikaci Education at a Glance jsou při sledování platů učitelů sledováni ve všech zemích učitelé s patnáctiletou praxí v oboru a jsou zohledňovány jejich zákonem stanovené platy. V uvedených letech přitom v České </w:t>
      </w:r>
      <w:r w:rsidRPr="00814350">
        <w:rPr>
          <w:rFonts w:eastAsia="ChaparralPro-Regular" w:cs="Arial"/>
          <w:szCs w:val="20"/>
        </w:rPr>
        <w:t>republice došlo několikrát ke zvyšování platů učitelů, které nebylo vždy plošné. Např. v roce 2009 došlo za působení ministra školství Ondřeje Lišky (prosinec 2007 až květen 2009) k navýšení platů učitelů, kdy peníze „navíc“ putovaly do nenárokové složky platů, za jejíž přerozdělení odpovídá ředitel školy</w:t>
      </w:r>
      <w:r w:rsidR="00814350" w:rsidRPr="00814350">
        <w:rPr>
          <w:rFonts w:eastAsia="ChaparralPro-Regular" w:cs="Arial"/>
          <w:szCs w:val="20"/>
        </w:rPr>
        <w:t xml:space="preserve"> (</w:t>
      </w:r>
      <w:r w:rsidR="00814350" w:rsidRPr="00814350">
        <w:rPr>
          <w:rFonts w:cs="Arial"/>
          <w:szCs w:val="20"/>
        </w:rPr>
        <w:t xml:space="preserve">viz </w:t>
      </w:r>
      <w:hyperlink r:id="rId149" w:history="1">
        <w:r w:rsidR="00814350" w:rsidRPr="00814350">
          <w:rPr>
            <w:rStyle w:val="Hypertextovodkaz"/>
            <w:rFonts w:cs="Arial"/>
            <w:szCs w:val="20"/>
          </w:rPr>
          <w:t>zde</w:t>
        </w:r>
      </w:hyperlink>
      <w:r w:rsidR="00814350" w:rsidRPr="00814350">
        <w:rPr>
          <w:rFonts w:cs="Arial"/>
          <w:szCs w:val="20"/>
        </w:rPr>
        <w:t>)</w:t>
      </w:r>
      <w:r w:rsidRPr="00814350">
        <w:rPr>
          <w:rFonts w:eastAsia="ChaparralPro-Regular" w:cs="Arial"/>
          <w:szCs w:val="20"/>
        </w:rPr>
        <w:t xml:space="preserve">. </w:t>
      </w:r>
      <w:r w:rsidRPr="00814350">
        <w:rPr>
          <w:rFonts w:cs="Arial"/>
          <w:szCs w:val="20"/>
        </w:rPr>
        <w:t xml:space="preserve">Za </w:t>
      </w:r>
      <w:r w:rsidRPr="00814350">
        <w:rPr>
          <w:rFonts w:eastAsia="ChaparralPro-Regular" w:cs="Arial"/>
          <w:szCs w:val="20"/>
        </w:rPr>
        <w:t>doby působení ministra školství Josefa Dobeše (červenec 2010 až březen 2012) došlo dvakrát ke zvýšení platů učitelů. K prvnímu zvýšení došlo v roce 2011 (2,1 mld. korun), kdy se zvyšovaly platy začínajících pedagožek a pedagogů, a sice ze 14,5 tisíce korun na rovných 20 tisíc korun. K dalšímu zvýšení, tentokrát zaměřenému na ocenění zkušených a kvalifikovaných učitelů, došlo v roce 2012, kdy dostali sice přidáno všichni, nicméně kvalifikovaní učitelé byli za</w:t>
      </w:r>
      <w:r w:rsidR="00E52654" w:rsidRPr="00814350">
        <w:rPr>
          <w:rFonts w:eastAsia="ChaparralPro-Regular" w:cs="Arial"/>
          <w:szCs w:val="20"/>
        </w:rPr>
        <w:t>řazeni do vyšší platové třídy a </w:t>
      </w:r>
      <w:r w:rsidRPr="00814350">
        <w:rPr>
          <w:rFonts w:eastAsia="ChaparralPro-Regular" w:cs="Arial"/>
          <w:szCs w:val="20"/>
        </w:rPr>
        <w:t xml:space="preserve">dostali tak více peněz. Tabulka </w:t>
      </w:r>
      <w:r w:rsidRPr="00814350">
        <w:rPr>
          <w:rFonts w:eastAsia="ChaparralPro-Regular" w:cs="Arial"/>
          <w:szCs w:val="20"/>
        </w:rPr>
        <w:lastRenderedPageBreak/>
        <w:t>platových stupňů, která pedagogům určuje odměnu podle odučených let, sice byla ponechána, ředitel však dostal nově možnost udělat výjimku a zařadit učitele do platového stupně podle svého uvážení</w:t>
      </w:r>
      <w:r w:rsidR="00814350" w:rsidRPr="00814350">
        <w:rPr>
          <w:rFonts w:eastAsia="ChaparralPro-Regular" w:cs="Arial"/>
          <w:szCs w:val="20"/>
        </w:rPr>
        <w:t xml:space="preserve"> (</w:t>
      </w:r>
      <w:r w:rsidR="00814350" w:rsidRPr="00814350">
        <w:rPr>
          <w:rFonts w:cs="Arial"/>
          <w:szCs w:val="20"/>
        </w:rPr>
        <w:t xml:space="preserve">více viz </w:t>
      </w:r>
      <w:hyperlink r:id="rId150" w:history="1">
        <w:r w:rsidR="00814350" w:rsidRPr="00814350">
          <w:rPr>
            <w:rStyle w:val="Hypertextovodkaz"/>
            <w:rFonts w:cs="Arial"/>
            <w:szCs w:val="20"/>
          </w:rPr>
          <w:t>zde</w:t>
        </w:r>
      </w:hyperlink>
      <w:r w:rsidR="00814350" w:rsidRPr="00814350">
        <w:rPr>
          <w:rFonts w:cs="Arial"/>
          <w:szCs w:val="20"/>
        </w:rPr>
        <w:t>)</w:t>
      </w:r>
      <w:r w:rsidRPr="00814350">
        <w:rPr>
          <w:rFonts w:eastAsia="ChaparralPro-Regular" w:cs="Arial"/>
          <w:szCs w:val="20"/>
        </w:rPr>
        <w:t>.</w:t>
      </w:r>
      <w:r w:rsidRPr="00442515">
        <w:rPr>
          <w:rFonts w:eastAsia="ChaparralPro-Regular" w:cs="Arial"/>
          <w:szCs w:val="20"/>
        </w:rPr>
        <w:t xml:space="preserve"> I tato politická opatření se mohla do výsledků za Českou republiku promítnout.</w:t>
      </w:r>
    </w:p>
    <w:p w:rsidR="00814350" w:rsidRDefault="00306953" w:rsidP="00A97217">
      <w:pPr>
        <w:pStyle w:val="Default"/>
        <w:spacing w:after="120"/>
        <w:jc w:val="both"/>
        <w:rPr>
          <w:rFonts w:ascii="Arial" w:eastAsia="ChaparralPro-Regular" w:hAnsi="Arial" w:cs="Arial"/>
          <w:sz w:val="20"/>
          <w:szCs w:val="20"/>
        </w:rPr>
      </w:pPr>
      <w:r w:rsidRPr="0011530F">
        <w:rPr>
          <w:rFonts w:ascii="Arial" w:eastAsia="ChaparralPro-Regular" w:hAnsi="Arial" w:cs="Arial"/>
          <w:sz w:val="20"/>
          <w:szCs w:val="20"/>
        </w:rPr>
        <w:t>Jak dále ukazuje tabulka č. 32,</w:t>
      </w:r>
      <w:r w:rsidRPr="00442515">
        <w:rPr>
          <w:rFonts w:ascii="Arial" w:eastAsia="ChaparralPro-Regular" w:hAnsi="Arial" w:cs="Arial"/>
          <w:b/>
          <w:sz w:val="20"/>
          <w:szCs w:val="20"/>
        </w:rPr>
        <w:t xml:space="preserve"> v České republice </w:t>
      </w:r>
      <w:r w:rsidRPr="00442515">
        <w:rPr>
          <w:rFonts w:ascii="Arial" w:eastAsia="ChaparralPro-Regular" w:hAnsi="Arial" w:cs="Arial"/>
          <w:sz w:val="20"/>
          <w:szCs w:val="20"/>
        </w:rPr>
        <w:t>činily</w:t>
      </w:r>
      <w:r w:rsidRPr="00442515">
        <w:rPr>
          <w:rFonts w:ascii="Arial" w:eastAsia="ChaparralPro-Regular" w:hAnsi="Arial" w:cs="Arial"/>
          <w:b/>
          <w:sz w:val="20"/>
          <w:szCs w:val="20"/>
        </w:rPr>
        <w:t xml:space="preserve"> v roce 2013 </w:t>
      </w:r>
      <w:r w:rsidRPr="00442515">
        <w:rPr>
          <w:rFonts w:ascii="Arial" w:eastAsia="ChaparralPro-Regular" w:hAnsi="Arial" w:cs="Arial"/>
          <w:sz w:val="20"/>
          <w:szCs w:val="20"/>
        </w:rPr>
        <w:t>zákonné platy učitelů</w:t>
      </w:r>
      <w:r w:rsidRPr="00442515">
        <w:rPr>
          <w:rStyle w:val="Znakapoznpodarou"/>
          <w:rFonts w:ascii="Arial" w:eastAsia="ChaparralPro-Regular" w:hAnsi="Arial" w:cs="Arial"/>
          <w:sz w:val="20"/>
          <w:szCs w:val="20"/>
        </w:rPr>
        <w:footnoteReference w:id="14"/>
      </w:r>
      <w:r w:rsidRPr="00442515">
        <w:rPr>
          <w:rFonts w:ascii="Arial" w:eastAsia="ChaparralPro-Regular" w:hAnsi="Arial" w:cs="Arial"/>
          <w:sz w:val="20"/>
          <w:szCs w:val="20"/>
        </w:rPr>
        <w:t xml:space="preserve"> s patnáctiletou praxí v oboru a minimálním požadovaným vzděláním (po</w:t>
      </w:r>
      <w:r w:rsidR="00E52654">
        <w:rPr>
          <w:rFonts w:ascii="Arial" w:eastAsia="ChaparralPro-Regular" w:hAnsi="Arial" w:cs="Arial"/>
          <w:sz w:val="20"/>
          <w:szCs w:val="20"/>
        </w:rPr>
        <w:t xml:space="preserve"> převedení na konstantní ceny a </w:t>
      </w:r>
      <w:r w:rsidRPr="00442515">
        <w:rPr>
          <w:rFonts w:ascii="Arial" w:eastAsia="ChaparralPro-Regular" w:hAnsi="Arial" w:cs="Arial"/>
          <w:sz w:val="20"/>
          <w:szCs w:val="20"/>
        </w:rPr>
        <w:t>ošetření deflátorem pro soukromou spotřebu) méně než 90 % výše platů v roce 2005, a to jak na preprimární, tak na primární, nižší sekundární i vyšší sekundární úrovni. Ze zemí s dostupnými daty je přitom možné to samé říci o učitelích v Řecku a Maďarsku.  Jak však uvádí poznámka pod tabulkou, v České republice došlo v roce 2012 k metodické změně a tento výsledek je tedy třeba brát s rezervou. V tabulce níže je také patrné, že nejvyšší pokles byl v ČR zaznamenán na preprimární úrovni (o 40 %, což je nejvíce ze všech sledovaných zemí v publikaci Education at a Glance s dostupnými daty); naopak v Po</w:t>
      </w:r>
      <w:r w:rsidR="0011530F">
        <w:rPr>
          <w:rFonts w:ascii="Arial" w:eastAsia="ChaparralPro-Regular" w:hAnsi="Arial" w:cs="Arial"/>
          <w:sz w:val="20"/>
          <w:szCs w:val="20"/>
        </w:rPr>
        <w:t>lsku se zákonné platy učitelů v </w:t>
      </w:r>
      <w:r w:rsidRPr="00442515">
        <w:rPr>
          <w:rFonts w:ascii="Arial" w:eastAsia="ChaparralPro-Regular" w:hAnsi="Arial" w:cs="Arial"/>
          <w:sz w:val="20"/>
          <w:szCs w:val="20"/>
        </w:rPr>
        <w:t>preprimárním vzdělávání s patnáctiletou praxí v oboru a minimálním požadovaným vzděláním mezi lety 2005 a 2013 zvýšily o 25 %. Pokud se jedná o vyšší úrovně vzdělávání (primární až vyšší sekundární), i zde Polsko zaznamenalo mezi lety 2005 a 2013 pětinový až čtvrtinový nárůst, ještě vyšší však zaznamenalo ze zemí v tabulce Estonsko (napříč úrovněmi vzděl</w:t>
      </w:r>
      <w:r w:rsidR="00E52654">
        <w:rPr>
          <w:rFonts w:ascii="Arial" w:eastAsia="ChaparralPro-Regular" w:hAnsi="Arial" w:cs="Arial"/>
          <w:sz w:val="20"/>
          <w:szCs w:val="20"/>
        </w:rPr>
        <w:t xml:space="preserve">ávání shodně 31 %). Ve Finsku a </w:t>
      </w:r>
      <w:r w:rsidRPr="00442515">
        <w:rPr>
          <w:rFonts w:ascii="Arial" w:eastAsia="ChaparralPro-Regular" w:hAnsi="Arial" w:cs="Arial"/>
          <w:sz w:val="20"/>
          <w:szCs w:val="20"/>
        </w:rPr>
        <w:t xml:space="preserve">v Rakousku došlo jen k nepatrnému či mírnému zvýšení a též v mezinárodních průměrech nedošlo mezi lety 2005 a 2013 k výrazným změnám. Jak OECD </w:t>
      </w:r>
      <w:r w:rsidR="0011530F">
        <w:rPr>
          <w:rFonts w:ascii="Arial" w:eastAsia="ChaparralPro-Regular" w:hAnsi="Arial" w:cs="Arial"/>
          <w:sz w:val="20"/>
          <w:szCs w:val="20"/>
        </w:rPr>
        <w:t xml:space="preserve">(2015) </w:t>
      </w:r>
      <w:r w:rsidRPr="00442515">
        <w:rPr>
          <w:rFonts w:ascii="Arial" w:eastAsia="ChaparralPro-Regular" w:hAnsi="Arial" w:cs="Arial"/>
          <w:sz w:val="20"/>
          <w:szCs w:val="20"/>
        </w:rPr>
        <w:t>uvádí, v Polsku stouply platy učitelů od roku 2005 o min. 20 % na všech úrovních vzdělávání v důsledku vládního programu, jehož realizace začala v roce 2007 a který se zaměřil na postupné zvyšování platů učitelů mezi roky 2008 a 2012 s cílem přilákat a udržet dobré učitele ve školství. (</w:t>
      </w:r>
      <w:hyperlink r:id="rId151" w:history="1">
        <w:r w:rsidRPr="00442515">
          <w:rPr>
            <w:rStyle w:val="Hypertextovodkaz"/>
            <w:rFonts w:ascii="Arial" w:eastAsia="ChaparralPro-Regular" w:hAnsi="Arial" w:cs="Arial"/>
            <w:sz w:val="20"/>
            <w:szCs w:val="20"/>
          </w:rPr>
          <w:t>OECD 2015</w:t>
        </w:r>
      </w:hyperlink>
      <w:r w:rsidRPr="00442515">
        <w:rPr>
          <w:rFonts w:ascii="Arial" w:eastAsia="ChaparralPro-Regular" w:hAnsi="Arial" w:cs="Arial"/>
          <w:sz w:val="20"/>
          <w:szCs w:val="20"/>
        </w:rPr>
        <w:t>, s. 433)</w:t>
      </w:r>
    </w:p>
    <w:p w:rsidR="00A97217" w:rsidRPr="00A97217" w:rsidRDefault="00A97217" w:rsidP="00A97217">
      <w:pPr>
        <w:pStyle w:val="Default"/>
        <w:jc w:val="both"/>
        <w:rPr>
          <w:rFonts w:ascii="Arial" w:eastAsia="ChaparralPro-Regular" w:hAnsi="Arial" w:cs="Arial"/>
          <w:sz w:val="12"/>
          <w:szCs w:val="12"/>
        </w:rPr>
      </w:pPr>
    </w:p>
    <w:p w:rsidR="00306953" w:rsidRPr="00442515" w:rsidRDefault="00306953" w:rsidP="00A97217">
      <w:pPr>
        <w:pStyle w:val="Default"/>
        <w:keepNext/>
        <w:jc w:val="both"/>
        <w:rPr>
          <w:rFonts w:ascii="Arial" w:eastAsia="ChaparralPro-Regular" w:hAnsi="Arial" w:cs="Arial"/>
          <w:b/>
          <w:sz w:val="20"/>
          <w:szCs w:val="20"/>
        </w:rPr>
      </w:pPr>
      <w:r w:rsidRPr="00442515">
        <w:rPr>
          <w:rFonts w:ascii="Arial" w:eastAsia="ChaparralPro-Regular" w:hAnsi="Arial" w:cs="Arial"/>
          <w:b/>
          <w:sz w:val="20"/>
          <w:szCs w:val="20"/>
        </w:rPr>
        <w:t>Tabulka č. 32 Vývoj platů učitelů mezi roky 2000 a 2013</w:t>
      </w:r>
    </w:p>
    <w:p w:rsidR="00306953" w:rsidRPr="00442515" w:rsidRDefault="00092BE0" w:rsidP="00306953">
      <w:pPr>
        <w:pStyle w:val="Default"/>
        <w:spacing w:after="120"/>
        <w:jc w:val="both"/>
        <w:rPr>
          <w:rFonts w:ascii="Arial" w:eastAsia="ChaparralPro-Regular" w:hAnsi="Arial" w:cs="Arial"/>
          <w:i/>
          <w:color w:val="auto"/>
          <w:sz w:val="20"/>
          <w:szCs w:val="20"/>
        </w:rPr>
      </w:pPr>
      <w:r>
        <w:rPr>
          <w:rFonts w:ascii="Arial" w:eastAsia="ChaparralPro-Regular" w:hAnsi="Arial" w:cs="Arial"/>
          <w:i/>
          <w:sz w:val="20"/>
          <w:szCs w:val="20"/>
        </w:rPr>
        <w:t>i</w:t>
      </w:r>
      <w:r w:rsidR="00306953" w:rsidRPr="00442515">
        <w:rPr>
          <w:rFonts w:ascii="Arial" w:eastAsia="ChaparralPro-Regular" w:hAnsi="Arial" w:cs="Arial"/>
          <w:i/>
          <w:sz w:val="20"/>
          <w:szCs w:val="20"/>
        </w:rPr>
        <w:t xml:space="preserve">ndex změny v zákonných platech učitele s patnáctiletou praxí v oboru a minimálním požadovaným vzděláním mezi roky 2000 a 2013 (2005 = 100), dle úrovně vzdělávání, </w:t>
      </w:r>
      <w:r w:rsidR="00E52654">
        <w:rPr>
          <w:rFonts w:ascii="Arial" w:eastAsia="ChaparralPro-Regular" w:hAnsi="Arial" w:cs="Arial"/>
          <w:i/>
          <w:color w:val="auto"/>
          <w:sz w:val="20"/>
          <w:szCs w:val="20"/>
        </w:rPr>
        <w:t>převedeno na konstantní ceny s </w:t>
      </w:r>
      <w:r w:rsidR="00306953" w:rsidRPr="00442515">
        <w:rPr>
          <w:rFonts w:ascii="Arial" w:eastAsia="ChaparralPro-Regular" w:hAnsi="Arial" w:cs="Arial"/>
          <w:i/>
          <w:color w:val="auto"/>
          <w:sz w:val="20"/>
          <w:szCs w:val="20"/>
        </w:rPr>
        <w:t xml:space="preserve">využitím deflátoru pro soukromou spotřebu  </w:t>
      </w:r>
    </w:p>
    <w:tbl>
      <w:tblPr>
        <w:tblW w:w="9036" w:type="dxa"/>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1716"/>
        <w:gridCol w:w="1560"/>
        <w:gridCol w:w="960"/>
        <w:gridCol w:w="960"/>
        <w:gridCol w:w="960"/>
        <w:gridCol w:w="960"/>
        <w:gridCol w:w="960"/>
        <w:gridCol w:w="960"/>
      </w:tblGrid>
      <w:tr w:rsidR="00306953" w:rsidRPr="00442515" w:rsidTr="00A97217">
        <w:trPr>
          <w:trHeight w:val="278"/>
        </w:trPr>
        <w:tc>
          <w:tcPr>
            <w:tcW w:w="1716" w:type="dxa"/>
            <w:tcBorders>
              <w:top w:val="double" w:sz="4" w:space="0" w:color="auto"/>
              <w:bottom w:val="double" w:sz="4" w:space="0" w:color="auto"/>
            </w:tcBorders>
            <w:shd w:val="clear" w:color="auto" w:fill="FFCCCC"/>
            <w:noWrap/>
            <w:vAlign w:val="center"/>
            <w:hideMark/>
          </w:tcPr>
          <w:p w:rsidR="00306953" w:rsidRPr="00442515" w:rsidRDefault="00BA7318" w:rsidP="009E6109">
            <w:pPr>
              <w:spacing w:after="0" w:line="240" w:lineRule="auto"/>
              <w:jc w:val="center"/>
              <w:rPr>
                <w:rFonts w:cs="Arial"/>
                <w:b/>
                <w:color w:val="000000"/>
                <w:sz w:val="16"/>
                <w:szCs w:val="16"/>
              </w:rPr>
            </w:pPr>
            <w:r>
              <w:rPr>
                <w:rFonts w:cs="Arial"/>
                <w:b/>
                <w:color w:val="000000"/>
                <w:sz w:val="16"/>
                <w:szCs w:val="16"/>
              </w:rPr>
              <w:t>ú</w:t>
            </w:r>
            <w:r w:rsidR="00306953" w:rsidRPr="00442515">
              <w:rPr>
                <w:rFonts w:cs="Arial"/>
                <w:b/>
                <w:color w:val="000000"/>
                <w:sz w:val="16"/>
                <w:szCs w:val="16"/>
              </w:rPr>
              <w:t>roveň vzdělávání</w:t>
            </w:r>
          </w:p>
        </w:tc>
        <w:tc>
          <w:tcPr>
            <w:tcW w:w="1560" w:type="dxa"/>
            <w:tcBorders>
              <w:top w:val="double" w:sz="4" w:space="0" w:color="auto"/>
              <w:bottom w:val="double" w:sz="4" w:space="0" w:color="auto"/>
            </w:tcBorders>
            <w:shd w:val="clear" w:color="auto" w:fill="FFCCCC"/>
            <w:noWrap/>
            <w:vAlign w:val="center"/>
            <w:hideMark/>
          </w:tcPr>
          <w:p w:rsidR="00306953" w:rsidRPr="00442515" w:rsidRDefault="00442515" w:rsidP="009E6109">
            <w:pPr>
              <w:spacing w:after="0" w:line="240" w:lineRule="auto"/>
              <w:jc w:val="center"/>
              <w:rPr>
                <w:rFonts w:cs="Arial"/>
                <w:b/>
                <w:color w:val="000000"/>
                <w:sz w:val="16"/>
                <w:szCs w:val="16"/>
              </w:rPr>
            </w:pPr>
            <w:r w:rsidRPr="00442515">
              <w:rPr>
                <w:rFonts w:cs="Arial"/>
                <w:b/>
                <w:color w:val="000000"/>
                <w:sz w:val="16"/>
                <w:szCs w:val="16"/>
              </w:rPr>
              <w:t>z</w:t>
            </w:r>
            <w:r w:rsidR="00306953" w:rsidRPr="00442515">
              <w:rPr>
                <w:rFonts w:cs="Arial"/>
                <w:b/>
                <w:color w:val="000000"/>
                <w:sz w:val="16"/>
                <w:szCs w:val="16"/>
              </w:rPr>
              <w:t>emě</w:t>
            </w:r>
          </w:p>
        </w:tc>
        <w:tc>
          <w:tcPr>
            <w:tcW w:w="960" w:type="dxa"/>
            <w:tcBorders>
              <w:top w:val="double" w:sz="4" w:space="0" w:color="auto"/>
              <w:bottom w:val="double" w:sz="4" w:space="0" w:color="auto"/>
            </w:tcBorders>
            <w:shd w:val="clear" w:color="auto" w:fill="FFCCCC"/>
            <w:noWrap/>
            <w:vAlign w:val="center"/>
            <w:hideMark/>
          </w:tcPr>
          <w:p w:rsidR="00306953" w:rsidRPr="00442515" w:rsidRDefault="00306953" w:rsidP="009E6109">
            <w:pPr>
              <w:spacing w:after="0" w:line="240" w:lineRule="auto"/>
              <w:jc w:val="center"/>
              <w:rPr>
                <w:rFonts w:cs="Arial"/>
                <w:b/>
                <w:color w:val="000000"/>
                <w:sz w:val="16"/>
                <w:szCs w:val="16"/>
              </w:rPr>
            </w:pPr>
            <w:r w:rsidRPr="00442515">
              <w:rPr>
                <w:rFonts w:cs="Arial"/>
                <w:b/>
                <w:color w:val="000000"/>
                <w:sz w:val="16"/>
                <w:szCs w:val="16"/>
              </w:rPr>
              <w:t>2000</w:t>
            </w:r>
          </w:p>
        </w:tc>
        <w:tc>
          <w:tcPr>
            <w:tcW w:w="960" w:type="dxa"/>
            <w:tcBorders>
              <w:top w:val="double" w:sz="4" w:space="0" w:color="auto"/>
              <w:bottom w:val="double" w:sz="4" w:space="0" w:color="auto"/>
            </w:tcBorders>
            <w:shd w:val="clear" w:color="auto" w:fill="FFCCCC"/>
            <w:noWrap/>
            <w:vAlign w:val="center"/>
            <w:hideMark/>
          </w:tcPr>
          <w:p w:rsidR="00306953" w:rsidRPr="00442515" w:rsidRDefault="00306953" w:rsidP="009E6109">
            <w:pPr>
              <w:spacing w:after="0" w:line="240" w:lineRule="auto"/>
              <w:jc w:val="center"/>
              <w:rPr>
                <w:rFonts w:cs="Arial"/>
                <w:b/>
                <w:color w:val="000000"/>
                <w:sz w:val="16"/>
                <w:szCs w:val="16"/>
              </w:rPr>
            </w:pPr>
            <w:r w:rsidRPr="00442515">
              <w:rPr>
                <w:rFonts w:cs="Arial"/>
                <w:b/>
                <w:color w:val="000000"/>
                <w:sz w:val="16"/>
                <w:szCs w:val="16"/>
              </w:rPr>
              <w:t>2005</w:t>
            </w:r>
          </w:p>
        </w:tc>
        <w:tc>
          <w:tcPr>
            <w:tcW w:w="960" w:type="dxa"/>
            <w:tcBorders>
              <w:top w:val="double" w:sz="4" w:space="0" w:color="auto"/>
              <w:bottom w:val="double" w:sz="4" w:space="0" w:color="auto"/>
            </w:tcBorders>
            <w:shd w:val="clear" w:color="auto" w:fill="FFCCCC"/>
            <w:noWrap/>
            <w:vAlign w:val="center"/>
            <w:hideMark/>
          </w:tcPr>
          <w:p w:rsidR="00306953" w:rsidRPr="00442515" w:rsidRDefault="00306953" w:rsidP="009E6109">
            <w:pPr>
              <w:spacing w:after="0" w:line="240" w:lineRule="auto"/>
              <w:jc w:val="center"/>
              <w:rPr>
                <w:rFonts w:cs="Arial"/>
                <w:b/>
                <w:color w:val="000000"/>
                <w:sz w:val="16"/>
                <w:szCs w:val="16"/>
              </w:rPr>
            </w:pPr>
            <w:r w:rsidRPr="00442515">
              <w:rPr>
                <w:rFonts w:cs="Arial"/>
                <w:b/>
                <w:color w:val="000000"/>
                <w:sz w:val="16"/>
                <w:szCs w:val="16"/>
              </w:rPr>
              <w:t>2010</w:t>
            </w:r>
          </w:p>
        </w:tc>
        <w:tc>
          <w:tcPr>
            <w:tcW w:w="960" w:type="dxa"/>
            <w:tcBorders>
              <w:top w:val="double" w:sz="4" w:space="0" w:color="auto"/>
              <w:bottom w:val="double" w:sz="4" w:space="0" w:color="auto"/>
            </w:tcBorders>
            <w:shd w:val="clear" w:color="auto" w:fill="FFCCCC"/>
            <w:noWrap/>
            <w:vAlign w:val="center"/>
            <w:hideMark/>
          </w:tcPr>
          <w:p w:rsidR="00306953" w:rsidRPr="00442515" w:rsidRDefault="00306953" w:rsidP="009E6109">
            <w:pPr>
              <w:spacing w:after="0" w:line="240" w:lineRule="auto"/>
              <w:jc w:val="center"/>
              <w:rPr>
                <w:rFonts w:cs="Arial"/>
                <w:b/>
                <w:color w:val="000000"/>
                <w:sz w:val="16"/>
                <w:szCs w:val="16"/>
              </w:rPr>
            </w:pPr>
            <w:r w:rsidRPr="00442515">
              <w:rPr>
                <w:rFonts w:cs="Arial"/>
                <w:b/>
                <w:color w:val="000000"/>
                <w:sz w:val="16"/>
                <w:szCs w:val="16"/>
              </w:rPr>
              <w:t>2011</w:t>
            </w:r>
          </w:p>
        </w:tc>
        <w:tc>
          <w:tcPr>
            <w:tcW w:w="960" w:type="dxa"/>
            <w:tcBorders>
              <w:top w:val="double" w:sz="4" w:space="0" w:color="auto"/>
              <w:bottom w:val="double" w:sz="4" w:space="0" w:color="auto"/>
            </w:tcBorders>
            <w:shd w:val="clear" w:color="auto" w:fill="FFCCCC"/>
            <w:noWrap/>
            <w:vAlign w:val="center"/>
            <w:hideMark/>
          </w:tcPr>
          <w:p w:rsidR="00306953" w:rsidRPr="00442515" w:rsidRDefault="00306953" w:rsidP="009E6109">
            <w:pPr>
              <w:spacing w:after="0" w:line="240" w:lineRule="auto"/>
              <w:jc w:val="center"/>
              <w:rPr>
                <w:rFonts w:cs="Arial"/>
                <w:b/>
                <w:color w:val="000000"/>
                <w:sz w:val="16"/>
                <w:szCs w:val="16"/>
              </w:rPr>
            </w:pPr>
            <w:r w:rsidRPr="00442515">
              <w:rPr>
                <w:rFonts w:cs="Arial"/>
                <w:b/>
                <w:color w:val="000000"/>
                <w:sz w:val="16"/>
                <w:szCs w:val="16"/>
              </w:rPr>
              <w:t>2012</w:t>
            </w:r>
          </w:p>
        </w:tc>
        <w:tc>
          <w:tcPr>
            <w:tcW w:w="960" w:type="dxa"/>
            <w:tcBorders>
              <w:top w:val="double" w:sz="4" w:space="0" w:color="auto"/>
              <w:bottom w:val="double" w:sz="4" w:space="0" w:color="auto"/>
            </w:tcBorders>
            <w:shd w:val="clear" w:color="auto" w:fill="FFCCCC"/>
            <w:noWrap/>
            <w:vAlign w:val="center"/>
            <w:hideMark/>
          </w:tcPr>
          <w:p w:rsidR="00306953" w:rsidRPr="00442515" w:rsidRDefault="00306953" w:rsidP="009E6109">
            <w:pPr>
              <w:spacing w:after="0" w:line="240" w:lineRule="auto"/>
              <w:jc w:val="center"/>
              <w:rPr>
                <w:rFonts w:cs="Arial"/>
                <w:b/>
                <w:color w:val="000000"/>
                <w:sz w:val="16"/>
                <w:szCs w:val="16"/>
              </w:rPr>
            </w:pPr>
            <w:r w:rsidRPr="00442515">
              <w:rPr>
                <w:rFonts w:cs="Arial"/>
                <w:b/>
                <w:color w:val="000000"/>
                <w:sz w:val="16"/>
                <w:szCs w:val="16"/>
              </w:rPr>
              <w:t>2013</w:t>
            </w:r>
          </w:p>
        </w:tc>
      </w:tr>
      <w:tr w:rsidR="00306953" w:rsidRPr="00442515" w:rsidTr="000C6FC8">
        <w:trPr>
          <w:trHeight w:val="300"/>
        </w:trPr>
        <w:tc>
          <w:tcPr>
            <w:tcW w:w="1716" w:type="dxa"/>
            <w:vMerge w:val="restart"/>
            <w:tcBorders>
              <w:top w:val="double" w:sz="4" w:space="0" w:color="auto"/>
            </w:tcBorders>
            <w:shd w:val="clear" w:color="auto" w:fill="auto"/>
            <w:vAlign w:val="center"/>
            <w:hideMark/>
          </w:tcPr>
          <w:p w:rsidR="00306953" w:rsidRPr="00442515" w:rsidRDefault="00306953" w:rsidP="004C55CD">
            <w:pPr>
              <w:spacing w:after="0" w:line="240" w:lineRule="auto"/>
              <w:rPr>
                <w:rFonts w:cs="Arial"/>
                <w:color w:val="000000"/>
                <w:sz w:val="16"/>
                <w:szCs w:val="16"/>
              </w:rPr>
            </w:pPr>
            <w:r w:rsidRPr="00442515">
              <w:rPr>
                <w:rFonts w:cs="Arial"/>
                <w:color w:val="000000"/>
                <w:sz w:val="16"/>
                <w:szCs w:val="16"/>
              </w:rPr>
              <w:t>preprimární</w:t>
            </w:r>
          </w:p>
        </w:tc>
        <w:tc>
          <w:tcPr>
            <w:tcW w:w="1560" w:type="dxa"/>
            <w:tcBorders>
              <w:top w:val="double" w:sz="4" w:space="0" w:color="auto"/>
            </w:tcBorders>
            <w:shd w:val="clear" w:color="auto" w:fill="auto"/>
            <w:noWrap/>
            <w:vAlign w:val="center"/>
            <w:hideMark/>
          </w:tcPr>
          <w:p w:rsidR="00306953" w:rsidRPr="00442515" w:rsidRDefault="00306953" w:rsidP="004C55CD">
            <w:pPr>
              <w:spacing w:after="0" w:line="240" w:lineRule="auto"/>
              <w:rPr>
                <w:rFonts w:cs="Arial"/>
                <w:color w:val="000000"/>
                <w:sz w:val="16"/>
                <w:szCs w:val="16"/>
              </w:rPr>
            </w:pPr>
            <w:r w:rsidRPr="00442515">
              <w:rPr>
                <w:rFonts w:cs="Arial"/>
                <w:color w:val="000000"/>
                <w:sz w:val="16"/>
                <w:szCs w:val="16"/>
              </w:rPr>
              <w:t>Česká republika</w:t>
            </w:r>
            <w:r w:rsidR="007377BD" w:rsidRPr="007377BD">
              <w:rPr>
                <w:rFonts w:cs="Arial"/>
                <w:color w:val="000000"/>
                <w:sz w:val="16"/>
                <w:szCs w:val="16"/>
                <w:vertAlign w:val="superscript"/>
              </w:rPr>
              <w:t>1)</w:t>
            </w:r>
          </w:p>
        </w:tc>
        <w:tc>
          <w:tcPr>
            <w:tcW w:w="960" w:type="dxa"/>
            <w:tcBorders>
              <w:top w:val="double" w:sz="4" w:space="0" w:color="auto"/>
            </w:tcBorders>
            <w:shd w:val="clear" w:color="auto" w:fill="auto"/>
            <w:noWrap/>
            <w:vAlign w:val="center"/>
            <w:hideMark/>
          </w:tcPr>
          <w:p w:rsidR="00306953" w:rsidRPr="00E32963" w:rsidRDefault="00E32963" w:rsidP="004C55CD">
            <w:pPr>
              <w:spacing w:after="0" w:line="240" w:lineRule="auto"/>
              <w:jc w:val="center"/>
              <w:rPr>
                <w:rFonts w:cs="Arial"/>
                <w:b/>
                <w:color w:val="000000"/>
                <w:sz w:val="16"/>
                <w:szCs w:val="16"/>
              </w:rPr>
            </w:pPr>
            <w:r w:rsidRPr="00E32963">
              <w:rPr>
                <w:rFonts w:cs="Arial"/>
                <w:b/>
                <w:color w:val="000000"/>
                <w:sz w:val="16"/>
                <w:szCs w:val="16"/>
              </w:rPr>
              <w:t>.</w:t>
            </w:r>
          </w:p>
        </w:tc>
        <w:tc>
          <w:tcPr>
            <w:tcW w:w="960" w:type="dxa"/>
            <w:tcBorders>
              <w:top w:val="double" w:sz="4" w:space="0" w:color="auto"/>
            </w:tcBorders>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100</w:t>
            </w:r>
          </w:p>
        </w:tc>
        <w:tc>
          <w:tcPr>
            <w:tcW w:w="960" w:type="dxa"/>
            <w:tcBorders>
              <w:top w:val="double" w:sz="4" w:space="0" w:color="auto"/>
            </w:tcBorders>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83</w:t>
            </w:r>
          </w:p>
        </w:tc>
        <w:tc>
          <w:tcPr>
            <w:tcW w:w="960" w:type="dxa"/>
            <w:tcBorders>
              <w:top w:val="double" w:sz="4" w:space="0" w:color="auto"/>
            </w:tcBorders>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87</w:t>
            </w:r>
          </w:p>
        </w:tc>
        <w:tc>
          <w:tcPr>
            <w:tcW w:w="960" w:type="dxa"/>
            <w:tcBorders>
              <w:top w:val="double" w:sz="4" w:space="0" w:color="auto"/>
            </w:tcBorders>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61</w:t>
            </w:r>
          </w:p>
        </w:tc>
        <w:tc>
          <w:tcPr>
            <w:tcW w:w="960" w:type="dxa"/>
            <w:tcBorders>
              <w:top w:val="double" w:sz="4" w:space="0" w:color="auto"/>
            </w:tcBorders>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60</w:t>
            </w:r>
          </w:p>
        </w:tc>
      </w:tr>
      <w:tr w:rsidR="00306953" w:rsidRPr="00442515" w:rsidTr="000C6FC8">
        <w:trPr>
          <w:trHeight w:val="300"/>
        </w:trPr>
        <w:tc>
          <w:tcPr>
            <w:tcW w:w="1716" w:type="dxa"/>
            <w:vMerge/>
            <w:vAlign w:val="center"/>
            <w:hideMark/>
          </w:tcPr>
          <w:p w:rsidR="00306953" w:rsidRPr="00442515" w:rsidRDefault="00306953" w:rsidP="004C55CD">
            <w:pPr>
              <w:spacing w:after="0" w:line="240" w:lineRule="auto"/>
              <w:rPr>
                <w:rFonts w:cs="Arial"/>
                <w:color w:val="000000"/>
                <w:sz w:val="16"/>
                <w:szCs w:val="16"/>
              </w:rPr>
            </w:pPr>
          </w:p>
        </w:tc>
        <w:tc>
          <w:tcPr>
            <w:tcW w:w="1560" w:type="dxa"/>
            <w:shd w:val="clear" w:color="auto" w:fill="auto"/>
            <w:noWrap/>
            <w:vAlign w:val="center"/>
            <w:hideMark/>
          </w:tcPr>
          <w:p w:rsidR="00306953" w:rsidRPr="00442515" w:rsidRDefault="00306953" w:rsidP="004C55CD">
            <w:pPr>
              <w:spacing w:after="0" w:line="240" w:lineRule="auto"/>
              <w:rPr>
                <w:rFonts w:cs="Arial"/>
                <w:color w:val="000000"/>
                <w:sz w:val="16"/>
                <w:szCs w:val="16"/>
              </w:rPr>
            </w:pPr>
            <w:r w:rsidRPr="00442515">
              <w:rPr>
                <w:rFonts w:cs="Arial"/>
                <w:color w:val="000000"/>
                <w:sz w:val="16"/>
                <w:szCs w:val="16"/>
              </w:rPr>
              <w:t>Rakousko</w:t>
            </w:r>
            <w:r w:rsidR="007377BD">
              <w:rPr>
                <w:rFonts w:eastAsia="ChaparralPro-Regular" w:cs="Arial"/>
                <w:sz w:val="16"/>
                <w:szCs w:val="16"/>
                <w:vertAlign w:val="superscript"/>
              </w:rPr>
              <w:t>2</w:t>
            </w:r>
            <w:r w:rsidR="007377BD" w:rsidRPr="007377BD">
              <w:rPr>
                <w:rFonts w:eastAsia="ChaparralPro-Regular" w:cs="Arial"/>
                <w:sz w:val="16"/>
                <w:szCs w:val="16"/>
                <w:vertAlign w:val="superscript"/>
              </w:rPr>
              <w:t>)</w:t>
            </w:r>
          </w:p>
        </w:tc>
        <w:tc>
          <w:tcPr>
            <w:tcW w:w="960" w:type="dxa"/>
            <w:shd w:val="clear" w:color="auto" w:fill="auto"/>
            <w:noWrap/>
            <w:vAlign w:val="center"/>
            <w:hideMark/>
          </w:tcPr>
          <w:p w:rsidR="00306953" w:rsidRPr="00E32963" w:rsidRDefault="00E32963" w:rsidP="004C55CD">
            <w:pPr>
              <w:spacing w:after="0" w:line="240" w:lineRule="auto"/>
              <w:jc w:val="center"/>
              <w:rPr>
                <w:rFonts w:cs="Arial"/>
                <w:b/>
                <w:color w:val="000000"/>
                <w:sz w:val="16"/>
                <w:szCs w:val="16"/>
              </w:rPr>
            </w:pPr>
            <w:r w:rsidRPr="00E32963">
              <w:rPr>
                <w:rFonts w:cs="Arial"/>
                <w:b/>
                <w:color w:val="000000"/>
                <w:sz w:val="16"/>
                <w:szCs w:val="16"/>
              </w:rPr>
              <w:t>.</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100</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104</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103</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102</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101</w:t>
            </w:r>
          </w:p>
        </w:tc>
      </w:tr>
      <w:tr w:rsidR="00306953" w:rsidRPr="00442515" w:rsidTr="000C6FC8">
        <w:trPr>
          <w:trHeight w:val="300"/>
        </w:trPr>
        <w:tc>
          <w:tcPr>
            <w:tcW w:w="1716" w:type="dxa"/>
            <w:vMerge/>
            <w:vAlign w:val="center"/>
            <w:hideMark/>
          </w:tcPr>
          <w:p w:rsidR="00306953" w:rsidRPr="00442515" w:rsidRDefault="00306953" w:rsidP="004C55CD">
            <w:pPr>
              <w:spacing w:after="0" w:line="240" w:lineRule="auto"/>
              <w:rPr>
                <w:rFonts w:cs="Arial"/>
                <w:color w:val="000000"/>
                <w:sz w:val="16"/>
                <w:szCs w:val="16"/>
              </w:rPr>
            </w:pPr>
          </w:p>
        </w:tc>
        <w:tc>
          <w:tcPr>
            <w:tcW w:w="1560" w:type="dxa"/>
            <w:shd w:val="clear" w:color="auto" w:fill="auto"/>
            <w:noWrap/>
            <w:vAlign w:val="center"/>
            <w:hideMark/>
          </w:tcPr>
          <w:p w:rsidR="00306953" w:rsidRPr="00442515" w:rsidRDefault="00306953" w:rsidP="004C55CD">
            <w:pPr>
              <w:spacing w:after="0" w:line="240" w:lineRule="auto"/>
              <w:rPr>
                <w:rFonts w:cs="Arial"/>
                <w:color w:val="000000"/>
                <w:sz w:val="16"/>
                <w:szCs w:val="16"/>
              </w:rPr>
            </w:pPr>
            <w:r w:rsidRPr="00442515">
              <w:rPr>
                <w:rFonts w:cs="Arial"/>
                <w:color w:val="000000"/>
                <w:sz w:val="16"/>
                <w:szCs w:val="16"/>
              </w:rPr>
              <w:t>Polsko</w:t>
            </w:r>
          </w:p>
        </w:tc>
        <w:tc>
          <w:tcPr>
            <w:tcW w:w="960" w:type="dxa"/>
            <w:shd w:val="clear" w:color="auto" w:fill="auto"/>
            <w:noWrap/>
            <w:vAlign w:val="center"/>
            <w:hideMark/>
          </w:tcPr>
          <w:p w:rsidR="00306953" w:rsidRPr="00E32963" w:rsidRDefault="00E32963" w:rsidP="004C55CD">
            <w:pPr>
              <w:spacing w:after="0" w:line="240" w:lineRule="auto"/>
              <w:jc w:val="center"/>
              <w:rPr>
                <w:rFonts w:cs="Arial"/>
                <w:b/>
                <w:color w:val="000000"/>
                <w:sz w:val="16"/>
                <w:szCs w:val="16"/>
              </w:rPr>
            </w:pPr>
            <w:r w:rsidRPr="00E32963">
              <w:rPr>
                <w:rFonts w:cs="Arial"/>
                <w:b/>
                <w:color w:val="000000"/>
                <w:sz w:val="16"/>
                <w:szCs w:val="16"/>
              </w:rPr>
              <w:t>.</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100</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116</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120</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123</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125</w:t>
            </w:r>
          </w:p>
        </w:tc>
      </w:tr>
      <w:tr w:rsidR="00306953" w:rsidRPr="00442515" w:rsidTr="000C6FC8">
        <w:trPr>
          <w:trHeight w:val="300"/>
        </w:trPr>
        <w:tc>
          <w:tcPr>
            <w:tcW w:w="1716" w:type="dxa"/>
            <w:vMerge/>
            <w:vAlign w:val="center"/>
            <w:hideMark/>
          </w:tcPr>
          <w:p w:rsidR="00306953" w:rsidRPr="00442515" w:rsidRDefault="00306953" w:rsidP="004C55CD">
            <w:pPr>
              <w:spacing w:after="0" w:line="240" w:lineRule="auto"/>
              <w:rPr>
                <w:rFonts w:cs="Arial"/>
                <w:color w:val="000000"/>
                <w:sz w:val="16"/>
                <w:szCs w:val="16"/>
              </w:rPr>
            </w:pPr>
          </w:p>
        </w:tc>
        <w:tc>
          <w:tcPr>
            <w:tcW w:w="1560" w:type="dxa"/>
            <w:shd w:val="clear" w:color="auto" w:fill="auto"/>
            <w:noWrap/>
            <w:vAlign w:val="center"/>
            <w:hideMark/>
          </w:tcPr>
          <w:p w:rsidR="00306953" w:rsidRPr="00442515" w:rsidRDefault="00306953" w:rsidP="004C55CD">
            <w:pPr>
              <w:spacing w:after="0" w:line="240" w:lineRule="auto"/>
              <w:rPr>
                <w:rFonts w:cs="Arial"/>
                <w:color w:val="000000"/>
                <w:sz w:val="16"/>
                <w:szCs w:val="16"/>
              </w:rPr>
            </w:pPr>
            <w:r w:rsidRPr="00442515">
              <w:rPr>
                <w:rFonts w:cs="Arial"/>
                <w:color w:val="000000"/>
                <w:sz w:val="16"/>
                <w:szCs w:val="16"/>
              </w:rPr>
              <w:t>Estonsko</w:t>
            </w:r>
          </w:p>
        </w:tc>
        <w:tc>
          <w:tcPr>
            <w:tcW w:w="960" w:type="dxa"/>
            <w:shd w:val="clear" w:color="auto" w:fill="auto"/>
            <w:noWrap/>
            <w:vAlign w:val="center"/>
            <w:hideMark/>
          </w:tcPr>
          <w:p w:rsidR="00306953" w:rsidRPr="00E32963" w:rsidRDefault="00E32963" w:rsidP="004C55CD">
            <w:pPr>
              <w:spacing w:after="0" w:line="240" w:lineRule="auto"/>
              <w:jc w:val="center"/>
              <w:rPr>
                <w:rFonts w:cs="Arial"/>
                <w:b/>
                <w:color w:val="000000"/>
                <w:sz w:val="16"/>
                <w:szCs w:val="16"/>
              </w:rPr>
            </w:pPr>
            <w:r w:rsidRPr="00E32963">
              <w:rPr>
                <w:rFonts w:cs="Arial"/>
                <w:b/>
                <w:color w:val="000000"/>
                <w:sz w:val="16"/>
                <w:szCs w:val="16"/>
              </w:rPr>
              <w:t>.</w:t>
            </w:r>
          </w:p>
        </w:tc>
        <w:tc>
          <w:tcPr>
            <w:tcW w:w="960" w:type="dxa"/>
            <w:shd w:val="clear" w:color="auto" w:fill="auto"/>
            <w:noWrap/>
            <w:vAlign w:val="center"/>
            <w:hideMark/>
          </w:tcPr>
          <w:p w:rsidR="00306953" w:rsidRPr="00E32963" w:rsidRDefault="00E32963" w:rsidP="004C55CD">
            <w:pPr>
              <w:spacing w:after="0" w:line="240" w:lineRule="auto"/>
              <w:jc w:val="center"/>
              <w:rPr>
                <w:rFonts w:cs="Arial"/>
                <w:b/>
                <w:color w:val="000000"/>
                <w:sz w:val="16"/>
                <w:szCs w:val="16"/>
              </w:rPr>
            </w:pPr>
            <w:r w:rsidRPr="00E32963">
              <w:rPr>
                <w:rFonts w:cs="Arial"/>
                <w:b/>
                <w:color w:val="000000"/>
                <w:sz w:val="16"/>
                <w:szCs w:val="16"/>
              </w:rPr>
              <w:t>.</w:t>
            </w:r>
          </w:p>
        </w:tc>
        <w:tc>
          <w:tcPr>
            <w:tcW w:w="960" w:type="dxa"/>
            <w:shd w:val="clear" w:color="auto" w:fill="auto"/>
            <w:noWrap/>
            <w:vAlign w:val="center"/>
            <w:hideMark/>
          </w:tcPr>
          <w:p w:rsidR="00306953" w:rsidRPr="00E32963" w:rsidRDefault="00E32963" w:rsidP="004C55CD">
            <w:pPr>
              <w:spacing w:after="0" w:line="240" w:lineRule="auto"/>
              <w:jc w:val="center"/>
              <w:rPr>
                <w:rFonts w:cs="Arial"/>
                <w:b/>
                <w:color w:val="000000"/>
                <w:sz w:val="16"/>
                <w:szCs w:val="16"/>
              </w:rPr>
            </w:pPr>
            <w:r w:rsidRPr="00E32963">
              <w:rPr>
                <w:rFonts w:cs="Arial"/>
                <w:b/>
                <w:color w:val="000000"/>
                <w:sz w:val="16"/>
                <w:szCs w:val="16"/>
              </w:rPr>
              <w:t>.</w:t>
            </w:r>
          </w:p>
        </w:tc>
        <w:tc>
          <w:tcPr>
            <w:tcW w:w="960" w:type="dxa"/>
            <w:shd w:val="clear" w:color="auto" w:fill="auto"/>
            <w:noWrap/>
            <w:vAlign w:val="center"/>
            <w:hideMark/>
          </w:tcPr>
          <w:p w:rsidR="00306953" w:rsidRPr="00E32963" w:rsidRDefault="00E32963" w:rsidP="004C55CD">
            <w:pPr>
              <w:spacing w:after="0" w:line="240" w:lineRule="auto"/>
              <w:jc w:val="center"/>
              <w:rPr>
                <w:rFonts w:cs="Arial"/>
                <w:b/>
                <w:color w:val="000000"/>
                <w:sz w:val="16"/>
                <w:szCs w:val="16"/>
              </w:rPr>
            </w:pPr>
            <w:r w:rsidRPr="00E32963">
              <w:rPr>
                <w:rFonts w:cs="Arial"/>
                <w:b/>
                <w:color w:val="000000"/>
                <w:sz w:val="16"/>
                <w:szCs w:val="16"/>
              </w:rPr>
              <w:t>.</w:t>
            </w:r>
          </w:p>
        </w:tc>
        <w:tc>
          <w:tcPr>
            <w:tcW w:w="960" w:type="dxa"/>
            <w:shd w:val="clear" w:color="auto" w:fill="auto"/>
            <w:noWrap/>
            <w:vAlign w:val="center"/>
            <w:hideMark/>
          </w:tcPr>
          <w:p w:rsidR="00306953" w:rsidRPr="00E32963" w:rsidRDefault="00E32963" w:rsidP="004C55CD">
            <w:pPr>
              <w:spacing w:after="0" w:line="240" w:lineRule="auto"/>
              <w:jc w:val="center"/>
              <w:rPr>
                <w:rFonts w:cs="Arial"/>
                <w:b/>
                <w:color w:val="000000"/>
                <w:sz w:val="16"/>
                <w:szCs w:val="16"/>
              </w:rPr>
            </w:pPr>
            <w:r w:rsidRPr="00E32963">
              <w:rPr>
                <w:rFonts w:cs="Arial"/>
                <w:b/>
                <w:color w:val="000000"/>
                <w:sz w:val="16"/>
                <w:szCs w:val="16"/>
              </w:rPr>
              <w:t>.</w:t>
            </w:r>
          </w:p>
        </w:tc>
        <w:tc>
          <w:tcPr>
            <w:tcW w:w="960" w:type="dxa"/>
            <w:shd w:val="clear" w:color="auto" w:fill="auto"/>
            <w:noWrap/>
            <w:vAlign w:val="center"/>
            <w:hideMark/>
          </w:tcPr>
          <w:p w:rsidR="00306953" w:rsidRPr="00E32963" w:rsidRDefault="00E32963" w:rsidP="004C55CD">
            <w:pPr>
              <w:spacing w:after="0" w:line="240" w:lineRule="auto"/>
              <w:jc w:val="center"/>
              <w:rPr>
                <w:rFonts w:cs="Arial"/>
                <w:b/>
                <w:color w:val="000000"/>
                <w:sz w:val="16"/>
                <w:szCs w:val="16"/>
              </w:rPr>
            </w:pPr>
            <w:r w:rsidRPr="00E32963">
              <w:rPr>
                <w:rFonts w:cs="Arial"/>
                <w:b/>
                <w:color w:val="000000"/>
                <w:sz w:val="16"/>
                <w:szCs w:val="16"/>
              </w:rPr>
              <w:t>.</w:t>
            </w:r>
          </w:p>
        </w:tc>
      </w:tr>
      <w:tr w:rsidR="00306953" w:rsidRPr="00442515" w:rsidTr="000C6FC8">
        <w:trPr>
          <w:trHeight w:val="300"/>
        </w:trPr>
        <w:tc>
          <w:tcPr>
            <w:tcW w:w="1716" w:type="dxa"/>
            <w:vMerge/>
            <w:vAlign w:val="center"/>
            <w:hideMark/>
          </w:tcPr>
          <w:p w:rsidR="00306953" w:rsidRPr="00442515" w:rsidRDefault="00306953" w:rsidP="004C55CD">
            <w:pPr>
              <w:spacing w:after="0" w:line="240" w:lineRule="auto"/>
              <w:rPr>
                <w:rFonts w:cs="Arial"/>
                <w:color w:val="000000"/>
                <w:sz w:val="16"/>
                <w:szCs w:val="16"/>
              </w:rPr>
            </w:pPr>
          </w:p>
        </w:tc>
        <w:tc>
          <w:tcPr>
            <w:tcW w:w="1560" w:type="dxa"/>
            <w:shd w:val="clear" w:color="auto" w:fill="auto"/>
            <w:noWrap/>
            <w:vAlign w:val="center"/>
            <w:hideMark/>
          </w:tcPr>
          <w:p w:rsidR="00306953" w:rsidRPr="00442515" w:rsidRDefault="00306953" w:rsidP="004C55CD">
            <w:pPr>
              <w:spacing w:after="0" w:line="240" w:lineRule="auto"/>
              <w:rPr>
                <w:rFonts w:cs="Arial"/>
                <w:color w:val="000000"/>
                <w:sz w:val="16"/>
                <w:szCs w:val="16"/>
              </w:rPr>
            </w:pPr>
            <w:r w:rsidRPr="00442515">
              <w:rPr>
                <w:rFonts w:cs="Arial"/>
                <w:color w:val="000000"/>
                <w:sz w:val="16"/>
                <w:szCs w:val="16"/>
              </w:rPr>
              <w:t>Finsko</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92</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100</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110</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109</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108</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106</w:t>
            </w:r>
          </w:p>
        </w:tc>
      </w:tr>
      <w:tr w:rsidR="00306953" w:rsidRPr="007E5BD0" w:rsidTr="000C6FC8">
        <w:trPr>
          <w:trHeight w:val="300"/>
        </w:trPr>
        <w:tc>
          <w:tcPr>
            <w:tcW w:w="1716" w:type="dxa"/>
            <w:vMerge/>
            <w:vAlign w:val="center"/>
            <w:hideMark/>
          </w:tcPr>
          <w:p w:rsidR="00306953" w:rsidRPr="00442515" w:rsidRDefault="00306953" w:rsidP="004C55CD">
            <w:pPr>
              <w:spacing w:after="0" w:line="240" w:lineRule="auto"/>
              <w:rPr>
                <w:rFonts w:cs="Arial"/>
                <w:color w:val="000000"/>
                <w:sz w:val="16"/>
                <w:szCs w:val="16"/>
              </w:rPr>
            </w:pPr>
          </w:p>
        </w:tc>
        <w:tc>
          <w:tcPr>
            <w:tcW w:w="1560" w:type="dxa"/>
            <w:shd w:val="clear" w:color="auto" w:fill="C6D9F1" w:themeFill="text2" w:themeFillTint="33"/>
            <w:noWrap/>
            <w:vAlign w:val="center"/>
            <w:hideMark/>
          </w:tcPr>
          <w:p w:rsidR="00306953" w:rsidRPr="00631582" w:rsidRDefault="00306953" w:rsidP="004C55CD">
            <w:pPr>
              <w:spacing w:after="0" w:line="240" w:lineRule="auto"/>
              <w:rPr>
                <w:rFonts w:cs="Arial"/>
                <w:bCs/>
                <w:iCs/>
                <w:color w:val="000000"/>
                <w:sz w:val="16"/>
                <w:szCs w:val="16"/>
              </w:rPr>
            </w:pPr>
            <w:r w:rsidRPr="00631582">
              <w:rPr>
                <w:rFonts w:cs="Arial"/>
                <w:bCs/>
                <w:iCs/>
                <w:color w:val="000000"/>
                <w:sz w:val="16"/>
                <w:szCs w:val="16"/>
              </w:rPr>
              <w:t>průměr OECD</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88</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100</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103</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104</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101</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102</w:t>
            </w:r>
          </w:p>
        </w:tc>
      </w:tr>
      <w:tr w:rsidR="00306953" w:rsidRPr="007E5BD0" w:rsidTr="000C6FC8">
        <w:trPr>
          <w:trHeight w:val="300"/>
        </w:trPr>
        <w:tc>
          <w:tcPr>
            <w:tcW w:w="1716" w:type="dxa"/>
            <w:vMerge/>
            <w:vAlign w:val="center"/>
            <w:hideMark/>
          </w:tcPr>
          <w:p w:rsidR="00306953" w:rsidRPr="00442515" w:rsidRDefault="00306953" w:rsidP="004C55CD">
            <w:pPr>
              <w:spacing w:after="0" w:line="240" w:lineRule="auto"/>
              <w:rPr>
                <w:rFonts w:cs="Arial"/>
                <w:color w:val="000000"/>
                <w:sz w:val="16"/>
                <w:szCs w:val="16"/>
              </w:rPr>
            </w:pPr>
          </w:p>
        </w:tc>
        <w:tc>
          <w:tcPr>
            <w:tcW w:w="1560" w:type="dxa"/>
            <w:shd w:val="clear" w:color="auto" w:fill="C6D9F1" w:themeFill="text2" w:themeFillTint="33"/>
            <w:vAlign w:val="center"/>
            <w:hideMark/>
          </w:tcPr>
          <w:p w:rsidR="00306953" w:rsidRPr="00631582" w:rsidRDefault="00306953" w:rsidP="004C55CD">
            <w:pPr>
              <w:spacing w:after="0" w:line="240" w:lineRule="auto"/>
              <w:rPr>
                <w:rFonts w:cs="Arial"/>
                <w:bCs/>
                <w:iCs/>
                <w:color w:val="000000"/>
                <w:sz w:val="16"/>
                <w:szCs w:val="16"/>
              </w:rPr>
            </w:pPr>
            <w:r w:rsidRPr="00631582">
              <w:rPr>
                <w:rFonts w:cs="Arial"/>
                <w:bCs/>
                <w:iCs/>
                <w:color w:val="000000"/>
                <w:sz w:val="16"/>
                <w:szCs w:val="16"/>
              </w:rPr>
              <w:t>průměr EU21</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84</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100</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99</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97</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95</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94</w:t>
            </w:r>
          </w:p>
        </w:tc>
      </w:tr>
      <w:tr w:rsidR="00306953" w:rsidRPr="00442515" w:rsidTr="000C6FC8">
        <w:trPr>
          <w:trHeight w:val="300"/>
        </w:trPr>
        <w:tc>
          <w:tcPr>
            <w:tcW w:w="1716" w:type="dxa"/>
            <w:vMerge w:val="restart"/>
            <w:shd w:val="clear" w:color="auto" w:fill="auto"/>
            <w:vAlign w:val="center"/>
            <w:hideMark/>
          </w:tcPr>
          <w:p w:rsidR="00306953" w:rsidRPr="00442515" w:rsidRDefault="00306953" w:rsidP="006E7E91">
            <w:pPr>
              <w:keepNext/>
              <w:spacing w:after="0" w:line="240" w:lineRule="auto"/>
              <w:rPr>
                <w:rFonts w:cs="Arial"/>
                <w:color w:val="000000"/>
                <w:sz w:val="16"/>
                <w:szCs w:val="16"/>
              </w:rPr>
            </w:pPr>
            <w:r w:rsidRPr="00442515">
              <w:rPr>
                <w:rFonts w:cs="Arial"/>
                <w:color w:val="000000"/>
                <w:sz w:val="16"/>
                <w:szCs w:val="16"/>
              </w:rPr>
              <w:t>primární</w:t>
            </w:r>
          </w:p>
        </w:tc>
        <w:tc>
          <w:tcPr>
            <w:tcW w:w="1560" w:type="dxa"/>
            <w:shd w:val="clear" w:color="auto" w:fill="auto"/>
            <w:noWrap/>
            <w:vAlign w:val="center"/>
            <w:hideMark/>
          </w:tcPr>
          <w:p w:rsidR="00306953" w:rsidRPr="00442515" w:rsidRDefault="00306953" w:rsidP="006E7E91">
            <w:pPr>
              <w:keepNext/>
              <w:spacing w:after="0" w:line="240" w:lineRule="auto"/>
              <w:rPr>
                <w:rFonts w:cs="Arial"/>
                <w:color w:val="000000"/>
                <w:sz w:val="16"/>
                <w:szCs w:val="16"/>
              </w:rPr>
            </w:pPr>
            <w:r w:rsidRPr="00442515">
              <w:rPr>
                <w:rFonts w:cs="Arial"/>
                <w:color w:val="000000"/>
                <w:sz w:val="16"/>
                <w:szCs w:val="16"/>
              </w:rPr>
              <w:t>Česká republika</w:t>
            </w:r>
            <w:r w:rsidR="007377BD" w:rsidRPr="007377BD">
              <w:rPr>
                <w:rFonts w:cs="Arial"/>
                <w:color w:val="000000"/>
                <w:sz w:val="16"/>
                <w:szCs w:val="16"/>
                <w:vertAlign w:val="superscript"/>
              </w:rPr>
              <w:t>1)</w:t>
            </w:r>
          </w:p>
        </w:tc>
        <w:tc>
          <w:tcPr>
            <w:tcW w:w="960" w:type="dxa"/>
            <w:shd w:val="clear" w:color="auto" w:fill="auto"/>
            <w:noWrap/>
            <w:vAlign w:val="center"/>
            <w:hideMark/>
          </w:tcPr>
          <w:p w:rsidR="00306953" w:rsidRPr="00442515" w:rsidRDefault="00306953" w:rsidP="006E7E91">
            <w:pPr>
              <w:keepNext/>
              <w:spacing w:after="0" w:line="240" w:lineRule="auto"/>
              <w:jc w:val="center"/>
              <w:rPr>
                <w:rFonts w:cs="Arial"/>
                <w:color w:val="000000"/>
                <w:sz w:val="16"/>
                <w:szCs w:val="16"/>
              </w:rPr>
            </w:pPr>
            <w:r w:rsidRPr="00442515">
              <w:rPr>
                <w:rFonts w:cs="Arial"/>
                <w:color w:val="000000"/>
                <w:sz w:val="16"/>
                <w:szCs w:val="16"/>
              </w:rPr>
              <w:t>56</w:t>
            </w:r>
          </w:p>
        </w:tc>
        <w:tc>
          <w:tcPr>
            <w:tcW w:w="960" w:type="dxa"/>
            <w:shd w:val="clear" w:color="auto" w:fill="auto"/>
            <w:noWrap/>
            <w:vAlign w:val="center"/>
            <w:hideMark/>
          </w:tcPr>
          <w:p w:rsidR="00306953" w:rsidRPr="00442515" w:rsidRDefault="00306953" w:rsidP="006E7E91">
            <w:pPr>
              <w:keepNext/>
              <w:spacing w:after="0" w:line="240" w:lineRule="auto"/>
              <w:jc w:val="center"/>
              <w:rPr>
                <w:rFonts w:cs="Arial"/>
                <w:color w:val="000000"/>
                <w:sz w:val="16"/>
                <w:szCs w:val="16"/>
              </w:rPr>
            </w:pPr>
            <w:r w:rsidRPr="00442515">
              <w:rPr>
                <w:rFonts w:cs="Arial"/>
                <w:color w:val="000000"/>
                <w:sz w:val="16"/>
                <w:szCs w:val="16"/>
              </w:rPr>
              <w:t>100</w:t>
            </w:r>
          </w:p>
        </w:tc>
        <w:tc>
          <w:tcPr>
            <w:tcW w:w="960" w:type="dxa"/>
            <w:shd w:val="clear" w:color="auto" w:fill="auto"/>
            <w:noWrap/>
            <w:vAlign w:val="center"/>
            <w:hideMark/>
          </w:tcPr>
          <w:p w:rsidR="00306953" w:rsidRPr="00442515" w:rsidRDefault="00306953" w:rsidP="006E7E91">
            <w:pPr>
              <w:keepNext/>
              <w:spacing w:after="0" w:line="240" w:lineRule="auto"/>
              <w:jc w:val="center"/>
              <w:rPr>
                <w:rFonts w:cs="Arial"/>
                <w:color w:val="000000"/>
                <w:sz w:val="16"/>
                <w:szCs w:val="16"/>
              </w:rPr>
            </w:pPr>
            <w:r w:rsidRPr="00442515">
              <w:rPr>
                <w:rFonts w:cs="Arial"/>
                <w:color w:val="000000"/>
                <w:sz w:val="16"/>
                <w:szCs w:val="16"/>
              </w:rPr>
              <w:t>111</w:t>
            </w:r>
          </w:p>
        </w:tc>
        <w:tc>
          <w:tcPr>
            <w:tcW w:w="960" w:type="dxa"/>
            <w:shd w:val="clear" w:color="auto" w:fill="auto"/>
            <w:noWrap/>
            <w:vAlign w:val="center"/>
            <w:hideMark/>
          </w:tcPr>
          <w:p w:rsidR="00306953" w:rsidRPr="00442515" w:rsidRDefault="00306953" w:rsidP="006E7E91">
            <w:pPr>
              <w:keepNext/>
              <w:spacing w:after="0" w:line="240" w:lineRule="auto"/>
              <w:jc w:val="center"/>
              <w:rPr>
                <w:rFonts w:cs="Arial"/>
                <w:color w:val="000000"/>
                <w:sz w:val="16"/>
                <w:szCs w:val="16"/>
              </w:rPr>
            </w:pPr>
            <w:r w:rsidRPr="00442515">
              <w:rPr>
                <w:rFonts w:cs="Arial"/>
                <w:color w:val="000000"/>
                <w:sz w:val="16"/>
                <w:szCs w:val="16"/>
              </w:rPr>
              <w:t>110</w:t>
            </w:r>
          </w:p>
        </w:tc>
        <w:tc>
          <w:tcPr>
            <w:tcW w:w="960" w:type="dxa"/>
            <w:shd w:val="clear" w:color="auto" w:fill="auto"/>
            <w:noWrap/>
            <w:vAlign w:val="center"/>
            <w:hideMark/>
          </w:tcPr>
          <w:p w:rsidR="00306953" w:rsidRPr="00442515" w:rsidRDefault="00306953" w:rsidP="006E7E91">
            <w:pPr>
              <w:keepNext/>
              <w:spacing w:after="0" w:line="240" w:lineRule="auto"/>
              <w:jc w:val="center"/>
              <w:rPr>
                <w:rFonts w:cs="Arial"/>
                <w:color w:val="000000"/>
                <w:sz w:val="16"/>
                <w:szCs w:val="16"/>
              </w:rPr>
            </w:pPr>
            <w:r w:rsidRPr="00442515">
              <w:rPr>
                <w:rFonts w:cs="Arial"/>
                <w:color w:val="000000"/>
                <w:sz w:val="16"/>
                <w:szCs w:val="16"/>
              </w:rPr>
              <w:t>88</w:t>
            </w:r>
          </w:p>
        </w:tc>
        <w:tc>
          <w:tcPr>
            <w:tcW w:w="960" w:type="dxa"/>
            <w:shd w:val="clear" w:color="auto" w:fill="auto"/>
            <w:noWrap/>
            <w:vAlign w:val="center"/>
            <w:hideMark/>
          </w:tcPr>
          <w:p w:rsidR="00306953" w:rsidRPr="00442515" w:rsidRDefault="00306953" w:rsidP="006E7E91">
            <w:pPr>
              <w:keepNext/>
              <w:spacing w:after="0" w:line="240" w:lineRule="auto"/>
              <w:jc w:val="center"/>
              <w:rPr>
                <w:rFonts w:cs="Arial"/>
                <w:color w:val="000000"/>
                <w:sz w:val="16"/>
                <w:szCs w:val="16"/>
              </w:rPr>
            </w:pPr>
            <w:r w:rsidRPr="00442515">
              <w:rPr>
                <w:rFonts w:cs="Arial"/>
                <w:color w:val="000000"/>
                <w:sz w:val="16"/>
                <w:szCs w:val="16"/>
              </w:rPr>
              <w:t>87</w:t>
            </w:r>
          </w:p>
        </w:tc>
      </w:tr>
      <w:tr w:rsidR="00306953" w:rsidRPr="00442515" w:rsidTr="000C6FC8">
        <w:trPr>
          <w:trHeight w:val="300"/>
        </w:trPr>
        <w:tc>
          <w:tcPr>
            <w:tcW w:w="1716" w:type="dxa"/>
            <w:vMerge/>
            <w:vAlign w:val="center"/>
            <w:hideMark/>
          </w:tcPr>
          <w:p w:rsidR="00306953" w:rsidRPr="00442515" w:rsidRDefault="00306953" w:rsidP="006E7E91">
            <w:pPr>
              <w:keepNext/>
              <w:spacing w:after="0" w:line="240" w:lineRule="auto"/>
              <w:rPr>
                <w:rFonts w:cs="Arial"/>
                <w:color w:val="000000"/>
                <w:sz w:val="16"/>
                <w:szCs w:val="16"/>
              </w:rPr>
            </w:pPr>
          </w:p>
        </w:tc>
        <w:tc>
          <w:tcPr>
            <w:tcW w:w="1560" w:type="dxa"/>
            <w:shd w:val="clear" w:color="auto" w:fill="auto"/>
            <w:noWrap/>
            <w:vAlign w:val="center"/>
            <w:hideMark/>
          </w:tcPr>
          <w:p w:rsidR="00306953" w:rsidRPr="00442515" w:rsidRDefault="00306953" w:rsidP="006E7E91">
            <w:pPr>
              <w:keepNext/>
              <w:spacing w:after="0" w:line="240" w:lineRule="auto"/>
              <w:rPr>
                <w:rFonts w:cs="Arial"/>
                <w:color w:val="000000"/>
                <w:sz w:val="16"/>
                <w:szCs w:val="16"/>
              </w:rPr>
            </w:pPr>
            <w:r w:rsidRPr="00442515">
              <w:rPr>
                <w:rFonts w:cs="Arial"/>
                <w:color w:val="000000"/>
                <w:sz w:val="16"/>
                <w:szCs w:val="16"/>
              </w:rPr>
              <w:t>Rakousko</w:t>
            </w:r>
          </w:p>
        </w:tc>
        <w:tc>
          <w:tcPr>
            <w:tcW w:w="960" w:type="dxa"/>
            <w:shd w:val="clear" w:color="auto" w:fill="auto"/>
            <w:noWrap/>
            <w:vAlign w:val="center"/>
            <w:hideMark/>
          </w:tcPr>
          <w:p w:rsidR="00306953" w:rsidRPr="00442515" w:rsidRDefault="00306953" w:rsidP="006E7E91">
            <w:pPr>
              <w:keepNext/>
              <w:spacing w:after="0" w:line="240" w:lineRule="auto"/>
              <w:jc w:val="center"/>
              <w:rPr>
                <w:rFonts w:cs="Arial"/>
                <w:color w:val="000000"/>
                <w:sz w:val="16"/>
                <w:szCs w:val="16"/>
              </w:rPr>
            </w:pPr>
            <w:r w:rsidRPr="00442515">
              <w:rPr>
                <w:rFonts w:cs="Arial"/>
                <w:color w:val="000000"/>
                <w:sz w:val="16"/>
                <w:szCs w:val="16"/>
              </w:rPr>
              <w:t>91</w:t>
            </w:r>
          </w:p>
        </w:tc>
        <w:tc>
          <w:tcPr>
            <w:tcW w:w="960" w:type="dxa"/>
            <w:shd w:val="clear" w:color="auto" w:fill="auto"/>
            <w:noWrap/>
            <w:vAlign w:val="center"/>
            <w:hideMark/>
          </w:tcPr>
          <w:p w:rsidR="00306953" w:rsidRPr="00442515" w:rsidRDefault="00306953" w:rsidP="006E7E91">
            <w:pPr>
              <w:keepNext/>
              <w:spacing w:after="0" w:line="240" w:lineRule="auto"/>
              <w:jc w:val="center"/>
              <w:rPr>
                <w:rFonts w:cs="Arial"/>
                <w:color w:val="000000"/>
                <w:sz w:val="16"/>
                <w:szCs w:val="16"/>
              </w:rPr>
            </w:pPr>
            <w:r w:rsidRPr="00442515">
              <w:rPr>
                <w:rFonts w:cs="Arial"/>
                <w:color w:val="000000"/>
                <w:sz w:val="16"/>
                <w:szCs w:val="16"/>
              </w:rPr>
              <w:t>100</w:t>
            </w:r>
          </w:p>
        </w:tc>
        <w:tc>
          <w:tcPr>
            <w:tcW w:w="960" w:type="dxa"/>
            <w:shd w:val="clear" w:color="auto" w:fill="auto"/>
            <w:noWrap/>
            <w:vAlign w:val="center"/>
            <w:hideMark/>
          </w:tcPr>
          <w:p w:rsidR="00306953" w:rsidRPr="00442515" w:rsidRDefault="00306953" w:rsidP="006E7E91">
            <w:pPr>
              <w:keepNext/>
              <w:spacing w:after="0" w:line="240" w:lineRule="auto"/>
              <w:jc w:val="center"/>
              <w:rPr>
                <w:rFonts w:cs="Arial"/>
                <w:color w:val="000000"/>
                <w:sz w:val="16"/>
                <w:szCs w:val="16"/>
              </w:rPr>
            </w:pPr>
            <w:r w:rsidRPr="00442515">
              <w:rPr>
                <w:rFonts w:cs="Arial"/>
                <w:color w:val="000000"/>
                <w:sz w:val="16"/>
                <w:szCs w:val="16"/>
              </w:rPr>
              <w:t>104</w:t>
            </w:r>
          </w:p>
        </w:tc>
        <w:tc>
          <w:tcPr>
            <w:tcW w:w="960" w:type="dxa"/>
            <w:shd w:val="clear" w:color="auto" w:fill="auto"/>
            <w:noWrap/>
            <w:vAlign w:val="center"/>
            <w:hideMark/>
          </w:tcPr>
          <w:p w:rsidR="00306953" w:rsidRPr="00442515" w:rsidRDefault="00306953" w:rsidP="006E7E91">
            <w:pPr>
              <w:keepNext/>
              <w:spacing w:after="0" w:line="240" w:lineRule="auto"/>
              <w:jc w:val="center"/>
              <w:rPr>
                <w:rFonts w:cs="Arial"/>
                <w:color w:val="000000"/>
                <w:sz w:val="16"/>
                <w:szCs w:val="16"/>
              </w:rPr>
            </w:pPr>
            <w:r w:rsidRPr="00442515">
              <w:rPr>
                <w:rFonts w:cs="Arial"/>
                <w:color w:val="000000"/>
                <w:sz w:val="16"/>
                <w:szCs w:val="16"/>
              </w:rPr>
              <w:t>103</w:t>
            </w:r>
          </w:p>
        </w:tc>
        <w:tc>
          <w:tcPr>
            <w:tcW w:w="960" w:type="dxa"/>
            <w:shd w:val="clear" w:color="auto" w:fill="auto"/>
            <w:noWrap/>
            <w:vAlign w:val="center"/>
            <w:hideMark/>
          </w:tcPr>
          <w:p w:rsidR="00306953" w:rsidRPr="00442515" w:rsidRDefault="00306953" w:rsidP="006E7E91">
            <w:pPr>
              <w:keepNext/>
              <w:spacing w:after="0" w:line="240" w:lineRule="auto"/>
              <w:jc w:val="center"/>
              <w:rPr>
                <w:rFonts w:cs="Arial"/>
                <w:color w:val="000000"/>
                <w:sz w:val="16"/>
                <w:szCs w:val="16"/>
              </w:rPr>
            </w:pPr>
            <w:r w:rsidRPr="00442515">
              <w:rPr>
                <w:rFonts w:cs="Arial"/>
                <w:color w:val="000000"/>
                <w:sz w:val="16"/>
                <w:szCs w:val="16"/>
              </w:rPr>
              <w:t>102</w:t>
            </w:r>
          </w:p>
        </w:tc>
        <w:tc>
          <w:tcPr>
            <w:tcW w:w="960" w:type="dxa"/>
            <w:shd w:val="clear" w:color="auto" w:fill="auto"/>
            <w:noWrap/>
            <w:vAlign w:val="center"/>
            <w:hideMark/>
          </w:tcPr>
          <w:p w:rsidR="00306953" w:rsidRPr="00442515" w:rsidRDefault="00306953" w:rsidP="006E7E91">
            <w:pPr>
              <w:keepNext/>
              <w:spacing w:after="0" w:line="240" w:lineRule="auto"/>
              <w:jc w:val="center"/>
              <w:rPr>
                <w:rFonts w:cs="Arial"/>
                <w:color w:val="000000"/>
                <w:sz w:val="16"/>
                <w:szCs w:val="16"/>
              </w:rPr>
            </w:pPr>
            <w:r w:rsidRPr="00442515">
              <w:rPr>
                <w:rFonts w:cs="Arial"/>
                <w:color w:val="000000"/>
                <w:sz w:val="16"/>
                <w:szCs w:val="16"/>
              </w:rPr>
              <w:t>101</w:t>
            </w:r>
          </w:p>
        </w:tc>
      </w:tr>
      <w:tr w:rsidR="00306953" w:rsidRPr="00442515" w:rsidTr="000C6FC8">
        <w:trPr>
          <w:trHeight w:val="300"/>
        </w:trPr>
        <w:tc>
          <w:tcPr>
            <w:tcW w:w="1716" w:type="dxa"/>
            <w:vMerge/>
            <w:vAlign w:val="center"/>
            <w:hideMark/>
          </w:tcPr>
          <w:p w:rsidR="00306953" w:rsidRPr="00442515" w:rsidRDefault="00306953" w:rsidP="006E7E91">
            <w:pPr>
              <w:keepNext/>
              <w:spacing w:after="0" w:line="240" w:lineRule="auto"/>
              <w:rPr>
                <w:rFonts w:cs="Arial"/>
                <w:color w:val="000000"/>
                <w:sz w:val="16"/>
                <w:szCs w:val="16"/>
              </w:rPr>
            </w:pPr>
          </w:p>
        </w:tc>
        <w:tc>
          <w:tcPr>
            <w:tcW w:w="1560" w:type="dxa"/>
            <w:shd w:val="clear" w:color="auto" w:fill="auto"/>
            <w:noWrap/>
            <w:vAlign w:val="center"/>
            <w:hideMark/>
          </w:tcPr>
          <w:p w:rsidR="00306953" w:rsidRPr="00442515" w:rsidRDefault="00306953" w:rsidP="006E7E91">
            <w:pPr>
              <w:keepNext/>
              <w:spacing w:after="0" w:line="240" w:lineRule="auto"/>
              <w:rPr>
                <w:rFonts w:cs="Arial"/>
                <w:color w:val="000000"/>
                <w:sz w:val="16"/>
                <w:szCs w:val="16"/>
              </w:rPr>
            </w:pPr>
            <w:r w:rsidRPr="00442515">
              <w:rPr>
                <w:rFonts w:cs="Arial"/>
                <w:color w:val="000000"/>
                <w:sz w:val="16"/>
                <w:szCs w:val="16"/>
              </w:rPr>
              <w:t>Polsko</w:t>
            </w:r>
          </w:p>
        </w:tc>
        <w:tc>
          <w:tcPr>
            <w:tcW w:w="960" w:type="dxa"/>
            <w:shd w:val="clear" w:color="auto" w:fill="auto"/>
            <w:noWrap/>
            <w:vAlign w:val="center"/>
            <w:hideMark/>
          </w:tcPr>
          <w:p w:rsidR="00306953" w:rsidRPr="00E32963" w:rsidRDefault="00E32963" w:rsidP="006E7E91">
            <w:pPr>
              <w:keepNext/>
              <w:spacing w:after="0" w:line="240" w:lineRule="auto"/>
              <w:jc w:val="center"/>
              <w:rPr>
                <w:rFonts w:cs="Arial"/>
                <w:b/>
                <w:color w:val="000000"/>
                <w:sz w:val="16"/>
                <w:szCs w:val="16"/>
              </w:rPr>
            </w:pPr>
            <w:r w:rsidRPr="00E32963">
              <w:rPr>
                <w:rFonts w:cs="Arial"/>
                <w:b/>
                <w:color w:val="000000"/>
                <w:sz w:val="16"/>
                <w:szCs w:val="16"/>
              </w:rPr>
              <w:t>.</w:t>
            </w:r>
          </w:p>
        </w:tc>
        <w:tc>
          <w:tcPr>
            <w:tcW w:w="960" w:type="dxa"/>
            <w:shd w:val="clear" w:color="auto" w:fill="auto"/>
            <w:noWrap/>
            <w:vAlign w:val="center"/>
            <w:hideMark/>
          </w:tcPr>
          <w:p w:rsidR="00306953" w:rsidRPr="00442515" w:rsidRDefault="00306953" w:rsidP="006E7E91">
            <w:pPr>
              <w:keepNext/>
              <w:spacing w:after="0" w:line="240" w:lineRule="auto"/>
              <w:jc w:val="center"/>
              <w:rPr>
                <w:rFonts w:cs="Arial"/>
                <w:color w:val="000000"/>
                <w:sz w:val="16"/>
                <w:szCs w:val="16"/>
              </w:rPr>
            </w:pPr>
            <w:r w:rsidRPr="00442515">
              <w:rPr>
                <w:rFonts w:cs="Arial"/>
                <w:color w:val="000000"/>
                <w:sz w:val="16"/>
                <w:szCs w:val="16"/>
              </w:rPr>
              <w:t>100</w:t>
            </w:r>
          </w:p>
        </w:tc>
        <w:tc>
          <w:tcPr>
            <w:tcW w:w="960" w:type="dxa"/>
            <w:shd w:val="clear" w:color="auto" w:fill="auto"/>
            <w:noWrap/>
            <w:vAlign w:val="center"/>
            <w:hideMark/>
          </w:tcPr>
          <w:p w:rsidR="00306953" w:rsidRPr="00442515" w:rsidRDefault="00306953" w:rsidP="006E7E91">
            <w:pPr>
              <w:keepNext/>
              <w:spacing w:after="0" w:line="240" w:lineRule="auto"/>
              <w:jc w:val="center"/>
              <w:rPr>
                <w:rFonts w:cs="Arial"/>
                <w:color w:val="000000"/>
                <w:sz w:val="16"/>
                <w:szCs w:val="16"/>
              </w:rPr>
            </w:pPr>
            <w:r w:rsidRPr="00442515">
              <w:rPr>
                <w:rFonts w:cs="Arial"/>
                <w:color w:val="000000"/>
                <w:sz w:val="16"/>
                <w:szCs w:val="16"/>
              </w:rPr>
              <w:t>116</w:t>
            </w:r>
          </w:p>
        </w:tc>
        <w:tc>
          <w:tcPr>
            <w:tcW w:w="960" w:type="dxa"/>
            <w:shd w:val="clear" w:color="auto" w:fill="auto"/>
            <w:noWrap/>
            <w:vAlign w:val="center"/>
            <w:hideMark/>
          </w:tcPr>
          <w:p w:rsidR="00306953" w:rsidRPr="00442515" w:rsidRDefault="00306953" w:rsidP="006E7E91">
            <w:pPr>
              <w:keepNext/>
              <w:spacing w:after="0" w:line="240" w:lineRule="auto"/>
              <w:jc w:val="center"/>
              <w:rPr>
                <w:rFonts w:cs="Arial"/>
                <w:color w:val="000000"/>
                <w:sz w:val="16"/>
                <w:szCs w:val="16"/>
              </w:rPr>
            </w:pPr>
            <w:r w:rsidRPr="00442515">
              <w:rPr>
                <w:rFonts w:cs="Arial"/>
                <w:color w:val="000000"/>
                <w:sz w:val="16"/>
                <w:szCs w:val="16"/>
              </w:rPr>
              <w:t>120</w:t>
            </w:r>
          </w:p>
        </w:tc>
        <w:tc>
          <w:tcPr>
            <w:tcW w:w="960" w:type="dxa"/>
            <w:shd w:val="clear" w:color="auto" w:fill="auto"/>
            <w:noWrap/>
            <w:vAlign w:val="center"/>
            <w:hideMark/>
          </w:tcPr>
          <w:p w:rsidR="00306953" w:rsidRPr="00442515" w:rsidRDefault="00306953" w:rsidP="006E7E91">
            <w:pPr>
              <w:keepNext/>
              <w:spacing w:after="0" w:line="240" w:lineRule="auto"/>
              <w:jc w:val="center"/>
              <w:rPr>
                <w:rFonts w:cs="Arial"/>
                <w:color w:val="000000"/>
                <w:sz w:val="16"/>
                <w:szCs w:val="16"/>
              </w:rPr>
            </w:pPr>
            <w:r w:rsidRPr="00442515">
              <w:rPr>
                <w:rFonts w:cs="Arial"/>
                <w:color w:val="000000"/>
                <w:sz w:val="16"/>
                <w:szCs w:val="16"/>
              </w:rPr>
              <w:t>123</w:t>
            </w:r>
          </w:p>
        </w:tc>
        <w:tc>
          <w:tcPr>
            <w:tcW w:w="960" w:type="dxa"/>
            <w:shd w:val="clear" w:color="auto" w:fill="auto"/>
            <w:noWrap/>
            <w:vAlign w:val="center"/>
            <w:hideMark/>
          </w:tcPr>
          <w:p w:rsidR="00306953" w:rsidRPr="00442515" w:rsidRDefault="00306953" w:rsidP="006E7E91">
            <w:pPr>
              <w:keepNext/>
              <w:spacing w:after="0" w:line="240" w:lineRule="auto"/>
              <w:jc w:val="center"/>
              <w:rPr>
                <w:rFonts w:cs="Arial"/>
                <w:color w:val="000000"/>
                <w:sz w:val="16"/>
                <w:szCs w:val="16"/>
              </w:rPr>
            </w:pPr>
            <w:r w:rsidRPr="00442515">
              <w:rPr>
                <w:rFonts w:cs="Arial"/>
                <w:color w:val="000000"/>
                <w:sz w:val="16"/>
                <w:szCs w:val="16"/>
              </w:rPr>
              <w:t>125</w:t>
            </w:r>
          </w:p>
        </w:tc>
      </w:tr>
      <w:tr w:rsidR="00306953" w:rsidRPr="00442515" w:rsidTr="000C6FC8">
        <w:trPr>
          <w:trHeight w:val="300"/>
        </w:trPr>
        <w:tc>
          <w:tcPr>
            <w:tcW w:w="1716" w:type="dxa"/>
            <w:vMerge/>
            <w:vAlign w:val="center"/>
            <w:hideMark/>
          </w:tcPr>
          <w:p w:rsidR="00306953" w:rsidRPr="00442515" w:rsidRDefault="00306953" w:rsidP="006E7E91">
            <w:pPr>
              <w:keepNext/>
              <w:spacing w:after="0" w:line="240" w:lineRule="auto"/>
              <w:rPr>
                <w:rFonts w:cs="Arial"/>
                <w:color w:val="000000"/>
                <w:sz w:val="16"/>
                <w:szCs w:val="16"/>
              </w:rPr>
            </w:pPr>
          </w:p>
        </w:tc>
        <w:tc>
          <w:tcPr>
            <w:tcW w:w="1560" w:type="dxa"/>
            <w:shd w:val="clear" w:color="auto" w:fill="auto"/>
            <w:noWrap/>
            <w:vAlign w:val="center"/>
            <w:hideMark/>
          </w:tcPr>
          <w:p w:rsidR="00306953" w:rsidRPr="00442515" w:rsidRDefault="00306953" w:rsidP="006E7E91">
            <w:pPr>
              <w:keepNext/>
              <w:spacing w:after="0" w:line="240" w:lineRule="auto"/>
              <w:rPr>
                <w:rFonts w:cs="Arial"/>
                <w:color w:val="000000"/>
                <w:sz w:val="16"/>
                <w:szCs w:val="16"/>
              </w:rPr>
            </w:pPr>
            <w:r w:rsidRPr="00442515">
              <w:rPr>
                <w:rFonts w:cs="Arial"/>
                <w:color w:val="000000"/>
                <w:sz w:val="16"/>
                <w:szCs w:val="16"/>
              </w:rPr>
              <w:t>Estonsko</w:t>
            </w:r>
          </w:p>
        </w:tc>
        <w:tc>
          <w:tcPr>
            <w:tcW w:w="960" w:type="dxa"/>
            <w:shd w:val="clear" w:color="auto" w:fill="auto"/>
            <w:noWrap/>
            <w:vAlign w:val="center"/>
            <w:hideMark/>
          </w:tcPr>
          <w:p w:rsidR="00306953" w:rsidRPr="00442515" w:rsidRDefault="00306953" w:rsidP="006E7E91">
            <w:pPr>
              <w:keepNext/>
              <w:spacing w:after="0" w:line="240" w:lineRule="auto"/>
              <w:jc w:val="center"/>
              <w:rPr>
                <w:rFonts w:cs="Arial"/>
                <w:color w:val="000000"/>
                <w:sz w:val="16"/>
                <w:szCs w:val="16"/>
              </w:rPr>
            </w:pPr>
            <w:r w:rsidRPr="00442515">
              <w:rPr>
                <w:rFonts w:cs="Arial"/>
                <w:color w:val="000000"/>
                <w:sz w:val="16"/>
                <w:szCs w:val="16"/>
              </w:rPr>
              <w:t>85</w:t>
            </w:r>
          </w:p>
        </w:tc>
        <w:tc>
          <w:tcPr>
            <w:tcW w:w="960" w:type="dxa"/>
            <w:shd w:val="clear" w:color="auto" w:fill="auto"/>
            <w:noWrap/>
            <w:vAlign w:val="center"/>
            <w:hideMark/>
          </w:tcPr>
          <w:p w:rsidR="00306953" w:rsidRPr="00442515" w:rsidRDefault="00306953" w:rsidP="006E7E91">
            <w:pPr>
              <w:keepNext/>
              <w:spacing w:after="0" w:line="240" w:lineRule="auto"/>
              <w:jc w:val="center"/>
              <w:rPr>
                <w:rFonts w:cs="Arial"/>
                <w:color w:val="000000"/>
                <w:sz w:val="16"/>
                <w:szCs w:val="16"/>
              </w:rPr>
            </w:pPr>
            <w:r w:rsidRPr="00442515">
              <w:rPr>
                <w:rFonts w:cs="Arial"/>
                <w:color w:val="000000"/>
                <w:sz w:val="16"/>
                <w:szCs w:val="16"/>
              </w:rPr>
              <w:t>100</w:t>
            </w:r>
          </w:p>
        </w:tc>
        <w:tc>
          <w:tcPr>
            <w:tcW w:w="960" w:type="dxa"/>
            <w:shd w:val="clear" w:color="auto" w:fill="auto"/>
            <w:noWrap/>
            <w:vAlign w:val="center"/>
            <w:hideMark/>
          </w:tcPr>
          <w:p w:rsidR="00306953" w:rsidRPr="00442515" w:rsidRDefault="00306953" w:rsidP="006E7E91">
            <w:pPr>
              <w:keepNext/>
              <w:spacing w:after="0" w:line="240" w:lineRule="auto"/>
              <w:jc w:val="center"/>
              <w:rPr>
                <w:rFonts w:cs="Arial"/>
                <w:color w:val="000000"/>
                <w:sz w:val="16"/>
                <w:szCs w:val="16"/>
              </w:rPr>
            </w:pPr>
            <w:r w:rsidRPr="00442515">
              <w:rPr>
                <w:rFonts w:cs="Arial"/>
                <w:color w:val="000000"/>
                <w:sz w:val="16"/>
                <w:szCs w:val="16"/>
              </w:rPr>
              <w:t>138</w:t>
            </w:r>
          </w:p>
        </w:tc>
        <w:tc>
          <w:tcPr>
            <w:tcW w:w="960" w:type="dxa"/>
            <w:shd w:val="clear" w:color="auto" w:fill="auto"/>
            <w:noWrap/>
            <w:vAlign w:val="center"/>
            <w:hideMark/>
          </w:tcPr>
          <w:p w:rsidR="00306953" w:rsidRPr="00442515" w:rsidRDefault="00306953" w:rsidP="006E7E91">
            <w:pPr>
              <w:keepNext/>
              <w:spacing w:after="0" w:line="240" w:lineRule="auto"/>
              <w:jc w:val="center"/>
              <w:rPr>
                <w:rFonts w:cs="Arial"/>
                <w:color w:val="000000"/>
                <w:sz w:val="16"/>
                <w:szCs w:val="16"/>
              </w:rPr>
            </w:pPr>
            <w:r w:rsidRPr="00442515">
              <w:rPr>
                <w:rFonts w:cs="Arial"/>
                <w:color w:val="000000"/>
                <w:sz w:val="16"/>
                <w:szCs w:val="16"/>
              </w:rPr>
              <w:t>132</w:t>
            </w:r>
          </w:p>
        </w:tc>
        <w:tc>
          <w:tcPr>
            <w:tcW w:w="960" w:type="dxa"/>
            <w:shd w:val="clear" w:color="auto" w:fill="auto"/>
            <w:noWrap/>
            <w:vAlign w:val="center"/>
            <w:hideMark/>
          </w:tcPr>
          <w:p w:rsidR="00306953" w:rsidRPr="00442515" w:rsidRDefault="00306953" w:rsidP="006E7E91">
            <w:pPr>
              <w:keepNext/>
              <w:spacing w:after="0" w:line="240" w:lineRule="auto"/>
              <w:jc w:val="center"/>
              <w:rPr>
                <w:rFonts w:cs="Arial"/>
                <w:color w:val="000000"/>
                <w:sz w:val="16"/>
                <w:szCs w:val="16"/>
              </w:rPr>
            </w:pPr>
            <w:r w:rsidRPr="00442515">
              <w:rPr>
                <w:rFonts w:cs="Arial"/>
                <w:color w:val="000000"/>
                <w:sz w:val="16"/>
                <w:szCs w:val="16"/>
              </w:rPr>
              <w:t>126</w:t>
            </w:r>
          </w:p>
        </w:tc>
        <w:tc>
          <w:tcPr>
            <w:tcW w:w="960" w:type="dxa"/>
            <w:shd w:val="clear" w:color="auto" w:fill="auto"/>
            <w:noWrap/>
            <w:vAlign w:val="center"/>
            <w:hideMark/>
          </w:tcPr>
          <w:p w:rsidR="00306953" w:rsidRPr="00442515" w:rsidRDefault="00306953" w:rsidP="006E7E91">
            <w:pPr>
              <w:keepNext/>
              <w:spacing w:after="0" w:line="240" w:lineRule="auto"/>
              <w:jc w:val="center"/>
              <w:rPr>
                <w:rFonts w:cs="Arial"/>
                <w:color w:val="000000"/>
                <w:sz w:val="16"/>
                <w:szCs w:val="16"/>
              </w:rPr>
            </w:pPr>
            <w:r w:rsidRPr="00442515">
              <w:rPr>
                <w:rFonts w:cs="Arial"/>
                <w:color w:val="000000"/>
                <w:sz w:val="16"/>
                <w:szCs w:val="16"/>
              </w:rPr>
              <w:t>131</w:t>
            </w:r>
          </w:p>
        </w:tc>
      </w:tr>
      <w:tr w:rsidR="00306953" w:rsidRPr="00442515" w:rsidTr="000C6FC8">
        <w:trPr>
          <w:trHeight w:val="300"/>
        </w:trPr>
        <w:tc>
          <w:tcPr>
            <w:tcW w:w="1716" w:type="dxa"/>
            <w:vMerge/>
            <w:vAlign w:val="center"/>
            <w:hideMark/>
          </w:tcPr>
          <w:p w:rsidR="00306953" w:rsidRPr="00442515" w:rsidRDefault="00306953" w:rsidP="00306953">
            <w:pPr>
              <w:spacing w:after="0" w:line="240" w:lineRule="auto"/>
              <w:rPr>
                <w:rFonts w:cs="Arial"/>
                <w:color w:val="000000"/>
                <w:sz w:val="16"/>
                <w:szCs w:val="16"/>
              </w:rPr>
            </w:pPr>
          </w:p>
        </w:tc>
        <w:tc>
          <w:tcPr>
            <w:tcW w:w="1560" w:type="dxa"/>
            <w:shd w:val="clear" w:color="auto" w:fill="auto"/>
            <w:noWrap/>
            <w:vAlign w:val="center"/>
            <w:hideMark/>
          </w:tcPr>
          <w:p w:rsidR="00306953" w:rsidRPr="00442515" w:rsidRDefault="00306953" w:rsidP="004C55CD">
            <w:pPr>
              <w:spacing w:after="0" w:line="240" w:lineRule="auto"/>
              <w:rPr>
                <w:rFonts w:cs="Arial"/>
                <w:color w:val="000000"/>
                <w:sz w:val="16"/>
                <w:szCs w:val="16"/>
              </w:rPr>
            </w:pPr>
            <w:r w:rsidRPr="00442515">
              <w:rPr>
                <w:rFonts w:cs="Arial"/>
                <w:color w:val="000000"/>
                <w:sz w:val="16"/>
                <w:szCs w:val="16"/>
              </w:rPr>
              <w:t>Finsko</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87</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100</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111</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110</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109</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107</w:t>
            </w:r>
          </w:p>
        </w:tc>
      </w:tr>
      <w:tr w:rsidR="00306953" w:rsidRPr="00631582" w:rsidTr="000C6FC8">
        <w:trPr>
          <w:trHeight w:val="300"/>
        </w:trPr>
        <w:tc>
          <w:tcPr>
            <w:tcW w:w="1716" w:type="dxa"/>
            <w:vMerge/>
            <w:vAlign w:val="center"/>
            <w:hideMark/>
          </w:tcPr>
          <w:p w:rsidR="00306953" w:rsidRPr="00442515" w:rsidRDefault="00306953" w:rsidP="00306953">
            <w:pPr>
              <w:spacing w:after="0" w:line="240" w:lineRule="auto"/>
              <w:rPr>
                <w:rFonts w:cs="Arial"/>
                <w:color w:val="000000"/>
                <w:sz w:val="16"/>
                <w:szCs w:val="16"/>
              </w:rPr>
            </w:pPr>
          </w:p>
        </w:tc>
        <w:tc>
          <w:tcPr>
            <w:tcW w:w="1560" w:type="dxa"/>
            <w:shd w:val="clear" w:color="auto" w:fill="C6D9F1" w:themeFill="text2" w:themeFillTint="33"/>
            <w:noWrap/>
            <w:vAlign w:val="center"/>
            <w:hideMark/>
          </w:tcPr>
          <w:p w:rsidR="00306953" w:rsidRPr="00631582" w:rsidRDefault="00306953" w:rsidP="004C55CD">
            <w:pPr>
              <w:spacing w:after="0" w:line="240" w:lineRule="auto"/>
              <w:rPr>
                <w:rFonts w:cs="Arial"/>
                <w:bCs/>
                <w:iCs/>
                <w:color w:val="000000"/>
                <w:sz w:val="16"/>
                <w:szCs w:val="16"/>
              </w:rPr>
            </w:pPr>
            <w:r w:rsidRPr="00631582">
              <w:rPr>
                <w:rFonts w:cs="Arial"/>
                <w:bCs/>
                <w:iCs/>
                <w:color w:val="000000"/>
                <w:sz w:val="16"/>
                <w:szCs w:val="16"/>
              </w:rPr>
              <w:t>průměr OECD</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90</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100</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106</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105</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103</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104</w:t>
            </w:r>
          </w:p>
        </w:tc>
      </w:tr>
      <w:tr w:rsidR="00306953" w:rsidRPr="00631582" w:rsidTr="000C6FC8">
        <w:trPr>
          <w:trHeight w:val="300"/>
        </w:trPr>
        <w:tc>
          <w:tcPr>
            <w:tcW w:w="1716" w:type="dxa"/>
            <w:vMerge/>
            <w:vAlign w:val="center"/>
            <w:hideMark/>
          </w:tcPr>
          <w:p w:rsidR="00306953" w:rsidRPr="00442515" w:rsidRDefault="00306953" w:rsidP="00306953">
            <w:pPr>
              <w:spacing w:after="0" w:line="240" w:lineRule="auto"/>
              <w:rPr>
                <w:rFonts w:cs="Arial"/>
                <w:color w:val="000000"/>
                <w:sz w:val="16"/>
                <w:szCs w:val="16"/>
              </w:rPr>
            </w:pPr>
          </w:p>
        </w:tc>
        <w:tc>
          <w:tcPr>
            <w:tcW w:w="1560" w:type="dxa"/>
            <w:shd w:val="clear" w:color="auto" w:fill="C6D9F1" w:themeFill="text2" w:themeFillTint="33"/>
            <w:vAlign w:val="center"/>
            <w:hideMark/>
          </w:tcPr>
          <w:p w:rsidR="00306953" w:rsidRPr="00631582" w:rsidRDefault="00306953" w:rsidP="004C55CD">
            <w:pPr>
              <w:spacing w:after="0" w:line="240" w:lineRule="auto"/>
              <w:rPr>
                <w:rFonts w:cs="Arial"/>
                <w:bCs/>
                <w:iCs/>
                <w:color w:val="000000"/>
                <w:sz w:val="16"/>
                <w:szCs w:val="16"/>
              </w:rPr>
            </w:pPr>
            <w:r w:rsidRPr="00631582">
              <w:rPr>
                <w:rFonts w:cs="Arial"/>
                <w:bCs/>
                <w:iCs/>
                <w:color w:val="000000"/>
                <w:sz w:val="16"/>
                <w:szCs w:val="16"/>
              </w:rPr>
              <w:t>průměr EU21</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87</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100</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105</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103</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99</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98</w:t>
            </w:r>
          </w:p>
        </w:tc>
      </w:tr>
      <w:tr w:rsidR="00306953" w:rsidRPr="00442515" w:rsidTr="000C6FC8">
        <w:trPr>
          <w:trHeight w:val="300"/>
        </w:trPr>
        <w:tc>
          <w:tcPr>
            <w:tcW w:w="1716" w:type="dxa"/>
            <w:vMerge w:val="restart"/>
            <w:shd w:val="clear" w:color="auto" w:fill="auto"/>
            <w:vAlign w:val="center"/>
            <w:hideMark/>
          </w:tcPr>
          <w:p w:rsidR="00306953" w:rsidRPr="00442515" w:rsidRDefault="00306953" w:rsidP="00814350">
            <w:pPr>
              <w:keepNext/>
              <w:spacing w:after="0" w:line="240" w:lineRule="auto"/>
              <w:rPr>
                <w:rFonts w:cs="Arial"/>
                <w:color w:val="000000"/>
                <w:sz w:val="16"/>
                <w:szCs w:val="16"/>
              </w:rPr>
            </w:pPr>
            <w:r w:rsidRPr="00442515">
              <w:rPr>
                <w:rFonts w:cs="Arial"/>
                <w:color w:val="000000"/>
                <w:sz w:val="16"/>
                <w:szCs w:val="16"/>
              </w:rPr>
              <w:t>nižší sekundární</w:t>
            </w:r>
          </w:p>
        </w:tc>
        <w:tc>
          <w:tcPr>
            <w:tcW w:w="1560" w:type="dxa"/>
            <w:shd w:val="clear" w:color="auto" w:fill="auto"/>
            <w:noWrap/>
            <w:vAlign w:val="center"/>
            <w:hideMark/>
          </w:tcPr>
          <w:p w:rsidR="00306953" w:rsidRPr="00442515" w:rsidRDefault="00306953" w:rsidP="00814350">
            <w:pPr>
              <w:keepNext/>
              <w:spacing w:after="0" w:line="240" w:lineRule="auto"/>
              <w:rPr>
                <w:rFonts w:cs="Arial"/>
                <w:color w:val="000000"/>
                <w:sz w:val="16"/>
                <w:szCs w:val="16"/>
              </w:rPr>
            </w:pPr>
            <w:r w:rsidRPr="00442515">
              <w:rPr>
                <w:rFonts w:cs="Arial"/>
                <w:color w:val="000000"/>
                <w:sz w:val="16"/>
                <w:szCs w:val="16"/>
              </w:rPr>
              <w:t>Česká republika</w:t>
            </w:r>
            <w:r w:rsidR="007377BD" w:rsidRPr="007377BD">
              <w:rPr>
                <w:rFonts w:cs="Arial"/>
                <w:color w:val="000000"/>
                <w:sz w:val="16"/>
                <w:szCs w:val="16"/>
                <w:vertAlign w:val="superscript"/>
              </w:rPr>
              <w:t>1)</w:t>
            </w:r>
          </w:p>
        </w:tc>
        <w:tc>
          <w:tcPr>
            <w:tcW w:w="960" w:type="dxa"/>
            <w:shd w:val="clear" w:color="auto" w:fill="auto"/>
            <w:noWrap/>
            <w:vAlign w:val="center"/>
            <w:hideMark/>
          </w:tcPr>
          <w:p w:rsidR="00306953" w:rsidRPr="00442515" w:rsidRDefault="00306953" w:rsidP="00814350">
            <w:pPr>
              <w:keepNext/>
              <w:spacing w:after="0" w:line="240" w:lineRule="auto"/>
              <w:jc w:val="center"/>
              <w:rPr>
                <w:rFonts w:cs="Arial"/>
                <w:color w:val="000000"/>
                <w:sz w:val="16"/>
                <w:szCs w:val="16"/>
              </w:rPr>
            </w:pPr>
            <w:r w:rsidRPr="00442515">
              <w:rPr>
                <w:rFonts w:cs="Arial"/>
                <w:color w:val="000000"/>
                <w:sz w:val="16"/>
                <w:szCs w:val="16"/>
              </w:rPr>
              <w:t>56</w:t>
            </w:r>
          </w:p>
        </w:tc>
        <w:tc>
          <w:tcPr>
            <w:tcW w:w="960" w:type="dxa"/>
            <w:shd w:val="clear" w:color="auto" w:fill="auto"/>
            <w:noWrap/>
            <w:vAlign w:val="center"/>
            <w:hideMark/>
          </w:tcPr>
          <w:p w:rsidR="00306953" w:rsidRPr="00442515" w:rsidRDefault="00306953" w:rsidP="00814350">
            <w:pPr>
              <w:keepNext/>
              <w:spacing w:after="0" w:line="240" w:lineRule="auto"/>
              <w:jc w:val="center"/>
              <w:rPr>
                <w:rFonts w:cs="Arial"/>
                <w:color w:val="000000"/>
                <w:sz w:val="16"/>
                <w:szCs w:val="16"/>
              </w:rPr>
            </w:pPr>
            <w:r w:rsidRPr="00442515">
              <w:rPr>
                <w:rFonts w:cs="Arial"/>
                <w:color w:val="000000"/>
                <w:sz w:val="16"/>
                <w:szCs w:val="16"/>
              </w:rPr>
              <w:t>100</w:t>
            </w:r>
          </w:p>
        </w:tc>
        <w:tc>
          <w:tcPr>
            <w:tcW w:w="960" w:type="dxa"/>
            <w:shd w:val="clear" w:color="auto" w:fill="auto"/>
            <w:noWrap/>
            <w:vAlign w:val="center"/>
            <w:hideMark/>
          </w:tcPr>
          <w:p w:rsidR="00306953" w:rsidRPr="00442515" w:rsidRDefault="00306953" w:rsidP="00814350">
            <w:pPr>
              <w:keepNext/>
              <w:spacing w:after="0" w:line="240" w:lineRule="auto"/>
              <w:jc w:val="center"/>
              <w:rPr>
                <w:rFonts w:cs="Arial"/>
                <w:color w:val="000000"/>
                <w:sz w:val="16"/>
                <w:szCs w:val="16"/>
              </w:rPr>
            </w:pPr>
            <w:r w:rsidRPr="00442515">
              <w:rPr>
                <w:rFonts w:cs="Arial"/>
                <w:color w:val="000000"/>
                <w:sz w:val="16"/>
                <w:szCs w:val="16"/>
              </w:rPr>
              <w:t>113</w:t>
            </w:r>
          </w:p>
        </w:tc>
        <w:tc>
          <w:tcPr>
            <w:tcW w:w="960" w:type="dxa"/>
            <w:shd w:val="clear" w:color="auto" w:fill="auto"/>
            <w:noWrap/>
            <w:vAlign w:val="center"/>
            <w:hideMark/>
          </w:tcPr>
          <w:p w:rsidR="00306953" w:rsidRPr="00442515" w:rsidRDefault="00306953" w:rsidP="00814350">
            <w:pPr>
              <w:keepNext/>
              <w:spacing w:after="0" w:line="240" w:lineRule="auto"/>
              <w:jc w:val="center"/>
              <w:rPr>
                <w:rFonts w:cs="Arial"/>
                <w:color w:val="000000"/>
                <w:sz w:val="16"/>
                <w:szCs w:val="16"/>
              </w:rPr>
            </w:pPr>
            <w:r w:rsidRPr="00442515">
              <w:rPr>
                <w:rFonts w:cs="Arial"/>
                <w:color w:val="000000"/>
                <w:sz w:val="16"/>
                <w:szCs w:val="16"/>
              </w:rPr>
              <w:t>111</w:t>
            </w:r>
          </w:p>
        </w:tc>
        <w:tc>
          <w:tcPr>
            <w:tcW w:w="960" w:type="dxa"/>
            <w:shd w:val="clear" w:color="auto" w:fill="auto"/>
            <w:noWrap/>
            <w:vAlign w:val="center"/>
            <w:hideMark/>
          </w:tcPr>
          <w:p w:rsidR="00306953" w:rsidRPr="00442515" w:rsidRDefault="00306953" w:rsidP="00814350">
            <w:pPr>
              <w:keepNext/>
              <w:spacing w:after="0" w:line="240" w:lineRule="auto"/>
              <w:jc w:val="center"/>
              <w:rPr>
                <w:rFonts w:cs="Arial"/>
                <w:color w:val="000000"/>
                <w:sz w:val="16"/>
                <w:szCs w:val="16"/>
              </w:rPr>
            </w:pPr>
            <w:r w:rsidRPr="00442515">
              <w:rPr>
                <w:rFonts w:cs="Arial"/>
                <w:color w:val="000000"/>
                <w:sz w:val="16"/>
                <w:szCs w:val="16"/>
              </w:rPr>
              <w:t>88</w:t>
            </w:r>
          </w:p>
        </w:tc>
        <w:tc>
          <w:tcPr>
            <w:tcW w:w="960" w:type="dxa"/>
            <w:shd w:val="clear" w:color="auto" w:fill="auto"/>
            <w:noWrap/>
            <w:vAlign w:val="center"/>
            <w:hideMark/>
          </w:tcPr>
          <w:p w:rsidR="00306953" w:rsidRPr="00442515" w:rsidRDefault="00306953" w:rsidP="00814350">
            <w:pPr>
              <w:keepNext/>
              <w:spacing w:after="0" w:line="240" w:lineRule="auto"/>
              <w:jc w:val="center"/>
              <w:rPr>
                <w:rFonts w:cs="Arial"/>
                <w:color w:val="000000"/>
                <w:sz w:val="16"/>
                <w:szCs w:val="16"/>
              </w:rPr>
            </w:pPr>
            <w:r w:rsidRPr="00442515">
              <w:rPr>
                <w:rFonts w:cs="Arial"/>
                <w:color w:val="000000"/>
                <w:sz w:val="16"/>
                <w:szCs w:val="16"/>
              </w:rPr>
              <w:t>87</w:t>
            </w:r>
          </w:p>
        </w:tc>
      </w:tr>
      <w:tr w:rsidR="00306953" w:rsidRPr="00442515" w:rsidTr="000C6FC8">
        <w:trPr>
          <w:trHeight w:val="300"/>
        </w:trPr>
        <w:tc>
          <w:tcPr>
            <w:tcW w:w="1716" w:type="dxa"/>
            <w:vMerge/>
            <w:vAlign w:val="center"/>
            <w:hideMark/>
          </w:tcPr>
          <w:p w:rsidR="00306953" w:rsidRPr="00442515" w:rsidRDefault="00306953" w:rsidP="00814350">
            <w:pPr>
              <w:keepNext/>
              <w:spacing w:after="0" w:line="240" w:lineRule="auto"/>
              <w:rPr>
                <w:rFonts w:cs="Arial"/>
                <w:color w:val="000000"/>
                <w:sz w:val="16"/>
                <w:szCs w:val="16"/>
              </w:rPr>
            </w:pPr>
          </w:p>
        </w:tc>
        <w:tc>
          <w:tcPr>
            <w:tcW w:w="1560" w:type="dxa"/>
            <w:shd w:val="clear" w:color="auto" w:fill="auto"/>
            <w:noWrap/>
            <w:vAlign w:val="center"/>
            <w:hideMark/>
          </w:tcPr>
          <w:p w:rsidR="00306953" w:rsidRPr="00442515" w:rsidRDefault="00306953" w:rsidP="00814350">
            <w:pPr>
              <w:keepNext/>
              <w:spacing w:after="0" w:line="240" w:lineRule="auto"/>
              <w:rPr>
                <w:rFonts w:cs="Arial"/>
                <w:color w:val="000000"/>
                <w:sz w:val="16"/>
                <w:szCs w:val="16"/>
              </w:rPr>
            </w:pPr>
            <w:r w:rsidRPr="00442515">
              <w:rPr>
                <w:rFonts w:cs="Arial"/>
                <w:color w:val="000000"/>
                <w:sz w:val="16"/>
                <w:szCs w:val="16"/>
              </w:rPr>
              <w:t>Rakousko</w:t>
            </w:r>
          </w:p>
        </w:tc>
        <w:tc>
          <w:tcPr>
            <w:tcW w:w="960" w:type="dxa"/>
            <w:shd w:val="clear" w:color="auto" w:fill="auto"/>
            <w:noWrap/>
            <w:vAlign w:val="center"/>
            <w:hideMark/>
          </w:tcPr>
          <w:p w:rsidR="00306953" w:rsidRPr="00442515" w:rsidRDefault="00306953" w:rsidP="00814350">
            <w:pPr>
              <w:keepNext/>
              <w:spacing w:after="0" w:line="240" w:lineRule="auto"/>
              <w:jc w:val="center"/>
              <w:rPr>
                <w:rFonts w:cs="Arial"/>
                <w:color w:val="000000"/>
                <w:sz w:val="16"/>
                <w:szCs w:val="16"/>
              </w:rPr>
            </w:pPr>
            <w:r w:rsidRPr="00442515">
              <w:rPr>
                <w:rFonts w:cs="Arial"/>
                <w:color w:val="000000"/>
                <w:sz w:val="16"/>
                <w:szCs w:val="16"/>
              </w:rPr>
              <w:t>88</w:t>
            </w:r>
          </w:p>
        </w:tc>
        <w:tc>
          <w:tcPr>
            <w:tcW w:w="960" w:type="dxa"/>
            <w:shd w:val="clear" w:color="auto" w:fill="auto"/>
            <w:noWrap/>
            <w:vAlign w:val="center"/>
            <w:hideMark/>
          </w:tcPr>
          <w:p w:rsidR="00306953" w:rsidRPr="00442515" w:rsidRDefault="00306953" w:rsidP="00814350">
            <w:pPr>
              <w:keepNext/>
              <w:spacing w:after="0" w:line="240" w:lineRule="auto"/>
              <w:jc w:val="center"/>
              <w:rPr>
                <w:rFonts w:cs="Arial"/>
                <w:color w:val="000000"/>
                <w:sz w:val="16"/>
                <w:szCs w:val="16"/>
              </w:rPr>
            </w:pPr>
            <w:r w:rsidRPr="00442515">
              <w:rPr>
                <w:rFonts w:cs="Arial"/>
                <w:color w:val="000000"/>
                <w:sz w:val="16"/>
                <w:szCs w:val="16"/>
              </w:rPr>
              <w:t>100</w:t>
            </w:r>
          </w:p>
        </w:tc>
        <w:tc>
          <w:tcPr>
            <w:tcW w:w="960" w:type="dxa"/>
            <w:shd w:val="clear" w:color="auto" w:fill="auto"/>
            <w:noWrap/>
            <w:vAlign w:val="center"/>
            <w:hideMark/>
          </w:tcPr>
          <w:p w:rsidR="00306953" w:rsidRPr="00442515" w:rsidRDefault="00306953" w:rsidP="00814350">
            <w:pPr>
              <w:keepNext/>
              <w:spacing w:after="0" w:line="240" w:lineRule="auto"/>
              <w:jc w:val="center"/>
              <w:rPr>
                <w:rFonts w:cs="Arial"/>
                <w:color w:val="000000"/>
                <w:sz w:val="16"/>
                <w:szCs w:val="16"/>
              </w:rPr>
            </w:pPr>
            <w:r w:rsidRPr="00442515">
              <w:rPr>
                <w:rFonts w:cs="Arial"/>
                <w:color w:val="000000"/>
                <w:sz w:val="16"/>
                <w:szCs w:val="16"/>
              </w:rPr>
              <w:t>104</w:t>
            </w:r>
          </w:p>
        </w:tc>
        <w:tc>
          <w:tcPr>
            <w:tcW w:w="960" w:type="dxa"/>
            <w:shd w:val="clear" w:color="auto" w:fill="auto"/>
            <w:noWrap/>
            <w:vAlign w:val="center"/>
            <w:hideMark/>
          </w:tcPr>
          <w:p w:rsidR="00306953" w:rsidRPr="00442515" w:rsidRDefault="00306953" w:rsidP="00814350">
            <w:pPr>
              <w:keepNext/>
              <w:spacing w:after="0" w:line="240" w:lineRule="auto"/>
              <w:jc w:val="center"/>
              <w:rPr>
                <w:rFonts w:cs="Arial"/>
                <w:color w:val="000000"/>
                <w:sz w:val="16"/>
                <w:szCs w:val="16"/>
              </w:rPr>
            </w:pPr>
            <w:r w:rsidRPr="00442515">
              <w:rPr>
                <w:rFonts w:cs="Arial"/>
                <w:color w:val="000000"/>
                <w:sz w:val="16"/>
                <w:szCs w:val="16"/>
              </w:rPr>
              <w:t>103</w:t>
            </w:r>
          </w:p>
        </w:tc>
        <w:tc>
          <w:tcPr>
            <w:tcW w:w="960" w:type="dxa"/>
            <w:shd w:val="clear" w:color="auto" w:fill="auto"/>
            <w:noWrap/>
            <w:vAlign w:val="center"/>
            <w:hideMark/>
          </w:tcPr>
          <w:p w:rsidR="00306953" w:rsidRPr="00442515" w:rsidRDefault="00306953" w:rsidP="00814350">
            <w:pPr>
              <w:keepNext/>
              <w:spacing w:after="0" w:line="240" w:lineRule="auto"/>
              <w:jc w:val="center"/>
              <w:rPr>
                <w:rFonts w:cs="Arial"/>
                <w:color w:val="000000"/>
                <w:sz w:val="16"/>
                <w:szCs w:val="16"/>
              </w:rPr>
            </w:pPr>
            <w:r w:rsidRPr="00442515">
              <w:rPr>
                <w:rFonts w:cs="Arial"/>
                <w:color w:val="000000"/>
                <w:sz w:val="16"/>
                <w:szCs w:val="16"/>
              </w:rPr>
              <w:t>102</w:t>
            </w:r>
          </w:p>
        </w:tc>
        <w:tc>
          <w:tcPr>
            <w:tcW w:w="960" w:type="dxa"/>
            <w:shd w:val="clear" w:color="auto" w:fill="auto"/>
            <w:noWrap/>
            <w:vAlign w:val="center"/>
            <w:hideMark/>
          </w:tcPr>
          <w:p w:rsidR="00306953" w:rsidRPr="00442515" w:rsidRDefault="00306953" w:rsidP="00814350">
            <w:pPr>
              <w:keepNext/>
              <w:spacing w:after="0" w:line="240" w:lineRule="auto"/>
              <w:jc w:val="center"/>
              <w:rPr>
                <w:rFonts w:cs="Arial"/>
                <w:color w:val="000000"/>
                <w:sz w:val="16"/>
                <w:szCs w:val="16"/>
              </w:rPr>
            </w:pPr>
            <w:r w:rsidRPr="00442515">
              <w:rPr>
                <w:rFonts w:cs="Arial"/>
                <w:color w:val="000000"/>
                <w:sz w:val="16"/>
                <w:szCs w:val="16"/>
              </w:rPr>
              <w:t>101</w:t>
            </w:r>
          </w:p>
        </w:tc>
      </w:tr>
      <w:tr w:rsidR="00306953" w:rsidRPr="00442515" w:rsidTr="000C6FC8">
        <w:trPr>
          <w:trHeight w:val="300"/>
        </w:trPr>
        <w:tc>
          <w:tcPr>
            <w:tcW w:w="1716" w:type="dxa"/>
            <w:vMerge/>
            <w:vAlign w:val="center"/>
            <w:hideMark/>
          </w:tcPr>
          <w:p w:rsidR="00306953" w:rsidRPr="00442515" w:rsidRDefault="00306953" w:rsidP="004C55CD">
            <w:pPr>
              <w:spacing w:after="0" w:line="240" w:lineRule="auto"/>
              <w:rPr>
                <w:rFonts w:cs="Arial"/>
                <w:color w:val="000000"/>
                <w:sz w:val="16"/>
                <w:szCs w:val="16"/>
              </w:rPr>
            </w:pPr>
          </w:p>
        </w:tc>
        <w:tc>
          <w:tcPr>
            <w:tcW w:w="1560" w:type="dxa"/>
            <w:shd w:val="clear" w:color="auto" w:fill="auto"/>
            <w:noWrap/>
            <w:vAlign w:val="center"/>
            <w:hideMark/>
          </w:tcPr>
          <w:p w:rsidR="00306953" w:rsidRPr="00442515" w:rsidRDefault="00306953" w:rsidP="004C55CD">
            <w:pPr>
              <w:spacing w:after="0" w:line="240" w:lineRule="auto"/>
              <w:rPr>
                <w:rFonts w:cs="Arial"/>
                <w:color w:val="000000"/>
                <w:sz w:val="16"/>
                <w:szCs w:val="16"/>
              </w:rPr>
            </w:pPr>
            <w:r w:rsidRPr="00442515">
              <w:rPr>
                <w:rFonts w:cs="Arial"/>
                <w:color w:val="000000"/>
                <w:sz w:val="16"/>
                <w:szCs w:val="16"/>
              </w:rPr>
              <w:t>Polsko</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m</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100</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115</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118</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121</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123</w:t>
            </w:r>
          </w:p>
        </w:tc>
      </w:tr>
      <w:tr w:rsidR="00306953" w:rsidRPr="00442515" w:rsidTr="000C6FC8">
        <w:trPr>
          <w:trHeight w:val="300"/>
        </w:trPr>
        <w:tc>
          <w:tcPr>
            <w:tcW w:w="1716" w:type="dxa"/>
            <w:vMerge/>
            <w:vAlign w:val="center"/>
            <w:hideMark/>
          </w:tcPr>
          <w:p w:rsidR="00306953" w:rsidRPr="00442515" w:rsidRDefault="00306953" w:rsidP="004C55CD">
            <w:pPr>
              <w:spacing w:after="0" w:line="240" w:lineRule="auto"/>
              <w:rPr>
                <w:rFonts w:cs="Arial"/>
                <w:color w:val="000000"/>
                <w:sz w:val="16"/>
                <w:szCs w:val="16"/>
              </w:rPr>
            </w:pPr>
          </w:p>
        </w:tc>
        <w:tc>
          <w:tcPr>
            <w:tcW w:w="1560" w:type="dxa"/>
            <w:shd w:val="clear" w:color="auto" w:fill="auto"/>
            <w:noWrap/>
            <w:vAlign w:val="center"/>
            <w:hideMark/>
          </w:tcPr>
          <w:p w:rsidR="00306953" w:rsidRPr="00442515" w:rsidRDefault="00306953" w:rsidP="004C55CD">
            <w:pPr>
              <w:spacing w:after="0" w:line="240" w:lineRule="auto"/>
              <w:rPr>
                <w:rFonts w:cs="Arial"/>
                <w:color w:val="000000"/>
                <w:sz w:val="16"/>
                <w:szCs w:val="16"/>
              </w:rPr>
            </w:pPr>
            <w:r w:rsidRPr="00442515">
              <w:rPr>
                <w:rFonts w:cs="Arial"/>
                <w:color w:val="000000"/>
                <w:sz w:val="16"/>
                <w:szCs w:val="16"/>
              </w:rPr>
              <w:t>Estonsko</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85</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100</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138</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132</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126</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131</w:t>
            </w:r>
          </w:p>
        </w:tc>
      </w:tr>
      <w:tr w:rsidR="00306953" w:rsidRPr="00442515" w:rsidTr="000C6FC8">
        <w:trPr>
          <w:trHeight w:val="300"/>
        </w:trPr>
        <w:tc>
          <w:tcPr>
            <w:tcW w:w="1716" w:type="dxa"/>
            <w:vMerge/>
            <w:vAlign w:val="center"/>
            <w:hideMark/>
          </w:tcPr>
          <w:p w:rsidR="00306953" w:rsidRPr="00442515" w:rsidRDefault="00306953" w:rsidP="004C55CD">
            <w:pPr>
              <w:spacing w:after="0" w:line="240" w:lineRule="auto"/>
              <w:rPr>
                <w:rFonts w:cs="Arial"/>
                <w:color w:val="000000"/>
                <w:sz w:val="16"/>
                <w:szCs w:val="16"/>
              </w:rPr>
            </w:pPr>
          </w:p>
        </w:tc>
        <w:tc>
          <w:tcPr>
            <w:tcW w:w="1560" w:type="dxa"/>
            <w:shd w:val="clear" w:color="auto" w:fill="auto"/>
            <w:noWrap/>
            <w:vAlign w:val="center"/>
            <w:hideMark/>
          </w:tcPr>
          <w:p w:rsidR="00306953" w:rsidRPr="00442515" w:rsidRDefault="00306953" w:rsidP="004C55CD">
            <w:pPr>
              <w:spacing w:after="0" w:line="240" w:lineRule="auto"/>
              <w:rPr>
                <w:rFonts w:cs="Arial"/>
                <w:color w:val="000000"/>
                <w:sz w:val="16"/>
                <w:szCs w:val="16"/>
              </w:rPr>
            </w:pPr>
            <w:r w:rsidRPr="00442515">
              <w:rPr>
                <w:rFonts w:cs="Arial"/>
                <w:color w:val="000000"/>
                <w:sz w:val="16"/>
                <w:szCs w:val="16"/>
              </w:rPr>
              <w:t>Finsko</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88</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100</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107</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106</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104</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103</w:t>
            </w:r>
          </w:p>
        </w:tc>
      </w:tr>
      <w:tr w:rsidR="00306953" w:rsidRPr="00442515" w:rsidTr="000C6FC8">
        <w:trPr>
          <w:trHeight w:val="300"/>
        </w:trPr>
        <w:tc>
          <w:tcPr>
            <w:tcW w:w="1716" w:type="dxa"/>
            <w:vMerge/>
            <w:vAlign w:val="center"/>
            <w:hideMark/>
          </w:tcPr>
          <w:p w:rsidR="00306953" w:rsidRPr="00442515" w:rsidRDefault="00306953" w:rsidP="004C55CD">
            <w:pPr>
              <w:spacing w:after="0" w:line="240" w:lineRule="auto"/>
              <w:rPr>
                <w:rFonts w:cs="Arial"/>
                <w:color w:val="000000"/>
                <w:sz w:val="16"/>
                <w:szCs w:val="16"/>
              </w:rPr>
            </w:pPr>
          </w:p>
        </w:tc>
        <w:tc>
          <w:tcPr>
            <w:tcW w:w="1560" w:type="dxa"/>
            <w:shd w:val="clear" w:color="auto" w:fill="C6D9F1" w:themeFill="text2" w:themeFillTint="33"/>
            <w:noWrap/>
            <w:vAlign w:val="center"/>
            <w:hideMark/>
          </w:tcPr>
          <w:p w:rsidR="00306953" w:rsidRPr="00631582" w:rsidRDefault="00306953" w:rsidP="004C55CD">
            <w:pPr>
              <w:spacing w:after="0" w:line="240" w:lineRule="auto"/>
              <w:rPr>
                <w:rFonts w:cs="Arial"/>
                <w:bCs/>
                <w:iCs/>
                <w:color w:val="000000"/>
                <w:sz w:val="16"/>
                <w:szCs w:val="16"/>
              </w:rPr>
            </w:pPr>
            <w:r w:rsidRPr="00631582">
              <w:rPr>
                <w:rFonts w:cs="Arial"/>
                <w:bCs/>
                <w:iCs/>
                <w:color w:val="000000"/>
                <w:sz w:val="16"/>
                <w:szCs w:val="16"/>
              </w:rPr>
              <w:t>průměr OECD</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90</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100</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105</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104</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101</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102</w:t>
            </w:r>
          </w:p>
        </w:tc>
      </w:tr>
      <w:tr w:rsidR="00306953" w:rsidRPr="00442515" w:rsidTr="000C6FC8">
        <w:trPr>
          <w:trHeight w:val="300"/>
        </w:trPr>
        <w:tc>
          <w:tcPr>
            <w:tcW w:w="1716" w:type="dxa"/>
            <w:vMerge/>
            <w:vAlign w:val="center"/>
            <w:hideMark/>
          </w:tcPr>
          <w:p w:rsidR="00306953" w:rsidRPr="00442515" w:rsidRDefault="00306953" w:rsidP="004C55CD">
            <w:pPr>
              <w:spacing w:after="0" w:line="240" w:lineRule="auto"/>
              <w:rPr>
                <w:rFonts w:cs="Arial"/>
                <w:color w:val="000000"/>
                <w:sz w:val="16"/>
                <w:szCs w:val="16"/>
              </w:rPr>
            </w:pPr>
          </w:p>
        </w:tc>
        <w:tc>
          <w:tcPr>
            <w:tcW w:w="1560" w:type="dxa"/>
            <w:shd w:val="clear" w:color="auto" w:fill="C6D9F1" w:themeFill="text2" w:themeFillTint="33"/>
            <w:vAlign w:val="center"/>
            <w:hideMark/>
          </w:tcPr>
          <w:p w:rsidR="00306953" w:rsidRPr="00631582" w:rsidRDefault="00306953" w:rsidP="004C55CD">
            <w:pPr>
              <w:spacing w:after="0" w:line="240" w:lineRule="auto"/>
              <w:rPr>
                <w:rFonts w:cs="Arial"/>
                <w:bCs/>
                <w:iCs/>
                <w:color w:val="000000"/>
                <w:sz w:val="16"/>
                <w:szCs w:val="16"/>
              </w:rPr>
            </w:pPr>
            <w:r w:rsidRPr="00631582">
              <w:rPr>
                <w:rFonts w:cs="Arial"/>
                <w:bCs/>
                <w:iCs/>
                <w:color w:val="000000"/>
                <w:sz w:val="16"/>
                <w:szCs w:val="16"/>
              </w:rPr>
              <w:t>průměr EU21</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87</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100</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105</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103</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99</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98</w:t>
            </w:r>
          </w:p>
        </w:tc>
      </w:tr>
      <w:tr w:rsidR="00306953" w:rsidRPr="00442515" w:rsidTr="000C6FC8">
        <w:trPr>
          <w:trHeight w:val="300"/>
        </w:trPr>
        <w:tc>
          <w:tcPr>
            <w:tcW w:w="1716" w:type="dxa"/>
            <w:vMerge w:val="restart"/>
            <w:shd w:val="clear" w:color="auto" w:fill="auto"/>
            <w:vAlign w:val="center"/>
            <w:hideMark/>
          </w:tcPr>
          <w:p w:rsidR="00306953" w:rsidRPr="00442515" w:rsidRDefault="00306953" w:rsidP="006C3A39">
            <w:pPr>
              <w:keepNext/>
              <w:spacing w:after="0" w:line="240" w:lineRule="auto"/>
              <w:rPr>
                <w:rFonts w:cs="Arial"/>
                <w:color w:val="000000"/>
                <w:sz w:val="16"/>
                <w:szCs w:val="16"/>
              </w:rPr>
            </w:pPr>
            <w:r w:rsidRPr="00442515">
              <w:rPr>
                <w:rFonts w:cs="Arial"/>
                <w:color w:val="000000"/>
                <w:sz w:val="16"/>
                <w:szCs w:val="16"/>
              </w:rPr>
              <w:t>vyšší sekundární</w:t>
            </w:r>
          </w:p>
        </w:tc>
        <w:tc>
          <w:tcPr>
            <w:tcW w:w="1560" w:type="dxa"/>
            <w:shd w:val="clear" w:color="auto" w:fill="auto"/>
            <w:noWrap/>
            <w:vAlign w:val="center"/>
            <w:hideMark/>
          </w:tcPr>
          <w:p w:rsidR="00306953" w:rsidRPr="00442515" w:rsidRDefault="00306953" w:rsidP="006C3A39">
            <w:pPr>
              <w:keepNext/>
              <w:spacing w:after="0" w:line="240" w:lineRule="auto"/>
              <w:rPr>
                <w:rFonts w:cs="Arial"/>
                <w:color w:val="000000"/>
                <w:sz w:val="16"/>
                <w:szCs w:val="16"/>
              </w:rPr>
            </w:pPr>
            <w:r w:rsidRPr="00442515">
              <w:rPr>
                <w:rFonts w:cs="Arial"/>
                <w:color w:val="000000"/>
                <w:sz w:val="16"/>
                <w:szCs w:val="16"/>
              </w:rPr>
              <w:t>Česká republika</w:t>
            </w:r>
            <w:r w:rsidR="007377BD" w:rsidRPr="007377BD">
              <w:rPr>
                <w:rFonts w:cs="Arial"/>
                <w:color w:val="000000"/>
                <w:sz w:val="16"/>
                <w:szCs w:val="16"/>
                <w:vertAlign w:val="superscript"/>
              </w:rPr>
              <w:t>1)</w:t>
            </w:r>
          </w:p>
        </w:tc>
        <w:tc>
          <w:tcPr>
            <w:tcW w:w="960" w:type="dxa"/>
            <w:shd w:val="clear" w:color="auto" w:fill="auto"/>
            <w:noWrap/>
            <w:vAlign w:val="center"/>
            <w:hideMark/>
          </w:tcPr>
          <w:p w:rsidR="00306953" w:rsidRPr="00442515" w:rsidRDefault="00306953" w:rsidP="006C3A39">
            <w:pPr>
              <w:keepNext/>
              <w:spacing w:after="0" w:line="240" w:lineRule="auto"/>
              <w:jc w:val="center"/>
              <w:rPr>
                <w:rFonts w:cs="Arial"/>
                <w:color w:val="000000"/>
                <w:sz w:val="16"/>
                <w:szCs w:val="16"/>
              </w:rPr>
            </w:pPr>
            <w:r w:rsidRPr="00442515">
              <w:rPr>
                <w:rFonts w:cs="Arial"/>
                <w:color w:val="000000"/>
                <w:sz w:val="16"/>
                <w:szCs w:val="16"/>
              </w:rPr>
              <w:t>66</w:t>
            </w:r>
          </w:p>
        </w:tc>
        <w:tc>
          <w:tcPr>
            <w:tcW w:w="960" w:type="dxa"/>
            <w:shd w:val="clear" w:color="auto" w:fill="auto"/>
            <w:noWrap/>
            <w:vAlign w:val="center"/>
            <w:hideMark/>
          </w:tcPr>
          <w:p w:rsidR="00306953" w:rsidRPr="00442515" w:rsidRDefault="00306953" w:rsidP="006C3A39">
            <w:pPr>
              <w:keepNext/>
              <w:spacing w:after="0" w:line="240" w:lineRule="auto"/>
              <w:jc w:val="center"/>
              <w:rPr>
                <w:rFonts w:cs="Arial"/>
                <w:color w:val="000000"/>
                <w:sz w:val="16"/>
                <w:szCs w:val="16"/>
              </w:rPr>
            </w:pPr>
            <w:r w:rsidRPr="00442515">
              <w:rPr>
                <w:rFonts w:cs="Arial"/>
                <w:color w:val="000000"/>
                <w:sz w:val="16"/>
                <w:szCs w:val="16"/>
              </w:rPr>
              <w:t>100</w:t>
            </w:r>
          </w:p>
        </w:tc>
        <w:tc>
          <w:tcPr>
            <w:tcW w:w="960" w:type="dxa"/>
            <w:shd w:val="clear" w:color="auto" w:fill="auto"/>
            <w:noWrap/>
            <w:vAlign w:val="center"/>
            <w:hideMark/>
          </w:tcPr>
          <w:p w:rsidR="00306953" w:rsidRPr="00442515" w:rsidRDefault="00306953" w:rsidP="006C3A39">
            <w:pPr>
              <w:keepNext/>
              <w:spacing w:after="0" w:line="240" w:lineRule="auto"/>
              <w:jc w:val="center"/>
              <w:rPr>
                <w:rFonts w:cs="Arial"/>
                <w:color w:val="000000"/>
                <w:sz w:val="16"/>
                <w:szCs w:val="16"/>
              </w:rPr>
            </w:pPr>
            <w:r w:rsidRPr="00442515">
              <w:rPr>
                <w:rFonts w:cs="Arial"/>
                <w:color w:val="000000"/>
                <w:sz w:val="16"/>
                <w:szCs w:val="16"/>
              </w:rPr>
              <w:t>117</w:t>
            </w:r>
          </w:p>
        </w:tc>
        <w:tc>
          <w:tcPr>
            <w:tcW w:w="960" w:type="dxa"/>
            <w:shd w:val="clear" w:color="auto" w:fill="auto"/>
            <w:noWrap/>
            <w:vAlign w:val="center"/>
            <w:hideMark/>
          </w:tcPr>
          <w:p w:rsidR="00306953" w:rsidRPr="00442515" w:rsidRDefault="00306953" w:rsidP="006C3A39">
            <w:pPr>
              <w:keepNext/>
              <w:spacing w:after="0" w:line="240" w:lineRule="auto"/>
              <w:jc w:val="center"/>
              <w:rPr>
                <w:rFonts w:cs="Arial"/>
                <w:color w:val="000000"/>
                <w:sz w:val="16"/>
                <w:szCs w:val="16"/>
              </w:rPr>
            </w:pPr>
            <w:r w:rsidRPr="00442515">
              <w:rPr>
                <w:rFonts w:cs="Arial"/>
                <w:color w:val="000000"/>
                <w:sz w:val="16"/>
                <w:szCs w:val="16"/>
              </w:rPr>
              <w:t>117</w:t>
            </w:r>
          </w:p>
        </w:tc>
        <w:tc>
          <w:tcPr>
            <w:tcW w:w="960" w:type="dxa"/>
            <w:shd w:val="clear" w:color="auto" w:fill="auto"/>
            <w:noWrap/>
            <w:vAlign w:val="center"/>
            <w:hideMark/>
          </w:tcPr>
          <w:p w:rsidR="00306953" w:rsidRPr="00442515" w:rsidRDefault="00306953" w:rsidP="006C3A39">
            <w:pPr>
              <w:keepNext/>
              <w:spacing w:after="0" w:line="240" w:lineRule="auto"/>
              <w:jc w:val="center"/>
              <w:rPr>
                <w:rFonts w:cs="Arial"/>
                <w:color w:val="000000"/>
                <w:sz w:val="16"/>
                <w:szCs w:val="16"/>
              </w:rPr>
            </w:pPr>
            <w:r w:rsidRPr="00442515">
              <w:rPr>
                <w:rFonts w:cs="Arial"/>
                <w:color w:val="000000"/>
                <w:sz w:val="16"/>
                <w:szCs w:val="16"/>
              </w:rPr>
              <w:t>87</w:t>
            </w:r>
          </w:p>
        </w:tc>
        <w:tc>
          <w:tcPr>
            <w:tcW w:w="960" w:type="dxa"/>
            <w:shd w:val="clear" w:color="auto" w:fill="auto"/>
            <w:noWrap/>
            <w:vAlign w:val="center"/>
            <w:hideMark/>
          </w:tcPr>
          <w:p w:rsidR="00306953" w:rsidRPr="00442515" w:rsidRDefault="00306953" w:rsidP="006C3A39">
            <w:pPr>
              <w:keepNext/>
              <w:spacing w:after="0" w:line="240" w:lineRule="auto"/>
              <w:jc w:val="center"/>
              <w:rPr>
                <w:rFonts w:cs="Arial"/>
                <w:color w:val="000000"/>
                <w:sz w:val="16"/>
                <w:szCs w:val="16"/>
              </w:rPr>
            </w:pPr>
            <w:r w:rsidRPr="00442515">
              <w:rPr>
                <w:rFonts w:cs="Arial"/>
                <w:color w:val="000000"/>
                <w:sz w:val="16"/>
                <w:szCs w:val="16"/>
              </w:rPr>
              <w:t>85</w:t>
            </w:r>
          </w:p>
        </w:tc>
      </w:tr>
      <w:tr w:rsidR="00306953" w:rsidRPr="00442515" w:rsidTr="000C6FC8">
        <w:trPr>
          <w:trHeight w:val="300"/>
        </w:trPr>
        <w:tc>
          <w:tcPr>
            <w:tcW w:w="1716" w:type="dxa"/>
            <w:vMerge/>
            <w:vAlign w:val="center"/>
            <w:hideMark/>
          </w:tcPr>
          <w:p w:rsidR="00306953" w:rsidRPr="00442515" w:rsidRDefault="00306953" w:rsidP="00306953">
            <w:pPr>
              <w:spacing w:after="0" w:line="240" w:lineRule="auto"/>
              <w:rPr>
                <w:rFonts w:cs="Arial"/>
                <w:color w:val="000000"/>
                <w:sz w:val="16"/>
                <w:szCs w:val="16"/>
              </w:rPr>
            </w:pPr>
          </w:p>
        </w:tc>
        <w:tc>
          <w:tcPr>
            <w:tcW w:w="1560" w:type="dxa"/>
            <w:shd w:val="clear" w:color="auto" w:fill="auto"/>
            <w:noWrap/>
            <w:vAlign w:val="center"/>
            <w:hideMark/>
          </w:tcPr>
          <w:p w:rsidR="00306953" w:rsidRPr="00442515" w:rsidRDefault="00306953" w:rsidP="004C55CD">
            <w:pPr>
              <w:spacing w:after="0" w:line="240" w:lineRule="auto"/>
              <w:rPr>
                <w:rFonts w:cs="Arial"/>
                <w:color w:val="000000"/>
                <w:sz w:val="16"/>
                <w:szCs w:val="16"/>
              </w:rPr>
            </w:pPr>
            <w:r w:rsidRPr="00442515">
              <w:rPr>
                <w:rFonts w:cs="Arial"/>
                <w:color w:val="000000"/>
                <w:sz w:val="16"/>
                <w:szCs w:val="16"/>
              </w:rPr>
              <w:t>Rakousko</w:t>
            </w:r>
            <w:r w:rsidR="007377BD" w:rsidRPr="007377BD">
              <w:rPr>
                <w:rFonts w:eastAsia="ChaparralPro-Regular" w:cs="Arial"/>
                <w:sz w:val="16"/>
                <w:szCs w:val="16"/>
                <w:vertAlign w:val="superscript"/>
              </w:rPr>
              <w:t>3)</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95</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100</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110</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109</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108</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107</w:t>
            </w:r>
          </w:p>
        </w:tc>
      </w:tr>
      <w:tr w:rsidR="00306953" w:rsidRPr="00442515" w:rsidTr="000C6FC8">
        <w:trPr>
          <w:trHeight w:val="300"/>
        </w:trPr>
        <w:tc>
          <w:tcPr>
            <w:tcW w:w="1716" w:type="dxa"/>
            <w:vMerge/>
            <w:vAlign w:val="center"/>
            <w:hideMark/>
          </w:tcPr>
          <w:p w:rsidR="00306953" w:rsidRPr="00442515" w:rsidRDefault="00306953" w:rsidP="00306953">
            <w:pPr>
              <w:spacing w:after="0" w:line="240" w:lineRule="auto"/>
              <w:rPr>
                <w:rFonts w:cs="Arial"/>
                <w:color w:val="000000"/>
                <w:sz w:val="16"/>
                <w:szCs w:val="16"/>
              </w:rPr>
            </w:pPr>
          </w:p>
        </w:tc>
        <w:tc>
          <w:tcPr>
            <w:tcW w:w="1560" w:type="dxa"/>
            <w:shd w:val="clear" w:color="auto" w:fill="auto"/>
            <w:noWrap/>
            <w:vAlign w:val="center"/>
            <w:hideMark/>
          </w:tcPr>
          <w:p w:rsidR="00306953" w:rsidRPr="00442515" w:rsidRDefault="00306953" w:rsidP="004C55CD">
            <w:pPr>
              <w:spacing w:after="0" w:line="240" w:lineRule="auto"/>
              <w:rPr>
                <w:rFonts w:cs="Arial"/>
                <w:color w:val="000000"/>
                <w:sz w:val="16"/>
                <w:szCs w:val="16"/>
              </w:rPr>
            </w:pPr>
            <w:r w:rsidRPr="00442515">
              <w:rPr>
                <w:rFonts w:cs="Arial"/>
                <w:color w:val="000000"/>
                <w:sz w:val="16"/>
                <w:szCs w:val="16"/>
              </w:rPr>
              <w:t>Polsko</w:t>
            </w:r>
          </w:p>
        </w:tc>
        <w:tc>
          <w:tcPr>
            <w:tcW w:w="960" w:type="dxa"/>
            <w:shd w:val="clear" w:color="auto" w:fill="auto"/>
            <w:noWrap/>
            <w:vAlign w:val="center"/>
            <w:hideMark/>
          </w:tcPr>
          <w:p w:rsidR="00306953" w:rsidRPr="00E32963" w:rsidRDefault="00E32963" w:rsidP="004C55CD">
            <w:pPr>
              <w:spacing w:after="0" w:line="240" w:lineRule="auto"/>
              <w:jc w:val="center"/>
              <w:rPr>
                <w:rFonts w:cs="Arial"/>
                <w:b/>
                <w:color w:val="000000"/>
                <w:sz w:val="16"/>
                <w:szCs w:val="16"/>
              </w:rPr>
            </w:pPr>
            <w:r w:rsidRPr="00E32963">
              <w:rPr>
                <w:rFonts w:cs="Arial"/>
                <w:b/>
                <w:color w:val="000000"/>
                <w:sz w:val="16"/>
                <w:szCs w:val="16"/>
              </w:rPr>
              <w:t>.</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100</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113</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117</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120</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122</w:t>
            </w:r>
          </w:p>
        </w:tc>
      </w:tr>
      <w:tr w:rsidR="00306953" w:rsidRPr="00442515" w:rsidTr="000C6FC8">
        <w:trPr>
          <w:trHeight w:val="300"/>
        </w:trPr>
        <w:tc>
          <w:tcPr>
            <w:tcW w:w="1716" w:type="dxa"/>
            <w:vMerge/>
            <w:vAlign w:val="center"/>
            <w:hideMark/>
          </w:tcPr>
          <w:p w:rsidR="00306953" w:rsidRPr="00442515" w:rsidRDefault="00306953" w:rsidP="00306953">
            <w:pPr>
              <w:spacing w:after="0" w:line="240" w:lineRule="auto"/>
              <w:rPr>
                <w:rFonts w:cs="Arial"/>
                <w:color w:val="000000"/>
                <w:sz w:val="16"/>
                <w:szCs w:val="16"/>
              </w:rPr>
            </w:pPr>
          </w:p>
        </w:tc>
        <w:tc>
          <w:tcPr>
            <w:tcW w:w="1560" w:type="dxa"/>
            <w:shd w:val="clear" w:color="auto" w:fill="auto"/>
            <w:noWrap/>
            <w:vAlign w:val="center"/>
            <w:hideMark/>
          </w:tcPr>
          <w:p w:rsidR="00306953" w:rsidRPr="00442515" w:rsidRDefault="00306953" w:rsidP="004C55CD">
            <w:pPr>
              <w:spacing w:after="0" w:line="240" w:lineRule="auto"/>
              <w:rPr>
                <w:rFonts w:cs="Arial"/>
                <w:color w:val="000000"/>
                <w:sz w:val="16"/>
                <w:szCs w:val="16"/>
              </w:rPr>
            </w:pPr>
            <w:r w:rsidRPr="00442515">
              <w:rPr>
                <w:rFonts w:cs="Arial"/>
                <w:color w:val="000000"/>
                <w:sz w:val="16"/>
                <w:szCs w:val="16"/>
              </w:rPr>
              <w:t>Estonsko</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85</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100</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138</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132</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126</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131</w:t>
            </w:r>
          </w:p>
        </w:tc>
      </w:tr>
      <w:tr w:rsidR="00306953" w:rsidRPr="00442515" w:rsidTr="000C6FC8">
        <w:trPr>
          <w:trHeight w:val="300"/>
        </w:trPr>
        <w:tc>
          <w:tcPr>
            <w:tcW w:w="1716" w:type="dxa"/>
            <w:vMerge/>
            <w:vAlign w:val="center"/>
            <w:hideMark/>
          </w:tcPr>
          <w:p w:rsidR="00306953" w:rsidRPr="00442515" w:rsidRDefault="00306953" w:rsidP="00306953">
            <w:pPr>
              <w:spacing w:after="0" w:line="240" w:lineRule="auto"/>
              <w:rPr>
                <w:rFonts w:cs="Arial"/>
                <w:color w:val="000000"/>
                <w:sz w:val="16"/>
                <w:szCs w:val="16"/>
              </w:rPr>
            </w:pPr>
          </w:p>
        </w:tc>
        <w:tc>
          <w:tcPr>
            <w:tcW w:w="1560" w:type="dxa"/>
            <w:shd w:val="clear" w:color="auto" w:fill="auto"/>
            <w:noWrap/>
            <w:vAlign w:val="center"/>
            <w:hideMark/>
          </w:tcPr>
          <w:p w:rsidR="00306953" w:rsidRPr="00442515" w:rsidRDefault="00306953" w:rsidP="004C55CD">
            <w:pPr>
              <w:spacing w:after="0" w:line="240" w:lineRule="auto"/>
              <w:rPr>
                <w:rFonts w:cs="Arial"/>
                <w:color w:val="000000"/>
                <w:sz w:val="16"/>
                <w:szCs w:val="16"/>
              </w:rPr>
            </w:pPr>
            <w:r w:rsidRPr="00442515">
              <w:rPr>
                <w:rFonts w:cs="Arial"/>
                <w:color w:val="000000"/>
                <w:sz w:val="16"/>
                <w:szCs w:val="16"/>
              </w:rPr>
              <w:t>Finsko</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92</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100</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107</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106</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107</w:t>
            </w:r>
          </w:p>
        </w:tc>
        <w:tc>
          <w:tcPr>
            <w:tcW w:w="960" w:type="dxa"/>
            <w:shd w:val="clear" w:color="auto" w:fill="auto"/>
            <w:noWrap/>
            <w:vAlign w:val="center"/>
            <w:hideMark/>
          </w:tcPr>
          <w:p w:rsidR="00306953" w:rsidRPr="00442515" w:rsidRDefault="00306953" w:rsidP="004C55CD">
            <w:pPr>
              <w:spacing w:after="0" w:line="240" w:lineRule="auto"/>
              <w:jc w:val="center"/>
              <w:rPr>
                <w:rFonts w:cs="Arial"/>
                <w:color w:val="000000"/>
                <w:sz w:val="16"/>
                <w:szCs w:val="16"/>
              </w:rPr>
            </w:pPr>
            <w:r w:rsidRPr="00442515">
              <w:rPr>
                <w:rFonts w:cs="Arial"/>
                <w:color w:val="000000"/>
                <w:sz w:val="16"/>
                <w:szCs w:val="16"/>
              </w:rPr>
              <w:t>105</w:t>
            </w:r>
          </w:p>
        </w:tc>
      </w:tr>
      <w:tr w:rsidR="00306953" w:rsidRPr="007E5BD0" w:rsidTr="000C6FC8">
        <w:trPr>
          <w:trHeight w:val="300"/>
        </w:trPr>
        <w:tc>
          <w:tcPr>
            <w:tcW w:w="1716" w:type="dxa"/>
            <w:vMerge/>
            <w:vAlign w:val="center"/>
            <w:hideMark/>
          </w:tcPr>
          <w:p w:rsidR="00306953" w:rsidRPr="00442515" w:rsidRDefault="00306953" w:rsidP="00306953">
            <w:pPr>
              <w:spacing w:after="0" w:line="240" w:lineRule="auto"/>
              <w:rPr>
                <w:rFonts w:cs="Arial"/>
                <w:color w:val="000000"/>
                <w:sz w:val="16"/>
                <w:szCs w:val="16"/>
              </w:rPr>
            </w:pPr>
          </w:p>
        </w:tc>
        <w:tc>
          <w:tcPr>
            <w:tcW w:w="1560" w:type="dxa"/>
            <w:shd w:val="clear" w:color="auto" w:fill="C6D9F1" w:themeFill="text2" w:themeFillTint="33"/>
            <w:noWrap/>
            <w:vAlign w:val="center"/>
            <w:hideMark/>
          </w:tcPr>
          <w:p w:rsidR="00306953" w:rsidRPr="00631582" w:rsidRDefault="00306953" w:rsidP="004C55CD">
            <w:pPr>
              <w:spacing w:after="0" w:line="240" w:lineRule="auto"/>
              <w:rPr>
                <w:rFonts w:cs="Arial"/>
                <w:bCs/>
                <w:iCs/>
                <w:color w:val="000000"/>
                <w:sz w:val="16"/>
                <w:szCs w:val="16"/>
              </w:rPr>
            </w:pPr>
            <w:r w:rsidRPr="00631582">
              <w:rPr>
                <w:rFonts w:cs="Arial"/>
                <w:bCs/>
                <w:iCs/>
                <w:color w:val="000000"/>
                <w:sz w:val="16"/>
                <w:szCs w:val="16"/>
              </w:rPr>
              <w:t>průměr OECD</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92</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100</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104</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103</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100</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101</w:t>
            </w:r>
          </w:p>
        </w:tc>
      </w:tr>
      <w:tr w:rsidR="00306953" w:rsidRPr="007E5BD0" w:rsidTr="000C6FC8">
        <w:trPr>
          <w:trHeight w:val="300"/>
        </w:trPr>
        <w:tc>
          <w:tcPr>
            <w:tcW w:w="1716" w:type="dxa"/>
            <w:vMerge/>
            <w:vAlign w:val="center"/>
            <w:hideMark/>
          </w:tcPr>
          <w:p w:rsidR="00306953" w:rsidRPr="00442515" w:rsidRDefault="00306953" w:rsidP="00306953">
            <w:pPr>
              <w:spacing w:after="0" w:line="240" w:lineRule="auto"/>
              <w:rPr>
                <w:rFonts w:cs="Arial"/>
                <w:color w:val="000000"/>
                <w:sz w:val="16"/>
                <w:szCs w:val="16"/>
              </w:rPr>
            </w:pPr>
          </w:p>
        </w:tc>
        <w:tc>
          <w:tcPr>
            <w:tcW w:w="1560" w:type="dxa"/>
            <w:shd w:val="clear" w:color="auto" w:fill="C6D9F1" w:themeFill="text2" w:themeFillTint="33"/>
            <w:vAlign w:val="center"/>
            <w:hideMark/>
          </w:tcPr>
          <w:p w:rsidR="00306953" w:rsidRPr="00631582" w:rsidRDefault="00306953" w:rsidP="004C55CD">
            <w:pPr>
              <w:spacing w:after="0" w:line="240" w:lineRule="auto"/>
              <w:rPr>
                <w:rFonts w:cs="Arial"/>
                <w:bCs/>
                <w:iCs/>
                <w:color w:val="000000"/>
                <w:sz w:val="16"/>
                <w:szCs w:val="16"/>
              </w:rPr>
            </w:pPr>
            <w:r w:rsidRPr="00631582">
              <w:rPr>
                <w:rFonts w:cs="Arial"/>
                <w:bCs/>
                <w:iCs/>
                <w:color w:val="000000"/>
                <w:sz w:val="16"/>
                <w:szCs w:val="16"/>
              </w:rPr>
              <w:t>průměr EU21</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90</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100</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105</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103</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98</w:t>
            </w:r>
          </w:p>
        </w:tc>
        <w:tc>
          <w:tcPr>
            <w:tcW w:w="96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color w:val="000000"/>
                <w:sz w:val="16"/>
                <w:szCs w:val="16"/>
              </w:rPr>
            </w:pPr>
            <w:r w:rsidRPr="00631582">
              <w:rPr>
                <w:rFonts w:cs="Arial"/>
                <w:bCs/>
                <w:color w:val="000000"/>
                <w:sz w:val="16"/>
                <w:szCs w:val="16"/>
              </w:rPr>
              <w:t>98</w:t>
            </w:r>
          </w:p>
        </w:tc>
      </w:tr>
    </w:tbl>
    <w:p w:rsidR="007377BD" w:rsidRDefault="007377BD" w:rsidP="007377BD">
      <w:pPr>
        <w:autoSpaceDE w:val="0"/>
        <w:autoSpaceDN w:val="0"/>
        <w:adjustRightInd w:val="0"/>
        <w:spacing w:before="120" w:after="0" w:line="240" w:lineRule="auto"/>
        <w:jc w:val="both"/>
        <w:rPr>
          <w:rFonts w:eastAsia="ChaparralPro-Regular" w:cs="Arial"/>
          <w:sz w:val="16"/>
          <w:szCs w:val="16"/>
        </w:rPr>
      </w:pPr>
      <w:r w:rsidRPr="007377BD">
        <w:rPr>
          <w:rFonts w:cs="Arial"/>
          <w:color w:val="000000"/>
          <w:sz w:val="16"/>
          <w:szCs w:val="16"/>
          <w:vertAlign w:val="superscript"/>
        </w:rPr>
        <w:t>1)</w:t>
      </w:r>
      <w:r>
        <w:rPr>
          <w:rFonts w:eastAsia="ChaparralPro-Regular" w:cs="Arial"/>
          <w:sz w:val="16"/>
          <w:szCs w:val="16"/>
        </w:rPr>
        <w:t xml:space="preserve"> V</w:t>
      </w:r>
      <w:r w:rsidR="00306953" w:rsidRPr="00442515">
        <w:rPr>
          <w:rFonts w:eastAsia="ChaparralPro-Regular" w:cs="Arial"/>
          <w:sz w:val="16"/>
          <w:szCs w:val="16"/>
        </w:rPr>
        <w:t> ČR došlo v roce 2012 k metodickým změnám, díky kterým nejsou údaje v čase plně srovnatelné.</w:t>
      </w:r>
      <w:r w:rsidR="00306953" w:rsidRPr="00442515">
        <w:rPr>
          <w:rStyle w:val="Znakapoznpodarou"/>
          <w:rFonts w:eastAsia="ChaparralPro-Regular" w:cs="Arial"/>
          <w:sz w:val="16"/>
          <w:szCs w:val="16"/>
        </w:rPr>
        <w:footnoteReference w:id="15"/>
      </w:r>
    </w:p>
    <w:p w:rsidR="007377BD" w:rsidRPr="007377BD" w:rsidRDefault="007377BD" w:rsidP="007377BD">
      <w:pPr>
        <w:autoSpaceDE w:val="0"/>
        <w:autoSpaceDN w:val="0"/>
        <w:adjustRightInd w:val="0"/>
        <w:spacing w:after="0" w:line="240" w:lineRule="auto"/>
        <w:jc w:val="both"/>
        <w:rPr>
          <w:rFonts w:eastAsia="ChaparralPro-Regular" w:cs="Arial"/>
          <w:sz w:val="16"/>
          <w:szCs w:val="16"/>
        </w:rPr>
      </w:pPr>
      <w:r w:rsidRPr="007377BD">
        <w:rPr>
          <w:rFonts w:eastAsia="ChaparralPro-Regular" w:cs="Arial"/>
          <w:sz w:val="16"/>
          <w:szCs w:val="16"/>
          <w:vertAlign w:val="superscript"/>
        </w:rPr>
        <w:t>2)</w:t>
      </w:r>
      <w:r>
        <w:rPr>
          <w:rFonts w:eastAsia="ChaparralPro-Regular" w:cs="Arial"/>
          <w:sz w:val="16"/>
          <w:szCs w:val="16"/>
        </w:rPr>
        <w:t xml:space="preserve"> Ú</w:t>
      </w:r>
      <w:r w:rsidRPr="00442515">
        <w:rPr>
          <w:rFonts w:eastAsia="ChaparralPro-Regular" w:cs="Arial"/>
          <w:sz w:val="16"/>
          <w:szCs w:val="16"/>
        </w:rPr>
        <w:t xml:space="preserve">daje za </w:t>
      </w:r>
      <w:r>
        <w:rPr>
          <w:rFonts w:eastAsia="ChaparralPro-Regular" w:cs="Arial"/>
          <w:sz w:val="16"/>
          <w:szCs w:val="16"/>
        </w:rPr>
        <w:t xml:space="preserve">preprimární vzdělávání se </w:t>
      </w:r>
      <w:r w:rsidRPr="00442515">
        <w:rPr>
          <w:rFonts w:eastAsia="ChaparralPro-Regular" w:cs="Arial"/>
          <w:sz w:val="16"/>
          <w:szCs w:val="16"/>
        </w:rPr>
        <w:t xml:space="preserve">v Rakousku týkají pouze učitelů primárního vzdělávání - tj. učitelů, kteří vyučují na školách primárního vzdělávání, avšak ve třídách pro předškolní děti. </w:t>
      </w:r>
    </w:p>
    <w:p w:rsidR="007377BD" w:rsidRDefault="007377BD" w:rsidP="007377BD">
      <w:pPr>
        <w:autoSpaceDE w:val="0"/>
        <w:autoSpaceDN w:val="0"/>
        <w:adjustRightInd w:val="0"/>
        <w:spacing w:after="0" w:line="240" w:lineRule="auto"/>
        <w:jc w:val="both"/>
        <w:rPr>
          <w:rFonts w:eastAsia="ChaparralPro-Regular" w:cs="Arial"/>
          <w:sz w:val="16"/>
          <w:szCs w:val="16"/>
        </w:rPr>
      </w:pPr>
      <w:r>
        <w:rPr>
          <w:rFonts w:eastAsia="ChaparralPro-Regular" w:cs="Arial"/>
          <w:sz w:val="16"/>
          <w:szCs w:val="16"/>
          <w:vertAlign w:val="superscript"/>
        </w:rPr>
        <w:t>3</w:t>
      </w:r>
      <w:r w:rsidRPr="007377BD">
        <w:rPr>
          <w:rFonts w:eastAsia="ChaparralPro-Regular" w:cs="Arial"/>
          <w:sz w:val="16"/>
          <w:szCs w:val="16"/>
          <w:vertAlign w:val="superscript"/>
        </w:rPr>
        <w:t>)</w:t>
      </w:r>
      <w:r w:rsidR="00E52654">
        <w:rPr>
          <w:rFonts w:eastAsia="ChaparralPro-Regular" w:cs="Arial"/>
          <w:sz w:val="16"/>
          <w:szCs w:val="16"/>
        </w:rPr>
        <w:t> </w:t>
      </w:r>
      <w:r>
        <w:rPr>
          <w:rFonts w:eastAsia="ChaparralPro-Regular" w:cs="Arial"/>
          <w:sz w:val="16"/>
          <w:szCs w:val="16"/>
        </w:rPr>
        <w:t xml:space="preserve">V </w:t>
      </w:r>
      <w:r w:rsidR="00E52654">
        <w:rPr>
          <w:rFonts w:eastAsia="ChaparralPro-Regular" w:cs="Arial"/>
          <w:sz w:val="16"/>
          <w:szCs w:val="16"/>
        </w:rPr>
        <w:t>Rakousku došlo v </w:t>
      </w:r>
      <w:r w:rsidR="00306953" w:rsidRPr="00442515">
        <w:rPr>
          <w:rFonts w:eastAsia="ChaparralPro-Regular" w:cs="Arial"/>
          <w:sz w:val="16"/>
          <w:szCs w:val="16"/>
        </w:rPr>
        <w:t xml:space="preserve">případě vyššího sekundárního vzdělávání v roce 2007 k metodologickým změnám, díky kterým nejsou údaje v čase plně srovnatelné. </w:t>
      </w:r>
    </w:p>
    <w:p w:rsidR="00E32963" w:rsidRDefault="00E32963" w:rsidP="007377BD">
      <w:pPr>
        <w:autoSpaceDE w:val="0"/>
        <w:autoSpaceDN w:val="0"/>
        <w:adjustRightInd w:val="0"/>
        <w:spacing w:after="0" w:line="240" w:lineRule="auto"/>
        <w:jc w:val="both"/>
        <w:rPr>
          <w:rFonts w:eastAsia="ChaparralPro-Regular" w:cs="Arial"/>
          <w:sz w:val="16"/>
          <w:szCs w:val="16"/>
        </w:rPr>
      </w:pPr>
      <w:r w:rsidRPr="00E32963">
        <w:rPr>
          <w:rFonts w:eastAsia="ChaparralPro-Regular" w:cs="Arial"/>
          <w:b/>
          <w:sz w:val="16"/>
          <w:szCs w:val="16"/>
        </w:rPr>
        <w:t>.</w:t>
      </w:r>
      <w:r>
        <w:rPr>
          <w:rFonts w:eastAsia="ChaparralPro-Regular" w:cs="Arial"/>
          <w:sz w:val="16"/>
          <w:szCs w:val="16"/>
        </w:rPr>
        <w:t xml:space="preserve">  značí, že data nejsou k dispozici.</w:t>
      </w:r>
    </w:p>
    <w:p w:rsidR="00306953" w:rsidRPr="00442515" w:rsidRDefault="00306953" w:rsidP="00306953">
      <w:pPr>
        <w:spacing w:after="0" w:line="240" w:lineRule="auto"/>
        <w:jc w:val="both"/>
        <w:rPr>
          <w:rFonts w:eastAsia="ChaparralPro-Regular" w:cs="Arial"/>
          <w:sz w:val="16"/>
          <w:szCs w:val="16"/>
        </w:rPr>
      </w:pPr>
      <w:r w:rsidRPr="00442515">
        <w:rPr>
          <w:rFonts w:eastAsia="ChaparralPro-Regular" w:cs="Arial"/>
          <w:sz w:val="16"/>
          <w:szCs w:val="16"/>
        </w:rPr>
        <w:t xml:space="preserve">Zdroj: OECD 2015, tabulka D 3.5b (web only). Dostupné z: </w:t>
      </w:r>
      <w:hyperlink r:id="rId152" w:history="1">
        <w:r w:rsidRPr="00442515">
          <w:rPr>
            <w:rStyle w:val="Hypertextovodkaz"/>
            <w:rFonts w:eastAsia="ChaparralPro-Regular" w:cs="Arial"/>
            <w:sz w:val="16"/>
            <w:szCs w:val="16"/>
          </w:rPr>
          <w:t>http://www.oecd.org/edu/educationataglance2015indicators.htm</w:t>
        </w:r>
      </w:hyperlink>
      <w:r w:rsidRPr="00442515">
        <w:rPr>
          <w:rFonts w:eastAsia="ChaparralPro-Regular" w:cs="Arial"/>
          <w:sz w:val="16"/>
          <w:szCs w:val="16"/>
        </w:rPr>
        <w:t>, výběr údajů ČSÚ.</w:t>
      </w:r>
    </w:p>
    <w:p w:rsidR="00306953" w:rsidRPr="00BD11FB" w:rsidRDefault="00306953" w:rsidP="00306953">
      <w:pPr>
        <w:autoSpaceDE w:val="0"/>
        <w:autoSpaceDN w:val="0"/>
        <w:adjustRightInd w:val="0"/>
        <w:spacing w:after="0" w:line="240" w:lineRule="auto"/>
        <w:jc w:val="both"/>
        <w:rPr>
          <w:rFonts w:eastAsia="ChaparralPro-Regular" w:cs="Arial"/>
          <w:sz w:val="12"/>
          <w:szCs w:val="12"/>
        </w:rPr>
      </w:pPr>
    </w:p>
    <w:p w:rsidR="00306953" w:rsidRPr="00BD11FB" w:rsidRDefault="00306953" w:rsidP="00BD11FB">
      <w:pPr>
        <w:autoSpaceDE w:val="0"/>
        <w:autoSpaceDN w:val="0"/>
        <w:adjustRightInd w:val="0"/>
        <w:spacing w:after="120" w:line="240" w:lineRule="auto"/>
        <w:jc w:val="both"/>
        <w:rPr>
          <w:rFonts w:eastAsia="ChaparralPro-Regular" w:cs="Arial"/>
        </w:rPr>
      </w:pPr>
      <w:r w:rsidRPr="00306953">
        <w:rPr>
          <w:rFonts w:eastAsia="ChaparralPro-Regular" w:cs="Arial"/>
        </w:rPr>
        <w:t>Z výsledků dosud prezentovaných v této kapitole je zřejmé, že na mzdy učitelů byly ve sledovaných letech v ČR vydávány v mezinárodním srovnání relativně nízké finanční prostředky a v průběhu profesní dráhy učitele docházelo v mezinárodním srovnání k podprůměrnému růstu platu. Přitom v čase měly platy učitelů (s patnáctiletou praxí převedené na konstantní ceny a ošetřené deflátorem pro soukromou spotřebu) tendenci spíše klesat</w:t>
      </w:r>
      <w:r w:rsidRPr="00306953">
        <w:rPr>
          <w:rFonts w:eastAsia="ChaparralPro-Regular" w:cs="Arial"/>
          <w:color w:val="FF0000"/>
        </w:rPr>
        <w:t>.</w:t>
      </w:r>
      <w:r w:rsidRPr="00306953">
        <w:rPr>
          <w:rFonts w:eastAsia="ChaparralPro-Regular" w:cs="Arial"/>
        </w:rPr>
        <w:t xml:space="preserve"> Jak bylo však v úvodu předesláno, na motivaci učitelů setrvat ve své profesi (popř. na motivaci absolventů stát se učiteli) působí též </w:t>
      </w:r>
      <w:r w:rsidRPr="00306953">
        <w:rPr>
          <w:rFonts w:eastAsia="ChaparralPro-Regular" w:cs="Arial"/>
          <w:b/>
        </w:rPr>
        <w:t>srovnání finančního ohodnocení učitelské profese s finančním ohodnocením jiných povolání terciárně vzdělaných osob</w:t>
      </w:r>
      <w:r w:rsidRPr="00306953">
        <w:rPr>
          <w:rFonts w:eastAsia="ChaparralPro-Regular" w:cs="Arial"/>
        </w:rPr>
        <w:t xml:space="preserve">. V tomto ohledu je možné konstatovat, že skutečný plat učitelů ve věku 25–64 let i zákonné platy </w:t>
      </w:r>
      <w:r w:rsidR="00E52654">
        <w:rPr>
          <w:rFonts w:eastAsia="ChaparralPro-Regular" w:cs="Arial"/>
        </w:rPr>
        <w:t>učitelů s patnáctiletou praxí a </w:t>
      </w:r>
      <w:r w:rsidRPr="00306953">
        <w:rPr>
          <w:rFonts w:eastAsia="ChaparralPro-Regular" w:cs="Arial"/>
        </w:rPr>
        <w:t xml:space="preserve">typickou kvalifikací působících na </w:t>
      </w:r>
      <w:r w:rsidRPr="00306953">
        <w:rPr>
          <w:rFonts w:eastAsia="ChaparralPro-Regular" w:cs="Arial"/>
          <w:b/>
        </w:rPr>
        <w:t>nižší sekundární úrovni</w:t>
      </w:r>
      <w:r w:rsidRPr="00306953">
        <w:rPr>
          <w:rFonts w:eastAsia="ChaparralPro-Regular" w:cs="Arial"/>
        </w:rPr>
        <w:t xml:space="preserve"> </w:t>
      </w:r>
      <w:r w:rsidRPr="00306953">
        <w:rPr>
          <w:rFonts w:eastAsia="ChaparralPro-Regular" w:cs="Arial"/>
          <w:b/>
        </w:rPr>
        <w:t>vzdělávání</w:t>
      </w:r>
      <w:r w:rsidRPr="00306953">
        <w:rPr>
          <w:rFonts w:eastAsia="ChaparralPro-Regular" w:cs="Arial"/>
        </w:rPr>
        <w:t xml:space="preserve"> </w:t>
      </w:r>
      <w:r w:rsidRPr="00306953">
        <w:rPr>
          <w:rFonts w:eastAsia="ChaparralPro-Regular" w:cs="Arial"/>
          <w:b/>
        </w:rPr>
        <w:t>ve veřejných školách</w:t>
      </w:r>
      <w:r w:rsidR="00E52654">
        <w:rPr>
          <w:rFonts w:eastAsia="ChaparralPro-Regular" w:cs="Arial"/>
        </w:rPr>
        <w:t xml:space="preserve"> činily v </w:t>
      </w:r>
      <w:r w:rsidRPr="00306953">
        <w:rPr>
          <w:rFonts w:eastAsia="ChaparralPro-Regular" w:cs="Arial"/>
        </w:rPr>
        <w:t>roce 2013 v ČR pouze cca polovinu průměrného platu vysokoškolsky vzdělaného člověka ve věku 25–64 let pracujícího na plný úvazek po celý rok (52 %, resp. 45 %), což je mezi zeměmi OECD s dostupnými daty nejnižší podíl.</w:t>
      </w:r>
      <w:r w:rsidRPr="00306953">
        <w:rPr>
          <w:rStyle w:val="Znakapoznpodarou"/>
          <w:rFonts w:eastAsia="ChaparralPro-Regular" w:cs="Arial"/>
        </w:rPr>
        <w:t xml:space="preserve"> </w:t>
      </w:r>
      <w:r w:rsidRPr="00306953">
        <w:rPr>
          <w:rFonts w:eastAsia="ChaparralPro-Regular" w:cs="Arial"/>
        </w:rPr>
        <w:t>V průměru za země OECD to byly čtyři pětiny a sledujeme-li skutečné platy učitelů, Polsko dosáhlo nadprůměrně pozitivní</w:t>
      </w:r>
      <w:r w:rsidR="00EC2AEB">
        <w:rPr>
          <w:rFonts w:eastAsia="ChaparralPro-Regular" w:cs="Arial"/>
        </w:rPr>
        <w:t>ho výsled</w:t>
      </w:r>
      <w:r w:rsidRPr="00306953">
        <w:rPr>
          <w:rFonts w:eastAsia="ChaparralPro-Regular" w:cs="Arial"/>
        </w:rPr>
        <w:t>k</w:t>
      </w:r>
      <w:r w:rsidR="00EC2AEB">
        <w:rPr>
          <w:rFonts w:eastAsia="ChaparralPro-Regular" w:cs="Arial"/>
        </w:rPr>
        <w:t>u</w:t>
      </w:r>
      <w:r w:rsidRPr="00306953">
        <w:rPr>
          <w:rFonts w:eastAsia="ChaparralPro-Regular" w:cs="Arial"/>
        </w:rPr>
        <w:t xml:space="preserve"> (86 %). Z evropských zemí se v roce 2013 jevilo učitelské povolání jako finančně nejvýhodnější v Lucembursku, kde byly skutečné i zákonné platy takových učitelů cca o čtvrtinu vyšší než průměrná mzda člověka s podobným vzděláním ve věku 25–64 let (viz graf č. 22).</w:t>
      </w:r>
    </w:p>
    <w:p w:rsidR="00306953" w:rsidRPr="00306953" w:rsidRDefault="00306953" w:rsidP="00306953">
      <w:pPr>
        <w:keepNext/>
        <w:autoSpaceDE w:val="0"/>
        <w:autoSpaceDN w:val="0"/>
        <w:adjustRightInd w:val="0"/>
        <w:spacing w:after="0" w:line="240" w:lineRule="auto"/>
        <w:jc w:val="both"/>
        <w:rPr>
          <w:rFonts w:eastAsia="ChaparralPro-Regular" w:cs="Arial"/>
        </w:rPr>
      </w:pPr>
      <w:r w:rsidRPr="00306953">
        <w:rPr>
          <w:rFonts w:eastAsia="ChaparralPro-Regular" w:cs="Arial"/>
          <w:b/>
          <w:bCs/>
        </w:rPr>
        <w:lastRenderedPageBreak/>
        <w:t xml:space="preserve">Graf č. 22 Plat učitele nižšího sekundárního vzdělávání ve vztahu k platům zaměstnanců s podobným vzděláním (2013) </w:t>
      </w:r>
    </w:p>
    <w:p w:rsidR="00306953" w:rsidRDefault="00504887" w:rsidP="00EC2AEB">
      <w:pPr>
        <w:keepNext/>
        <w:autoSpaceDE w:val="0"/>
        <w:autoSpaceDN w:val="0"/>
        <w:adjustRightInd w:val="0"/>
        <w:spacing w:after="120" w:line="240" w:lineRule="auto"/>
        <w:jc w:val="both"/>
        <w:rPr>
          <w:rFonts w:eastAsia="ChaparralPro-Regular" w:cs="Arial"/>
          <w:i/>
          <w:iCs/>
        </w:rPr>
      </w:pPr>
      <w:r>
        <w:rPr>
          <w:rFonts w:eastAsia="ChaparralPro-Regular" w:cs="Arial"/>
          <w:i/>
          <w:iCs/>
        </w:rPr>
        <w:t>z</w:t>
      </w:r>
      <w:r w:rsidR="00306953" w:rsidRPr="00306953">
        <w:rPr>
          <w:rFonts w:eastAsia="ChaparralPro-Regular" w:cs="Arial"/>
          <w:i/>
          <w:iCs/>
        </w:rPr>
        <w:t xml:space="preserve">ohledněny platy učitelů nižšího sekundárního vzdělávání </w:t>
      </w:r>
      <w:r w:rsidR="00BD11FB">
        <w:rPr>
          <w:rFonts w:eastAsia="ChaparralPro-Regular" w:cs="Arial"/>
          <w:i/>
          <w:iCs/>
        </w:rPr>
        <w:t xml:space="preserve">všeobecného zaměření </w:t>
      </w:r>
      <w:r w:rsidR="00306953" w:rsidRPr="00306953">
        <w:rPr>
          <w:rFonts w:eastAsia="ChaparralPro-Regular" w:cs="Arial"/>
          <w:i/>
          <w:iCs/>
        </w:rPr>
        <w:t xml:space="preserve">působících ve veřejných institucích </w:t>
      </w:r>
    </w:p>
    <w:p w:rsidR="000536EE" w:rsidRDefault="00BA5EE1" w:rsidP="000536EE">
      <w:pPr>
        <w:autoSpaceDE w:val="0"/>
        <w:autoSpaceDN w:val="0"/>
        <w:adjustRightInd w:val="0"/>
        <w:spacing w:after="0" w:line="240" w:lineRule="auto"/>
        <w:jc w:val="both"/>
        <w:rPr>
          <w:rFonts w:eastAsia="ChaparralPro-Regular" w:cs="Arial"/>
          <w:i/>
          <w:iCs/>
        </w:rPr>
      </w:pPr>
      <w:r w:rsidRPr="00984E22">
        <w:rPr>
          <w:rFonts w:eastAsia="ChaparralPro-Regular" w:cs="Arial"/>
          <w:i/>
          <w:noProof/>
        </w:rPr>
        <w:pict>
          <v:shape id="_x0000_i1049" type="#_x0000_t75" style="width:470.25pt;height:3in;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">
            <v:imagedata r:id="rId153" o:title="" croptop="-1728f" cropbottom="-3047f" cropleft="-687f" cropright="-1088f"/>
            <o:lock v:ext="edit" aspectratio="f"/>
          </v:shape>
        </w:pict>
      </w:r>
    </w:p>
    <w:p w:rsidR="00C211A8" w:rsidRPr="000536EE" w:rsidRDefault="00C211A8" w:rsidP="000536EE">
      <w:pPr>
        <w:keepNext/>
        <w:autoSpaceDE w:val="0"/>
        <w:autoSpaceDN w:val="0"/>
        <w:adjustRightInd w:val="0"/>
        <w:spacing w:after="0" w:line="240" w:lineRule="auto"/>
        <w:jc w:val="both"/>
        <w:rPr>
          <w:rFonts w:eastAsia="ChaparralPro-Regular" w:cs="Arial"/>
          <w:i/>
          <w:iCs/>
        </w:rPr>
      </w:pPr>
      <w:r w:rsidRPr="00FE5433">
        <w:rPr>
          <w:rFonts w:eastAsia="ChaparralPro-Regular" w:cs="Arial"/>
          <w:iCs/>
          <w:sz w:val="16"/>
          <w:szCs w:val="16"/>
        </w:rPr>
        <w:t>(1)</w:t>
      </w:r>
      <w:r w:rsidR="00D25E9E">
        <w:rPr>
          <w:rFonts w:eastAsia="ChaparralPro-Regular" w:cs="Arial"/>
          <w:iCs/>
          <w:sz w:val="16"/>
          <w:szCs w:val="16"/>
        </w:rPr>
        <w:t xml:space="preserve"> z</w:t>
      </w:r>
      <w:r w:rsidRPr="00C211A8">
        <w:rPr>
          <w:rFonts w:eastAsia="ChaparralPro-Regular" w:cs="Arial"/>
          <w:iCs/>
          <w:sz w:val="16"/>
          <w:szCs w:val="16"/>
        </w:rPr>
        <w:t>ákonné platy učitelů s 11ti letou praxí a minimální kvalifikací namísto s 15ti letou praxí a typickou kvalifikací</w:t>
      </w:r>
    </w:p>
    <w:p w:rsidR="00C211A8" w:rsidRDefault="00D25E9E" w:rsidP="00306953">
      <w:pPr>
        <w:spacing w:after="0" w:line="240" w:lineRule="auto"/>
        <w:jc w:val="both"/>
        <w:rPr>
          <w:rFonts w:eastAsia="ChaparralPro-Regular" w:cs="Arial"/>
          <w:bCs/>
          <w:sz w:val="16"/>
          <w:szCs w:val="16"/>
        </w:rPr>
      </w:pPr>
      <w:r w:rsidRPr="00FE5433">
        <w:rPr>
          <w:rFonts w:eastAsia="ChaparralPro-Regular" w:cs="Arial"/>
          <w:bCs/>
          <w:sz w:val="16"/>
          <w:szCs w:val="16"/>
        </w:rPr>
        <w:t>(2)</w:t>
      </w:r>
      <w:r>
        <w:rPr>
          <w:rFonts w:eastAsia="ChaparralPro-Regular" w:cs="Arial"/>
          <w:bCs/>
          <w:sz w:val="16"/>
          <w:szCs w:val="16"/>
        </w:rPr>
        <w:t xml:space="preserve"> Údaje vypovídají za zaměstnané na plný úvazek a po celý rok s dosaženým terciárním vzděláním.</w:t>
      </w:r>
    </w:p>
    <w:p w:rsidR="00306953" w:rsidRPr="00442515" w:rsidRDefault="00306953" w:rsidP="00306953">
      <w:pPr>
        <w:spacing w:after="0" w:line="240" w:lineRule="auto"/>
        <w:jc w:val="both"/>
        <w:rPr>
          <w:rFonts w:eastAsia="ChaparralPro-Regular" w:cs="Arial"/>
          <w:sz w:val="16"/>
          <w:szCs w:val="16"/>
        </w:rPr>
      </w:pPr>
      <w:r w:rsidRPr="00442515">
        <w:rPr>
          <w:rFonts w:eastAsia="ChaparralPro-Regular" w:cs="Arial"/>
          <w:bCs/>
          <w:sz w:val="16"/>
          <w:szCs w:val="16"/>
        </w:rPr>
        <w:t>Pozn.</w:t>
      </w:r>
      <w:r w:rsidRPr="00442515">
        <w:rPr>
          <w:rFonts w:eastAsia="ChaparralPro-Regular" w:cs="Arial"/>
          <w:sz w:val="16"/>
          <w:szCs w:val="16"/>
        </w:rPr>
        <w:t>: Plat učitelů byl v jednotlivých zemích dle dostupnosti dat počítán buď jako průměrný reálný plat učitelů ve věku 25-64 let, nebo průměrný zákonný plat učitelů s 15ti letou praxí v oboru a s </w:t>
      </w:r>
      <w:r w:rsidR="00970340">
        <w:rPr>
          <w:rFonts w:eastAsia="ChaparralPro-Regular" w:cs="Arial"/>
          <w:sz w:val="16"/>
          <w:szCs w:val="16"/>
        </w:rPr>
        <w:t>typickým</w:t>
      </w:r>
      <w:r w:rsidRPr="00442515">
        <w:rPr>
          <w:rFonts w:eastAsia="ChaparralPro-Regular" w:cs="Arial"/>
          <w:sz w:val="16"/>
          <w:szCs w:val="16"/>
        </w:rPr>
        <w:t xml:space="preserve"> požadovaným vzděláním  (za mnohé země jsou k dispozici oba údaje). Více viz metodické poznámky v tabulce D 3.2a a D3.2b</w:t>
      </w:r>
      <w:r w:rsidR="0029469E">
        <w:rPr>
          <w:rFonts w:eastAsia="ChaparralPro-Regular" w:cs="Arial"/>
          <w:sz w:val="16"/>
          <w:szCs w:val="16"/>
        </w:rPr>
        <w:t xml:space="preserve"> PECD 2015)</w:t>
      </w:r>
      <w:r w:rsidRPr="00442515">
        <w:rPr>
          <w:rFonts w:eastAsia="ChaparralPro-Regular" w:cs="Arial"/>
          <w:sz w:val="16"/>
          <w:szCs w:val="16"/>
        </w:rPr>
        <w:t>.</w:t>
      </w:r>
    </w:p>
    <w:p w:rsidR="00306953" w:rsidRPr="00442515" w:rsidRDefault="00306953" w:rsidP="00306953">
      <w:pPr>
        <w:spacing w:after="0" w:line="240" w:lineRule="auto"/>
        <w:jc w:val="both"/>
        <w:rPr>
          <w:rFonts w:eastAsia="ChaparralPro-Regular" w:cs="Arial"/>
          <w:sz w:val="16"/>
          <w:szCs w:val="16"/>
        </w:rPr>
      </w:pPr>
      <w:r w:rsidRPr="00442515">
        <w:rPr>
          <w:rFonts w:eastAsia="ChaparralPro-Regular" w:cs="Arial"/>
          <w:sz w:val="16"/>
          <w:szCs w:val="16"/>
        </w:rPr>
        <w:t>Zdroj: OECD 2015, graf D 3.1. StatLink:</w:t>
      </w:r>
      <w:r w:rsidRPr="00442515">
        <w:rPr>
          <w:rStyle w:val="Hypertextovodkaz"/>
          <w:rFonts w:cs="Arial"/>
          <w:sz w:val="16"/>
          <w:szCs w:val="16"/>
        </w:rPr>
        <w:t>h</w:t>
      </w:r>
      <w:r w:rsidRPr="00442515">
        <w:rPr>
          <w:rStyle w:val="Hypertextovodkaz"/>
          <w:rFonts w:eastAsia="ChaparralPro-Regular" w:cs="Arial"/>
          <w:sz w:val="16"/>
          <w:szCs w:val="16"/>
        </w:rPr>
        <w:t>ttp://dx.doi.org/10.1787/888933284456</w:t>
      </w:r>
    </w:p>
    <w:p w:rsidR="00306953" w:rsidRPr="00306953" w:rsidRDefault="00306953" w:rsidP="00306953">
      <w:pPr>
        <w:spacing w:after="0" w:line="240" w:lineRule="auto"/>
        <w:jc w:val="both"/>
        <w:rPr>
          <w:rFonts w:eastAsia="ChaparralPro-Regular" w:cs="Arial"/>
          <w:szCs w:val="20"/>
        </w:rPr>
      </w:pPr>
    </w:p>
    <w:p w:rsidR="00306953" w:rsidRDefault="00306953" w:rsidP="00306953">
      <w:pPr>
        <w:pStyle w:val="Default"/>
        <w:jc w:val="both"/>
        <w:rPr>
          <w:rFonts w:ascii="Arial" w:eastAsia="ChaparralPro-Regular" w:hAnsi="Arial" w:cs="Arial"/>
          <w:sz w:val="20"/>
          <w:szCs w:val="20"/>
        </w:rPr>
      </w:pPr>
      <w:r w:rsidRPr="00442515">
        <w:rPr>
          <w:rFonts w:ascii="Arial" w:eastAsia="ChaparralPro-Regular" w:hAnsi="Arial" w:cs="Arial"/>
          <w:color w:val="auto"/>
          <w:sz w:val="20"/>
          <w:szCs w:val="20"/>
        </w:rPr>
        <w:t>Situaci o rok dříve, tj. v roce 2012, za všechny úrovně vzdělávání komentovalo ve svém shrnutí MŠMT: „</w:t>
      </w:r>
      <w:r w:rsidR="00087DAE">
        <w:rPr>
          <w:rFonts w:ascii="Arial" w:hAnsi="Arial" w:cs="Arial"/>
          <w:i/>
          <w:sz w:val="20"/>
          <w:szCs w:val="20"/>
        </w:rPr>
        <w:t>V </w:t>
      </w:r>
      <w:r w:rsidRPr="00442515">
        <w:rPr>
          <w:rFonts w:ascii="Arial" w:hAnsi="Arial" w:cs="Arial"/>
          <w:i/>
          <w:sz w:val="20"/>
          <w:szCs w:val="20"/>
        </w:rPr>
        <w:t xml:space="preserve">zemích OECD dosahuje učitel v </w:t>
      </w:r>
      <w:r w:rsidRPr="00442515">
        <w:rPr>
          <w:rFonts w:ascii="Arial" w:hAnsi="Arial" w:cs="Arial"/>
          <w:b/>
          <w:i/>
          <w:sz w:val="20"/>
          <w:szCs w:val="20"/>
        </w:rPr>
        <w:t>preprimárním a primárním</w:t>
      </w:r>
      <w:r w:rsidRPr="00442515">
        <w:rPr>
          <w:rFonts w:ascii="Arial" w:hAnsi="Arial" w:cs="Arial"/>
          <w:i/>
          <w:sz w:val="20"/>
          <w:szCs w:val="20"/>
        </w:rPr>
        <w:t xml:space="preserve"> vzdělávání průměrně 78 % platu pracovníka s obdobným vzděláním (25–64letého, pracujícího celý rok na plný úvazek), u učitelů v </w:t>
      </w:r>
      <w:r w:rsidRPr="00442515">
        <w:rPr>
          <w:rFonts w:ascii="Arial" w:hAnsi="Arial" w:cs="Arial"/>
          <w:b/>
          <w:i/>
          <w:sz w:val="20"/>
          <w:szCs w:val="20"/>
        </w:rPr>
        <w:t>nižším sekundárním</w:t>
      </w:r>
      <w:r w:rsidRPr="00442515">
        <w:rPr>
          <w:rFonts w:ascii="Arial" w:hAnsi="Arial" w:cs="Arial"/>
          <w:i/>
          <w:sz w:val="20"/>
          <w:szCs w:val="20"/>
        </w:rPr>
        <w:t xml:space="preserve"> vzdělávání je to 80 % a </w:t>
      </w:r>
      <w:r w:rsidRPr="00442515">
        <w:rPr>
          <w:rFonts w:ascii="Arial" w:hAnsi="Arial" w:cs="Arial"/>
          <w:b/>
          <w:i/>
          <w:sz w:val="20"/>
          <w:szCs w:val="20"/>
        </w:rPr>
        <w:t>ve vyšším sekundárním vzdělávání</w:t>
      </w:r>
      <w:r w:rsidRPr="00442515">
        <w:rPr>
          <w:rFonts w:ascii="Arial" w:hAnsi="Arial" w:cs="Arial"/>
          <w:i/>
          <w:sz w:val="20"/>
          <w:szCs w:val="20"/>
        </w:rPr>
        <w:t xml:space="preserve"> 82 %. </w:t>
      </w:r>
      <w:r w:rsidRPr="00442515">
        <w:rPr>
          <w:rFonts w:ascii="Arial" w:hAnsi="Arial" w:cs="Arial"/>
          <w:b/>
          <w:i/>
          <w:sz w:val="20"/>
          <w:szCs w:val="20"/>
        </w:rPr>
        <w:t>V České republice</w:t>
      </w:r>
      <w:r w:rsidR="00E52654">
        <w:rPr>
          <w:rFonts w:ascii="Arial" w:hAnsi="Arial" w:cs="Arial"/>
          <w:i/>
          <w:sz w:val="20"/>
          <w:szCs w:val="20"/>
        </w:rPr>
        <w:t xml:space="preserve"> dosahuje učitel v </w:t>
      </w:r>
      <w:r w:rsidRPr="00442515">
        <w:rPr>
          <w:rFonts w:ascii="Arial" w:hAnsi="Arial" w:cs="Arial"/>
          <w:i/>
          <w:sz w:val="20"/>
          <w:szCs w:val="20"/>
        </w:rPr>
        <w:t>primárním a nižším sekundárním vzdělávání průměrně pouze 52 % platu pracovníka s obdobným vzděláním, ve vyšším sekundárním vzdělávání je to potom 56 %</w:t>
      </w:r>
      <w:r w:rsidRPr="00442515">
        <w:rPr>
          <w:rFonts w:ascii="Arial" w:eastAsia="ChaparralPro-Regular" w:hAnsi="Arial" w:cs="Arial"/>
          <w:color w:val="auto"/>
          <w:sz w:val="20"/>
          <w:szCs w:val="20"/>
        </w:rPr>
        <w:t>“ (</w:t>
      </w:r>
      <w:hyperlink r:id="rId154" w:history="1">
        <w:r w:rsidRPr="005F4935">
          <w:rPr>
            <w:rStyle w:val="Hypertextovodkaz"/>
            <w:rFonts w:ascii="Arial" w:eastAsia="ChaparralPro-Regular" w:hAnsi="Arial" w:cs="Arial"/>
            <w:sz w:val="20"/>
            <w:szCs w:val="20"/>
          </w:rPr>
          <w:t>MŠMT 2015</w:t>
        </w:r>
      </w:hyperlink>
      <w:r w:rsidRPr="00442515">
        <w:rPr>
          <w:rFonts w:ascii="Arial" w:eastAsia="ChaparralPro-Regular" w:hAnsi="Arial" w:cs="Arial"/>
          <w:color w:val="auto"/>
          <w:sz w:val="20"/>
          <w:szCs w:val="20"/>
        </w:rPr>
        <w:t>, s. 34). Až na vyšší sekundární vzdělávání přitom platí, že ČR zaznamenala v roce 2012 nejnižší podíly ze všech zemí (u vyššího sekundárního vzdělávání dosáhlo nejnižšího podílu Maďarsko a na Slovensku byl tento podíl jen o procento vyšší)</w:t>
      </w:r>
      <w:r w:rsidRPr="00442515">
        <w:rPr>
          <w:rFonts w:ascii="Arial" w:eastAsia="ChaparralPro-Regular" w:hAnsi="Arial" w:cs="Arial"/>
          <w:sz w:val="20"/>
          <w:szCs w:val="20"/>
        </w:rPr>
        <w:t>.</w:t>
      </w:r>
    </w:p>
    <w:p w:rsidR="002C4A87" w:rsidRDefault="002C4A87" w:rsidP="00306953">
      <w:pPr>
        <w:pStyle w:val="Default"/>
        <w:jc w:val="both"/>
        <w:rPr>
          <w:rFonts w:ascii="Arial" w:eastAsia="ChaparralPro-Regular" w:hAnsi="Arial" w:cs="Arial"/>
          <w:sz w:val="20"/>
          <w:szCs w:val="20"/>
        </w:rPr>
      </w:pPr>
    </w:p>
    <w:p w:rsidR="002C4A87" w:rsidRDefault="002C4A87" w:rsidP="00306953">
      <w:pPr>
        <w:pStyle w:val="Default"/>
        <w:jc w:val="both"/>
        <w:rPr>
          <w:rFonts w:ascii="Arial" w:eastAsia="ChaparralPro-Regular" w:hAnsi="Arial" w:cs="Arial"/>
          <w:sz w:val="20"/>
          <w:szCs w:val="20"/>
        </w:rPr>
      </w:pPr>
    </w:p>
    <w:p w:rsidR="00306953" w:rsidRPr="002C4A87" w:rsidRDefault="002C4A87" w:rsidP="002C4A87">
      <w:pPr>
        <w:pStyle w:val="Nadpis3"/>
        <w:spacing w:after="120"/>
      </w:pPr>
      <w:bookmarkStart w:id="37" w:name="_Toc460424396"/>
      <w:r>
        <w:t>Shrnutí</w:t>
      </w:r>
      <w:bookmarkEnd w:id="37"/>
    </w:p>
    <w:p w:rsidR="00B73318" w:rsidRPr="00442515" w:rsidRDefault="00306953" w:rsidP="00B73318">
      <w:pPr>
        <w:spacing w:after="120" w:line="240" w:lineRule="auto"/>
        <w:jc w:val="both"/>
        <w:rPr>
          <w:rFonts w:eastAsia="ChaparralPro-Regular" w:cs="Arial"/>
          <w:szCs w:val="20"/>
        </w:rPr>
      </w:pPr>
      <w:r w:rsidRPr="00442515">
        <w:rPr>
          <w:rFonts w:eastAsia="ChaparralPro-Regular" w:cs="Arial"/>
          <w:szCs w:val="20"/>
        </w:rPr>
        <w:t>V úvodu kapitoly bylo uvedeno, že v ČR od roku 2005 průměrné měsíční</w:t>
      </w:r>
      <w:r w:rsidR="00C25086">
        <w:rPr>
          <w:rFonts w:eastAsia="ChaparralPro-Regular" w:cs="Arial"/>
          <w:szCs w:val="20"/>
        </w:rPr>
        <w:t xml:space="preserve"> platy učitelů (včetně ředitelů a</w:t>
      </w:r>
      <w:r w:rsidR="003A515E">
        <w:rPr>
          <w:rFonts w:eastAsia="ChaparralPro-Regular" w:cs="Arial"/>
          <w:szCs w:val="20"/>
        </w:rPr>
        <w:t> </w:t>
      </w:r>
      <w:r w:rsidRPr="00442515">
        <w:rPr>
          <w:rFonts w:eastAsia="ChaparralPro-Regular" w:cs="Arial"/>
          <w:szCs w:val="20"/>
        </w:rPr>
        <w:t>zástupců ředitelů, kteří mají též vyučovací povinnost, a výchovných poradců) ve všech stupních vzdělávání (s drobnou výjimkou konzervatoří) soustavně mírně rostly, pouze v roce 2010 byly nižší než v</w:t>
      </w:r>
      <w:r w:rsidR="008B53F5">
        <w:rPr>
          <w:rFonts w:eastAsia="ChaparralPro-Regular" w:cs="Arial"/>
          <w:szCs w:val="20"/>
        </w:rPr>
        <w:t> předešlém roce, tj. v roce 2009</w:t>
      </w:r>
      <w:r w:rsidRPr="00442515">
        <w:rPr>
          <w:rFonts w:eastAsia="ChaparralPro-Regular" w:cs="Arial"/>
          <w:szCs w:val="20"/>
        </w:rPr>
        <w:t>. Dále se tato kapitola zabývala mezinárodním srovnáním prezentovaným zejména v publikaci Education at a Glance, přičemž zde byly finanční hodnoty z</w:t>
      </w:r>
      <w:r w:rsidR="00E52654">
        <w:rPr>
          <w:rFonts w:eastAsia="ChaparralPro-Regular" w:cs="Arial"/>
          <w:szCs w:val="20"/>
        </w:rPr>
        <w:t>a země OECD přepočteny na USD a </w:t>
      </w:r>
      <w:r w:rsidRPr="00442515">
        <w:rPr>
          <w:rFonts w:eastAsia="ChaparralPro-Regular" w:cs="Arial"/>
          <w:szCs w:val="20"/>
        </w:rPr>
        <w:t xml:space="preserve">paritu kupní síly pro soukromou spotřebu, příp. i vztaženy k HDP na jednoho obyvatele země, u platů učitelů se většinou zohledňovaly platy těch s 15ti letou praxí. Ukázalo se, že v roce 2013 byla výše nákladů na platy učitelů na jednoho žáka v primárním a nižším sekundárním vzdělávání v ČR v mezinárodním srovnání výrazně podprůměrná. K tomu lze doplnit, že v sousedním Polsku byly náklady na platy učitelů na jednoho žáka v primárním vzdělávání více než dvojnásobné a náklady na platy učitelů na jednoho žáka v nižším sekundárním vzdělávání byly více než o polovinu vyšší. Na Slovensku byly náklady na platy učitelů na jednoho žáka v primárním vzdělávání přibližně stejné jako v ČR, náklady na jednoho žáka v nižším sekundárním vzdělávání však byly o téměř čtvrtinu nižší. Lze také konstatovat, že na Slovensku byly náklady na mzdy učitelů v primárním vzdělávání a nižším a vyšším sekundárním vzdělávání vyrovnanější než v České republice, kde výdaje na mzdy učitelů na jednoho žáka v primárním vzdělávání byly výrazně nižší než výdaje na mzdy učitelů na jednoho žáka v nižším sekundárním vzdělávání. Obecně lze říci, že ve většině zemí měly náklady na platy učitelů na jednoho žáka se zvyšující se úrovní vzdělávání tendenci stoupat. Pokud se jedná o podíl HDP na jednoho obyvatele věnovaný na mzdy učitelů na jednoho žáka, byl v ČR v primárním a nižším sekundárním vzdělávání opět nižší než v průměru za země OECD a byl také výrazně nižší než v sousedním Polsku, nebo např. ve Finsku a Rakousku. Kromě toho patří ČR mezi země, </w:t>
      </w:r>
      <w:r w:rsidRPr="00442515">
        <w:rPr>
          <w:rFonts w:eastAsia="ChaparralPro-Regular" w:cs="Arial"/>
          <w:szCs w:val="20"/>
        </w:rPr>
        <w:lastRenderedPageBreak/>
        <w:t xml:space="preserve">kde v primárním, nižším sekundárním i vyšším sekundárním vzdělávání hrály v roce 2012 mezi jinými faktory ovlivňujícími náklady na mzdy učitelů významnou roli platy učitelů, které tyto náklady oproti mezinárodnímu průměru za země OECD snižovaly. V roce 2013 patřila ČR spolu </w:t>
      </w:r>
      <w:r w:rsidR="00E52654">
        <w:rPr>
          <w:rFonts w:eastAsia="ChaparralPro-Regular" w:cs="Arial"/>
          <w:szCs w:val="20"/>
        </w:rPr>
        <w:t>s Chile, Maďarskem, Estonskem a </w:t>
      </w:r>
      <w:r w:rsidRPr="00442515">
        <w:rPr>
          <w:rFonts w:eastAsia="ChaparralPro-Regular" w:cs="Arial"/>
          <w:szCs w:val="20"/>
        </w:rPr>
        <w:t>Slovenskem mezi pět zemí s nejnižšími mzdovými výdaji na jednu oduče</w:t>
      </w:r>
      <w:r w:rsidR="00E52654">
        <w:rPr>
          <w:rFonts w:eastAsia="ChaparralPro-Regular" w:cs="Arial"/>
          <w:szCs w:val="20"/>
        </w:rPr>
        <w:t>nou hodinu učitele primárního a </w:t>
      </w:r>
      <w:r w:rsidRPr="00442515">
        <w:rPr>
          <w:rFonts w:eastAsia="ChaparralPro-Regular" w:cs="Arial"/>
          <w:szCs w:val="20"/>
        </w:rPr>
        <w:t>nižšího sekundárního vzdělávání s patnáctiletou praxí a typickým požadovaným vzděláním, a sice méně 30 USD. V ČR byl navíc násobek platu učitele na vrcholu platového žebříčku vůči platu začínajícího učitele na preprimární až vyšší sekundární úrovni vzdělávání značně podprůměrný a nižší než na sousedním Slovensku a ještě výrazněji nižší než v sousedním Polsku a zejména Rakousku. Lze také uvést, že roční zákonem stanovené minimální i maximální platy učitelů i ředitelů působících na primární až nižší sekundární úrovni navíc v ČR ve školním roce 2013/14 zaostávaly za HDP na jednoho obyvatele. Přitom v rámci evropského srovnání jsme jedinou zemí, ve které byly roční maximální zákonem stanovené platy ředitelů působících na primární, nižší i vyšší sekundární úrovni vzdělávání (tj. ve všech těchto úrovních</w:t>
      </w:r>
      <w:r w:rsidR="00B73318">
        <w:rPr>
          <w:rFonts w:eastAsia="ChaparralPro-Regular" w:cs="Arial"/>
          <w:szCs w:val="20"/>
        </w:rPr>
        <w:t xml:space="preserve"> zároveň</w:t>
      </w:r>
      <w:r w:rsidRPr="00442515">
        <w:rPr>
          <w:rFonts w:eastAsia="ChaparralPro-Regular" w:cs="Arial"/>
          <w:szCs w:val="20"/>
        </w:rPr>
        <w:t xml:space="preserve">) ve školním roce 2013/14 nižší než HDP na jednoho obyvatele. Vedle toho se též řadíme mezi menšinu zemí, ve kterých byly minimální zákonem stanovené platy ředitelů, jakož i maximální zákonem stanovené platy učitelů nižší než HDP země na jednoho obyvatele. V této kapitole byl sledován také vývoj nákladů na platy učitelů na jednoho žáka různých zemí v letech 2005, 2008 a 2012, a sice v dělení na primární a nižší sekundární vzdělávání. V České republice byly tyto náklady ve sledovaných letech v mezinárodním srovnání s dalšími zeměmi OECD jedny z nejnižších a od roku 2008 do roku 2012 poklesly o </w:t>
      </w:r>
      <w:r w:rsidR="00E52654">
        <w:rPr>
          <w:rFonts w:eastAsia="ChaparralPro-Regular" w:cs="Arial"/>
          <w:szCs w:val="20"/>
        </w:rPr>
        <w:t>15,1 % v primárním vzdělávání a </w:t>
      </w:r>
      <w:r w:rsidRPr="00442515">
        <w:rPr>
          <w:rFonts w:eastAsia="ChaparralPro-Regular" w:cs="Arial"/>
          <w:szCs w:val="20"/>
        </w:rPr>
        <w:t xml:space="preserve">o 6,4 % v nižším sekundárním vzdělávání (v Polsku přitom došlo na obou úrovních vzdělávání naopak ke zvýšení platů učitelů, které z velké části způsobilo též navýšení </w:t>
      </w:r>
      <w:r w:rsidR="006C5FEA">
        <w:rPr>
          <w:rFonts w:eastAsia="ChaparralPro-Regular" w:cs="Arial"/>
          <w:szCs w:val="20"/>
        </w:rPr>
        <w:t>nákladů na platy</w:t>
      </w:r>
      <w:r w:rsidRPr="00442515">
        <w:rPr>
          <w:rFonts w:eastAsia="ChaparralPro-Regular" w:cs="Arial"/>
          <w:szCs w:val="20"/>
        </w:rPr>
        <w:t xml:space="preserve"> učitelů). Podprůměrné náklady na platy učitelů (resp. jedny z nejnižších) zaznamenala přitom ČR i v roce 2013, na primární úrovni vzdělávání byly tyto náklady ve vyjádření v % k HDP dokonce nejnižší ze všech sledovaných zemí, za které byla dostupná data. Zákonné platy učitelů s patnáctiletou praxí v oboru a minimálním požadovaným vzděláním (převedené na konstantní ceny s využitím deflátoru pro soukromou spotřebu) se v preprimární až nižší sekundární úrovni v ČR  mezi lety 2005 a 2013 snížily. Nejvýrazněji tomu bylo v preprimární úrovni vzdělávání, tj. o  40 %, což je nejvíce ze všech sledovaných zemí v publikaci Education at a Glance (jak bylo však výše v textu však bylo uvedeno, svůj vliv zde sehrály i metodické změny</w:t>
      </w:r>
      <w:r w:rsidR="00B73318">
        <w:rPr>
          <w:rFonts w:eastAsia="ChaparralPro-Regular" w:cs="Arial"/>
          <w:szCs w:val="20"/>
        </w:rPr>
        <w:t xml:space="preserve"> ve vykazování</w:t>
      </w:r>
      <w:r w:rsidRPr="00442515">
        <w:rPr>
          <w:rFonts w:eastAsia="ChaparralPro-Regular" w:cs="Arial"/>
          <w:szCs w:val="20"/>
        </w:rPr>
        <w:t>). Sousední Polsko přitom zaznamenalo v uvedených úrovních pětinový až čtvrtinový nárůst. Porovnáme-li dále plat učitelů ve veřejných školách s jinými profesemi, pak lze konstatovat, že v zemích OECD dosahoval učitel v preprimárním a primárním vzdělávání v roce 2012 průměrně 78 % platu pracovníka s obdobným vzděláním (25–64letého, pracujícího celý rok na plný úvazek), u učitelů v nižším sekundárním vzdělávání to bylo 80 % a ve vyšším sekundárním vzdělávání 82 %. V České republice dosahoval učitel v primárním a nižším sekundárním vzdělávání průměrně pouze 52 % platu pracovníka s obdobným vzděláním, ve vyšším sekundárním vzdělávání je to potom 56 %. Až na vyšší sekundární vzdělávání přitom platí, že ČR zaznamenala nejnižší podíly ze všech zemí (u vyššího sekundárního vzdělávání dosáhlo nejnižšího podílu Maďarsko a na Slovensku byl tento podíl jen o procento vyšší). Podobné výsledky byly pro ČR zjištěny i za rok 2013,</w:t>
      </w:r>
      <w:r w:rsidR="00B73318">
        <w:rPr>
          <w:rFonts w:eastAsia="ChaparralPro-Regular" w:cs="Arial"/>
          <w:szCs w:val="20"/>
        </w:rPr>
        <w:t xml:space="preserve"> </w:t>
      </w:r>
      <w:r w:rsidR="00B73318" w:rsidRPr="00442515">
        <w:rPr>
          <w:rFonts w:eastAsia="ChaparralPro-Regular" w:cs="Arial"/>
          <w:szCs w:val="20"/>
        </w:rPr>
        <w:t xml:space="preserve">kdy se sledovaly skutečné platy učitelů ve věku 25-64 let a zákonné platy učitelů s patnáctiletou praxí v oboru a typickou kvalifikací. </w:t>
      </w:r>
      <w:r w:rsidR="00B73318">
        <w:rPr>
          <w:rFonts w:eastAsia="ChaparralPro-Regular" w:cs="Arial"/>
          <w:szCs w:val="20"/>
        </w:rPr>
        <w:t xml:space="preserve"> </w:t>
      </w:r>
      <w:r w:rsidR="00B73318" w:rsidRPr="00306953">
        <w:rPr>
          <w:rFonts w:eastAsia="ChaparralPro-Regular" w:cs="Arial"/>
        </w:rPr>
        <w:t xml:space="preserve">V tomto ohledu je možné konstatovat, že skutečný plat učitelů ve věku 25–64 let i zákonné platy </w:t>
      </w:r>
      <w:r w:rsidR="00B73318">
        <w:rPr>
          <w:rFonts w:eastAsia="ChaparralPro-Regular" w:cs="Arial"/>
        </w:rPr>
        <w:t>učitelů s patnáctiletou praxí a </w:t>
      </w:r>
      <w:r w:rsidR="00B73318" w:rsidRPr="00306953">
        <w:rPr>
          <w:rFonts w:eastAsia="ChaparralPro-Regular" w:cs="Arial"/>
        </w:rPr>
        <w:t xml:space="preserve">typickou kvalifikací působících na </w:t>
      </w:r>
      <w:r w:rsidR="00B73318" w:rsidRPr="00B73318">
        <w:rPr>
          <w:rFonts w:eastAsia="ChaparralPro-Regular" w:cs="Arial"/>
        </w:rPr>
        <w:t>nižší sekundární úrovni vzdělávání ve veřejných školách</w:t>
      </w:r>
      <w:r w:rsidR="00B73318">
        <w:rPr>
          <w:rFonts w:eastAsia="ChaparralPro-Regular" w:cs="Arial"/>
        </w:rPr>
        <w:t xml:space="preserve"> činily v </w:t>
      </w:r>
      <w:r w:rsidR="00B73318" w:rsidRPr="00306953">
        <w:rPr>
          <w:rFonts w:eastAsia="ChaparralPro-Regular" w:cs="Arial"/>
        </w:rPr>
        <w:t>roce 2013 v ČR pouze cca polovinu průměrného platu vysokoškolsky vzdělaného člověka ve věku 25–64 let pracujícího na plný úva</w:t>
      </w:r>
      <w:r w:rsidR="00B73318">
        <w:rPr>
          <w:rFonts w:eastAsia="ChaparralPro-Regular" w:cs="Arial"/>
        </w:rPr>
        <w:t>zek po celý rok (52 %, resp. 45 </w:t>
      </w:r>
      <w:r w:rsidR="00B73318" w:rsidRPr="00306953">
        <w:rPr>
          <w:rFonts w:eastAsia="ChaparralPro-Regular" w:cs="Arial"/>
        </w:rPr>
        <w:t>%), což je mezi zeměmi OECD s dostupnými daty nejnižší podíl.</w:t>
      </w:r>
      <w:r w:rsidR="00B73318" w:rsidRPr="00306953">
        <w:rPr>
          <w:rStyle w:val="Znakapoznpodarou"/>
          <w:rFonts w:eastAsia="ChaparralPro-Regular" w:cs="Arial"/>
        </w:rPr>
        <w:t xml:space="preserve"> </w:t>
      </w:r>
      <w:r w:rsidR="00B73318" w:rsidRPr="00306953">
        <w:rPr>
          <w:rFonts w:eastAsia="ChaparralPro-Regular" w:cs="Arial"/>
        </w:rPr>
        <w:t>V průměru za země OECD to byly čtyři pětiny a sledujeme-li skutečné platy učitelů, Polsko dosáhlo nadprůměrně pozitivní</w:t>
      </w:r>
      <w:r w:rsidR="00B73318">
        <w:rPr>
          <w:rFonts w:eastAsia="ChaparralPro-Regular" w:cs="Arial"/>
        </w:rPr>
        <w:t>ho výsled</w:t>
      </w:r>
      <w:r w:rsidR="00B73318" w:rsidRPr="00306953">
        <w:rPr>
          <w:rFonts w:eastAsia="ChaparralPro-Regular" w:cs="Arial"/>
        </w:rPr>
        <w:t>k</w:t>
      </w:r>
      <w:r w:rsidR="00B73318">
        <w:rPr>
          <w:rFonts w:eastAsia="ChaparralPro-Regular" w:cs="Arial"/>
        </w:rPr>
        <w:t>u</w:t>
      </w:r>
      <w:r w:rsidR="00B73318" w:rsidRPr="00306953">
        <w:rPr>
          <w:rFonts w:eastAsia="ChaparralPro-Regular" w:cs="Arial"/>
        </w:rPr>
        <w:t xml:space="preserve"> (86 %).</w:t>
      </w:r>
    </w:p>
    <w:p w:rsidR="006C06FC" w:rsidRPr="009C781D" w:rsidRDefault="006C06FC" w:rsidP="006C06FC">
      <w:pPr>
        <w:pStyle w:val="Nadpis2"/>
        <w:spacing w:line="240" w:lineRule="auto"/>
        <w:rPr>
          <w:rFonts w:eastAsia="ChaparralPro-Regular" w:cs="Arial"/>
          <w:sz w:val="12"/>
          <w:szCs w:val="12"/>
        </w:rPr>
      </w:pPr>
      <w:bookmarkStart w:id="38" w:name="_Toc457225393"/>
    </w:p>
    <w:p w:rsidR="00306953" w:rsidRDefault="00306953" w:rsidP="00306953">
      <w:pPr>
        <w:pStyle w:val="Nadpis2"/>
        <w:spacing w:before="360"/>
        <w:rPr>
          <w:rFonts w:eastAsia="ChaparralPro-Regular" w:cs="Arial"/>
        </w:rPr>
      </w:pPr>
      <w:bookmarkStart w:id="39" w:name="_Toc460424397"/>
      <w:r w:rsidRPr="00306953">
        <w:rPr>
          <w:rFonts w:eastAsia="ChaparralPro-Regular" w:cs="Arial"/>
        </w:rPr>
        <w:t>Finanční výhodnost investice do vzdělávání</w:t>
      </w:r>
      <w:bookmarkEnd w:id="38"/>
      <w:bookmarkEnd w:id="39"/>
    </w:p>
    <w:p w:rsidR="00306953" w:rsidRDefault="00306953" w:rsidP="00306953">
      <w:pPr>
        <w:spacing w:after="0" w:line="240" w:lineRule="auto"/>
        <w:rPr>
          <w:rFonts w:eastAsia="ChaparralPro-Regular"/>
        </w:rPr>
      </w:pPr>
    </w:p>
    <w:p w:rsidR="00113436" w:rsidRPr="00306953" w:rsidRDefault="00113436" w:rsidP="00306953">
      <w:pPr>
        <w:spacing w:after="0" w:line="240" w:lineRule="auto"/>
        <w:rPr>
          <w:rFonts w:cs="Arial"/>
          <w:sz w:val="12"/>
          <w:szCs w:val="12"/>
        </w:rPr>
      </w:pPr>
    </w:p>
    <w:p w:rsidR="002C4A87" w:rsidRDefault="002C4A87" w:rsidP="002C4A87">
      <w:pPr>
        <w:pStyle w:val="Nadpis3"/>
        <w:spacing w:after="120"/>
      </w:pPr>
      <w:bookmarkStart w:id="40" w:name="_Toc460424398"/>
      <w:r>
        <w:t>Úvod</w:t>
      </w:r>
      <w:bookmarkEnd w:id="40"/>
    </w:p>
    <w:p w:rsidR="00306953" w:rsidRDefault="00306953" w:rsidP="002C4A87">
      <w:pPr>
        <w:pStyle w:val="Default"/>
        <w:spacing w:after="120"/>
        <w:jc w:val="both"/>
        <w:rPr>
          <w:rFonts w:ascii="Arial" w:eastAsia="ChaparralPro-Regular" w:hAnsi="Arial" w:cs="Arial"/>
          <w:color w:val="auto"/>
          <w:sz w:val="20"/>
          <w:szCs w:val="20"/>
        </w:rPr>
      </w:pPr>
      <w:r w:rsidRPr="00442515">
        <w:rPr>
          <w:rFonts w:ascii="Arial" w:eastAsia="ChaparralPro-Regular" w:hAnsi="Arial" w:cs="Arial"/>
          <w:color w:val="auto"/>
          <w:sz w:val="20"/>
          <w:szCs w:val="20"/>
        </w:rPr>
        <w:t>Závěrečnou kapitolu této zprávy zaměřené na financování formálního vzdělávání věnujeme výhodám, které má formální vzdělání pro jedince i společnost. Z výhod pro samotného jedince můžeme zejména uvést, že lidé s vyšším dosaženým vzděláním mají menší pravděpodobnost, že budou nezaměstnaní, mají lepší pracovní vyhlídky a také v průměru vyšší výdělky. Společnost pak profituje na vyšší vzdělanosti vyššími daněmi, které od lidí s vyššími výdělky vybere, menšími výdaji na sociální zabezpečení nezaměstnaných, ale také v jiných oblastech než ve finanční sféře (např. v rozvinutější občanské společnosti apod.). Vzhledem k zaměření publikace se v této kapitole omezíme na finanční přínosy vzdělávání. Nejprve představíme platové rozdíly mezi osobami s různým nejvyšším dosaženým vzdělá</w:t>
      </w:r>
      <w:r w:rsidR="00E52654">
        <w:rPr>
          <w:rFonts w:ascii="Arial" w:eastAsia="ChaparralPro-Regular" w:hAnsi="Arial" w:cs="Arial"/>
          <w:color w:val="auto"/>
          <w:sz w:val="20"/>
          <w:szCs w:val="20"/>
        </w:rPr>
        <w:t>ním v ČR, ve vybraných zemích a </w:t>
      </w:r>
      <w:r w:rsidRPr="00442515">
        <w:rPr>
          <w:rFonts w:ascii="Arial" w:eastAsia="ChaparralPro-Regular" w:hAnsi="Arial" w:cs="Arial"/>
          <w:color w:val="auto"/>
          <w:sz w:val="20"/>
          <w:szCs w:val="20"/>
        </w:rPr>
        <w:t>v mezinárodních průměrech a porovnáme rozdíly mezi muži a ženami a starší a mladší věkovou kohortou</w:t>
      </w:r>
      <w:r w:rsidR="00FB2D4C">
        <w:rPr>
          <w:rFonts w:ascii="Arial" w:eastAsia="ChaparralPro-Regular" w:hAnsi="Arial" w:cs="Arial"/>
          <w:color w:val="auto"/>
          <w:sz w:val="20"/>
          <w:szCs w:val="20"/>
        </w:rPr>
        <w:t xml:space="preserve"> v roce 2013</w:t>
      </w:r>
      <w:r w:rsidRPr="00442515">
        <w:rPr>
          <w:rFonts w:ascii="Arial" w:eastAsia="ChaparralPro-Regular" w:hAnsi="Arial" w:cs="Arial"/>
          <w:color w:val="auto"/>
          <w:sz w:val="20"/>
          <w:szCs w:val="20"/>
        </w:rPr>
        <w:t>.</w:t>
      </w:r>
      <w:r w:rsidR="00FB2D4C">
        <w:rPr>
          <w:rFonts w:ascii="Arial" w:eastAsia="ChaparralPro-Regular" w:hAnsi="Arial" w:cs="Arial"/>
          <w:color w:val="auto"/>
          <w:sz w:val="20"/>
          <w:szCs w:val="20"/>
        </w:rPr>
        <w:t xml:space="preserve"> Následně </w:t>
      </w:r>
      <w:r w:rsidR="00FB2D4C" w:rsidRPr="00FB2D4C">
        <w:rPr>
          <w:rFonts w:ascii="Arial" w:hAnsi="Arial" w:cs="Arial"/>
          <w:sz w:val="20"/>
          <w:szCs w:val="20"/>
        </w:rPr>
        <w:t xml:space="preserve">ukážeme vývoj rozdílů mezi výdělky mužů a žen dle dosaženého vzdělání v letech </w:t>
      </w:r>
      <w:r w:rsidR="00FB2D4C" w:rsidRPr="00FB2D4C">
        <w:rPr>
          <w:rFonts w:ascii="Arial" w:hAnsi="Arial" w:cs="Arial"/>
          <w:sz w:val="20"/>
          <w:szCs w:val="20"/>
        </w:rPr>
        <w:lastRenderedPageBreak/>
        <w:t>2000 až 2012.</w:t>
      </w:r>
      <w:r w:rsidRPr="00442515">
        <w:rPr>
          <w:rFonts w:ascii="Arial" w:eastAsia="ChaparralPro-Regular" w:hAnsi="Arial" w:cs="Arial"/>
          <w:color w:val="auto"/>
          <w:sz w:val="20"/>
          <w:szCs w:val="20"/>
        </w:rPr>
        <w:t xml:space="preserve"> Poté porovnáme celkové veřejné i soukromé náklady a výnosy na/ze vz</w:t>
      </w:r>
      <w:r w:rsidR="00E52654">
        <w:rPr>
          <w:rFonts w:ascii="Arial" w:eastAsia="ChaparralPro-Regular" w:hAnsi="Arial" w:cs="Arial"/>
          <w:color w:val="auto"/>
          <w:sz w:val="20"/>
          <w:szCs w:val="20"/>
        </w:rPr>
        <w:t>dělávání v ČR s jinými zeměmi a </w:t>
      </w:r>
      <w:r w:rsidRPr="00442515">
        <w:rPr>
          <w:rFonts w:ascii="Arial" w:eastAsia="ChaparralPro-Regular" w:hAnsi="Arial" w:cs="Arial"/>
          <w:color w:val="auto"/>
          <w:sz w:val="20"/>
          <w:szCs w:val="20"/>
        </w:rPr>
        <w:t>s mezinárodními průměry.</w:t>
      </w:r>
    </w:p>
    <w:p w:rsidR="00113436" w:rsidRPr="00442515" w:rsidRDefault="00113436" w:rsidP="00113436">
      <w:pPr>
        <w:pStyle w:val="Default"/>
        <w:jc w:val="both"/>
        <w:rPr>
          <w:rFonts w:ascii="Arial" w:eastAsia="ChaparralPro-Regular" w:hAnsi="Arial" w:cs="Arial"/>
          <w:color w:val="auto"/>
          <w:sz w:val="20"/>
          <w:szCs w:val="20"/>
        </w:rPr>
      </w:pPr>
    </w:p>
    <w:p w:rsidR="002C4A87" w:rsidRDefault="002C4A87" w:rsidP="002C4A87">
      <w:pPr>
        <w:pStyle w:val="Nadpis3"/>
        <w:spacing w:after="120"/>
      </w:pPr>
      <w:bookmarkStart w:id="41" w:name="_Toc460424399"/>
      <w:r>
        <w:t>Prezentace indikátorů</w:t>
      </w:r>
      <w:bookmarkEnd w:id="41"/>
    </w:p>
    <w:p w:rsidR="00306953" w:rsidRPr="00442515" w:rsidRDefault="00306953" w:rsidP="00306953">
      <w:pPr>
        <w:pStyle w:val="Default"/>
        <w:spacing w:after="120"/>
        <w:jc w:val="both"/>
        <w:rPr>
          <w:rFonts w:ascii="Arial" w:eastAsia="ChaparralPro-Regular" w:hAnsi="Arial" w:cs="Arial"/>
          <w:color w:val="auto"/>
          <w:sz w:val="20"/>
          <w:szCs w:val="20"/>
        </w:rPr>
      </w:pPr>
      <w:r w:rsidRPr="00442515">
        <w:rPr>
          <w:rFonts w:ascii="Arial" w:eastAsia="ChaparralPro-Regular" w:hAnsi="Arial" w:cs="Arial"/>
          <w:color w:val="auto"/>
          <w:sz w:val="20"/>
          <w:szCs w:val="20"/>
        </w:rPr>
        <w:t>Tabulka č. 33 se zaměřuje na muže a ženy ve věku 25 až 64 let v ČR, v mezinárodních průměrech a ve vybraných zemích. Uvádí výši výdělků osob s nižším než vyšším sekundárním a s terciárním vzděláním jakožto procento výdělků osob s vyšším sekundárním vzděláním v roce 2013.</w:t>
      </w:r>
    </w:p>
    <w:p w:rsidR="00306953" w:rsidRPr="00442515" w:rsidRDefault="00306953" w:rsidP="00576B24">
      <w:pPr>
        <w:pStyle w:val="Default"/>
        <w:keepNext/>
        <w:spacing w:after="120"/>
        <w:jc w:val="both"/>
        <w:rPr>
          <w:rFonts w:ascii="Arial" w:eastAsia="ChaparralPro-Regular" w:hAnsi="Arial" w:cs="Arial"/>
          <w:b/>
          <w:color w:val="auto"/>
          <w:sz w:val="20"/>
          <w:szCs w:val="20"/>
        </w:rPr>
      </w:pPr>
      <w:r w:rsidRPr="00442515">
        <w:rPr>
          <w:rFonts w:ascii="Arial" w:eastAsia="ChaparralPro-Regular" w:hAnsi="Arial" w:cs="Arial"/>
          <w:b/>
          <w:color w:val="auto"/>
          <w:sz w:val="20"/>
          <w:szCs w:val="20"/>
        </w:rPr>
        <w:t>Tabulka č. 33 Výdělky zaměstnaných osob ve věku 25 až 64 let jakožto % výdělků osob ve věku 25 až 64 let s vyšším sekundárním vzděláním v roce 2013 – dle pohlaví</w:t>
      </w:r>
    </w:p>
    <w:tbl>
      <w:tblPr>
        <w:tblW w:w="8640" w:type="dxa"/>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1440"/>
        <w:gridCol w:w="1360"/>
        <w:gridCol w:w="960"/>
        <w:gridCol w:w="1500"/>
        <w:gridCol w:w="960"/>
        <w:gridCol w:w="1460"/>
        <w:gridCol w:w="960"/>
      </w:tblGrid>
      <w:tr w:rsidR="00306953" w:rsidRPr="00442515" w:rsidTr="00113436">
        <w:trPr>
          <w:trHeight w:val="255"/>
        </w:trPr>
        <w:tc>
          <w:tcPr>
            <w:tcW w:w="1440" w:type="dxa"/>
            <w:vMerge w:val="restart"/>
            <w:tcBorders>
              <w:top w:val="double" w:sz="4" w:space="0" w:color="auto"/>
              <w:bottom w:val="single" w:sz="4" w:space="0" w:color="auto"/>
            </w:tcBorders>
            <w:shd w:val="clear" w:color="auto" w:fill="FFCCCC"/>
            <w:noWrap/>
            <w:vAlign w:val="bottom"/>
            <w:hideMark/>
          </w:tcPr>
          <w:p w:rsidR="00306953" w:rsidRPr="00442515" w:rsidRDefault="00306953" w:rsidP="00442515">
            <w:pPr>
              <w:keepNext/>
              <w:spacing w:after="0" w:line="240" w:lineRule="auto"/>
              <w:rPr>
                <w:rFonts w:cs="Arial"/>
                <w:color w:val="000000"/>
                <w:sz w:val="16"/>
                <w:szCs w:val="16"/>
              </w:rPr>
            </w:pPr>
            <w:r w:rsidRPr="00442515">
              <w:rPr>
                <w:rFonts w:cs="Arial"/>
                <w:color w:val="000000"/>
                <w:sz w:val="16"/>
                <w:szCs w:val="16"/>
              </w:rPr>
              <w:t> </w:t>
            </w:r>
          </w:p>
        </w:tc>
        <w:tc>
          <w:tcPr>
            <w:tcW w:w="2320" w:type="dxa"/>
            <w:gridSpan w:val="2"/>
            <w:tcBorders>
              <w:top w:val="double" w:sz="4" w:space="0" w:color="auto"/>
              <w:bottom w:val="single" w:sz="4" w:space="0" w:color="auto"/>
            </w:tcBorders>
            <w:shd w:val="clear" w:color="auto" w:fill="FFCCCC"/>
            <w:noWrap/>
            <w:vAlign w:val="center"/>
            <w:hideMark/>
          </w:tcPr>
          <w:p w:rsidR="00306953" w:rsidRPr="00442515" w:rsidRDefault="00306953" w:rsidP="004C55CD">
            <w:pPr>
              <w:keepNext/>
              <w:spacing w:after="0" w:line="240" w:lineRule="auto"/>
              <w:jc w:val="center"/>
              <w:rPr>
                <w:rFonts w:cs="Arial"/>
                <w:b/>
                <w:bCs/>
                <w:sz w:val="16"/>
                <w:szCs w:val="16"/>
              </w:rPr>
            </w:pPr>
            <w:r w:rsidRPr="00442515">
              <w:rPr>
                <w:rFonts w:cs="Arial"/>
                <w:b/>
                <w:bCs/>
                <w:sz w:val="16"/>
                <w:szCs w:val="16"/>
              </w:rPr>
              <w:t>muži i ženy</w:t>
            </w:r>
          </w:p>
        </w:tc>
        <w:tc>
          <w:tcPr>
            <w:tcW w:w="2460" w:type="dxa"/>
            <w:gridSpan w:val="2"/>
            <w:tcBorders>
              <w:top w:val="double" w:sz="4" w:space="0" w:color="auto"/>
              <w:bottom w:val="single" w:sz="4" w:space="0" w:color="auto"/>
            </w:tcBorders>
            <w:shd w:val="clear" w:color="auto" w:fill="FFCCCC"/>
            <w:noWrap/>
            <w:vAlign w:val="center"/>
            <w:hideMark/>
          </w:tcPr>
          <w:p w:rsidR="00306953" w:rsidRPr="00442515" w:rsidRDefault="00306953" w:rsidP="004C55CD">
            <w:pPr>
              <w:keepNext/>
              <w:spacing w:after="0" w:line="240" w:lineRule="auto"/>
              <w:jc w:val="center"/>
              <w:rPr>
                <w:rFonts w:cs="Arial"/>
                <w:b/>
                <w:bCs/>
                <w:sz w:val="16"/>
                <w:szCs w:val="16"/>
              </w:rPr>
            </w:pPr>
            <w:r w:rsidRPr="00442515">
              <w:rPr>
                <w:rFonts w:cs="Arial"/>
                <w:b/>
                <w:bCs/>
                <w:sz w:val="16"/>
                <w:szCs w:val="16"/>
              </w:rPr>
              <w:t>muži</w:t>
            </w:r>
          </w:p>
        </w:tc>
        <w:tc>
          <w:tcPr>
            <w:tcW w:w="2420" w:type="dxa"/>
            <w:gridSpan w:val="2"/>
            <w:tcBorders>
              <w:top w:val="double" w:sz="4" w:space="0" w:color="auto"/>
              <w:bottom w:val="single" w:sz="4" w:space="0" w:color="auto"/>
            </w:tcBorders>
            <w:shd w:val="clear" w:color="auto" w:fill="FFCCCC"/>
            <w:noWrap/>
            <w:vAlign w:val="center"/>
            <w:hideMark/>
          </w:tcPr>
          <w:p w:rsidR="00306953" w:rsidRPr="00442515" w:rsidRDefault="00306953" w:rsidP="004C55CD">
            <w:pPr>
              <w:keepNext/>
              <w:spacing w:after="0" w:line="240" w:lineRule="auto"/>
              <w:jc w:val="center"/>
              <w:rPr>
                <w:rFonts w:cs="Arial"/>
                <w:b/>
                <w:bCs/>
                <w:sz w:val="16"/>
                <w:szCs w:val="16"/>
              </w:rPr>
            </w:pPr>
            <w:r w:rsidRPr="00442515">
              <w:rPr>
                <w:rFonts w:cs="Arial"/>
                <w:b/>
                <w:bCs/>
                <w:sz w:val="16"/>
                <w:szCs w:val="16"/>
              </w:rPr>
              <w:t>ženy</w:t>
            </w:r>
          </w:p>
        </w:tc>
      </w:tr>
      <w:tr w:rsidR="00306953" w:rsidRPr="00442515" w:rsidTr="00113436">
        <w:trPr>
          <w:trHeight w:val="442"/>
        </w:trPr>
        <w:tc>
          <w:tcPr>
            <w:tcW w:w="1440" w:type="dxa"/>
            <w:vMerge/>
            <w:tcBorders>
              <w:top w:val="single" w:sz="4" w:space="0" w:color="auto"/>
              <w:bottom w:val="double" w:sz="4" w:space="0" w:color="auto"/>
            </w:tcBorders>
            <w:shd w:val="clear" w:color="auto" w:fill="FFCCCC"/>
            <w:vAlign w:val="center"/>
            <w:hideMark/>
          </w:tcPr>
          <w:p w:rsidR="00306953" w:rsidRPr="00442515" w:rsidRDefault="00306953" w:rsidP="00442515">
            <w:pPr>
              <w:keepNext/>
              <w:spacing w:after="0" w:line="240" w:lineRule="auto"/>
              <w:rPr>
                <w:rFonts w:cs="Arial"/>
                <w:color w:val="000000"/>
                <w:sz w:val="16"/>
                <w:szCs w:val="16"/>
              </w:rPr>
            </w:pPr>
          </w:p>
        </w:tc>
        <w:tc>
          <w:tcPr>
            <w:tcW w:w="1360" w:type="dxa"/>
            <w:tcBorders>
              <w:top w:val="single" w:sz="4" w:space="0" w:color="auto"/>
              <w:bottom w:val="double" w:sz="4" w:space="0" w:color="auto"/>
            </w:tcBorders>
            <w:shd w:val="clear" w:color="auto" w:fill="FFCCCC"/>
            <w:vAlign w:val="center"/>
            <w:hideMark/>
          </w:tcPr>
          <w:p w:rsidR="00306953" w:rsidRPr="00442515" w:rsidRDefault="00306953" w:rsidP="00442515">
            <w:pPr>
              <w:keepNext/>
              <w:spacing w:after="0" w:line="240" w:lineRule="auto"/>
              <w:jc w:val="center"/>
              <w:rPr>
                <w:rFonts w:cs="Arial"/>
                <w:b/>
                <w:bCs/>
                <w:sz w:val="16"/>
                <w:szCs w:val="16"/>
              </w:rPr>
            </w:pPr>
            <w:r w:rsidRPr="00442515">
              <w:rPr>
                <w:rFonts w:cs="Arial"/>
                <w:b/>
                <w:bCs/>
                <w:sz w:val="16"/>
                <w:szCs w:val="16"/>
              </w:rPr>
              <w:t>nižší než vyšší sekundární</w:t>
            </w:r>
          </w:p>
        </w:tc>
        <w:tc>
          <w:tcPr>
            <w:tcW w:w="960" w:type="dxa"/>
            <w:tcBorders>
              <w:top w:val="single" w:sz="4" w:space="0" w:color="auto"/>
              <w:bottom w:val="double" w:sz="4" w:space="0" w:color="auto"/>
            </w:tcBorders>
            <w:shd w:val="clear" w:color="auto" w:fill="FFCCCC"/>
            <w:vAlign w:val="center"/>
            <w:hideMark/>
          </w:tcPr>
          <w:p w:rsidR="00306953" w:rsidRPr="00442515" w:rsidRDefault="00306953" w:rsidP="004C55CD">
            <w:pPr>
              <w:keepNext/>
              <w:spacing w:after="0" w:line="240" w:lineRule="auto"/>
              <w:jc w:val="center"/>
              <w:rPr>
                <w:rFonts w:cs="Arial"/>
                <w:b/>
                <w:bCs/>
                <w:sz w:val="16"/>
                <w:szCs w:val="16"/>
              </w:rPr>
            </w:pPr>
            <w:r w:rsidRPr="00442515">
              <w:rPr>
                <w:rFonts w:cs="Arial"/>
                <w:b/>
                <w:bCs/>
                <w:sz w:val="16"/>
                <w:szCs w:val="16"/>
              </w:rPr>
              <w:t>terciární</w:t>
            </w:r>
          </w:p>
        </w:tc>
        <w:tc>
          <w:tcPr>
            <w:tcW w:w="1500" w:type="dxa"/>
            <w:tcBorders>
              <w:top w:val="single" w:sz="4" w:space="0" w:color="auto"/>
              <w:bottom w:val="double" w:sz="4" w:space="0" w:color="auto"/>
            </w:tcBorders>
            <w:shd w:val="clear" w:color="auto" w:fill="FFCCCC"/>
            <w:vAlign w:val="center"/>
            <w:hideMark/>
          </w:tcPr>
          <w:p w:rsidR="00306953" w:rsidRPr="00442515" w:rsidRDefault="00306953" w:rsidP="004C55CD">
            <w:pPr>
              <w:keepNext/>
              <w:spacing w:after="0" w:line="240" w:lineRule="auto"/>
              <w:jc w:val="center"/>
              <w:rPr>
                <w:rFonts w:cs="Arial"/>
                <w:b/>
                <w:bCs/>
                <w:sz w:val="16"/>
                <w:szCs w:val="16"/>
              </w:rPr>
            </w:pPr>
            <w:r w:rsidRPr="00442515">
              <w:rPr>
                <w:rFonts w:cs="Arial"/>
                <w:b/>
                <w:bCs/>
                <w:sz w:val="16"/>
                <w:szCs w:val="16"/>
              </w:rPr>
              <w:t>nižší než vyšší sekundární</w:t>
            </w:r>
          </w:p>
        </w:tc>
        <w:tc>
          <w:tcPr>
            <w:tcW w:w="960" w:type="dxa"/>
            <w:tcBorders>
              <w:top w:val="single" w:sz="4" w:space="0" w:color="auto"/>
              <w:bottom w:val="double" w:sz="4" w:space="0" w:color="auto"/>
            </w:tcBorders>
            <w:shd w:val="clear" w:color="auto" w:fill="FFCCCC"/>
            <w:vAlign w:val="center"/>
            <w:hideMark/>
          </w:tcPr>
          <w:p w:rsidR="00306953" w:rsidRPr="00442515" w:rsidRDefault="00306953" w:rsidP="004C55CD">
            <w:pPr>
              <w:keepNext/>
              <w:spacing w:after="0" w:line="240" w:lineRule="auto"/>
              <w:jc w:val="center"/>
              <w:rPr>
                <w:rFonts w:cs="Arial"/>
                <w:b/>
                <w:bCs/>
                <w:sz w:val="16"/>
                <w:szCs w:val="16"/>
              </w:rPr>
            </w:pPr>
            <w:r w:rsidRPr="00442515">
              <w:rPr>
                <w:rFonts w:cs="Arial"/>
                <w:b/>
                <w:bCs/>
                <w:sz w:val="16"/>
                <w:szCs w:val="16"/>
              </w:rPr>
              <w:t>terciární</w:t>
            </w:r>
          </w:p>
        </w:tc>
        <w:tc>
          <w:tcPr>
            <w:tcW w:w="1460" w:type="dxa"/>
            <w:tcBorders>
              <w:top w:val="single" w:sz="4" w:space="0" w:color="auto"/>
              <w:bottom w:val="double" w:sz="4" w:space="0" w:color="auto"/>
            </w:tcBorders>
            <w:shd w:val="clear" w:color="auto" w:fill="FFCCCC"/>
            <w:vAlign w:val="center"/>
            <w:hideMark/>
          </w:tcPr>
          <w:p w:rsidR="00306953" w:rsidRPr="00442515" w:rsidRDefault="00306953" w:rsidP="004C55CD">
            <w:pPr>
              <w:keepNext/>
              <w:spacing w:after="0" w:line="240" w:lineRule="auto"/>
              <w:jc w:val="center"/>
              <w:rPr>
                <w:rFonts w:cs="Arial"/>
                <w:b/>
                <w:bCs/>
                <w:sz w:val="16"/>
                <w:szCs w:val="16"/>
              </w:rPr>
            </w:pPr>
            <w:r w:rsidRPr="00442515">
              <w:rPr>
                <w:rFonts w:cs="Arial"/>
                <w:b/>
                <w:bCs/>
                <w:sz w:val="16"/>
                <w:szCs w:val="16"/>
              </w:rPr>
              <w:t>nižší než vyšší sekundární</w:t>
            </w:r>
          </w:p>
        </w:tc>
        <w:tc>
          <w:tcPr>
            <w:tcW w:w="960" w:type="dxa"/>
            <w:tcBorders>
              <w:top w:val="single" w:sz="4" w:space="0" w:color="auto"/>
              <w:bottom w:val="double" w:sz="4" w:space="0" w:color="auto"/>
            </w:tcBorders>
            <w:shd w:val="clear" w:color="auto" w:fill="FFCCCC"/>
            <w:vAlign w:val="center"/>
            <w:hideMark/>
          </w:tcPr>
          <w:p w:rsidR="00306953" w:rsidRPr="00442515" w:rsidRDefault="00306953" w:rsidP="004C55CD">
            <w:pPr>
              <w:keepNext/>
              <w:spacing w:after="0" w:line="240" w:lineRule="auto"/>
              <w:jc w:val="center"/>
              <w:rPr>
                <w:rFonts w:cs="Arial"/>
                <w:b/>
                <w:bCs/>
                <w:sz w:val="16"/>
                <w:szCs w:val="16"/>
              </w:rPr>
            </w:pPr>
            <w:r w:rsidRPr="00442515">
              <w:rPr>
                <w:rFonts w:cs="Arial"/>
                <w:b/>
                <w:bCs/>
                <w:sz w:val="16"/>
                <w:szCs w:val="16"/>
              </w:rPr>
              <w:t>terciární</w:t>
            </w:r>
          </w:p>
        </w:tc>
      </w:tr>
      <w:tr w:rsidR="00306953" w:rsidRPr="00442515" w:rsidTr="00113436">
        <w:trPr>
          <w:trHeight w:val="255"/>
        </w:trPr>
        <w:tc>
          <w:tcPr>
            <w:tcW w:w="1440" w:type="dxa"/>
            <w:tcBorders>
              <w:top w:val="double" w:sz="4" w:space="0" w:color="auto"/>
            </w:tcBorders>
            <w:shd w:val="clear" w:color="auto" w:fill="auto"/>
            <w:noWrap/>
            <w:vAlign w:val="center"/>
            <w:hideMark/>
          </w:tcPr>
          <w:p w:rsidR="00306953" w:rsidRPr="00442515" w:rsidRDefault="00306953" w:rsidP="004C55CD">
            <w:pPr>
              <w:spacing w:after="0" w:line="240" w:lineRule="auto"/>
              <w:rPr>
                <w:rFonts w:cs="Arial"/>
                <w:sz w:val="16"/>
                <w:szCs w:val="16"/>
              </w:rPr>
            </w:pPr>
            <w:r w:rsidRPr="00442515">
              <w:rPr>
                <w:rFonts w:cs="Arial"/>
                <w:sz w:val="16"/>
                <w:szCs w:val="16"/>
              </w:rPr>
              <w:t>Česká republika</w:t>
            </w:r>
          </w:p>
        </w:tc>
        <w:tc>
          <w:tcPr>
            <w:tcW w:w="1360" w:type="dxa"/>
            <w:tcBorders>
              <w:top w:val="double" w:sz="4" w:space="0" w:color="auto"/>
            </w:tcBorders>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74</w:t>
            </w:r>
          </w:p>
        </w:tc>
        <w:tc>
          <w:tcPr>
            <w:tcW w:w="960" w:type="dxa"/>
            <w:tcBorders>
              <w:top w:val="double" w:sz="4" w:space="0" w:color="auto"/>
            </w:tcBorders>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175</w:t>
            </w:r>
          </w:p>
        </w:tc>
        <w:tc>
          <w:tcPr>
            <w:tcW w:w="1500" w:type="dxa"/>
            <w:tcBorders>
              <w:top w:val="double" w:sz="4" w:space="0" w:color="auto"/>
            </w:tcBorders>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76</w:t>
            </w:r>
          </w:p>
        </w:tc>
        <w:tc>
          <w:tcPr>
            <w:tcW w:w="960" w:type="dxa"/>
            <w:tcBorders>
              <w:top w:val="double" w:sz="4" w:space="0" w:color="auto"/>
            </w:tcBorders>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188</w:t>
            </w:r>
          </w:p>
        </w:tc>
        <w:tc>
          <w:tcPr>
            <w:tcW w:w="1460" w:type="dxa"/>
            <w:tcBorders>
              <w:top w:val="double" w:sz="4" w:space="0" w:color="auto"/>
            </w:tcBorders>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75</w:t>
            </w:r>
          </w:p>
        </w:tc>
        <w:tc>
          <w:tcPr>
            <w:tcW w:w="960" w:type="dxa"/>
            <w:tcBorders>
              <w:top w:val="double" w:sz="4" w:space="0" w:color="auto"/>
            </w:tcBorders>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160</w:t>
            </w:r>
          </w:p>
        </w:tc>
      </w:tr>
      <w:tr w:rsidR="00306953" w:rsidRPr="00442515" w:rsidTr="00113436">
        <w:trPr>
          <w:trHeight w:val="255"/>
        </w:trPr>
        <w:tc>
          <w:tcPr>
            <w:tcW w:w="1440" w:type="dxa"/>
            <w:shd w:val="clear" w:color="auto" w:fill="auto"/>
            <w:noWrap/>
            <w:vAlign w:val="center"/>
            <w:hideMark/>
          </w:tcPr>
          <w:p w:rsidR="00306953" w:rsidRPr="00442515" w:rsidRDefault="00306953" w:rsidP="004C55CD">
            <w:pPr>
              <w:spacing w:after="0" w:line="240" w:lineRule="auto"/>
              <w:rPr>
                <w:rFonts w:cs="Arial"/>
                <w:sz w:val="16"/>
                <w:szCs w:val="16"/>
              </w:rPr>
            </w:pPr>
            <w:r w:rsidRPr="00442515">
              <w:rPr>
                <w:rFonts w:cs="Arial"/>
                <w:sz w:val="16"/>
                <w:szCs w:val="16"/>
              </w:rPr>
              <w:t>Slovensko</w:t>
            </w:r>
          </w:p>
        </w:tc>
        <w:tc>
          <w:tcPr>
            <w:tcW w:w="1360"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68</w:t>
            </w:r>
          </w:p>
        </w:tc>
        <w:tc>
          <w:tcPr>
            <w:tcW w:w="960"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171</w:t>
            </w:r>
          </w:p>
        </w:tc>
        <w:tc>
          <w:tcPr>
            <w:tcW w:w="1500"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71</w:t>
            </w:r>
          </w:p>
        </w:tc>
        <w:tc>
          <w:tcPr>
            <w:tcW w:w="960"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181</w:t>
            </w:r>
          </w:p>
        </w:tc>
        <w:tc>
          <w:tcPr>
            <w:tcW w:w="1460"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71</w:t>
            </w:r>
          </w:p>
        </w:tc>
        <w:tc>
          <w:tcPr>
            <w:tcW w:w="960"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168</w:t>
            </w:r>
          </w:p>
        </w:tc>
      </w:tr>
      <w:tr w:rsidR="00306953" w:rsidRPr="00442515" w:rsidTr="00113436">
        <w:trPr>
          <w:trHeight w:val="255"/>
        </w:trPr>
        <w:tc>
          <w:tcPr>
            <w:tcW w:w="1440" w:type="dxa"/>
            <w:shd w:val="clear" w:color="auto" w:fill="auto"/>
            <w:noWrap/>
            <w:vAlign w:val="center"/>
            <w:hideMark/>
          </w:tcPr>
          <w:p w:rsidR="00306953" w:rsidRPr="00442515" w:rsidRDefault="00306953" w:rsidP="004C55CD">
            <w:pPr>
              <w:spacing w:after="0" w:line="240" w:lineRule="auto"/>
              <w:rPr>
                <w:rFonts w:cs="Arial"/>
                <w:sz w:val="16"/>
                <w:szCs w:val="16"/>
              </w:rPr>
            </w:pPr>
            <w:r w:rsidRPr="00442515">
              <w:rPr>
                <w:rFonts w:cs="Arial"/>
                <w:sz w:val="16"/>
                <w:szCs w:val="16"/>
              </w:rPr>
              <w:t xml:space="preserve">Polsko </w:t>
            </w:r>
            <w:r w:rsidRPr="00442515">
              <w:rPr>
                <w:rFonts w:cs="Arial"/>
                <w:sz w:val="16"/>
                <w:szCs w:val="16"/>
                <w:vertAlign w:val="superscript"/>
              </w:rPr>
              <w:t>1)</w:t>
            </w:r>
          </w:p>
        </w:tc>
        <w:tc>
          <w:tcPr>
            <w:tcW w:w="1360"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84</w:t>
            </w:r>
          </w:p>
        </w:tc>
        <w:tc>
          <w:tcPr>
            <w:tcW w:w="960"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171</w:t>
            </w:r>
          </w:p>
        </w:tc>
        <w:tc>
          <w:tcPr>
            <w:tcW w:w="1500"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86</w:t>
            </w:r>
          </w:p>
        </w:tc>
        <w:tc>
          <w:tcPr>
            <w:tcW w:w="960"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187</w:t>
            </w:r>
          </w:p>
        </w:tc>
        <w:tc>
          <w:tcPr>
            <w:tcW w:w="1460"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79</w:t>
            </w:r>
          </w:p>
        </w:tc>
        <w:tc>
          <w:tcPr>
            <w:tcW w:w="960"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170</w:t>
            </w:r>
          </w:p>
        </w:tc>
      </w:tr>
      <w:tr w:rsidR="00306953" w:rsidRPr="00442515" w:rsidTr="00113436">
        <w:trPr>
          <w:trHeight w:val="255"/>
        </w:trPr>
        <w:tc>
          <w:tcPr>
            <w:tcW w:w="1440" w:type="dxa"/>
            <w:shd w:val="clear" w:color="auto" w:fill="auto"/>
            <w:noWrap/>
            <w:vAlign w:val="center"/>
            <w:hideMark/>
          </w:tcPr>
          <w:p w:rsidR="00306953" w:rsidRPr="00442515" w:rsidRDefault="00306953" w:rsidP="004C55CD">
            <w:pPr>
              <w:spacing w:after="0" w:line="240" w:lineRule="auto"/>
              <w:rPr>
                <w:rFonts w:cs="Arial"/>
                <w:sz w:val="16"/>
                <w:szCs w:val="16"/>
              </w:rPr>
            </w:pPr>
            <w:r w:rsidRPr="00442515">
              <w:rPr>
                <w:rFonts w:cs="Arial"/>
                <w:sz w:val="16"/>
                <w:szCs w:val="16"/>
              </w:rPr>
              <w:t>Rakousko</w:t>
            </w:r>
          </w:p>
        </w:tc>
        <w:tc>
          <w:tcPr>
            <w:tcW w:w="1360"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71</w:t>
            </w:r>
          </w:p>
        </w:tc>
        <w:tc>
          <w:tcPr>
            <w:tcW w:w="960"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152</w:t>
            </w:r>
          </w:p>
        </w:tc>
        <w:tc>
          <w:tcPr>
            <w:tcW w:w="1500"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73</w:t>
            </w:r>
          </w:p>
        </w:tc>
        <w:tc>
          <w:tcPr>
            <w:tcW w:w="960"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157</w:t>
            </w:r>
          </w:p>
        </w:tc>
        <w:tc>
          <w:tcPr>
            <w:tcW w:w="1460"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79</w:t>
            </w:r>
          </w:p>
        </w:tc>
        <w:tc>
          <w:tcPr>
            <w:tcW w:w="960"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147</w:t>
            </w:r>
          </w:p>
        </w:tc>
      </w:tr>
      <w:tr w:rsidR="00306953" w:rsidRPr="00442515" w:rsidTr="00113436">
        <w:trPr>
          <w:trHeight w:val="255"/>
        </w:trPr>
        <w:tc>
          <w:tcPr>
            <w:tcW w:w="1440" w:type="dxa"/>
            <w:shd w:val="clear" w:color="000000" w:fill="FFFFFF"/>
            <w:noWrap/>
            <w:vAlign w:val="center"/>
            <w:hideMark/>
          </w:tcPr>
          <w:p w:rsidR="00306953" w:rsidRPr="00442515" w:rsidRDefault="00306953" w:rsidP="004C55CD">
            <w:pPr>
              <w:spacing w:after="0" w:line="240" w:lineRule="auto"/>
              <w:rPr>
                <w:rFonts w:cs="Arial"/>
                <w:sz w:val="16"/>
                <w:szCs w:val="16"/>
              </w:rPr>
            </w:pPr>
            <w:r w:rsidRPr="00442515">
              <w:rPr>
                <w:rFonts w:cs="Arial"/>
                <w:sz w:val="16"/>
                <w:szCs w:val="16"/>
              </w:rPr>
              <w:t xml:space="preserve">Estonsko </w:t>
            </w:r>
            <w:r w:rsidRPr="00442515">
              <w:rPr>
                <w:rFonts w:cs="Arial"/>
                <w:sz w:val="16"/>
                <w:szCs w:val="16"/>
                <w:vertAlign w:val="superscript"/>
              </w:rPr>
              <w:t>2)</w:t>
            </w:r>
          </w:p>
        </w:tc>
        <w:tc>
          <w:tcPr>
            <w:tcW w:w="1360" w:type="dxa"/>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91</w:t>
            </w:r>
          </w:p>
        </w:tc>
        <w:tc>
          <w:tcPr>
            <w:tcW w:w="960" w:type="dxa"/>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135</w:t>
            </w:r>
          </w:p>
        </w:tc>
        <w:tc>
          <w:tcPr>
            <w:tcW w:w="1500" w:type="dxa"/>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83</w:t>
            </w:r>
          </w:p>
        </w:tc>
        <w:tc>
          <w:tcPr>
            <w:tcW w:w="960" w:type="dxa"/>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136</w:t>
            </w:r>
          </w:p>
        </w:tc>
        <w:tc>
          <w:tcPr>
            <w:tcW w:w="1460" w:type="dxa"/>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92</w:t>
            </w:r>
          </w:p>
        </w:tc>
        <w:tc>
          <w:tcPr>
            <w:tcW w:w="960" w:type="dxa"/>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165</w:t>
            </w:r>
          </w:p>
        </w:tc>
      </w:tr>
      <w:tr w:rsidR="00306953" w:rsidRPr="00442515" w:rsidTr="00113436">
        <w:trPr>
          <w:trHeight w:val="255"/>
        </w:trPr>
        <w:tc>
          <w:tcPr>
            <w:tcW w:w="1440" w:type="dxa"/>
            <w:shd w:val="clear" w:color="auto" w:fill="auto"/>
            <w:noWrap/>
            <w:vAlign w:val="center"/>
            <w:hideMark/>
          </w:tcPr>
          <w:p w:rsidR="00306953" w:rsidRPr="00442515" w:rsidRDefault="00306953" w:rsidP="004C55CD">
            <w:pPr>
              <w:spacing w:after="0" w:line="240" w:lineRule="auto"/>
              <w:rPr>
                <w:rFonts w:cs="Arial"/>
                <w:sz w:val="16"/>
                <w:szCs w:val="16"/>
              </w:rPr>
            </w:pPr>
            <w:r w:rsidRPr="00442515">
              <w:rPr>
                <w:rFonts w:cs="Arial"/>
                <w:sz w:val="16"/>
                <w:szCs w:val="16"/>
              </w:rPr>
              <w:t>Finsko</w:t>
            </w:r>
            <w:r w:rsidR="001A0FC0" w:rsidRPr="001A0FC0">
              <w:rPr>
                <w:rFonts w:cs="Arial"/>
                <w:sz w:val="16"/>
                <w:szCs w:val="16"/>
                <w:vertAlign w:val="superscript"/>
              </w:rPr>
              <w:t>3)</w:t>
            </w:r>
          </w:p>
        </w:tc>
        <w:tc>
          <w:tcPr>
            <w:tcW w:w="1360"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93</w:t>
            </w:r>
          </w:p>
        </w:tc>
        <w:tc>
          <w:tcPr>
            <w:tcW w:w="960"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148</w:t>
            </w:r>
          </w:p>
        </w:tc>
        <w:tc>
          <w:tcPr>
            <w:tcW w:w="1500"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90</w:t>
            </w:r>
          </w:p>
        </w:tc>
        <w:tc>
          <w:tcPr>
            <w:tcW w:w="960"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159</w:t>
            </w:r>
          </w:p>
        </w:tc>
        <w:tc>
          <w:tcPr>
            <w:tcW w:w="1460"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93</w:t>
            </w:r>
          </w:p>
        </w:tc>
        <w:tc>
          <w:tcPr>
            <w:tcW w:w="960"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148</w:t>
            </w:r>
          </w:p>
        </w:tc>
      </w:tr>
      <w:tr w:rsidR="00306953" w:rsidRPr="00442515" w:rsidTr="00113436">
        <w:trPr>
          <w:trHeight w:val="255"/>
        </w:trPr>
        <w:tc>
          <w:tcPr>
            <w:tcW w:w="1440" w:type="dxa"/>
            <w:shd w:val="clear" w:color="auto" w:fill="C6D9F1" w:themeFill="text2" w:themeFillTint="33"/>
            <w:vAlign w:val="center"/>
            <w:hideMark/>
          </w:tcPr>
          <w:p w:rsidR="00306953" w:rsidRPr="00631582" w:rsidRDefault="00306953" w:rsidP="004C55CD">
            <w:pPr>
              <w:spacing w:after="0" w:line="240" w:lineRule="auto"/>
              <w:rPr>
                <w:rFonts w:cs="Arial"/>
                <w:bCs/>
                <w:sz w:val="16"/>
                <w:szCs w:val="16"/>
              </w:rPr>
            </w:pPr>
            <w:r w:rsidRPr="00631582">
              <w:rPr>
                <w:rFonts w:cs="Arial"/>
                <w:bCs/>
                <w:sz w:val="16"/>
                <w:szCs w:val="16"/>
              </w:rPr>
              <w:t>průměr OECD</w:t>
            </w:r>
          </w:p>
        </w:tc>
        <w:tc>
          <w:tcPr>
            <w:tcW w:w="1360"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77</w:t>
            </w:r>
          </w:p>
        </w:tc>
        <w:tc>
          <w:tcPr>
            <w:tcW w:w="960"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160</w:t>
            </w:r>
          </w:p>
        </w:tc>
        <w:tc>
          <w:tcPr>
            <w:tcW w:w="1500"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77</w:t>
            </w:r>
          </w:p>
        </w:tc>
        <w:tc>
          <w:tcPr>
            <w:tcW w:w="960"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166</w:t>
            </w:r>
          </w:p>
        </w:tc>
        <w:tc>
          <w:tcPr>
            <w:tcW w:w="1460"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75</w:t>
            </w:r>
          </w:p>
        </w:tc>
        <w:tc>
          <w:tcPr>
            <w:tcW w:w="960"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163</w:t>
            </w:r>
          </w:p>
        </w:tc>
      </w:tr>
      <w:tr w:rsidR="00306953" w:rsidRPr="00442515" w:rsidTr="00113436">
        <w:trPr>
          <w:trHeight w:val="255"/>
        </w:trPr>
        <w:tc>
          <w:tcPr>
            <w:tcW w:w="1440" w:type="dxa"/>
            <w:shd w:val="clear" w:color="auto" w:fill="C6D9F1" w:themeFill="text2" w:themeFillTint="33"/>
            <w:vAlign w:val="center"/>
            <w:hideMark/>
          </w:tcPr>
          <w:p w:rsidR="00306953" w:rsidRPr="00631582" w:rsidRDefault="00306953" w:rsidP="004C55CD">
            <w:pPr>
              <w:spacing w:after="0" w:line="240" w:lineRule="auto"/>
              <w:rPr>
                <w:rFonts w:cs="Arial"/>
                <w:bCs/>
                <w:sz w:val="16"/>
                <w:szCs w:val="16"/>
              </w:rPr>
            </w:pPr>
            <w:r w:rsidRPr="00631582">
              <w:rPr>
                <w:rFonts w:cs="Arial"/>
                <w:bCs/>
                <w:sz w:val="16"/>
                <w:szCs w:val="16"/>
              </w:rPr>
              <w:t>průměr EU21</w:t>
            </w:r>
          </w:p>
        </w:tc>
        <w:tc>
          <w:tcPr>
            <w:tcW w:w="1360"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79</w:t>
            </w:r>
          </w:p>
        </w:tc>
        <w:tc>
          <w:tcPr>
            <w:tcW w:w="960"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157</w:t>
            </w:r>
          </w:p>
        </w:tc>
        <w:tc>
          <w:tcPr>
            <w:tcW w:w="1500"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79</w:t>
            </w:r>
          </w:p>
        </w:tc>
        <w:tc>
          <w:tcPr>
            <w:tcW w:w="960"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165</w:t>
            </w:r>
          </w:p>
        </w:tc>
        <w:tc>
          <w:tcPr>
            <w:tcW w:w="1460"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77</w:t>
            </w:r>
          </w:p>
        </w:tc>
        <w:tc>
          <w:tcPr>
            <w:tcW w:w="960"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159</w:t>
            </w:r>
          </w:p>
        </w:tc>
      </w:tr>
    </w:tbl>
    <w:p w:rsidR="00306953" w:rsidRPr="00442515" w:rsidRDefault="00306953" w:rsidP="00B77CA9">
      <w:pPr>
        <w:pStyle w:val="Default"/>
        <w:spacing w:before="120"/>
        <w:jc w:val="both"/>
        <w:rPr>
          <w:rFonts w:ascii="Arial" w:eastAsia="ChaparralPro-Regular" w:hAnsi="Arial" w:cs="Arial"/>
          <w:color w:val="auto"/>
          <w:sz w:val="16"/>
          <w:szCs w:val="16"/>
        </w:rPr>
      </w:pPr>
      <w:r w:rsidRPr="00442515">
        <w:rPr>
          <w:rFonts w:ascii="Arial" w:eastAsia="ChaparralPro-Regular" w:hAnsi="Arial" w:cs="Arial"/>
          <w:color w:val="auto"/>
          <w:sz w:val="16"/>
          <w:szCs w:val="16"/>
          <w:vertAlign w:val="superscript"/>
        </w:rPr>
        <w:t>1)</w:t>
      </w:r>
      <w:r w:rsidR="00DB1402">
        <w:rPr>
          <w:rFonts w:ascii="Arial" w:eastAsia="ChaparralPro-Regular" w:hAnsi="Arial" w:cs="Arial"/>
          <w:color w:val="auto"/>
          <w:sz w:val="16"/>
          <w:szCs w:val="16"/>
        </w:rPr>
        <w:t xml:space="preserve"> Hodnota i</w:t>
      </w:r>
      <w:r w:rsidRPr="00442515">
        <w:rPr>
          <w:rFonts w:ascii="Arial" w:eastAsia="ChaparralPro-Regular" w:hAnsi="Arial" w:cs="Arial"/>
          <w:color w:val="auto"/>
          <w:sz w:val="16"/>
          <w:szCs w:val="16"/>
        </w:rPr>
        <w:t>ndex</w:t>
      </w:r>
      <w:r w:rsidR="00DB1402">
        <w:rPr>
          <w:rFonts w:ascii="Arial" w:eastAsia="ChaparralPro-Regular" w:hAnsi="Arial" w:cs="Arial"/>
          <w:color w:val="auto"/>
          <w:sz w:val="16"/>
          <w:szCs w:val="16"/>
        </w:rPr>
        <w:t>u</w:t>
      </w:r>
      <w:r w:rsidRPr="00442515">
        <w:rPr>
          <w:rFonts w:ascii="Arial" w:eastAsia="ChaparralPro-Regular" w:hAnsi="Arial" w:cs="Arial"/>
          <w:color w:val="auto"/>
          <w:sz w:val="16"/>
          <w:szCs w:val="16"/>
        </w:rPr>
        <w:t xml:space="preserve"> 100 odkazuje na kombinaci úrovní ISCED 3 a 4 podle klasifikace ISCED-97</w:t>
      </w:r>
      <w:r w:rsidR="001A0FC0">
        <w:rPr>
          <w:rFonts w:ascii="Arial" w:eastAsia="ChaparralPro-Regular" w:hAnsi="Arial" w:cs="Arial"/>
          <w:color w:val="auto"/>
          <w:sz w:val="16"/>
          <w:szCs w:val="16"/>
        </w:rPr>
        <w:t>, údaje jsou za rok 2012</w:t>
      </w:r>
      <w:r w:rsidR="008D675E">
        <w:rPr>
          <w:rFonts w:ascii="Arial" w:eastAsia="ChaparralPro-Regular" w:hAnsi="Arial" w:cs="Arial"/>
          <w:color w:val="auto"/>
          <w:sz w:val="16"/>
          <w:szCs w:val="16"/>
        </w:rPr>
        <w:t>.</w:t>
      </w:r>
    </w:p>
    <w:p w:rsidR="00306953" w:rsidRDefault="00306953" w:rsidP="00306953">
      <w:pPr>
        <w:pStyle w:val="Default"/>
        <w:jc w:val="both"/>
        <w:rPr>
          <w:rFonts w:ascii="Arial" w:eastAsia="ChaparralPro-Regular" w:hAnsi="Arial" w:cs="Arial"/>
          <w:color w:val="auto"/>
          <w:sz w:val="16"/>
          <w:szCs w:val="16"/>
        </w:rPr>
      </w:pPr>
      <w:r w:rsidRPr="00442515">
        <w:rPr>
          <w:rFonts w:ascii="Arial" w:eastAsia="ChaparralPro-Regular" w:hAnsi="Arial" w:cs="Arial"/>
          <w:color w:val="auto"/>
          <w:sz w:val="16"/>
          <w:szCs w:val="16"/>
          <w:vertAlign w:val="superscript"/>
        </w:rPr>
        <w:t>2)</w:t>
      </w:r>
      <w:r w:rsidRPr="00442515">
        <w:rPr>
          <w:rFonts w:ascii="Arial" w:eastAsia="ChaparralPro-Regular" w:hAnsi="Arial" w:cs="Arial"/>
          <w:color w:val="auto"/>
          <w:sz w:val="16"/>
          <w:szCs w:val="16"/>
        </w:rPr>
        <w:t xml:space="preserve"> </w:t>
      </w:r>
      <w:r w:rsidR="00DB1402">
        <w:rPr>
          <w:rFonts w:ascii="Arial" w:eastAsia="ChaparralPro-Regular" w:hAnsi="Arial" w:cs="Arial"/>
          <w:color w:val="auto"/>
          <w:sz w:val="16"/>
          <w:szCs w:val="16"/>
        </w:rPr>
        <w:t>Hodnota i</w:t>
      </w:r>
      <w:r w:rsidR="00DB1402" w:rsidRPr="00442515">
        <w:rPr>
          <w:rFonts w:ascii="Arial" w:eastAsia="ChaparralPro-Regular" w:hAnsi="Arial" w:cs="Arial"/>
          <w:color w:val="auto"/>
          <w:sz w:val="16"/>
          <w:szCs w:val="16"/>
        </w:rPr>
        <w:t>ndex</w:t>
      </w:r>
      <w:r w:rsidR="00DB1402">
        <w:rPr>
          <w:rFonts w:ascii="Arial" w:eastAsia="ChaparralPro-Regular" w:hAnsi="Arial" w:cs="Arial"/>
          <w:color w:val="auto"/>
          <w:sz w:val="16"/>
          <w:szCs w:val="16"/>
        </w:rPr>
        <w:t>u</w:t>
      </w:r>
      <w:r w:rsidRPr="00442515">
        <w:rPr>
          <w:rFonts w:ascii="Arial" w:eastAsia="ChaparralPro-Regular" w:hAnsi="Arial" w:cs="Arial"/>
          <w:color w:val="auto"/>
          <w:sz w:val="16"/>
          <w:szCs w:val="16"/>
        </w:rPr>
        <w:t xml:space="preserve"> 100 odkazuje na kombinaci úrovní ISCED 3 a 4 podle klasifikace ISCED 2011</w:t>
      </w:r>
      <w:r w:rsidR="008D675E">
        <w:rPr>
          <w:rFonts w:ascii="Arial" w:eastAsia="ChaparralPro-Regular" w:hAnsi="Arial" w:cs="Arial"/>
          <w:color w:val="auto"/>
          <w:sz w:val="16"/>
          <w:szCs w:val="16"/>
        </w:rPr>
        <w:t>.</w:t>
      </w:r>
    </w:p>
    <w:p w:rsidR="001A0FC0" w:rsidRPr="00442515" w:rsidRDefault="001A0FC0" w:rsidP="00306953">
      <w:pPr>
        <w:pStyle w:val="Default"/>
        <w:jc w:val="both"/>
        <w:rPr>
          <w:rFonts w:ascii="Arial" w:eastAsia="ChaparralPro-Regular" w:hAnsi="Arial" w:cs="Arial"/>
          <w:color w:val="auto"/>
          <w:sz w:val="16"/>
          <w:szCs w:val="16"/>
        </w:rPr>
      </w:pPr>
      <w:r w:rsidRPr="001A0FC0">
        <w:rPr>
          <w:rFonts w:ascii="Arial" w:eastAsia="ChaparralPro-Regular" w:hAnsi="Arial" w:cs="Arial"/>
          <w:color w:val="auto"/>
          <w:sz w:val="16"/>
          <w:szCs w:val="16"/>
          <w:vertAlign w:val="superscript"/>
        </w:rPr>
        <w:t>3)</w:t>
      </w:r>
      <w:r w:rsidR="008D675E">
        <w:rPr>
          <w:rFonts w:ascii="Arial" w:eastAsia="ChaparralPro-Regular" w:hAnsi="Arial" w:cs="Arial"/>
          <w:color w:val="auto"/>
          <w:sz w:val="16"/>
          <w:szCs w:val="16"/>
        </w:rPr>
        <w:t xml:space="preserve"> Ú</w:t>
      </w:r>
      <w:r>
        <w:rPr>
          <w:rFonts w:ascii="Arial" w:eastAsia="ChaparralPro-Regular" w:hAnsi="Arial" w:cs="Arial"/>
          <w:color w:val="auto"/>
          <w:sz w:val="16"/>
          <w:szCs w:val="16"/>
        </w:rPr>
        <w:t>daje jsou za rok 2012</w:t>
      </w:r>
      <w:r w:rsidR="008D675E">
        <w:rPr>
          <w:rFonts w:ascii="Arial" w:eastAsia="ChaparralPro-Regular" w:hAnsi="Arial" w:cs="Arial"/>
          <w:color w:val="auto"/>
          <w:sz w:val="16"/>
          <w:szCs w:val="16"/>
        </w:rPr>
        <w:t>.</w:t>
      </w:r>
    </w:p>
    <w:p w:rsidR="00306953" w:rsidRPr="00442515" w:rsidRDefault="00306953" w:rsidP="00306953">
      <w:pPr>
        <w:pStyle w:val="Default"/>
        <w:jc w:val="both"/>
        <w:rPr>
          <w:rFonts w:ascii="Arial" w:eastAsia="ChaparralPro-Regular" w:hAnsi="Arial" w:cs="Arial"/>
          <w:color w:val="auto"/>
          <w:sz w:val="16"/>
          <w:szCs w:val="16"/>
        </w:rPr>
      </w:pPr>
      <w:r w:rsidRPr="00442515">
        <w:rPr>
          <w:rFonts w:ascii="Arial" w:eastAsia="ChaparralPro-Regular" w:hAnsi="Arial" w:cs="Arial"/>
          <w:color w:val="auto"/>
          <w:sz w:val="16"/>
          <w:szCs w:val="16"/>
        </w:rPr>
        <w:t xml:space="preserve">Zdroj: Tabulka A6.1a, OECD 2015. StatLink: </w:t>
      </w:r>
      <w:hyperlink r:id="rId155" w:history="1">
        <w:r w:rsidRPr="00442515">
          <w:rPr>
            <w:rStyle w:val="Hypertextovodkaz"/>
            <w:rFonts w:ascii="Arial" w:hAnsi="Arial" w:cs="Arial"/>
            <w:sz w:val="16"/>
            <w:szCs w:val="16"/>
          </w:rPr>
          <w:t>http://dx.doi.org/10.1787/888933285052</w:t>
        </w:r>
      </w:hyperlink>
      <w:r w:rsidRPr="00442515">
        <w:rPr>
          <w:rFonts w:ascii="Arial" w:hAnsi="Arial" w:cs="Arial"/>
          <w:sz w:val="16"/>
          <w:szCs w:val="16"/>
        </w:rPr>
        <w:t xml:space="preserve">, </w:t>
      </w:r>
      <w:r w:rsidRPr="00442515">
        <w:rPr>
          <w:rFonts w:ascii="Arial" w:eastAsia="ChaparralPro-Regular" w:hAnsi="Arial" w:cs="Arial"/>
          <w:sz w:val="16"/>
          <w:szCs w:val="16"/>
        </w:rPr>
        <w:t>výběr údajů ČSÚ.</w:t>
      </w:r>
      <w:r w:rsidRPr="00442515">
        <w:rPr>
          <w:rFonts w:ascii="Arial" w:hAnsi="Arial" w:cs="Arial"/>
          <w:color w:val="231F20"/>
          <w:sz w:val="16"/>
          <w:szCs w:val="16"/>
        </w:rPr>
        <w:t xml:space="preserve"> </w:t>
      </w:r>
    </w:p>
    <w:p w:rsidR="00306953" w:rsidRPr="00306953" w:rsidRDefault="00306953" w:rsidP="00306953">
      <w:pPr>
        <w:pStyle w:val="Default"/>
        <w:jc w:val="both"/>
        <w:rPr>
          <w:rFonts w:ascii="Arial" w:eastAsia="ChaparralPro-Regular" w:hAnsi="Arial" w:cs="Arial"/>
          <w:color w:val="auto"/>
          <w:sz w:val="12"/>
          <w:szCs w:val="12"/>
        </w:rPr>
      </w:pPr>
    </w:p>
    <w:p w:rsidR="00306953" w:rsidRPr="00442515" w:rsidRDefault="00306953" w:rsidP="00306953">
      <w:pPr>
        <w:pStyle w:val="Default"/>
        <w:spacing w:after="120"/>
        <w:jc w:val="both"/>
        <w:rPr>
          <w:rFonts w:ascii="Arial" w:eastAsia="ChaparralPro-Regular" w:hAnsi="Arial" w:cs="Arial"/>
          <w:color w:val="auto"/>
          <w:sz w:val="20"/>
          <w:szCs w:val="20"/>
        </w:rPr>
      </w:pPr>
      <w:r w:rsidRPr="00442515">
        <w:rPr>
          <w:rFonts w:ascii="Arial" w:eastAsia="ChaparralPro-Regular" w:hAnsi="Arial" w:cs="Arial"/>
          <w:color w:val="auto"/>
          <w:sz w:val="20"/>
          <w:szCs w:val="20"/>
        </w:rPr>
        <w:t xml:space="preserve">Jak je patrné, v ČR </w:t>
      </w:r>
      <w:r w:rsidRPr="00442515">
        <w:rPr>
          <w:rFonts w:ascii="Arial" w:hAnsi="Arial" w:cs="Arial"/>
          <w:sz w:val="20"/>
          <w:szCs w:val="20"/>
        </w:rPr>
        <w:t xml:space="preserve">byly platy mužů ve větší míře než platy žen ovlivněny tím, zda dosáhli terciárního vzdělání (platy mužů s dosaženým terciárním vzděláním se od platů mužů s dosaženým vyšším sekundárním vzděláním lišily více, než jak tomu bylo v případě žen), zatímco nedosažení vyššího sekundárního vzdělávání se u nás v platech mužů a žen projevovalo srovnatelně. </w:t>
      </w:r>
      <w:r w:rsidR="00C72D73">
        <w:rPr>
          <w:rFonts w:ascii="Arial" w:hAnsi="Arial" w:cs="Arial"/>
          <w:sz w:val="20"/>
          <w:szCs w:val="20"/>
        </w:rPr>
        <w:t xml:space="preserve">Z evropských zemí v tabulce </w:t>
      </w:r>
      <w:hyperlink r:id="rId156" w:history="1">
        <w:r w:rsidR="00C72D73" w:rsidRPr="001A0FC0">
          <w:rPr>
            <w:rStyle w:val="Hypertextovodkaz"/>
            <w:rFonts w:ascii="Arial" w:eastAsia="ChaparralPro-Regular" w:hAnsi="Arial" w:cs="Arial"/>
            <w:sz w:val="20"/>
            <w:szCs w:val="20"/>
          </w:rPr>
          <w:t>A6.1a</w:t>
        </w:r>
      </w:hyperlink>
      <w:r w:rsidR="00C72D73" w:rsidRPr="00442515">
        <w:rPr>
          <w:rFonts w:ascii="Arial" w:eastAsia="ChaparralPro-Regular" w:hAnsi="Arial" w:cs="Arial"/>
          <w:color w:val="auto"/>
          <w:sz w:val="20"/>
          <w:szCs w:val="20"/>
        </w:rPr>
        <w:t xml:space="preserve"> (</w:t>
      </w:r>
      <w:r w:rsidR="00C72D73" w:rsidRPr="001A0FC0">
        <w:rPr>
          <w:rFonts w:ascii="Arial" w:eastAsia="ChaparralPro-Regular" w:hAnsi="Arial" w:cs="Arial"/>
          <w:sz w:val="20"/>
          <w:szCs w:val="20"/>
        </w:rPr>
        <w:t>OECD 2015</w:t>
      </w:r>
      <w:r w:rsidR="00C72D73" w:rsidRPr="00442515">
        <w:rPr>
          <w:rFonts w:ascii="Arial" w:eastAsia="ChaparralPro-Regular" w:hAnsi="Arial" w:cs="Arial"/>
          <w:color w:val="auto"/>
          <w:sz w:val="20"/>
          <w:szCs w:val="20"/>
        </w:rPr>
        <w:t>)</w:t>
      </w:r>
      <w:r w:rsidR="00C72D73">
        <w:rPr>
          <w:rFonts w:ascii="Arial" w:eastAsia="ChaparralPro-Regular" w:hAnsi="Arial" w:cs="Arial"/>
          <w:color w:val="auto"/>
          <w:sz w:val="20"/>
          <w:szCs w:val="20"/>
        </w:rPr>
        <w:t xml:space="preserve"> byly rozdíly mezi </w:t>
      </w:r>
      <w:r w:rsidR="001F63BE">
        <w:rPr>
          <w:rFonts w:ascii="Arial" w:eastAsia="ChaparralPro-Regular" w:hAnsi="Arial" w:cs="Arial"/>
          <w:color w:val="auto"/>
          <w:sz w:val="20"/>
          <w:szCs w:val="20"/>
        </w:rPr>
        <w:t xml:space="preserve">muži s nižším než vyšším sekundárním a s terciárním vzděláním v ČR </w:t>
      </w:r>
      <w:r w:rsidR="00C72D73">
        <w:rPr>
          <w:rFonts w:ascii="Arial" w:eastAsia="ChaparralPro-Regular" w:hAnsi="Arial" w:cs="Arial"/>
          <w:color w:val="auto"/>
          <w:sz w:val="20"/>
          <w:szCs w:val="20"/>
        </w:rPr>
        <w:t xml:space="preserve">po </w:t>
      </w:r>
      <w:r w:rsidR="001F63BE">
        <w:rPr>
          <w:rFonts w:ascii="Arial" w:eastAsia="ChaparralPro-Regular" w:hAnsi="Arial" w:cs="Arial"/>
          <w:color w:val="auto"/>
          <w:sz w:val="20"/>
          <w:szCs w:val="20"/>
        </w:rPr>
        <w:t xml:space="preserve">Maďarsku a </w:t>
      </w:r>
      <w:r w:rsidR="00C72D73">
        <w:rPr>
          <w:rFonts w:ascii="Arial" w:eastAsia="ChaparralPro-Regular" w:hAnsi="Arial" w:cs="Arial"/>
          <w:color w:val="auto"/>
          <w:sz w:val="20"/>
          <w:szCs w:val="20"/>
        </w:rPr>
        <w:t xml:space="preserve">Turecku největší. </w:t>
      </w:r>
      <w:r w:rsidRPr="00442515">
        <w:rPr>
          <w:rFonts w:ascii="Arial" w:hAnsi="Arial" w:cs="Arial"/>
          <w:sz w:val="20"/>
          <w:szCs w:val="20"/>
        </w:rPr>
        <w:t xml:space="preserve">V mezinárodním srovnání </w:t>
      </w:r>
      <w:r w:rsidRPr="00442515">
        <w:rPr>
          <w:rFonts w:ascii="Arial" w:eastAsia="ChaparralPro-Regular" w:hAnsi="Arial" w:cs="Arial"/>
          <w:color w:val="auto"/>
          <w:sz w:val="20"/>
          <w:szCs w:val="20"/>
        </w:rPr>
        <w:t xml:space="preserve">byly v ČR rozdíly ve mzdách osob v závislosti na dosaženém vzdělání celkově nadprůměrné (ze zemí sledovaných v tabulce </w:t>
      </w:r>
      <w:r w:rsidR="00C72D73">
        <w:rPr>
          <w:rFonts w:ascii="Arial" w:eastAsia="ChaparralPro-Regular" w:hAnsi="Arial" w:cs="Arial"/>
          <w:color w:val="auto"/>
          <w:sz w:val="20"/>
          <w:szCs w:val="20"/>
        </w:rPr>
        <w:t xml:space="preserve">č. 33 </w:t>
      </w:r>
      <w:r w:rsidRPr="00442515">
        <w:rPr>
          <w:rFonts w:ascii="Arial" w:eastAsia="ChaparralPro-Regular" w:hAnsi="Arial" w:cs="Arial"/>
          <w:color w:val="auto"/>
          <w:sz w:val="20"/>
          <w:szCs w:val="20"/>
        </w:rPr>
        <w:t xml:space="preserve">hned po Slovensku největší), rozdíly v platech různě vzdělaných žen jsou však srovnatelné s mezinárodními průměry. Nejmenší rozdíl mezi osobami s nižším než vyšším sekundárním vzděláním a s terciárním vzděláním zaznamenalo ze všech zemí OECD v tabulce </w:t>
      </w:r>
      <w:r w:rsidRPr="00C72D73">
        <w:rPr>
          <w:rFonts w:ascii="Arial" w:eastAsia="ChaparralPro-Regular" w:hAnsi="Arial" w:cs="Arial"/>
          <w:color w:val="auto"/>
          <w:sz w:val="20"/>
          <w:szCs w:val="20"/>
        </w:rPr>
        <w:t>A6.1a</w:t>
      </w:r>
      <w:r w:rsidRPr="00442515">
        <w:rPr>
          <w:rFonts w:ascii="Arial" w:eastAsia="ChaparralPro-Regular" w:hAnsi="Arial" w:cs="Arial"/>
          <w:color w:val="auto"/>
          <w:sz w:val="20"/>
          <w:szCs w:val="20"/>
        </w:rPr>
        <w:t xml:space="preserve"> Estonsko. </w:t>
      </w:r>
      <w:r w:rsidR="00C72D73">
        <w:rPr>
          <w:rFonts w:ascii="Arial" w:eastAsia="ChaparralPro-Regular" w:hAnsi="Arial" w:cs="Arial"/>
          <w:color w:val="auto"/>
          <w:sz w:val="20"/>
          <w:szCs w:val="20"/>
        </w:rPr>
        <w:t>V</w:t>
      </w:r>
      <w:r w:rsidRPr="00442515">
        <w:rPr>
          <w:rFonts w:ascii="Arial" w:eastAsia="ChaparralPro-Regular" w:hAnsi="Arial" w:cs="Arial"/>
          <w:color w:val="auto"/>
          <w:sz w:val="20"/>
          <w:szCs w:val="20"/>
        </w:rPr>
        <w:t> případě platů žen jsou však rozdíly v závisl</w:t>
      </w:r>
      <w:r w:rsidR="001F63BE">
        <w:rPr>
          <w:rFonts w:ascii="Arial" w:eastAsia="ChaparralPro-Regular" w:hAnsi="Arial" w:cs="Arial"/>
          <w:color w:val="auto"/>
          <w:sz w:val="20"/>
          <w:szCs w:val="20"/>
        </w:rPr>
        <w:t>osti na dosaženém vzdělání</w:t>
      </w:r>
      <w:r w:rsidRPr="00442515">
        <w:rPr>
          <w:rFonts w:ascii="Arial" w:eastAsia="ChaparralPro-Regular" w:hAnsi="Arial" w:cs="Arial"/>
          <w:color w:val="auto"/>
          <w:sz w:val="20"/>
          <w:szCs w:val="20"/>
        </w:rPr>
        <w:t xml:space="preserve"> </w:t>
      </w:r>
      <w:r w:rsidR="001F63BE">
        <w:rPr>
          <w:rFonts w:ascii="Arial" w:eastAsia="ChaparralPro-Regular" w:hAnsi="Arial" w:cs="Arial"/>
          <w:color w:val="auto"/>
          <w:sz w:val="20"/>
          <w:szCs w:val="20"/>
        </w:rPr>
        <w:t>ve Finsku nižší než v Estonsku</w:t>
      </w:r>
      <w:r w:rsidR="002456F5">
        <w:rPr>
          <w:rFonts w:ascii="Arial" w:eastAsia="ChaparralPro-Regular" w:hAnsi="Arial" w:cs="Arial"/>
          <w:color w:val="auto"/>
          <w:sz w:val="20"/>
          <w:szCs w:val="20"/>
        </w:rPr>
        <w:t xml:space="preserve"> (stejného rozdílu, nebo ještě menšího </w:t>
      </w:r>
      <w:r w:rsidR="001F63BE">
        <w:rPr>
          <w:rFonts w:ascii="Arial" w:eastAsia="ChaparralPro-Regular" w:hAnsi="Arial" w:cs="Arial"/>
          <w:color w:val="auto"/>
          <w:sz w:val="20"/>
          <w:szCs w:val="20"/>
        </w:rPr>
        <w:t xml:space="preserve">než Finsko </w:t>
      </w:r>
      <w:r w:rsidR="002456F5">
        <w:rPr>
          <w:rFonts w:ascii="Arial" w:eastAsia="ChaparralPro-Regular" w:hAnsi="Arial" w:cs="Arial"/>
          <w:color w:val="auto"/>
          <w:sz w:val="20"/>
          <w:szCs w:val="20"/>
        </w:rPr>
        <w:t xml:space="preserve">dosáhlo ze zemí v tabulce </w:t>
      </w:r>
      <w:r w:rsidR="00CE1AB5">
        <w:rPr>
          <w:rFonts w:ascii="Arial" w:eastAsia="ChaparralPro-Regular" w:hAnsi="Arial" w:cs="Arial"/>
          <w:color w:val="auto"/>
          <w:sz w:val="20"/>
          <w:szCs w:val="20"/>
        </w:rPr>
        <w:t xml:space="preserve">OECD </w:t>
      </w:r>
      <w:r w:rsidR="002456F5" w:rsidRPr="00C72D73">
        <w:rPr>
          <w:rFonts w:ascii="Arial" w:eastAsia="ChaparralPro-Regular" w:hAnsi="Arial" w:cs="Arial"/>
          <w:color w:val="auto"/>
          <w:sz w:val="20"/>
          <w:szCs w:val="20"/>
        </w:rPr>
        <w:t>A6.1a</w:t>
      </w:r>
      <w:r w:rsidR="002456F5" w:rsidRPr="00442515">
        <w:rPr>
          <w:rFonts w:ascii="Arial" w:eastAsia="ChaparralPro-Regular" w:hAnsi="Arial" w:cs="Arial"/>
          <w:color w:val="auto"/>
          <w:sz w:val="20"/>
          <w:szCs w:val="20"/>
        </w:rPr>
        <w:t xml:space="preserve"> </w:t>
      </w:r>
      <w:r w:rsidR="002456F5">
        <w:rPr>
          <w:rFonts w:ascii="Arial" w:eastAsia="ChaparralPro-Regular" w:hAnsi="Arial" w:cs="Arial"/>
          <w:color w:val="auto"/>
          <w:sz w:val="20"/>
          <w:szCs w:val="20"/>
        </w:rPr>
        <w:t>Norsko, Švédsko, Dánsko a Nový Zéland)</w:t>
      </w:r>
      <w:r w:rsidRPr="00442515">
        <w:rPr>
          <w:rFonts w:ascii="Arial" w:eastAsia="ChaparralPro-Regular" w:hAnsi="Arial" w:cs="Arial"/>
          <w:color w:val="auto"/>
          <w:sz w:val="20"/>
          <w:szCs w:val="20"/>
        </w:rPr>
        <w:t xml:space="preserve">. Naopak největší rozdíly mezi výdělkem terciárně vzdělaných žen a žen s nižším vzděláním, než je vyšší sekundární, byly ze zemí v tabulce </w:t>
      </w:r>
      <w:r w:rsidR="00762D16">
        <w:rPr>
          <w:rFonts w:ascii="Arial" w:eastAsia="ChaparralPro-Regular" w:hAnsi="Arial" w:cs="Arial"/>
          <w:color w:val="auto"/>
          <w:sz w:val="20"/>
          <w:szCs w:val="20"/>
        </w:rPr>
        <w:t>č. 33</w:t>
      </w:r>
      <w:r w:rsidR="00E52654">
        <w:rPr>
          <w:rFonts w:ascii="Arial" w:eastAsia="ChaparralPro-Regular" w:hAnsi="Arial" w:cs="Arial"/>
          <w:color w:val="auto"/>
          <w:sz w:val="20"/>
          <w:szCs w:val="20"/>
        </w:rPr>
        <w:t xml:space="preserve"> zaznamenány na Slovensku a </w:t>
      </w:r>
      <w:r w:rsidRPr="00442515">
        <w:rPr>
          <w:rFonts w:ascii="Arial" w:eastAsia="ChaparralPro-Regular" w:hAnsi="Arial" w:cs="Arial"/>
          <w:color w:val="auto"/>
          <w:sz w:val="20"/>
          <w:szCs w:val="20"/>
        </w:rPr>
        <w:t>větší rozdíl než ČR zaznamenalo též Polsko</w:t>
      </w:r>
      <w:r w:rsidR="002456F5">
        <w:rPr>
          <w:rFonts w:ascii="Arial" w:eastAsia="ChaparralPro-Regular" w:hAnsi="Arial" w:cs="Arial"/>
          <w:color w:val="auto"/>
          <w:sz w:val="20"/>
          <w:szCs w:val="20"/>
        </w:rPr>
        <w:t xml:space="preserve"> (ze všech zemí v tabulce </w:t>
      </w:r>
      <w:r w:rsidR="00CE1AB5">
        <w:rPr>
          <w:rFonts w:ascii="Arial" w:eastAsia="ChaparralPro-Regular" w:hAnsi="Arial" w:cs="Arial"/>
          <w:color w:val="auto"/>
          <w:sz w:val="20"/>
          <w:szCs w:val="20"/>
        </w:rPr>
        <w:t xml:space="preserve">OECD </w:t>
      </w:r>
      <w:r w:rsidR="002456F5" w:rsidRPr="00C72D73">
        <w:rPr>
          <w:rFonts w:ascii="Arial" w:eastAsia="ChaparralPro-Regular" w:hAnsi="Arial" w:cs="Arial"/>
          <w:color w:val="auto"/>
          <w:sz w:val="20"/>
          <w:szCs w:val="20"/>
        </w:rPr>
        <w:t>A6.1a</w:t>
      </w:r>
      <w:r w:rsidR="002456F5">
        <w:rPr>
          <w:rFonts w:ascii="Arial" w:eastAsia="ChaparralPro-Regular" w:hAnsi="Arial" w:cs="Arial"/>
          <w:color w:val="auto"/>
          <w:sz w:val="20"/>
          <w:szCs w:val="20"/>
        </w:rPr>
        <w:t xml:space="preserve"> jsou tyto rozdíly největší v Chile, Turecku a Mexiku)</w:t>
      </w:r>
      <w:r w:rsidRPr="00442515">
        <w:rPr>
          <w:rFonts w:ascii="Arial" w:eastAsia="ChaparralPro-Regular" w:hAnsi="Arial" w:cs="Arial"/>
          <w:color w:val="auto"/>
          <w:sz w:val="20"/>
          <w:szCs w:val="20"/>
        </w:rPr>
        <w:t xml:space="preserve">. </w:t>
      </w:r>
    </w:p>
    <w:p w:rsidR="00306953" w:rsidRPr="00442515" w:rsidRDefault="00306953" w:rsidP="00306953">
      <w:pPr>
        <w:pStyle w:val="Default"/>
        <w:spacing w:after="120"/>
        <w:jc w:val="both"/>
        <w:rPr>
          <w:rFonts w:ascii="Arial" w:eastAsia="ChaparralPro-Regular" w:hAnsi="Arial" w:cs="Arial"/>
          <w:color w:val="auto"/>
          <w:sz w:val="20"/>
          <w:szCs w:val="20"/>
        </w:rPr>
      </w:pPr>
      <w:r w:rsidRPr="00442515">
        <w:rPr>
          <w:rFonts w:ascii="Arial" w:eastAsia="ChaparralPro-Regular" w:hAnsi="Arial" w:cs="Arial"/>
          <w:color w:val="auto"/>
          <w:sz w:val="20"/>
          <w:szCs w:val="20"/>
        </w:rPr>
        <w:t>Tabulka č</w:t>
      </w:r>
      <w:r w:rsidR="00157B3E">
        <w:rPr>
          <w:rFonts w:ascii="Arial" w:eastAsia="ChaparralPro-Regular" w:hAnsi="Arial" w:cs="Arial"/>
          <w:color w:val="auto"/>
          <w:sz w:val="20"/>
          <w:szCs w:val="20"/>
        </w:rPr>
        <w:t>. 34 ukazuje výdělky zaměstnaných osob</w:t>
      </w:r>
      <w:r w:rsidRPr="00442515">
        <w:rPr>
          <w:rFonts w:ascii="Arial" w:eastAsia="ChaparralPro-Regular" w:hAnsi="Arial" w:cs="Arial"/>
          <w:color w:val="auto"/>
          <w:sz w:val="20"/>
          <w:szCs w:val="20"/>
        </w:rPr>
        <w:t xml:space="preserve"> ve věku 25 až 64 let v různých zemích s nižší dosaženou úrovní vzdělání, než je vyšší sekundární, a naopak </w:t>
      </w:r>
      <w:r w:rsidR="00CE1AB5">
        <w:rPr>
          <w:rFonts w:ascii="Arial" w:eastAsia="ChaparralPro-Regular" w:hAnsi="Arial" w:cs="Arial"/>
          <w:color w:val="auto"/>
          <w:sz w:val="20"/>
          <w:szCs w:val="20"/>
        </w:rPr>
        <w:t>s terciárním vzděláním jakožto podíl</w:t>
      </w:r>
      <w:r w:rsidRPr="00442515">
        <w:rPr>
          <w:rFonts w:ascii="Arial" w:eastAsia="ChaparralPro-Regular" w:hAnsi="Arial" w:cs="Arial"/>
          <w:color w:val="auto"/>
          <w:sz w:val="20"/>
          <w:szCs w:val="20"/>
        </w:rPr>
        <w:t xml:space="preserve"> výdělků osob s vyšším sekundárním vzděláním v roce 2013 </w:t>
      </w:r>
      <w:r w:rsidRPr="00442515">
        <w:rPr>
          <w:rFonts w:ascii="Arial" w:eastAsia="ChaparralPro-Regular" w:hAnsi="Arial" w:cs="Arial"/>
          <w:b/>
          <w:color w:val="auto"/>
          <w:sz w:val="20"/>
          <w:szCs w:val="20"/>
        </w:rPr>
        <w:t>celkem a v dělení na dvě dílčí věkové kohorty</w:t>
      </w:r>
      <w:r w:rsidRPr="00442515">
        <w:rPr>
          <w:rFonts w:ascii="Arial" w:eastAsia="ChaparralPro-Regular" w:hAnsi="Arial" w:cs="Arial"/>
          <w:color w:val="auto"/>
          <w:sz w:val="20"/>
          <w:szCs w:val="20"/>
        </w:rPr>
        <w:t>.</w:t>
      </w:r>
    </w:p>
    <w:p w:rsidR="00306953" w:rsidRPr="00442515" w:rsidRDefault="00306953" w:rsidP="00306953">
      <w:pPr>
        <w:pStyle w:val="Default"/>
        <w:spacing w:after="120"/>
        <w:jc w:val="both"/>
        <w:rPr>
          <w:rFonts w:ascii="Arial" w:eastAsia="ChaparralPro-Regular" w:hAnsi="Arial" w:cs="Arial"/>
          <w:b/>
          <w:color w:val="auto"/>
          <w:sz w:val="20"/>
          <w:szCs w:val="20"/>
        </w:rPr>
      </w:pPr>
      <w:r w:rsidRPr="00442515">
        <w:rPr>
          <w:rFonts w:ascii="Arial" w:eastAsia="ChaparralPro-Regular" w:hAnsi="Arial" w:cs="Arial"/>
          <w:b/>
          <w:color w:val="auto"/>
          <w:sz w:val="20"/>
          <w:szCs w:val="20"/>
        </w:rPr>
        <w:t>Tabulka č. 34 Výdělky zaměstnaných oso</w:t>
      </w:r>
      <w:r w:rsidR="00CE1AB5">
        <w:rPr>
          <w:rFonts w:ascii="Arial" w:eastAsia="ChaparralPro-Regular" w:hAnsi="Arial" w:cs="Arial"/>
          <w:b/>
          <w:color w:val="auto"/>
          <w:sz w:val="20"/>
          <w:szCs w:val="20"/>
        </w:rPr>
        <w:t>b ve věku 25 až 64 let jakožto podíl</w:t>
      </w:r>
      <w:r w:rsidRPr="00442515">
        <w:rPr>
          <w:rFonts w:ascii="Arial" w:eastAsia="ChaparralPro-Regular" w:hAnsi="Arial" w:cs="Arial"/>
          <w:b/>
          <w:color w:val="auto"/>
          <w:sz w:val="20"/>
          <w:szCs w:val="20"/>
        </w:rPr>
        <w:t xml:space="preserve"> výdělků osob s vyšším sekundárním vzděláním v roce 2013 – dle věku</w:t>
      </w:r>
      <w:r w:rsidR="00CE1AB5">
        <w:rPr>
          <w:rFonts w:ascii="Arial" w:eastAsia="ChaparralPro-Regular" w:hAnsi="Arial" w:cs="Arial"/>
          <w:b/>
          <w:color w:val="auto"/>
          <w:sz w:val="20"/>
          <w:szCs w:val="20"/>
        </w:rPr>
        <w:t>, v %</w:t>
      </w:r>
    </w:p>
    <w:tbl>
      <w:tblPr>
        <w:tblW w:w="7335" w:type="dxa"/>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1575"/>
        <w:gridCol w:w="960"/>
        <w:gridCol w:w="960"/>
        <w:gridCol w:w="960"/>
        <w:gridCol w:w="960"/>
        <w:gridCol w:w="960"/>
        <w:gridCol w:w="960"/>
      </w:tblGrid>
      <w:tr w:rsidR="00306953" w:rsidRPr="00442515" w:rsidTr="000C6FC8">
        <w:trPr>
          <w:trHeight w:val="255"/>
        </w:trPr>
        <w:tc>
          <w:tcPr>
            <w:tcW w:w="1575" w:type="dxa"/>
            <w:vMerge w:val="restart"/>
            <w:tcBorders>
              <w:top w:val="double" w:sz="4" w:space="0" w:color="auto"/>
              <w:bottom w:val="single" w:sz="4" w:space="0" w:color="auto"/>
            </w:tcBorders>
            <w:shd w:val="clear" w:color="auto" w:fill="FFCCCC"/>
            <w:noWrap/>
            <w:vAlign w:val="bottom"/>
            <w:hideMark/>
          </w:tcPr>
          <w:p w:rsidR="00306953" w:rsidRPr="00442515" w:rsidRDefault="00306953" w:rsidP="00306953">
            <w:pPr>
              <w:keepNext/>
              <w:spacing w:after="0" w:line="240" w:lineRule="auto"/>
              <w:rPr>
                <w:rFonts w:cs="Arial"/>
                <w:color w:val="000000"/>
                <w:sz w:val="16"/>
                <w:szCs w:val="16"/>
              </w:rPr>
            </w:pPr>
            <w:r w:rsidRPr="00442515">
              <w:rPr>
                <w:rFonts w:cs="Arial"/>
                <w:color w:val="000000"/>
                <w:sz w:val="16"/>
                <w:szCs w:val="16"/>
              </w:rPr>
              <w:t> </w:t>
            </w:r>
          </w:p>
        </w:tc>
        <w:tc>
          <w:tcPr>
            <w:tcW w:w="2880" w:type="dxa"/>
            <w:gridSpan w:val="3"/>
            <w:tcBorders>
              <w:top w:val="double" w:sz="4" w:space="0" w:color="auto"/>
              <w:bottom w:val="single" w:sz="4" w:space="0" w:color="auto"/>
            </w:tcBorders>
            <w:shd w:val="clear" w:color="auto" w:fill="FFCCCC"/>
            <w:vAlign w:val="center"/>
            <w:hideMark/>
          </w:tcPr>
          <w:p w:rsidR="00306953" w:rsidRPr="00442515" w:rsidRDefault="00306953" w:rsidP="004C55CD">
            <w:pPr>
              <w:keepNext/>
              <w:spacing w:after="0" w:line="240" w:lineRule="auto"/>
              <w:jc w:val="center"/>
              <w:rPr>
                <w:rFonts w:cs="Arial"/>
                <w:b/>
                <w:bCs/>
                <w:sz w:val="16"/>
                <w:szCs w:val="16"/>
              </w:rPr>
            </w:pPr>
            <w:r w:rsidRPr="00442515">
              <w:rPr>
                <w:rFonts w:cs="Arial"/>
                <w:b/>
                <w:bCs/>
                <w:sz w:val="16"/>
                <w:szCs w:val="16"/>
              </w:rPr>
              <w:t>nižší než vyšší sekundární</w:t>
            </w:r>
          </w:p>
        </w:tc>
        <w:tc>
          <w:tcPr>
            <w:tcW w:w="2880" w:type="dxa"/>
            <w:gridSpan w:val="3"/>
            <w:tcBorders>
              <w:top w:val="double" w:sz="4" w:space="0" w:color="auto"/>
              <w:bottom w:val="single" w:sz="4" w:space="0" w:color="auto"/>
            </w:tcBorders>
            <w:shd w:val="clear" w:color="auto" w:fill="FFCCCC"/>
            <w:vAlign w:val="center"/>
            <w:hideMark/>
          </w:tcPr>
          <w:p w:rsidR="00306953" w:rsidRPr="00442515" w:rsidRDefault="00306953" w:rsidP="004C55CD">
            <w:pPr>
              <w:keepNext/>
              <w:spacing w:after="0" w:line="240" w:lineRule="auto"/>
              <w:jc w:val="center"/>
              <w:rPr>
                <w:rFonts w:cs="Arial"/>
                <w:b/>
                <w:bCs/>
                <w:sz w:val="16"/>
                <w:szCs w:val="16"/>
              </w:rPr>
            </w:pPr>
            <w:r w:rsidRPr="00442515">
              <w:rPr>
                <w:rFonts w:cs="Arial"/>
                <w:b/>
                <w:bCs/>
                <w:sz w:val="16"/>
                <w:szCs w:val="16"/>
              </w:rPr>
              <w:t>terciární</w:t>
            </w:r>
          </w:p>
        </w:tc>
      </w:tr>
      <w:tr w:rsidR="00306953" w:rsidRPr="00442515" w:rsidTr="007A673D">
        <w:trPr>
          <w:trHeight w:val="216"/>
        </w:trPr>
        <w:tc>
          <w:tcPr>
            <w:tcW w:w="1575" w:type="dxa"/>
            <w:vMerge/>
            <w:tcBorders>
              <w:top w:val="single" w:sz="4" w:space="0" w:color="auto"/>
              <w:bottom w:val="double" w:sz="4" w:space="0" w:color="auto"/>
            </w:tcBorders>
            <w:shd w:val="clear" w:color="auto" w:fill="FFCCCC"/>
            <w:vAlign w:val="center"/>
            <w:hideMark/>
          </w:tcPr>
          <w:p w:rsidR="00306953" w:rsidRPr="00442515" w:rsidRDefault="00306953" w:rsidP="00306953">
            <w:pPr>
              <w:spacing w:after="0" w:line="240" w:lineRule="auto"/>
              <w:rPr>
                <w:rFonts w:cs="Arial"/>
                <w:color w:val="000000"/>
                <w:sz w:val="16"/>
                <w:szCs w:val="16"/>
              </w:rPr>
            </w:pPr>
          </w:p>
        </w:tc>
        <w:tc>
          <w:tcPr>
            <w:tcW w:w="960" w:type="dxa"/>
            <w:tcBorders>
              <w:top w:val="single" w:sz="4" w:space="0" w:color="auto"/>
              <w:bottom w:val="double" w:sz="4" w:space="0" w:color="auto"/>
            </w:tcBorders>
            <w:shd w:val="clear" w:color="auto" w:fill="FFCCCC"/>
            <w:noWrap/>
            <w:vAlign w:val="center"/>
            <w:hideMark/>
          </w:tcPr>
          <w:p w:rsidR="00306953" w:rsidRPr="00442515" w:rsidRDefault="00306953" w:rsidP="004C55CD">
            <w:pPr>
              <w:spacing w:after="0" w:line="240" w:lineRule="auto"/>
              <w:jc w:val="center"/>
              <w:rPr>
                <w:rFonts w:cs="Arial"/>
                <w:b/>
                <w:bCs/>
                <w:sz w:val="16"/>
                <w:szCs w:val="16"/>
              </w:rPr>
            </w:pPr>
            <w:r w:rsidRPr="00442515">
              <w:rPr>
                <w:rFonts w:cs="Arial"/>
                <w:b/>
                <w:bCs/>
                <w:sz w:val="16"/>
                <w:szCs w:val="16"/>
              </w:rPr>
              <w:t>25-64 let</w:t>
            </w:r>
          </w:p>
        </w:tc>
        <w:tc>
          <w:tcPr>
            <w:tcW w:w="960" w:type="dxa"/>
            <w:tcBorders>
              <w:top w:val="single" w:sz="4" w:space="0" w:color="auto"/>
              <w:bottom w:val="double" w:sz="4" w:space="0" w:color="auto"/>
            </w:tcBorders>
            <w:shd w:val="clear" w:color="auto" w:fill="FFCCCC"/>
            <w:noWrap/>
            <w:vAlign w:val="center"/>
            <w:hideMark/>
          </w:tcPr>
          <w:p w:rsidR="00306953" w:rsidRPr="00442515" w:rsidRDefault="00306953" w:rsidP="004C55CD">
            <w:pPr>
              <w:spacing w:after="0" w:line="240" w:lineRule="auto"/>
              <w:jc w:val="center"/>
              <w:rPr>
                <w:rFonts w:cs="Arial"/>
                <w:b/>
                <w:bCs/>
                <w:sz w:val="16"/>
                <w:szCs w:val="16"/>
              </w:rPr>
            </w:pPr>
            <w:r w:rsidRPr="00442515">
              <w:rPr>
                <w:rFonts w:cs="Arial"/>
                <w:b/>
                <w:bCs/>
                <w:sz w:val="16"/>
                <w:szCs w:val="16"/>
              </w:rPr>
              <w:t>25-34 let</w:t>
            </w:r>
          </w:p>
        </w:tc>
        <w:tc>
          <w:tcPr>
            <w:tcW w:w="960" w:type="dxa"/>
            <w:tcBorders>
              <w:top w:val="single" w:sz="4" w:space="0" w:color="auto"/>
              <w:bottom w:val="double" w:sz="4" w:space="0" w:color="auto"/>
            </w:tcBorders>
            <w:shd w:val="clear" w:color="auto" w:fill="FFCCCC"/>
            <w:noWrap/>
            <w:vAlign w:val="center"/>
            <w:hideMark/>
          </w:tcPr>
          <w:p w:rsidR="00306953" w:rsidRPr="00442515" w:rsidRDefault="00306953" w:rsidP="004C55CD">
            <w:pPr>
              <w:spacing w:after="0" w:line="240" w:lineRule="auto"/>
              <w:jc w:val="center"/>
              <w:rPr>
                <w:rFonts w:cs="Arial"/>
                <w:b/>
                <w:bCs/>
                <w:sz w:val="16"/>
                <w:szCs w:val="16"/>
              </w:rPr>
            </w:pPr>
            <w:r w:rsidRPr="00442515">
              <w:rPr>
                <w:rFonts w:cs="Arial"/>
                <w:b/>
                <w:bCs/>
                <w:sz w:val="16"/>
                <w:szCs w:val="16"/>
              </w:rPr>
              <w:t>55-64 let</w:t>
            </w:r>
          </w:p>
        </w:tc>
        <w:tc>
          <w:tcPr>
            <w:tcW w:w="960" w:type="dxa"/>
            <w:tcBorders>
              <w:top w:val="single" w:sz="4" w:space="0" w:color="auto"/>
              <w:bottom w:val="double" w:sz="4" w:space="0" w:color="auto"/>
            </w:tcBorders>
            <w:shd w:val="clear" w:color="auto" w:fill="FFCCCC"/>
            <w:noWrap/>
            <w:vAlign w:val="center"/>
            <w:hideMark/>
          </w:tcPr>
          <w:p w:rsidR="00306953" w:rsidRPr="00442515" w:rsidRDefault="00306953" w:rsidP="004C55CD">
            <w:pPr>
              <w:spacing w:after="0" w:line="240" w:lineRule="auto"/>
              <w:jc w:val="center"/>
              <w:rPr>
                <w:rFonts w:cs="Arial"/>
                <w:b/>
                <w:bCs/>
                <w:sz w:val="16"/>
                <w:szCs w:val="16"/>
              </w:rPr>
            </w:pPr>
            <w:r w:rsidRPr="00442515">
              <w:rPr>
                <w:rFonts w:cs="Arial"/>
                <w:b/>
                <w:bCs/>
                <w:sz w:val="16"/>
                <w:szCs w:val="16"/>
              </w:rPr>
              <w:t>25-64 let</w:t>
            </w:r>
          </w:p>
        </w:tc>
        <w:tc>
          <w:tcPr>
            <w:tcW w:w="960" w:type="dxa"/>
            <w:tcBorders>
              <w:top w:val="single" w:sz="4" w:space="0" w:color="auto"/>
              <w:bottom w:val="double" w:sz="4" w:space="0" w:color="auto"/>
            </w:tcBorders>
            <w:shd w:val="clear" w:color="auto" w:fill="FFCCCC"/>
            <w:noWrap/>
            <w:vAlign w:val="center"/>
            <w:hideMark/>
          </w:tcPr>
          <w:p w:rsidR="00306953" w:rsidRPr="00442515" w:rsidRDefault="00306953" w:rsidP="004C55CD">
            <w:pPr>
              <w:spacing w:after="0" w:line="240" w:lineRule="auto"/>
              <w:jc w:val="center"/>
              <w:rPr>
                <w:rFonts w:cs="Arial"/>
                <w:b/>
                <w:bCs/>
                <w:sz w:val="16"/>
                <w:szCs w:val="16"/>
              </w:rPr>
            </w:pPr>
            <w:r w:rsidRPr="00442515">
              <w:rPr>
                <w:rFonts w:cs="Arial"/>
                <w:b/>
                <w:bCs/>
                <w:sz w:val="16"/>
                <w:szCs w:val="16"/>
              </w:rPr>
              <w:t>25-34 let</w:t>
            </w:r>
          </w:p>
        </w:tc>
        <w:tc>
          <w:tcPr>
            <w:tcW w:w="960" w:type="dxa"/>
            <w:tcBorders>
              <w:top w:val="single" w:sz="4" w:space="0" w:color="auto"/>
              <w:bottom w:val="double" w:sz="4" w:space="0" w:color="auto"/>
            </w:tcBorders>
            <w:shd w:val="clear" w:color="auto" w:fill="FFCCCC"/>
            <w:noWrap/>
            <w:vAlign w:val="center"/>
            <w:hideMark/>
          </w:tcPr>
          <w:p w:rsidR="00306953" w:rsidRPr="00442515" w:rsidRDefault="00306953" w:rsidP="004C55CD">
            <w:pPr>
              <w:spacing w:after="0" w:line="240" w:lineRule="auto"/>
              <w:jc w:val="center"/>
              <w:rPr>
                <w:rFonts w:cs="Arial"/>
                <w:b/>
                <w:bCs/>
                <w:sz w:val="16"/>
                <w:szCs w:val="16"/>
              </w:rPr>
            </w:pPr>
            <w:r w:rsidRPr="00442515">
              <w:rPr>
                <w:rFonts w:cs="Arial"/>
                <w:b/>
                <w:bCs/>
                <w:sz w:val="16"/>
                <w:szCs w:val="16"/>
              </w:rPr>
              <w:t>55-64 let</w:t>
            </w:r>
          </w:p>
        </w:tc>
      </w:tr>
      <w:tr w:rsidR="00306953" w:rsidRPr="00442515" w:rsidTr="000C6FC8">
        <w:trPr>
          <w:trHeight w:val="255"/>
        </w:trPr>
        <w:tc>
          <w:tcPr>
            <w:tcW w:w="1575" w:type="dxa"/>
            <w:tcBorders>
              <w:top w:val="double" w:sz="4" w:space="0" w:color="auto"/>
            </w:tcBorders>
            <w:shd w:val="clear" w:color="000000" w:fill="FFFFFF"/>
            <w:noWrap/>
            <w:vAlign w:val="center"/>
            <w:hideMark/>
          </w:tcPr>
          <w:p w:rsidR="00306953" w:rsidRPr="00442515" w:rsidRDefault="00306953" w:rsidP="004C55CD">
            <w:pPr>
              <w:spacing w:after="0" w:line="240" w:lineRule="auto"/>
              <w:rPr>
                <w:rFonts w:cs="Arial"/>
                <w:sz w:val="16"/>
                <w:szCs w:val="16"/>
              </w:rPr>
            </w:pPr>
            <w:r w:rsidRPr="00442515">
              <w:rPr>
                <w:rFonts w:cs="Arial"/>
                <w:sz w:val="16"/>
                <w:szCs w:val="16"/>
              </w:rPr>
              <w:t>Česká republika</w:t>
            </w:r>
          </w:p>
        </w:tc>
        <w:tc>
          <w:tcPr>
            <w:tcW w:w="960" w:type="dxa"/>
            <w:tcBorders>
              <w:top w:val="double" w:sz="4" w:space="0" w:color="auto"/>
            </w:tcBorders>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74</w:t>
            </w:r>
          </w:p>
        </w:tc>
        <w:tc>
          <w:tcPr>
            <w:tcW w:w="960" w:type="dxa"/>
            <w:tcBorders>
              <w:top w:val="double" w:sz="4" w:space="0" w:color="auto"/>
            </w:tcBorders>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80</w:t>
            </w:r>
          </w:p>
        </w:tc>
        <w:tc>
          <w:tcPr>
            <w:tcW w:w="960" w:type="dxa"/>
            <w:tcBorders>
              <w:top w:val="double" w:sz="4" w:space="0" w:color="auto"/>
            </w:tcBorders>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71</w:t>
            </w:r>
          </w:p>
        </w:tc>
        <w:tc>
          <w:tcPr>
            <w:tcW w:w="960" w:type="dxa"/>
            <w:tcBorders>
              <w:top w:val="double" w:sz="4" w:space="0" w:color="auto"/>
            </w:tcBorders>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175</w:t>
            </w:r>
          </w:p>
        </w:tc>
        <w:tc>
          <w:tcPr>
            <w:tcW w:w="960" w:type="dxa"/>
            <w:tcBorders>
              <w:top w:val="double" w:sz="4" w:space="0" w:color="auto"/>
            </w:tcBorders>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149</w:t>
            </w:r>
          </w:p>
        </w:tc>
        <w:tc>
          <w:tcPr>
            <w:tcW w:w="960" w:type="dxa"/>
            <w:tcBorders>
              <w:top w:val="double" w:sz="4" w:space="0" w:color="auto"/>
            </w:tcBorders>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186</w:t>
            </w:r>
          </w:p>
        </w:tc>
      </w:tr>
      <w:tr w:rsidR="00306953" w:rsidRPr="00442515" w:rsidTr="000C6FC8">
        <w:trPr>
          <w:trHeight w:val="255"/>
        </w:trPr>
        <w:tc>
          <w:tcPr>
            <w:tcW w:w="1575" w:type="dxa"/>
            <w:shd w:val="clear" w:color="auto" w:fill="auto"/>
            <w:noWrap/>
            <w:vAlign w:val="center"/>
            <w:hideMark/>
          </w:tcPr>
          <w:p w:rsidR="00306953" w:rsidRPr="00442515" w:rsidRDefault="00306953" w:rsidP="004C55CD">
            <w:pPr>
              <w:spacing w:after="0" w:line="240" w:lineRule="auto"/>
              <w:rPr>
                <w:rFonts w:cs="Arial"/>
                <w:sz w:val="16"/>
                <w:szCs w:val="16"/>
              </w:rPr>
            </w:pPr>
            <w:r w:rsidRPr="00442515">
              <w:rPr>
                <w:rFonts w:cs="Arial"/>
                <w:sz w:val="16"/>
                <w:szCs w:val="16"/>
              </w:rPr>
              <w:t>Slovensko</w:t>
            </w:r>
          </w:p>
        </w:tc>
        <w:tc>
          <w:tcPr>
            <w:tcW w:w="960"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68</w:t>
            </w:r>
          </w:p>
        </w:tc>
        <w:tc>
          <w:tcPr>
            <w:tcW w:w="960"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66</w:t>
            </w:r>
          </w:p>
        </w:tc>
        <w:tc>
          <w:tcPr>
            <w:tcW w:w="960"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70</w:t>
            </w:r>
          </w:p>
        </w:tc>
        <w:tc>
          <w:tcPr>
            <w:tcW w:w="960"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171</w:t>
            </w:r>
          </w:p>
        </w:tc>
        <w:tc>
          <w:tcPr>
            <w:tcW w:w="960"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142</w:t>
            </w:r>
          </w:p>
        </w:tc>
        <w:tc>
          <w:tcPr>
            <w:tcW w:w="960"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190</w:t>
            </w:r>
          </w:p>
        </w:tc>
      </w:tr>
      <w:tr w:rsidR="00306953" w:rsidRPr="00442515" w:rsidTr="000C6FC8">
        <w:trPr>
          <w:trHeight w:val="255"/>
        </w:trPr>
        <w:tc>
          <w:tcPr>
            <w:tcW w:w="1575" w:type="dxa"/>
            <w:shd w:val="clear" w:color="auto" w:fill="auto"/>
            <w:noWrap/>
            <w:vAlign w:val="center"/>
            <w:hideMark/>
          </w:tcPr>
          <w:p w:rsidR="00306953" w:rsidRPr="00442515" w:rsidRDefault="00306953" w:rsidP="004C55CD">
            <w:pPr>
              <w:spacing w:after="0" w:line="240" w:lineRule="auto"/>
              <w:rPr>
                <w:rFonts w:cs="Arial"/>
                <w:sz w:val="16"/>
                <w:szCs w:val="16"/>
              </w:rPr>
            </w:pPr>
            <w:r w:rsidRPr="00442515">
              <w:rPr>
                <w:rFonts w:cs="Arial"/>
                <w:sz w:val="16"/>
                <w:szCs w:val="16"/>
              </w:rPr>
              <w:t xml:space="preserve">Polsko </w:t>
            </w:r>
            <w:r w:rsidR="009E6109">
              <w:rPr>
                <w:rFonts w:cs="Arial"/>
                <w:sz w:val="16"/>
                <w:szCs w:val="16"/>
                <w:vertAlign w:val="superscript"/>
              </w:rPr>
              <w:t>1</w:t>
            </w:r>
            <w:r w:rsidRPr="00442515">
              <w:rPr>
                <w:rFonts w:cs="Arial"/>
                <w:sz w:val="16"/>
                <w:szCs w:val="16"/>
                <w:vertAlign w:val="superscript"/>
              </w:rPr>
              <w:t>)</w:t>
            </w:r>
          </w:p>
        </w:tc>
        <w:tc>
          <w:tcPr>
            <w:tcW w:w="960"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84</w:t>
            </w:r>
          </w:p>
        </w:tc>
        <w:tc>
          <w:tcPr>
            <w:tcW w:w="960"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89</w:t>
            </w:r>
          </w:p>
        </w:tc>
        <w:tc>
          <w:tcPr>
            <w:tcW w:w="960"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79</w:t>
            </w:r>
          </w:p>
        </w:tc>
        <w:tc>
          <w:tcPr>
            <w:tcW w:w="960"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171</w:t>
            </w:r>
          </w:p>
        </w:tc>
        <w:tc>
          <w:tcPr>
            <w:tcW w:w="960"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146</w:t>
            </w:r>
          </w:p>
        </w:tc>
        <w:tc>
          <w:tcPr>
            <w:tcW w:w="960"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203</w:t>
            </w:r>
          </w:p>
        </w:tc>
      </w:tr>
      <w:tr w:rsidR="00306953" w:rsidRPr="00442515" w:rsidTr="000C6FC8">
        <w:trPr>
          <w:trHeight w:val="255"/>
        </w:trPr>
        <w:tc>
          <w:tcPr>
            <w:tcW w:w="1575" w:type="dxa"/>
            <w:shd w:val="clear" w:color="000000" w:fill="FFFFFF"/>
            <w:noWrap/>
            <w:vAlign w:val="center"/>
            <w:hideMark/>
          </w:tcPr>
          <w:p w:rsidR="00306953" w:rsidRPr="00442515" w:rsidRDefault="00306953" w:rsidP="004C55CD">
            <w:pPr>
              <w:spacing w:after="0" w:line="240" w:lineRule="auto"/>
              <w:rPr>
                <w:rFonts w:cs="Arial"/>
                <w:sz w:val="16"/>
                <w:szCs w:val="16"/>
              </w:rPr>
            </w:pPr>
            <w:r w:rsidRPr="00442515">
              <w:rPr>
                <w:rFonts w:cs="Arial"/>
                <w:sz w:val="16"/>
                <w:szCs w:val="16"/>
              </w:rPr>
              <w:t>Rakousko</w:t>
            </w:r>
          </w:p>
        </w:tc>
        <w:tc>
          <w:tcPr>
            <w:tcW w:w="960" w:type="dxa"/>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71</w:t>
            </w:r>
          </w:p>
        </w:tc>
        <w:tc>
          <w:tcPr>
            <w:tcW w:w="960" w:type="dxa"/>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70</w:t>
            </w:r>
          </w:p>
        </w:tc>
        <w:tc>
          <w:tcPr>
            <w:tcW w:w="960" w:type="dxa"/>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68</w:t>
            </w:r>
          </w:p>
        </w:tc>
        <w:tc>
          <w:tcPr>
            <w:tcW w:w="960" w:type="dxa"/>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152</w:t>
            </w:r>
          </w:p>
        </w:tc>
        <w:tc>
          <w:tcPr>
            <w:tcW w:w="960" w:type="dxa"/>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126</w:t>
            </w:r>
          </w:p>
        </w:tc>
        <w:tc>
          <w:tcPr>
            <w:tcW w:w="960" w:type="dxa"/>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175</w:t>
            </w:r>
          </w:p>
        </w:tc>
      </w:tr>
      <w:tr w:rsidR="00306953" w:rsidRPr="00442515" w:rsidTr="000C6FC8">
        <w:trPr>
          <w:trHeight w:val="255"/>
        </w:trPr>
        <w:tc>
          <w:tcPr>
            <w:tcW w:w="1575" w:type="dxa"/>
            <w:shd w:val="clear" w:color="000000" w:fill="FFFFFF"/>
            <w:noWrap/>
            <w:vAlign w:val="center"/>
            <w:hideMark/>
          </w:tcPr>
          <w:p w:rsidR="00306953" w:rsidRPr="00442515" w:rsidRDefault="00306953" w:rsidP="004C55CD">
            <w:pPr>
              <w:spacing w:after="0" w:line="240" w:lineRule="auto"/>
              <w:rPr>
                <w:rFonts w:cs="Arial"/>
                <w:sz w:val="16"/>
                <w:szCs w:val="16"/>
              </w:rPr>
            </w:pPr>
            <w:r w:rsidRPr="00442515">
              <w:rPr>
                <w:rFonts w:cs="Arial"/>
                <w:sz w:val="16"/>
                <w:szCs w:val="16"/>
              </w:rPr>
              <w:t>Estonsko</w:t>
            </w:r>
            <w:r w:rsidR="00301950" w:rsidRPr="00301950">
              <w:rPr>
                <w:rFonts w:cs="Arial"/>
                <w:sz w:val="16"/>
                <w:szCs w:val="16"/>
                <w:vertAlign w:val="superscript"/>
              </w:rPr>
              <w:t>2)</w:t>
            </w:r>
          </w:p>
        </w:tc>
        <w:tc>
          <w:tcPr>
            <w:tcW w:w="960" w:type="dxa"/>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91</w:t>
            </w:r>
          </w:p>
        </w:tc>
        <w:tc>
          <w:tcPr>
            <w:tcW w:w="960" w:type="dxa"/>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90</w:t>
            </w:r>
          </w:p>
        </w:tc>
        <w:tc>
          <w:tcPr>
            <w:tcW w:w="960" w:type="dxa"/>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87</w:t>
            </w:r>
          </w:p>
        </w:tc>
        <w:tc>
          <w:tcPr>
            <w:tcW w:w="960" w:type="dxa"/>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135</w:t>
            </w:r>
          </w:p>
        </w:tc>
        <w:tc>
          <w:tcPr>
            <w:tcW w:w="960" w:type="dxa"/>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123</w:t>
            </w:r>
          </w:p>
        </w:tc>
        <w:tc>
          <w:tcPr>
            <w:tcW w:w="960" w:type="dxa"/>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130</w:t>
            </w:r>
          </w:p>
        </w:tc>
      </w:tr>
      <w:tr w:rsidR="00306953" w:rsidRPr="00442515" w:rsidTr="000C6FC8">
        <w:trPr>
          <w:trHeight w:val="255"/>
        </w:trPr>
        <w:tc>
          <w:tcPr>
            <w:tcW w:w="1575" w:type="dxa"/>
            <w:shd w:val="clear" w:color="auto" w:fill="auto"/>
            <w:noWrap/>
            <w:vAlign w:val="center"/>
            <w:hideMark/>
          </w:tcPr>
          <w:p w:rsidR="00306953" w:rsidRPr="00442515" w:rsidRDefault="00306953" w:rsidP="004C55CD">
            <w:pPr>
              <w:spacing w:after="0" w:line="240" w:lineRule="auto"/>
              <w:rPr>
                <w:rFonts w:cs="Arial"/>
                <w:sz w:val="16"/>
                <w:szCs w:val="16"/>
              </w:rPr>
            </w:pPr>
            <w:r w:rsidRPr="00442515">
              <w:rPr>
                <w:rFonts w:cs="Arial"/>
                <w:sz w:val="16"/>
                <w:szCs w:val="16"/>
              </w:rPr>
              <w:t xml:space="preserve">Finsko </w:t>
            </w:r>
            <w:r w:rsidR="00301950">
              <w:rPr>
                <w:rFonts w:cs="Arial"/>
                <w:sz w:val="16"/>
                <w:szCs w:val="16"/>
                <w:vertAlign w:val="superscript"/>
              </w:rPr>
              <w:t>3</w:t>
            </w:r>
            <w:r w:rsidRPr="00442515">
              <w:rPr>
                <w:rFonts w:cs="Arial"/>
                <w:sz w:val="16"/>
                <w:szCs w:val="16"/>
                <w:vertAlign w:val="superscript"/>
              </w:rPr>
              <w:t>)</w:t>
            </w:r>
          </w:p>
        </w:tc>
        <w:tc>
          <w:tcPr>
            <w:tcW w:w="960"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93</w:t>
            </w:r>
          </w:p>
        </w:tc>
        <w:tc>
          <w:tcPr>
            <w:tcW w:w="960"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93</w:t>
            </w:r>
          </w:p>
        </w:tc>
        <w:tc>
          <w:tcPr>
            <w:tcW w:w="960"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94</w:t>
            </w:r>
          </w:p>
        </w:tc>
        <w:tc>
          <w:tcPr>
            <w:tcW w:w="960"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148</w:t>
            </w:r>
          </w:p>
        </w:tc>
        <w:tc>
          <w:tcPr>
            <w:tcW w:w="960"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126</w:t>
            </w:r>
          </w:p>
        </w:tc>
        <w:tc>
          <w:tcPr>
            <w:tcW w:w="960"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165</w:t>
            </w:r>
          </w:p>
        </w:tc>
      </w:tr>
      <w:tr w:rsidR="00306953" w:rsidRPr="00442515" w:rsidTr="000C6FC8">
        <w:trPr>
          <w:trHeight w:val="255"/>
        </w:trPr>
        <w:tc>
          <w:tcPr>
            <w:tcW w:w="1575" w:type="dxa"/>
            <w:shd w:val="clear" w:color="auto" w:fill="C6D9F1" w:themeFill="text2" w:themeFillTint="33"/>
            <w:vAlign w:val="center"/>
            <w:hideMark/>
          </w:tcPr>
          <w:p w:rsidR="00306953" w:rsidRPr="00631582" w:rsidRDefault="00306953" w:rsidP="004C55CD">
            <w:pPr>
              <w:spacing w:after="0" w:line="240" w:lineRule="auto"/>
              <w:rPr>
                <w:rFonts w:cs="Arial"/>
                <w:bCs/>
                <w:sz w:val="16"/>
                <w:szCs w:val="16"/>
              </w:rPr>
            </w:pPr>
            <w:r w:rsidRPr="00631582">
              <w:rPr>
                <w:rFonts w:cs="Arial"/>
                <w:bCs/>
                <w:sz w:val="16"/>
                <w:szCs w:val="16"/>
              </w:rPr>
              <w:t>průměr OECD</w:t>
            </w:r>
          </w:p>
        </w:tc>
        <w:tc>
          <w:tcPr>
            <w:tcW w:w="960"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77</w:t>
            </w:r>
          </w:p>
        </w:tc>
        <w:tc>
          <w:tcPr>
            <w:tcW w:w="960"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81</w:t>
            </w:r>
          </w:p>
        </w:tc>
        <w:tc>
          <w:tcPr>
            <w:tcW w:w="960"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73</w:t>
            </w:r>
          </w:p>
        </w:tc>
        <w:tc>
          <w:tcPr>
            <w:tcW w:w="960"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160</w:t>
            </w:r>
          </w:p>
        </w:tc>
        <w:tc>
          <w:tcPr>
            <w:tcW w:w="960"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141</w:t>
            </w:r>
          </w:p>
        </w:tc>
        <w:tc>
          <w:tcPr>
            <w:tcW w:w="960"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177</w:t>
            </w:r>
          </w:p>
        </w:tc>
      </w:tr>
      <w:tr w:rsidR="00306953" w:rsidRPr="00442515" w:rsidTr="000C6FC8">
        <w:trPr>
          <w:trHeight w:val="255"/>
        </w:trPr>
        <w:tc>
          <w:tcPr>
            <w:tcW w:w="1575" w:type="dxa"/>
            <w:shd w:val="clear" w:color="auto" w:fill="C6D9F1" w:themeFill="text2" w:themeFillTint="33"/>
            <w:vAlign w:val="center"/>
            <w:hideMark/>
          </w:tcPr>
          <w:p w:rsidR="00306953" w:rsidRPr="00631582" w:rsidRDefault="00306953" w:rsidP="004C55CD">
            <w:pPr>
              <w:spacing w:after="0" w:line="240" w:lineRule="auto"/>
              <w:rPr>
                <w:rFonts w:cs="Arial"/>
                <w:bCs/>
                <w:sz w:val="16"/>
                <w:szCs w:val="16"/>
              </w:rPr>
            </w:pPr>
            <w:r w:rsidRPr="00631582">
              <w:rPr>
                <w:rFonts w:cs="Arial"/>
                <w:bCs/>
                <w:sz w:val="16"/>
                <w:szCs w:val="16"/>
              </w:rPr>
              <w:t>průměr EU21</w:t>
            </w:r>
          </w:p>
        </w:tc>
        <w:tc>
          <w:tcPr>
            <w:tcW w:w="960"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79</w:t>
            </w:r>
          </w:p>
        </w:tc>
        <w:tc>
          <w:tcPr>
            <w:tcW w:w="960"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83</w:t>
            </w:r>
          </w:p>
        </w:tc>
        <w:tc>
          <w:tcPr>
            <w:tcW w:w="960"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74</w:t>
            </w:r>
          </w:p>
        </w:tc>
        <w:tc>
          <w:tcPr>
            <w:tcW w:w="960"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157</w:t>
            </w:r>
          </w:p>
        </w:tc>
        <w:tc>
          <w:tcPr>
            <w:tcW w:w="960"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137</w:t>
            </w:r>
          </w:p>
        </w:tc>
        <w:tc>
          <w:tcPr>
            <w:tcW w:w="960"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173</w:t>
            </w:r>
          </w:p>
        </w:tc>
      </w:tr>
    </w:tbl>
    <w:p w:rsidR="009E6109" w:rsidRPr="00442515" w:rsidRDefault="009E6109" w:rsidP="00B77CA9">
      <w:pPr>
        <w:pStyle w:val="Default"/>
        <w:spacing w:before="120"/>
        <w:jc w:val="both"/>
        <w:rPr>
          <w:rFonts w:ascii="Arial" w:eastAsia="ChaparralPro-Regular" w:hAnsi="Arial" w:cs="Arial"/>
          <w:color w:val="auto"/>
          <w:sz w:val="16"/>
          <w:szCs w:val="16"/>
        </w:rPr>
      </w:pPr>
      <w:r w:rsidRPr="00442515">
        <w:rPr>
          <w:rFonts w:ascii="Arial" w:eastAsia="ChaparralPro-Regular" w:hAnsi="Arial" w:cs="Arial"/>
          <w:color w:val="auto"/>
          <w:sz w:val="16"/>
          <w:szCs w:val="16"/>
          <w:vertAlign w:val="superscript"/>
        </w:rPr>
        <w:lastRenderedPageBreak/>
        <w:t>1)</w:t>
      </w:r>
      <w:r w:rsidRPr="00442515">
        <w:rPr>
          <w:rFonts w:ascii="Arial" w:eastAsia="ChaparralPro-Regular" w:hAnsi="Arial" w:cs="Arial"/>
          <w:color w:val="auto"/>
          <w:sz w:val="16"/>
          <w:szCs w:val="16"/>
        </w:rPr>
        <w:t xml:space="preserve"> </w:t>
      </w:r>
      <w:r w:rsidR="009A621E">
        <w:rPr>
          <w:rFonts w:ascii="Arial" w:eastAsia="ChaparralPro-Regular" w:hAnsi="Arial" w:cs="Arial"/>
          <w:color w:val="auto"/>
          <w:sz w:val="16"/>
          <w:szCs w:val="16"/>
        </w:rPr>
        <w:t>Hodnota i</w:t>
      </w:r>
      <w:r w:rsidR="009A621E" w:rsidRPr="00442515">
        <w:rPr>
          <w:rFonts w:ascii="Arial" w:eastAsia="ChaparralPro-Regular" w:hAnsi="Arial" w:cs="Arial"/>
          <w:color w:val="auto"/>
          <w:sz w:val="16"/>
          <w:szCs w:val="16"/>
        </w:rPr>
        <w:t>ndex</w:t>
      </w:r>
      <w:r w:rsidR="009A621E">
        <w:rPr>
          <w:rFonts w:ascii="Arial" w:eastAsia="ChaparralPro-Regular" w:hAnsi="Arial" w:cs="Arial"/>
          <w:color w:val="auto"/>
          <w:sz w:val="16"/>
          <w:szCs w:val="16"/>
        </w:rPr>
        <w:t>u</w:t>
      </w:r>
      <w:r w:rsidR="009A621E" w:rsidRPr="00442515">
        <w:rPr>
          <w:rFonts w:ascii="Arial" w:eastAsia="ChaparralPro-Regular" w:hAnsi="Arial" w:cs="Arial"/>
          <w:color w:val="auto"/>
          <w:sz w:val="16"/>
          <w:szCs w:val="16"/>
        </w:rPr>
        <w:t xml:space="preserve"> </w:t>
      </w:r>
      <w:r w:rsidRPr="00442515">
        <w:rPr>
          <w:rFonts w:ascii="Arial" w:eastAsia="ChaparralPro-Regular" w:hAnsi="Arial" w:cs="Arial"/>
          <w:color w:val="auto"/>
          <w:sz w:val="16"/>
          <w:szCs w:val="16"/>
        </w:rPr>
        <w:t>odkazuje na kombinaci úrovní ISCED 3 a 4 podle klasifikace ISCED-97</w:t>
      </w:r>
      <w:r w:rsidR="00301950">
        <w:rPr>
          <w:rFonts w:ascii="Arial" w:eastAsia="ChaparralPro-Regular" w:hAnsi="Arial" w:cs="Arial"/>
          <w:color w:val="auto"/>
          <w:sz w:val="16"/>
          <w:szCs w:val="16"/>
        </w:rPr>
        <w:t>, údaje jsou za rok 2012</w:t>
      </w:r>
      <w:r w:rsidR="00E63D96">
        <w:rPr>
          <w:rFonts w:ascii="Arial" w:eastAsia="ChaparralPro-Regular" w:hAnsi="Arial" w:cs="Arial"/>
          <w:color w:val="auto"/>
          <w:sz w:val="16"/>
          <w:szCs w:val="16"/>
        </w:rPr>
        <w:t>.</w:t>
      </w:r>
    </w:p>
    <w:p w:rsidR="009E6109" w:rsidRDefault="009E6109" w:rsidP="009E6109">
      <w:pPr>
        <w:pStyle w:val="Default"/>
        <w:jc w:val="both"/>
        <w:rPr>
          <w:rFonts w:ascii="Arial" w:eastAsia="ChaparralPro-Regular" w:hAnsi="Arial" w:cs="Arial"/>
          <w:color w:val="auto"/>
          <w:sz w:val="16"/>
          <w:szCs w:val="16"/>
        </w:rPr>
      </w:pPr>
      <w:r w:rsidRPr="00442515">
        <w:rPr>
          <w:rFonts w:ascii="Arial" w:eastAsia="ChaparralPro-Regular" w:hAnsi="Arial" w:cs="Arial"/>
          <w:color w:val="auto"/>
          <w:sz w:val="16"/>
          <w:szCs w:val="16"/>
          <w:vertAlign w:val="superscript"/>
        </w:rPr>
        <w:t>2)</w:t>
      </w:r>
      <w:r w:rsidRPr="00442515">
        <w:rPr>
          <w:rFonts w:ascii="Arial" w:eastAsia="ChaparralPro-Regular" w:hAnsi="Arial" w:cs="Arial"/>
          <w:color w:val="auto"/>
          <w:sz w:val="16"/>
          <w:szCs w:val="16"/>
        </w:rPr>
        <w:t xml:space="preserve"> </w:t>
      </w:r>
      <w:r w:rsidR="009A621E">
        <w:rPr>
          <w:rFonts w:ascii="Arial" w:eastAsia="ChaparralPro-Regular" w:hAnsi="Arial" w:cs="Arial"/>
          <w:color w:val="auto"/>
          <w:sz w:val="16"/>
          <w:szCs w:val="16"/>
        </w:rPr>
        <w:t>Hodnota i</w:t>
      </w:r>
      <w:r w:rsidR="009A621E" w:rsidRPr="00442515">
        <w:rPr>
          <w:rFonts w:ascii="Arial" w:eastAsia="ChaparralPro-Regular" w:hAnsi="Arial" w:cs="Arial"/>
          <w:color w:val="auto"/>
          <w:sz w:val="16"/>
          <w:szCs w:val="16"/>
        </w:rPr>
        <w:t>ndex</w:t>
      </w:r>
      <w:r w:rsidR="009A621E">
        <w:rPr>
          <w:rFonts w:ascii="Arial" w:eastAsia="ChaparralPro-Regular" w:hAnsi="Arial" w:cs="Arial"/>
          <w:color w:val="auto"/>
          <w:sz w:val="16"/>
          <w:szCs w:val="16"/>
        </w:rPr>
        <w:t>u</w:t>
      </w:r>
      <w:r w:rsidR="009A621E" w:rsidRPr="00442515">
        <w:rPr>
          <w:rFonts w:ascii="Arial" w:eastAsia="ChaparralPro-Regular" w:hAnsi="Arial" w:cs="Arial"/>
          <w:color w:val="auto"/>
          <w:sz w:val="16"/>
          <w:szCs w:val="16"/>
        </w:rPr>
        <w:t xml:space="preserve"> </w:t>
      </w:r>
      <w:r w:rsidRPr="00442515">
        <w:rPr>
          <w:rFonts w:ascii="Arial" w:eastAsia="ChaparralPro-Regular" w:hAnsi="Arial" w:cs="Arial"/>
          <w:color w:val="auto"/>
          <w:sz w:val="16"/>
          <w:szCs w:val="16"/>
        </w:rPr>
        <w:t>odkazuje na kombinaci úrovní ISCED 3 a 4 podle klasifikace ISCED 2011</w:t>
      </w:r>
      <w:r w:rsidR="00E63D96">
        <w:rPr>
          <w:rFonts w:ascii="Arial" w:eastAsia="ChaparralPro-Regular" w:hAnsi="Arial" w:cs="Arial"/>
          <w:color w:val="auto"/>
          <w:sz w:val="16"/>
          <w:szCs w:val="16"/>
        </w:rPr>
        <w:t>.</w:t>
      </w:r>
    </w:p>
    <w:p w:rsidR="00301950" w:rsidRPr="00442515" w:rsidRDefault="00301950" w:rsidP="009E6109">
      <w:pPr>
        <w:pStyle w:val="Default"/>
        <w:jc w:val="both"/>
        <w:rPr>
          <w:rFonts w:ascii="Arial" w:eastAsia="ChaparralPro-Regular" w:hAnsi="Arial" w:cs="Arial"/>
          <w:color w:val="auto"/>
          <w:sz w:val="16"/>
          <w:szCs w:val="16"/>
        </w:rPr>
      </w:pPr>
      <w:r w:rsidRPr="001A0FC0">
        <w:rPr>
          <w:rFonts w:ascii="Arial" w:eastAsia="ChaparralPro-Regular" w:hAnsi="Arial" w:cs="Arial"/>
          <w:color w:val="auto"/>
          <w:sz w:val="16"/>
          <w:szCs w:val="16"/>
          <w:vertAlign w:val="superscript"/>
        </w:rPr>
        <w:t>3)</w:t>
      </w:r>
      <w:r w:rsidR="00E63D96">
        <w:rPr>
          <w:rFonts w:ascii="Arial" w:eastAsia="ChaparralPro-Regular" w:hAnsi="Arial" w:cs="Arial"/>
          <w:color w:val="auto"/>
          <w:sz w:val="16"/>
          <w:szCs w:val="16"/>
        </w:rPr>
        <w:t xml:space="preserve"> Ú</w:t>
      </w:r>
      <w:r>
        <w:rPr>
          <w:rFonts w:ascii="Arial" w:eastAsia="ChaparralPro-Regular" w:hAnsi="Arial" w:cs="Arial"/>
          <w:color w:val="auto"/>
          <w:sz w:val="16"/>
          <w:szCs w:val="16"/>
        </w:rPr>
        <w:t>daje jsou za rok 2012</w:t>
      </w:r>
      <w:r w:rsidR="00E63D96">
        <w:rPr>
          <w:rFonts w:ascii="Arial" w:eastAsia="ChaparralPro-Regular" w:hAnsi="Arial" w:cs="Arial"/>
          <w:color w:val="auto"/>
          <w:sz w:val="16"/>
          <w:szCs w:val="16"/>
        </w:rPr>
        <w:t>.</w:t>
      </w:r>
    </w:p>
    <w:p w:rsidR="00306953" w:rsidRPr="00442515" w:rsidRDefault="00306953" w:rsidP="00306953">
      <w:pPr>
        <w:pStyle w:val="Default"/>
        <w:jc w:val="both"/>
        <w:rPr>
          <w:rFonts w:ascii="Arial" w:eastAsia="ChaparralPro-Regular" w:hAnsi="Arial" w:cs="Arial"/>
          <w:color w:val="auto"/>
          <w:sz w:val="16"/>
          <w:szCs w:val="16"/>
        </w:rPr>
      </w:pPr>
      <w:r w:rsidRPr="00442515">
        <w:rPr>
          <w:rFonts w:ascii="Arial" w:eastAsia="ChaparralPro-Regular" w:hAnsi="Arial" w:cs="Arial"/>
          <w:color w:val="auto"/>
          <w:sz w:val="16"/>
          <w:szCs w:val="16"/>
        </w:rPr>
        <w:t>Zdroj: Tabulka A6.1a, OECD 2015</w:t>
      </w:r>
      <w:r w:rsidRPr="00442515">
        <w:rPr>
          <w:rFonts w:ascii="Arial" w:eastAsia="ChaparralPro-Regular" w:hAnsi="Arial" w:cs="Arial"/>
          <w:sz w:val="16"/>
          <w:szCs w:val="16"/>
        </w:rPr>
        <w:t xml:space="preserve">. StatLink: </w:t>
      </w:r>
      <w:hyperlink r:id="rId157" w:history="1">
        <w:r w:rsidRPr="00442515">
          <w:rPr>
            <w:rStyle w:val="Hypertextovodkaz"/>
            <w:rFonts w:ascii="Arial" w:hAnsi="Arial" w:cs="Arial"/>
            <w:sz w:val="16"/>
            <w:szCs w:val="16"/>
          </w:rPr>
          <w:t>http://dx.doi.org/10.1787/888933285052</w:t>
        </w:r>
      </w:hyperlink>
      <w:r w:rsidRPr="00442515">
        <w:rPr>
          <w:rFonts w:ascii="Arial" w:hAnsi="Arial" w:cs="Arial"/>
          <w:sz w:val="16"/>
          <w:szCs w:val="16"/>
        </w:rPr>
        <w:t xml:space="preserve">, </w:t>
      </w:r>
      <w:r w:rsidRPr="00442515">
        <w:rPr>
          <w:rFonts w:ascii="Arial" w:eastAsia="ChaparralPro-Regular" w:hAnsi="Arial" w:cs="Arial"/>
          <w:sz w:val="16"/>
          <w:szCs w:val="16"/>
        </w:rPr>
        <w:t>výběr údajů ČSÚ.</w:t>
      </w:r>
    </w:p>
    <w:p w:rsidR="00306953" w:rsidRPr="00306953" w:rsidRDefault="00306953" w:rsidP="00306953">
      <w:pPr>
        <w:pStyle w:val="Default"/>
        <w:jc w:val="both"/>
        <w:rPr>
          <w:rFonts w:ascii="Arial" w:eastAsia="ChaparralPro-Regular" w:hAnsi="Arial" w:cs="Arial"/>
          <w:color w:val="auto"/>
          <w:sz w:val="12"/>
          <w:szCs w:val="12"/>
        </w:rPr>
      </w:pPr>
    </w:p>
    <w:p w:rsidR="00306953" w:rsidRPr="00442515" w:rsidRDefault="00306953" w:rsidP="00306953">
      <w:pPr>
        <w:pStyle w:val="Default"/>
        <w:spacing w:after="120"/>
        <w:jc w:val="both"/>
        <w:rPr>
          <w:rFonts w:ascii="Arial" w:eastAsia="ChaparralPro-Regular" w:hAnsi="Arial" w:cs="Arial"/>
          <w:color w:val="auto"/>
          <w:sz w:val="20"/>
          <w:szCs w:val="20"/>
        </w:rPr>
      </w:pPr>
      <w:r w:rsidRPr="00442515">
        <w:rPr>
          <w:rFonts w:ascii="Arial" w:eastAsia="ChaparralPro-Regular" w:hAnsi="Arial" w:cs="Arial"/>
          <w:color w:val="auto"/>
          <w:sz w:val="20"/>
          <w:szCs w:val="20"/>
        </w:rPr>
        <w:t xml:space="preserve">Z tabulky </w:t>
      </w:r>
      <w:r w:rsidR="005907A3">
        <w:rPr>
          <w:rFonts w:ascii="Arial" w:eastAsia="ChaparralPro-Regular" w:hAnsi="Arial" w:cs="Arial"/>
          <w:color w:val="auto"/>
          <w:sz w:val="20"/>
          <w:szCs w:val="20"/>
        </w:rPr>
        <w:t xml:space="preserve">č. 34 </w:t>
      </w:r>
      <w:r w:rsidRPr="00442515">
        <w:rPr>
          <w:rFonts w:ascii="Arial" w:eastAsia="ChaparralPro-Regular" w:hAnsi="Arial" w:cs="Arial"/>
          <w:color w:val="auto"/>
          <w:sz w:val="20"/>
          <w:szCs w:val="20"/>
        </w:rPr>
        <w:t xml:space="preserve">je patrné, že ve všech sledovaných zemích i v mezinárodních průměrech vydělávali v obou </w:t>
      </w:r>
      <w:r w:rsidR="005907A3">
        <w:rPr>
          <w:rFonts w:ascii="Arial" w:eastAsia="ChaparralPro-Regular" w:hAnsi="Arial" w:cs="Arial"/>
          <w:color w:val="auto"/>
          <w:sz w:val="20"/>
          <w:szCs w:val="20"/>
        </w:rPr>
        <w:t xml:space="preserve">dílčích </w:t>
      </w:r>
      <w:r w:rsidRPr="00442515">
        <w:rPr>
          <w:rFonts w:ascii="Arial" w:eastAsia="ChaparralPro-Regular" w:hAnsi="Arial" w:cs="Arial"/>
          <w:color w:val="auto"/>
          <w:sz w:val="20"/>
          <w:szCs w:val="20"/>
        </w:rPr>
        <w:t>věkových kohortách terciárně vzdělané osoby v průměru více než osoby s </w:t>
      </w:r>
      <w:r w:rsidR="00E52654">
        <w:rPr>
          <w:rFonts w:ascii="Arial" w:eastAsia="ChaparralPro-Regular" w:hAnsi="Arial" w:cs="Arial"/>
          <w:color w:val="auto"/>
          <w:sz w:val="20"/>
          <w:szCs w:val="20"/>
        </w:rPr>
        <w:t>vyšším sekundárním vzděláním, a </w:t>
      </w:r>
      <w:r w:rsidRPr="00442515">
        <w:rPr>
          <w:rFonts w:ascii="Arial" w:eastAsia="ChaparralPro-Regular" w:hAnsi="Arial" w:cs="Arial"/>
          <w:color w:val="auto"/>
          <w:sz w:val="20"/>
          <w:szCs w:val="20"/>
        </w:rPr>
        <w:t xml:space="preserve">naopak osoby s nižším než vyšším sekundárním vzděláním méně. Ve všech zemích v tabulce i v mezinárodních průměrech také platí, že </w:t>
      </w:r>
      <w:r w:rsidRPr="00442515">
        <w:rPr>
          <w:rFonts w:ascii="Arial" w:eastAsia="ChaparralPro-Regular" w:hAnsi="Arial" w:cs="Arial"/>
          <w:b/>
          <w:color w:val="auto"/>
          <w:sz w:val="20"/>
          <w:szCs w:val="20"/>
        </w:rPr>
        <w:t>u osob ve věku 55–64 let znamenalo terciární vzdělání větší navýšení platu</w:t>
      </w:r>
      <w:r w:rsidRPr="00442515">
        <w:rPr>
          <w:rFonts w:ascii="Arial" w:eastAsia="ChaparralPro-Regular" w:hAnsi="Arial" w:cs="Arial"/>
          <w:color w:val="auto"/>
          <w:sz w:val="20"/>
          <w:szCs w:val="20"/>
        </w:rPr>
        <w:t xml:space="preserve"> oproti osobám s vyšším sekundárním vzděláním, než jak tomu bylo u osob ve věku 25 až 34 let (nejvýraznější rozdíl mezi těmito dvěm</w:t>
      </w:r>
      <w:r w:rsidR="005907A3">
        <w:rPr>
          <w:rFonts w:ascii="Arial" w:eastAsia="ChaparralPro-Regular" w:hAnsi="Arial" w:cs="Arial"/>
          <w:color w:val="auto"/>
          <w:sz w:val="20"/>
          <w:szCs w:val="20"/>
        </w:rPr>
        <w:t>a kohortami byl v Polsku, tj. 57</w:t>
      </w:r>
      <w:r w:rsidRPr="00442515">
        <w:rPr>
          <w:rFonts w:ascii="Arial" w:eastAsia="ChaparralPro-Regular" w:hAnsi="Arial" w:cs="Arial"/>
          <w:color w:val="auto"/>
          <w:sz w:val="20"/>
          <w:szCs w:val="20"/>
        </w:rPr>
        <w:t xml:space="preserve"> procentních bodů, u nás činil tento rozdíl v souladu s mezinárodními průměry 36 procentních bodů, naopak v Estonsku jen 7 procentních bodů). </w:t>
      </w:r>
      <w:r w:rsidRPr="00442515">
        <w:rPr>
          <w:rFonts w:ascii="Arial" w:eastAsia="ChaparralPro-Regular" w:hAnsi="Arial" w:cs="Arial"/>
          <w:b/>
          <w:color w:val="auto"/>
          <w:sz w:val="20"/>
          <w:szCs w:val="20"/>
        </w:rPr>
        <w:t>Také nedosažení vyššího sekundárního vzdělání</w:t>
      </w:r>
      <w:r w:rsidRPr="00442515">
        <w:rPr>
          <w:rFonts w:ascii="Arial" w:eastAsia="ChaparralPro-Regular" w:hAnsi="Arial" w:cs="Arial"/>
          <w:color w:val="auto"/>
          <w:sz w:val="20"/>
          <w:szCs w:val="20"/>
        </w:rPr>
        <w:t xml:space="preserve"> mělo ve většině zemí v tabulce na výdělky </w:t>
      </w:r>
      <w:r w:rsidRPr="00442515">
        <w:rPr>
          <w:rFonts w:ascii="Arial" w:eastAsia="ChaparralPro-Regular" w:hAnsi="Arial" w:cs="Arial"/>
          <w:b/>
          <w:color w:val="auto"/>
          <w:sz w:val="20"/>
          <w:szCs w:val="20"/>
        </w:rPr>
        <w:t>větší dopad u starší věkové kohorty</w:t>
      </w:r>
      <w:r w:rsidRPr="00442515">
        <w:rPr>
          <w:rFonts w:ascii="Arial" w:eastAsia="ChaparralPro-Regular" w:hAnsi="Arial" w:cs="Arial"/>
          <w:color w:val="auto"/>
          <w:sz w:val="20"/>
          <w:szCs w:val="20"/>
        </w:rPr>
        <w:t xml:space="preserve"> než u té mladší (nejvýrazněji v Polsku, o 10 procentních bodů, a v České republice, o 9 procentních bodů – v souladu s mezinárodním průměrem za země v EU i OECD). Lze tedy očekávat, že v případě terciárně vzdělaných osob poroste plat v průběhu kariéry výrazněji než u osob s nižším vzděláním, přičemž u osob s nedosaženým vyšším sekundárním vzděláním může v některých zemích dokonce v čase i klesat (příp. mohou být preferováni mladší zaměstnanci před staršími, např. v případě manuální práce). Svou roli zde však může sehrát i proměna poskytovaného vzdělávání v čase, např. důraz na výuku cizích jazyků a práci s informačními a komunikačními technologiemi již na základních školách. Výjimkou je Finsko, kde se platy osob s nižším než vyšším sekundárním vzděláním v obou věkových kohortách ze sledovaných zemí v tabulce nejvíce blížily platům osob s vyšším sekundárním vzděláním (dosahovaly 93 %, resp. 94 %). Další výjimkou je Slovensko, kde se nedosažení vyššího sekundárního vzdělání projevilo u mladší generace v průměru o 4 procentní body více než u té starší. Oproti Finsku mělo však celkově na Slovensku nedosažení vyššího sekundárního vzdělání na platy zaměstnanců naopak ze všech zemí v tabulce největší negativní dopad (byly o 32 % nižší). Dosažení terciárního vzdělání pak mělo v mladší i starší věkové kohortě ze sledovaných zemí </w:t>
      </w:r>
      <w:r w:rsidR="005907A3">
        <w:rPr>
          <w:rFonts w:ascii="Arial" w:eastAsia="ChaparralPro-Regular" w:hAnsi="Arial" w:cs="Arial"/>
          <w:color w:val="auto"/>
          <w:sz w:val="20"/>
          <w:szCs w:val="20"/>
        </w:rPr>
        <w:t xml:space="preserve">v tabulce č. 34, ale též tabulce OECD A6.1a, </w:t>
      </w:r>
      <w:r w:rsidRPr="00442515">
        <w:rPr>
          <w:rFonts w:ascii="Arial" w:eastAsia="ChaparralPro-Regular" w:hAnsi="Arial" w:cs="Arial"/>
          <w:color w:val="auto"/>
          <w:sz w:val="20"/>
          <w:szCs w:val="20"/>
        </w:rPr>
        <w:t xml:space="preserve">nejmenší dopad na platy zaměstnanců v Estonsku. Česká republika zaznamenala ze zemí uvedených v tabulce </w:t>
      </w:r>
      <w:r w:rsidR="005907A3">
        <w:rPr>
          <w:rFonts w:ascii="Arial" w:eastAsia="ChaparralPro-Regular" w:hAnsi="Arial" w:cs="Arial"/>
          <w:color w:val="auto"/>
          <w:sz w:val="20"/>
          <w:szCs w:val="20"/>
        </w:rPr>
        <w:t xml:space="preserve">č. 34 </w:t>
      </w:r>
      <w:r w:rsidRPr="00442515">
        <w:rPr>
          <w:rFonts w:ascii="Arial" w:eastAsia="ChaparralPro-Regular" w:hAnsi="Arial" w:cs="Arial"/>
          <w:color w:val="auto"/>
          <w:sz w:val="20"/>
          <w:szCs w:val="20"/>
        </w:rPr>
        <w:t xml:space="preserve">celkově největší navýšení platů v případě dosažení terciárního vzdělání (oproti osobám se sekundárním vzděláním vydělávali terciárně vzdělaní v průměru o 75 % více), nicméně u osob ve věku 55–64 let hrálo terciární vzdělání v platech zaměstnanců ještě větší roli v Polsku a na Slovensku. </w:t>
      </w:r>
    </w:p>
    <w:p w:rsidR="00306953" w:rsidRPr="00442515" w:rsidRDefault="00306953" w:rsidP="00306953">
      <w:pPr>
        <w:pStyle w:val="Default"/>
        <w:spacing w:after="120"/>
        <w:jc w:val="both"/>
        <w:rPr>
          <w:rFonts w:ascii="Arial" w:hAnsi="Arial" w:cs="Arial"/>
          <w:sz w:val="20"/>
          <w:szCs w:val="20"/>
        </w:rPr>
      </w:pPr>
      <w:r w:rsidRPr="00442515">
        <w:rPr>
          <w:rFonts w:ascii="Arial" w:hAnsi="Arial" w:cs="Arial"/>
          <w:sz w:val="20"/>
          <w:szCs w:val="20"/>
        </w:rPr>
        <w:t>Tabulka č. 35 dále kombinuje informace představené v předchozích tabulkách této kapitoly a ukazuje r</w:t>
      </w:r>
      <w:r w:rsidRPr="00442515">
        <w:rPr>
          <w:rFonts w:ascii="Arial" w:hAnsi="Arial" w:cs="Arial"/>
          <w:b/>
          <w:sz w:val="20"/>
          <w:szCs w:val="20"/>
        </w:rPr>
        <w:t>ozdíly mezi výdělky žen a mužů v roce 2013 dle dosaženého vzdělání v dělení na věkové kategorie</w:t>
      </w:r>
      <w:r w:rsidRPr="00442515">
        <w:rPr>
          <w:rFonts w:ascii="Arial" w:hAnsi="Arial" w:cs="Arial"/>
          <w:sz w:val="20"/>
          <w:szCs w:val="20"/>
        </w:rPr>
        <w:t>. Za dospělou populaci ve věku 25 až 64 let s příjmem ze zaměstnání jsou v ní znázorněny průměrné roční výdělky žen zaměstnaných po celý rok a na plný úvazek jakožto procenta k výdělkům mužů zaměstnaných po celý rok a na plný úvazek.</w:t>
      </w:r>
    </w:p>
    <w:p w:rsidR="00306953" w:rsidRPr="00442515" w:rsidRDefault="00306953" w:rsidP="00306953">
      <w:pPr>
        <w:pStyle w:val="Default"/>
        <w:jc w:val="both"/>
        <w:rPr>
          <w:rFonts w:ascii="Arial" w:hAnsi="Arial" w:cs="Arial"/>
          <w:b/>
          <w:sz w:val="20"/>
          <w:szCs w:val="20"/>
        </w:rPr>
      </w:pPr>
      <w:r w:rsidRPr="008128FE">
        <w:rPr>
          <w:rFonts w:ascii="Arial" w:hAnsi="Arial" w:cs="Arial"/>
          <w:b/>
          <w:sz w:val="20"/>
          <w:szCs w:val="20"/>
        </w:rPr>
        <w:t xml:space="preserve">Tab. </w:t>
      </w:r>
      <w:r w:rsidR="008128FE" w:rsidRPr="008128FE">
        <w:rPr>
          <w:rFonts w:ascii="Arial" w:hAnsi="Arial" w:cs="Arial"/>
          <w:b/>
          <w:sz w:val="20"/>
          <w:szCs w:val="20"/>
        </w:rPr>
        <w:t>č</w:t>
      </w:r>
      <w:r w:rsidR="008128FE">
        <w:rPr>
          <w:rFonts w:ascii="Arial" w:hAnsi="Arial" w:cs="Arial"/>
          <w:b/>
          <w:sz w:val="20"/>
          <w:szCs w:val="20"/>
        </w:rPr>
        <w:t>. </w:t>
      </w:r>
      <w:r w:rsidRPr="00442515">
        <w:rPr>
          <w:rFonts w:ascii="Arial" w:hAnsi="Arial" w:cs="Arial"/>
          <w:b/>
          <w:sz w:val="20"/>
          <w:szCs w:val="20"/>
        </w:rPr>
        <w:t>35 Průměrné roční výdělky žen zaměstnaných po celý rok a na plný úvazek jakožto procento k výdělkům obdobně zaměstnaných mužů (2013)</w:t>
      </w:r>
    </w:p>
    <w:p w:rsidR="00306953" w:rsidRPr="00306953" w:rsidRDefault="00306953" w:rsidP="00306953">
      <w:pPr>
        <w:pStyle w:val="Default"/>
        <w:jc w:val="both"/>
        <w:rPr>
          <w:rFonts w:ascii="Arial" w:hAnsi="Arial" w:cs="Arial"/>
          <w:sz w:val="12"/>
          <w:szCs w:val="12"/>
        </w:rPr>
      </w:pPr>
    </w:p>
    <w:tbl>
      <w:tblPr>
        <w:tblW w:w="9693" w:type="dxa"/>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1575"/>
        <w:gridCol w:w="709"/>
        <w:gridCol w:w="767"/>
        <w:gridCol w:w="754"/>
        <w:gridCol w:w="599"/>
        <w:gridCol w:w="646"/>
        <w:gridCol w:w="709"/>
        <w:gridCol w:w="567"/>
        <w:gridCol w:w="709"/>
        <w:gridCol w:w="654"/>
        <w:gridCol w:w="641"/>
        <w:gridCol w:w="688"/>
        <w:gridCol w:w="675"/>
      </w:tblGrid>
      <w:tr w:rsidR="00306953" w:rsidRPr="00442515" w:rsidTr="000C6FC8">
        <w:trPr>
          <w:trHeight w:val="690"/>
        </w:trPr>
        <w:tc>
          <w:tcPr>
            <w:tcW w:w="1575" w:type="dxa"/>
            <w:vMerge w:val="restart"/>
            <w:tcBorders>
              <w:top w:val="double" w:sz="4" w:space="0" w:color="auto"/>
              <w:bottom w:val="single" w:sz="4" w:space="0" w:color="auto"/>
            </w:tcBorders>
            <w:shd w:val="clear" w:color="auto" w:fill="FFCCCC"/>
            <w:noWrap/>
            <w:vAlign w:val="bottom"/>
            <w:hideMark/>
          </w:tcPr>
          <w:p w:rsidR="00306953" w:rsidRPr="00442515" w:rsidRDefault="00306953" w:rsidP="00306953">
            <w:pPr>
              <w:keepNext/>
              <w:spacing w:after="0" w:line="240" w:lineRule="auto"/>
              <w:rPr>
                <w:rFonts w:cs="Arial"/>
                <w:color w:val="000000"/>
                <w:sz w:val="16"/>
                <w:szCs w:val="16"/>
              </w:rPr>
            </w:pPr>
            <w:r w:rsidRPr="00442515">
              <w:rPr>
                <w:rFonts w:cs="Arial"/>
                <w:color w:val="000000"/>
                <w:sz w:val="16"/>
                <w:szCs w:val="16"/>
              </w:rPr>
              <w:t> </w:t>
            </w:r>
          </w:p>
        </w:tc>
        <w:tc>
          <w:tcPr>
            <w:tcW w:w="2230" w:type="dxa"/>
            <w:gridSpan w:val="3"/>
            <w:tcBorders>
              <w:top w:val="double" w:sz="4" w:space="0" w:color="auto"/>
              <w:bottom w:val="single" w:sz="4" w:space="0" w:color="auto"/>
            </w:tcBorders>
            <w:shd w:val="clear" w:color="auto" w:fill="FFCCCC"/>
            <w:vAlign w:val="center"/>
            <w:hideMark/>
          </w:tcPr>
          <w:p w:rsidR="00306953" w:rsidRPr="00442515" w:rsidRDefault="00306953" w:rsidP="004C55CD">
            <w:pPr>
              <w:keepNext/>
              <w:spacing w:after="0" w:line="240" w:lineRule="auto"/>
              <w:jc w:val="center"/>
              <w:rPr>
                <w:rFonts w:cs="Arial"/>
                <w:b/>
                <w:bCs/>
                <w:sz w:val="16"/>
                <w:szCs w:val="16"/>
              </w:rPr>
            </w:pPr>
            <w:r w:rsidRPr="00442515">
              <w:rPr>
                <w:rFonts w:cs="Arial"/>
                <w:b/>
                <w:bCs/>
                <w:sz w:val="16"/>
                <w:szCs w:val="16"/>
              </w:rPr>
              <w:t>nižší než vyšší sekundární</w:t>
            </w:r>
          </w:p>
        </w:tc>
        <w:tc>
          <w:tcPr>
            <w:tcW w:w="1954" w:type="dxa"/>
            <w:gridSpan w:val="3"/>
            <w:tcBorders>
              <w:top w:val="double" w:sz="4" w:space="0" w:color="auto"/>
              <w:bottom w:val="single" w:sz="4" w:space="0" w:color="auto"/>
            </w:tcBorders>
            <w:shd w:val="clear" w:color="auto" w:fill="FFCCCC"/>
            <w:vAlign w:val="center"/>
            <w:hideMark/>
          </w:tcPr>
          <w:p w:rsidR="00306953" w:rsidRPr="00442515" w:rsidRDefault="00306953" w:rsidP="004C55CD">
            <w:pPr>
              <w:keepNext/>
              <w:spacing w:after="0" w:line="240" w:lineRule="auto"/>
              <w:jc w:val="center"/>
              <w:rPr>
                <w:rFonts w:cs="Arial"/>
                <w:b/>
                <w:bCs/>
                <w:sz w:val="16"/>
                <w:szCs w:val="16"/>
              </w:rPr>
            </w:pPr>
            <w:r w:rsidRPr="00442515">
              <w:rPr>
                <w:rFonts w:cs="Arial"/>
                <w:b/>
                <w:bCs/>
                <w:sz w:val="16"/>
                <w:szCs w:val="16"/>
              </w:rPr>
              <w:t>vyšší sekundární až postsekundární neterciární</w:t>
            </w:r>
          </w:p>
        </w:tc>
        <w:tc>
          <w:tcPr>
            <w:tcW w:w="1930" w:type="dxa"/>
            <w:gridSpan w:val="3"/>
            <w:tcBorders>
              <w:top w:val="double" w:sz="4" w:space="0" w:color="auto"/>
              <w:bottom w:val="single" w:sz="4" w:space="0" w:color="auto"/>
            </w:tcBorders>
            <w:shd w:val="clear" w:color="auto" w:fill="FFCCCC"/>
            <w:vAlign w:val="center"/>
            <w:hideMark/>
          </w:tcPr>
          <w:p w:rsidR="00306953" w:rsidRPr="00442515" w:rsidRDefault="00306953" w:rsidP="004C55CD">
            <w:pPr>
              <w:keepNext/>
              <w:spacing w:after="0" w:line="240" w:lineRule="auto"/>
              <w:jc w:val="center"/>
              <w:rPr>
                <w:rFonts w:cs="Arial"/>
                <w:b/>
                <w:bCs/>
                <w:sz w:val="16"/>
                <w:szCs w:val="16"/>
              </w:rPr>
            </w:pPr>
            <w:r w:rsidRPr="00442515">
              <w:rPr>
                <w:rFonts w:cs="Arial"/>
                <w:b/>
                <w:bCs/>
                <w:sz w:val="16"/>
                <w:szCs w:val="16"/>
              </w:rPr>
              <w:t>terciární</w:t>
            </w:r>
          </w:p>
        </w:tc>
        <w:tc>
          <w:tcPr>
            <w:tcW w:w="2004" w:type="dxa"/>
            <w:gridSpan w:val="3"/>
            <w:tcBorders>
              <w:top w:val="double" w:sz="4" w:space="0" w:color="auto"/>
              <w:bottom w:val="single" w:sz="4" w:space="0" w:color="auto"/>
            </w:tcBorders>
            <w:shd w:val="clear" w:color="auto" w:fill="FFCCCC"/>
            <w:vAlign w:val="center"/>
            <w:hideMark/>
          </w:tcPr>
          <w:p w:rsidR="00306953" w:rsidRPr="00442515" w:rsidRDefault="00306953" w:rsidP="004C55CD">
            <w:pPr>
              <w:keepNext/>
              <w:spacing w:after="0" w:line="240" w:lineRule="auto"/>
              <w:jc w:val="center"/>
              <w:rPr>
                <w:rFonts w:cs="Arial"/>
                <w:b/>
                <w:bCs/>
                <w:sz w:val="16"/>
                <w:szCs w:val="16"/>
              </w:rPr>
            </w:pPr>
            <w:r w:rsidRPr="00442515">
              <w:rPr>
                <w:rFonts w:cs="Arial"/>
                <w:b/>
                <w:bCs/>
                <w:sz w:val="16"/>
                <w:szCs w:val="16"/>
              </w:rPr>
              <w:t>všechny úrovně</w:t>
            </w:r>
          </w:p>
        </w:tc>
      </w:tr>
      <w:tr w:rsidR="00306953" w:rsidRPr="00442515" w:rsidTr="000C6FC8">
        <w:trPr>
          <w:trHeight w:val="255"/>
        </w:trPr>
        <w:tc>
          <w:tcPr>
            <w:tcW w:w="1575" w:type="dxa"/>
            <w:vMerge/>
            <w:tcBorders>
              <w:top w:val="single" w:sz="4" w:space="0" w:color="auto"/>
              <w:bottom w:val="double" w:sz="4" w:space="0" w:color="auto"/>
            </w:tcBorders>
            <w:shd w:val="clear" w:color="auto" w:fill="FFCCCC"/>
            <w:vAlign w:val="center"/>
            <w:hideMark/>
          </w:tcPr>
          <w:p w:rsidR="00306953" w:rsidRPr="00442515" w:rsidRDefault="00306953" w:rsidP="00306953">
            <w:pPr>
              <w:keepNext/>
              <w:spacing w:after="0" w:line="240" w:lineRule="auto"/>
              <w:rPr>
                <w:rFonts w:cs="Arial"/>
                <w:color w:val="000000"/>
                <w:sz w:val="16"/>
                <w:szCs w:val="16"/>
              </w:rPr>
            </w:pPr>
          </w:p>
        </w:tc>
        <w:tc>
          <w:tcPr>
            <w:tcW w:w="709" w:type="dxa"/>
            <w:tcBorders>
              <w:top w:val="single" w:sz="4" w:space="0" w:color="auto"/>
              <w:bottom w:val="double" w:sz="4" w:space="0" w:color="auto"/>
            </w:tcBorders>
            <w:shd w:val="clear" w:color="auto" w:fill="FFCCCC"/>
            <w:noWrap/>
            <w:vAlign w:val="center"/>
            <w:hideMark/>
          </w:tcPr>
          <w:p w:rsidR="00306953" w:rsidRPr="00442515" w:rsidRDefault="00306953" w:rsidP="004C55CD">
            <w:pPr>
              <w:keepNext/>
              <w:spacing w:after="0" w:line="240" w:lineRule="auto"/>
              <w:jc w:val="center"/>
              <w:rPr>
                <w:rFonts w:cs="Arial"/>
                <w:b/>
                <w:bCs/>
                <w:sz w:val="16"/>
                <w:szCs w:val="16"/>
              </w:rPr>
            </w:pPr>
            <w:r w:rsidRPr="00442515">
              <w:rPr>
                <w:rFonts w:cs="Arial"/>
                <w:b/>
                <w:bCs/>
                <w:sz w:val="16"/>
                <w:szCs w:val="16"/>
              </w:rPr>
              <w:t>25-64</w:t>
            </w:r>
          </w:p>
        </w:tc>
        <w:tc>
          <w:tcPr>
            <w:tcW w:w="767" w:type="dxa"/>
            <w:tcBorders>
              <w:top w:val="single" w:sz="4" w:space="0" w:color="auto"/>
              <w:bottom w:val="double" w:sz="4" w:space="0" w:color="auto"/>
            </w:tcBorders>
            <w:shd w:val="clear" w:color="auto" w:fill="FFCCCC"/>
            <w:noWrap/>
            <w:vAlign w:val="center"/>
            <w:hideMark/>
          </w:tcPr>
          <w:p w:rsidR="00306953" w:rsidRPr="00442515" w:rsidRDefault="00306953" w:rsidP="004C55CD">
            <w:pPr>
              <w:keepNext/>
              <w:spacing w:after="0" w:line="240" w:lineRule="auto"/>
              <w:jc w:val="center"/>
              <w:rPr>
                <w:rFonts w:cs="Arial"/>
                <w:b/>
                <w:bCs/>
                <w:sz w:val="16"/>
                <w:szCs w:val="16"/>
              </w:rPr>
            </w:pPr>
            <w:r w:rsidRPr="00442515">
              <w:rPr>
                <w:rFonts w:cs="Arial"/>
                <w:b/>
                <w:bCs/>
                <w:sz w:val="16"/>
                <w:szCs w:val="16"/>
              </w:rPr>
              <w:t>35-44</w:t>
            </w:r>
          </w:p>
        </w:tc>
        <w:tc>
          <w:tcPr>
            <w:tcW w:w="754" w:type="dxa"/>
            <w:tcBorders>
              <w:top w:val="single" w:sz="4" w:space="0" w:color="auto"/>
              <w:bottom w:val="double" w:sz="4" w:space="0" w:color="auto"/>
            </w:tcBorders>
            <w:shd w:val="clear" w:color="auto" w:fill="FFCCCC"/>
            <w:noWrap/>
            <w:vAlign w:val="center"/>
            <w:hideMark/>
          </w:tcPr>
          <w:p w:rsidR="00306953" w:rsidRPr="00442515" w:rsidRDefault="00306953" w:rsidP="004C55CD">
            <w:pPr>
              <w:keepNext/>
              <w:spacing w:after="0" w:line="240" w:lineRule="auto"/>
              <w:jc w:val="center"/>
              <w:rPr>
                <w:rFonts w:cs="Arial"/>
                <w:b/>
                <w:bCs/>
                <w:sz w:val="16"/>
                <w:szCs w:val="16"/>
              </w:rPr>
            </w:pPr>
            <w:r w:rsidRPr="00442515">
              <w:rPr>
                <w:rFonts w:cs="Arial"/>
                <w:b/>
                <w:bCs/>
                <w:sz w:val="16"/>
                <w:szCs w:val="16"/>
              </w:rPr>
              <w:t>55-64</w:t>
            </w:r>
          </w:p>
        </w:tc>
        <w:tc>
          <w:tcPr>
            <w:tcW w:w="599" w:type="dxa"/>
            <w:tcBorders>
              <w:top w:val="single" w:sz="4" w:space="0" w:color="auto"/>
              <w:bottom w:val="double" w:sz="4" w:space="0" w:color="auto"/>
            </w:tcBorders>
            <w:shd w:val="clear" w:color="auto" w:fill="FFCCCC"/>
            <w:noWrap/>
            <w:vAlign w:val="center"/>
            <w:hideMark/>
          </w:tcPr>
          <w:p w:rsidR="00306953" w:rsidRPr="00442515" w:rsidRDefault="00306953" w:rsidP="004C55CD">
            <w:pPr>
              <w:keepNext/>
              <w:spacing w:after="0" w:line="240" w:lineRule="auto"/>
              <w:jc w:val="center"/>
              <w:rPr>
                <w:rFonts w:cs="Arial"/>
                <w:b/>
                <w:bCs/>
                <w:sz w:val="16"/>
                <w:szCs w:val="16"/>
              </w:rPr>
            </w:pPr>
            <w:r w:rsidRPr="00442515">
              <w:rPr>
                <w:rFonts w:cs="Arial"/>
                <w:b/>
                <w:bCs/>
                <w:sz w:val="16"/>
                <w:szCs w:val="16"/>
              </w:rPr>
              <w:t>25-64</w:t>
            </w:r>
          </w:p>
        </w:tc>
        <w:tc>
          <w:tcPr>
            <w:tcW w:w="646" w:type="dxa"/>
            <w:tcBorders>
              <w:top w:val="single" w:sz="4" w:space="0" w:color="auto"/>
              <w:bottom w:val="double" w:sz="4" w:space="0" w:color="auto"/>
            </w:tcBorders>
            <w:shd w:val="clear" w:color="auto" w:fill="FFCCCC"/>
            <w:noWrap/>
            <w:vAlign w:val="center"/>
            <w:hideMark/>
          </w:tcPr>
          <w:p w:rsidR="00306953" w:rsidRPr="00442515" w:rsidRDefault="00306953" w:rsidP="004C55CD">
            <w:pPr>
              <w:keepNext/>
              <w:spacing w:after="0" w:line="240" w:lineRule="auto"/>
              <w:jc w:val="center"/>
              <w:rPr>
                <w:rFonts w:cs="Arial"/>
                <w:b/>
                <w:bCs/>
                <w:sz w:val="16"/>
                <w:szCs w:val="16"/>
              </w:rPr>
            </w:pPr>
            <w:r w:rsidRPr="00442515">
              <w:rPr>
                <w:rFonts w:cs="Arial"/>
                <w:b/>
                <w:bCs/>
                <w:sz w:val="16"/>
                <w:szCs w:val="16"/>
              </w:rPr>
              <w:t>35-44</w:t>
            </w:r>
          </w:p>
        </w:tc>
        <w:tc>
          <w:tcPr>
            <w:tcW w:w="709" w:type="dxa"/>
            <w:tcBorders>
              <w:top w:val="single" w:sz="4" w:space="0" w:color="auto"/>
              <w:bottom w:val="double" w:sz="4" w:space="0" w:color="auto"/>
            </w:tcBorders>
            <w:shd w:val="clear" w:color="auto" w:fill="FFCCCC"/>
            <w:noWrap/>
            <w:vAlign w:val="center"/>
            <w:hideMark/>
          </w:tcPr>
          <w:p w:rsidR="00306953" w:rsidRPr="00442515" w:rsidRDefault="00306953" w:rsidP="004C55CD">
            <w:pPr>
              <w:keepNext/>
              <w:spacing w:after="0" w:line="240" w:lineRule="auto"/>
              <w:jc w:val="center"/>
              <w:rPr>
                <w:rFonts w:cs="Arial"/>
                <w:b/>
                <w:bCs/>
                <w:sz w:val="16"/>
                <w:szCs w:val="16"/>
              </w:rPr>
            </w:pPr>
            <w:r w:rsidRPr="00442515">
              <w:rPr>
                <w:rFonts w:cs="Arial"/>
                <w:b/>
                <w:bCs/>
                <w:sz w:val="16"/>
                <w:szCs w:val="16"/>
              </w:rPr>
              <w:t>55-64</w:t>
            </w:r>
          </w:p>
        </w:tc>
        <w:tc>
          <w:tcPr>
            <w:tcW w:w="567" w:type="dxa"/>
            <w:tcBorders>
              <w:top w:val="single" w:sz="4" w:space="0" w:color="auto"/>
              <w:bottom w:val="double" w:sz="4" w:space="0" w:color="auto"/>
            </w:tcBorders>
            <w:shd w:val="clear" w:color="auto" w:fill="FFCCCC"/>
            <w:noWrap/>
            <w:vAlign w:val="center"/>
            <w:hideMark/>
          </w:tcPr>
          <w:p w:rsidR="00306953" w:rsidRPr="00442515" w:rsidRDefault="00306953" w:rsidP="004C55CD">
            <w:pPr>
              <w:keepNext/>
              <w:spacing w:after="0" w:line="240" w:lineRule="auto"/>
              <w:jc w:val="center"/>
              <w:rPr>
                <w:rFonts w:cs="Arial"/>
                <w:b/>
                <w:bCs/>
                <w:sz w:val="16"/>
                <w:szCs w:val="16"/>
              </w:rPr>
            </w:pPr>
            <w:r w:rsidRPr="00442515">
              <w:rPr>
                <w:rFonts w:cs="Arial"/>
                <w:b/>
                <w:bCs/>
                <w:sz w:val="16"/>
                <w:szCs w:val="16"/>
              </w:rPr>
              <w:t>25-64</w:t>
            </w:r>
          </w:p>
        </w:tc>
        <w:tc>
          <w:tcPr>
            <w:tcW w:w="709" w:type="dxa"/>
            <w:tcBorders>
              <w:top w:val="single" w:sz="4" w:space="0" w:color="auto"/>
              <w:bottom w:val="double" w:sz="4" w:space="0" w:color="auto"/>
            </w:tcBorders>
            <w:shd w:val="clear" w:color="auto" w:fill="FFCCCC"/>
            <w:noWrap/>
            <w:vAlign w:val="center"/>
            <w:hideMark/>
          </w:tcPr>
          <w:p w:rsidR="00306953" w:rsidRPr="00442515" w:rsidRDefault="00306953" w:rsidP="004C55CD">
            <w:pPr>
              <w:keepNext/>
              <w:spacing w:after="0" w:line="240" w:lineRule="auto"/>
              <w:jc w:val="center"/>
              <w:rPr>
                <w:rFonts w:cs="Arial"/>
                <w:b/>
                <w:bCs/>
                <w:sz w:val="16"/>
                <w:szCs w:val="16"/>
              </w:rPr>
            </w:pPr>
            <w:r w:rsidRPr="00442515">
              <w:rPr>
                <w:rFonts w:cs="Arial"/>
                <w:b/>
                <w:bCs/>
                <w:sz w:val="16"/>
                <w:szCs w:val="16"/>
              </w:rPr>
              <w:t>35-44</w:t>
            </w:r>
          </w:p>
        </w:tc>
        <w:tc>
          <w:tcPr>
            <w:tcW w:w="654" w:type="dxa"/>
            <w:tcBorders>
              <w:top w:val="single" w:sz="4" w:space="0" w:color="auto"/>
              <w:bottom w:val="double" w:sz="4" w:space="0" w:color="auto"/>
            </w:tcBorders>
            <w:shd w:val="clear" w:color="auto" w:fill="FFCCCC"/>
            <w:noWrap/>
            <w:vAlign w:val="center"/>
            <w:hideMark/>
          </w:tcPr>
          <w:p w:rsidR="00306953" w:rsidRPr="00442515" w:rsidRDefault="00306953" w:rsidP="004C55CD">
            <w:pPr>
              <w:keepNext/>
              <w:spacing w:after="0" w:line="240" w:lineRule="auto"/>
              <w:jc w:val="center"/>
              <w:rPr>
                <w:rFonts w:cs="Arial"/>
                <w:b/>
                <w:bCs/>
                <w:sz w:val="16"/>
                <w:szCs w:val="16"/>
              </w:rPr>
            </w:pPr>
            <w:r w:rsidRPr="00442515">
              <w:rPr>
                <w:rFonts w:cs="Arial"/>
                <w:b/>
                <w:bCs/>
                <w:sz w:val="16"/>
                <w:szCs w:val="16"/>
              </w:rPr>
              <w:t>55-64</w:t>
            </w:r>
          </w:p>
        </w:tc>
        <w:tc>
          <w:tcPr>
            <w:tcW w:w="641" w:type="dxa"/>
            <w:tcBorders>
              <w:top w:val="single" w:sz="4" w:space="0" w:color="auto"/>
              <w:bottom w:val="double" w:sz="4" w:space="0" w:color="auto"/>
            </w:tcBorders>
            <w:shd w:val="clear" w:color="auto" w:fill="FFCCCC"/>
            <w:noWrap/>
            <w:vAlign w:val="center"/>
            <w:hideMark/>
          </w:tcPr>
          <w:p w:rsidR="00306953" w:rsidRPr="00442515" w:rsidRDefault="00306953" w:rsidP="004C55CD">
            <w:pPr>
              <w:keepNext/>
              <w:spacing w:after="0" w:line="240" w:lineRule="auto"/>
              <w:jc w:val="center"/>
              <w:rPr>
                <w:rFonts w:cs="Arial"/>
                <w:b/>
                <w:bCs/>
                <w:sz w:val="16"/>
                <w:szCs w:val="16"/>
              </w:rPr>
            </w:pPr>
            <w:r w:rsidRPr="00442515">
              <w:rPr>
                <w:rFonts w:cs="Arial"/>
                <w:b/>
                <w:bCs/>
                <w:sz w:val="16"/>
                <w:szCs w:val="16"/>
              </w:rPr>
              <w:t>25-64</w:t>
            </w:r>
          </w:p>
        </w:tc>
        <w:tc>
          <w:tcPr>
            <w:tcW w:w="688" w:type="dxa"/>
            <w:tcBorders>
              <w:top w:val="single" w:sz="4" w:space="0" w:color="auto"/>
              <w:bottom w:val="double" w:sz="4" w:space="0" w:color="auto"/>
            </w:tcBorders>
            <w:shd w:val="clear" w:color="auto" w:fill="FFCCCC"/>
            <w:noWrap/>
            <w:vAlign w:val="center"/>
            <w:hideMark/>
          </w:tcPr>
          <w:p w:rsidR="00306953" w:rsidRPr="00442515" w:rsidRDefault="00306953" w:rsidP="004C55CD">
            <w:pPr>
              <w:keepNext/>
              <w:spacing w:after="0" w:line="240" w:lineRule="auto"/>
              <w:jc w:val="center"/>
              <w:rPr>
                <w:rFonts w:cs="Arial"/>
                <w:b/>
                <w:bCs/>
                <w:sz w:val="16"/>
                <w:szCs w:val="16"/>
              </w:rPr>
            </w:pPr>
            <w:r w:rsidRPr="00442515">
              <w:rPr>
                <w:rFonts w:cs="Arial"/>
                <w:b/>
                <w:bCs/>
                <w:sz w:val="16"/>
                <w:szCs w:val="16"/>
              </w:rPr>
              <w:t>35-44</w:t>
            </w:r>
          </w:p>
        </w:tc>
        <w:tc>
          <w:tcPr>
            <w:tcW w:w="675" w:type="dxa"/>
            <w:tcBorders>
              <w:top w:val="single" w:sz="4" w:space="0" w:color="auto"/>
              <w:bottom w:val="double" w:sz="4" w:space="0" w:color="auto"/>
            </w:tcBorders>
            <w:shd w:val="clear" w:color="auto" w:fill="FFCCCC"/>
            <w:noWrap/>
            <w:vAlign w:val="center"/>
            <w:hideMark/>
          </w:tcPr>
          <w:p w:rsidR="00306953" w:rsidRPr="00442515" w:rsidRDefault="00306953" w:rsidP="004C55CD">
            <w:pPr>
              <w:keepNext/>
              <w:spacing w:after="0" w:line="240" w:lineRule="auto"/>
              <w:jc w:val="center"/>
              <w:rPr>
                <w:rFonts w:cs="Arial"/>
                <w:b/>
                <w:bCs/>
                <w:sz w:val="16"/>
                <w:szCs w:val="16"/>
              </w:rPr>
            </w:pPr>
            <w:r w:rsidRPr="00442515">
              <w:rPr>
                <w:rFonts w:cs="Arial"/>
                <w:b/>
                <w:bCs/>
                <w:sz w:val="16"/>
                <w:szCs w:val="16"/>
              </w:rPr>
              <w:t>55-64</w:t>
            </w:r>
          </w:p>
        </w:tc>
      </w:tr>
      <w:tr w:rsidR="00306953" w:rsidRPr="00442515" w:rsidTr="000C6FC8">
        <w:trPr>
          <w:trHeight w:val="255"/>
        </w:trPr>
        <w:tc>
          <w:tcPr>
            <w:tcW w:w="1575" w:type="dxa"/>
            <w:tcBorders>
              <w:top w:val="double" w:sz="4" w:space="0" w:color="auto"/>
            </w:tcBorders>
            <w:shd w:val="clear" w:color="000000" w:fill="FFFFFF"/>
            <w:noWrap/>
            <w:vAlign w:val="center"/>
            <w:hideMark/>
          </w:tcPr>
          <w:p w:rsidR="00306953" w:rsidRPr="00442515" w:rsidRDefault="00306953" w:rsidP="004C55CD">
            <w:pPr>
              <w:spacing w:after="0" w:line="240" w:lineRule="auto"/>
              <w:rPr>
                <w:rFonts w:cs="Arial"/>
                <w:sz w:val="16"/>
                <w:szCs w:val="16"/>
              </w:rPr>
            </w:pPr>
            <w:r w:rsidRPr="00442515">
              <w:rPr>
                <w:rFonts w:cs="Arial"/>
                <w:sz w:val="16"/>
                <w:szCs w:val="16"/>
              </w:rPr>
              <w:t>Česká republika</w:t>
            </w:r>
          </w:p>
        </w:tc>
        <w:tc>
          <w:tcPr>
            <w:tcW w:w="709" w:type="dxa"/>
            <w:tcBorders>
              <w:top w:val="double" w:sz="4" w:space="0" w:color="auto"/>
            </w:tcBorders>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80</w:t>
            </w:r>
          </w:p>
        </w:tc>
        <w:tc>
          <w:tcPr>
            <w:tcW w:w="767" w:type="dxa"/>
            <w:tcBorders>
              <w:top w:val="double" w:sz="4" w:space="0" w:color="auto"/>
            </w:tcBorders>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81</w:t>
            </w:r>
          </w:p>
        </w:tc>
        <w:tc>
          <w:tcPr>
            <w:tcW w:w="754" w:type="dxa"/>
            <w:tcBorders>
              <w:top w:val="double" w:sz="4" w:space="0" w:color="auto"/>
            </w:tcBorders>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80</w:t>
            </w:r>
          </w:p>
        </w:tc>
        <w:tc>
          <w:tcPr>
            <w:tcW w:w="599" w:type="dxa"/>
            <w:tcBorders>
              <w:top w:val="double" w:sz="4" w:space="0" w:color="auto"/>
            </w:tcBorders>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80</w:t>
            </w:r>
          </w:p>
        </w:tc>
        <w:tc>
          <w:tcPr>
            <w:tcW w:w="646" w:type="dxa"/>
            <w:tcBorders>
              <w:top w:val="double" w:sz="4" w:space="0" w:color="auto"/>
            </w:tcBorders>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73</w:t>
            </w:r>
          </w:p>
        </w:tc>
        <w:tc>
          <w:tcPr>
            <w:tcW w:w="709" w:type="dxa"/>
            <w:tcBorders>
              <w:top w:val="double" w:sz="4" w:space="0" w:color="auto"/>
            </w:tcBorders>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87</w:t>
            </w:r>
          </w:p>
        </w:tc>
        <w:tc>
          <w:tcPr>
            <w:tcW w:w="567" w:type="dxa"/>
            <w:tcBorders>
              <w:top w:val="double" w:sz="4" w:space="0" w:color="auto"/>
            </w:tcBorders>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71</w:t>
            </w:r>
          </w:p>
        </w:tc>
        <w:tc>
          <w:tcPr>
            <w:tcW w:w="709" w:type="dxa"/>
            <w:tcBorders>
              <w:top w:val="double" w:sz="4" w:space="0" w:color="auto"/>
            </w:tcBorders>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66</w:t>
            </w:r>
          </w:p>
        </w:tc>
        <w:tc>
          <w:tcPr>
            <w:tcW w:w="654" w:type="dxa"/>
            <w:tcBorders>
              <w:top w:val="double" w:sz="4" w:space="0" w:color="auto"/>
            </w:tcBorders>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86</w:t>
            </w:r>
          </w:p>
        </w:tc>
        <w:tc>
          <w:tcPr>
            <w:tcW w:w="641" w:type="dxa"/>
            <w:tcBorders>
              <w:top w:val="double" w:sz="4" w:space="0" w:color="auto"/>
            </w:tcBorders>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76</w:t>
            </w:r>
          </w:p>
        </w:tc>
        <w:tc>
          <w:tcPr>
            <w:tcW w:w="688" w:type="dxa"/>
            <w:tcBorders>
              <w:top w:val="double" w:sz="4" w:space="0" w:color="auto"/>
            </w:tcBorders>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68</w:t>
            </w:r>
          </w:p>
        </w:tc>
        <w:tc>
          <w:tcPr>
            <w:tcW w:w="675" w:type="dxa"/>
            <w:tcBorders>
              <w:top w:val="double" w:sz="4" w:space="0" w:color="auto"/>
            </w:tcBorders>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80</w:t>
            </w:r>
          </w:p>
        </w:tc>
      </w:tr>
      <w:tr w:rsidR="00306953" w:rsidRPr="00442515" w:rsidTr="000C6FC8">
        <w:trPr>
          <w:trHeight w:val="255"/>
        </w:trPr>
        <w:tc>
          <w:tcPr>
            <w:tcW w:w="1575" w:type="dxa"/>
            <w:shd w:val="clear" w:color="auto" w:fill="auto"/>
            <w:noWrap/>
            <w:vAlign w:val="center"/>
            <w:hideMark/>
          </w:tcPr>
          <w:p w:rsidR="00306953" w:rsidRPr="00442515" w:rsidRDefault="00306953" w:rsidP="004C55CD">
            <w:pPr>
              <w:spacing w:after="0" w:line="240" w:lineRule="auto"/>
              <w:rPr>
                <w:rFonts w:cs="Arial"/>
                <w:sz w:val="16"/>
                <w:szCs w:val="16"/>
              </w:rPr>
            </w:pPr>
            <w:r w:rsidRPr="00442515">
              <w:rPr>
                <w:rFonts w:cs="Arial"/>
                <w:sz w:val="16"/>
                <w:szCs w:val="16"/>
              </w:rPr>
              <w:t>Slovensko</w:t>
            </w:r>
          </w:p>
        </w:tc>
        <w:tc>
          <w:tcPr>
            <w:tcW w:w="709"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72</w:t>
            </w:r>
          </w:p>
        </w:tc>
        <w:tc>
          <w:tcPr>
            <w:tcW w:w="767"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73</w:t>
            </w:r>
          </w:p>
        </w:tc>
        <w:tc>
          <w:tcPr>
            <w:tcW w:w="754"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71</w:t>
            </w:r>
          </w:p>
        </w:tc>
        <w:tc>
          <w:tcPr>
            <w:tcW w:w="599" w:type="dxa"/>
            <w:shd w:val="clear" w:color="auto" w:fill="auto"/>
            <w:noWrap/>
            <w:vAlign w:val="center"/>
            <w:hideMark/>
          </w:tcPr>
          <w:p w:rsidR="00306953" w:rsidRPr="00442515" w:rsidRDefault="00306953" w:rsidP="004C55CD">
            <w:pPr>
              <w:spacing w:after="0" w:line="240" w:lineRule="auto"/>
              <w:jc w:val="center"/>
              <w:rPr>
                <w:rFonts w:cs="Arial"/>
                <w:b/>
                <w:sz w:val="16"/>
                <w:szCs w:val="16"/>
              </w:rPr>
            </w:pPr>
            <w:r w:rsidRPr="00442515">
              <w:rPr>
                <w:rFonts w:cs="Arial"/>
                <w:b/>
                <w:sz w:val="16"/>
                <w:szCs w:val="16"/>
              </w:rPr>
              <w:t>.</w:t>
            </w:r>
          </w:p>
        </w:tc>
        <w:tc>
          <w:tcPr>
            <w:tcW w:w="646" w:type="dxa"/>
            <w:shd w:val="clear" w:color="auto" w:fill="auto"/>
            <w:noWrap/>
            <w:vAlign w:val="center"/>
            <w:hideMark/>
          </w:tcPr>
          <w:p w:rsidR="00306953" w:rsidRPr="00442515" w:rsidRDefault="00306953" w:rsidP="004C55CD">
            <w:pPr>
              <w:spacing w:after="0" w:line="240" w:lineRule="auto"/>
              <w:jc w:val="center"/>
              <w:rPr>
                <w:rFonts w:cs="Arial"/>
                <w:b/>
                <w:sz w:val="16"/>
                <w:szCs w:val="16"/>
              </w:rPr>
            </w:pPr>
            <w:r w:rsidRPr="00442515">
              <w:rPr>
                <w:rFonts w:cs="Arial"/>
                <w:b/>
                <w:sz w:val="16"/>
                <w:szCs w:val="16"/>
              </w:rPr>
              <w:t>.</w:t>
            </w:r>
          </w:p>
        </w:tc>
        <w:tc>
          <w:tcPr>
            <w:tcW w:w="709" w:type="dxa"/>
            <w:shd w:val="clear" w:color="auto" w:fill="auto"/>
            <w:noWrap/>
            <w:vAlign w:val="center"/>
            <w:hideMark/>
          </w:tcPr>
          <w:p w:rsidR="00306953" w:rsidRPr="00442515" w:rsidRDefault="00306953" w:rsidP="004C55CD">
            <w:pPr>
              <w:spacing w:after="0" w:line="240" w:lineRule="auto"/>
              <w:jc w:val="center"/>
              <w:rPr>
                <w:rFonts w:cs="Arial"/>
                <w:b/>
                <w:sz w:val="16"/>
                <w:szCs w:val="16"/>
              </w:rPr>
            </w:pPr>
            <w:r w:rsidRPr="00442515">
              <w:rPr>
                <w:rFonts w:cs="Arial"/>
                <w:b/>
                <w:sz w:val="16"/>
                <w:szCs w:val="16"/>
              </w:rPr>
              <w:t>.</w:t>
            </w:r>
          </w:p>
        </w:tc>
        <w:tc>
          <w:tcPr>
            <w:tcW w:w="567"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71</w:t>
            </w:r>
          </w:p>
        </w:tc>
        <w:tc>
          <w:tcPr>
            <w:tcW w:w="709"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64</w:t>
            </w:r>
          </w:p>
        </w:tc>
        <w:tc>
          <w:tcPr>
            <w:tcW w:w="654"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79</w:t>
            </w:r>
          </w:p>
        </w:tc>
        <w:tc>
          <w:tcPr>
            <w:tcW w:w="641"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74</w:t>
            </w:r>
          </w:p>
        </w:tc>
        <w:tc>
          <w:tcPr>
            <w:tcW w:w="688"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68</w:t>
            </w:r>
          </w:p>
        </w:tc>
        <w:tc>
          <w:tcPr>
            <w:tcW w:w="675"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78</w:t>
            </w:r>
          </w:p>
        </w:tc>
      </w:tr>
      <w:tr w:rsidR="00306953" w:rsidRPr="00442515" w:rsidTr="000C6FC8">
        <w:trPr>
          <w:trHeight w:val="255"/>
        </w:trPr>
        <w:tc>
          <w:tcPr>
            <w:tcW w:w="1575" w:type="dxa"/>
            <w:shd w:val="clear" w:color="auto" w:fill="auto"/>
            <w:noWrap/>
            <w:vAlign w:val="center"/>
            <w:hideMark/>
          </w:tcPr>
          <w:p w:rsidR="00306953" w:rsidRPr="00442515" w:rsidRDefault="00306953" w:rsidP="004C55CD">
            <w:pPr>
              <w:spacing w:after="0" w:line="240" w:lineRule="auto"/>
              <w:rPr>
                <w:rFonts w:cs="Arial"/>
                <w:sz w:val="16"/>
                <w:szCs w:val="16"/>
              </w:rPr>
            </w:pPr>
            <w:r w:rsidRPr="00442515">
              <w:rPr>
                <w:rFonts w:cs="Arial"/>
                <w:sz w:val="16"/>
                <w:szCs w:val="16"/>
              </w:rPr>
              <w:t>Polsko</w:t>
            </w:r>
            <w:r w:rsidR="0052747A" w:rsidRPr="0052747A">
              <w:rPr>
                <w:rFonts w:cs="Arial"/>
                <w:sz w:val="16"/>
                <w:szCs w:val="16"/>
                <w:vertAlign w:val="superscript"/>
              </w:rPr>
              <w:t>1)</w:t>
            </w:r>
          </w:p>
        </w:tc>
        <w:tc>
          <w:tcPr>
            <w:tcW w:w="709"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73</w:t>
            </w:r>
          </w:p>
        </w:tc>
        <w:tc>
          <w:tcPr>
            <w:tcW w:w="767"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69</w:t>
            </w:r>
          </w:p>
        </w:tc>
        <w:tc>
          <w:tcPr>
            <w:tcW w:w="754"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74</w:t>
            </w:r>
          </w:p>
        </w:tc>
        <w:tc>
          <w:tcPr>
            <w:tcW w:w="599"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79</w:t>
            </w:r>
          </w:p>
        </w:tc>
        <w:tc>
          <w:tcPr>
            <w:tcW w:w="646"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72</w:t>
            </w:r>
          </w:p>
        </w:tc>
        <w:tc>
          <w:tcPr>
            <w:tcW w:w="709"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89</w:t>
            </w:r>
          </w:p>
        </w:tc>
        <w:tc>
          <w:tcPr>
            <w:tcW w:w="567"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71</w:t>
            </w:r>
          </w:p>
        </w:tc>
        <w:tc>
          <w:tcPr>
            <w:tcW w:w="709"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66</w:t>
            </w:r>
          </w:p>
        </w:tc>
        <w:tc>
          <w:tcPr>
            <w:tcW w:w="654"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76</w:t>
            </w:r>
          </w:p>
        </w:tc>
        <w:tc>
          <w:tcPr>
            <w:tcW w:w="641"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83</w:t>
            </w:r>
          </w:p>
        </w:tc>
        <w:tc>
          <w:tcPr>
            <w:tcW w:w="688"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78</w:t>
            </w:r>
          </w:p>
        </w:tc>
        <w:tc>
          <w:tcPr>
            <w:tcW w:w="675"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87</w:t>
            </w:r>
          </w:p>
        </w:tc>
      </w:tr>
      <w:tr w:rsidR="00306953" w:rsidRPr="00442515" w:rsidTr="000C6FC8">
        <w:trPr>
          <w:trHeight w:val="255"/>
        </w:trPr>
        <w:tc>
          <w:tcPr>
            <w:tcW w:w="1575" w:type="dxa"/>
            <w:shd w:val="clear" w:color="000000" w:fill="FFFFFF"/>
            <w:noWrap/>
            <w:vAlign w:val="center"/>
            <w:hideMark/>
          </w:tcPr>
          <w:p w:rsidR="00306953" w:rsidRPr="00442515" w:rsidRDefault="00306953" w:rsidP="004C55CD">
            <w:pPr>
              <w:spacing w:after="0" w:line="240" w:lineRule="auto"/>
              <w:rPr>
                <w:rFonts w:cs="Arial"/>
                <w:sz w:val="16"/>
                <w:szCs w:val="16"/>
              </w:rPr>
            </w:pPr>
            <w:r w:rsidRPr="00442515">
              <w:rPr>
                <w:rFonts w:cs="Arial"/>
                <w:sz w:val="16"/>
                <w:szCs w:val="16"/>
              </w:rPr>
              <w:t>Rakousko</w:t>
            </w:r>
          </w:p>
        </w:tc>
        <w:tc>
          <w:tcPr>
            <w:tcW w:w="709" w:type="dxa"/>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79</w:t>
            </w:r>
          </w:p>
        </w:tc>
        <w:tc>
          <w:tcPr>
            <w:tcW w:w="767" w:type="dxa"/>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82</w:t>
            </w:r>
          </w:p>
        </w:tc>
        <w:tc>
          <w:tcPr>
            <w:tcW w:w="754" w:type="dxa"/>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83</w:t>
            </w:r>
          </w:p>
        </w:tc>
        <w:tc>
          <w:tcPr>
            <w:tcW w:w="599" w:type="dxa"/>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80</w:t>
            </w:r>
          </w:p>
        </w:tc>
        <w:tc>
          <w:tcPr>
            <w:tcW w:w="646" w:type="dxa"/>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76</w:t>
            </w:r>
          </w:p>
        </w:tc>
        <w:tc>
          <w:tcPr>
            <w:tcW w:w="709" w:type="dxa"/>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81</w:t>
            </w:r>
          </w:p>
        </w:tc>
        <w:tc>
          <w:tcPr>
            <w:tcW w:w="567" w:type="dxa"/>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69</w:t>
            </w:r>
          </w:p>
        </w:tc>
        <w:tc>
          <w:tcPr>
            <w:tcW w:w="709" w:type="dxa"/>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71</w:t>
            </w:r>
          </w:p>
        </w:tc>
        <w:tc>
          <w:tcPr>
            <w:tcW w:w="654" w:type="dxa"/>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74</w:t>
            </w:r>
          </w:p>
        </w:tc>
        <w:tc>
          <w:tcPr>
            <w:tcW w:w="641" w:type="dxa"/>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75</w:t>
            </w:r>
          </w:p>
        </w:tc>
        <w:tc>
          <w:tcPr>
            <w:tcW w:w="688" w:type="dxa"/>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75</w:t>
            </w:r>
          </w:p>
        </w:tc>
        <w:tc>
          <w:tcPr>
            <w:tcW w:w="675" w:type="dxa"/>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78</w:t>
            </w:r>
          </w:p>
        </w:tc>
      </w:tr>
      <w:tr w:rsidR="00306953" w:rsidRPr="00442515" w:rsidTr="000C6FC8">
        <w:trPr>
          <w:trHeight w:val="255"/>
        </w:trPr>
        <w:tc>
          <w:tcPr>
            <w:tcW w:w="1575" w:type="dxa"/>
            <w:shd w:val="clear" w:color="000000" w:fill="FFFFFF"/>
            <w:noWrap/>
            <w:vAlign w:val="center"/>
            <w:hideMark/>
          </w:tcPr>
          <w:p w:rsidR="00306953" w:rsidRPr="00442515" w:rsidRDefault="00306953" w:rsidP="004C55CD">
            <w:pPr>
              <w:spacing w:after="0" w:line="240" w:lineRule="auto"/>
              <w:rPr>
                <w:rFonts w:cs="Arial"/>
                <w:sz w:val="16"/>
                <w:szCs w:val="16"/>
              </w:rPr>
            </w:pPr>
            <w:r w:rsidRPr="00442515">
              <w:rPr>
                <w:rFonts w:cs="Arial"/>
                <w:sz w:val="16"/>
                <w:szCs w:val="16"/>
              </w:rPr>
              <w:t>Estonsko</w:t>
            </w:r>
          </w:p>
        </w:tc>
        <w:tc>
          <w:tcPr>
            <w:tcW w:w="709" w:type="dxa"/>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65</w:t>
            </w:r>
          </w:p>
        </w:tc>
        <w:tc>
          <w:tcPr>
            <w:tcW w:w="767" w:type="dxa"/>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60</w:t>
            </w:r>
          </w:p>
        </w:tc>
        <w:tc>
          <w:tcPr>
            <w:tcW w:w="754" w:type="dxa"/>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76</w:t>
            </w:r>
          </w:p>
        </w:tc>
        <w:tc>
          <w:tcPr>
            <w:tcW w:w="599" w:type="dxa"/>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57</w:t>
            </w:r>
          </w:p>
        </w:tc>
        <w:tc>
          <w:tcPr>
            <w:tcW w:w="646" w:type="dxa"/>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57</w:t>
            </w:r>
          </w:p>
        </w:tc>
        <w:tc>
          <w:tcPr>
            <w:tcW w:w="709" w:type="dxa"/>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63</w:t>
            </w:r>
          </w:p>
        </w:tc>
        <w:tc>
          <w:tcPr>
            <w:tcW w:w="567" w:type="dxa"/>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68</w:t>
            </w:r>
          </w:p>
        </w:tc>
        <w:tc>
          <w:tcPr>
            <w:tcW w:w="709" w:type="dxa"/>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63</w:t>
            </w:r>
          </w:p>
        </w:tc>
        <w:tc>
          <w:tcPr>
            <w:tcW w:w="654" w:type="dxa"/>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71</w:t>
            </w:r>
          </w:p>
        </w:tc>
        <w:tc>
          <w:tcPr>
            <w:tcW w:w="641" w:type="dxa"/>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69</w:t>
            </w:r>
          </w:p>
        </w:tc>
        <w:tc>
          <w:tcPr>
            <w:tcW w:w="688" w:type="dxa"/>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70</w:t>
            </w:r>
          </w:p>
        </w:tc>
        <w:tc>
          <w:tcPr>
            <w:tcW w:w="675" w:type="dxa"/>
            <w:shd w:val="clear" w:color="000000" w:fill="FFFFFF"/>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70</w:t>
            </w:r>
          </w:p>
        </w:tc>
      </w:tr>
      <w:tr w:rsidR="00306953" w:rsidRPr="00442515" w:rsidTr="000C6FC8">
        <w:trPr>
          <w:trHeight w:val="255"/>
        </w:trPr>
        <w:tc>
          <w:tcPr>
            <w:tcW w:w="1575" w:type="dxa"/>
            <w:shd w:val="clear" w:color="auto" w:fill="auto"/>
            <w:noWrap/>
            <w:vAlign w:val="center"/>
            <w:hideMark/>
          </w:tcPr>
          <w:p w:rsidR="00306953" w:rsidRPr="00442515" w:rsidRDefault="00306953" w:rsidP="004C55CD">
            <w:pPr>
              <w:spacing w:after="0" w:line="240" w:lineRule="auto"/>
              <w:rPr>
                <w:rFonts w:cs="Arial"/>
                <w:sz w:val="16"/>
                <w:szCs w:val="16"/>
              </w:rPr>
            </w:pPr>
            <w:r w:rsidRPr="00442515">
              <w:rPr>
                <w:rFonts w:cs="Arial"/>
                <w:sz w:val="16"/>
                <w:szCs w:val="16"/>
              </w:rPr>
              <w:t>Finsko</w:t>
            </w:r>
          </w:p>
        </w:tc>
        <w:tc>
          <w:tcPr>
            <w:tcW w:w="709"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79</w:t>
            </w:r>
          </w:p>
        </w:tc>
        <w:tc>
          <w:tcPr>
            <w:tcW w:w="767"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75</w:t>
            </w:r>
          </w:p>
        </w:tc>
        <w:tc>
          <w:tcPr>
            <w:tcW w:w="754"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79</w:t>
            </w:r>
          </w:p>
        </w:tc>
        <w:tc>
          <w:tcPr>
            <w:tcW w:w="599"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78</w:t>
            </w:r>
          </w:p>
        </w:tc>
        <w:tc>
          <w:tcPr>
            <w:tcW w:w="646"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76</w:t>
            </w:r>
          </w:p>
        </w:tc>
        <w:tc>
          <w:tcPr>
            <w:tcW w:w="709"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78</w:t>
            </w:r>
          </w:p>
        </w:tc>
        <w:tc>
          <w:tcPr>
            <w:tcW w:w="567"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76</w:t>
            </w:r>
          </w:p>
        </w:tc>
        <w:tc>
          <w:tcPr>
            <w:tcW w:w="709"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75</w:t>
            </w:r>
          </w:p>
        </w:tc>
        <w:tc>
          <w:tcPr>
            <w:tcW w:w="654"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74</w:t>
            </w:r>
          </w:p>
        </w:tc>
        <w:tc>
          <w:tcPr>
            <w:tcW w:w="641"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81</w:t>
            </w:r>
          </w:p>
        </w:tc>
        <w:tc>
          <w:tcPr>
            <w:tcW w:w="688"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79</w:t>
            </w:r>
          </w:p>
        </w:tc>
        <w:tc>
          <w:tcPr>
            <w:tcW w:w="675" w:type="dxa"/>
            <w:shd w:val="clear" w:color="auto" w:fill="auto"/>
            <w:noWrap/>
            <w:vAlign w:val="center"/>
            <w:hideMark/>
          </w:tcPr>
          <w:p w:rsidR="00306953" w:rsidRPr="00442515" w:rsidRDefault="00306953" w:rsidP="004C55CD">
            <w:pPr>
              <w:spacing w:after="0" w:line="240" w:lineRule="auto"/>
              <w:jc w:val="center"/>
              <w:rPr>
                <w:rFonts w:cs="Arial"/>
                <w:sz w:val="16"/>
                <w:szCs w:val="16"/>
              </w:rPr>
            </w:pPr>
            <w:r w:rsidRPr="00442515">
              <w:rPr>
                <w:rFonts w:cs="Arial"/>
                <w:sz w:val="16"/>
                <w:szCs w:val="16"/>
              </w:rPr>
              <w:t>77</w:t>
            </w:r>
          </w:p>
        </w:tc>
      </w:tr>
      <w:tr w:rsidR="00306953" w:rsidRPr="00442515" w:rsidTr="000C6FC8">
        <w:trPr>
          <w:trHeight w:val="255"/>
        </w:trPr>
        <w:tc>
          <w:tcPr>
            <w:tcW w:w="1575" w:type="dxa"/>
            <w:shd w:val="clear" w:color="auto" w:fill="C6D9F1" w:themeFill="text2" w:themeFillTint="33"/>
            <w:vAlign w:val="center"/>
            <w:hideMark/>
          </w:tcPr>
          <w:p w:rsidR="00306953" w:rsidRPr="00631582" w:rsidRDefault="00306953" w:rsidP="004C55CD">
            <w:pPr>
              <w:spacing w:after="0" w:line="240" w:lineRule="auto"/>
              <w:rPr>
                <w:rFonts w:cs="Arial"/>
                <w:bCs/>
                <w:sz w:val="16"/>
                <w:szCs w:val="16"/>
              </w:rPr>
            </w:pPr>
            <w:r w:rsidRPr="00631582">
              <w:rPr>
                <w:rFonts w:cs="Arial"/>
                <w:bCs/>
                <w:sz w:val="16"/>
                <w:szCs w:val="16"/>
              </w:rPr>
              <w:t>průměr OECD</w:t>
            </w:r>
          </w:p>
        </w:tc>
        <w:tc>
          <w:tcPr>
            <w:tcW w:w="709"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77</w:t>
            </w:r>
          </w:p>
        </w:tc>
        <w:tc>
          <w:tcPr>
            <w:tcW w:w="767"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76</w:t>
            </w:r>
          </w:p>
        </w:tc>
        <w:tc>
          <w:tcPr>
            <w:tcW w:w="754"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77</w:t>
            </w:r>
          </w:p>
        </w:tc>
        <w:tc>
          <w:tcPr>
            <w:tcW w:w="599"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75</w:t>
            </w:r>
          </w:p>
        </w:tc>
        <w:tc>
          <w:tcPr>
            <w:tcW w:w="646"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73</w:t>
            </w:r>
          </w:p>
        </w:tc>
        <w:tc>
          <w:tcPr>
            <w:tcW w:w="709"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76</w:t>
            </w:r>
          </w:p>
        </w:tc>
        <w:tc>
          <w:tcPr>
            <w:tcW w:w="567"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73</w:t>
            </w:r>
          </w:p>
        </w:tc>
        <w:tc>
          <w:tcPr>
            <w:tcW w:w="709"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74</w:t>
            </w:r>
          </w:p>
        </w:tc>
        <w:tc>
          <w:tcPr>
            <w:tcW w:w="654"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72</w:t>
            </w:r>
          </w:p>
        </w:tc>
        <w:tc>
          <w:tcPr>
            <w:tcW w:w="641"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80</w:t>
            </w:r>
          </w:p>
        </w:tc>
        <w:tc>
          <w:tcPr>
            <w:tcW w:w="688"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78</w:t>
            </w:r>
          </w:p>
        </w:tc>
        <w:tc>
          <w:tcPr>
            <w:tcW w:w="675"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74</w:t>
            </w:r>
          </w:p>
        </w:tc>
      </w:tr>
      <w:tr w:rsidR="00306953" w:rsidRPr="00442515" w:rsidTr="000C6FC8">
        <w:trPr>
          <w:trHeight w:val="255"/>
        </w:trPr>
        <w:tc>
          <w:tcPr>
            <w:tcW w:w="1575" w:type="dxa"/>
            <w:shd w:val="clear" w:color="auto" w:fill="C6D9F1" w:themeFill="text2" w:themeFillTint="33"/>
            <w:vAlign w:val="center"/>
            <w:hideMark/>
          </w:tcPr>
          <w:p w:rsidR="00306953" w:rsidRPr="00631582" w:rsidRDefault="00306953" w:rsidP="004C55CD">
            <w:pPr>
              <w:spacing w:after="0" w:line="240" w:lineRule="auto"/>
              <w:rPr>
                <w:rFonts w:cs="Arial"/>
                <w:bCs/>
                <w:sz w:val="16"/>
                <w:szCs w:val="16"/>
              </w:rPr>
            </w:pPr>
            <w:r w:rsidRPr="00631582">
              <w:rPr>
                <w:rFonts w:cs="Arial"/>
                <w:bCs/>
                <w:sz w:val="16"/>
                <w:szCs w:val="16"/>
              </w:rPr>
              <w:t>průměr EU21</w:t>
            </w:r>
          </w:p>
        </w:tc>
        <w:tc>
          <w:tcPr>
            <w:tcW w:w="709"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78</w:t>
            </w:r>
          </w:p>
        </w:tc>
        <w:tc>
          <w:tcPr>
            <w:tcW w:w="767"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78</w:t>
            </w:r>
          </w:p>
        </w:tc>
        <w:tc>
          <w:tcPr>
            <w:tcW w:w="754"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76</w:t>
            </w:r>
          </w:p>
        </w:tc>
        <w:tc>
          <w:tcPr>
            <w:tcW w:w="599"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75</w:t>
            </w:r>
          </w:p>
        </w:tc>
        <w:tc>
          <w:tcPr>
            <w:tcW w:w="646"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73</w:t>
            </w:r>
          </w:p>
        </w:tc>
        <w:tc>
          <w:tcPr>
            <w:tcW w:w="709"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75</w:t>
            </w:r>
          </w:p>
        </w:tc>
        <w:tc>
          <w:tcPr>
            <w:tcW w:w="567"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74</w:t>
            </w:r>
          </w:p>
        </w:tc>
        <w:tc>
          <w:tcPr>
            <w:tcW w:w="709"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75</w:t>
            </w:r>
          </w:p>
        </w:tc>
        <w:tc>
          <w:tcPr>
            <w:tcW w:w="654"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73</w:t>
            </w:r>
          </w:p>
        </w:tc>
        <w:tc>
          <w:tcPr>
            <w:tcW w:w="641"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81</w:t>
            </w:r>
          </w:p>
        </w:tc>
        <w:tc>
          <w:tcPr>
            <w:tcW w:w="688"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78</w:t>
            </w:r>
          </w:p>
        </w:tc>
        <w:tc>
          <w:tcPr>
            <w:tcW w:w="675" w:type="dxa"/>
            <w:shd w:val="clear" w:color="auto" w:fill="C6D9F1" w:themeFill="text2" w:themeFillTint="33"/>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76</w:t>
            </w:r>
          </w:p>
        </w:tc>
      </w:tr>
    </w:tbl>
    <w:p w:rsidR="0052747A" w:rsidRPr="0052747A" w:rsidRDefault="0052747A" w:rsidP="0052747A">
      <w:pPr>
        <w:pStyle w:val="Default"/>
        <w:spacing w:before="120"/>
        <w:jc w:val="both"/>
        <w:rPr>
          <w:rFonts w:ascii="Arial" w:hAnsi="Arial" w:cs="Arial"/>
          <w:color w:val="auto"/>
          <w:sz w:val="16"/>
          <w:szCs w:val="16"/>
        </w:rPr>
      </w:pPr>
      <w:r w:rsidRPr="0052747A">
        <w:rPr>
          <w:rFonts w:ascii="Arial" w:hAnsi="Arial" w:cs="Arial"/>
          <w:color w:val="auto"/>
          <w:sz w:val="16"/>
          <w:szCs w:val="16"/>
          <w:vertAlign w:val="superscript"/>
        </w:rPr>
        <w:t>1)</w:t>
      </w:r>
      <w:r w:rsidRPr="0052747A">
        <w:rPr>
          <w:rFonts w:ascii="Arial" w:hAnsi="Arial" w:cs="Arial"/>
          <w:color w:val="auto"/>
          <w:sz w:val="16"/>
          <w:szCs w:val="16"/>
        </w:rPr>
        <w:t xml:space="preserve"> Data </w:t>
      </w:r>
      <w:r w:rsidR="005840DA">
        <w:rPr>
          <w:rFonts w:ascii="Arial" w:hAnsi="Arial" w:cs="Arial"/>
          <w:color w:val="auto"/>
          <w:sz w:val="16"/>
          <w:szCs w:val="16"/>
        </w:rPr>
        <w:t xml:space="preserve">za Polsko </w:t>
      </w:r>
      <w:r w:rsidRPr="0052747A">
        <w:rPr>
          <w:rFonts w:ascii="Arial" w:hAnsi="Arial" w:cs="Arial"/>
          <w:color w:val="auto"/>
          <w:sz w:val="16"/>
          <w:szCs w:val="16"/>
        </w:rPr>
        <w:t>jsou za rok 2012.</w:t>
      </w:r>
    </w:p>
    <w:p w:rsidR="00306953" w:rsidRPr="00442515" w:rsidRDefault="00306953" w:rsidP="0052747A">
      <w:pPr>
        <w:pStyle w:val="Default"/>
        <w:jc w:val="both"/>
        <w:rPr>
          <w:rFonts w:ascii="Arial" w:hAnsi="Arial" w:cs="Arial"/>
          <w:i/>
          <w:color w:val="FF0000"/>
          <w:sz w:val="16"/>
          <w:szCs w:val="16"/>
        </w:rPr>
      </w:pPr>
      <w:r w:rsidRPr="00442515">
        <w:rPr>
          <w:rFonts w:ascii="Arial" w:hAnsi="Arial" w:cs="Arial"/>
          <w:b/>
          <w:color w:val="auto"/>
          <w:sz w:val="16"/>
          <w:szCs w:val="16"/>
        </w:rPr>
        <w:t>.</w:t>
      </w:r>
      <w:r w:rsidRPr="00442515">
        <w:rPr>
          <w:rFonts w:ascii="Arial" w:hAnsi="Arial" w:cs="Arial"/>
          <w:color w:val="auto"/>
          <w:sz w:val="16"/>
          <w:szCs w:val="16"/>
        </w:rPr>
        <w:t xml:space="preserve"> … data nejsou k dispozici</w:t>
      </w:r>
      <w:r w:rsidRPr="00442515">
        <w:rPr>
          <w:rFonts w:ascii="Arial" w:hAnsi="Arial" w:cs="Arial"/>
          <w:i/>
          <w:color w:val="FF0000"/>
          <w:sz w:val="16"/>
          <w:szCs w:val="16"/>
          <w:highlight w:val="yellow"/>
        </w:rPr>
        <w:t xml:space="preserve"> </w:t>
      </w:r>
    </w:p>
    <w:p w:rsidR="00306953" w:rsidRPr="00442515" w:rsidRDefault="00306953" w:rsidP="00306953">
      <w:pPr>
        <w:pStyle w:val="Default"/>
        <w:jc w:val="both"/>
        <w:rPr>
          <w:rFonts w:ascii="Arial" w:hAnsi="Arial" w:cs="Arial"/>
          <w:i/>
          <w:color w:val="FF0000"/>
          <w:sz w:val="16"/>
          <w:szCs w:val="16"/>
        </w:rPr>
      </w:pPr>
      <w:r w:rsidRPr="00442515">
        <w:rPr>
          <w:rFonts w:ascii="Arial" w:hAnsi="Arial" w:cs="Arial"/>
          <w:color w:val="auto"/>
          <w:sz w:val="16"/>
          <w:szCs w:val="16"/>
        </w:rPr>
        <w:t>Zdroj: A6.2A, OECD 2015.</w:t>
      </w:r>
      <w:r w:rsidRPr="00442515">
        <w:rPr>
          <w:rFonts w:ascii="Arial" w:hAnsi="Arial" w:cs="Arial"/>
          <w:i/>
          <w:color w:val="FF0000"/>
          <w:sz w:val="16"/>
          <w:szCs w:val="16"/>
        </w:rPr>
        <w:t xml:space="preserve"> </w:t>
      </w:r>
      <w:r w:rsidRPr="00442515">
        <w:rPr>
          <w:rFonts w:ascii="Arial" w:eastAsia="ChaparralPro-Regular" w:hAnsi="Arial" w:cs="Arial"/>
          <w:sz w:val="16"/>
          <w:szCs w:val="16"/>
        </w:rPr>
        <w:t xml:space="preserve">StatLink: </w:t>
      </w:r>
      <w:hyperlink r:id="rId158" w:history="1">
        <w:r w:rsidRPr="00442515">
          <w:rPr>
            <w:rStyle w:val="Hypertextovodkaz"/>
            <w:rFonts w:ascii="Arial" w:hAnsi="Arial" w:cs="Arial"/>
            <w:sz w:val="16"/>
            <w:szCs w:val="16"/>
          </w:rPr>
          <w:t>http://dx.doi.org/10.1787/888933285069</w:t>
        </w:r>
      </w:hyperlink>
      <w:r w:rsidRPr="00442515">
        <w:rPr>
          <w:rFonts w:ascii="Arial" w:hAnsi="Arial" w:cs="Arial"/>
          <w:color w:val="231F20"/>
          <w:sz w:val="16"/>
          <w:szCs w:val="16"/>
        </w:rPr>
        <w:t xml:space="preserve">, </w:t>
      </w:r>
      <w:r w:rsidRPr="00442515">
        <w:rPr>
          <w:rFonts w:ascii="Arial" w:eastAsia="ChaparralPro-Regular" w:hAnsi="Arial" w:cs="Arial"/>
          <w:sz w:val="16"/>
          <w:szCs w:val="16"/>
        </w:rPr>
        <w:t>výběr údajů ČSÚ.</w:t>
      </w:r>
    </w:p>
    <w:p w:rsidR="00306953" w:rsidRPr="00306953" w:rsidRDefault="00306953" w:rsidP="00306953">
      <w:pPr>
        <w:pStyle w:val="Default"/>
        <w:jc w:val="both"/>
        <w:rPr>
          <w:rFonts w:ascii="Arial" w:hAnsi="Arial" w:cs="Arial"/>
          <w:color w:val="auto"/>
          <w:sz w:val="22"/>
          <w:szCs w:val="22"/>
        </w:rPr>
      </w:pPr>
    </w:p>
    <w:p w:rsidR="00306953" w:rsidRPr="00442515" w:rsidRDefault="00306953" w:rsidP="00306953">
      <w:pPr>
        <w:pStyle w:val="Default"/>
        <w:jc w:val="both"/>
        <w:rPr>
          <w:rFonts w:ascii="Arial" w:hAnsi="Arial" w:cs="Arial"/>
          <w:sz w:val="20"/>
          <w:szCs w:val="20"/>
        </w:rPr>
      </w:pPr>
      <w:r w:rsidRPr="00442515">
        <w:rPr>
          <w:rFonts w:ascii="Arial" w:hAnsi="Arial" w:cs="Arial"/>
          <w:sz w:val="20"/>
          <w:szCs w:val="20"/>
        </w:rPr>
        <w:t xml:space="preserve">Zaměřme se nejprve na </w:t>
      </w:r>
      <w:r w:rsidRPr="00442515">
        <w:rPr>
          <w:rFonts w:ascii="Arial" w:hAnsi="Arial" w:cs="Arial"/>
          <w:b/>
          <w:sz w:val="20"/>
          <w:szCs w:val="20"/>
        </w:rPr>
        <w:t>rozdíly mezi výdělky mužů a žen ve věku 25 až 64 let</w:t>
      </w:r>
      <w:r w:rsidRPr="00442515">
        <w:rPr>
          <w:rFonts w:ascii="Arial" w:hAnsi="Arial" w:cs="Arial"/>
          <w:sz w:val="20"/>
          <w:szCs w:val="20"/>
        </w:rPr>
        <w:t xml:space="preserve">. Jak tabulka ukazuje, v ČR tvořily v roce 2013 výdělky žen s nižším vzděláním, než je vyšší sekundární, ale též s vyšším sekundárním až postsekundárním neterciárním vzděláním čtyři pětiny výdělků mužů, u terciárního vzdělání však tento podíl činí pouze 71 %.  Téměř shodně s ČR na tom bylo Rakousko. Oproti tomu na Slovensku a v Polsku byl rozdíl mezi výdělky mužů a žen v kategorii osob s nižším než vyšším sekundárním vzděláním pouze o 1, </w:t>
      </w:r>
      <w:r w:rsidRPr="00442515">
        <w:rPr>
          <w:rFonts w:ascii="Arial" w:hAnsi="Arial" w:cs="Arial"/>
          <w:sz w:val="20"/>
          <w:szCs w:val="20"/>
        </w:rPr>
        <w:lastRenderedPageBreak/>
        <w:t>resp. 2 procentní body větší než u osob s terciárním vzděláním, ve Finsku</w:t>
      </w:r>
      <w:r w:rsidR="00E52654">
        <w:rPr>
          <w:rFonts w:ascii="Arial" w:hAnsi="Arial" w:cs="Arial"/>
          <w:sz w:val="20"/>
          <w:szCs w:val="20"/>
        </w:rPr>
        <w:t xml:space="preserve"> byl větší o 3 procentní body a </w:t>
      </w:r>
      <w:r w:rsidRPr="00442515">
        <w:rPr>
          <w:rFonts w:ascii="Arial" w:hAnsi="Arial" w:cs="Arial"/>
          <w:sz w:val="20"/>
          <w:szCs w:val="20"/>
        </w:rPr>
        <w:t xml:space="preserve">v Estonsku byl naopak o 3 procentní body menší. Lze si také všimnout, že zatímco ve Finsku byl rozdíl mezi výdělky mužů a žen ve věku 25 až 64 let v kategorii osob s nižším než vyšším sekundárním vzděláním pouze o jeden procentní bod menší než u osob s vyšším sekundárním až postsekundárním neterciárním vzděláním, v Estonsku byl menší o 8 procentních bodů a v Polsku byl naopak o 6 procentních bodů větší. V Polsku tak byla v kategorii osob s vyšším sekundárním až postsekundárním neterciárním vzděláním situace mezi muži a ženami vyrovnanější než v ostatních dvou sledovaných kategoriích dle dosaženého vzdělání, v Estonsku byly naopak v této kategorii mezi výdělky mužů a žen největší rozdíly. Celkově, tj. za všechny úrovně vzdělání, dosahovaly ženy v ČR zhruba tří čtvrtin výdělků mužů (76 %), obdobně tomu bylo též na Slovensku (74 %) a v Rakousku (75 %). Jedná se o větší rozdíl, než jaký byl zaznamenán v mezinárodních průměrech, ve kterých ženy dosahovaly 80 %, resp. 81 % výdělků mužů. Podobný výsledek byl zaznamenán ve Finsku (81 %) a </w:t>
      </w:r>
      <w:r w:rsidR="006F63EE">
        <w:rPr>
          <w:rFonts w:ascii="Arial" w:hAnsi="Arial" w:cs="Arial"/>
          <w:sz w:val="20"/>
          <w:szCs w:val="20"/>
        </w:rPr>
        <w:t xml:space="preserve">v </w:t>
      </w:r>
      <w:r w:rsidRPr="00442515">
        <w:rPr>
          <w:rFonts w:ascii="Arial" w:hAnsi="Arial" w:cs="Arial"/>
          <w:sz w:val="20"/>
          <w:szCs w:val="20"/>
        </w:rPr>
        <w:t xml:space="preserve">Polsku (83 %). Ještě větší rozdíl mezi platy mužů a žen, než jaký zaznamenala ČR, byl naopak zjištěn v Estonsku (tj. 31 %). </w:t>
      </w:r>
    </w:p>
    <w:p w:rsidR="00306953" w:rsidRPr="00442515" w:rsidRDefault="00306953" w:rsidP="00306953">
      <w:pPr>
        <w:pStyle w:val="Default"/>
        <w:jc w:val="both"/>
        <w:rPr>
          <w:rFonts w:ascii="Arial" w:hAnsi="Arial" w:cs="Arial"/>
          <w:sz w:val="20"/>
          <w:szCs w:val="20"/>
        </w:rPr>
      </w:pPr>
    </w:p>
    <w:p w:rsidR="00306953" w:rsidRPr="00442515" w:rsidRDefault="00306953" w:rsidP="00306953">
      <w:pPr>
        <w:pStyle w:val="Default"/>
        <w:jc w:val="both"/>
        <w:rPr>
          <w:rFonts w:ascii="Arial" w:hAnsi="Arial" w:cs="Arial"/>
          <w:color w:val="auto"/>
          <w:sz w:val="20"/>
          <w:szCs w:val="20"/>
        </w:rPr>
      </w:pPr>
      <w:r w:rsidRPr="00442515">
        <w:rPr>
          <w:rFonts w:ascii="Arial" w:hAnsi="Arial" w:cs="Arial"/>
          <w:sz w:val="20"/>
          <w:szCs w:val="20"/>
        </w:rPr>
        <w:t>Dále se podívejme, jak se</w:t>
      </w:r>
      <w:r w:rsidR="00260CB5">
        <w:rPr>
          <w:rFonts w:ascii="Arial" w:hAnsi="Arial" w:cs="Arial"/>
          <w:sz w:val="20"/>
          <w:szCs w:val="20"/>
        </w:rPr>
        <w:t xml:space="preserve"> rozdíly mezi muži a ženami lišily</w:t>
      </w:r>
      <w:r w:rsidRPr="00442515">
        <w:rPr>
          <w:rFonts w:ascii="Arial" w:hAnsi="Arial" w:cs="Arial"/>
          <w:sz w:val="20"/>
          <w:szCs w:val="20"/>
        </w:rPr>
        <w:t xml:space="preserve"> </w:t>
      </w:r>
      <w:r w:rsidRPr="00442515">
        <w:rPr>
          <w:rFonts w:ascii="Arial" w:hAnsi="Arial" w:cs="Arial"/>
          <w:b/>
          <w:sz w:val="20"/>
          <w:szCs w:val="20"/>
        </w:rPr>
        <w:t>v různých věkových kategoriích</w:t>
      </w:r>
      <w:r w:rsidRPr="00442515">
        <w:rPr>
          <w:rFonts w:ascii="Arial" w:hAnsi="Arial" w:cs="Arial"/>
          <w:sz w:val="20"/>
          <w:szCs w:val="20"/>
        </w:rPr>
        <w:t xml:space="preserve">. Co se týče </w:t>
      </w:r>
      <w:r w:rsidRPr="00442515">
        <w:rPr>
          <w:rFonts w:ascii="Arial" w:hAnsi="Arial" w:cs="Arial"/>
          <w:b/>
          <w:i/>
          <w:sz w:val="20"/>
          <w:szCs w:val="20"/>
        </w:rPr>
        <w:t>nižšího dosaženého vzdělání, než je vyšší sekundární</w:t>
      </w:r>
      <w:r w:rsidRPr="00442515">
        <w:rPr>
          <w:rFonts w:ascii="Arial" w:hAnsi="Arial" w:cs="Arial"/>
          <w:sz w:val="20"/>
          <w:szCs w:val="20"/>
        </w:rPr>
        <w:t xml:space="preserve">, v České republice a na Slovensku byl podíl platu žen vůči platu mužů v kategoriích osob ve věku 35–44 let a 55–64 let téměř stejný (rozdíl činil 1, resp. 2 procentní body s vyrovnanějšími příjmy u mladší věkové kohorty) a téměř se nelišil ani v Rakousku </w:t>
      </w:r>
      <w:r w:rsidR="00E52654">
        <w:rPr>
          <w:rFonts w:ascii="Arial" w:hAnsi="Arial" w:cs="Arial"/>
          <w:sz w:val="20"/>
          <w:szCs w:val="20"/>
        </w:rPr>
        <w:t>a </w:t>
      </w:r>
      <w:r w:rsidRPr="00442515">
        <w:rPr>
          <w:rFonts w:ascii="Arial" w:hAnsi="Arial" w:cs="Arial"/>
          <w:sz w:val="20"/>
          <w:szCs w:val="20"/>
        </w:rPr>
        <w:t>v mezinárodních průměrech (rozdíl max. 2 procentní body).  Ve Finsku, Polsku a Esto</w:t>
      </w:r>
      <w:r w:rsidR="003F778C">
        <w:rPr>
          <w:rFonts w:ascii="Arial" w:hAnsi="Arial" w:cs="Arial"/>
          <w:sz w:val="20"/>
          <w:szCs w:val="20"/>
        </w:rPr>
        <w:t>nsku pak byly platy mužů a žen z</w:t>
      </w:r>
      <w:r w:rsidRPr="00442515">
        <w:rPr>
          <w:rFonts w:ascii="Arial" w:hAnsi="Arial" w:cs="Arial"/>
          <w:sz w:val="20"/>
          <w:szCs w:val="20"/>
        </w:rPr>
        <w:t xml:space="preserve">e sledovaných dvou věkových kohortách již výrazněji vyrovnanější u starší generace (o 4, 5, resp. dokonce 16 procentních bodů). Pokud se jedná o </w:t>
      </w:r>
      <w:r w:rsidRPr="00442515">
        <w:rPr>
          <w:rFonts w:ascii="Arial" w:hAnsi="Arial" w:cs="Arial"/>
          <w:b/>
          <w:i/>
          <w:sz w:val="20"/>
          <w:szCs w:val="20"/>
        </w:rPr>
        <w:t>vyšší sekundární až postsekundární neterciární vzdělání</w:t>
      </w:r>
      <w:r w:rsidRPr="00442515">
        <w:rPr>
          <w:rFonts w:ascii="Arial" w:hAnsi="Arial" w:cs="Arial"/>
          <w:sz w:val="20"/>
          <w:szCs w:val="20"/>
        </w:rPr>
        <w:t xml:space="preserve">, ve všech sledovaných zemích </w:t>
      </w:r>
      <w:r w:rsidR="00321B00">
        <w:rPr>
          <w:rFonts w:ascii="Arial" w:hAnsi="Arial" w:cs="Arial"/>
          <w:sz w:val="20"/>
          <w:szCs w:val="20"/>
        </w:rPr>
        <w:t xml:space="preserve">v tabulce č. 35 </w:t>
      </w:r>
      <w:r w:rsidRPr="00442515">
        <w:rPr>
          <w:rFonts w:ascii="Arial" w:hAnsi="Arial" w:cs="Arial"/>
          <w:sz w:val="20"/>
          <w:szCs w:val="20"/>
        </w:rPr>
        <w:t>i v mezinárodních průměrech byly platy mužů a žen o něco vyrovnanější u starší věkové kohorty, nejvýrazněji v Polsku (o 17 procentních bodů) a u nás v České republice (o 14 procentních bodů).  Ve většině sledovaných zemí byly též v případě osob s </w:t>
      </w:r>
      <w:r w:rsidRPr="00442515">
        <w:rPr>
          <w:rFonts w:ascii="Arial" w:hAnsi="Arial" w:cs="Arial"/>
          <w:b/>
          <w:i/>
          <w:sz w:val="20"/>
          <w:szCs w:val="20"/>
        </w:rPr>
        <w:t>terciárním vzděláním</w:t>
      </w:r>
      <w:r w:rsidRPr="00442515">
        <w:rPr>
          <w:rFonts w:ascii="Arial" w:hAnsi="Arial" w:cs="Arial"/>
          <w:sz w:val="20"/>
          <w:szCs w:val="20"/>
        </w:rPr>
        <w:t xml:space="preserve"> platy mužů a žen vyrovnanější u starší věkové kohorty než u té mladší – nejvýraznější rozdíl byl v České republice (20 procentních bodů) a na Slovensku (15</w:t>
      </w:r>
      <w:r w:rsidR="00E52654">
        <w:rPr>
          <w:rFonts w:ascii="Arial" w:hAnsi="Arial" w:cs="Arial"/>
          <w:sz w:val="20"/>
          <w:szCs w:val="20"/>
        </w:rPr>
        <w:t xml:space="preserve"> procentních bodů). Ve Finsku a </w:t>
      </w:r>
      <w:r w:rsidRPr="00442515">
        <w:rPr>
          <w:rFonts w:ascii="Arial" w:hAnsi="Arial" w:cs="Arial"/>
          <w:sz w:val="20"/>
          <w:szCs w:val="20"/>
        </w:rPr>
        <w:t xml:space="preserve">v mezinárodních průměrech však byly genderové rozdíly v obou věkových kohortách srovnatelné nebo byla situace nepatrně genderově vyrovnanější u mladší věkové kohorty. V České republice, na Slovensku, v Polsku a v Rakousku byly též </w:t>
      </w:r>
      <w:r w:rsidRPr="00442515">
        <w:rPr>
          <w:rFonts w:ascii="Arial" w:hAnsi="Arial" w:cs="Arial"/>
          <w:b/>
          <w:i/>
          <w:sz w:val="20"/>
          <w:szCs w:val="20"/>
        </w:rPr>
        <w:t>celkově za všechny úrovně vzdělávání</w:t>
      </w:r>
      <w:r w:rsidRPr="00442515">
        <w:rPr>
          <w:rFonts w:ascii="Arial" w:hAnsi="Arial" w:cs="Arial"/>
          <w:sz w:val="20"/>
          <w:szCs w:val="20"/>
        </w:rPr>
        <w:t xml:space="preserve"> </w:t>
      </w:r>
      <w:r w:rsidR="00E52654">
        <w:rPr>
          <w:rFonts w:ascii="Arial" w:hAnsi="Arial" w:cs="Arial"/>
          <w:sz w:val="20"/>
          <w:szCs w:val="20"/>
        </w:rPr>
        <w:t>platy mužů a žen vyrovnanější u </w:t>
      </w:r>
      <w:r w:rsidRPr="00442515">
        <w:rPr>
          <w:rFonts w:ascii="Arial" w:hAnsi="Arial" w:cs="Arial"/>
          <w:sz w:val="20"/>
          <w:szCs w:val="20"/>
        </w:rPr>
        <w:t xml:space="preserve">starší </w:t>
      </w:r>
      <w:r w:rsidRPr="00442515">
        <w:rPr>
          <w:rFonts w:ascii="Arial" w:hAnsi="Arial" w:cs="Arial"/>
          <w:color w:val="auto"/>
          <w:sz w:val="20"/>
          <w:szCs w:val="20"/>
        </w:rPr>
        <w:t>než mladší věkové kohorty – v ČR o 12 procentních bodů, na Slovensku o 10 procentních bodů, v Polsku o 9 procentních bodů a v Rakousku o 4 procentní body.  Zde může hrát mj. svou roli v mezinárodním srovnání nadprůměrně dlouhá rodičovská dovolená v ČR, na kterou stále chodí převážně ženy a muži ve věku 35–44 let tak v průměru mívají delší pracovní zkušenost (příp. již i dosažený kariérní postup), kterou ženy nabudou až v pozdějším věku. Na rozdíly mezi výdělky mužů a žen však mohou (nejen v ČR) svou roli hrát i další faktory – např. různá odvětví a druhy zaměstnání</w:t>
      </w:r>
      <w:r w:rsidR="00E52654">
        <w:rPr>
          <w:rFonts w:ascii="Arial" w:hAnsi="Arial" w:cs="Arial"/>
          <w:color w:val="auto"/>
          <w:sz w:val="20"/>
          <w:szCs w:val="20"/>
        </w:rPr>
        <w:t>, která preferují muži a ženy a </w:t>
      </w:r>
      <w:r w:rsidRPr="00442515">
        <w:rPr>
          <w:rFonts w:ascii="Arial" w:hAnsi="Arial" w:cs="Arial"/>
          <w:color w:val="auto"/>
          <w:sz w:val="20"/>
          <w:szCs w:val="20"/>
        </w:rPr>
        <w:t>jsou různě finančně ohodnocována, ale též různé další diskriminační faktory</w:t>
      </w:r>
      <w:r w:rsidR="00260CB5">
        <w:rPr>
          <w:rFonts w:ascii="Arial" w:eastAsia="MS Gothic" w:hAnsi="Arial" w:cs="Arial"/>
          <w:color w:val="auto"/>
          <w:sz w:val="20"/>
          <w:szCs w:val="20"/>
        </w:rPr>
        <w:t xml:space="preserve"> </w:t>
      </w:r>
      <w:r w:rsidR="00260CB5" w:rsidRPr="00260CB5">
        <w:rPr>
          <w:rFonts w:ascii="Arial" w:eastAsia="MS Gothic" w:hAnsi="Arial" w:cs="Arial"/>
          <w:color w:val="auto"/>
          <w:sz w:val="20"/>
          <w:szCs w:val="20"/>
        </w:rPr>
        <w:t>(</w:t>
      </w:r>
      <w:r w:rsidR="00260CB5" w:rsidRPr="00260CB5">
        <w:rPr>
          <w:rFonts w:ascii="Arial" w:hAnsi="Arial" w:cs="Arial"/>
          <w:sz w:val="20"/>
          <w:szCs w:val="20"/>
        </w:rPr>
        <w:t xml:space="preserve">viz např. </w:t>
      </w:r>
      <w:hyperlink r:id="rId159" w:history="1">
        <w:r w:rsidR="00260CB5" w:rsidRPr="00260CB5">
          <w:rPr>
            <w:rStyle w:val="Hypertextovodkaz"/>
            <w:rFonts w:ascii="Arial" w:hAnsi="Arial" w:cs="Arial"/>
            <w:sz w:val="20"/>
            <w:szCs w:val="20"/>
          </w:rPr>
          <w:t>zde</w:t>
        </w:r>
      </w:hyperlink>
      <w:r w:rsidR="00260CB5" w:rsidRPr="00260CB5">
        <w:rPr>
          <w:rFonts w:ascii="Arial" w:hAnsi="Arial" w:cs="Arial"/>
          <w:sz w:val="20"/>
          <w:szCs w:val="20"/>
        </w:rPr>
        <w:t>)</w:t>
      </w:r>
      <w:r w:rsidRPr="00260CB5">
        <w:rPr>
          <w:rFonts w:ascii="Arial" w:hAnsi="Arial" w:cs="Arial"/>
          <w:color w:val="auto"/>
          <w:sz w:val="20"/>
          <w:szCs w:val="20"/>
        </w:rPr>
        <w:t>.</w:t>
      </w:r>
      <w:r w:rsidRPr="00442515">
        <w:rPr>
          <w:rFonts w:ascii="Arial" w:hAnsi="Arial" w:cs="Arial"/>
          <w:color w:val="auto"/>
          <w:sz w:val="20"/>
          <w:szCs w:val="20"/>
        </w:rPr>
        <w:t xml:space="preserve"> Obecně však lze také konstatovat, že ve věkové kohortě 55–64 let byly v České republice platy mužů a žen s vyšším sekundárním až postsekundárním neterciárním vzděláním i s terciárním vzděláním o poznání vyrovnanější, než jak tomu bylo v mezinárodním průměru.  </w:t>
      </w:r>
    </w:p>
    <w:p w:rsidR="00306953" w:rsidRPr="00442515" w:rsidRDefault="00306953" w:rsidP="00306953">
      <w:pPr>
        <w:pStyle w:val="Default"/>
        <w:jc w:val="both"/>
        <w:rPr>
          <w:rFonts w:ascii="Arial" w:hAnsi="Arial" w:cs="Arial"/>
          <w:sz w:val="20"/>
          <w:szCs w:val="20"/>
        </w:rPr>
      </w:pPr>
    </w:p>
    <w:p w:rsidR="00306953" w:rsidRPr="00442515" w:rsidRDefault="00306953" w:rsidP="00306953">
      <w:pPr>
        <w:pStyle w:val="Default"/>
        <w:spacing w:after="120"/>
        <w:jc w:val="both"/>
        <w:rPr>
          <w:rFonts w:ascii="Arial" w:hAnsi="Arial" w:cs="Arial"/>
          <w:sz w:val="20"/>
          <w:szCs w:val="20"/>
        </w:rPr>
      </w:pPr>
      <w:r w:rsidRPr="00442515">
        <w:rPr>
          <w:rFonts w:ascii="Arial" w:hAnsi="Arial" w:cs="Arial"/>
          <w:sz w:val="20"/>
          <w:szCs w:val="20"/>
        </w:rPr>
        <w:t xml:space="preserve">Podíváme-li se na </w:t>
      </w:r>
      <w:r w:rsidRPr="00442515">
        <w:rPr>
          <w:rFonts w:ascii="Arial" w:hAnsi="Arial" w:cs="Arial"/>
          <w:b/>
          <w:sz w:val="20"/>
          <w:szCs w:val="20"/>
        </w:rPr>
        <w:t>data z předchozích let</w:t>
      </w:r>
      <w:r w:rsidRPr="00442515">
        <w:rPr>
          <w:rFonts w:ascii="Arial" w:hAnsi="Arial" w:cs="Arial"/>
          <w:sz w:val="20"/>
          <w:szCs w:val="20"/>
        </w:rPr>
        <w:t xml:space="preserve">, je možné opět konstatovat, že v ČR, ale i v průměru </w:t>
      </w:r>
      <w:r w:rsidR="0011791B">
        <w:rPr>
          <w:rFonts w:ascii="Arial" w:hAnsi="Arial" w:cs="Arial"/>
          <w:sz w:val="20"/>
          <w:szCs w:val="20"/>
        </w:rPr>
        <w:t xml:space="preserve">za země v EU i OECD </w:t>
      </w:r>
      <w:r w:rsidRPr="00442515">
        <w:rPr>
          <w:rFonts w:ascii="Arial" w:hAnsi="Arial" w:cs="Arial"/>
          <w:sz w:val="20"/>
          <w:szCs w:val="20"/>
        </w:rPr>
        <w:t xml:space="preserve">a v průměru za země </w:t>
      </w:r>
      <w:r w:rsidR="0011791B">
        <w:rPr>
          <w:rFonts w:ascii="Arial" w:hAnsi="Arial" w:cs="Arial"/>
          <w:sz w:val="20"/>
          <w:szCs w:val="20"/>
        </w:rPr>
        <w:t xml:space="preserve">v </w:t>
      </w:r>
      <w:r w:rsidRPr="00442515">
        <w:rPr>
          <w:rFonts w:ascii="Arial" w:hAnsi="Arial" w:cs="Arial"/>
          <w:sz w:val="20"/>
          <w:szCs w:val="20"/>
        </w:rPr>
        <w:t xml:space="preserve">OECD </w:t>
      </w:r>
      <w:r w:rsidRPr="00442515">
        <w:rPr>
          <w:rFonts w:ascii="Arial" w:hAnsi="Arial" w:cs="Arial"/>
          <w:b/>
          <w:sz w:val="20"/>
          <w:szCs w:val="20"/>
        </w:rPr>
        <w:t>muži v průměru dosahovaly vyšších výdělků než ženy</w:t>
      </w:r>
      <w:r w:rsidRPr="00442515">
        <w:rPr>
          <w:rFonts w:ascii="Arial" w:hAnsi="Arial" w:cs="Arial"/>
          <w:sz w:val="20"/>
          <w:szCs w:val="20"/>
        </w:rPr>
        <w:t xml:space="preserve">, a to na všech sledovaných úrovních dosaženého vzdělání (viz tabulka č. 36 níže, resp. A6.3c a A 6.4 v publikaci </w:t>
      </w:r>
      <w:hyperlink r:id="rId160" w:history="1">
        <w:r w:rsidRPr="00442515">
          <w:rPr>
            <w:rStyle w:val="Hypertextovodkaz"/>
            <w:rFonts w:ascii="Arial" w:hAnsi="Arial" w:cs="Arial"/>
            <w:sz w:val="20"/>
            <w:szCs w:val="20"/>
          </w:rPr>
          <w:t>OECD 2014</w:t>
        </w:r>
      </w:hyperlink>
      <w:r w:rsidRPr="00442515">
        <w:rPr>
          <w:rFonts w:ascii="Arial" w:hAnsi="Arial" w:cs="Arial"/>
          <w:sz w:val="20"/>
          <w:szCs w:val="20"/>
        </w:rPr>
        <w:t xml:space="preserve">). Náznak tendence k vyrovnávání platů žen a mužů v průběhu let 2004 až 2011 lze v ČR přitom vysledovat pouze u osob </w:t>
      </w:r>
      <w:r w:rsidRPr="00442515">
        <w:rPr>
          <w:rFonts w:ascii="Arial" w:hAnsi="Arial" w:cs="Arial"/>
          <w:b/>
          <w:sz w:val="20"/>
          <w:szCs w:val="20"/>
        </w:rPr>
        <w:t>s nižším dosaženým vzděláním, než je vyšší sekundární.</w:t>
      </w:r>
      <w:r w:rsidRPr="00442515">
        <w:rPr>
          <w:rFonts w:ascii="Arial" w:hAnsi="Arial" w:cs="Arial"/>
          <w:sz w:val="20"/>
          <w:szCs w:val="20"/>
        </w:rPr>
        <w:t xml:space="preserve"> Zároveň byly v ČR v letech 2004 až 2011 v souladu s výše uvedeným rokem 2013 ze všech sledovaných kategorií dle dosaženého vzdělání největší rozdíly mezi muži a ženami s terciárním vzděláním (ženy s terciárním vzděláním dosahovaly v roce 2011 69 % výše výdělků mužů s terciárním vzděláním, na ostatních sledovaných úrovních vzdělávání dosahovaly ženy cca 80 % výše výdělků mužů), v mezinárodních průměrech (za země v EU a OECD a za země v OECD) jsou rozdíly mezi sledovanými úrovněmi dosaženého vzdělání o poznání menší. </w:t>
      </w:r>
    </w:p>
    <w:p w:rsidR="00306953" w:rsidRPr="00442515" w:rsidRDefault="00306953" w:rsidP="00442515">
      <w:pPr>
        <w:pStyle w:val="Default"/>
        <w:keepNext/>
        <w:jc w:val="both"/>
        <w:rPr>
          <w:rFonts w:ascii="Arial" w:hAnsi="Arial" w:cs="Arial"/>
          <w:b/>
          <w:sz w:val="20"/>
          <w:szCs w:val="20"/>
        </w:rPr>
      </w:pPr>
      <w:r w:rsidRPr="00442515">
        <w:rPr>
          <w:rFonts w:ascii="Arial" w:hAnsi="Arial" w:cs="Arial"/>
          <w:b/>
          <w:sz w:val="20"/>
          <w:szCs w:val="20"/>
        </w:rPr>
        <w:lastRenderedPageBreak/>
        <w:t>Tabulka č. 36 Vývoj rozdílů mezi výdělky mužů a žen v čase, dle dosaženého vzdělání (2000-12)</w:t>
      </w:r>
    </w:p>
    <w:p w:rsidR="00306953" w:rsidRPr="00442515" w:rsidRDefault="005A07F3" w:rsidP="005840DA">
      <w:pPr>
        <w:pStyle w:val="Default"/>
        <w:keepNext/>
        <w:spacing w:after="120"/>
        <w:jc w:val="both"/>
        <w:rPr>
          <w:rFonts w:ascii="Arial" w:hAnsi="Arial" w:cs="Arial"/>
          <w:i/>
          <w:sz w:val="20"/>
          <w:szCs w:val="20"/>
        </w:rPr>
      </w:pPr>
      <w:r>
        <w:rPr>
          <w:rFonts w:ascii="Arial" w:hAnsi="Arial" w:cs="Arial"/>
          <w:i/>
          <w:sz w:val="20"/>
          <w:szCs w:val="20"/>
        </w:rPr>
        <w:t>z</w:t>
      </w:r>
      <w:r w:rsidR="00306953" w:rsidRPr="00442515">
        <w:rPr>
          <w:rFonts w:ascii="Arial" w:hAnsi="Arial" w:cs="Arial"/>
          <w:i/>
          <w:sz w:val="20"/>
          <w:szCs w:val="20"/>
        </w:rPr>
        <w:t>a osoby ve věku 25-64 let s příjmy ze zaměstnání; průměrné ro</w:t>
      </w:r>
      <w:r w:rsidR="005840DA">
        <w:rPr>
          <w:rFonts w:ascii="Arial" w:hAnsi="Arial" w:cs="Arial"/>
          <w:i/>
          <w:sz w:val="20"/>
          <w:szCs w:val="20"/>
        </w:rPr>
        <w:t>ční výdělky žen jakožto %</w:t>
      </w:r>
      <w:r w:rsidR="00306953" w:rsidRPr="00442515">
        <w:rPr>
          <w:rFonts w:ascii="Arial" w:hAnsi="Arial" w:cs="Arial"/>
          <w:i/>
          <w:sz w:val="20"/>
          <w:szCs w:val="20"/>
        </w:rPr>
        <w:t xml:space="preserve"> výdělků mužů</w:t>
      </w:r>
    </w:p>
    <w:tbl>
      <w:tblPr>
        <w:tblW w:w="10160" w:type="dxa"/>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1480"/>
        <w:gridCol w:w="3740"/>
        <w:gridCol w:w="380"/>
        <w:gridCol w:w="380"/>
        <w:gridCol w:w="380"/>
        <w:gridCol w:w="380"/>
        <w:gridCol w:w="380"/>
        <w:gridCol w:w="380"/>
        <w:gridCol w:w="380"/>
        <w:gridCol w:w="380"/>
        <w:gridCol w:w="380"/>
        <w:gridCol w:w="380"/>
        <w:gridCol w:w="380"/>
        <w:gridCol w:w="380"/>
        <w:gridCol w:w="380"/>
      </w:tblGrid>
      <w:tr w:rsidR="00306953" w:rsidRPr="00442515" w:rsidTr="000C6FC8">
        <w:trPr>
          <w:trHeight w:val="466"/>
        </w:trPr>
        <w:tc>
          <w:tcPr>
            <w:tcW w:w="1480" w:type="dxa"/>
            <w:tcBorders>
              <w:top w:val="double" w:sz="4" w:space="0" w:color="auto"/>
              <w:bottom w:val="double" w:sz="4" w:space="0" w:color="auto"/>
            </w:tcBorders>
            <w:shd w:val="clear" w:color="auto" w:fill="FFCCCC"/>
            <w:noWrap/>
            <w:vAlign w:val="bottom"/>
            <w:hideMark/>
          </w:tcPr>
          <w:p w:rsidR="00306953" w:rsidRPr="00442515" w:rsidRDefault="00306953" w:rsidP="00306953">
            <w:pPr>
              <w:keepNext/>
              <w:spacing w:after="0" w:line="240" w:lineRule="auto"/>
              <w:jc w:val="center"/>
              <w:rPr>
                <w:rFonts w:cs="Arial"/>
                <w:sz w:val="16"/>
                <w:szCs w:val="16"/>
              </w:rPr>
            </w:pPr>
            <w:r w:rsidRPr="00442515">
              <w:rPr>
                <w:rFonts w:cs="Arial"/>
                <w:sz w:val="16"/>
                <w:szCs w:val="16"/>
              </w:rPr>
              <w:t> </w:t>
            </w:r>
          </w:p>
        </w:tc>
        <w:tc>
          <w:tcPr>
            <w:tcW w:w="3740" w:type="dxa"/>
            <w:tcBorders>
              <w:top w:val="double" w:sz="4" w:space="0" w:color="auto"/>
              <w:bottom w:val="double" w:sz="4" w:space="0" w:color="auto"/>
            </w:tcBorders>
            <w:shd w:val="clear" w:color="auto" w:fill="FFCCCC"/>
            <w:noWrap/>
            <w:vAlign w:val="center"/>
            <w:hideMark/>
          </w:tcPr>
          <w:p w:rsidR="00306953" w:rsidRPr="00442515" w:rsidRDefault="0048497C" w:rsidP="00306953">
            <w:pPr>
              <w:keepNext/>
              <w:spacing w:after="0" w:line="240" w:lineRule="auto"/>
              <w:rPr>
                <w:rFonts w:cs="Arial"/>
                <w:b/>
                <w:bCs/>
                <w:sz w:val="16"/>
                <w:szCs w:val="16"/>
              </w:rPr>
            </w:pPr>
            <w:r>
              <w:rPr>
                <w:rFonts w:cs="Arial"/>
                <w:b/>
                <w:bCs/>
                <w:sz w:val="16"/>
                <w:szCs w:val="16"/>
              </w:rPr>
              <w:t>d</w:t>
            </w:r>
            <w:r w:rsidR="00306953" w:rsidRPr="00442515">
              <w:rPr>
                <w:rFonts w:cs="Arial"/>
                <w:b/>
                <w:bCs/>
                <w:sz w:val="16"/>
                <w:szCs w:val="16"/>
              </w:rPr>
              <w:t>osažené vzdělání</w:t>
            </w:r>
          </w:p>
        </w:tc>
        <w:tc>
          <w:tcPr>
            <w:tcW w:w="380" w:type="dxa"/>
            <w:tcBorders>
              <w:top w:val="double" w:sz="4" w:space="0" w:color="auto"/>
              <w:bottom w:val="double" w:sz="4" w:space="0" w:color="auto"/>
            </w:tcBorders>
            <w:shd w:val="clear" w:color="auto" w:fill="FFCCCC"/>
            <w:noWrap/>
            <w:textDirection w:val="btLr"/>
            <w:vAlign w:val="bottom"/>
            <w:hideMark/>
          </w:tcPr>
          <w:p w:rsidR="00306953" w:rsidRPr="00442515" w:rsidRDefault="00306953" w:rsidP="00306953">
            <w:pPr>
              <w:keepNext/>
              <w:spacing w:after="0" w:line="240" w:lineRule="auto"/>
              <w:jc w:val="center"/>
              <w:rPr>
                <w:rFonts w:cs="Arial"/>
                <w:b/>
                <w:bCs/>
                <w:sz w:val="16"/>
                <w:szCs w:val="16"/>
              </w:rPr>
            </w:pPr>
            <w:r w:rsidRPr="00442515">
              <w:rPr>
                <w:rFonts w:cs="Arial"/>
                <w:b/>
                <w:bCs/>
                <w:sz w:val="16"/>
                <w:szCs w:val="16"/>
              </w:rPr>
              <w:t>2000</w:t>
            </w:r>
          </w:p>
        </w:tc>
        <w:tc>
          <w:tcPr>
            <w:tcW w:w="380" w:type="dxa"/>
            <w:tcBorders>
              <w:top w:val="double" w:sz="4" w:space="0" w:color="auto"/>
              <w:bottom w:val="double" w:sz="4" w:space="0" w:color="auto"/>
            </w:tcBorders>
            <w:shd w:val="clear" w:color="auto" w:fill="FFCCCC"/>
            <w:noWrap/>
            <w:textDirection w:val="btLr"/>
            <w:vAlign w:val="bottom"/>
            <w:hideMark/>
          </w:tcPr>
          <w:p w:rsidR="00306953" w:rsidRPr="00442515" w:rsidRDefault="00306953" w:rsidP="00306953">
            <w:pPr>
              <w:keepNext/>
              <w:spacing w:after="0" w:line="240" w:lineRule="auto"/>
              <w:jc w:val="center"/>
              <w:rPr>
                <w:rFonts w:cs="Arial"/>
                <w:b/>
                <w:bCs/>
                <w:sz w:val="16"/>
                <w:szCs w:val="16"/>
              </w:rPr>
            </w:pPr>
            <w:r w:rsidRPr="00442515">
              <w:rPr>
                <w:rFonts w:cs="Arial"/>
                <w:b/>
                <w:bCs/>
                <w:sz w:val="16"/>
                <w:szCs w:val="16"/>
              </w:rPr>
              <w:t>2001</w:t>
            </w:r>
          </w:p>
        </w:tc>
        <w:tc>
          <w:tcPr>
            <w:tcW w:w="380" w:type="dxa"/>
            <w:tcBorders>
              <w:top w:val="double" w:sz="4" w:space="0" w:color="auto"/>
              <w:bottom w:val="double" w:sz="4" w:space="0" w:color="auto"/>
            </w:tcBorders>
            <w:shd w:val="clear" w:color="auto" w:fill="FFCCCC"/>
            <w:noWrap/>
            <w:textDirection w:val="btLr"/>
            <w:vAlign w:val="bottom"/>
            <w:hideMark/>
          </w:tcPr>
          <w:p w:rsidR="00306953" w:rsidRPr="00442515" w:rsidRDefault="00306953" w:rsidP="00306953">
            <w:pPr>
              <w:keepNext/>
              <w:spacing w:after="0" w:line="240" w:lineRule="auto"/>
              <w:jc w:val="center"/>
              <w:rPr>
                <w:rFonts w:cs="Arial"/>
                <w:b/>
                <w:bCs/>
                <w:sz w:val="16"/>
                <w:szCs w:val="16"/>
              </w:rPr>
            </w:pPr>
            <w:r w:rsidRPr="00442515">
              <w:rPr>
                <w:rFonts w:cs="Arial"/>
                <w:b/>
                <w:bCs/>
                <w:sz w:val="16"/>
                <w:szCs w:val="16"/>
              </w:rPr>
              <w:t>2002</w:t>
            </w:r>
          </w:p>
        </w:tc>
        <w:tc>
          <w:tcPr>
            <w:tcW w:w="380" w:type="dxa"/>
            <w:tcBorders>
              <w:top w:val="double" w:sz="4" w:space="0" w:color="auto"/>
              <w:bottom w:val="double" w:sz="4" w:space="0" w:color="auto"/>
            </w:tcBorders>
            <w:shd w:val="clear" w:color="auto" w:fill="FFCCCC"/>
            <w:noWrap/>
            <w:textDirection w:val="btLr"/>
            <w:vAlign w:val="bottom"/>
            <w:hideMark/>
          </w:tcPr>
          <w:p w:rsidR="00306953" w:rsidRPr="00442515" w:rsidRDefault="00306953" w:rsidP="00306953">
            <w:pPr>
              <w:keepNext/>
              <w:spacing w:after="0" w:line="240" w:lineRule="auto"/>
              <w:jc w:val="center"/>
              <w:rPr>
                <w:rFonts w:cs="Arial"/>
                <w:b/>
                <w:bCs/>
                <w:sz w:val="16"/>
                <w:szCs w:val="16"/>
              </w:rPr>
            </w:pPr>
            <w:r w:rsidRPr="00442515">
              <w:rPr>
                <w:rFonts w:cs="Arial"/>
                <w:b/>
                <w:bCs/>
                <w:sz w:val="16"/>
                <w:szCs w:val="16"/>
              </w:rPr>
              <w:t>2003</w:t>
            </w:r>
          </w:p>
        </w:tc>
        <w:tc>
          <w:tcPr>
            <w:tcW w:w="380" w:type="dxa"/>
            <w:tcBorders>
              <w:top w:val="double" w:sz="4" w:space="0" w:color="auto"/>
              <w:bottom w:val="double" w:sz="4" w:space="0" w:color="auto"/>
            </w:tcBorders>
            <w:shd w:val="clear" w:color="auto" w:fill="FFCCCC"/>
            <w:noWrap/>
            <w:textDirection w:val="btLr"/>
            <w:vAlign w:val="bottom"/>
            <w:hideMark/>
          </w:tcPr>
          <w:p w:rsidR="00306953" w:rsidRPr="00442515" w:rsidRDefault="00306953" w:rsidP="00306953">
            <w:pPr>
              <w:keepNext/>
              <w:spacing w:after="0" w:line="240" w:lineRule="auto"/>
              <w:jc w:val="center"/>
              <w:rPr>
                <w:rFonts w:cs="Arial"/>
                <w:b/>
                <w:bCs/>
                <w:sz w:val="16"/>
                <w:szCs w:val="16"/>
              </w:rPr>
            </w:pPr>
            <w:r w:rsidRPr="00442515">
              <w:rPr>
                <w:rFonts w:cs="Arial"/>
                <w:b/>
                <w:bCs/>
                <w:sz w:val="16"/>
                <w:szCs w:val="16"/>
              </w:rPr>
              <w:t>2004</w:t>
            </w:r>
          </w:p>
        </w:tc>
        <w:tc>
          <w:tcPr>
            <w:tcW w:w="380" w:type="dxa"/>
            <w:tcBorders>
              <w:top w:val="double" w:sz="4" w:space="0" w:color="auto"/>
              <w:bottom w:val="double" w:sz="4" w:space="0" w:color="auto"/>
            </w:tcBorders>
            <w:shd w:val="clear" w:color="auto" w:fill="FFCCCC"/>
            <w:noWrap/>
            <w:textDirection w:val="btLr"/>
            <w:vAlign w:val="bottom"/>
            <w:hideMark/>
          </w:tcPr>
          <w:p w:rsidR="00306953" w:rsidRPr="00442515" w:rsidRDefault="00306953" w:rsidP="00306953">
            <w:pPr>
              <w:keepNext/>
              <w:spacing w:after="0" w:line="240" w:lineRule="auto"/>
              <w:jc w:val="center"/>
              <w:rPr>
                <w:rFonts w:cs="Arial"/>
                <w:b/>
                <w:bCs/>
                <w:sz w:val="16"/>
                <w:szCs w:val="16"/>
              </w:rPr>
            </w:pPr>
            <w:r w:rsidRPr="00442515">
              <w:rPr>
                <w:rFonts w:cs="Arial"/>
                <w:b/>
                <w:bCs/>
                <w:sz w:val="16"/>
                <w:szCs w:val="16"/>
              </w:rPr>
              <w:t>2005</w:t>
            </w:r>
          </w:p>
        </w:tc>
        <w:tc>
          <w:tcPr>
            <w:tcW w:w="380" w:type="dxa"/>
            <w:tcBorders>
              <w:top w:val="double" w:sz="4" w:space="0" w:color="auto"/>
              <w:bottom w:val="double" w:sz="4" w:space="0" w:color="auto"/>
            </w:tcBorders>
            <w:shd w:val="clear" w:color="auto" w:fill="FFCCCC"/>
            <w:noWrap/>
            <w:textDirection w:val="btLr"/>
            <w:vAlign w:val="bottom"/>
            <w:hideMark/>
          </w:tcPr>
          <w:p w:rsidR="00306953" w:rsidRPr="00442515" w:rsidRDefault="00306953" w:rsidP="00306953">
            <w:pPr>
              <w:keepNext/>
              <w:spacing w:after="0" w:line="240" w:lineRule="auto"/>
              <w:jc w:val="center"/>
              <w:rPr>
                <w:rFonts w:cs="Arial"/>
                <w:b/>
                <w:bCs/>
                <w:sz w:val="16"/>
                <w:szCs w:val="16"/>
              </w:rPr>
            </w:pPr>
            <w:r w:rsidRPr="00442515">
              <w:rPr>
                <w:rFonts w:cs="Arial"/>
                <w:b/>
                <w:bCs/>
                <w:sz w:val="16"/>
                <w:szCs w:val="16"/>
              </w:rPr>
              <w:t>2006</w:t>
            </w:r>
          </w:p>
        </w:tc>
        <w:tc>
          <w:tcPr>
            <w:tcW w:w="380" w:type="dxa"/>
            <w:tcBorders>
              <w:top w:val="double" w:sz="4" w:space="0" w:color="auto"/>
              <w:bottom w:val="double" w:sz="4" w:space="0" w:color="auto"/>
            </w:tcBorders>
            <w:shd w:val="clear" w:color="auto" w:fill="FFCCCC"/>
            <w:noWrap/>
            <w:textDirection w:val="btLr"/>
            <w:vAlign w:val="bottom"/>
            <w:hideMark/>
          </w:tcPr>
          <w:p w:rsidR="00306953" w:rsidRPr="00442515" w:rsidRDefault="00306953" w:rsidP="00306953">
            <w:pPr>
              <w:keepNext/>
              <w:spacing w:after="0" w:line="240" w:lineRule="auto"/>
              <w:jc w:val="center"/>
              <w:rPr>
                <w:rFonts w:cs="Arial"/>
                <w:b/>
                <w:bCs/>
                <w:sz w:val="16"/>
                <w:szCs w:val="16"/>
              </w:rPr>
            </w:pPr>
            <w:r w:rsidRPr="00442515">
              <w:rPr>
                <w:rFonts w:cs="Arial"/>
                <w:b/>
                <w:bCs/>
                <w:sz w:val="16"/>
                <w:szCs w:val="16"/>
              </w:rPr>
              <w:t>2007</w:t>
            </w:r>
          </w:p>
        </w:tc>
        <w:tc>
          <w:tcPr>
            <w:tcW w:w="380" w:type="dxa"/>
            <w:tcBorders>
              <w:top w:val="double" w:sz="4" w:space="0" w:color="auto"/>
              <w:bottom w:val="double" w:sz="4" w:space="0" w:color="auto"/>
            </w:tcBorders>
            <w:shd w:val="clear" w:color="auto" w:fill="FFCCCC"/>
            <w:noWrap/>
            <w:textDirection w:val="btLr"/>
            <w:vAlign w:val="bottom"/>
            <w:hideMark/>
          </w:tcPr>
          <w:p w:rsidR="00306953" w:rsidRPr="00442515" w:rsidRDefault="00306953" w:rsidP="00306953">
            <w:pPr>
              <w:keepNext/>
              <w:spacing w:after="0" w:line="240" w:lineRule="auto"/>
              <w:jc w:val="center"/>
              <w:rPr>
                <w:rFonts w:cs="Arial"/>
                <w:b/>
                <w:bCs/>
                <w:sz w:val="16"/>
                <w:szCs w:val="16"/>
              </w:rPr>
            </w:pPr>
            <w:r w:rsidRPr="00442515">
              <w:rPr>
                <w:rFonts w:cs="Arial"/>
                <w:b/>
                <w:bCs/>
                <w:sz w:val="16"/>
                <w:szCs w:val="16"/>
              </w:rPr>
              <w:t>2008</w:t>
            </w:r>
          </w:p>
        </w:tc>
        <w:tc>
          <w:tcPr>
            <w:tcW w:w="380" w:type="dxa"/>
            <w:tcBorders>
              <w:top w:val="double" w:sz="4" w:space="0" w:color="auto"/>
              <w:bottom w:val="double" w:sz="4" w:space="0" w:color="auto"/>
            </w:tcBorders>
            <w:shd w:val="clear" w:color="auto" w:fill="FFCCCC"/>
            <w:noWrap/>
            <w:textDirection w:val="btLr"/>
            <w:vAlign w:val="bottom"/>
            <w:hideMark/>
          </w:tcPr>
          <w:p w:rsidR="00306953" w:rsidRPr="00442515" w:rsidRDefault="00306953" w:rsidP="00306953">
            <w:pPr>
              <w:keepNext/>
              <w:spacing w:after="0" w:line="240" w:lineRule="auto"/>
              <w:jc w:val="center"/>
              <w:rPr>
                <w:rFonts w:cs="Arial"/>
                <w:b/>
                <w:bCs/>
                <w:sz w:val="16"/>
                <w:szCs w:val="16"/>
              </w:rPr>
            </w:pPr>
            <w:r w:rsidRPr="00442515">
              <w:rPr>
                <w:rFonts w:cs="Arial"/>
                <w:b/>
                <w:bCs/>
                <w:sz w:val="16"/>
                <w:szCs w:val="16"/>
              </w:rPr>
              <w:t>2009</w:t>
            </w:r>
          </w:p>
        </w:tc>
        <w:tc>
          <w:tcPr>
            <w:tcW w:w="380" w:type="dxa"/>
            <w:tcBorders>
              <w:top w:val="double" w:sz="4" w:space="0" w:color="auto"/>
              <w:bottom w:val="double" w:sz="4" w:space="0" w:color="auto"/>
            </w:tcBorders>
            <w:shd w:val="clear" w:color="auto" w:fill="FFCCCC"/>
            <w:noWrap/>
            <w:textDirection w:val="btLr"/>
            <w:vAlign w:val="bottom"/>
            <w:hideMark/>
          </w:tcPr>
          <w:p w:rsidR="00306953" w:rsidRPr="00442515" w:rsidRDefault="00306953" w:rsidP="00306953">
            <w:pPr>
              <w:keepNext/>
              <w:spacing w:after="0" w:line="240" w:lineRule="auto"/>
              <w:jc w:val="center"/>
              <w:rPr>
                <w:rFonts w:cs="Arial"/>
                <w:b/>
                <w:bCs/>
                <w:sz w:val="16"/>
                <w:szCs w:val="16"/>
              </w:rPr>
            </w:pPr>
            <w:r w:rsidRPr="00442515">
              <w:rPr>
                <w:rFonts w:cs="Arial"/>
                <w:b/>
                <w:bCs/>
                <w:sz w:val="16"/>
                <w:szCs w:val="16"/>
              </w:rPr>
              <w:t>2010</w:t>
            </w:r>
          </w:p>
        </w:tc>
        <w:tc>
          <w:tcPr>
            <w:tcW w:w="380" w:type="dxa"/>
            <w:tcBorders>
              <w:top w:val="double" w:sz="4" w:space="0" w:color="auto"/>
              <w:bottom w:val="double" w:sz="4" w:space="0" w:color="auto"/>
            </w:tcBorders>
            <w:shd w:val="clear" w:color="auto" w:fill="FFCCCC"/>
            <w:noWrap/>
            <w:textDirection w:val="btLr"/>
            <w:vAlign w:val="bottom"/>
            <w:hideMark/>
          </w:tcPr>
          <w:p w:rsidR="00306953" w:rsidRPr="00442515" w:rsidRDefault="00306953" w:rsidP="00306953">
            <w:pPr>
              <w:keepNext/>
              <w:spacing w:after="0" w:line="240" w:lineRule="auto"/>
              <w:jc w:val="center"/>
              <w:rPr>
                <w:rFonts w:cs="Arial"/>
                <w:b/>
                <w:bCs/>
                <w:sz w:val="16"/>
                <w:szCs w:val="16"/>
              </w:rPr>
            </w:pPr>
            <w:r w:rsidRPr="00442515">
              <w:rPr>
                <w:rFonts w:cs="Arial"/>
                <w:b/>
                <w:bCs/>
                <w:sz w:val="16"/>
                <w:szCs w:val="16"/>
              </w:rPr>
              <w:t>2011</w:t>
            </w:r>
          </w:p>
        </w:tc>
        <w:tc>
          <w:tcPr>
            <w:tcW w:w="380" w:type="dxa"/>
            <w:tcBorders>
              <w:top w:val="double" w:sz="4" w:space="0" w:color="auto"/>
              <w:bottom w:val="double" w:sz="4" w:space="0" w:color="auto"/>
            </w:tcBorders>
            <w:shd w:val="clear" w:color="auto" w:fill="FFCCCC"/>
            <w:noWrap/>
            <w:textDirection w:val="btLr"/>
            <w:vAlign w:val="bottom"/>
            <w:hideMark/>
          </w:tcPr>
          <w:p w:rsidR="00306953" w:rsidRPr="00442515" w:rsidRDefault="00306953" w:rsidP="00306953">
            <w:pPr>
              <w:keepNext/>
              <w:spacing w:after="0" w:line="240" w:lineRule="auto"/>
              <w:jc w:val="center"/>
              <w:rPr>
                <w:rFonts w:cs="Arial"/>
                <w:b/>
                <w:bCs/>
                <w:sz w:val="16"/>
                <w:szCs w:val="16"/>
              </w:rPr>
            </w:pPr>
            <w:r w:rsidRPr="00442515">
              <w:rPr>
                <w:rFonts w:cs="Arial"/>
                <w:b/>
                <w:bCs/>
                <w:sz w:val="16"/>
                <w:szCs w:val="16"/>
              </w:rPr>
              <w:t>2012</w:t>
            </w:r>
          </w:p>
        </w:tc>
      </w:tr>
      <w:tr w:rsidR="00306953" w:rsidRPr="00442515" w:rsidTr="000C6FC8">
        <w:trPr>
          <w:trHeight w:val="300"/>
        </w:trPr>
        <w:tc>
          <w:tcPr>
            <w:tcW w:w="1480" w:type="dxa"/>
            <w:vMerge w:val="restart"/>
            <w:tcBorders>
              <w:top w:val="double" w:sz="4" w:space="0" w:color="auto"/>
            </w:tcBorders>
            <w:shd w:val="clear" w:color="auto" w:fill="auto"/>
            <w:noWrap/>
            <w:vAlign w:val="center"/>
            <w:hideMark/>
          </w:tcPr>
          <w:p w:rsidR="00306953" w:rsidRPr="00442515" w:rsidRDefault="00306953" w:rsidP="00306953">
            <w:pPr>
              <w:keepNext/>
              <w:spacing w:after="0" w:line="240" w:lineRule="auto"/>
              <w:rPr>
                <w:rFonts w:cs="Arial"/>
                <w:sz w:val="16"/>
                <w:szCs w:val="16"/>
              </w:rPr>
            </w:pPr>
            <w:r w:rsidRPr="00442515">
              <w:rPr>
                <w:rFonts w:cs="Arial"/>
                <w:sz w:val="16"/>
                <w:szCs w:val="16"/>
              </w:rPr>
              <w:t>Česká republika</w:t>
            </w:r>
          </w:p>
        </w:tc>
        <w:tc>
          <w:tcPr>
            <w:tcW w:w="3740" w:type="dxa"/>
            <w:tcBorders>
              <w:top w:val="double" w:sz="4" w:space="0" w:color="auto"/>
            </w:tcBorders>
            <w:shd w:val="clear" w:color="auto" w:fill="auto"/>
            <w:noWrap/>
            <w:vAlign w:val="center"/>
            <w:hideMark/>
          </w:tcPr>
          <w:p w:rsidR="00306953" w:rsidRPr="00442515" w:rsidRDefault="0048497C" w:rsidP="00306953">
            <w:pPr>
              <w:keepNext/>
              <w:spacing w:after="0" w:line="240" w:lineRule="auto"/>
              <w:rPr>
                <w:rFonts w:cs="Arial"/>
                <w:sz w:val="16"/>
                <w:szCs w:val="16"/>
              </w:rPr>
            </w:pPr>
            <w:r>
              <w:rPr>
                <w:rFonts w:cs="Arial"/>
                <w:sz w:val="16"/>
                <w:szCs w:val="16"/>
              </w:rPr>
              <w:t>n</w:t>
            </w:r>
            <w:r w:rsidR="00306953" w:rsidRPr="00442515">
              <w:rPr>
                <w:rFonts w:cs="Arial"/>
                <w:sz w:val="16"/>
                <w:szCs w:val="16"/>
              </w:rPr>
              <w:t>ižší než vyšší sekundární</w:t>
            </w:r>
          </w:p>
        </w:tc>
        <w:tc>
          <w:tcPr>
            <w:tcW w:w="380" w:type="dxa"/>
            <w:tcBorders>
              <w:top w:val="double" w:sz="4" w:space="0" w:color="auto"/>
            </w:tcBorders>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tcBorders>
              <w:top w:val="double" w:sz="4" w:space="0" w:color="auto"/>
            </w:tcBorders>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tcBorders>
              <w:top w:val="double" w:sz="4" w:space="0" w:color="auto"/>
            </w:tcBorders>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tcBorders>
              <w:top w:val="double" w:sz="4" w:space="0" w:color="auto"/>
            </w:tcBorders>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tcBorders>
              <w:top w:val="double" w:sz="4" w:space="0" w:color="auto"/>
            </w:tcBorders>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74</w:t>
            </w:r>
          </w:p>
        </w:tc>
        <w:tc>
          <w:tcPr>
            <w:tcW w:w="380" w:type="dxa"/>
            <w:tcBorders>
              <w:top w:val="double" w:sz="4" w:space="0" w:color="auto"/>
            </w:tcBorders>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74</w:t>
            </w:r>
          </w:p>
        </w:tc>
        <w:tc>
          <w:tcPr>
            <w:tcW w:w="380" w:type="dxa"/>
            <w:tcBorders>
              <w:top w:val="double" w:sz="4" w:space="0" w:color="auto"/>
            </w:tcBorders>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73</w:t>
            </w:r>
          </w:p>
        </w:tc>
        <w:tc>
          <w:tcPr>
            <w:tcW w:w="380" w:type="dxa"/>
            <w:tcBorders>
              <w:top w:val="double" w:sz="4" w:space="0" w:color="auto"/>
            </w:tcBorders>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75</w:t>
            </w:r>
          </w:p>
        </w:tc>
        <w:tc>
          <w:tcPr>
            <w:tcW w:w="380" w:type="dxa"/>
            <w:tcBorders>
              <w:top w:val="double" w:sz="4" w:space="0" w:color="auto"/>
            </w:tcBorders>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75</w:t>
            </w:r>
          </w:p>
        </w:tc>
        <w:tc>
          <w:tcPr>
            <w:tcW w:w="380" w:type="dxa"/>
            <w:tcBorders>
              <w:top w:val="double" w:sz="4" w:space="0" w:color="auto"/>
            </w:tcBorders>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77</w:t>
            </w:r>
          </w:p>
        </w:tc>
        <w:tc>
          <w:tcPr>
            <w:tcW w:w="380" w:type="dxa"/>
            <w:tcBorders>
              <w:top w:val="double" w:sz="4" w:space="0" w:color="auto"/>
            </w:tcBorders>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79</w:t>
            </w:r>
          </w:p>
        </w:tc>
        <w:tc>
          <w:tcPr>
            <w:tcW w:w="380" w:type="dxa"/>
            <w:tcBorders>
              <w:top w:val="double" w:sz="4" w:space="0" w:color="auto"/>
            </w:tcBorders>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79</w:t>
            </w:r>
          </w:p>
        </w:tc>
        <w:tc>
          <w:tcPr>
            <w:tcW w:w="380" w:type="dxa"/>
            <w:tcBorders>
              <w:top w:val="double" w:sz="4" w:space="0" w:color="auto"/>
            </w:tcBorders>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r>
      <w:tr w:rsidR="00306953" w:rsidRPr="00442515" w:rsidTr="000C6FC8">
        <w:trPr>
          <w:trHeight w:val="300"/>
        </w:trPr>
        <w:tc>
          <w:tcPr>
            <w:tcW w:w="1480" w:type="dxa"/>
            <w:vMerge/>
            <w:vAlign w:val="center"/>
            <w:hideMark/>
          </w:tcPr>
          <w:p w:rsidR="00306953" w:rsidRPr="00442515" w:rsidRDefault="00306953" w:rsidP="00306953">
            <w:pPr>
              <w:keepNext/>
              <w:spacing w:after="0" w:line="240" w:lineRule="auto"/>
              <w:rPr>
                <w:rFonts w:cs="Arial"/>
                <w:sz w:val="16"/>
                <w:szCs w:val="16"/>
              </w:rPr>
            </w:pPr>
          </w:p>
        </w:tc>
        <w:tc>
          <w:tcPr>
            <w:tcW w:w="3740" w:type="dxa"/>
            <w:shd w:val="clear" w:color="auto" w:fill="auto"/>
            <w:noWrap/>
            <w:vAlign w:val="center"/>
            <w:hideMark/>
          </w:tcPr>
          <w:p w:rsidR="00306953" w:rsidRPr="00442515" w:rsidRDefault="0048497C" w:rsidP="00306953">
            <w:pPr>
              <w:keepNext/>
              <w:spacing w:after="0" w:line="240" w:lineRule="auto"/>
              <w:rPr>
                <w:rFonts w:cs="Arial"/>
                <w:sz w:val="16"/>
                <w:szCs w:val="16"/>
              </w:rPr>
            </w:pPr>
            <w:r>
              <w:rPr>
                <w:rFonts w:cs="Arial"/>
                <w:sz w:val="16"/>
                <w:szCs w:val="16"/>
              </w:rPr>
              <w:t>v</w:t>
            </w:r>
            <w:r w:rsidR="00306953" w:rsidRPr="00442515">
              <w:rPr>
                <w:rFonts w:cs="Arial"/>
                <w:sz w:val="16"/>
                <w:szCs w:val="16"/>
              </w:rPr>
              <w:t>yšší sekundární až postsekundární neterciární</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80</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80</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80</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79</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78</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80</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82</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81</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r>
      <w:tr w:rsidR="00306953" w:rsidRPr="00442515" w:rsidTr="000C6FC8">
        <w:trPr>
          <w:trHeight w:val="300"/>
        </w:trPr>
        <w:tc>
          <w:tcPr>
            <w:tcW w:w="1480" w:type="dxa"/>
            <w:vMerge/>
            <w:vAlign w:val="center"/>
            <w:hideMark/>
          </w:tcPr>
          <w:p w:rsidR="00306953" w:rsidRPr="00442515" w:rsidRDefault="00306953" w:rsidP="00306953">
            <w:pPr>
              <w:keepNext/>
              <w:spacing w:after="0" w:line="240" w:lineRule="auto"/>
              <w:rPr>
                <w:rFonts w:cs="Arial"/>
                <w:sz w:val="16"/>
                <w:szCs w:val="16"/>
              </w:rPr>
            </w:pPr>
          </w:p>
        </w:tc>
        <w:tc>
          <w:tcPr>
            <w:tcW w:w="3740" w:type="dxa"/>
            <w:shd w:val="clear" w:color="auto" w:fill="auto"/>
            <w:noWrap/>
            <w:vAlign w:val="center"/>
            <w:hideMark/>
          </w:tcPr>
          <w:p w:rsidR="00306953" w:rsidRPr="00442515" w:rsidRDefault="0048497C" w:rsidP="00306953">
            <w:pPr>
              <w:keepNext/>
              <w:spacing w:after="0" w:line="240" w:lineRule="auto"/>
              <w:rPr>
                <w:rFonts w:cs="Arial"/>
                <w:sz w:val="16"/>
                <w:szCs w:val="16"/>
              </w:rPr>
            </w:pPr>
            <w:r>
              <w:rPr>
                <w:rFonts w:cs="Arial"/>
                <w:sz w:val="16"/>
                <w:szCs w:val="16"/>
              </w:rPr>
              <w:t>t</w:t>
            </w:r>
            <w:r w:rsidR="00306953" w:rsidRPr="00442515">
              <w:rPr>
                <w:rFonts w:cs="Arial"/>
                <w:sz w:val="16"/>
                <w:szCs w:val="16"/>
              </w:rPr>
              <w:t>erciární</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67</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68</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67</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68</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67</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66</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68</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69</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r>
      <w:tr w:rsidR="00306953" w:rsidRPr="00442515" w:rsidTr="000C6FC8">
        <w:trPr>
          <w:trHeight w:val="300"/>
        </w:trPr>
        <w:tc>
          <w:tcPr>
            <w:tcW w:w="1480" w:type="dxa"/>
            <w:vMerge w:val="restart"/>
            <w:shd w:val="clear" w:color="auto" w:fill="auto"/>
            <w:noWrap/>
            <w:vAlign w:val="center"/>
            <w:hideMark/>
          </w:tcPr>
          <w:p w:rsidR="00306953" w:rsidRPr="00442515" w:rsidRDefault="00306953" w:rsidP="00306953">
            <w:pPr>
              <w:keepNext/>
              <w:spacing w:after="0" w:line="240" w:lineRule="auto"/>
              <w:rPr>
                <w:rFonts w:cs="Arial"/>
                <w:sz w:val="16"/>
                <w:szCs w:val="16"/>
              </w:rPr>
            </w:pPr>
            <w:r w:rsidRPr="00442515">
              <w:rPr>
                <w:rFonts w:cs="Arial"/>
                <w:sz w:val="16"/>
                <w:szCs w:val="16"/>
              </w:rPr>
              <w:t>Slovensko</w:t>
            </w:r>
          </w:p>
        </w:tc>
        <w:tc>
          <w:tcPr>
            <w:tcW w:w="3740" w:type="dxa"/>
            <w:shd w:val="clear" w:color="auto" w:fill="auto"/>
            <w:noWrap/>
            <w:vAlign w:val="center"/>
            <w:hideMark/>
          </w:tcPr>
          <w:p w:rsidR="00306953" w:rsidRPr="00442515" w:rsidRDefault="0048497C" w:rsidP="00306953">
            <w:pPr>
              <w:keepNext/>
              <w:spacing w:after="0" w:line="240" w:lineRule="auto"/>
              <w:rPr>
                <w:rFonts w:cs="Arial"/>
                <w:sz w:val="16"/>
                <w:szCs w:val="16"/>
              </w:rPr>
            </w:pPr>
            <w:r>
              <w:rPr>
                <w:rFonts w:cs="Arial"/>
                <w:sz w:val="16"/>
                <w:szCs w:val="16"/>
              </w:rPr>
              <w:t>n</w:t>
            </w:r>
            <w:r w:rsidR="00306953" w:rsidRPr="00442515">
              <w:rPr>
                <w:rFonts w:cs="Arial"/>
                <w:sz w:val="16"/>
                <w:szCs w:val="16"/>
              </w:rPr>
              <w:t>ižší než vyšší sekundární</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72</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73</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73</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75</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73</w:t>
            </w:r>
          </w:p>
        </w:tc>
      </w:tr>
      <w:tr w:rsidR="00306953" w:rsidRPr="00442515" w:rsidTr="000C6FC8">
        <w:trPr>
          <w:trHeight w:val="300"/>
        </w:trPr>
        <w:tc>
          <w:tcPr>
            <w:tcW w:w="1480" w:type="dxa"/>
            <w:vMerge/>
            <w:vAlign w:val="center"/>
            <w:hideMark/>
          </w:tcPr>
          <w:p w:rsidR="00306953" w:rsidRPr="00442515" w:rsidRDefault="00306953" w:rsidP="00306953">
            <w:pPr>
              <w:keepNext/>
              <w:spacing w:after="0" w:line="240" w:lineRule="auto"/>
              <w:rPr>
                <w:rFonts w:cs="Arial"/>
                <w:sz w:val="16"/>
                <w:szCs w:val="16"/>
              </w:rPr>
            </w:pPr>
          </w:p>
        </w:tc>
        <w:tc>
          <w:tcPr>
            <w:tcW w:w="3740" w:type="dxa"/>
            <w:shd w:val="clear" w:color="auto" w:fill="auto"/>
            <w:noWrap/>
            <w:vAlign w:val="center"/>
            <w:hideMark/>
          </w:tcPr>
          <w:p w:rsidR="00306953" w:rsidRPr="00442515" w:rsidRDefault="0048497C" w:rsidP="00306953">
            <w:pPr>
              <w:keepNext/>
              <w:spacing w:after="0" w:line="240" w:lineRule="auto"/>
              <w:rPr>
                <w:rFonts w:cs="Arial"/>
                <w:sz w:val="16"/>
                <w:szCs w:val="16"/>
              </w:rPr>
            </w:pPr>
            <w:r>
              <w:rPr>
                <w:rFonts w:cs="Arial"/>
                <w:sz w:val="16"/>
                <w:szCs w:val="16"/>
              </w:rPr>
              <w:t>v</w:t>
            </w:r>
            <w:r w:rsidR="00306953" w:rsidRPr="00442515">
              <w:rPr>
                <w:rFonts w:cs="Arial"/>
                <w:sz w:val="16"/>
                <w:szCs w:val="16"/>
              </w:rPr>
              <w:t>yšší sekundární až postsekundární neterciární</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72</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72</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73</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72</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72</w:t>
            </w:r>
          </w:p>
        </w:tc>
      </w:tr>
      <w:tr w:rsidR="00306953" w:rsidRPr="00442515" w:rsidTr="000C6FC8">
        <w:trPr>
          <w:trHeight w:val="300"/>
        </w:trPr>
        <w:tc>
          <w:tcPr>
            <w:tcW w:w="1480" w:type="dxa"/>
            <w:vMerge/>
            <w:vAlign w:val="center"/>
            <w:hideMark/>
          </w:tcPr>
          <w:p w:rsidR="00306953" w:rsidRPr="00442515" w:rsidRDefault="00306953" w:rsidP="00306953">
            <w:pPr>
              <w:keepNext/>
              <w:spacing w:after="0" w:line="240" w:lineRule="auto"/>
              <w:rPr>
                <w:rFonts w:cs="Arial"/>
                <w:sz w:val="16"/>
                <w:szCs w:val="16"/>
              </w:rPr>
            </w:pPr>
          </w:p>
        </w:tc>
        <w:tc>
          <w:tcPr>
            <w:tcW w:w="3740" w:type="dxa"/>
            <w:shd w:val="clear" w:color="auto" w:fill="auto"/>
            <w:noWrap/>
            <w:vAlign w:val="center"/>
            <w:hideMark/>
          </w:tcPr>
          <w:p w:rsidR="00306953" w:rsidRPr="00442515" w:rsidRDefault="0048497C" w:rsidP="00306953">
            <w:pPr>
              <w:keepNext/>
              <w:spacing w:after="0" w:line="240" w:lineRule="auto"/>
              <w:rPr>
                <w:rFonts w:cs="Arial"/>
                <w:sz w:val="16"/>
                <w:szCs w:val="16"/>
              </w:rPr>
            </w:pPr>
            <w:r>
              <w:rPr>
                <w:rFonts w:cs="Arial"/>
                <w:sz w:val="16"/>
                <w:szCs w:val="16"/>
              </w:rPr>
              <w:t>t</w:t>
            </w:r>
            <w:r w:rsidR="00306953" w:rsidRPr="00442515">
              <w:rPr>
                <w:rFonts w:cs="Arial"/>
                <w:sz w:val="16"/>
                <w:szCs w:val="16"/>
              </w:rPr>
              <w:t>erciární</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68</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67</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67</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66</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65</w:t>
            </w:r>
          </w:p>
        </w:tc>
      </w:tr>
      <w:tr w:rsidR="00306953" w:rsidRPr="00442515" w:rsidTr="000C6FC8">
        <w:trPr>
          <w:trHeight w:val="300"/>
        </w:trPr>
        <w:tc>
          <w:tcPr>
            <w:tcW w:w="1480" w:type="dxa"/>
            <w:vMerge w:val="restart"/>
            <w:shd w:val="clear" w:color="auto" w:fill="auto"/>
            <w:noWrap/>
            <w:vAlign w:val="center"/>
            <w:hideMark/>
          </w:tcPr>
          <w:p w:rsidR="00306953" w:rsidRPr="00442515" w:rsidRDefault="00306953" w:rsidP="00306953">
            <w:pPr>
              <w:keepNext/>
              <w:spacing w:after="0" w:line="240" w:lineRule="auto"/>
              <w:rPr>
                <w:rFonts w:cs="Arial"/>
                <w:sz w:val="16"/>
                <w:szCs w:val="16"/>
              </w:rPr>
            </w:pPr>
            <w:r w:rsidRPr="00442515">
              <w:rPr>
                <w:rFonts w:cs="Arial"/>
                <w:sz w:val="16"/>
                <w:szCs w:val="16"/>
              </w:rPr>
              <w:t>Polsko</w:t>
            </w:r>
          </w:p>
        </w:tc>
        <w:tc>
          <w:tcPr>
            <w:tcW w:w="3740" w:type="dxa"/>
            <w:shd w:val="clear" w:color="auto" w:fill="auto"/>
            <w:noWrap/>
            <w:vAlign w:val="center"/>
            <w:hideMark/>
          </w:tcPr>
          <w:p w:rsidR="00306953" w:rsidRPr="00442515" w:rsidRDefault="0048497C" w:rsidP="00306953">
            <w:pPr>
              <w:keepNext/>
              <w:spacing w:after="0" w:line="240" w:lineRule="auto"/>
              <w:rPr>
                <w:rFonts w:cs="Arial"/>
                <w:sz w:val="16"/>
                <w:szCs w:val="16"/>
              </w:rPr>
            </w:pPr>
            <w:r>
              <w:rPr>
                <w:rFonts w:cs="Arial"/>
                <w:sz w:val="16"/>
                <w:szCs w:val="16"/>
              </w:rPr>
              <w:t>n</w:t>
            </w:r>
            <w:r w:rsidR="00306953" w:rsidRPr="00442515">
              <w:rPr>
                <w:rFonts w:cs="Arial"/>
                <w:sz w:val="16"/>
                <w:szCs w:val="16"/>
              </w:rPr>
              <w:t>ižší než vyšší sekundární</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72</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73</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73</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71</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69</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72</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73</w:t>
            </w:r>
          </w:p>
        </w:tc>
      </w:tr>
      <w:tr w:rsidR="00306953" w:rsidRPr="00442515" w:rsidTr="000C6FC8">
        <w:trPr>
          <w:trHeight w:val="300"/>
        </w:trPr>
        <w:tc>
          <w:tcPr>
            <w:tcW w:w="1480" w:type="dxa"/>
            <w:vMerge/>
            <w:vAlign w:val="center"/>
            <w:hideMark/>
          </w:tcPr>
          <w:p w:rsidR="00306953" w:rsidRPr="00442515" w:rsidRDefault="00306953" w:rsidP="00306953">
            <w:pPr>
              <w:keepNext/>
              <w:spacing w:after="0" w:line="240" w:lineRule="auto"/>
              <w:rPr>
                <w:rFonts w:cs="Arial"/>
                <w:sz w:val="16"/>
                <w:szCs w:val="16"/>
              </w:rPr>
            </w:pPr>
          </w:p>
        </w:tc>
        <w:tc>
          <w:tcPr>
            <w:tcW w:w="3740" w:type="dxa"/>
            <w:shd w:val="clear" w:color="auto" w:fill="auto"/>
            <w:noWrap/>
            <w:vAlign w:val="center"/>
            <w:hideMark/>
          </w:tcPr>
          <w:p w:rsidR="00306953" w:rsidRPr="00442515" w:rsidRDefault="0048497C" w:rsidP="00306953">
            <w:pPr>
              <w:keepNext/>
              <w:spacing w:after="0" w:line="240" w:lineRule="auto"/>
              <w:rPr>
                <w:rFonts w:cs="Arial"/>
                <w:sz w:val="16"/>
                <w:szCs w:val="16"/>
              </w:rPr>
            </w:pPr>
            <w:r>
              <w:rPr>
                <w:rFonts w:cs="Arial"/>
                <w:sz w:val="16"/>
                <w:szCs w:val="16"/>
              </w:rPr>
              <w:t>v</w:t>
            </w:r>
            <w:r w:rsidR="00306953" w:rsidRPr="00442515">
              <w:rPr>
                <w:rFonts w:cs="Arial"/>
                <w:sz w:val="16"/>
                <w:szCs w:val="16"/>
              </w:rPr>
              <w:t>yšší sekundární až postsekundární neterciární</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83</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84</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84</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81</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80</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81</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79</w:t>
            </w:r>
          </w:p>
        </w:tc>
      </w:tr>
      <w:tr w:rsidR="00306953" w:rsidRPr="00442515" w:rsidTr="000C6FC8">
        <w:trPr>
          <w:trHeight w:val="300"/>
        </w:trPr>
        <w:tc>
          <w:tcPr>
            <w:tcW w:w="1480" w:type="dxa"/>
            <w:vMerge/>
            <w:vAlign w:val="center"/>
            <w:hideMark/>
          </w:tcPr>
          <w:p w:rsidR="00306953" w:rsidRPr="00442515" w:rsidRDefault="00306953" w:rsidP="00306953">
            <w:pPr>
              <w:keepNext/>
              <w:spacing w:after="0" w:line="240" w:lineRule="auto"/>
              <w:rPr>
                <w:rFonts w:cs="Arial"/>
                <w:sz w:val="16"/>
                <w:szCs w:val="16"/>
              </w:rPr>
            </w:pPr>
          </w:p>
        </w:tc>
        <w:tc>
          <w:tcPr>
            <w:tcW w:w="3740" w:type="dxa"/>
            <w:shd w:val="clear" w:color="auto" w:fill="auto"/>
            <w:noWrap/>
            <w:vAlign w:val="center"/>
            <w:hideMark/>
          </w:tcPr>
          <w:p w:rsidR="00306953" w:rsidRPr="00442515" w:rsidRDefault="0048497C" w:rsidP="00306953">
            <w:pPr>
              <w:keepNext/>
              <w:spacing w:after="0" w:line="240" w:lineRule="auto"/>
              <w:rPr>
                <w:rFonts w:cs="Arial"/>
                <w:sz w:val="16"/>
                <w:szCs w:val="16"/>
              </w:rPr>
            </w:pPr>
            <w:r>
              <w:rPr>
                <w:rFonts w:cs="Arial"/>
                <w:sz w:val="16"/>
                <w:szCs w:val="16"/>
              </w:rPr>
              <w:t>t</w:t>
            </w:r>
            <w:r w:rsidR="00306953" w:rsidRPr="00442515">
              <w:rPr>
                <w:rFonts w:cs="Arial"/>
                <w:sz w:val="16"/>
                <w:szCs w:val="16"/>
              </w:rPr>
              <w:t>erciární</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69</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68</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68</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69</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68</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72</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b/>
                <w:sz w:val="16"/>
                <w:szCs w:val="16"/>
              </w:rPr>
            </w:pPr>
            <w:r w:rsidRPr="00442515">
              <w:rPr>
                <w:rFonts w:cs="Arial"/>
                <w:b/>
                <w:sz w:val="16"/>
                <w:szCs w:val="16"/>
              </w:rPr>
              <w:t>.</w:t>
            </w:r>
          </w:p>
        </w:tc>
        <w:tc>
          <w:tcPr>
            <w:tcW w:w="380" w:type="dxa"/>
            <w:shd w:val="clear" w:color="auto" w:fill="auto"/>
            <w:noWrap/>
            <w:vAlign w:val="center"/>
            <w:hideMark/>
          </w:tcPr>
          <w:p w:rsidR="00306953" w:rsidRPr="00442515" w:rsidRDefault="00306953" w:rsidP="004C55CD">
            <w:pPr>
              <w:keepNext/>
              <w:spacing w:after="0" w:line="240" w:lineRule="auto"/>
              <w:jc w:val="center"/>
              <w:rPr>
                <w:rFonts w:cs="Arial"/>
                <w:sz w:val="16"/>
                <w:szCs w:val="16"/>
              </w:rPr>
            </w:pPr>
            <w:r w:rsidRPr="00442515">
              <w:rPr>
                <w:rFonts w:cs="Arial"/>
                <w:sz w:val="16"/>
                <w:szCs w:val="16"/>
              </w:rPr>
              <w:t>72</w:t>
            </w:r>
          </w:p>
        </w:tc>
      </w:tr>
      <w:tr w:rsidR="00306953" w:rsidRPr="00631582" w:rsidTr="000C6FC8">
        <w:trPr>
          <w:trHeight w:val="300"/>
        </w:trPr>
        <w:tc>
          <w:tcPr>
            <w:tcW w:w="1480" w:type="dxa"/>
            <w:vMerge w:val="restart"/>
            <w:shd w:val="clear" w:color="auto" w:fill="C6D9F1" w:themeFill="text2" w:themeFillTint="33"/>
            <w:noWrap/>
            <w:vAlign w:val="center"/>
            <w:hideMark/>
          </w:tcPr>
          <w:p w:rsidR="00306953" w:rsidRPr="00442515" w:rsidRDefault="00F53B2E" w:rsidP="00306953">
            <w:pPr>
              <w:keepNext/>
              <w:spacing w:after="0" w:line="240" w:lineRule="auto"/>
              <w:rPr>
                <w:rFonts w:cs="Arial"/>
                <w:sz w:val="16"/>
                <w:szCs w:val="16"/>
              </w:rPr>
            </w:pPr>
            <w:r>
              <w:rPr>
                <w:rFonts w:cs="Arial"/>
                <w:sz w:val="16"/>
                <w:szCs w:val="16"/>
              </w:rPr>
              <w:t>p</w:t>
            </w:r>
            <w:r w:rsidR="00306953" w:rsidRPr="00442515">
              <w:rPr>
                <w:rFonts w:cs="Arial"/>
                <w:sz w:val="16"/>
                <w:szCs w:val="16"/>
              </w:rPr>
              <w:t>růměr OECD</w:t>
            </w:r>
            <w:r w:rsidR="0065558D" w:rsidRPr="0065558D">
              <w:rPr>
                <w:rFonts w:cs="Arial"/>
                <w:sz w:val="16"/>
                <w:szCs w:val="16"/>
                <w:vertAlign w:val="superscript"/>
              </w:rPr>
              <w:t>1)</w:t>
            </w:r>
          </w:p>
        </w:tc>
        <w:tc>
          <w:tcPr>
            <w:tcW w:w="3740" w:type="dxa"/>
            <w:shd w:val="clear" w:color="auto" w:fill="C6D9F1" w:themeFill="text2" w:themeFillTint="33"/>
            <w:noWrap/>
            <w:vAlign w:val="center"/>
            <w:hideMark/>
          </w:tcPr>
          <w:p w:rsidR="00306953" w:rsidRPr="00442515" w:rsidRDefault="0048497C" w:rsidP="00306953">
            <w:pPr>
              <w:keepNext/>
              <w:spacing w:after="0" w:line="240" w:lineRule="auto"/>
              <w:rPr>
                <w:rFonts w:cs="Arial"/>
                <w:sz w:val="16"/>
                <w:szCs w:val="16"/>
              </w:rPr>
            </w:pPr>
            <w:r>
              <w:rPr>
                <w:rFonts w:cs="Arial"/>
                <w:sz w:val="16"/>
                <w:szCs w:val="16"/>
              </w:rPr>
              <w:t>n</w:t>
            </w:r>
            <w:r w:rsidR="00306953" w:rsidRPr="00442515">
              <w:rPr>
                <w:rFonts w:cs="Arial"/>
                <w:sz w:val="16"/>
                <w:szCs w:val="16"/>
              </w:rPr>
              <w:t>ižší než vyšší sekundární</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62</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65</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65</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65</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66</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63</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66</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64</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63</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66</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67</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66</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65</w:t>
            </w:r>
          </w:p>
        </w:tc>
      </w:tr>
      <w:tr w:rsidR="00306953" w:rsidRPr="00631582" w:rsidTr="000C6FC8">
        <w:trPr>
          <w:trHeight w:val="300"/>
        </w:trPr>
        <w:tc>
          <w:tcPr>
            <w:tcW w:w="1480" w:type="dxa"/>
            <w:vMerge/>
            <w:shd w:val="clear" w:color="auto" w:fill="C6D9F1" w:themeFill="text2" w:themeFillTint="33"/>
            <w:vAlign w:val="center"/>
            <w:hideMark/>
          </w:tcPr>
          <w:p w:rsidR="00306953" w:rsidRPr="00442515" w:rsidRDefault="00306953" w:rsidP="00306953">
            <w:pPr>
              <w:keepNext/>
              <w:spacing w:after="0" w:line="240" w:lineRule="auto"/>
              <w:rPr>
                <w:rFonts w:cs="Arial"/>
                <w:sz w:val="16"/>
                <w:szCs w:val="16"/>
              </w:rPr>
            </w:pPr>
          </w:p>
        </w:tc>
        <w:tc>
          <w:tcPr>
            <w:tcW w:w="3740" w:type="dxa"/>
            <w:shd w:val="clear" w:color="auto" w:fill="C6D9F1" w:themeFill="text2" w:themeFillTint="33"/>
            <w:noWrap/>
            <w:vAlign w:val="center"/>
            <w:hideMark/>
          </w:tcPr>
          <w:p w:rsidR="00306953" w:rsidRPr="00442515" w:rsidRDefault="0048497C" w:rsidP="00306953">
            <w:pPr>
              <w:keepNext/>
              <w:spacing w:after="0" w:line="240" w:lineRule="auto"/>
              <w:rPr>
                <w:rFonts w:cs="Arial"/>
                <w:sz w:val="16"/>
                <w:szCs w:val="16"/>
              </w:rPr>
            </w:pPr>
            <w:r>
              <w:rPr>
                <w:rFonts w:cs="Arial"/>
                <w:sz w:val="16"/>
                <w:szCs w:val="16"/>
              </w:rPr>
              <w:t>v</w:t>
            </w:r>
            <w:r w:rsidR="00306953" w:rsidRPr="00442515">
              <w:rPr>
                <w:rFonts w:cs="Arial"/>
                <w:sz w:val="16"/>
                <w:szCs w:val="16"/>
              </w:rPr>
              <w:t>yšší sekundární až postsekundární neterciární</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65</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67</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68</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67</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70</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67</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69</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65</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66</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68</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69</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67</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67</w:t>
            </w:r>
          </w:p>
        </w:tc>
      </w:tr>
      <w:tr w:rsidR="00306953" w:rsidRPr="00631582" w:rsidTr="000C6FC8">
        <w:trPr>
          <w:trHeight w:val="300"/>
        </w:trPr>
        <w:tc>
          <w:tcPr>
            <w:tcW w:w="1480" w:type="dxa"/>
            <w:vMerge/>
            <w:shd w:val="clear" w:color="auto" w:fill="C6D9F1" w:themeFill="text2" w:themeFillTint="33"/>
            <w:vAlign w:val="center"/>
            <w:hideMark/>
          </w:tcPr>
          <w:p w:rsidR="00306953" w:rsidRPr="00442515" w:rsidRDefault="00306953" w:rsidP="00306953">
            <w:pPr>
              <w:keepNext/>
              <w:spacing w:after="0" w:line="240" w:lineRule="auto"/>
              <w:rPr>
                <w:rFonts w:cs="Arial"/>
                <w:sz w:val="16"/>
                <w:szCs w:val="16"/>
              </w:rPr>
            </w:pPr>
          </w:p>
        </w:tc>
        <w:tc>
          <w:tcPr>
            <w:tcW w:w="3740" w:type="dxa"/>
            <w:shd w:val="clear" w:color="auto" w:fill="C6D9F1" w:themeFill="text2" w:themeFillTint="33"/>
            <w:noWrap/>
            <w:vAlign w:val="center"/>
            <w:hideMark/>
          </w:tcPr>
          <w:p w:rsidR="00306953" w:rsidRPr="00442515" w:rsidRDefault="0048497C" w:rsidP="00306953">
            <w:pPr>
              <w:keepNext/>
              <w:spacing w:after="0" w:line="240" w:lineRule="auto"/>
              <w:rPr>
                <w:rFonts w:cs="Arial"/>
                <w:sz w:val="16"/>
                <w:szCs w:val="16"/>
              </w:rPr>
            </w:pPr>
            <w:r>
              <w:rPr>
                <w:rFonts w:cs="Arial"/>
                <w:sz w:val="16"/>
                <w:szCs w:val="16"/>
              </w:rPr>
              <w:t>t</w:t>
            </w:r>
            <w:r w:rsidR="00306953" w:rsidRPr="00442515">
              <w:rPr>
                <w:rFonts w:cs="Arial"/>
                <w:sz w:val="16"/>
                <w:szCs w:val="16"/>
              </w:rPr>
              <w:t>erciární</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63</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65</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65</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66</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67</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66</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65</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64</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64</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67</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67</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67</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66</w:t>
            </w:r>
          </w:p>
        </w:tc>
      </w:tr>
      <w:tr w:rsidR="00306953" w:rsidRPr="00631582" w:rsidTr="000C6FC8">
        <w:trPr>
          <w:trHeight w:val="300"/>
        </w:trPr>
        <w:tc>
          <w:tcPr>
            <w:tcW w:w="1480" w:type="dxa"/>
            <w:vMerge w:val="restart"/>
            <w:shd w:val="clear" w:color="auto" w:fill="C6D9F1" w:themeFill="text2" w:themeFillTint="33"/>
            <w:noWrap/>
            <w:vAlign w:val="center"/>
            <w:hideMark/>
          </w:tcPr>
          <w:p w:rsidR="00306953" w:rsidRPr="00442515" w:rsidRDefault="00F53B2E" w:rsidP="00306953">
            <w:pPr>
              <w:keepNext/>
              <w:spacing w:after="0" w:line="240" w:lineRule="auto"/>
              <w:rPr>
                <w:rFonts w:cs="Arial"/>
                <w:sz w:val="16"/>
                <w:szCs w:val="16"/>
              </w:rPr>
            </w:pPr>
            <w:r>
              <w:rPr>
                <w:rFonts w:cs="Arial"/>
                <w:sz w:val="16"/>
                <w:szCs w:val="16"/>
              </w:rPr>
              <w:t>p</w:t>
            </w:r>
            <w:r w:rsidR="00306953" w:rsidRPr="00442515">
              <w:rPr>
                <w:rFonts w:cs="Arial"/>
                <w:sz w:val="16"/>
                <w:szCs w:val="16"/>
              </w:rPr>
              <w:t>růměr EU21</w:t>
            </w:r>
            <w:r w:rsidR="0065558D" w:rsidRPr="0065558D">
              <w:rPr>
                <w:rFonts w:cs="Arial"/>
                <w:sz w:val="16"/>
                <w:szCs w:val="16"/>
                <w:vertAlign w:val="superscript"/>
              </w:rPr>
              <w:t>1)</w:t>
            </w:r>
          </w:p>
        </w:tc>
        <w:tc>
          <w:tcPr>
            <w:tcW w:w="3740" w:type="dxa"/>
            <w:shd w:val="clear" w:color="auto" w:fill="C6D9F1" w:themeFill="text2" w:themeFillTint="33"/>
            <w:noWrap/>
            <w:vAlign w:val="center"/>
            <w:hideMark/>
          </w:tcPr>
          <w:p w:rsidR="00306953" w:rsidRPr="00442515" w:rsidRDefault="0048497C" w:rsidP="00306953">
            <w:pPr>
              <w:keepNext/>
              <w:spacing w:after="0" w:line="240" w:lineRule="auto"/>
              <w:rPr>
                <w:rFonts w:cs="Arial"/>
                <w:sz w:val="16"/>
                <w:szCs w:val="16"/>
              </w:rPr>
            </w:pPr>
            <w:r>
              <w:rPr>
                <w:rFonts w:cs="Arial"/>
                <w:sz w:val="16"/>
                <w:szCs w:val="16"/>
              </w:rPr>
              <w:t>n</w:t>
            </w:r>
            <w:r w:rsidR="00306953" w:rsidRPr="00442515">
              <w:rPr>
                <w:rFonts w:cs="Arial"/>
                <w:sz w:val="16"/>
                <w:szCs w:val="16"/>
              </w:rPr>
              <w:t>ižší než vyšší sekundární</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65</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70</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67</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68</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69</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67</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68</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67</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64</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68</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68</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67</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69</w:t>
            </w:r>
          </w:p>
        </w:tc>
      </w:tr>
      <w:tr w:rsidR="00306953" w:rsidRPr="00631582" w:rsidTr="000C6FC8">
        <w:trPr>
          <w:trHeight w:val="300"/>
        </w:trPr>
        <w:tc>
          <w:tcPr>
            <w:tcW w:w="1480" w:type="dxa"/>
            <w:vMerge/>
            <w:shd w:val="clear" w:color="auto" w:fill="C6D9F1" w:themeFill="text2" w:themeFillTint="33"/>
            <w:vAlign w:val="center"/>
            <w:hideMark/>
          </w:tcPr>
          <w:p w:rsidR="00306953" w:rsidRPr="00442515" w:rsidRDefault="00306953" w:rsidP="00306953">
            <w:pPr>
              <w:keepNext/>
              <w:spacing w:after="0" w:line="240" w:lineRule="auto"/>
              <w:rPr>
                <w:rFonts w:cs="Arial"/>
                <w:sz w:val="16"/>
                <w:szCs w:val="16"/>
              </w:rPr>
            </w:pPr>
          </w:p>
        </w:tc>
        <w:tc>
          <w:tcPr>
            <w:tcW w:w="3740" w:type="dxa"/>
            <w:shd w:val="clear" w:color="auto" w:fill="C6D9F1" w:themeFill="text2" w:themeFillTint="33"/>
            <w:noWrap/>
            <w:vAlign w:val="center"/>
            <w:hideMark/>
          </w:tcPr>
          <w:p w:rsidR="00306953" w:rsidRPr="00442515" w:rsidRDefault="0048497C" w:rsidP="00306953">
            <w:pPr>
              <w:keepNext/>
              <w:spacing w:after="0" w:line="240" w:lineRule="auto"/>
              <w:rPr>
                <w:rFonts w:cs="Arial"/>
                <w:sz w:val="16"/>
                <w:szCs w:val="16"/>
              </w:rPr>
            </w:pPr>
            <w:r>
              <w:rPr>
                <w:rFonts w:cs="Arial"/>
                <w:sz w:val="16"/>
                <w:szCs w:val="16"/>
              </w:rPr>
              <w:t>v</w:t>
            </w:r>
            <w:r w:rsidR="00306953" w:rsidRPr="00442515">
              <w:rPr>
                <w:rFonts w:cs="Arial"/>
                <w:sz w:val="16"/>
                <w:szCs w:val="16"/>
              </w:rPr>
              <w:t>yšší sekundární až postsekundární neterciární</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68</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72</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71</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71</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73</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70</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72</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70</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68</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71</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71</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69</w:t>
            </w:r>
          </w:p>
        </w:tc>
        <w:tc>
          <w:tcPr>
            <w:tcW w:w="380" w:type="dxa"/>
            <w:shd w:val="clear" w:color="auto" w:fill="C6D9F1" w:themeFill="text2" w:themeFillTint="33"/>
            <w:noWrap/>
            <w:vAlign w:val="center"/>
            <w:hideMark/>
          </w:tcPr>
          <w:p w:rsidR="00306953" w:rsidRPr="00631582" w:rsidRDefault="00306953" w:rsidP="004C55CD">
            <w:pPr>
              <w:keepNext/>
              <w:spacing w:after="0" w:line="240" w:lineRule="auto"/>
              <w:jc w:val="center"/>
              <w:rPr>
                <w:rFonts w:cs="Arial"/>
                <w:bCs/>
                <w:sz w:val="16"/>
                <w:szCs w:val="16"/>
              </w:rPr>
            </w:pPr>
            <w:r w:rsidRPr="00631582">
              <w:rPr>
                <w:rFonts w:cs="Arial"/>
                <w:bCs/>
                <w:sz w:val="16"/>
                <w:szCs w:val="16"/>
              </w:rPr>
              <w:t>72</w:t>
            </w:r>
          </w:p>
        </w:tc>
      </w:tr>
      <w:tr w:rsidR="00306953" w:rsidRPr="00631582" w:rsidTr="000C6FC8">
        <w:trPr>
          <w:trHeight w:val="300"/>
        </w:trPr>
        <w:tc>
          <w:tcPr>
            <w:tcW w:w="1480" w:type="dxa"/>
            <w:vMerge/>
            <w:shd w:val="clear" w:color="auto" w:fill="C6D9F1" w:themeFill="text2" w:themeFillTint="33"/>
            <w:vAlign w:val="center"/>
            <w:hideMark/>
          </w:tcPr>
          <w:p w:rsidR="00306953" w:rsidRPr="00442515" w:rsidRDefault="00306953" w:rsidP="00306953">
            <w:pPr>
              <w:spacing w:after="0" w:line="240" w:lineRule="auto"/>
              <w:rPr>
                <w:rFonts w:cs="Arial"/>
                <w:sz w:val="16"/>
                <w:szCs w:val="16"/>
              </w:rPr>
            </w:pPr>
          </w:p>
        </w:tc>
        <w:tc>
          <w:tcPr>
            <w:tcW w:w="3740" w:type="dxa"/>
            <w:shd w:val="clear" w:color="auto" w:fill="C6D9F1" w:themeFill="text2" w:themeFillTint="33"/>
            <w:noWrap/>
            <w:vAlign w:val="center"/>
            <w:hideMark/>
          </w:tcPr>
          <w:p w:rsidR="00306953" w:rsidRPr="00442515" w:rsidRDefault="0048497C" w:rsidP="00306953">
            <w:pPr>
              <w:spacing w:after="0" w:line="240" w:lineRule="auto"/>
              <w:rPr>
                <w:rFonts w:cs="Arial"/>
                <w:sz w:val="16"/>
                <w:szCs w:val="16"/>
              </w:rPr>
            </w:pPr>
            <w:r>
              <w:rPr>
                <w:rFonts w:cs="Arial"/>
                <w:sz w:val="16"/>
                <w:szCs w:val="16"/>
              </w:rPr>
              <w:t>t</w:t>
            </w:r>
            <w:r w:rsidR="00306953" w:rsidRPr="00442515">
              <w:rPr>
                <w:rFonts w:cs="Arial"/>
                <w:sz w:val="16"/>
                <w:szCs w:val="16"/>
              </w:rPr>
              <w:t>erciární</w:t>
            </w:r>
          </w:p>
        </w:tc>
        <w:tc>
          <w:tcPr>
            <w:tcW w:w="38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65</w:t>
            </w:r>
          </w:p>
        </w:tc>
        <w:tc>
          <w:tcPr>
            <w:tcW w:w="38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65</w:t>
            </w:r>
          </w:p>
        </w:tc>
        <w:tc>
          <w:tcPr>
            <w:tcW w:w="38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67</w:t>
            </w:r>
          </w:p>
        </w:tc>
        <w:tc>
          <w:tcPr>
            <w:tcW w:w="38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69</w:t>
            </w:r>
          </w:p>
        </w:tc>
        <w:tc>
          <w:tcPr>
            <w:tcW w:w="38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67</w:t>
            </w:r>
          </w:p>
        </w:tc>
        <w:tc>
          <w:tcPr>
            <w:tcW w:w="38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68</w:t>
            </w:r>
          </w:p>
        </w:tc>
        <w:tc>
          <w:tcPr>
            <w:tcW w:w="38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66</w:t>
            </w:r>
          </w:p>
        </w:tc>
        <w:tc>
          <w:tcPr>
            <w:tcW w:w="38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67</w:t>
            </w:r>
          </w:p>
        </w:tc>
        <w:tc>
          <w:tcPr>
            <w:tcW w:w="38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65</w:t>
            </w:r>
          </w:p>
        </w:tc>
        <w:tc>
          <w:tcPr>
            <w:tcW w:w="38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69</w:t>
            </w:r>
          </w:p>
        </w:tc>
        <w:tc>
          <w:tcPr>
            <w:tcW w:w="38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68</w:t>
            </w:r>
          </w:p>
        </w:tc>
        <w:tc>
          <w:tcPr>
            <w:tcW w:w="38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69</w:t>
            </w:r>
          </w:p>
        </w:tc>
        <w:tc>
          <w:tcPr>
            <w:tcW w:w="380" w:type="dxa"/>
            <w:shd w:val="clear" w:color="auto" w:fill="C6D9F1" w:themeFill="text2" w:themeFillTint="33"/>
            <w:noWrap/>
            <w:vAlign w:val="center"/>
            <w:hideMark/>
          </w:tcPr>
          <w:p w:rsidR="00306953" w:rsidRPr="00631582" w:rsidRDefault="00306953" w:rsidP="004C55CD">
            <w:pPr>
              <w:spacing w:after="0" w:line="240" w:lineRule="auto"/>
              <w:jc w:val="center"/>
              <w:rPr>
                <w:rFonts w:cs="Arial"/>
                <w:bCs/>
                <w:sz w:val="16"/>
                <w:szCs w:val="16"/>
              </w:rPr>
            </w:pPr>
            <w:r w:rsidRPr="00631582">
              <w:rPr>
                <w:rFonts w:cs="Arial"/>
                <w:bCs/>
                <w:sz w:val="16"/>
                <w:szCs w:val="16"/>
              </w:rPr>
              <w:t>68</w:t>
            </w:r>
          </w:p>
        </w:tc>
      </w:tr>
    </w:tbl>
    <w:p w:rsidR="0065558D" w:rsidRDefault="0065558D" w:rsidP="0065558D">
      <w:pPr>
        <w:spacing w:before="120" w:after="0" w:line="240" w:lineRule="auto"/>
        <w:jc w:val="both"/>
        <w:rPr>
          <w:rFonts w:eastAsia="ChaparralPro-Regular" w:cs="Arial"/>
          <w:sz w:val="16"/>
          <w:szCs w:val="16"/>
        </w:rPr>
      </w:pPr>
      <w:r w:rsidRPr="0065558D">
        <w:rPr>
          <w:rFonts w:eastAsia="ChaparralPro-Regular" w:cs="Arial"/>
          <w:sz w:val="16"/>
          <w:szCs w:val="16"/>
          <w:vertAlign w:val="superscript"/>
        </w:rPr>
        <w:t>1)</w:t>
      </w:r>
      <w:r>
        <w:rPr>
          <w:rFonts w:eastAsia="ChaparralPro-Regular" w:cs="Arial"/>
          <w:sz w:val="16"/>
          <w:szCs w:val="16"/>
        </w:rPr>
        <w:t xml:space="preserve"> Při sledování vývoje v mezinárodních průměrech v čase je třeba přihlédnout k tomu, že pro výpočet jsou vždy použita data za dostupné země, jejichž složení se rok od roku mění.</w:t>
      </w:r>
    </w:p>
    <w:p w:rsidR="00306953" w:rsidRPr="00442515" w:rsidRDefault="00306953" w:rsidP="0065558D">
      <w:pPr>
        <w:spacing w:after="0" w:line="240" w:lineRule="auto"/>
        <w:jc w:val="both"/>
        <w:rPr>
          <w:rFonts w:eastAsia="ChaparralPro-Regular" w:cs="Arial"/>
          <w:sz w:val="16"/>
          <w:szCs w:val="16"/>
        </w:rPr>
      </w:pPr>
      <w:r w:rsidRPr="00442515">
        <w:rPr>
          <w:rFonts w:eastAsia="ChaparralPro-Regular" w:cs="Arial"/>
          <w:sz w:val="16"/>
          <w:szCs w:val="16"/>
        </w:rPr>
        <w:t xml:space="preserve">Zdroj: OECD 2014, tabulka A 6.3c (pouze na webu), výběr údajů ČSÚ. Dostupné zde: </w:t>
      </w:r>
      <w:hyperlink r:id="rId161" w:history="1">
        <w:r w:rsidRPr="00442515">
          <w:rPr>
            <w:rStyle w:val="Hypertextovodkaz"/>
            <w:rFonts w:eastAsia="ChaparralPro-Regular" w:cs="Arial"/>
            <w:sz w:val="16"/>
            <w:szCs w:val="16"/>
          </w:rPr>
          <w:t>http://www.oecd.org/edu/education-at-a-glance-2014-indicators-by-chapter.htm</w:t>
        </w:r>
      </w:hyperlink>
      <w:r w:rsidRPr="00442515">
        <w:rPr>
          <w:rFonts w:eastAsia="ChaparralPro-Regular" w:cs="Arial"/>
          <w:sz w:val="16"/>
          <w:szCs w:val="16"/>
        </w:rPr>
        <w:t xml:space="preserve"> v</w:t>
      </w:r>
      <w:r w:rsidR="00CE14DF">
        <w:rPr>
          <w:rFonts w:eastAsia="ChaparralPro-Regular" w:cs="Arial"/>
          <w:sz w:val="16"/>
          <w:szCs w:val="16"/>
        </w:rPr>
        <w:t> souboru tabulek k indikátoru A</w:t>
      </w:r>
      <w:r w:rsidRPr="00442515">
        <w:rPr>
          <w:rFonts w:eastAsia="ChaparralPro-Regular" w:cs="Arial"/>
          <w:sz w:val="16"/>
          <w:szCs w:val="16"/>
        </w:rPr>
        <w:t>6</w:t>
      </w:r>
    </w:p>
    <w:p w:rsidR="00306953" w:rsidRPr="00442515" w:rsidRDefault="00306953" w:rsidP="00306953">
      <w:pPr>
        <w:spacing w:after="0" w:line="240" w:lineRule="auto"/>
        <w:jc w:val="both"/>
        <w:rPr>
          <w:rFonts w:eastAsia="ChaparralPro-Regular" w:cs="Arial"/>
          <w:sz w:val="16"/>
          <w:szCs w:val="16"/>
        </w:rPr>
      </w:pPr>
      <w:r w:rsidRPr="00442515">
        <w:rPr>
          <w:rFonts w:eastAsia="ChaparralPro-Regular" w:cs="Arial"/>
          <w:b/>
          <w:sz w:val="16"/>
          <w:szCs w:val="16"/>
        </w:rPr>
        <w:t xml:space="preserve">. </w:t>
      </w:r>
      <w:r w:rsidRPr="00442515">
        <w:rPr>
          <w:rFonts w:eastAsia="ChaparralPro-Regular" w:cs="Arial"/>
          <w:sz w:val="16"/>
          <w:szCs w:val="16"/>
        </w:rPr>
        <w:t xml:space="preserve"> … označené údaje nejsou k dispozici</w:t>
      </w:r>
    </w:p>
    <w:p w:rsidR="00306953" w:rsidRPr="00306953" w:rsidRDefault="00306953" w:rsidP="00306953">
      <w:pPr>
        <w:pStyle w:val="Default"/>
        <w:jc w:val="both"/>
        <w:rPr>
          <w:rFonts w:ascii="Arial" w:hAnsi="Arial" w:cs="Arial"/>
          <w:sz w:val="22"/>
          <w:szCs w:val="22"/>
        </w:rPr>
      </w:pPr>
    </w:p>
    <w:p w:rsidR="00306953" w:rsidRPr="00442515" w:rsidRDefault="00306953" w:rsidP="00306953">
      <w:pPr>
        <w:pStyle w:val="Default"/>
        <w:spacing w:after="120"/>
        <w:jc w:val="both"/>
        <w:rPr>
          <w:rFonts w:ascii="Arial" w:eastAsia="ChaparralPro-Regular" w:hAnsi="Arial" w:cs="Arial"/>
          <w:color w:val="auto"/>
          <w:sz w:val="20"/>
          <w:szCs w:val="20"/>
        </w:rPr>
      </w:pPr>
      <w:r w:rsidRPr="00442515">
        <w:rPr>
          <w:rFonts w:ascii="Arial" w:eastAsia="ChaparralPro-Regular" w:hAnsi="Arial" w:cs="Arial"/>
          <w:color w:val="auto"/>
          <w:sz w:val="20"/>
          <w:szCs w:val="20"/>
        </w:rPr>
        <w:t>Dosud jsme se věnovali rozdílům ve výdělcích různě vzdělávaných osob a rozdílům mezi ženy a muži, resp. starší a mladší věkovou kohortou. Jedná se však o zúžený pohled na finanční výhodnost vzdělávání. Chceme-li pojmout tuto problematiku zodpovědněji, je třeba zvážit jak výnosy</w:t>
      </w:r>
      <w:r w:rsidR="00E52654">
        <w:rPr>
          <w:rFonts w:ascii="Arial" w:eastAsia="ChaparralPro-Regular" w:hAnsi="Arial" w:cs="Arial"/>
          <w:color w:val="auto"/>
          <w:sz w:val="20"/>
          <w:szCs w:val="20"/>
        </w:rPr>
        <w:t>, tak i náklady na vzdělávání a </w:t>
      </w:r>
      <w:r w:rsidRPr="00442515">
        <w:rPr>
          <w:rFonts w:ascii="Arial" w:eastAsia="ChaparralPro-Regular" w:hAnsi="Arial" w:cs="Arial"/>
          <w:color w:val="auto"/>
          <w:sz w:val="20"/>
          <w:szCs w:val="20"/>
        </w:rPr>
        <w:t>to jak týkající se soukromých osob, tak i veřejné náklady a výnosy</w:t>
      </w:r>
      <w:r w:rsidRPr="00442515">
        <w:rPr>
          <w:rStyle w:val="Znakapoznpodarou"/>
          <w:rFonts w:ascii="Arial" w:eastAsia="ChaparralPro-Regular" w:hAnsi="Arial" w:cs="Arial"/>
          <w:color w:val="auto"/>
          <w:sz w:val="20"/>
          <w:szCs w:val="20"/>
        </w:rPr>
        <w:footnoteReference w:id="16"/>
      </w:r>
      <w:r w:rsidRPr="00442515">
        <w:rPr>
          <w:rFonts w:ascii="Arial" w:eastAsia="ChaparralPro-Regular" w:hAnsi="Arial" w:cs="Arial"/>
          <w:color w:val="auto"/>
          <w:sz w:val="20"/>
          <w:szCs w:val="20"/>
        </w:rPr>
        <w:t>.</w:t>
      </w:r>
    </w:p>
    <w:p w:rsidR="00306953" w:rsidRPr="00442515" w:rsidRDefault="00306953" w:rsidP="00306953">
      <w:pPr>
        <w:pStyle w:val="Default"/>
        <w:spacing w:after="120"/>
        <w:jc w:val="both"/>
        <w:rPr>
          <w:rFonts w:ascii="Arial" w:eastAsia="ChaparralPro-Regular" w:hAnsi="Arial" w:cs="Arial"/>
          <w:color w:val="auto"/>
          <w:sz w:val="20"/>
          <w:szCs w:val="20"/>
        </w:rPr>
      </w:pPr>
      <w:r w:rsidRPr="00442515">
        <w:rPr>
          <w:rFonts w:ascii="Arial" w:eastAsia="ChaparralPro-Regular" w:hAnsi="Arial" w:cs="Arial"/>
          <w:color w:val="auto"/>
          <w:sz w:val="20"/>
          <w:szCs w:val="20"/>
        </w:rPr>
        <w:t xml:space="preserve">Graf č. 23 ukazuje celkové </w:t>
      </w:r>
      <w:r w:rsidRPr="00442515">
        <w:rPr>
          <w:rFonts w:ascii="Arial" w:eastAsia="ChaparralPro-Regular" w:hAnsi="Arial" w:cs="Arial"/>
          <w:b/>
          <w:color w:val="auto"/>
          <w:sz w:val="20"/>
          <w:szCs w:val="20"/>
        </w:rPr>
        <w:t>soukromé náklady a výnosy</w:t>
      </w:r>
      <w:r w:rsidRPr="00442515">
        <w:rPr>
          <w:rFonts w:ascii="Arial" w:eastAsia="ChaparralPro-Regular" w:hAnsi="Arial" w:cs="Arial"/>
          <w:color w:val="auto"/>
          <w:sz w:val="20"/>
          <w:szCs w:val="20"/>
        </w:rPr>
        <w:t xml:space="preserve">, které vzdělávání na vyšší sekundární až postsekundární neterciární a terciární úrovni znamenalo </w:t>
      </w:r>
      <w:r w:rsidRPr="00442515">
        <w:rPr>
          <w:rFonts w:ascii="Arial" w:eastAsia="ChaparralPro-Regular" w:hAnsi="Arial" w:cs="Arial"/>
          <w:b/>
          <w:color w:val="auto"/>
          <w:sz w:val="20"/>
          <w:szCs w:val="20"/>
        </w:rPr>
        <w:t>v roce 2011 pro ženu</w:t>
      </w:r>
      <w:r w:rsidRPr="00442515">
        <w:rPr>
          <w:rFonts w:ascii="Arial" w:eastAsia="ChaparralPro-Regular" w:hAnsi="Arial" w:cs="Arial"/>
          <w:color w:val="auto"/>
          <w:sz w:val="20"/>
          <w:szCs w:val="20"/>
        </w:rPr>
        <w:t>, která tohoto vzdělání dosáhla (publikace Education at a Glance se</w:t>
      </w:r>
      <w:r w:rsidR="001742DF">
        <w:rPr>
          <w:rFonts w:ascii="Arial" w:eastAsia="ChaparralPro-Regular" w:hAnsi="Arial" w:cs="Arial"/>
          <w:color w:val="auto"/>
          <w:sz w:val="20"/>
          <w:szCs w:val="20"/>
        </w:rPr>
        <w:t xml:space="preserve"> zde v grafech zaměřuje na ženy</w:t>
      </w:r>
      <w:r w:rsidRPr="00442515">
        <w:rPr>
          <w:rFonts w:ascii="Arial" w:eastAsia="ChaparralPro-Regular" w:hAnsi="Arial" w:cs="Arial"/>
          <w:color w:val="auto"/>
          <w:sz w:val="20"/>
          <w:szCs w:val="20"/>
        </w:rPr>
        <w:t>). V grafu jsou země řazeny vzestupně dle výše čistého finančního přínosu, který vyjadřuje čistou současnou hodnotu (net present value, NPV) toho, kolik peněz dosažením vyššího vzdělání po zohlednění všech nákladů a výnosů získáme, nebo naopak ztratíme, neboli přidanou hodnotu nad 2% reálným ziskem, který je těmto finančním tokům připisován (</w:t>
      </w:r>
      <w:hyperlink r:id="rId162" w:history="1">
        <w:r w:rsidR="0041197F">
          <w:rPr>
            <w:rStyle w:val="Hypertextovodkaz"/>
            <w:rFonts w:ascii="Arial" w:eastAsia="ChaparralPro-Regular" w:hAnsi="Arial" w:cs="Arial"/>
            <w:sz w:val="20"/>
            <w:szCs w:val="20"/>
          </w:rPr>
          <w:t>OECD </w:t>
        </w:r>
        <w:r w:rsidRPr="00442515">
          <w:rPr>
            <w:rStyle w:val="Hypertextovodkaz"/>
            <w:rFonts w:ascii="Arial" w:eastAsia="ChaparralPro-Regular" w:hAnsi="Arial" w:cs="Arial"/>
            <w:sz w:val="20"/>
            <w:szCs w:val="20"/>
          </w:rPr>
          <w:t>2015</w:t>
        </w:r>
      </w:hyperlink>
      <w:r w:rsidR="0041197F">
        <w:rPr>
          <w:rFonts w:ascii="Arial" w:eastAsia="ChaparralPro-Regular" w:hAnsi="Arial" w:cs="Arial"/>
          <w:color w:val="auto"/>
          <w:sz w:val="20"/>
          <w:szCs w:val="20"/>
        </w:rPr>
        <w:t>, s. </w:t>
      </w:r>
      <w:r w:rsidRPr="00442515">
        <w:rPr>
          <w:rFonts w:ascii="Arial" w:eastAsia="ChaparralPro-Regular" w:hAnsi="Arial" w:cs="Arial"/>
          <w:color w:val="auto"/>
          <w:sz w:val="20"/>
          <w:szCs w:val="20"/>
        </w:rPr>
        <w:t>138). Jak je patrné, přínos do</w:t>
      </w:r>
      <w:r w:rsidR="001B401B">
        <w:rPr>
          <w:rFonts w:ascii="Arial" w:eastAsia="ChaparralPro-Regular" w:hAnsi="Arial" w:cs="Arial"/>
          <w:color w:val="auto"/>
          <w:sz w:val="20"/>
          <w:szCs w:val="20"/>
        </w:rPr>
        <w:t>saženého vyššího sekundárního a </w:t>
      </w:r>
      <w:r w:rsidRPr="00442515">
        <w:rPr>
          <w:rFonts w:ascii="Arial" w:eastAsia="ChaparralPro-Regular" w:hAnsi="Arial" w:cs="Arial"/>
          <w:color w:val="auto"/>
          <w:sz w:val="20"/>
          <w:szCs w:val="20"/>
        </w:rPr>
        <w:t>postsekundární</w:t>
      </w:r>
      <w:r w:rsidR="00E52654">
        <w:rPr>
          <w:rFonts w:ascii="Arial" w:eastAsia="ChaparralPro-Regular" w:hAnsi="Arial" w:cs="Arial"/>
          <w:color w:val="auto"/>
          <w:sz w:val="20"/>
          <w:szCs w:val="20"/>
        </w:rPr>
        <w:t>ho neterciárního vzdělání byl u </w:t>
      </w:r>
      <w:r w:rsidRPr="00442515">
        <w:rPr>
          <w:rFonts w:ascii="Arial" w:eastAsia="ChaparralPro-Regular" w:hAnsi="Arial" w:cs="Arial"/>
          <w:color w:val="auto"/>
          <w:sz w:val="20"/>
          <w:szCs w:val="20"/>
        </w:rPr>
        <w:t>žen v ČR i v Polsku v mezinárodním kontextu podprůměrný, zatímco na Slovensku nadprůměrný. Soukromý přínos terciárního vzdělání pro ženy byl dále v ČR o něco v</w:t>
      </w:r>
      <w:r w:rsidR="00D35030">
        <w:rPr>
          <w:rFonts w:ascii="Arial" w:eastAsia="ChaparralPro-Regular" w:hAnsi="Arial" w:cs="Arial"/>
          <w:color w:val="auto"/>
          <w:sz w:val="20"/>
          <w:szCs w:val="20"/>
        </w:rPr>
        <w:t>yšší než v mezinárodním průměr</w:t>
      </w:r>
      <w:r w:rsidRPr="00442515">
        <w:rPr>
          <w:rFonts w:ascii="Arial" w:eastAsia="ChaparralPro-Regular" w:hAnsi="Arial" w:cs="Arial"/>
          <w:color w:val="auto"/>
          <w:sz w:val="20"/>
          <w:szCs w:val="20"/>
        </w:rPr>
        <w:t>u, v Polsku byl výrazně nadprůměrný a na Slovensku naopak podprůměrný. U obou skupin úrovní vzdělávání zároveň platí, že celkový soukromý přínos jejich dosažení byl pro ženy ze zemí OECD s dostupnými daty nejnižší v Korejské republice. Naopak pro ženy v USA byly celkové soukromé výnosy z dosažení uvedených úrovní vzdělání ze všech zemí nejvyšší a též celkový soukromý přínos byl nejvyšší (v případě vyššího sekundárního vzdělávání), resp. druhý nejvyšší (v případě terciárního vzdělávání).  A to navzdory tomu, že v</w:t>
      </w:r>
      <w:r w:rsidR="00FE1052">
        <w:rPr>
          <w:rFonts w:ascii="Arial" w:eastAsia="ChaparralPro-Regular" w:hAnsi="Arial" w:cs="Arial"/>
          <w:color w:val="auto"/>
          <w:sz w:val="20"/>
          <w:szCs w:val="20"/>
        </w:rPr>
        <w:t> USA je, na rozdíl od České republiky</w:t>
      </w:r>
      <w:r w:rsidR="00D35030">
        <w:rPr>
          <w:rFonts w:ascii="Arial" w:eastAsia="ChaparralPro-Regular" w:hAnsi="Arial" w:cs="Arial"/>
          <w:color w:val="auto"/>
          <w:sz w:val="20"/>
          <w:szCs w:val="20"/>
        </w:rPr>
        <w:t xml:space="preserve">, </w:t>
      </w:r>
      <w:r w:rsidR="00FE1052">
        <w:rPr>
          <w:rFonts w:ascii="Arial" w:eastAsia="ChaparralPro-Regular" w:hAnsi="Arial" w:cs="Arial"/>
          <w:color w:val="auto"/>
          <w:sz w:val="20"/>
          <w:szCs w:val="20"/>
        </w:rPr>
        <w:t>zejména na terciární úrovni vzdělávání</w:t>
      </w:r>
      <w:r w:rsidR="00FE1052" w:rsidRPr="00442515">
        <w:rPr>
          <w:rFonts w:ascii="Arial" w:eastAsia="ChaparralPro-Regular" w:hAnsi="Arial" w:cs="Arial"/>
          <w:color w:val="auto"/>
          <w:sz w:val="20"/>
          <w:szCs w:val="20"/>
        </w:rPr>
        <w:t xml:space="preserve"> </w:t>
      </w:r>
      <w:r w:rsidRPr="00442515">
        <w:rPr>
          <w:rFonts w:ascii="Arial" w:eastAsia="ChaparralPro-Regular" w:hAnsi="Arial" w:cs="Arial"/>
          <w:color w:val="auto"/>
          <w:sz w:val="20"/>
          <w:szCs w:val="20"/>
        </w:rPr>
        <w:t xml:space="preserve">běžné </w:t>
      </w:r>
      <w:r w:rsidR="00D35030">
        <w:rPr>
          <w:rFonts w:ascii="Arial" w:eastAsia="ChaparralPro-Regular" w:hAnsi="Arial" w:cs="Arial"/>
          <w:color w:val="auto"/>
          <w:sz w:val="20"/>
          <w:szCs w:val="20"/>
        </w:rPr>
        <w:t xml:space="preserve">platit </w:t>
      </w:r>
      <w:r w:rsidR="00FE1052">
        <w:rPr>
          <w:rFonts w:ascii="Arial" w:eastAsia="ChaparralPro-Regular" w:hAnsi="Arial" w:cs="Arial"/>
          <w:color w:val="auto"/>
          <w:sz w:val="20"/>
          <w:szCs w:val="20"/>
        </w:rPr>
        <w:t xml:space="preserve">poměrně vysoké </w:t>
      </w:r>
      <w:r w:rsidR="00D35030">
        <w:rPr>
          <w:rFonts w:ascii="Arial" w:eastAsia="ChaparralPro-Regular" w:hAnsi="Arial" w:cs="Arial"/>
          <w:color w:val="auto"/>
          <w:sz w:val="20"/>
          <w:szCs w:val="20"/>
        </w:rPr>
        <w:t>školné</w:t>
      </w:r>
      <w:r w:rsidRPr="00442515">
        <w:rPr>
          <w:rFonts w:ascii="Arial" w:eastAsia="ChaparralPro-Regular" w:hAnsi="Arial" w:cs="Arial"/>
          <w:color w:val="auto"/>
          <w:sz w:val="20"/>
          <w:szCs w:val="20"/>
        </w:rPr>
        <w:t>.</w:t>
      </w:r>
    </w:p>
    <w:p w:rsidR="00306953" w:rsidRDefault="00306953" w:rsidP="00E63279">
      <w:pPr>
        <w:pStyle w:val="Default"/>
        <w:keepNext/>
        <w:spacing w:after="120"/>
        <w:jc w:val="both"/>
        <w:rPr>
          <w:rFonts w:ascii="Arial" w:eastAsia="ChaparralPro-Regular" w:hAnsi="Arial" w:cs="Arial"/>
          <w:i/>
          <w:color w:val="auto"/>
          <w:sz w:val="20"/>
          <w:szCs w:val="20"/>
        </w:rPr>
      </w:pPr>
      <w:r w:rsidRPr="00442515">
        <w:rPr>
          <w:rFonts w:ascii="Arial" w:eastAsia="ChaparralPro-Regular" w:hAnsi="Arial" w:cs="Arial"/>
          <w:b/>
          <w:color w:val="auto"/>
          <w:sz w:val="20"/>
          <w:szCs w:val="20"/>
        </w:rPr>
        <w:lastRenderedPageBreak/>
        <w:t>Graf č. 23</w:t>
      </w:r>
      <w:r w:rsidRPr="00442515">
        <w:rPr>
          <w:rFonts w:ascii="Arial" w:eastAsia="ChaparralPro-Regular" w:hAnsi="Arial" w:cs="Arial"/>
          <w:color w:val="auto"/>
          <w:sz w:val="20"/>
          <w:szCs w:val="20"/>
        </w:rPr>
        <w:t xml:space="preserve"> </w:t>
      </w:r>
      <w:r w:rsidRPr="00442515">
        <w:rPr>
          <w:rFonts w:ascii="Arial" w:eastAsia="ChaparralPro-Regular" w:hAnsi="Arial" w:cs="Arial"/>
          <w:b/>
          <w:color w:val="auto"/>
          <w:sz w:val="20"/>
          <w:szCs w:val="20"/>
        </w:rPr>
        <w:t>Soukromé náklady a výnosy na/ze vzdělávání pro ženy v uvedených zemích, dle výše dosaženého vzdělání (2011)</w:t>
      </w:r>
      <w:r w:rsidR="00225B77">
        <w:rPr>
          <w:rFonts w:ascii="Arial" w:eastAsia="ChaparralPro-Regular" w:hAnsi="Arial" w:cs="Arial"/>
          <w:b/>
          <w:color w:val="auto"/>
          <w:sz w:val="20"/>
          <w:szCs w:val="20"/>
        </w:rPr>
        <w:t>,</w:t>
      </w:r>
      <w:r w:rsidRPr="00442515">
        <w:rPr>
          <w:rFonts w:ascii="Arial" w:eastAsia="ChaparralPro-Regular" w:hAnsi="Arial" w:cs="Arial"/>
          <w:color w:val="auto"/>
          <w:sz w:val="20"/>
          <w:szCs w:val="20"/>
        </w:rPr>
        <w:t xml:space="preserve"> </w:t>
      </w:r>
      <w:r w:rsidR="00225B77">
        <w:rPr>
          <w:rFonts w:ascii="Arial" w:eastAsia="ChaparralPro-Regular" w:hAnsi="Arial" w:cs="Arial"/>
          <w:i/>
          <w:color w:val="auto"/>
          <w:sz w:val="20"/>
          <w:szCs w:val="20"/>
        </w:rPr>
        <w:t>v</w:t>
      </w:r>
      <w:r w:rsidRPr="00442515">
        <w:rPr>
          <w:rFonts w:ascii="Arial" w:eastAsia="ChaparralPro-Regular" w:hAnsi="Arial" w:cs="Arial"/>
          <w:i/>
          <w:color w:val="auto"/>
          <w:sz w:val="20"/>
          <w:szCs w:val="20"/>
        </w:rPr>
        <w:t xml:space="preserve"> ekvivalentu USD po zohlednění PPP pro HDP  </w:t>
      </w:r>
    </w:p>
    <w:p w:rsidR="00306953" w:rsidRDefault="00BA5EE1" w:rsidP="0015580D">
      <w:pPr>
        <w:pStyle w:val="Default"/>
        <w:spacing w:after="120"/>
        <w:jc w:val="both"/>
        <w:rPr>
          <w:rFonts w:ascii="Arial" w:eastAsia="ChaparralPro-Regular" w:hAnsi="Arial" w:cs="Arial"/>
          <w:i/>
          <w:color w:val="auto"/>
          <w:sz w:val="20"/>
          <w:szCs w:val="20"/>
        </w:rPr>
      </w:pPr>
      <w:r w:rsidRPr="00984E22">
        <w:rPr>
          <w:rFonts w:ascii="Arial" w:eastAsia="ChaparralPro-Regular" w:hAnsi="Arial" w:cs="Arial"/>
          <w:i/>
          <w:noProof/>
          <w:color w:val="auto"/>
          <w:sz w:val="20"/>
          <w:szCs w:val="20"/>
        </w:rPr>
        <w:pict>
          <v:shape id="_x0000_i1050" type="#_x0000_t75" style="width:470.25pt;height:25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">
            <v:imagedata r:id="rId163" o:title="" croptop="-2697f" cropbottom="-3357f" cropleft="-135f" cropright="-1079f"/>
            <o:lock v:ext="edit" aspectratio="f"/>
          </v:shape>
        </w:pict>
      </w:r>
    </w:p>
    <w:p w:rsidR="005F3752" w:rsidRPr="005F3752" w:rsidRDefault="00BA5EE1" w:rsidP="005F3752">
      <w:pPr>
        <w:pStyle w:val="Default"/>
        <w:keepNext/>
        <w:spacing w:after="120"/>
        <w:jc w:val="both"/>
        <w:rPr>
          <w:rFonts w:ascii="Arial" w:eastAsia="ChaparralPro-Regular" w:hAnsi="Arial" w:cs="Arial"/>
          <w:i/>
          <w:color w:val="auto"/>
          <w:sz w:val="20"/>
          <w:szCs w:val="20"/>
        </w:rPr>
      </w:pPr>
      <w:r w:rsidRPr="00984E22">
        <w:rPr>
          <w:rFonts w:ascii="Arial" w:eastAsia="ChaparralPro-Regular" w:hAnsi="Arial" w:cs="Arial"/>
          <w:i/>
          <w:noProof/>
          <w:color w:val="auto"/>
          <w:sz w:val="20"/>
          <w:szCs w:val="20"/>
        </w:rPr>
        <w:pict>
          <v:shape id="_x0000_i1051" type="#_x0000_t75" style="width:470.25pt;height:267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">
            <v:imagedata r:id="rId164" o:title="" croptop="-2487f" cropbottom="-1179f" cropleft="-343f" cropright="-1431f"/>
            <o:lock v:ext="edit" aspectratio="f"/>
          </v:shape>
        </w:pict>
      </w:r>
    </w:p>
    <w:p w:rsidR="00306953" w:rsidRPr="00442515" w:rsidRDefault="00FE5433" w:rsidP="005F3752">
      <w:pPr>
        <w:pStyle w:val="Default"/>
        <w:spacing w:before="120"/>
        <w:jc w:val="both"/>
        <w:rPr>
          <w:rFonts w:ascii="Arial" w:eastAsia="ChaparralPro-Regular" w:hAnsi="Arial" w:cs="Arial"/>
          <w:color w:val="auto"/>
          <w:sz w:val="16"/>
          <w:szCs w:val="16"/>
        </w:rPr>
      </w:pPr>
      <w:r w:rsidRPr="00FE5433">
        <w:rPr>
          <w:rFonts w:ascii="Arial" w:eastAsia="ChaparralPro-Regular" w:hAnsi="Arial" w:cs="Arial"/>
          <w:color w:val="auto"/>
          <w:sz w:val="16"/>
          <w:szCs w:val="16"/>
        </w:rPr>
        <w:t>(</w:t>
      </w:r>
      <w:r w:rsidR="00306953" w:rsidRPr="00FE5433">
        <w:rPr>
          <w:rFonts w:ascii="Arial" w:eastAsia="ChaparralPro-Regular" w:hAnsi="Arial" w:cs="Arial"/>
          <w:color w:val="auto"/>
          <w:sz w:val="16"/>
          <w:szCs w:val="16"/>
        </w:rPr>
        <w:t>1)</w:t>
      </w:r>
      <w:r w:rsidR="008F5F4B">
        <w:rPr>
          <w:rFonts w:ascii="Arial" w:eastAsia="ChaparralPro-Regular" w:hAnsi="Arial" w:cs="Arial"/>
          <w:color w:val="auto"/>
          <w:sz w:val="16"/>
          <w:szCs w:val="16"/>
        </w:rPr>
        <w:t xml:space="preserve"> </w:t>
      </w:r>
      <w:r w:rsidR="00306953" w:rsidRPr="00442515">
        <w:rPr>
          <w:rFonts w:ascii="Arial" w:eastAsia="ChaparralPro-Regular" w:hAnsi="Arial" w:cs="Arial"/>
          <w:color w:val="auto"/>
          <w:sz w:val="16"/>
          <w:szCs w:val="16"/>
        </w:rPr>
        <w:t xml:space="preserve">Referenčním rokem u Itálie, </w:t>
      </w:r>
      <w:r w:rsidR="00D37F2F" w:rsidRPr="00442515">
        <w:rPr>
          <w:rFonts w:ascii="Arial" w:eastAsia="ChaparralPro-Regular" w:hAnsi="Arial" w:cs="Arial"/>
          <w:color w:val="auto"/>
          <w:sz w:val="16"/>
          <w:szCs w:val="16"/>
        </w:rPr>
        <w:t>Kanady</w:t>
      </w:r>
      <w:r w:rsidR="00D37F2F">
        <w:rPr>
          <w:rFonts w:ascii="Arial" w:eastAsia="ChaparralPro-Regular" w:hAnsi="Arial" w:cs="Arial"/>
          <w:color w:val="auto"/>
          <w:sz w:val="16"/>
          <w:szCs w:val="16"/>
        </w:rPr>
        <w:t>,</w:t>
      </w:r>
      <w:r w:rsidR="00D37F2F" w:rsidRPr="00442515">
        <w:rPr>
          <w:rFonts w:ascii="Arial" w:eastAsia="ChaparralPro-Regular" w:hAnsi="Arial" w:cs="Arial"/>
          <w:color w:val="auto"/>
          <w:sz w:val="16"/>
          <w:szCs w:val="16"/>
        </w:rPr>
        <w:t xml:space="preserve"> </w:t>
      </w:r>
      <w:r w:rsidR="00306953" w:rsidRPr="00442515">
        <w:rPr>
          <w:rFonts w:ascii="Arial" w:eastAsia="ChaparralPro-Regular" w:hAnsi="Arial" w:cs="Arial"/>
          <w:color w:val="auto"/>
          <w:sz w:val="16"/>
          <w:szCs w:val="16"/>
        </w:rPr>
        <w:t>Lucemburska, Nizozemska a Polska je rok 2010</w:t>
      </w:r>
    </w:p>
    <w:p w:rsidR="00306953" w:rsidRPr="00442515" w:rsidRDefault="00FE5433" w:rsidP="00442515">
      <w:pPr>
        <w:pStyle w:val="Default"/>
        <w:jc w:val="both"/>
        <w:rPr>
          <w:rFonts w:ascii="Arial" w:eastAsia="ChaparralPro-Regular" w:hAnsi="Arial" w:cs="Arial"/>
          <w:color w:val="auto"/>
          <w:sz w:val="16"/>
          <w:szCs w:val="16"/>
        </w:rPr>
      </w:pPr>
      <w:r w:rsidRPr="00FE5433">
        <w:rPr>
          <w:rFonts w:ascii="Arial" w:eastAsia="ChaparralPro-Regular" w:hAnsi="Arial" w:cs="Arial"/>
          <w:color w:val="auto"/>
          <w:sz w:val="16"/>
          <w:szCs w:val="16"/>
        </w:rPr>
        <w:t>(</w:t>
      </w:r>
      <w:r w:rsidR="00306953" w:rsidRPr="00FE5433">
        <w:rPr>
          <w:rFonts w:ascii="Arial" w:eastAsia="ChaparralPro-Regular" w:hAnsi="Arial" w:cs="Arial"/>
          <w:color w:val="auto"/>
          <w:sz w:val="16"/>
          <w:szCs w:val="16"/>
        </w:rPr>
        <w:t>2)</w:t>
      </w:r>
      <w:r w:rsidR="008F5F4B">
        <w:rPr>
          <w:rFonts w:ascii="Arial" w:eastAsia="ChaparralPro-Regular" w:hAnsi="Arial" w:cs="Arial"/>
          <w:color w:val="auto"/>
          <w:sz w:val="16"/>
          <w:szCs w:val="16"/>
        </w:rPr>
        <w:t xml:space="preserve"> </w:t>
      </w:r>
      <w:r w:rsidR="00306953" w:rsidRPr="00442515">
        <w:rPr>
          <w:rFonts w:ascii="Arial" w:eastAsia="ChaparralPro-Regular" w:hAnsi="Arial" w:cs="Arial"/>
          <w:color w:val="auto"/>
          <w:sz w:val="16"/>
          <w:szCs w:val="16"/>
        </w:rPr>
        <w:t>Referenčním rokem u Austrálie je rok 2009.</w:t>
      </w:r>
    </w:p>
    <w:p w:rsidR="00442515" w:rsidRPr="00442515" w:rsidRDefault="00442515" w:rsidP="00442515">
      <w:pPr>
        <w:pStyle w:val="Default"/>
        <w:jc w:val="both"/>
        <w:rPr>
          <w:rFonts w:ascii="Arial" w:eastAsia="ChaparralPro-Regular" w:hAnsi="Arial" w:cs="Arial"/>
          <w:color w:val="auto"/>
          <w:sz w:val="16"/>
          <w:szCs w:val="16"/>
        </w:rPr>
      </w:pPr>
      <w:r w:rsidRPr="00442515">
        <w:rPr>
          <w:rFonts w:ascii="Arial" w:eastAsia="ChaparralPro-Regular" w:hAnsi="Arial" w:cs="Arial"/>
          <w:color w:val="auto"/>
          <w:sz w:val="16"/>
          <w:szCs w:val="16"/>
        </w:rPr>
        <w:t>Země jsou řazeny vzestupně dle výše celkového čistého soukromého přínosu</w:t>
      </w:r>
    </w:p>
    <w:p w:rsidR="00306953" w:rsidRPr="00442515" w:rsidRDefault="00306953" w:rsidP="00442515">
      <w:pPr>
        <w:pStyle w:val="Default"/>
        <w:spacing w:after="120"/>
        <w:jc w:val="both"/>
        <w:rPr>
          <w:rFonts w:ascii="Arial" w:eastAsia="ChaparralPro-Regular" w:hAnsi="Arial" w:cs="Arial"/>
          <w:color w:val="auto"/>
          <w:sz w:val="16"/>
          <w:szCs w:val="16"/>
        </w:rPr>
      </w:pPr>
      <w:r w:rsidRPr="00442515">
        <w:rPr>
          <w:rFonts w:ascii="Arial" w:eastAsia="ChaparralPro-Regular" w:hAnsi="Arial" w:cs="Arial"/>
          <w:color w:val="auto"/>
          <w:sz w:val="16"/>
          <w:szCs w:val="16"/>
        </w:rPr>
        <w:t xml:space="preserve">Zdroj: A 7.2, OECD 2015. StatLink: </w:t>
      </w:r>
      <w:hyperlink r:id="rId165" w:history="1">
        <w:r w:rsidRPr="00442515">
          <w:rPr>
            <w:rStyle w:val="Hypertextovodkaz"/>
            <w:rFonts w:ascii="Arial" w:hAnsi="Arial" w:cs="Arial"/>
            <w:sz w:val="16"/>
            <w:szCs w:val="16"/>
          </w:rPr>
          <w:t>http://dx.doi.org/10.1787/888933283733</w:t>
        </w:r>
      </w:hyperlink>
      <w:r w:rsidRPr="00442515">
        <w:rPr>
          <w:rFonts w:ascii="Arial" w:eastAsia="ChaparralPro-Regular" w:hAnsi="Arial" w:cs="Arial"/>
          <w:color w:val="auto"/>
          <w:sz w:val="16"/>
          <w:szCs w:val="16"/>
        </w:rPr>
        <w:t xml:space="preserve"> </w:t>
      </w:r>
    </w:p>
    <w:p w:rsidR="00306953" w:rsidRPr="00EF1584" w:rsidRDefault="00306953" w:rsidP="00306953">
      <w:pPr>
        <w:pStyle w:val="Default"/>
        <w:spacing w:after="120"/>
        <w:jc w:val="both"/>
        <w:rPr>
          <w:rFonts w:ascii="Arial" w:eastAsia="ChaparralPro-Regular" w:hAnsi="Arial" w:cs="Arial"/>
          <w:color w:val="auto"/>
          <w:sz w:val="20"/>
          <w:szCs w:val="20"/>
        </w:rPr>
      </w:pPr>
      <w:r w:rsidRPr="00EF1584">
        <w:rPr>
          <w:rFonts w:ascii="Arial" w:eastAsia="ChaparralPro-Regular" w:hAnsi="Arial" w:cs="Arial"/>
          <w:color w:val="auto"/>
          <w:sz w:val="20"/>
          <w:szCs w:val="20"/>
        </w:rPr>
        <w:t xml:space="preserve">V tabulce </w:t>
      </w:r>
      <w:r w:rsidR="00E52654">
        <w:rPr>
          <w:rFonts w:ascii="Arial" w:eastAsia="ChaparralPro-Regular" w:hAnsi="Arial" w:cs="Arial"/>
          <w:color w:val="auto"/>
          <w:sz w:val="20"/>
          <w:szCs w:val="20"/>
        </w:rPr>
        <w:t xml:space="preserve">č. 37 </w:t>
      </w:r>
      <w:r w:rsidRPr="00EF1584">
        <w:rPr>
          <w:rFonts w:ascii="Arial" w:eastAsia="ChaparralPro-Regular" w:hAnsi="Arial" w:cs="Arial"/>
          <w:color w:val="auto"/>
          <w:sz w:val="20"/>
          <w:szCs w:val="20"/>
        </w:rPr>
        <w:t>níže jsou soukromé náklady a výnosy v roce 2011 v dělení na muže a ženy za ČR, Slovensko, Polsko a mezinárodní průměry:</w:t>
      </w:r>
    </w:p>
    <w:p w:rsidR="00306953" w:rsidRPr="00EF1584" w:rsidRDefault="00306953" w:rsidP="00EF1584">
      <w:pPr>
        <w:pStyle w:val="Default"/>
        <w:keepNext/>
        <w:spacing w:after="120"/>
        <w:jc w:val="both"/>
        <w:rPr>
          <w:rFonts w:ascii="Arial" w:eastAsia="ChaparralPro-Regular" w:hAnsi="Arial" w:cs="Arial"/>
          <w:b/>
          <w:color w:val="auto"/>
          <w:sz w:val="20"/>
          <w:szCs w:val="20"/>
        </w:rPr>
      </w:pPr>
      <w:r w:rsidRPr="00EF1584">
        <w:rPr>
          <w:rFonts w:ascii="Arial" w:eastAsia="ChaparralPro-Regular" w:hAnsi="Arial" w:cs="Arial"/>
          <w:b/>
          <w:color w:val="auto"/>
          <w:sz w:val="20"/>
          <w:szCs w:val="20"/>
        </w:rPr>
        <w:lastRenderedPageBreak/>
        <w:t>Tabulka č. 37 Soukromé náklady na vzdělávání a výnosy ze vzdělávání (2011)</w:t>
      </w:r>
    </w:p>
    <w:tbl>
      <w:tblPr>
        <w:tblW w:w="8804" w:type="dxa"/>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1008"/>
        <w:gridCol w:w="422"/>
        <w:gridCol w:w="1490"/>
        <w:gridCol w:w="1490"/>
        <w:gridCol w:w="1418"/>
        <w:gridCol w:w="1559"/>
        <w:gridCol w:w="1417"/>
      </w:tblGrid>
      <w:tr w:rsidR="00306953" w:rsidRPr="00EF1584" w:rsidTr="000C6FC8">
        <w:trPr>
          <w:trHeight w:val="300"/>
        </w:trPr>
        <w:tc>
          <w:tcPr>
            <w:tcW w:w="2920" w:type="dxa"/>
            <w:gridSpan w:val="3"/>
            <w:vMerge w:val="restart"/>
            <w:tcBorders>
              <w:top w:val="double" w:sz="4" w:space="0" w:color="auto"/>
              <w:bottom w:val="double" w:sz="4" w:space="0" w:color="auto"/>
            </w:tcBorders>
            <w:shd w:val="clear" w:color="auto" w:fill="FFCCCC"/>
            <w:noWrap/>
            <w:vAlign w:val="bottom"/>
            <w:hideMark/>
          </w:tcPr>
          <w:p w:rsidR="00306953" w:rsidRPr="00EF1584" w:rsidRDefault="00306953" w:rsidP="00306953">
            <w:pPr>
              <w:keepNext/>
              <w:spacing w:after="0" w:line="240" w:lineRule="auto"/>
              <w:jc w:val="center"/>
              <w:rPr>
                <w:rFonts w:cs="Arial"/>
                <w:color w:val="000000"/>
                <w:sz w:val="16"/>
                <w:szCs w:val="16"/>
              </w:rPr>
            </w:pPr>
          </w:p>
        </w:tc>
        <w:tc>
          <w:tcPr>
            <w:tcW w:w="1490" w:type="dxa"/>
            <w:vMerge w:val="restart"/>
            <w:tcBorders>
              <w:top w:val="double" w:sz="4" w:space="0" w:color="auto"/>
              <w:bottom w:val="double" w:sz="4" w:space="0" w:color="auto"/>
            </w:tcBorders>
            <w:shd w:val="clear" w:color="auto" w:fill="FFCCCC"/>
            <w:vAlign w:val="center"/>
            <w:hideMark/>
          </w:tcPr>
          <w:p w:rsidR="00306953" w:rsidRPr="00EF1584" w:rsidRDefault="00C45099" w:rsidP="004C55CD">
            <w:pPr>
              <w:keepNext/>
              <w:spacing w:after="0" w:line="240" w:lineRule="auto"/>
              <w:jc w:val="center"/>
              <w:rPr>
                <w:rFonts w:cs="Arial"/>
                <w:b/>
                <w:bCs/>
                <w:sz w:val="16"/>
                <w:szCs w:val="16"/>
              </w:rPr>
            </w:pPr>
            <w:r>
              <w:rPr>
                <w:rFonts w:cs="Arial"/>
                <w:b/>
                <w:bCs/>
                <w:sz w:val="16"/>
                <w:szCs w:val="16"/>
              </w:rPr>
              <w:t>c</w:t>
            </w:r>
            <w:r w:rsidR="00306953" w:rsidRPr="00EF1584">
              <w:rPr>
                <w:rFonts w:cs="Arial"/>
                <w:b/>
                <w:bCs/>
                <w:sz w:val="16"/>
                <w:szCs w:val="16"/>
              </w:rPr>
              <w:t>elkové náklady</w:t>
            </w:r>
          </w:p>
        </w:tc>
        <w:tc>
          <w:tcPr>
            <w:tcW w:w="1418" w:type="dxa"/>
            <w:vMerge w:val="restart"/>
            <w:tcBorders>
              <w:top w:val="double" w:sz="4" w:space="0" w:color="auto"/>
              <w:bottom w:val="double" w:sz="4" w:space="0" w:color="auto"/>
            </w:tcBorders>
            <w:shd w:val="clear" w:color="auto" w:fill="FFCCCC"/>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celkové výnosy</w:t>
            </w:r>
          </w:p>
        </w:tc>
        <w:tc>
          <w:tcPr>
            <w:tcW w:w="1559" w:type="dxa"/>
            <w:vMerge w:val="restart"/>
            <w:tcBorders>
              <w:top w:val="double" w:sz="4" w:space="0" w:color="auto"/>
              <w:bottom w:val="double" w:sz="4" w:space="0" w:color="auto"/>
            </w:tcBorders>
            <w:shd w:val="clear" w:color="auto" w:fill="FFCCCC"/>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čistý finanční přínos</w:t>
            </w:r>
          </w:p>
        </w:tc>
        <w:tc>
          <w:tcPr>
            <w:tcW w:w="1417" w:type="dxa"/>
            <w:vMerge w:val="restart"/>
            <w:tcBorders>
              <w:top w:val="double" w:sz="4" w:space="0" w:color="auto"/>
              <w:bottom w:val="double" w:sz="4" w:space="0" w:color="auto"/>
            </w:tcBorders>
            <w:shd w:val="clear" w:color="auto" w:fill="FFCCCC"/>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vnitřní výnosové procento</w:t>
            </w:r>
          </w:p>
        </w:tc>
      </w:tr>
      <w:tr w:rsidR="00306953" w:rsidRPr="00EF1584" w:rsidTr="000C6FC8">
        <w:trPr>
          <w:trHeight w:val="300"/>
        </w:trPr>
        <w:tc>
          <w:tcPr>
            <w:tcW w:w="2920" w:type="dxa"/>
            <w:gridSpan w:val="3"/>
            <w:vMerge/>
            <w:tcBorders>
              <w:top w:val="single" w:sz="4" w:space="0" w:color="auto"/>
              <w:bottom w:val="double" w:sz="4" w:space="0" w:color="auto"/>
            </w:tcBorders>
            <w:shd w:val="clear" w:color="auto" w:fill="FFCCCC"/>
            <w:vAlign w:val="center"/>
            <w:hideMark/>
          </w:tcPr>
          <w:p w:rsidR="00306953" w:rsidRPr="00EF1584" w:rsidRDefault="00306953" w:rsidP="00306953">
            <w:pPr>
              <w:keepNext/>
              <w:spacing w:after="0" w:line="240" w:lineRule="auto"/>
              <w:jc w:val="center"/>
              <w:rPr>
                <w:rFonts w:cs="Arial"/>
                <w:color w:val="000000"/>
                <w:sz w:val="16"/>
                <w:szCs w:val="16"/>
              </w:rPr>
            </w:pPr>
          </w:p>
        </w:tc>
        <w:tc>
          <w:tcPr>
            <w:tcW w:w="1490" w:type="dxa"/>
            <w:vMerge/>
            <w:tcBorders>
              <w:top w:val="single" w:sz="4" w:space="0" w:color="auto"/>
              <w:bottom w:val="double" w:sz="4" w:space="0" w:color="auto"/>
            </w:tcBorders>
            <w:shd w:val="clear" w:color="auto" w:fill="FFCCCC"/>
            <w:vAlign w:val="center"/>
            <w:hideMark/>
          </w:tcPr>
          <w:p w:rsidR="00306953" w:rsidRPr="00EF1584" w:rsidRDefault="00306953" w:rsidP="004C55CD">
            <w:pPr>
              <w:keepNext/>
              <w:spacing w:after="0" w:line="240" w:lineRule="auto"/>
              <w:jc w:val="center"/>
              <w:rPr>
                <w:rFonts w:cs="Arial"/>
                <w:b/>
                <w:bCs/>
                <w:sz w:val="16"/>
                <w:szCs w:val="16"/>
              </w:rPr>
            </w:pPr>
          </w:p>
        </w:tc>
        <w:tc>
          <w:tcPr>
            <w:tcW w:w="1418" w:type="dxa"/>
            <w:vMerge/>
            <w:tcBorders>
              <w:top w:val="single" w:sz="4" w:space="0" w:color="auto"/>
              <w:bottom w:val="double" w:sz="4" w:space="0" w:color="auto"/>
            </w:tcBorders>
            <w:shd w:val="clear" w:color="auto" w:fill="FFCCCC"/>
            <w:vAlign w:val="center"/>
            <w:hideMark/>
          </w:tcPr>
          <w:p w:rsidR="00306953" w:rsidRPr="00EF1584" w:rsidRDefault="00306953" w:rsidP="004C55CD">
            <w:pPr>
              <w:keepNext/>
              <w:spacing w:after="0" w:line="240" w:lineRule="auto"/>
              <w:jc w:val="center"/>
              <w:rPr>
                <w:rFonts w:cs="Arial"/>
                <w:b/>
                <w:bCs/>
                <w:sz w:val="16"/>
                <w:szCs w:val="16"/>
              </w:rPr>
            </w:pPr>
          </w:p>
        </w:tc>
        <w:tc>
          <w:tcPr>
            <w:tcW w:w="1559" w:type="dxa"/>
            <w:vMerge/>
            <w:tcBorders>
              <w:top w:val="single" w:sz="4" w:space="0" w:color="auto"/>
              <w:bottom w:val="double" w:sz="4" w:space="0" w:color="auto"/>
            </w:tcBorders>
            <w:shd w:val="clear" w:color="auto" w:fill="FFCCCC"/>
            <w:vAlign w:val="center"/>
            <w:hideMark/>
          </w:tcPr>
          <w:p w:rsidR="00306953" w:rsidRPr="00EF1584" w:rsidRDefault="00306953" w:rsidP="004C55CD">
            <w:pPr>
              <w:keepNext/>
              <w:spacing w:after="0" w:line="240" w:lineRule="auto"/>
              <w:jc w:val="center"/>
              <w:rPr>
                <w:rFonts w:cs="Arial"/>
                <w:b/>
                <w:bCs/>
                <w:sz w:val="16"/>
                <w:szCs w:val="16"/>
              </w:rPr>
            </w:pPr>
          </w:p>
        </w:tc>
        <w:tc>
          <w:tcPr>
            <w:tcW w:w="1417" w:type="dxa"/>
            <w:vMerge/>
            <w:tcBorders>
              <w:top w:val="single" w:sz="4" w:space="0" w:color="auto"/>
              <w:bottom w:val="double" w:sz="4" w:space="0" w:color="auto"/>
            </w:tcBorders>
            <w:shd w:val="clear" w:color="auto" w:fill="FFCCCC"/>
            <w:vAlign w:val="center"/>
            <w:hideMark/>
          </w:tcPr>
          <w:p w:rsidR="00306953" w:rsidRPr="00EF1584" w:rsidRDefault="00306953" w:rsidP="004C55CD">
            <w:pPr>
              <w:keepNext/>
              <w:spacing w:after="0" w:line="240" w:lineRule="auto"/>
              <w:jc w:val="center"/>
              <w:rPr>
                <w:rFonts w:cs="Arial"/>
                <w:b/>
                <w:bCs/>
                <w:sz w:val="16"/>
                <w:szCs w:val="16"/>
              </w:rPr>
            </w:pPr>
          </w:p>
        </w:tc>
      </w:tr>
      <w:tr w:rsidR="00306953" w:rsidRPr="00EF1584" w:rsidTr="000C6FC8">
        <w:trPr>
          <w:trHeight w:val="300"/>
        </w:trPr>
        <w:tc>
          <w:tcPr>
            <w:tcW w:w="1008" w:type="dxa"/>
            <w:vMerge w:val="restart"/>
            <w:tcBorders>
              <w:top w:val="double" w:sz="4" w:space="0" w:color="auto"/>
            </w:tcBorders>
            <w:shd w:val="clear" w:color="auto" w:fill="auto"/>
            <w:noWrap/>
            <w:textDirection w:val="btLr"/>
            <w:vAlign w:val="center"/>
            <w:hideMark/>
          </w:tcPr>
          <w:p w:rsidR="004C55CD" w:rsidRPr="004C55CD" w:rsidRDefault="00306953" w:rsidP="004C55CD">
            <w:pPr>
              <w:keepNext/>
              <w:spacing w:after="0" w:line="240" w:lineRule="auto"/>
              <w:jc w:val="center"/>
              <w:rPr>
                <w:rFonts w:cs="Arial"/>
                <w:color w:val="000000"/>
                <w:sz w:val="16"/>
                <w:szCs w:val="16"/>
              </w:rPr>
            </w:pPr>
            <w:r w:rsidRPr="004C55CD">
              <w:rPr>
                <w:rFonts w:cs="Arial"/>
                <w:color w:val="000000"/>
                <w:sz w:val="16"/>
                <w:szCs w:val="16"/>
              </w:rPr>
              <w:t xml:space="preserve">vyšší sekundární až postsekundární </w:t>
            </w:r>
          </w:p>
          <w:p w:rsidR="00306953" w:rsidRPr="004C55CD" w:rsidRDefault="004C55CD" w:rsidP="004C55CD">
            <w:pPr>
              <w:keepNext/>
              <w:spacing w:after="0" w:line="240" w:lineRule="auto"/>
              <w:jc w:val="center"/>
              <w:rPr>
                <w:rFonts w:cs="Arial"/>
                <w:color w:val="000000"/>
                <w:sz w:val="16"/>
                <w:szCs w:val="16"/>
              </w:rPr>
            </w:pPr>
            <w:r w:rsidRPr="004C55CD">
              <w:rPr>
                <w:rFonts w:cs="Arial"/>
                <w:color w:val="000000"/>
                <w:sz w:val="16"/>
                <w:szCs w:val="16"/>
              </w:rPr>
              <w:t xml:space="preserve">neterciární </w:t>
            </w:r>
            <w:r w:rsidR="00306953" w:rsidRPr="004C55CD">
              <w:rPr>
                <w:rFonts w:cs="Arial"/>
                <w:color w:val="000000"/>
                <w:sz w:val="16"/>
                <w:szCs w:val="16"/>
              </w:rPr>
              <w:t>vzdělávání</w:t>
            </w:r>
          </w:p>
        </w:tc>
        <w:tc>
          <w:tcPr>
            <w:tcW w:w="422" w:type="dxa"/>
            <w:vMerge w:val="restart"/>
            <w:tcBorders>
              <w:top w:val="double" w:sz="4" w:space="0" w:color="auto"/>
            </w:tcBorders>
            <w:shd w:val="clear" w:color="auto" w:fill="auto"/>
            <w:noWrap/>
            <w:textDirection w:val="btLr"/>
            <w:vAlign w:val="center"/>
            <w:hideMark/>
          </w:tcPr>
          <w:p w:rsidR="00306953" w:rsidRPr="004C55CD" w:rsidRDefault="00C45099" w:rsidP="00306953">
            <w:pPr>
              <w:keepNext/>
              <w:spacing w:after="0" w:line="240" w:lineRule="auto"/>
              <w:jc w:val="center"/>
              <w:rPr>
                <w:rFonts w:cs="Arial"/>
                <w:color w:val="000000"/>
                <w:sz w:val="16"/>
                <w:szCs w:val="16"/>
              </w:rPr>
            </w:pPr>
            <w:r w:rsidRPr="004C55CD">
              <w:rPr>
                <w:rFonts w:cs="Arial"/>
                <w:color w:val="000000"/>
                <w:sz w:val="16"/>
                <w:szCs w:val="16"/>
              </w:rPr>
              <w:t>m</w:t>
            </w:r>
            <w:r w:rsidR="00306953" w:rsidRPr="004C55CD">
              <w:rPr>
                <w:rFonts w:cs="Arial"/>
                <w:color w:val="000000"/>
                <w:sz w:val="16"/>
                <w:szCs w:val="16"/>
              </w:rPr>
              <w:t>uži</w:t>
            </w:r>
          </w:p>
        </w:tc>
        <w:tc>
          <w:tcPr>
            <w:tcW w:w="1490" w:type="dxa"/>
            <w:tcBorders>
              <w:top w:val="double" w:sz="4" w:space="0" w:color="auto"/>
            </w:tcBorders>
            <w:shd w:val="clear" w:color="auto" w:fill="auto"/>
            <w:noWrap/>
            <w:vAlign w:val="center"/>
            <w:hideMark/>
          </w:tcPr>
          <w:p w:rsidR="00306953" w:rsidRPr="00EF1584" w:rsidRDefault="00306953" w:rsidP="004C55CD">
            <w:pPr>
              <w:keepNext/>
              <w:spacing w:after="0" w:line="240" w:lineRule="auto"/>
              <w:rPr>
                <w:rFonts w:cs="Arial"/>
                <w:sz w:val="16"/>
                <w:szCs w:val="16"/>
              </w:rPr>
            </w:pPr>
            <w:r w:rsidRPr="00EF1584">
              <w:rPr>
                <w:rFonts w:cs="Arial"/>
                <w:sz w:val="16"/>
                <w:szCs w:val="16"/>
              </w:rPr>
              <w:t>Česká republika</w:t>
            </w:r>
          </w:p>
        </w:tc>
        <w:tc>
          <w:tcPr>
            <w:tcW w:w="1490" w:type="dxa"/>
            <w:tcBorders>
              <w:top w:val="double" w:sz="4" w:space="0" w:color="auto"/>
            </w:tcBorders>
            <w:shd w:val="clear" w:color="auto" w:fill="auto"/>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- 20 400</w:t>
            </w:r>
          </w:p>
        </w:tc>
        <w:tc>
          <w:tcPr>
            <w:tcW w:w="1418" w:type="dxa"/>
            <w:tcBorders>
              <w:top w:val="double" w:sz="4" w:space="0" w:color="auto"/>
            </w:tcBorders>
            <w:shd w:val="clear" w:color="auto" w:fill="auto"/>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97 500</w:t>
            </w:r>
          </w:p>
        </w:tc>
        <w:tc>
          <w:tcPr>
            <w:tcW w:w="1559" w:type="dxa"/>
            <w:tcBorders>
              <w:top w:val="double" w:sz="4" w:space="0" w:color="auto"/>
            </w:tcBorders>
            <w:shd w:val="clear" w:color="auto" w:fill="auto"/>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77 100</w:t>
            </w:r>
          </w:p>
        </w:tc>
        <w:tc>
          <w:tcPr>
            <w:tcW w:w="1417" w:type="dxa"/>
            <w:tcBorders>
              <w:top w:val="double" w:sz="4" w:space="0" w:color="auto"/>
            </w:tcBorders>
            <w:shd w:val="clear" w:color="auto" w:fill="auto"/>
            <w:noWrap/>
            <w:vAlign w:val="center"/>
            <w:hideMark/>
          </w:tcPr>
          <w:p w:rsidR="00306953" w:rsidRPr="00EF1584" w:rsidRDefault="00306953" w:rsidP="004C55CD">
            <w:pPr>
              <w:keepNext/>
              <w:spacing w:after="0" w:line="240" w:lineRule="auto"/>
              <w:jc w:val="center"/>
              <w:rPr>
                <w:rFonts w:cs="Arial"/>
                <w:sz w:val="16"/>
                <w:szCs w:val="16"/>
              </w:rPr>
            </w:pPr>
            <w:r w:rsidRPr="00EF1584">
              <w:rPr>
                <w:rFonts w:cs="Arial"/>
                <w:sz w:val="16"/>
                <w:szCs w:val="16"/>
              </w:rPr>
              <w:t>16,7%</w:t>
            </w:r>
          </w:p>
        </w:tc>
      </w:tr>
      <w:tr w:rsidR="00306953" w:rsidRPr="00EF1584" w:rsidTr="000C6FC8">
        <w:trPr>
          <w:trHeight w:val="300"/>
        </w:trPr>
        <w:tc>
          <w:tcPr>
            <w:tcW w:w="1008" w:type="dxa"/>
            <w:vMerge/>
            <w:vAlign w:val="center"/>
            <w:hideMark/>
          </w:tcPr>
          <w:p w:rsidR="00306953" w:rsidRPr="004C55CD" w:rsidRDefault="00306953" w:rsidP="004C55CD">
            <w:pPr>
              <w:keepNext/>
              <w:spacing w:after="0" w:line="240" w:lineRule="auto"/>
              <w:jc w:val="center"/>
              <w:rPr>
                <w:rFonts w:cs="Arial"/>
                <w:color w:val="000000"/>
                <w:sz w:val="16"/>
                <w:szCs w:val="16"/>
              </w:rPr>
            </w:pPr>
          </w:p>
        </w:tc>
        <w:tc>
          <w:tcPr>
            <w:tcW w:w="422" w:type="dxa"/>
            <w:vMerge/>
            <w:vAlign w:val="center"/>
            <w:hideMark/>
          </w:tcPr>
          <w:p w:rsidR="00306953" w:rsidRPr="004C55CD" w:rsidRDefault="00306953" w:rsidP="00306953">
            <w:pPr>
              <w:keepNext/>
              <w:spacing w:after="0" w:line="240" w:lineRule="auto"/>
              <w:jc w:val="center"/>
              <w:rPr>
                <w:rFonts w:cs="Arial"/>
                <w:color w:val="000000"/>
                <w:sz w:val="16"/>
                <w:szCs w:val="16"/>
              </w:rPr>
            </w:pPr>
          </w:p>
        </w:tc>
        <w:tc>
          <w:tcPr>
            <w:tcW w:w="1490" w:type="dxa"/>
            <w:shd w:val="clear" w:color="auto" w:fill="auto"/>
            <w:noWrap/>
            <w:vAlign w:val="center"/>
            <w:hideMark/>
          </w:tcPr>
          <w:p w:rsidR="00306953" w:rsidRPr="00EF1584" w:rsidRDefault="00306953" w:rsidP="004C55CD">
            <w:pPr>
              <w:keepNext/>
              <w:spacing w:after="0" w:line="240" w:lineRule="auto"/>
              <w:rPr>
                <w:rFonts w:cs="Arial"/>
                <w:sz w:val="16"/>
                <w:szCs w:val="16"/>
              </w:rPr>
            </w:pPr>
            <w:r w:rsidRPr="00EF1584">
              <w:rPr>
                <w:rFonts w:cs="Arial"/>
                <w:sz w:val="16"/>
                <w:szCs w:val="16"/>
              </w:rPr>
              <w:t>Polsko (rok 2010)</w:t>
            </w:r>
          </w:p>
        </w:tc>
        <w:tc>
          <w:tcPr>
            <w:tcW w:w="1490" w:type="dxa"/>
            <w:shd w:val="clear" w:color="auto" w:fill="auto"/>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- 20 400</w:t>
            </w:r>
          </w:p>
        </w:tc>
        <w:tc>
          <w:tcPr>
            <w:tcW w:w="1418" w:type="dxa"/>
            <w:shd w:val="clear" w:color="auto" w:fill="auto"/>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59 700</w:t>
            </w:r>
          </w:p>
        </w:tc>
        <w:tc>
          <w:tcPr>
            <w:tcW w:w="1559" w:type="dxa"/>
            <w:shd w:val="clear" w:color="auto" w:fill="auto"/>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39 300</w:t>
            </w:r>
          </w:p>
        </w:tc>
        <w:tc>
          <w:tcPr>
            <w:tcW w:w="1417" w:type="dxa"/>
            <w:shd w:val="clear" w:color="auto" w:fill="auto"/>
            <w:noWrap/>
            <w:vAlign w:val="center"/>
            <w:hideMark/>
          </w:tcPr>
          <w:p w:rsidR="00306953" w:rsidRPr="00EF1584" w:rsidRDefault="00306953" w:rsidP="004C55CD">
            <w:pPr>
              <w:keepNext/>
              <w:spacing w:after="0" w:line="240" w:lineRule="auto"/>
              <w:jc w:val="center"/>
              <w:rPr>
                <w:rFonts w:cs="Arial"/>
                <w:sz w:val="16"/>
                <w:szCs w:val="16"/>
              </w:rPr>
            </w:pPr>
            <w:r w:rsidRPr="00EF1584">
              <w:rPr>
                <w:rFonts w:cs="Arial"/>
                <w:sz w:val="16"/>
                <w:szCs w:val="16"/>
              </w:rPr>
              <w:t>10,1%</w:t>
            </w:r>
          </w:p>
        </w:tc>
      </w:tr>
      <w:tr w:rsidR="00306953" w:rsidRPr="00EF1584" w:rsidTr="000C6FC8">
        <w:trPr>
          <w:trHeight w:val="300"/>
        </w:trPr>
        <w:tc>
          <w:tcPr>
            <w:tcW w:w="1008" w:type="dxa"/>
            <w:vMerge/>
            <w:vAlign w:val="center"/>
            <w:hideMark/>
          </w:tcPr>
          <w:p w:rsidR="00306953" w:rsidRPr="004C55CD" w:rsidRDefault="00306953" w:rsidP="004C55CD">
            <w:pPr>
              <w:keepNext/>
              <w:spacing w:after="0" w:line="240" w:lineRule="auto"/>
              <w:jc w:val="center"/>
              <w:rPr>
                <w:rFonts w:cs="Arial"/>
                <w:color w:val="000000"/>
                <w:sz w:val="16"/>
                <w:szCs w:val="16"/>
              </w:rPr>
            </w:pPr>
          </w:p>
        </w:tc>
        <w:tc>
          <w:tcPr>
            <w:tcW w:w="422" w:type="dxa"/>
            <w:vMerge/>
            <w:vAlign w:val="center"/>
            <w:hideMark/>
          </w:tcPr>
          <w:p w:rsidR="00306953" w:rsidRPr="004C55CD" w:rsidRDefault="00306953" w:rsidP="00306953">
            <w:pPr>
              <w:keepNext/>
              <w:spacing w:after="0" w:line="240" w:lineRule="auto"/>
              <w:jc w:val="center"/>
              <w:rPr>
                <w:rFonts w:cs="Arial"/>
                <w:color w:val="000000"/>
                <w:sz w:val="16"/>
                <w:szCs w:val="16"/>
              </w:rPr>
            </w:pPr>
          </w:p>
        </w:tc>
        <w:tc>
          <w:tcPr>
            <w:tcW w:w="1490" w:type="dxa"/>
            <w:shd w:val="clear" w:color="auto" w:fill="auto"/>
            <w:noWrap/>
            <w:vAlign w:val="center"/>
            <w:hideMark/>
          </w:tcPr>
          <w:p w:rsidR="00306953" w:rsidRPr="00EF1584" w:rsidRDefault="00306953" w:rsidP="004C55CD">
            <w:pPr>
              <w:keepNext/>
              <w:spacing w:after="0" w:line="240" w:lineRule="auto"/>
              <w:rPr>
                <w:rFonts w:cs="Arial"/>
                <w:sz w:val="16"/>
                <w:szCs w:val="16"/>
              </w:rPr>
            </w:pPr>
            <w:r w:rsidRPr="00EF1584">
              <w:rPr>
                <w:rFonts w:cs="Arial"/>
                <w:sz w:val="16"/>
                <w:szCs w:val="16"/>
              </w:rPr>
              <w:t>Slovensko</w:t>
            </w:r>
          </w:p>
        </w:tc>
        <w:tc>
          <w:tcPr>
            <w:tcW w:w="1490" w:type="dxa"/>
            <w:shd w:val="clear" w:color="auto" w:fill="auto"/>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- 19 400</w:t>
            </w:r>
          </w:p>
        </w:tc>
        <w:tc>
          <w:tcPr>
            <w:tcW w:w="1418" w:type="dxa"/>
            <w:shd w:val="clear" w:color="auto" w:fill="auto"/>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133 700</w:t>
            </w:r>
          </w:p>
        </w:tc>
        <w:tc>
          <w:tcPr>
            <w:tcW w:w="1559" w:type="dxa"/>
            <w:shd w:val="clear" w:color="auto" w:fill="auto"/>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114 300</w:t>
            </w:r>
          </w:p>
        </w:tc>
        <w:tc>
          <w:tcPr>
            <w:tcW w:w="1417" w:type="dxa"/>
            <w:shd w:val="clear" w:color="auto" w:fill="auto"/>
            <w:noWrap/>
            <w:vAlign w:val="center"/>
            <w:hideMark/>
          </w:tcPr>
          <w:p w:rsidR="00306953" w:rsidRPr="00EF1584" w:rsidRDefault="00306953" w:rsidP="004C55CD">
            <w:pPr>
              <w:keepNext/>
              <w:spacing w:after="0" w:line="240" w:lineRule="auto"/>
              <w:jc w:val="center"/>
              <w:rPr>
                <w:rFonts w:cs="Arial"/>
                <w:sz w:val="16"/>
                <w:szCs w:val="16"/>
              </w:rPr>
            </w:pPr>
            <w:r w:rsidRPr="00EF1584">
              <w:rPr>
                <w:rFonts w:cs="Arial"/>
                <w:sz w:val="16"/>
                <w:szCs w:val="16"/>
              </w:rPr>
              <w:t>27,6%</w:t>
            </w:r>
          </w:p>
        </w:tc>
      </w:tr>
      <w:tr w:rsidR="00306953" w:rsidRPr="00EF1584" w:rsidTr="000C6FC8">
        <w:trPr>
          <w:trHeight w:val="300"/>
        </w:trPr>
        <w:tc>
          <w:tcPr>
            <w:tcW w:w="1008" w:type="dxa"/>
            <w:vMerge/>
            <w:vAlign w:val="center"/>
            <w:hideMark/>
          </w:tcPr>
          <w:p w:rsidR="00306953" w:rsidRPr="004C55CD" w:rsidRDefault="00306953" w:rsidP="004C55CD">
            <w:pPr>
              <w:keepNext/>
              <w:spacing w:after="0" w:line="240" w:lineRule="auto"/>
              <w:jc w:val="center"/>
              <w:rPr>
                <w:rFonts w:cs="Arial"/>
                <w:color w:val="000000"/>
                <w:sz w:val="16"/>
                <w:szCs w:val="16"/>
              </w:rPr>
            </w:pPr>
          </w:p>
        </w:tc>
        <w:tc>
          <w:tcPr>
            <w:tcW w:w="422" w:type="dxa"/>
            <w:vMerge/>
            <w:vAlign w:val="center"/>
            <w:hideMark/>
          </w:tcPr>
          <w:p w:rsidR="00306953" w:rsidRPr="004C55CD" w:rsidRDefault="00306953" w:rsidP="00306953">
            <w:pPr>
              <w:keepNext/>
              <w:spacing w:after="0" w:line="240" w:lineRule="auto"/>
              <w:jc w:val="center"/>
              <w:rPr>
                <w:rFonts w:cs="Arial"/>
                <w:color w:val="000000"/>
                <w:sz w:val="16"/>
                <w:szCs w:val="16"/>
              </w:rPr>
            </w:pPr>
          </w:p>
        </w:tc>
        <w:tc>
          <w:tcPr>
            <w:tcW w:w="1490" w:type="dxa"/>
            <w:shd w:val="clear" w:color="auto" w:fill="C6D9F1" w:themeFill="text2" w:themeFillTint="33"/>
            <w:noWrap/>
            <w:vAlign w:val="center"/>
            <w:hideMark/>
          </w:tcPr>
          <w:p w:rsidR="00306953" w:rsidRPr="00631582" w:rsidRDefault="007E5BD0" w:rsidP="004C55CD">
            <w:pPr>
              <w:keepNext/>
              <w:spacing w:after="0" w:line="240" w:lineRule="auto"/>
              <w:rPr>
                <w:rFonts w:cs="Arial"/>
                <w:bCs/>
                <w:sz w:val="16"/>
                <w:szCs w:val="16"/>
              </w:rPr>
            </w:pPr>
            <w:r w:rsidRPr="00631582">
              <w:rPr>
                <w:rFonts w:cs="Arial"/>
                <w:bCs/>
                <w:sz w:val="16"/>
                <w:szCs w:val="16"/>
              </w:rPr>
              <w:t>p</w:t>
            </w:r>
            <w:r w:rsidR="00306953" w:rsidRPr="00631582">
              <w:rPr>
                <w:rFonts w:cs="Arial"/>
                <w:bCs/>
                <w:sz w:val="16"/>
                <w:szCs w:val="16"/>
              </w:rPr>
              <w:t>růměr OECD</w:t>
            </w:r>
          </w:p>
        </w:tc>
        <w:tc>
          <w:tcPr>
            <w:tcW w:w="1490" w:type="dxa"/>
            <w:shd w:val="clear" w:color="auto" w:fill="C6D9F1" w:themeFill="text2" w:themeFillTint="33"/>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- 31 100</w:t>
            </w:r>
          </w:p>
        </w:tc>
        <w:tc>
          <w:tcPr>
            <w:tcW w:w="1418" w:type="dxa"/>
            <w:shd w:val="clear" w:color="auto" w:fill="C6D9F1" w:themeFill="text2" w:themeFillTint="33"/>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138 900</w:t>
            </w:r>
          </w:p>
        </w:tc>
        <w:tc>
          <w:tcPr>
            <w:tcW w:w="1559" w:type="dxa"/>
            <w:shd w:val="clear" w:color="auto" w:fill="C6D9F1" w:themeFill="text2" w:themeFillTint="33"/>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107 100</w:t>
            </w:r>
          </w:p>
        </w:tc>
        <w:tc>
          <w:tcPr>
            <w:tcW w:w="1417" w:type="dxa"/>
            <w:shd w:val="clear" w:color="auto" w:fill="C6D9F1" w:themeFill="text2" w:themeFillTint="33"/>
            <w:noWrap/>
            <w:vAlign w:val="center"/>
            <w:hideMark/>
          </w:tcPr>
          <w:p w:rsidR="00306953" w:rsidRPr="00EF1584" w:rsidRDefault="00306953" w:rsidP="004C55CD">
            <w:pPr>
              <w:keepNext/>
              <w:spacing w:after="0" w:line="240" w:lineRule="auto"/>
              <w:jc w:val="center"/>
              <w:rPr>
                <w:rFonts w:cs="Arial"/>
                <w:sz w:val="16"/>
                <w:szCs w:val="16"/>
              </w:rPr>
            </w:pPr>
            <w:r w:rsidRPr="00EF1584">
              <w:rPr>
                <w:rFonts w:cs="Arial"/>
                <w:sz w:val="16"/>
                <w:szCs w:val="16"/>
              </w:rPr>
              <w:t>14,7%</w:t>
            </w:r>
          </w:p>
        </w:tc>
      </w:tr>
      <w:tr w:rsidR="00306953" w:rsidRPr="00EF1584" w:rsidTr="000C6FC8">
        <w:trPr>
          <w:trHeight w:val="300"/>
        </w:trPr>
        <w:tc>
          <w:tcPr>
            <w:tcW w:w="1008" w:type="dxa"/>
            <w:vMerge/>
            <w:vAlign w:val="center"/>
            <w:hideMark/>
          </w:tcPr>
          <w:p w:rsidR="00306953" w:rsidRPr="004C55CD" w:rsidRDefault="00306953" w:rsidP="004C55CD">
            <w:pPr>
              <w:keepNext/>
              <w:spacing w:after="0" w:line="240" w:lineRule="auto"/>
              <w:jc w:val="center"/>
              <w:rPr>
                <w:rFonts w:cs="Arial"/>
                <w:color w:val="000000"/>
                <w:sz w:val="16"/>
                <w:szCs w:val="16"/>
              </w:rPr>
            </w:pPr>
          </w:p>
        </w:tc>
        <w:tc>
          <w:tcPr>
            <w:tcW w:w="422" w:type="dxa"/>
            <w:vMerge/>
            <w:vAlign w:val="center"/>
            <w:hideMark/>
          </w:tcPr>
          <w:p w:rsidR="00306953" w:rsidRPr="004C55CD" w:rsidRDefault="00306953" w:rsidP="00306953">
            <w:pPr>
              <w:keepNext/>
              <w:spacing w:after="0" w:line="240" w:lineRule="auto"/>
              <w:jc w:val="center"/>
              <w:rPr>
                <w:rFonts w:cs="Arial"/>
                <w:color w:val="000000"/>
                <w:sz w:val="16"/>
                <w:szCs w:val="16"/>
              </w:rPr>
            </w:pPr>
          </w:p>
        </w:tc>
        <w:tc>
          <w:tcPr>
            <w:tcW w:w="1490" w:type="dxa"/>
            <w:shd w:val="clear" w:color="auto" w:fill="C6D9F1" w:themeFill="text2" w:themeFillTint="33"/>
            <w:noWrap/>
            <w:vAlign w:val="center"/>
            <w:hideMark/>
          </w:tcPr>
          <w:p w:rsidR="00306953" w:rsidRPr="00631582" w:rsidRDefault="007E5BD0" w:rsidP="004C55CD">
            <w:pPr>
              <w:keepNext/>
              <w:spacing w:after="0" w:line="240" w:lineRule="auto"/>
              <w:rPr>
                <w:rFonts w:cs="Arial"/>
                <w:bCs/>
                <w:sz w:val="16"/>
                <w:szCs w:val="16"/>
              </w:rPr>
            </w:pPr>
            <w:r w:rsidRPr="00631582">
              <w:rPr>
                <w:rFonts w:cs="Arial"/>
                <w:bCs/>
                <w:sz w:val="16"/>
                <w:szCs w:val="16"/>
              </w:rPr>
              <w:t>p</w:t>
            </w:r>
            <w:r w:rsidR="00306953" w:rsidRPr="00631582">
              <w:rPr>
                <w:rFonts w:cs="Arial"/>
                <w:bCs/>
                <w:sz w:val="16"/>
                <w:szCs w:val="16"/>
              </w:rPr>
              <w:t>růměr EU21</w:t>
            </w:r>
          </w:p>
        </w:tc>
        <w:tc>
          <w:tcPr>
            <w:tcW w:w="1490" w:type="dxa"/>
            <w:shd w:val="clear" w:color="auto" w:fill="C6D9F1" w:themeFill="text2" w:themeFillTint="33"/>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- 30 600</w:t>
            </w:r>
          </w:p>
        </w:tc>
        <w:tc>
          <w:tcPr>
            <w:tcW w:w="1418" w:type="dxa"/>
            <w:shd w:val="clear" w:color="auto" w:fill="C6D9F1" w:themeFill="text2" w:themeFillTint="33"/>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127 100</w:t>
            </w:r>
          </w:p>
        </w:tc>
        <w:tc>
          <w:tcPr>
            <w:tcW w:w="1559" w:type="dxa"/>
            <w:shd w:val="clear" w:color="auto" w:fill="C6D9F1" w:themeFill="text2" w:themeFillTint="33"/>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99 500</w:t>
            </w:r>
          </w:p>
        </w:tc>
        <w:tc>
          <w:tcPr>
            <w:tcW w:w="1417" w:type="dxa"/>
            <w:shd w:val="clear" w:color="auto" w:fill="C6D9F1" w:themeFill="text2" w:themeFillTint="33"/>
            <w:noWrap/>
            <w:vAlign w:val="center"/>
            <w:hideMark/>
          </w:tcPr>
          <w:p w:rsidR="00306953" w:rsidRPr="00EF1584" w:rsidRDefault="00306953" w:rsidP="004C55CD">
            <w:pPr>
              <w:keepNext/>
              <w:spacing w:after="0" w:line="240" w:lineRule="auto"/>
              <w:jc w:val="center"/>
              <w:rPr>
                <w:rFonts w:cs="Arial"/>
                <w:sz w:val="16"/>
                <w:szCs w:val="16"/>
              </w:rPr>
            </w:pPr>
            <w:r w:rsidRPr="00EF1584">
              <w:rPr>
                <w:rFonts w:cs="Arial"/>
                <w:sz w:val="16"/>
                <w:szCs w:val="16"/>
              </w:rPr>
              <w:t>14,5%</w:t>
            </w:r>
          </w:p>
        </w:tc>
      </w:tr>
      <w:tr w:rsidR="00306953" w:rsidRPr="00EF1584" w:rsidTr="000C6FC8">
        <w:trPr>
          <w:trHeight w:val="300"/>
        </w:trPr>
        <w:tc>
          <w:tcPr>
            <w:tcW w:w="1008" w:type="dxa"/>
            <w:vMerge/>
            <w:vAlign w:val="center"/>
            <w:hideMark/>
          </w:tcPr>
          <w:p w:rsidR="00306953" w:rsidRPr="004C55CD" w:rsidRDefault="00306953" w:rsidP="004C55CD">
            <w:pPr>
              <w:keepNext/>
              <w:spacing w:after="0" w:line="240" w:lineRule="auto"/>
              <w:jc w:val="center"/>
              <w:rPr>
                <w:rFonts w:cs="Arial"/>
                <w:color w:val="000000"/>
                <w:sz w:val="16"/>
                <w:szCs w:val="16"/>
              </w:rPr>
            </w:pPr>
          </w:p>
        </w:tc>
        <w:tc>
          <w:tcPr>
            <w:tcW w:w="422" w:type="dxa"/>
            <w:vMerge w:val="restart"/>
            <w:shd w:val="clear" w:color="auto" w:fill="auto"/>
            <w:noWrap/>
            <w:textDirection w:val="btLr"/>
            <w:vAlign w:val="center"/>
            <w:hideMark/>
          </w:tcPr>
          <w:p w:rsidR="00306953" w:rsidRPr="004C55CD" w:rsidRDefault="00306953" w:rsidP="00306953">
            <w:pPr>
              <w:keepNext/>
              <w:spacing w:after="0" w:line="240" w:lineRule="auto"/>
              <w:jc w:val="center"/>
              <w:rPr>
                <w:rFonts w:cs="Arial"/>
                <w:color w:val="000000"/>
                <w:sz w:val="16"/>
                <w:szCs w:val="16"/>
              </w:rPr>
            </w:pPr>
            <w:r w:rsidRPr="004C55CD">
              <w:rPr>
                <w:rFonts w:cs="Arial"/>
                <w:color w:val="000000"/>
                <w:sz w:val="16"/>
                <w:szCs w:val="16"/>
              </w:rPr>
              <w:t>ženy</w:t>
            </w:r>
          </w:p>
        </w:tc>
        <w:tc>
          <w:tcPr>
            <w:tcW w:w="1490" w:type="dxa"/>
            <w:shd w:val="clear" w:color="auto" w:fill="auto"/>
            <w:noWrap/>
            <w:vAlign w:val="center"/>
            <w:hideMark/>
          </w:tcPr>
          <w:p w:rsidR="00306953" w:rsidRPr="00EF1584" w:rsidRDefault="00306953" w:rsidP="004C55CD">
            <w:pPr>
              <w:keepNext/>
              <w:spacing w:after="0" w:line="240" w:lineRule="auto"/>
              <w:rPr>
                <w:rFonts w:cs="Arial"/>
                <w:sz w:val="16"/>
                <w:szCs w:val="16"/>
              </w:rPr>
            </w:pPr>
            <w:r w:rsidRPr="00EF1584">
              <w:rPr>
                <w:rFonts w:cs="Arial"/>
                <w:sz w:val="16"/>
                <w:szCs w:val="16"/>
              </w:rPr>
              <w:t>Česká republika</w:t>
            </w:r>
          </w:p>
        </w:tc>
        <w:tc>
          <w:tcPr>
            <w:tcW w:w="1490" w:type="dxa"/>
            <w:shd w:val="clear" w:color="auto" w:fill="auto"/>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- 22 200</w:t>
            </w:r>
          </w:p>
        </w:tc>
        <w:tc>
          <w:tcPr>
            <w:tcW w:w="1418" w:type="dxa"/>
            <w:shd w:val="clear" w:color="auto" w:fill="auto"/>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68 100</w:t>
            </w:r>
          </w:p>
        </w:tc>
        <w:tc>
          <w:tcPr>
            <w:tcW w:w="1559" w:type="dxa"/>
            <w:shd w:val="clear" w:color="auto" w:fill="auto"/>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45 800</w:t>
            </w:r>
          </w:p>
        </w:tc>
        <w:tc>
          <w:tcPr>
            <w:tcW w:w="1417" w:type="dxa"/>
            <w:shd w:val="clear" w:color="auto" w:fill="auto"/>
            <w:noWrap/>
            <w:vAlign w:val="center"/>
            <w:hideMark/>
          </w:tcPr>
          <w:p w:rsidR="00306953" w:rsidRPr="00EF1584" w:rsidRDefault="00306953" w:rsidP="004C55CD">
            <w:pPr>
              <w:keepNext/>
              <w:spacing w:after="0" w:line="240" w:lineRule="auto"/>
              <w:jc w:val="center"/>
              <w:rPr>
                <w:rFonts w:cs="Arial"/>
                <w:sz w:val="16"/>
                <w:szCs w:val="16"/>
              </w:rPr>
            </w:pPr>
            <w:r w:rsidRPr="00EF1584">
              <w:rPr>
                <w:rFonts w:cs="Arial"/>
                <w:sz w:val="16"/>
                <w:szCs w:val="16"/>
              </w:rPr>
              <w:t>11,7%</w:t>
            </w:r>
          </w:p>
        </w:tc>
      </w:tr>
      <w:tr w:rsidR="00306953" w:rsidRPr="00EF1584" w:rsidTr="000C6FC8">
        <w:trPr>
          <w:trHeight w:val="300"/>
        </w:trPr>
        <w:tc>
          <w:tcPr>
            <w:tcW w:w="1008" w:type="dxa"/>
            <w:vMerge/>
            <w:vAlign w:val="center"/>
            <w:hideMark/>
          </w:tcPr>
          <w:p w:rsidR="00306953" w:rsidRPr="004C55CD" w:rsidRDefault="00306953" w:rsidP="004C55CD">
            <w:pPr>
              <w:keepNext/>
              <w:spacing w:after="0" w:line="240" w:lineRule="auto"/>
              <w:jc w:val="center"/>
              <w:rPr>
                <w:rFonts w:cs="Arial"/>
                <w:color w:val="000000"/>
                <w:sz w:val="16"/>
                <w:szCs w:val="16"/>
              </w:rPr>
            </w:pPr>
          </w:p>
        </w:tc>
        <w:tc>
          <w:tcPr>
            <w:tcW w:w="422" w:type="dxa"/>
            <w:vMerge/>
            <w:vAlign w:val="center"/>
            <w:hideMark/>
          </w:tcPr>
          <w:p w:rsidR="00306953" w:rsidRPr="004C55CD" w:rsidRDefault="00306953" w:rsidP="00306953">
            <w:pPr>
              <w:keepNext/>
              <w:spacing w:after="0" w:line="240" w:lineRule="auto"/>
              <w:jc w:val="center"/>
              <w:rPr>
                <w:rFonts w:cs="Arial"/>
                <w:color w:val="000000"/>
                <w:sz w:val="16"/>
                <w:szCs w:val="16"/>
              </w:rPr>
            </w:pPr>
          </w:p>
        </w:tc>
        <w:tc>
          <w:tcPr>
            <w:tcW w:w="1490" w:type="dxa"/>
            <w:shd w:val="clear" w:color="auto" w:fill="auto"/>
            <w:noWrap/>
            <w:vAlign w:val="center"/>
            <w:hideMark/>
          </w:tcPr>
          <w:p w:rsidR="00306953" w:rsidRPr="00EF1584" w:rsidRDefault="00306953" w:rsidP="004C55CD">
            <w:pPr>
              <w:keepNext/>
              <w:spacing w:after="0" w:line="240" w:lineRule="auto"/>
              <w:rPr>
                <w:rFonts w:cs="Arial"/>
                <w:sz w:val="16"/>
                <w:szCs w:val="16"/>
              </w:rPr>
            </w:pPr>
            <w:r w:rsidRPr="00EF1584">
              <w:rPr>
                <w:rFonts w:cs="Arial"/>
                <w:sz w:val="16"/>
                <w:szCs w:val="16"/>
              </w:rPr>
              <w:t>Polsko (rok 2010)</w:t>
            </w:r>
          </w:p>
        </w:tc>
        <w:tc>
          <w:tcPr>
            <w:tcW w:w="1490" w:type="dxa"/>
            <w:shd w:val="clear" w:color="auto" w:fill="auto"/>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- 19 000</w:t>
            </w:r>
          </w:p>
        </w:tc>
        <w:tc>
          <w:tcPr>
            <w:tcW w:w="1418" w:type="dxa"/>
            <w:shd w:val="clear" w:color="auto" w:fill="auto"/>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66 300</w:t>
            </w:r>
          </w:p>
        </w:tc>
        <w:tc>
          <w:tcPr>
            <w:tcW w:w="1559" w:type="dxa"/>
            <w:shd w:val="clear" w:color="auto" w:fill="auto"/>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47 300</w:t>
            </w:r>
          </w:p>
        </w:tc>
        <w:tc>
          <w:tcPr>
            <w:tcW w:w="1417" w:type="dxa"/>
            <w:shd w:val="clear" w:color="auto" w:fill="auto"/>
            <w:noWrap/>
            <w:vAlign w:val="center"/>
            <w:hideMark/>
          </w:tcPr>
          <w:p w:rsidR="00306953" w:rsidRPr="00EF1584" w:rsidRDefault="00306953" w:rsidP="004C55CD">
            <w:pPr>
              <w:keepNext/>
              <w:spacing w:after="0" w:line="240" w:lineRule="auto"/>
              <w:jc w:val="center"/>
              <w:rPr>
                <w:rFonts w:cs="Arial"/>
                <w:sz w:val="16"/>
                <w:szCs w:val="16"/>
              </w:rPr>
            </w:pPr>
            <w:r w:rsidRPr="00EF1584">
              <w:rPr>
                <w:rFonts w:cs="Arial"/>
                <w:sz w:val="16"/>
                <w:szCs w:val="16"/>
              </w:rPr>
              <w:t>10,2%</w:t>
            </w:r>
          </w:p>
        </w:tc>
      </w:tr>
      <w:tr w:rsidR="00306953" w:rsidRPr="00EF1584" w:rsidTr="000C6FC8">
        <w:trPr>
          <w:trHeight w:val="300"/>
        </w:trPr>
        <w:tc>
          <w:tcPr>
            <w:tcW w:w="1008" w:type="dxa"/>
            <w:vMerge/>
            <w:vAlign w:val="center"/>
            <w:hideMark/>
          </w:tcPr>
          <w:p w:rsidR="00306953" w:rsidRPr="004C55CD" w:rsidRDefault="00306953" w:rsidP="004C55CD">
            <w:pPr>
              <w:keepNext/>
              <w:spacing w:after="0" w:line="240" w:lineRule="auto"/>
              <w:jc w:val="center"/>
              <w:rPr>
                <w:rFonts w:cs="Arial"/>
                <w:color w:val="000000"/>
                <w:sz w:val="16"/>
                <w:szCs w:val="16"/>
              </w:rPr>
            </w:pPr>
          </w:p>
        </w:tc>
        <w:tc>
          <w:tcPr>
            <w:tcW w:w="422" w:type="dxa"/>
            <w:vMerge/>
            <w:vAlign w:val="center"/>
            <w:hideMark/>
          </w:tcPr>
          <w:p w:rsidR="00306953" w:rsidRPr="004C55CD" w:rsidRDefault="00306953" w:rsidP="00306953">
            <w:pPr>
              <w:keepNext/>
              <w:spacing w:after="0" w:line="240" w:lineRule="auto"/>
              <w:jc w:val="center"/>
              <w:rPr>
                <w:rFonts w:cs="Arial"/>
                <w:color w:val="000000"/>
                <w:sz w:val="16"/>
                <w:szCs w:val="16"/>
              </w:rPr>
            </w:pPr>
          </w:p>
        </w:tc>
        <w:tc>
          <w:tcPr>
            <w:tcW w:w="1490" w:type="dxa"/>
            <w:shd w:val="clear" w:color="auto" w:fill="auto"/>
            <w:noWrap/>
            <w:vAlign w:val="center"/>
            <w:hideMark/>
          </w:tcPr>
          <w:p w:rsidR="00306953" w:rsidRPr="00EF1584" w:rsidRDefault="00306953" w:rsidP="004C55CD">
            <w:pPr>
              <w:keepNext/>
              <w:spacing w:after="0" w:line="240" w:lineRule="auto"/>
              <w:rPr>
                <w:rFonts w:cs="Arial"/>
                <w:sz w:val="16"/>
                <w:szCs w:val="16"/>
              </w:rPr>
            </w:pPr>
            <w:r w:rsidRPr="00EF1584">
              <w:rPr>
                <w:rFonts w:cs="Arial"/>
                <w:sz w:val="16"/>
                <w:szCs w:val="16"/>
              </w:rPr>
              <w:t>Slovensko</w:t>
            </w:r>
          </w:p>
        </w:tc>
        <w:tc>
          <w:tcPr>
            <w:tcW w:w="1490" w:type="dxa"/>
            <w:shd w:val="clear" w:color="auto" w:fill="auto"/>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- 12 200</w:t>
            </w:r>
          </w:p>
        </w:tc>
        <w:tc>
          <w:tcPr>
            <w:tcW w:w="1418" w:type="dxa"/>
            <w:shd w:val="clear" w:color="auto" w:fill="auto"/>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91 700</w:t>
            </w:r>
          </w:p>
        </w:tc>
        <w:tc>
          <w:tcPr>
            <w:tcW w:w="1559" w:type="dxa"/>
            <w:shd w:val="clear" w:color="auto" w:fill="auto"/>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79 500</w:t>
            </w:r>
          </w:p>
        </w:tc>
        <w:tc>
          <w:tcPr>
            <w:tcW w:w="1417" w:type="dxa"/>
            <w:shd w:val="clear" w:color="auto" w:fill="auto"/>
            <w:noWrap/>
            <w:vAlign w:val="center"/>
            <w:hideMark/>
          </w:tcPr>
          <w:p w:rsidR="00306953" w:rsidRPr="00EF1584" w:rsidRDefault="00306953" w:rsidP="004C55CD">
            <w:pPr>
              <w:keepNext/>
              <w:spacing w:after="0" w:line="240" w:lineRule="auto"/>
              <w:jc w:val="center"/>
              <w:rPr>
                <w:rFonts w:cs="Arial"/>
                <w:sz w:val="16"/>
                <w:szCs w:val="16"/>
              </w:rPr>
            </w:pPr>
            <w:r w:rsidRPr="00EF1584">
              <w:rPr>
                <w:rFonts w:cs="Arial"/>
                <w:sz w:val="16"/>
                <w:szCs w:val="16"/>
              </w:rPr>
              <w:t>31,4%</w:t>
            </w:r>
          </w:p>
        </w:tc>
      </w:tr>
      <w:tr w:rsidR="00306953" w:rsidRPr="00EF1584" w:rsidTr="000C6FC8">
        <w:trPr>
          <w:trHeight w:val="300"/>
        </w:trPr>
        <w:tc>
          <w:tcPr>
            <w:tcW w:w="1008" w:type="dxa"/>
            <w:vMerge/>
            <w:vAlign w:val="center"/>
            <w:hideMark/>
          </w:tcPr>
          <w:p w:rsidR="00306953" w:rsidRPr="004C55CD" w:rsidRDefault="00306953" w:rsidP="004C55CD">
            <w:pPr>
              <w:keepNext/>
              <w:spacing w:after="0" w:line="240" w:lineRule="auto"/>
              <w:jc w:val="center"/>
              <w:rPr>
                <w:rFonts w:cs="Arial"/>
                <w:color w:val="000000"/>
                <w:sz w:val="16"/>
                <w:szCs w:val="16"/>
              </w:rPr>
            </w:pPr>
          </w:p>
        </w:tc>
        <w:tc>
          <w:tcPr>
            <w:tcW w:w="422" w:type="dxa"/>
            <w:vMerge/>
            <w:vAlign w:val="center"/>
            <w:hideMark/>
          </w:tcPr>
          <w:p w:rsidR="00306953" w:rsidRPr="004C55CD" w:rsidRDefault="00306953" w:rsidP="00306953">
            <w:pPr>
              <w:keepNext/>
              <w:spacing w:after="0" w:line="240" w:lineRule="auto"/>
              <w:jc w:val="center"/>
              <w:rPr>
                <w:rFonts w:cs="Arial"/>
                <w:color w:val="000000"/>
                <w:sz w:val="16"/>
                <w:szCs w:val="16"/>
              </w:rPr>
            </w:pPr>
          </w:p>
        </w:tc>
        <w:tc>
          <w:tcPr>
            <w:tcW w:w="1490" w:type="dxa"/>
            <w:shd w:val="clear" w:color="auto" w:fill="C6D9F1" w:themeFill="text2" w:themeFillTint="33"/>
            <w:noWrap/>
            <w:vAlign w:val="center"/>
            <w:hideMark/>
          </w:tcPr>
          <w:p w:rsidR="00306953" w:rsidRPr="00631582" w:rsidRDefault="007E5BD0" w:rsidP="004C55CD">
            <w:pPr>
              <w:keepNext/>
              <w:spacing w:after="0" w:line="240" w:lineRule="auto"/>
              <w:rPr>
                <w:rFonts w:cs="Arial"/>
                <w:bCs/>
                <w:sz w:val="16"/>
                <w:szCs w:val="16"/>
              </w:rPr>
            </w:pPr>
            <w:r w:rsidRPr="00631582">
              <w:rPr>
                <w:rFonts w:cs="Arial"/>
                <w:bCs/>
                <w:sz w:val="16"/>
                <w:szCs w:val="16"/>
              </w:rPr>
              <w:t>p</w:t>
            </w:r>
            <w:r w:rsidR="00306953" w:rsidRPr="00631582">
              <w:rPr>
                <w:rFonts w:cs="Arial"/>
                <w:bCs/>
                <w:sz w:val="16"/>
                <w:szCs w:val="16"/>
              </w:rPr>
              <w:t>růměr OECD</w:t>
            </w:r>
          </w:p>
        </w:tc>
        <w:tc>
          <w:tcPr>
            <w:tcW w:w="1490" w:type="dxa"/>
            <w:shd w:val="clear" w:color="auto" w:fill="C6D9F1" w:themeFill="text2" w:themeFillTint="33"/>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- 31 200</w:t>
            </w:r>
          </w:p>
        </w:tc>
        <w:tc>
          <w:tcPr>
            <w:tcW w:w="1418" w:type="dxa"/>
            <w:shd w:val="clear" w:color="auto" w:fill="C6D9F1" w:themeFill="text2" w:themeFillTint="33"/>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92 800</w:t>
            </w:r>
          </w:p>
        </w:tc>
        <w:tc>
          <w:tcPr>
            <w:tcW w:w="1559" w:type="dxa"/>
            <w:shd w:val="clear" w:color="auto" w:fill="C6D9F1" w:themeFill="text2" w:themeFillTint="33"/>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62 000</w:t>
            </w:r>
          </w:p>
        </w:tc>
        <w:tc>
          <w:tcPr>
            <w:tcW w:w="1417" w:type="dxa"/>
            <w:shd w:val="clear" w:color="auto" w:fill="C6D9F1" w:themeFill="text2" w:themeFillTint="33"/>
            <w:noWrap/>
            <w:vAlign w:val="center"/>
            <w:hideMark/>
          </w:tcPr>
          <w:p w:rsidR="00306953" w:rsidRPr="00EF1584" w:rsidRDefault="00306953" w:rsidP="004C55CD">
            <w:pPr>
              <w:keepNext/>
              <w:spacing w:after="0" w:line="240" w:lineRule="auto"/>
              <w:jc w:val="center"/>
              <w:rPr>
                <w:rFonts w:cs="Arial"/>
                <w:sz w:val="16"/>
                <w:szCs w:val="16"/>
              </w:rPr>
            </w:pPr>
            <w:r w:rsidRPr="00EF1584">
              <w:rPr>
                <w:rFonts w:cs="Arial"/>
                <w:sz w:val="16"/>
                <w:szCs w:val="16"/>
              </w:rPr>
              <w:t>10,3%</w:t>
            </w:r>
          </w:p>
        </w:tc>
      </w:tr>
      <w:tr w:rsidR="00306953" w:rsidRPr="00EF1584" w:rsidTr="000C6FC8">
        <w:trPr>
          <w:trHeight w:val="260"/>
        </w:trPr>
        <w:tc>
          <w:tcPr>
            <w:tcW w:w="1008" w:type="dxa"/>
            <w:vMerge/>
            <w:vAlign w:val="center"/>
            <w:hideMark/>
          </w:tcPr>
          <w:p w:rsidR="00306953" w:rsidRPr="004C55CD" w:rsidRDefault="00306953" w:rsidP="004C55CD">
            <w:pPr>
              <w:keepNext/>
              <w:spacing w:after="0" w:line="240" w:lineRule="auto"/>
              <w:jc w:val="center"/>
              <w:rPr>
                <w:rFonts w:cs="Arial"/>
                <w:color w:val="000000"/>
                <w:sz w:val="16"/>
                <w:szCs w:val="16"/>
              </w:rPr>
            </w:pPr>
          </w:p>
        </w:tc>
        <w:tc>
          <w:tcPr>
            <w:tcW w:w="422" w:type="dxa"/>
            <w:vMerge/>
            <w:vAlign w:val="center"/>
            <w:hideMark/>
          </w:tcPr>
          <w:p w:rsidR="00306953" w:rsidRPr="004C55CD" w:rsidRDefault="00306953" w:rsidP="00306953">
            <w:pPr>
              <w:keepNext/>
              <w:spacing w:after="0" w:line="240" w:lineRule="auto"/>
              <w:jc w:val="center"/>
              <w:rPr>
                <w:rFonts w:cs="Arial"/>
                <w:color w:val="000000"/>
                <w:sz w:val="16"/>
                <w:szCs w:val="16"/>
              </w:rPr>
            </w:pPr>
          </w:p>
        </w:tc>
        <w:tc>
          <w:tcPr>
            <w:tcW w:w="1490" w:type="dxa"/>
            <w:shd w:val="clear" w:color="auto" w:fill="C6D9F1" w:themeFill="text2" w:themeFillTint="33"/>
            <w:noWrap/>
            <w:vAlign w:val="center"/>
            <w:hideMark/>
          </w:tcPr>
          <w:p w:rsidR="00306953" w:rsidRPr="00631582" w:rsidRDefault="007E5BD0" w:rsidP="004C55CD">
            <w:pPr>
              <w:keepNext/>
              <w:spacing w:after="0" w:line="240" w:lineRule="auto"/>
              <w:rPr>
                <w:rFonts w:cs="Arial"/>
                <w:bCs/>
                <w:sz w:val="16"/>
                <w:szCs w:val="16"/>
              </w:rPr>
            </w:pPr>
            <w:r w:rsidRPr="00631582">
              <w:rPr>
                <w:rFonts w:cs="Arial"/>
                <w:bCs/>
                <w:sz w:val="16"/>
                <w:szCs w:val="16"/>
              </w:rPr>
              <w:t>p</w:t>
            </w:r>
            <w:r w:rsidR="00306953" w:rsidRPr="00631582">
              <w:rPr>
                <w:rFonts w:cs="Arial"/>
                <w:bCs/>
                <w:sz w:val="16"/>
                <w:szCs w:val="16"/>
              </w:rPr>
              <w:t>růměr EU21</w:t>
            </w:r>
          </w:p>
        </w:tc>
        <w:tc>
          <w:tcPr>
            <w:tcW w:w="1490" w:type="dxa"/>
            <w:shd w:val="clear" w:color="auto" w:fill="C6D9F1" w:themeFill="text2" w:themeFillTint="33"/>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- 30 900</w:t>
            </w:r>
          </w:p>
        </w:tc>
        <w:tc>
          <w:tcPr>
            <w:tcW w:w="1418" w:type="dxa"/>
            <w:shd w:val="clear" w:color="auto" w:fill="C6D9F1" w:themeFill="text2" w:themeFillTint="33"/>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89 800</w:t>
            </w:r>
          </w:p>
        </w:tc>
        <w:tc>
          <w:tcPr>
            <w:tcW w:w="1559" w:type="dxa"/>
            <w:shd w:val="clear" w:color="auto" w:fill="C6D9F1" w:themeFill="text2" w:themeFillTint="33"/>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61 300</w:t>
            </w:r>
          </w:p>
        </w:tc>
        <w:tc>
          <w:tcPr>
            <w:tcW w:w="1417" w:type="dxa"/>
            <w:shd w:val="clear" w:color="auto" w:fill="C6D9F1" w:themeFill="text2" w:themeFillTint="33"/>
            <w:noWrap/>
            <w:vAlign w:val="center"/>
            <w:hideMark/>
          </w:tcPr>
          <w:p w:rsidR="00306953" w:rsidRPr="00EF1584" w:rsidRDefault="00306953" w:rsidP="004C55CD">
            <w:pPr>
              <w:keepNext/>
              <w:spacing w:after="0" w:line="240" w:lineRule="auto"/>
              <w:jc w:val="center"/>
              <w:rPr>
                <w:rFonts w:cs="Arial"/>
                <w:sz w:val="16"/>
                <w:szCs w:val="16"/>
              </w:rPr>
            </w:pPr>
            <w:r w:rsidRPr="00EF1584">
              <w:rPr>
                <w:rFonts w:cs="Arial"/>
                <w:sz w:val="16"/>
                <w:szCs w:val="16"/>
              </w:rPr>
              <w:t>11,0%</w:t>
            </w:r>
          </w:p>
        </w:tc>
      </w:tr>
      <w:tr w:rsidR="00306953" w:rsidRPr="00EF1584" w:rsidTr="000C6FC8">
        <w:trPr>
          <w:trHeight w:val="300"/>
        </w:trPr>
        <w:tc>
          <w:tcPr>
            <w:tcW w:w="1008" w:type="dxa"/>
            <w:vMerge w:val="restart"/>
            <w:shd w:val="clear" w:color="auto" w:fill="auto"/>
            <w:noWrap/>
            <w:textDirection w:val="btLr"/>
            <w:vAlign w:val="center"/>
            <w:hideMark/>
          </w:tcPr>
          <w:p w:rsidR="00306953" w:rsidRPr="004C55CD" w:rsidRDefault="00306953" w:rsidP="004C55CD">
            <w:pPr>
              <w:keepNext/>
              <w:spacing w:after="0" w:line="240" w:lineRule="auto"/>
              <w:jc w:val="center"/>
              <w:rPr>
                <w:rFonts w:cs="Arial"/>
                <w:color w:val="000000"/>
                <w:sz w:val="16"/>
                <w:szCs w:val="16"/>
              </w:rPr>
            </w:pPr>
            <w:r w:rsidRPr="004C55CD">
              <w:rPr>
                <w:rFonts w:cs="Arial"/>
                <w:color w:val="000000"/>
                <w:sz w:val="16"/>
                <w:szCs w:val="16"/>
              </w:rPr>
              <w:t>terciární vzdělávání</w:t>
            </w:r>
          </w:p>
        </w:tc>
        <w:tc>
          <w:tcPr>
            <w:tcW w:w="422" w:type="dxa"/>
            <w:vMerge w:val="restart"/>
            <w:shd w:val="clear" w:color="auto" w:fill="auto"/>
            <w:noWrap/>
            <w:textDirection w:val="btLr"/>
            <w:vAlign w:val="center"/>
            <w:hideMark/>
          </w:tcPr>
          <w:p w:rsidR="00306953" w:rsidRPr="004C55CD" w:rsidRDefault="00306953" w:rsidP="00306953">
            <w:pPr>
              <w:keepNext/>
              <w:spacing w:after="0" w:line="240" w:lineRule="auto"/>
              <w:jc w:val="center"/>
              <w:rPr>
                <w:rFonts w:cs="Arial"/>
                <w:color w:val="000000"/>
                <w:sz w:val="16"/>
                <w:szCs w:val="16"/>
              </w:rPr>
            </w:pPr>
            <w:r w:rsidRPr="004C55CD">
              <w:rPr>
                <w:rFonts w:cs="Arial"/>
                <w:color w:val="000000"/>
                <w:sz w:val="16"/>
                <w:szCs w:val="16"/>
              </w:rPr>
              <w:t>muži</w:t>
            </w:r>
          </w:p>
        </w:tc>
        <w:tc>
          <w:tcPr>
            <w:tcW w:w="1490" w:type="dxa"/>
            <w:shd w:val="clear" w:color="auto" w:fill="auto"/>
            <w:noWrap/>
            <w:vAlign w:val="center"/>
            <w:hideMark/>
          </w:tcPr>
          <w:p w:rsidR="00306953" w:rsidRPr="00631582" w:rsidRDefault="00306953" w:rsidP="004C55CD">
            <w:pPr>
              <w:keepNext/>
              <w:spacing w:after="0" w:line="240" w:lineRule="auto"/>
              <w:rPr>
                <w:rFonts w:cs="Arial"/>
                <w:sz w:val="16"/>
                <w:szCs w:val="16"/>
              </w:rPr>
            </w:pPr>
            <w:r w:rsidRPr="00631582">
              <w:rPr>
                <w:rFonts w:cs="Arial"/>
                <w:sz w:val="16"/>
                <w:szCs w:val="16"/>
              </w:rPr>
              <w:t>Česká republika</w:t>
            </w:r>
          </w:p>
        </w:tc>
        <w:tc>
          <w:tcPr>
            <w:tcW w:w="1490" w:type="dxa"/>
            <w:shd w:val="clear" w:color="auto" w:fill="auto"/>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- 30 400</w:t>
            </w:r>
          </w:p>
        </w:tc>
        <w:tc>
          <w:tcPr>
            <w:tcW w:w="1418" w:type="dxa"/>
            <w:shd w:val="clear" w:color="auto" w:fill="auto"/>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331 900</w:t>
            </w:r>
          </w:p>
        </w:tc>
        <w:tc>
          <w:tcPr>
            <w:tcW w:w="1559" w:type="dxa"/>
            <w:shd w:val="clear" w:color="auto" w:fill="auto"/>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301 500</w:t>
            </w:r>
          </w:p>
        </w:tc>
        <w:tc>
          <w:tcPr>
            <w:tcW w:w="1417" w:type="dxa"/>
            <w:shd w:val="clear" w:color="auto" w:fill="auto"/>
            <w:noWrap/>
            <w:vAlign w:val="center"/>
            <w:hideMark/>
          </w:tcPr>
          <w:p w:rsidR="00306953" w:rsidRPr="00EF1584" w:rsidRDefault="00306953" w:rsidP="004C55CD">
            <w:pPr>
              <w:keepNext/>
              <w:spacing w:after="0" w:line="240" w:lineRule="auto"/>
              <w:jc w:val="center"/>
              <w:rPr>
                <w:rFonts w:cs="Arial"/>
                <w:sz w:val="16"/>
                <w:szCs w:val="16"/>
              </w:rPr>
            </w:pPr>
            <w:r w:rsidRPr="00EF1584">
              <w:rPr>
                <w:rFonts w:cs="Arial"/>
                <w:sz w:val="16"/>
                <w:szCs w:val="16"/>
              </w:rPr>
              <w:t>23,5%</w:t>
            </w:r>
          </w:p>
        </w:tc>
      </w:tr>
      <w:tr w:rsidR="00306953" w:rsidRPr="00EF1584" w:rsidTr="000C6FC8">
        <w:trPr>
          <w:trHeight w:val="300"/>
        </w:trPr>
        <w:tc>
          <w:tcPr>
            <w:tcW w:w="1008" w:type="dxa"/>
            <w:vMerge/>
            <w:vAlign w:val="center"/>
            <w:hideMark/>
          </w:tcPr>
          <w:p w:rsidR="00306953" w:rsidRPr="00EF1584" w:rsidRDefault="00306953" w:rsidP="00306953">
            <w:pPr>
              <w:keepNext/>
              <w:spacing w:after="0" w:line="240" w:lineRule="auto"/>
              <w:rPr>
                <w:rFonts w:ascii="Times New Roman" w:hAnsi="Times New Roman"/>
                <w:color w:val="000000"/>
                <w:sz w:val="16"/>
                <w:szCs w:val="16"/>
              </w:rPr>
            </w:pPr>
          </w:p>
        </w:tc>
        <w:tc>
          <w:tcPr>
            <w:tcW w:w="422" w:type="dxa"/>
            <w:vMerge/>
            <w:vAlign w:val="center"/>
            <w:hideMark/>
          </w:tcPr>
          <w:p w:rsidR="00306953" w:rsidRPr="004C55CD" w:rsidRDefault="00306953" w:rsidP="00306953">
            <w:pPr>
              <w:keepNext/>
              <w:spacing w:after="0" w:line="240" w:lineRule="auto"/>
              <w:rPr>
                <w:rFonts w:cs="Arial"/>
                <w:color w:val="000000"/>
                <w:sz w:val="16"/>
                <w:szCs w:val="16"/>
              </w:rPr>
            </w:pPr>
          </w:p>
        </w:tc>
        <w:tc>
          <w:tcPr>
            <w:tcW w:w="1490" w:type="dxa"/>
            <w:shd w:val="clear" w:color="auto" w:fill="auto"/>
            <w:noWrap/>
            <w:vAlign w:val="center"/>
            <w:hideMark/>
          </w:tcPr>
          <w:p w:rsidR="00306953" w:rsidRPr="00631582" w:rsidRDefault="00306953" w:rsidP="004C55CD">
            <w:pPr>
              <w:keepNext/>
              <w:spacing w:after="0" w:line="240" w:lineRule="auto"/>
              <w:rPr>
                <w:rFonts w:cs="Arial"/>
                <w:sz w:val="16"/>
                <w:szCs w:val="16"/>
              </w:rPr>
            </w:pPr>
            <w:r w:rsidRPr="00631582">
              <w:rPr>
                <w:rFonts w:cs="Arial"/>
                <w:sz w:val="16"/>
                <w:szCs w:val="16"/>
              </w:rPr>
              <w:t>Polsko (rok 2010)</w:t>
            </w:r>
          </w:p>
        </w:tc>
        <w:tc>
          <w:tcPr>
            <w:tcW w:w="1490" w:type="dxa"/>
            <w:shd w:val="clear" w:color="auto" w:fill="auto"/>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- 24 100</w:t>
            </w:r>
          </w:p>
        </w:tc>
        <w:tc>
          <w:tcPr>
            <w:tcW w:w="1418" w:type="dxa"/>
            <w:shd w:val="clear" w:color="auto" w:fill="auto"/>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362 200</w:t>
            </w:r>
          </w:p>
        </w:tc>
        <w:tc>
          <w:tcPr>
            <w:tcW w:w="1559" w:type="dxa"/>
            <w:shd w:val="clear" w:color="auto" w:fill="auto"/>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338 200</w:t>
            </w:r>
          </w:p>
        </w:tc>
        <w:tc>
          <w:tcPr>
            <w:tcW w:w="1417" w:type="dxa"/>
            <w:shd w:val="clear" w:color="auto" w:fill="auto"/>
            <w:noWrap/>
            <w:vAlign w:val="center"/>
            <w:hideMark/>
          </w:tcPr>
          <w:p w:rsidR="00306953" w:rsidRPr="00EF1584" w:rsidRDefault="00306953" w:rsidP="004C55CD">
            <w:pPr>
              <w:keepNext/>
              <w:spacing w:after="0" w:line="240" w:lineRule="auto"/>
              <w:jc w:val="center"/>
              <w:rPr>
                <w:rFonts w:cs="Arial"/>
                <w:sz w:val="16"/>
                <w:szCs w:val="16"/>
              </w:rPr>
            </w:pPr>
            <w:r w:rsidRPr="00EF1584">
              <w:rPr>
                <w:rFonts w:cs="Arial"/>
                <w:sz w:val="16"/>
                <w:szCs w:val="16"/>
              </w:rPr>
              <w:t>29,2%</w:t>
            </w:r>
          </w:p>
        </w:tc>
      </w:tr>
      <w:tr w:rsidR="00306953" w:rsidRPr="00EF1584" w:rsidTr="000C6FC8">
        <w:trPr>
          <w:trHeight w:val="300"/>
        </w:trPr>
        <w:tc>
          <w:tcPr>
            <w:tcW w:w="1008" w:type="dxa"/>
            <w:vMerge/>
            <w:vAlign w:val="center"/>
            <w:hideMark/>
          </w:tcPr>
          <w:p w:rsidR="00306953" w:rsidRPr="00EF1584" w:rsidRDefault="00306953" w:rsidP="00306953">
            <w:pPr>
              <w:keepNext/>
              <w:spacing w:after="0" w:line="240" w:lineRule="auto"/>
              <w:rPr>
                <w:rFonts w:ascii="Times New Roman" w:hAnsi="Times New Roman"/>
                <w:color w:val="000000"/>
                <w:sz w:val="16"/>
                <w:szCs w:val="16"/>
              </w:rPr>
            </w:pPr>
          </w:p>
        </w:tc>
        <w:tc>
          <w:tcPr>
            <w:tcW w:w="422" w:type="dxa"/>
            <w:vMerge/>
            <w:vAlign w:val="center"/>
            <w:hideMark/>
          </w:tcPr>
          <w:p w:rsidR="00306953" w:rsidRPr="004C55CD" w:rsidRDefault="00306953" w:rsidP="00306953">
            <w:pPr>
              <w:keepNext/>
              <w:spacing w:after="0" w:line="240" w:lineRule="auto"/>
              <w:rPr>
                <w:rFonts w:cs="Arial"/>
                <w:color w:val="000000"/>
                <w:sz w:val="16"/>
                <w:szCs w:val="16"/>
              </w:rPr>
            </w:pPr>
          </w:p>
        </w:tc>
        <w:tc>
          <w:tcPr>
            <w:tcW w:w="1490" w:type="dxa"/>
            <w:shd w:val="clear" w:color="auto" w:fill="auto"/>
            <w:noWrap/>
            <w:vAlign w:val="center"/>
            <w:hideMark/>
          </w:tcPr>
          <w:p w:rsidR="00306953" w:rsidRPr="00631582" w:rsidRDefault="00306953" w:rsidP="004C55CD">
            <w:pPr>
              <w:keepNext/>
              <w:spacing w:after="0" w:line="240" w:lineRule="auto"/>
              <w:rPr>
                <w:rFonts w:cs="Arial"/>
                <w:sz w:val="16"/>
                <w:szCs w:val="16"/>
              </w:rPr>
            </w:pPr>
            <w:r w:rsidRPr="00631582">
              <w:rPr>
                <w:rFonts w:cs="Arial"/>
                <w:sz w:val="16"/>
                <w:szCs w:val="16"/>
              </w:rPr>
              <w:t>Slovensko</w:t>
            </w:r>
          </w:p>
        </w:tc>
        <w:tc>
          <w:tcPr>
            <w:tcW w:w="1490" w:type="dxa"/>
            <w:shd w:val="clear" w:color="auto" w:fill="auto"/>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- 33 600</w:t>
            </w:r>
          </w:p>
        </w:tc>
        <w:tc>
          <w:tcPr>
            <w:tcW w:w="1418" w:type="dxa"/>
            <w:shd w:val="clear" w:color="auto" w:fill="auto"/>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280 900</w:t>
            </w:r>
          </w:p>
        </w:tc>
        <w:tc>
          <w:tcPr>
            <w:tcW w:w="1559" w:type="dxa"/>
            <w:shd w:val="clear" w:color="auto" w:fill="auto"/>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247 300</w:t>
            </w:r>
          </w:p>
        </w:tc>
        <w:tc>
          <w:tcPr>
            <w:tcW w:w="1417" w:type="dxa"/>
            <w:shd w:val="clear" w:color="auto" w:fill="auto"/>
            <w:noWrap/>
            <w:vAlign w:val="center"/>
            <w:hideMark/>
          </w:tcPr>
          <w:p w:rsidR="00306953" w:rsidRPr="00EF1584" w:rsidRDefault="00306953" w:rsidP="004C55CD">
            <w:pPr>
              <w:keepNext/>
              <w:spacing w:after="0" w:line="240" w:lineRule="auto"/>
              <w:jc w:val="center"/>
              <w:rPr>
                <w:rFonts w:cs="Arial"/>
                <w:sz w:val="16"/>
                <w:szCs w:val="16"/>
              </w:rPr>
            </w:pPr>
            <w:r w:rsidRPr="00EF1584">
              <w:rPr>
                <w:rFonts w:cs="Arial"/>
                <w:sz w:val="16"/>
                <w:szCs w:val="16"/>
              </w:rPr>
              <w:t>20,6%</w:t>
            </w:r>
          </w:p>
        </w:tc>
      </w:tr>
      <w:tr w:rsidR="00306953" w:rsidRPr="00EF1584" w:rsidTr="000C6FC8">
        <w:trPr>
          <w:trHeight w:val="300"/>
        </w:trPr>
        <w:tc>
          <w:tcPr>
            <w:tcW w:w="1008" w:type="dxa"/>
            <w:vMerge/>
            <w:vAlign w:val="center"/>
            <w:hideMark/>
          </w:tcPr>
          <w:p w:rsidR="00306953" w:rsidRPr="00EF1584" w:rsidRDefault="00306953" w:rsidP="00306953">
            <w:pPr>
              <w:keepNext/>
              <w:spacing w:after="0" w:line="240" w:lineRule="auto"/>
              <w:rPr>
                <w:rFonts w:ascii="Times New Roman" w:hAnsi="Times New Roman"/>
                <w:color w:val="000000"/>
                <w:sz w:val="16"/>
                <w:szCs w:val="16"/>
              </w:rPr>
            </w:pPr>
          </w:p>
        </w:tc>
        <w:tc>
          <w:tcPr>
            <w:tcW w:w="422" w:type="dxa"/>
            <w:vMerge/>
            <w:vAlign w:val="center"/>
            <w:hideMark/>
          </w:tcPr>
          <w:p w:rsidR="00306953" w:rsidRPr="004C55CD" w:rsidRDefault="00306953" w:rsidP="00306953">
            <w:pPr>
              <w:keepNext/>
              <w:spacing w:after="0" w:line="240" w:lineRule="auto"/>
              <w:rPr>
                <w:rFonts w:cs="Arial"/>
                <w:color w:val="000000"/>
                <w:sz w:val="16"/>
                <w:szCs w:val="16"/>
              </w:rPr>
            </w:pPr>
          </w:p>
        </w:tc>
        <w:tc>
          <w:tcPr>
            <w:tcW w:w="1490" w:type="dxa"/>
            <w:shd w:val="clear" w:color="auto" w:fill="C6D9F1" w:themeFill="text2" w:themeFillTint="33"/>
            <w:noWrap/>
            <w:vAlign w:val="center"/>
            <w:hideMark/>
          </w:tcPr>
          <w:p w:rsidR="00306953" w:rsidRPr="00631582" w:rsidRDefault="007E5BD0" w:rsidP="004C55CD">
            <w:pPr>
              <w:keepNext/>
              <w:spacing w:after="0" w:line="240" w:lineRule="auto"/>
              <w:rPr>
                <w:rFonts w:cs="Arial"/>
                <w:bCs/>
                <w:sz w:val="16"/>
                <w:szCs w:val="16"/>
              </w:rPr>
            </w:pPr>
            <w:r w:rsidRPr="00631582">
              <w:rPr>
                <w:rFonts w:cs="Arial"/>
                <w:bCs/>
                <w:sz w:val="16"/>
                <w:szCs w:val="16"/>
              </w:rPr>
              <w:t>p</w:t>
            </w:r>
            <w:r w:rsidR="00306953" w:rsidRPr="00631582">
              <w:rPr>
                <w:rFonts w:cs="Arial"/>
                <w:bCs/>
                <w:sz w:val="16"/>
                <w:szCs w:val="16"/>
              </w:rPr>
              <w:t>růměr OECD</w:t>
            </w:r>
          </w:p>
        </w:tc>
        <w:tc>
          <w:tcPr>
            <w:tcW w:w="1490" w:type="dxa"/>
            <w:shd w:val="clear" w:color="auto" w:fill="C6D9F1" w:themeFill="text2" w:themeFillTint="33"/>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- 56 700</w:t>
            </w:r>
          </w:p>
        </w:tc>
        <w:tc>
          <w:tcPr>
            <w:tcW w:w="1418" w:type="dxa"/>
            <w:shd w:val="clear" w:color="auto" w:fill="C6D9F1" w:themeFill="text2" w:themeFillTint="33"/>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288 600</w:t>
            </w:r>
          </w:p>
        </w:tc>
        <w:tc>
          <w:tcPr>
            <w:tcW w:w="1559" w:type="dxa"/>
            <w:shd w:val="clear" w:color="auto" w:fill="C6D9F1" w:themeFill="text2" w:themeFillTint="33"/>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229 000</w:t>
            </w:r>
          </w:p>
        </w:tc>
        <w:tc>
          <w:tcPr>
            <w:tcW w:w="1417" w:type="dxa"/>
            <w:shd w:val="clear" w:color="auto" w:fill="C6D9F1" w:themeFill="text2" w:themeFillTint="33"/>
            <w:noWrap/>
            <w:vAlign w:val="center"/>
            <w:hideMark/>
          </w:tcPr>
          <w:p w:rsidR="00306953" w:rsidRPr="00EF1584" w:rsidRDefault="00306953" w:rsidP="004C55CD">
            <w:pPr>
              <w:keepNext/>
              <w:spacing w:after="0" w:line="240" w:lineRule="auto"/>
              <w:jc w:val="center"/>
              <w:rPr>
                <w:rFonts w:cs="Arial"/>
                <w:sz w:val="16"/>
                <w:szCs w:val="16"/>
              </w:rPr>
            </w:pPr>
            <w:r w:rsidRPr="00EF1584">
              <w:rPr>
                <w:rFonts w:cs="Arial"/>
                <w:sz w:val="16"/>
                <w:szCs w:val="16"/>
              </w:rPr>
              <w:t>14,0%</w:t>
            </w:r>
          </w:p>
        </w:tc>
      </w:tr>
      <w:tr w:rsidR="00306953" w:rsidRPr="00EF1584" w:rsidTr="000C6FC8">
        <w:trPr>
          <w:trHeight w:val="300"/>
        </w:trPr>
        <w:tc>
          <w:tcPr>
            <w:tcW w:w="1008" w:type="dxa"/>
            <w:vMerge/>
            <w:vAlign w:val="center"/>
            <w:hideMark/>
          </w:tcPr>
          <w:p w:rsidR="00306953" w:rsidRPr="00EF1584" w:rsidRDefault="00306953" w:rsidP="00306953">
            <w:pPr>
              <w:keepNext/>
              <w:spacing w:after="0" w:line="240" w:lineRule="auto"/>
              <w:rPr>
                <w:rFonts w:ascii="Times New Roman" w:hAnsi="Times New Roman"/>
                <w:color w:val="000000"/>
                <w:sz w:val="16"/>
                <w:szCs w:val="16"/>
              </w:rPr>
            </w:pPr>
          </w:p>
        </w:tc>
        <w:tc>
          <w:tcPr>
            <w:tcW w:w="422" w:type="dxa"/>
            <w:vMerge/>
            <w:vAlign w:val="center"/>
            <w:hideMark/>
          </w:tcPr>
          <w:p w:rsidR="00306953" w:rsidRPr="004C55CD" w:rsidRDefault="00306953" w:rsidP="00306953">
            <w:pPr>
              <w:keepNext/>
              <w:spacing w:after="0" w:line="240" w:lineRule="auto"/>
              <w:rPr>
                <w:rFonts w:cs="Arial"/>
                <w:color w:val="000000"/>
                <w:sz w:val="16"/>
                <w:szCs w:val="16"/>
              </w:rPr>
            </w:pPr>
          </w:p>
        </w:tc>
        <w:tc>
          <w:tcPr>
            <w:tcW w:w="1490" w:type="dxa"/>
            <w:shd w:val="clear" w:color="auto" w:fill="C6D9F1" w:themeFill="text2" w:themeFillTint="33"/>
            <w:noWrap/>
            <w:vAlign w:val="center"/>
            <w:hideMark/>
          </w:tcPr>
          <w:p w:rsidR="00306953" w:rsidRPr="00631582" w:rsidRDefault="007E5BD0" w:rsidP="004C55CD">
            <w:pPr>
              <w:keepNext/>
              <w:spacing w:after="0" w:line="240" w:lineRule="auto"/>
              <w:rPr>
                <w:rFonts w:cs="Arial"/>
                <w:bCs/>
                <w:sz w:val="16"/>
                <w:szCs w:val="16"/>
              </w:rPr>
            </w:pPr>
            <w:r w:rsidRPr="00631582">
              <w:rPr>
                <w:rFonts w:cs="Arial"/>
                <w:bCs/>
                <w:sz w:val="16"/>
                <w:szCs w:val="16"/>
              </w:rPr>
              <w:t>p</w:t>
            </w:r>
            <w:r w:rsidR="00306953" w:rsidRPr="00631582">
              <w:rPr>
                <w:rFonts w:cs="Arial"/>
                <w:bCs/>
                <w:sz w:val="16"/>
                <w:szCs w:val="16"/>
              </w:rPr>
              <w:t>růměr EU21</w:t>
            </w:r>
          </w:p>
        </w:tc>
        <w:tc>
          <w:tcPr>
            <w:tcW w:w="1490" w:type="dxa"/>
            <w:shd w:val="clear" w:color="auto" w:fill="C6D9F1" w:themeFill="text2" w:themeFillTint="33"/>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- 51 800</w:t>
            </w:r>
          </w:p>
        </w:tc>
        <w:tc>
          <w:tcPr>
            <w:tcW w:w="1418" w:type="dxa"/>
            <w:shd w:val="clear" w:color="auto" w:fill="C6D9F1" w:themeFill="text2" w:themeFillTint="33"/>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279 400</w:t>
            </w:r>
          </w:p>
        </w:tc>
        <w:tc>
          <w:tcPr>
            <w:tcW w:w="1559" w:type="dxa"/>
            <w:shd w:val="clear" w:color="auto" w:fill="C6D9F1" w:themeFill="text2" w:themeFillTint="33"/>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222 000</w:t>
            </w:r>
          </w:p>
        </w:tc>
        <w:tc>
          <w:tcPr>
            <w:tcW w:w="1417" w:type="dxa"/>
            <w:shd w:val="clear" w:color="auto" w:fill="C6D9F1" w:themeFill="text2" w:themeFillTint="33"/>
            <w:noWrap/>
            <w:vAlign w:val="center"/>
            <w:hideMark/>
          </w:tcPr>
          <w:p w:rsidR="00306953" w:rsidRPr="00EF1584" w:rsidRDefault="00306953" w:rsidP="004C55CD">
            <w:pPr>
              <w:keepNext/>
              <w:spacing w:after="0" w:line="240" w:lineRule="auto"/>
              <w:jc w:val="center"/>
              <w:rPr>
                <w:rFonts w:cs="Arial"/>
                <w:sz w:val="16"/>
                <w:szCs w:val="16"/>
              </w:rPr>
            </w:pPr>
            <w:r w:rsidRPr="00EF1584">
              <w:rPr>
                <w:rFonts w:cs="Arial"/>
                <w:sz w:val="16"/>
                <w:szCs w:val="16"/>
              </w:rPr>
              <w:t>15,5%</w:t>
            </w:r>
          </w:p>
        </w:tc>
      </w:tr>
      <w:tr w:rsidR="00306953" w:rsidRPr="00EF1584" w:rsidTr="000C6FC8">
        <w:trPr>
          <w:trHeight w:val="300"/>
        </w:trPr>
        <w:tc>
          <w:tcPr>
            <w:tcW w:w="1008" w:type="dxa"/>
            <w:vMerge/>
            <w:vAlign w:val="center"/>
            <w:hideMark/>
          </w:tcPr>
          <w:p w:rsidR="00306953" w:rsidRPr="00EF1584" w:rsidRDefault="00306953" w:rsidP="00306953">
            <w:pPr>
              <w:keepNext/>
              <w:spacing w:after="0" w:line="240" w:lineRule="auto"/>
              <w:rPr>
                <w:rFonts w:ascii="Times New Roman" w:hAnsi="Times New Roman"/>
                <w:color w:val="000000"/>
                <w:sz w:val="16"/>
                <w:szCs w:val="16"/>
              </w:rPr>
            </w:pPr>
          </w:p>
        </w:tc>
        <w:tc>
          <w:tcPr>
            <w:tcW w:w="422" w:type="dxa"/>
            <w:vMerge w:val="restart"/>
            <w:shd w:val="clear" w:color="auto" w:fill="auto"/>
            <w:noWrap/>
            <w:textDirection w:val="btLr"/>
            <w:vAlign w:val="center"/>
            <w:hideMark/>
          </w:tcPr>
          <w:p w:rsidR="00306953" w:rsidRPr="004C55CD" w:rsidRDefault="00306953" w:rsidP="00306953">
            <w:pPr>
              <w:keepNext/>
              <w:spacing w:after="0" w:line="240" w:lineRule="auto"/>
              <w:jc w:val="center"/>
              <w:rPr>
                <w:rFonts w:cs="Arial"/>
                <w:color w:val="000000"/>
                <w:sz w:val="16"/>
                <w:szCs w:val="16"/>
              </w:rPr>
            </w:pPr>
            <w:r w:rsidRPr="004C55CD">
              <w:rPr>
                <w:rFonts w:cs="Arial"/>
                <w:color w:val="000000"/>
                <w:sz w:val="16"/>
                <w:szCs w:val="16"/>
              </w:rPr>
              <w:t>ženy</w:t>
            </w:r>
          </w:p>
        </w:tc>
        <w:tc>
          <w:tcPr>
            <w:tcW w:w="1490" w:type="dxa"/>
            <w:shd w:val="clear" w:color="auto" w:fill="auto"/>
            <w:noWrap/>
            <w:vAlign w:val="center"/>
            <w:hideMark/>
          </w:tcPr>
          <w:p w:rsidR="00306953" w:rsidRPr="00631582" w:rsidRDefault="00306953" w:rsidP="004C55CD">
            <w:pPr>
              <w:keepNext/>
              <w:spacing w:after="0" w:line="240" w:lineRule="auto"/>
              <w:rPr>
                <w:rFonts w:cs="Arial"/>
                <w:sz w:val="16"/>
                <w:szCs w:val="16"/>
              </w:rPr>
            </w:pPr>
            <w:r w:rsidRPr="00631582">
              <w:rPr>
                <w:rFonts w:cs="Arial"/>
                <w:sz w:val="16"/>
                <w:szCs w:val="16"/>
              </w:rPr>
              <w:t>Česká republika</w:t>
            </w:r>
          </w:p>
        </w:tc>
        <w:tc>
          <w:tcPr>
            <w:tcW w:w="1490" w:type="dxa"/>
            <w:shd w:val="clear" w:color="auto" w:fill="auto"/>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- 29 900</w:t>
            </w:r>
          </w:p>
        </w:tc>
        <w:tc>
          <w:tcPr>
            <w:tcW w:w="1418" w:type="dxa"/>
            <w:shd w:val="clear" w:color="auto" w:fill="auto"/>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191 700</w:t>
            </w:r>
          </w:p>
        </w:tc>
        <w:tc>
          <w:tcPr>
            <w:tcW w:w="1559" w:type="dxa"/>
            <w:shd w:val="clear" w:color="auto" w:fill="auto"/>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161 800</w:t>
            </w:r>
          </w:p>
        </w:tc>
        <w:tc>
          <w:tcPr>
            <w:tcW w:w="1417" w:type="dxa"/>
            <w:shd w:val="clear" w:color="auto" w:fill="auto"/>
            <w:noWrap/>
            <w:vAlign w:val="center"/>
            <w:hideMark/>
          </w:tcPr>
          <w:p w:rsidR="00306953" w:rsidRPr="00EF1584" w:rsidRDefault="00306953" w:rsidP="004C55CD">
            <w:pPr>
              <w:keepNext/>
              <w:spacing w:after="0" w:line="240" w:lineRule="auto"/>
              <w:jc w:val="center"/>
              <w:rPr>
                <w:rFonts w:cs="Arial"/>
                <w:sz w:val="16"/>
                <w:szCs w:val="16"/>
              </w:rPr>
            </w:pPr>
            <w:r w:rsidRPr="00EF1584">
              <w:rPr>
                <w:rFonts w:cs="Arial"/>
                <w:sz w:val="16"/>
                <w:szCs w:val="16"/>
              </w:rPr>
              <w:t>16,3%</w:t>
            </w:r>
          </w:p>
        </w:tc>
      </w:tr>
      <w:tr w:rsidR="00306953" w:rsidRPr="00EF1584" w:rsidTr="000C6FC8">
        <w:trPr>
          <w:trHeight w:val="300"/>
        </w:trPr>
        <w:tc>
          <w:tcPr>
            <w:tcW w:w="1008" w:type="dxa"/>
            <w:vMerge/>
            <w:vAlign w:val="center"/>
            <w:hideMark/>
          </w:tcPr>
          <w:p w:rsidR="00306953" w:rsidRPr="00EF1584" w:rsidRDefault="00306953" w:rsidP="00306953">
            <w:pPr>
              <w:keepNext/>
              <w:spacing w:after="0" w:line="240" w:lineRule="auto"/>
              <w:rPr>
                <w:rFonts w:ascii="Times New Roman" w:hAnsi="Times New Roman"/>
                <w:color w:val="000000"/>
                <w:sz w:val="16"/>
                <w:szCs w:val="16"/>
              </w:rPr>
            </w:pPr>
          </w:p>
        </w:tc>
        <w:tc>
          <w:tcPr>
            <w:tcW w:w="422" w:type="dxa"/>
            <w:vMerge/>
            <w:vAlign w:val="center"/>
            <w:hideMark/>
          </w:tcPr>
          <w:p w:rsidR="00306953" w:rsidRPr="00EF1584" w:rsidRDefault="00306953" w:rsidP="00306953">
            <w:pPr>
              <w:keepNext/>
              <w:spacing w:after="0" w:line="240" w:lineRule="auto"/>
              <w:rPr>
                <w:rFonts w:ascii="Times New Roman" w:hAnsi="Times New Roman"/>
                <w:color w:val="000000"/>
                <w:sz w:val="16"/>
                <w:szCs w:val="16"/>
              </w:rPr>
            </w:pPr>
          </w:p>
        </w:tc>
        <w:tc>
          <w:tcPr>
            <w:tcW w:w="1490" w:type="dxa"/>
            <w:shd w:val="clear" w:color="auto" w:fill="auto"/>
            <w:noWrap/>
            <w:vAlign w:val="center"/>
            <w:hideMark/>
          </w:tcPr>
          <w:p w:rsidR="00306953" w:rsidRPr="00631582" w:rsidRDefault="00306953" w:rsidP="004C55CD">
            <w:pPr>
              <w:keepNext/>
              <w:spacing w:after="0" w:line="240" w:lineRule="auto"/>
              <w:rPr>
                <w:rFonts w:cs="Arial"/>
                <w:sz w:val="16"/>
                <w:szCs w:val="16"/>
              </w:rPr>
            </w:pPr>
            <w:r w:rsidRPr="00631582">
              <w:rPr>
                <w:rFonts w:cs="Arial"/>
                <w:sz w:val="16"/>
                <w:szCs w:val="16"/>
              </w:rPr>
              <w:t>Polsko (rok 2010)</w:t>
            </w:r>
          </w:p>
        </w:tc>
        <w:tc>
          <w:tcPr>
            <w:tcW w:w="1490" w:type="dxa"/>
            <w:shd w:val="clear" w:color="auto" w:fill="auto"/>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- 23 100</w:t>
            </w:r>
          </w:p>
        </w:tc>
        <w:tc>
          <w:tcPr>
            <w:tcW w:w="1418" w:type="dxa"/>
            <w:shd w:val="clear" w:color="auto" w:fill="auto"/>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233 800</w:t>
            </w:r>
          </w:p>
        </w:tc>
        <w:tc>
          <w:tcPr>
            <w:tcW w:w="1559" w:type="dxa"/>
            <w:shd w:val="clear" w:color="auto" w:fill="auto"/>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210 700</w:t>
            </w:r>
          </w:p>
        </w:tc>
        <w:tc>
          <w:tcPr>
            <w:tcW w:w="1417" w:type="dxa"/>
            <w:shd w:val="clear" w:color="auto" w:fill="auto"/>
            <w:noWrap/>
            <w:vAlign w:val="center"/>
            <w:hideMark/>
          </w:tcPr>
          <w:p w:rsidR="00306953" w:rsidRPr="00EF1584" w:rsidRDefault="00306953" w:rsidP="004C55CD">
            <w:pPr>
              <w:keepNext/>
              <w:spacing w:after="0" w:line="240" w:lineRule="auto"/>
              <w:jc w:val="center"/>
              <w:rPr>
                <w:rFonts w:cs="Arial"/>
                <w:sz w:val="16"/>
                <w:szCs w:val="16"/>
              </w:rPr>
            </w:pPr>
            <w:r w:rsidRPr="00EF1584">
              <w:rPr>
                <w:rFonts w:cs="Arial"/>
                <w:sz w:val="16"/>
                <w:szCs w:val="16"/>
              </w:rPr>
              <w:t>24,0%</w:t>
            </w:r>
          </w:p>
        </w:tc>
      </w:tr>
      <w:tr w:rsidR="00306953" w:rsidRPr="00EF1584" w:rsidTr="000C6FC8">
        <w:trPr>
          <w:trHeight w:val="300"/>
        </w:trPr>
        <w:tc>
          <w:tcPr>
            <w:tcW w:w="1008" w:type="dxa"/>
            <w:vMerge/>
            <w:vAlign w:val="center"/>
            <w:hideMark/>
          </w:tcPr>
          <w:p w:rsidR="00306953" w:rsidRPr="00EF1584" w:rsidRDefault="00306953" w:rsidP="00306953">
            <w:pPr>
              <w:keepNext/>
              <w:spacing w:after="0" w:line="240" w:lineRule="auto"/>
              <w:rPr>
                <w:rFonts w:ascii="Times New Roman" w:hAnsi="Times New Roman"/>
                <w:color w:val="000000"/>
                <w:sz w:val="16"/>
                <w:szCs w:val="16"/>
              </w:rPr>
            </w:pPr>
          </w:p>
        </w:tc>
        <w:tc>
          <w:tcPr>
            <w:tcW w:w="422" w:type="dxa"/>
            <w:vMerge/>
            <w:vAlign w:val="center"/>
            <w:hideMark/>
          </w:tcPr>
          <w:p w:rsidR="00306953" w:rsidRPr="00EF1584" w:rsidRDefault="00306953" w:rsidP="00306953">
            <w:pPr>
              <w:keepNext/>
              <w:spacing w:after="0" w:line="240" w:lineRule="auto"/>
              <w:rPr>
                <w:rFonts w:ascii="Times New Roman" w:hAnsi="Times New Roman"/>
                <w:color w:val="000000"/>
                <w:sz w:val="16"/>
                <w:szCs w:val="16"/>
              </w:rPr>
            </w:pPr>
          </w:p>
        </w:tc>
        <w:tc>
          <w:tcPr>
            <w:tcW w:w="1490" w:type="dxa"/>
            <w:shd w:val="clear" w:color="auto" w:fill="auto"/>
            <w:noWrap/>
            <w:vAlign w:val="center"/>
            <w:hideMark/>
          </w:tcPr>
          <w:p w:rsidR="00306953" w:rsidRPr="00631582" w:rsidRDefault="00306953" w:rsidP="004C55CD">
            <w:pPr>
              <w:keepNext/>
              <w:spacing w:after="0" w:line="240" w:lineRule="auto"/>
              <w:rPr>
                <w:rFonts w:cs="Arial"/>
                <w:sz w:val="16"/>
                <w:szCs w:val="16"/>
              </w:rPr>
            </w:pPr>
            <w:r w:rsidRPr="00631582">
              <w:rPr>
                <w:rFonts w:cs="Arial"/>
                <w:sz w:val="16"/>
                <w:szCs w:val="16"/>
              </w:rPr>
              <w:t>Slovensko</w:t>
            </w:r>
          </w:p>
        </w:tc>
        <w:tc>
          <w:tcPr>
            <w:tcW w:w="1490" w:type="dxa"/>
            <w:shd w:val="clear" w:color="auto" w:fill="auto"/>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- 33 500</w:t>
            </w:r>
          </w:p>
        </w:tc>
        <w:tc>
          <w:tcPr>
            <w:tcW w:w="1418" w:type="dxa"/>
            <w:shd w:val="clear" w:color="auto" w:fill="auto"/>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168 700</w:t>
            </w:r>
          </w:p>
        </w:tc>
        <w:tc>
          <w:tcPr>
            <w:tcW w:w="1559" w:type="dxa"/>
            <w:shd w:val="clear" w:color="auto" w:fill="auto"/>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135 200</w:t>
            </w:r>
          </w:p>
        </w:tc>
        <w:tc>
          <w:tcPr>
            <w:tcW w:w="1417" w:type="dxa"/>
            <w:shd w:val="clear" w:color="auto" w:fill="auto"/>
            <w:noWrap/>
            <w:vAlign w:val="center"/>
            <w:hideMark/>
          </w:tcPr>
          <w:p w:rsidR="00306953" w:rsidRPr="00EF1584" w:rsidRDefault="00306953" w:rsidP="004C55CD">
            <w:pPr>
              <w:keepNext/>
              <w:spacing w:after="0" w:line="240" w:lineRule="auto"/>
              <w:jc w:val="center"/>
              <w:rPr>
                <w:rFonts w:cs="Arial"/>
                <w:sz w:val="16"/>
                <w:szCs w:val="16"/>
              </w:rPr>
            </w:pPr>
            <w:r w:rsidRPr="00EF1584">
              <w:rPr>
                <w:rFonts w:cs="Arial"/>
                <w:sz w:val="16"/>
                <w:szCs w:val="16"/>
              </w:rPr>
              <w:t>14,8%</w:t>
            </w:r>
          </w:p>
        </w:tc>
      </w:tr>
      <w:tr w:rsidR="00306953" w:rsidRPr="00EF1584" w:rsidTr="000C6FC8">
        <w:trPr>
          <w:trHeight w:val="300"/>
        </w:trPr>
        <w:tc>
          <w:tcPr>
            <w:tcW w:w="1008" w:type="dxa"/>
            <w:vMerge/>
            <w:vAlign w:val="center"/>
            <w:hideMark/>
          </w:tcPr>
          <w:p w:rsidR="00306953" w:rsidRPr="00EF1584" w:rsidRDefault="00306953" w:rsidP="00306953">
            <w:pPr>
              <w:keepNext/>
              <w:spacing w:after="0" w:line="240" w:lineRule="auto"/>
              <w:rPr>
                <w:rFonts w:ascii="Times New Roman" w:hAnsi="Times New Roman"/>
                <w:color w:val="000000"/>
                <w:sz w:val="16"/>
                <w:szCs w:val="16"/>
              </w:rPr>
            </w:pPr>
          </w:p>
        </w:tc>
        <w:tc>
          <w:tcPr>
            <w:tcW w:w="422" w:type="dxa"/>
            <w:vMerge/>
            <w:vAlign w:val="center"/>
            <w:hideMark/>
          </w:tcPr>
          <w:p w:rsidR="00306953" w:rsidRPr="00EF1584" w:rsidRDefault="00306953" w:rsidP="00306953">
            <w:pPr>
              <w:keepNext/>
              <w:spacing w:after="0" w:line="240" w:lineRule="auto"/>
              <w:rPr>
                <w:rFonts w:ascii="Times New Roman" w:hAnsi="Times New Roman"/>
                <w:color w:val="000000"/>
                <w:sz w:val="16"/>
                <w:szCs w:val="16"/>
              </w:rPr>
            </w:pPr>
          </w:p>
        </w:tc>
        <w:tc>
          <w:tcPr>
            <w:tcW w:w="1490" w:type="dxa"/>
            <w:shd w:val="clear" w:color="auto" w:fill="C6D9F1" w:themeFill="text2" w:themeFillTint="33"/>
            <w:noWrap/>
            <w:vAlign w:val="center"/>
            <w:hideMark/>
          </w:tcPr>
          <w:p w:rsidR="00306953" w:rsidRPr="00631582" w:rsidRDefault="007E5BD0" w:rsidP="004C55CD">
            <w:pPr>
              <w:keepNext/>
              <w:spacing w:after="0" w:line="240" w:lineRule="auto"/>
              <w:rPr>
                <w:rFonts w:cs="Arial"/>
                <w:bCs/>
                <w:sz w:val="16"/>
                <w:szCs w:val="16"/>
              </w:rPr>
            </w:pPr>
            <w:r w:rsidRPr="00631582">
              <w:rPr>
                <w:rFonts w:cs="Arial"/>
                <w:bCs/>
                <w:sz w:val="16"/>
                <w:szCs w:val="16"/>
              </w:rPr>
              <w:t>p</w:t>
            </w:r>
            <w:r w:rsidR="00306953" w:rsidRPr="00631582">
              <w:rPr>
                <w:rFonts w:cs="Arial"/>
                <w:bCs/>
                <w:sz w:val="16"/>
                <w:szCs w:val="16"/>
              </w:rPr>
              <w:t>růměr OECD</w:t>
            </w:r>
          </w:p>
        </w:tc>
        <w:tc>
          <w:tcPr>
            <w:tcW w:w="1490" w:type="dxa"/>
            <w:shd w:val="clear" w:color="auto" w:fill="C6D9F1" w:themeFill="text2" w:themeFillTint="33"/>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- 57 200</w:t>
            </w:r>
          </w:p>
        </w:tc>
        <w:tc>
          <w:tcPr>
            <w:tcW w:w="1418" w:type="dxa"/>
            <w:shd w:val="clear" w:color="auto" w:fill="C6D9F1" w:themeFill="text2" w:themeFillTint="33"/>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208 300</w:t>
            </w:r>
          </w:p>
        </w:tc>
        <w:tc>
          <w:tcPr>
            <w:tcW w:w="1559" w:type="dxa"/>
            <w:shd w:val="clear" w:color="auto" w:fill="C6D9F1" w:themeFill="text2" w:themeFillTint="33"/>
            <w:noWrap/>
            <w:vAlign w:val="center"/>
            <w:hideMark/>
          </w:tcPr>
          <w:p w:rsidR="00306953" w:rsidRPr="00EF1584" w:rsidRDefault="00306953" w:rsidP="004C55CD">
            <w:pPr>
              <w:keepNext/>
              <w:spacing w:after="0" w:line="240" w:lineRule="auto"/>
              <w:jc w:val="center"/>
              <w:rPr>
                <w:rFonts w:cs="Arial"/>
                <w:b/>
                <w:bCs/>
                <w:sz w:val="16"/>
                <w:szCs w:val="16"/>
              </w:rPr>
            </w:pPr>
            <w:r w:rsidRPr="00EF1584">
              <w:rPr>
                <w:rFonts w:cs="Arial"/>
                <w:b/>
                <w:bCs/>
                <w:sz w:val="16"/>
                <w:szCs w:val="16"/>
              </w:rPr>
              <w:t>145 200</w:t>
            </w:r>
          </w:p>
        </w:tc>
        <w:tc>
          <w:tcPr>
            <w:tcW w:w="1417" w:type="dxa"/>
            <w:shd w:val="clear" w:color="auto" w:fill="C6D9F1" w:themeFill="text2" w:themeFillTint="33"/>
            <w:noWrap/>
            <w:vAlign w:val="center"/>
            <w:hideMark/>
          </w:tcPr>
          <w:p w:rsidR="00306953" w:rsidRPr="00EF1584" w:rsidRDefault="00306953" w:rsidP="004C55CD">
            <w:pPr>
              <w:keepNext/>
              <w:spacing w:after="0" w:line="240" w:lineRule="auto"/>
              <w:jc w:val="center"/>
              <w:rPr>
                <w:rFonts w:cs="Arial"/>
                <w:sz w:val="16"/>
                <w:szCs w:val="16"/>
              </w:rPr>
            </w:pPr>
            <w:r w:rsidRPr="00EF1584">
              <w:rPr>
                <w:rFonts w:cs="Arial"/>
                <w:sz w:val="16"/>
                <w:szCs w:val="16"/>
              </w:rPr>
              <w:t>11,5%</w:t>
            </w:r>
          </w:p>
        </w:tc>
      </w:tr>
      <w:tr w:rsidR="00306953" w:rsidRPr="00EF1584" w:rsidTr="000C6FC8">
        <w:trPr>
          <w:trHeight w:val="300"/>
        </w:trPr>
        <w:tc>
          <w:tcPr>
            <w:tcW w:w="1008" w:type="dxa"/>
            <w:vMerge/>
            <w:vAlign w:val="center"/>
            <w:hideMark/>
          </w:tcPr>
          <w:p w:rsidR="00306953" w:rsidRPr="00EF1584" w:rsidRDefault="00306953" w:rsidP="00306953">
            <w:pPr>
              <w:spacing w:after="0" w:line="240" w:lineRule="auto"/>
              <w:rPr>
                <w:rFonts w:ascii="Times New Roman" w:hAnsi="Times New Roman"/>
                <w:color w:val="000000"/>
                <w:sz w:val="16"/>
                <w:szCs w:val="16"/>
              </w:rPr>
            </w:pPr>
          </w:p>
        </w:tc>
        <w:tc>
          <w:tcPr>
            <w:tcW w:w="422" w:type="dxa"/>
            <w:vMerge/>
            <w:vAlign w:val="center"/>
            <w:hideMark/>
          </w:tcPr>
          <w:p w:rsidR="00306953" w:rsidRPr="00EF1584" w:rsidRDefault="00306953" w:rsidP="00306953">
            <w:pPr>
              <w:spacing w:after="0" w:line="240" w:lineRule="auto"/>
              <w:rPr>
                <w:rFonts w:ascii="Times New Roman" w:hAnsi="Times New Roman"/>
                <w:color w:val="000000"/>
                <w:sz w:val="16"/>
                <w:szCs w:val="16"/>
              </w:rPr>
            </w:pPr>
          </w:p>
        </w:tc>
        <w:tc>
          <w:tcPr>
            <w:tcW w:w="1490" w:type="dxa"/>
            <w:shd w:val="clear" w:color="auto" w:fill="C6D9F1" w:themeFill="text2" w:themeFillTint="33"/>
            <w:noWrap/>
            <w:vAlign w:val="center"/>
            <w:hideMark/>
          </w:tcPr>
          <w:p w:rsidR="00306953" w:rsidRPr="00631582" w:rsidRDefault="007E5BD0" w:rsidP="004C55CD">
            <w:pPr>
              <w:keepNext/>
              <w:spacing w:after="0" w:line="240" w:lineRule="auto"/>
              <w:rPr>
                <w:rFonts w:cs="Arial"/>
                <w:bCs/>
                <w:sz w:val="16"/>
                <w:szCs w:val="16"/>
              </w:rPr>
            </w:pPr>
            <w:r w:rsidRPr="00631582">
              <w:rPr>
                <w:rFonts w:cs="Arial"/>
                <w:bCs/>
                <w:sz w:val="16"/>
                <w:szCs w:val="16"/>
              </w:rPr>
              <w:t>p</w:t>
            </w:r>
            <w:r w:rsidR="00306953" w:rsidRPr="00631582">
              <w:rPr>
                <w:rFonts w:cs="Arial"/>
                <w:bCs/>
                <w:sz w:val="16"/>
                <w:szCs w:val="16"/>
              </w:rPr>
              <w:t>růměr EU21</w:t>
            </w:r>
          </w:p>
        </w:tc>
        <w:tc>
          <w:tcPr>
            <w:tcW w:w="1490" w:type="dxa"/>
            <w:shd w:val="clear" w:color="auto" w:fill="C6D9F1" w:themeFill="text2" w:themeFillTint="33"/>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- 52 100</w:t>
            </w:r>
          </w:p>
        </w:tc>
        <w:tc>
          <w:tcPr>
            <w:tcW w:w="1418" w:type="dxa"/>
            <w:shd w:val="clear" w:color="auto" w:fill="C6D9F1" w:themeFill="text2" w:themeFillTint="33"/>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199 800</w:t>
            </w:r>
          </w:p>
        </w:tc>
        <w:tc>
          <w:tcPr>
            <w:tcW w:w="1559" w:type="dxa"/>
            <w:shd w:val="clear" w:color="auto" w:fill="C6D9F1" w:themeFill="text2" w:themeFillTint="33"/>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137 700</w:t>
            </w:r>
          </w:p>
        </w:tc>
        <w:tc>
          <w:tcPr>
            <w:tcW w:w="1417" w:type="dxa"/>
            <w:shd w:val="clear" w:color="auto" w:fill="C6D9F1" w:themeFill="text2" w:themeFillTint="33"/>
            <w:noWrap/>
            <w:vAlign w:val="center"/>
            <w:hideMark/>
          </w:tcPr>
          <w:p w:rsidR="00306953" w:rsidRPr="00EF1584" w:rsidRDefault="00306953" w:rsidP="004C55CD">
            <w:pPr>
              <w:spacing w:after="0" w:line="240" w:lineRule="auto"/>
              <w:jc w:val="center"/>
              <w:rPr>
                <w:rFonts w:cs="Arial"/>
                <w:sz w:val="16"/>
                <w:szCs w:val="16"/>
              </w:rPr>
            </w:pPr>
            <w:r w:rsidRPr="00EF1584">
              <w:rPr>
                <w:rFonts w:cs="Arial"/>
                <w:sz w:val="16"/>
                <w:szCs w:val="16"/>
              </w:rPr>
              <w:t>12,2%</w:t>
            </w:r>
          </w:p>
        </w:tc>
      </w:tr>
    </w:tbl>
    <w:p w:rsidR="00306953" w:rsidRPr="00EF1584" w:rsidRDefault="00306953" w:rsidP="00C45099">
      <w:pPr>
        <w:spacing w:before="120" w:after="0" w:line="240" w:lineRule="auto"/>
        <w:jc w:val="both"/>
        <w:rPr>
          <w:rFonts w:eastAsia="ChaparralPro-Regular" w:cs="Arial"/>
          <w:sz w:val="16"/>
          <w:szCs w:val="16"/>
        </w:rPr>
      </w:pPr>
      <w:r w:rsidRPr="00EF1584">
        <w:rPr>
          <w:rFonts w:eastAsia="ChaparralPro-Regular" w:cs="Arial"/>
          <w:sz w:val="16"/>
          <w:szCs w:val="16"/>
        </w:rPr>
        <w:t xml:space="preserve">Zdroj: A 7.1a, A7.1b, A7.3a, A7.3b, OECD 2015 (výběr dat z těchto tabulek). </w:t>
      </w:r>
    </w:p>
    <w:p w:rsidR="00306953" w:rsidRPr="00EF1584" w:rsidRDefault="00306953" w:rsidP="00306953">
      <w:pPr>
        <w:spacing w:after="0" w:line="240" w:lineRule="auto"/>
        <w:jc w:val="both"/>
        <w:rPr>
          <w:rFonts w:eastAsia="ChaparralPro-Regular" w:cs="Arial"/>
          <w:sz w:val="16"/>
          <w:szCs w:val="16"/>
        </w:rPr>
      </w:pPr>
      <w:r w:rsidRPr="00EF1584">
        <w:rPr>
          <w:rFonts w:eastAsia="ChaparralPro-Regular" w:cs="Arial"/>
          <w:sz w:val="16"/>
          <w:szCs w:val="16"/>
        </w:rPr>
        <w:t xml:space="preserve">Dostupné z: </w:t>
      </w:r>
      <w:hyperlink r:id="rId166" w:history="1">
        <w:r w:rsidRPr="00EF1584">
          <w:rPr>
            <w:rStyle w:val="Hypertextovodkaz"/>
            <w:rFonts w:eastAsia="ChaparralPro-Regular" w:cs="Arial"/>
            <w:sz w:val="16"/>
            <w:szCs w:val="16"/>
          </w:rPr>
          <w:t>http://www.oecd.org/edu/educationataglance2015indicators.htm</w:t>
        </w:r>
      </w:hyperlink>
      <w:r w:rsidRPr="00EF1584">
        <w:rPr>
          <w:rFonts w:eastAsia="ChaparralPro-Regular" w:cs="Arial"/>
          <w:sz w:val="16"/>
          <w:szCs w:val="16"/>
        </w:rPr>
        <w:t xml:space="preserve"> v souboru tabulek k indikátoru A7</w:t>
      </w:r>
    </w:p>
    <w:p w:rsidR="00306953" w:rsidRPr="00306953" w:rsidRDefault="00306953" w:rsidP="00306953">
      <w:pPr>
        <w:spacing w:after="0" w:line="240" w:lineRule="auto"/>
        <w:jc w:val="both"/>
        <w:rPr>
          <w:rFonts w:eastAsia="ChaparralPro-Regular" w:cs="Arial"/>
          <w:szCs w:val="20"/>
        </w:rPr>
      </w:pPr>
    </w:p>
    <w:p w:rsidR="00306953" w:rsidRPr="00EF1584" w:rsidRDefault="00306953" w:rsidP="00306953">
      <w:pPr>
        <w:pStyle w:val="Default"/>
        <w:spacing w:after="120"/>
        <w:jc w:val="both"/>
        <w:rPr>
          <w:rFonts w:ascii="Arial" w:eastAsia="ChaparralPro-Regular" w:hAnsi="Arial" w:cs="Arial"/>
          <w:color w:val="auto"/>
          <w:sz w:val="20"/>
          <w:szCs w:val="20"/>
        </w:rPr>
      </w:pPr>
      <w:r w:rsidRPr="00EF1584">
        <w:rPr>
          <w:rFonts w:ascii="Arial" w:eastAsia="ChaparralPro-Regular" w:hAnsi="Arial" w:cs="Arial"/>
          <w:color w:val="auto"/>
          <w:sz w:val="20"/>
          <w:szCs w:val="20"/>
        </w:rPr>
        <w:t>V tabulce č. 37 je kromě celkových soukromých nákladů, výnosů a čistého finančního přínosu (podle kterého jsou řazeny země v předešlém grafu) zaznamenáno též tzv. vnitřní výnosové procento. To vyjadřuje toky financí, které probíhají v různých časových obdobích života jedince (od investic do vzdělávání, přes ušlé výdělky za dobu vzdělávání, až po finanční zisk z pozdějšího zaměstnání jedince oproti jeho pravděpodobnému výdělku, kdyby toto vzdělávání neabsolvoval), a sice v současné hodnotě. Tím je umožněno přímo porovnávat náklady a výnosy dosaženého vzdělání. V tomto pojetí jsou náklady a výnosy převedeny zpět do doby počátku investic tím, že se od všech finančních toků uskutečněných do doby počátku investic odečte diskontní sazba (</w:t>
      </w:r>
      <w:r w:rsidRPr="00AC441F">
        <w:rPr>
          <w:rFonts w:ascii="Arial" w:eastAsia="ChaparralPro-Regular" w:hAnsi="Arial" w:cs="Arial"/>
          <w:i/>
          <w:color w:val="auto"/>
          <w:sz w:val="20"/>
          <w:szCs w:val="20"/>
        </w:rPr>
        <w:t xml:space="preserve">set </w:t>
      </w:r>
      <w:proofErr w:type="spellStart"/>
      <w:r w:rsidRPr="00AC441F">
        <w:rPr>
          <w:rFonts w:ascii="Arial" w:eastAsia="ChaparralPro-Regular" w:hAnsi="Arial" w:cs="Arial"/>
          <w:i/>
          <w:color w:val="auto"/>
          <w:sz w:val="20"/>
          <w:szCs w:val="20"/>
        </w:rPr>
        <w:t>rate</w:t>
      </w:r>
      <w:proofErr w:type="spellEnd"/>
      <w:r w:rsidRPr="00AC441F">
        <w:rPr>
          <w:rFonts w:ascii="Arial" w:eastAsia="ChaparralPro-Regular" w:hAnsi="Arial" w:cs="Arial"/>
          <w:i/>
          <w:color w:val="auto"/>
          <w:sz w:val="20"/>
          <w:szCs w:val="20"/>
        </w:rPr>
        <w:t xml:space="preserve"> </w:t>
      </w:r>
      <w:proofErr w:type="spellStart"/>
      <w:r w:rsidRPr="00AC441F">
        <w:rPr>
          <w:rFonts w:ascii="Arial" w:eastAsia="ChaparralPro-Regular" w:hAnsi="Arial" w:cs="Arial"/>
          <w:i/>
          <w:color w:val="auto"/>
          <w:sz w:val="20"/>
          <w:szCs w:val="20"/>
        </w:rPr>
        <w:t>of</w:t>
      </w:r>
      <w:proofErr w:type="spellEnd"/>
      <w:r w:rsidRPr="00AC441F">
        <w:rPr>
          <w:rFonts w:ascii="Arial" w:eastAsia="ChaparralPro-Regular" w:hAnsi="Arial" w:cs="Arial"/>
          <w:i/>
          <w:color w:val="auto"/>
          <w:sz w:val="20"/>
          <w:szCs w:val="20"/>
        </w:rPr>
        <w:t xml:space="preserve"> </w:t>
      </w:r>
      <w:proofErr w:type="spellStart"/>
      <w:r w:rsidRPr="00AC441F">
        <w:rPr>
          <w:rFonts w:ascii="Arial" w:eastAsia="ChaparralPro-Regular" w:hAnsi="Arial" w:cs="Arial"/>
          <w:i/>
          <w:color w:val="auto"/>
          <w:sz w:val="20"/>
          <w:szCs w:val="20"/>
        </w:rPr>
        <w:t>interest</w:t>
      </w:r>
      <w:proofErr w:type="spellEnd"/>
      <w:r w:rsidRPr="00EF1584">
        <w:rPr>
          <w:rFonts w:ascii="Arial" w:eastAsia="ChaparralPro-Regular" w:hAnsi="Arial" w:cs="Arial"/>
          <w:color w:val="auto"/>
          <w:sz w:val="20"/>
          <w:szCs w:val="20"/>
        </w:rPr>
        <w:t>)</w:t>
      </w:r>
      <w:r w:rsidRPr="00EF1584">
        <w:rPr>
          <w:rFonts w:ascii="Arial" w:eastAsia="ChaparralPro-Regular" w:hAnsi="Arial" w:cs="Arial"/>
          <w:color w:val="FF0000"/>
          <w:sz w:val="20"/>
          <w:szCs w:val="20"/>
        </w:rPr>
        <w:t xml:space="preserve"> </w:t>
      </w:r>
      <w:r w:rsidRPr="00EF1584">
        <w:rPr>
          <w:rFonts w:ascii="Arial" w:eastAsia="ChaparralPro-Regular" w:hAnsi="Arial" w:cs="Arial"/>
          <w:color w:val="auto"/>
          <w:sz w:val="20"/>
          <w:szCs w:val="20"/>
        </w:rPr>
        <w:t>(</w:t>
      </w:r>
      <w:hyperlink r:id="rId167" w:history="1">
        <w:r w:rsidRPr="00EF1584">
          <w:rPr>
            <w:rStyle w:val="Hypertextovodkaz"/>
            <w:rFonts w:ascii="Arial" w:eastAsia="ChaparralPro-Regular" w:hAnsi="Arial" w:cs="Arial"/>
            <w:sz w:val="20"/>
            <w:szCs w:val="20"/>
          </w:rPr>
          <w:t>OECD 2015</w:t>
        </w:r>
      </w:hyperlink>
      <w:r w:rsidRPr="00EF1584">
        <w:rPr>
          <w:rFonts w:ascii="Arial" w:eastAsia="ChaparralPro-Regular" w:hAnsi="Arial" w:cs="Arial"/>
          <w:color w:val="auto"/>
          <w:sz w:val="20"/>
          <w:szCs w:val="20"/>
        </w:rPr>
        <w:t>, s. 138)</w:t>
      </w:r>
      <w:r w:rsidR="006E3FBA">
        <w:rPr>
          <w:rFonts w:ascii="Arial" w:eastAsia="ChaparralPro-Regular" w:hAnsi="Arial" w:cs="Arial"/>
          <w:color w:val="auto"/>
          <w:sz w:val="20"/>
          <w:szCs w:val="20"/>
        </w:rPr>
        <w:t>.</w:t>
      </w:r>
      <w:r w:rsidRPr="00EF1584">
        <w:rPr>
          <w:rFonts w:ascii="Arial" w:eastAsia="ChaparralPro-Regular" w:hAnsi="Arial" w:cs="Arial"/>
          <w:color w:val="auto"/>
          <w:sz w:val="20"/>
          <w:szCs w:val="20"/>
        </w:rPr>
        <w:t xml:space="preserve"> Podle jiného zdroje vypovídá vnitřní výnosové procento o tom, „</w:t>
      </w:r>
      <w:r w:rsidRPr="006205A9">
        <w:rPr>
          <w:rFonts w:ascii="Arial" w:eastAsia="ChaparralPro-Regular" w:hAnsi="Arial" w:cs="Arial"/>
          <w:i/>
          <w:color w:val="auto"/>
          <w:sz w:val="20"/>
          <w:szCs w:val="20"/>
        </w:rPr>
        <w:t>kolik procent na hodnoceném projektu vyděláme, pokud zvážíme časovou hodnotu peněz</w:t>
      </w:r>
      <w:r w:rsidRPr="00EF1584">
        <w:rPr>
          <w:rFonts w:ascii="Arial" w:eastAsia="ChaparralPro-Regular" w:hAnsi="Arial" w:cs="Arial"/>
          <w:color w:val="auto"/>
          <w:sz w:val="20"/>
          <w:szCs w:val="20"/>
        </w:rPr>
        <w:t>“</w:t>
      </w:r>
      <w:r w:rsidR="006E3FBA">
        <w:rPr>
          <w:rFonts w:ascii="Arial" w:eastAsia="ChaparralPro-Regular" w:hAnsi="Arial" w:cs="Arial"/>
          <w:color w:val="auto"/>
          <w:sz w:val="20"/>
          <w:szCs w:val="20"/>
        </w:rPr>
        <w:t xml:space="preserve"> (viz </w:t>
      </w:r>
      <w:hyperlink r:id="rId168" w:history="1">
        <w:r w:rsidR="006E3FBA" w:rsidRPr="006E3FBA">
          <w:rPr>
            <w:rStyle w:val="Hypertextovodkaz"/>
            <w:rFonts w:ascii="Arial" w:eastAsia="ChaparralPro-Regular" w:hAnsi="Arial" w:cs="Arial"/>
            <w:sz w:val="20"/>
            <w:szCs w:val="20"/>
          </w:rPr>
          <w:t>zde</w:t>
        </w:r>
      </w:hyperlink>
      <w:r w:rsidR="006E3FBA">
        <w:rPr>
          <w:rFonts w:ascii="Arial" w:eastAsia="ChaparralPro-Regular" w:hAnsi="Arial" w:cs="Arial"/>
          <w:color w:val="auto"/>
          <w:sz w:val="20"/>
          <w:szCs w:val="20"/>
        </w:rPr>
        <w:t>)</w:t>
      </w:r>
      <w:r w:rsidRPr="00EF1584">
        <w:rPr>
          <w:rFonts w:ascii="Arial" w:eastAsia="ChaparralPro-Regular" w:hAnsi="Arial" w:cs="Arial"/>
          <w:color w:val="auto"/>
          <w:sz w:val="20"/>
          <w:szCs w:val="20"/>
        </w:rPr>
        <w:t>.</w:t>
      </w:r>
    </w:p>
    <w:p w:rsidR="00306953" w:rsidRPr="00EF1584" w:rsidRDefault="00306953" w:rsidP="00306953">
      <w:pPr>
        <w:pStyle w:val="Default"/>
        <w:spacing w:after="120"/>
        <w:jc w:val="both"/>
        <w:rPr>
          <w:rFonts w:ascii="Arial" w:eastAsia="ChaparralPro-Regular" w:hAnsi="Arial" w:cs="Arial"/>
          <w:color w:val="auto"/>
          <w:sz w:val="20"/>
          <w:szCs w:val="20"/>
        </w:rPr>
      </w:pPr>
      <w:r w:rsidRPr="00EF1584">
        <w:rPr>
          <w:rFonts w:ascii="Arial" w:eastAsia="ChaparralPro-Regular" w:hAnsi="Arial" w:cs="Arial"/>
          <w:color w:val="auto"/>
          <w:sz w:val="20"/>
          <w:szCs w:val="20"/>
        </w:rPr>
        <w:t>Z tabulky je patrné, že v České republice byly v roce 2011 čisté soukromé finanční přínosy plynoucí z dosažení vyššího sekundárního až postsekundárního neterciárního vzdělání u mužů i žen značně podprůměrné, v Polsku však byly v roce 2010 v případě mužů ještě nižší. Naopak na Slovensku dosahovaly v roce 2011 nadprůměrných hodnot. Zajímavá je i skutečnost, že v Polsku byl čistý finanční přínos z dosažení vyššího sekundárního až postsekundárního neterciárního vz</w:t>
      </w:r>
      <w:r w:rsidR="00F84C44">
        <w:rPr>
          <w:rFonts w:ascii="Arial" w:eastAsia="ChaparralPro-Regular" w:hAnsi="Arial" w:cs="Arial"/>
          <w:color w:val="auto"/>
          <w:sz w:val="20"/>
          <w:szCs w:val="20"/>
        </w:rPr>
        <w:t>dělání u mužů nižší než u žen; v</w:t>
      </w:r>
      <w:r w:rsidRPr="00EF1584">
        <w:rPr>
          <w:rFonts w:ascii="Arial" w:eastAsia="ChaparralPro-Regular" w:hAnsi="Arial" w:cs="Arial"/>
          <w:color w:val="auto"/>
          <w:sz w:val="20"/>
          <w:szCs w:val="20"/>
        </w:rPr>
        <w:t xml:space="preserve"> ČR, na Slovensku i v obou mezinárodních průměrech tomu bylo naopak. Pokud se jedná o vnitřní výnosové procento, je v ČR oproti mezinárodním průměrům v případě mužů, kteří dosáhli vyššího sekundárního až postsekundárního neterciárního vzdělání, o cca 2 procentní body vyšší, v případě žen je vyšší cca o jeden procentní bod. V tomto ohledu se tedy Česká republika od mezinárodních průměrů příliš nelišila. Lze si však všimnout, že na Slovensku je toto procento u mužů, a zejména žen výrazně vyšší. </w:t>
      </w:r>
    </w:p>
    <w:p w:rsidR="00306953" w:rsidRPr="00EF1584" w:rsidRDefault="00306953" w:rsidP="00306953">
      <w:pPr>
        <w:pStyle w:val="Default"/>
        <w:spacing w:after="120"/>
        <w:jc w:val="both"/>
        <w:rPr>
          <w:rFonts w:ascii="Arial" w:eastAsia="ChaparralPro-Regular" w:hAnsi="Arial" w:cs="Arial"/>
          <w:color w:val="auto"/>
          <w:sz w:val="20"/>
          <w:szCs w:val="20"/>
        </w:rPr>
      </w:pPr>
      <w:r w:rsidRPr="00EF1584">
        <w:rPr>
          <w:rFonts w:ascii="Arial" w:eastAsia="ChaparralPro-Regular" w:hAnsi="Arial" w:cs="Arial"/>
          <w:color w:val="auto"/>
          <w:sz w:val="20"/>
          <w:szCs w:val="20"/>
        </w:rPr>
        <w:t xml:space="preserve">Čistý finanční přínos dosažení terciárního vzdělání, jakož i vnitřní výnosová </w:t>
      </w:r>
      <w:r w:rsidR="00E52654">
        <w:rPr>
          <w:rFonts w:ascii="Arial" w:eastAsia="ChaparralPro-Regular" w:hAnsi="Arial" w:cs="Arial"/>
          <w:color w:val="auto"/>
          <w:sz w:val="20"/>
          <w:szCs w:val="20"/>
        </w:rPr>
        <w:t>procenta jsou pak v ČR u mužů i </w:t>
      </w:r>
      <w:r w:rsidRPr="00EF1584">
        <w:rPr>
          <w:rFonts w:ascii="Arial" w:eastAsia="ChaparralPro-Regular" w:hAnsi="Arial" w:cs="Arial"/>
          <w:color w:val="auto"/>
          <w:sz w:val="20"/>
          <w:szCs w:val="20"/>
        </w:rPr>
        <w:t>žen za rok 2011 nadprůměrná, v sousedním Polsku však byly v roce 2010 ještě vyšší. Na Slovensku dosahují oproti ČR naopak nižších (přestože stále nadprůměrných) hodnot. V ČR, na Slovensku, v P</w:t>
      </w:r>
      <w:r w:rsidR="00E52654">
        <w:rPr>
          <w:rFonts w:ascii="Arial" w:eastAsia="ChaparralPro-Regular" w:hAnsi="Arial" w:cs="Arial"/>
          <w:color w:val="auto"/>
          <w:sz w:val="20"/>
          <w:szCs w:val="20"/>
        </w:rPr>
        <w:t>olsku, i </w:t>
      </w:r>
      <w:r w:rsidRPr="00EF1584">
        <w:rPr>
          <w:rFonts w:ascii="Arial" w:eastAsia="ChaparralPro-Regular" w:hAnsi="Arial" w:cs="Arial"/>
          <w:color w:val="auto"/>
          <w:sz w:val="20"/>
          <w:szCs w:val="20"/>
        </w:rPr>
        <w:t xml:space="preserve">v mezinárodních průměrech pak platí, že se dosažení terciárního vzdělání zpravidla více vyplatí mužům než ženám. S výjimkou Polska totéž platí i v případě dosažení vyššího sekundárního až postsekundárního </w:t>
      </w:r>
      <w:r w:rsidRPr="00EF1584">
        <w:rPr>
          <w:rFonts w:ascii="Arial" w:eastAsia="ChaparralPro-Regular" w:hAnsi="Arial" w:cs="Arial"/>
          <w:color w:val="auto"/>
          <w:sz w:val="20"/>
          <w:szCs w:val="20"/>
        </w:rPr>
        <w:lastRenderedPageBreak/>
        <w:t>neterciárního vzdělávání (zohledňujeme-li čistý finanční přínos; vnitřní výnosové procento je v případě Slovenska u žen o něco vyšší než u mužů).</w:t>
      </w:r>
    </w:p>
    <w:p w:rsidR="00306953" w:rsidRPr="00EF1584" w:rsidRDefault="00306953" w:rsidP="00306953">
      <w:pPr>
        <w:pStyle w:val="Default"/>
        <w:spacing w:after="120"/>
        <w:jc w:val="both"/>
        <w:rPr>
          <w:rFonts w:ascii="Arial" w:eastAsia="ChaparralPro-Regular" w:hAnsi="Arial" w:cs="Arial"/>
          <w:color w:val="auto"/>
          <w:sz w:val="20"/>
          <w:szCs w:val="20"/>
        </w:rPr>
      </w:pPr>
      <w:r w:rsidRPr="00EF1584">
        <w:rPr>
          <w:rFonts w:ascii="Arial" w:eastAsia="ChaparralPro-Regular" w:hAnsi="Arial" w:cs="Arial"/>
          <w:color w:val="auto"/>
          <w:sz w:val="20"/>
          <w:szCs w:val="20"/>
        </w:rPr>
        <w:t xml:space="preserve">Obraťme pozornost na </w:t>
      </w:r>
      <w:r w:rsidRPr="00645DB8">
        <w:rPr>
          <w:rFonts w:ascii="Arial" w:eastAsia="ChaparralPro-Regular" w:hAnsi="Arial" w:cs="Arial"/>
          <w:b/>
          <w:color w:val="auto"/>
          <w:sz w:val="20"/>
          <w:szCs w:val="20"/>
        </w:rPr>
        <w:t>veřejné náklady a výnosy</w:t>
      </w:r>
      <w:r w:rsidRPr="00EF1584">
        <w:rPr>
          <w:rFonts w:ascii="Arial" w:eastAsia="ChaparralPro-Regular" w:hAnsi="Arial" w:cs="Arial"/>
          <w:color w:val="auto"/>
          <w:sz w:val="20"/>
          <w:szCs w:val="20"/>
        </w:rPr>
        <w:t xml:space="preserve"> na/ze vzdělávání. Nejprve opět uvedeme grafy zveřejněné v publikaci v Education at a Glance 2015 za ženskou část populace (</w:t>
      </w:r>
      <w:r w:rsidR="00645DB8">
        <w:rPr>
          <w:rFonts w:ascii="Arial" w:eastAsia="ChaparralPro-Regular" w:hAnsi="Arial" w:cs="Arial"/>
          <w:color w:val="auto"/>
          <w:sz w:val="20"/>
          <w:szCs w:val="20"/>
        </w:rPr>
        <w:t xml:space="preserve">viz </w:t>
      </w:r>
      <w:r w:rsidRPr="00EF1584">
        <w:rPr>
          <w:rFonts w:ascii="Arial" w:eastAsia="ChaparralPro-Regular" w:hAnsi="Arial" w:cs="Arial"/>
          <w:color w:val="auto"/>
          <w:sz w:val="20"/>
          <w:szCs w:val="20"/>
        </w:rPr>
        <w:t>graf č. 24).</w:t>
      </w:r>
    </w:p>
    <w:p w:rsidR="00306953" w:rsidRPr="00A56208" w:rsidRDefault="00306953" w:rsidP="00306953">
      <w:pPr>
        <w:pStyle w:val="Default"/>
        <w:spacing w:after="120"/>
        <w:jc w:val="both"/>
        <w:rPr>
          <w:rFonts w:ascii="Arial" w:eastAsia="ChaparralPro-Regular" w:hAnsi="Arial" w:cs="Arial"/>
          <w:i/>
          <w:color w:val="auto"/>
          <w:sz w:val="20"/>
          <w:szCs w:val="20"/>
        </w:rPr>
      </w:pPr>
      <w:r w:rsidRPr="00EF1584">
        <w:rPr>
          <w:rFonts w:ascii="Arial" w:eastAsia="ChaparralPro-Regular" w:hAnsi="Arial" w:cs="Arial"/>
          <w:b/>
          <w:color w:val="auto"/>
          <w:sz w:val="20"/>
          <w:szCs w:val="20"/>
        </w:rPr>
        <w:t>Graf č. 24</w:t>
      </w:r>
      <w:r w:rsidRPr="00EF1584">
        <w:rPr>
          <w:rFonts w:ascii="Arial" w:eastAsia="ChaparralPro-Regular" w:hAnsi="Arial" w:cs="Arial"/>
          <w:color w:val="auto"/>
          <w:sz w:val="20"/>
          <w:szCs w:val="20"/>
        </w:rPr>
        <w:t xml:space="preserve"> </w:t>
      </w:r>
      <w:r w:rsidRPr="00EF1584">
        <w:rPr>
          <w:rFonts w:ascii="Arial" w:eastAsia="ChaparralPro-Regular" w:hAnsi="Arial" w:cs="Arial"/>
          <w:b/>
          <w:color w:val="auto"/>
          <w:sz w:val="20"/>
          <w:szCs w:val="20"/>
        </w:rPr>
        <w:t>Veřejné náklady a výnosy na/ze vzdělávání pro ženy v uv</w:t>
      </w:r>
      <w:r w:rsidR="005424E4">
        <w:rPr>
          <w:rFonts w:ascii="Arial" w:eastAsia="ChaparralPro-Regular" w:hAnsi="Arial" w:cs="Arial"/>
          <w:b/>
          <w:color w:val="auto"/>
          <w:sz w:val="20"/>
          <w:szCs w:val="20"/>
        </w:rPr>
        <w:t>edených zemích v roce 2011, dle </w:t>
      </w:r>
      <w:r w:rsidR="00104AFE">
        <w:rPr>
          <w:rFonts w:ascii="Arial" w:eastAsia="ChaparralPro-Regular" w:hAnsi="Arial" w:cs="Arial"/>
          <w:b/>
          <w:color w:val="auto"/>
          <w:sz w:val="20"/>
          <w:szCs w:val="20"/>
        </w:rPr>
        <w:t>výše dosaženého vzdělání (2011)</w:t>
      </w:r>
      <w:r w:rsidR="00104AFE" w:rsidRPr="00731ED6">
        <w:rPr>
          <w:rFonts w:ascii="Arial" w:eastAsia="ChaparralPro-Regular" w:hAnsi="Arial" w:cs="Arial"/>
          <w:color w:val="auto"/>
          <w:sz w:val="20"/>
          <w:szCs w:val="20"/>
        </w:rPr>
        <w:t>,</w:t>
      </w:r>
      <w:r w:rsidRPr="00EF1584">
        <w:rPr>
          <w:rFonts w:ascii="Arial" w:eastAsia="ChaparralPro-Regular" w:hAnsi="Arial" w:cs="Arial"/>
          <w:b/>
          <w:color w:val="auto"/>
          <w:sz w:val="20"/>
          <w:szCs w:val="20"/>
        </w:rPr>
        <w:t xml:space="preserve"> </w:t>
      </w:r>
      <w:r w:rsidR="00104AFE">
        <w:rPr>
          <w:rFonts w:ascii="Arial" w:eastAsia="ChaparralPro-Regular" w:hAnsi="Arial" w:cs="Arial"/>
          <w:i/>
          <w:color w:val="auto"/>
          <w:sz w:val="20"/>
          <w:szCs w:val="20"/>
        </w:rPr>
        <w:t>v</w:t>
      </w:r>
      <w:r w:rsidRPr="00104AFE">
        <w:rPr>
          <w:rFonts w:ascii="Arial" w:eastAsia="ChaparralPro-Regular" w:hAnsi="Arial" w:cs="Arial"/>
          <w:i/>
          <w:color w:val="auto"/>
          <w:sz w:val="20"/>
          <w:szCs w:val="20"/>
        </w:rPr>
        <w:t> ekvivalentu USD po zohlednění PPP</w:t>
      </w:r>
      <w:r w:rsidR="00A56208">
        <w:rPr>
          <w:rFonts w:ascii="Arial" w:eastAsia="ChaparralPro-Regular" w:hAnsi="Arial" w:cs="Arial"/>
          <w:i/>
          <w:color w:val="auto"/>
          <w:sz w:val="20"/>
          <w:szCs w:val="20"/>
        </w:rPr>
        <w:t xml:space="preserve"> pro</w:t>
      </w:r>
      <w:r w:rsidRPr="00104AFE">
        <w:rPr>
          <w:rFonts w:ascii="Arial" w:eastAsia="ChaparralPro-Regular" w:hAnsi="Arial" w:cs="Arial"/>
          <w:i/>
          <w:color w:val="auto"/>
          <w:sz w:val="20"/>
          <w:szCs w:val="20"/>
        </w:rPr>
        <w:t xml:space="preserve"> HDP</w:t>
      </w:r>
      <w:r w:rsidRPr="00306953">
        <w:rPr>
          <w:rFonts w:ascii="Arial" w:eastAsia="ChaparralPro-Regular" w:hAnsi="Arial" w:cs="Arial"/>
          <w:b/>
          <w:i/>
          <w:color w:val="auto"/>
          <w:sz w:val="22"/>
          <w:szCs w:val="22"/>
        </w:rPr>
        <w:t xml:space="preserve"> </w:t>
      </w:r>
    </w:p>
    <w:p w:rsidR="005F3752" w:rsidRPr="00306953" w:rsidRDefault="00BA5EE1" w:rsidP="00306953">
      <w:pPr>
        <w:pStyle w:val="Default"/>
        <w:spacing w:after="120"/>
        <w:jc w:val="both"/>
        <w:rPr>
          <w:rFonts w:ascii="Arial" w:eastAsia="ChaparralPro-Regular" w:hAnsi="Arial" w:cs="Arial"/>
          <w:b/>
          <w:i/>
          <w:noProof/>
          <w:color w:val="auto"/>
          <w:sz w:val="22"/>
          <w:szCs w:val="22"/>
        </w:rPr>
      </w:pPr>
      <w:r w:rsidRPr="00984E22">
        <w:rPr>
          <w:rFonts w:ascii="Arial" w:eastAsia="ChaparralPro-Regular" w:hAnsi="Arial" w:cs="Arial"/>
          <w:b/>
          <w:i/>
          <w:noProof/>
          <w:color w:val="auto"/>
          <w:sz w:val="22"/>
          <w:szCs w:val="22"/>
        </w:rPr>
        <w:pict>
          <v:shape id="_x0000_i1052" type="#_x0000_t75" style="width:426.75pt;height:270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">
            <v:imagedata r:id="rId169" o:title="" croptop="-2540f" cropbottom="-3360f" cropleft="-77f" cropright="-379f"/>
            <o:lock v:ext="edit" aspectratio="f"/>
          </v:shape>
        </w:pict>
      </w:r>
    </w:p>
    <w:p w:rsidR="00306953" w:rsidRPr="00306953" w:rsidRDefault="00BA5EE1" w:rsidP="00306953">
      <w:pPr>
        <w:pStyle w:val="Default"/>
        <w:spacing w:after="120"/>
        <w:jc w:val="both"/>
        <w:rPr>
          <w:rFonts w:ascii="Arial" w:eastAsia="ChaparralPro-Regular" w:hAnsi="Arial" w:cs="Arial"/>
          <w:color w:val="auto"/>
          <w:sz w:val="22"/>
          <w:szCs w:val="22"/>
        </w:rPr>
      </w:pPr>
      <w:r w:rsidRPr="00984E22">
        <w:rPr>
          <w:rFonts w:ascii="Arial" w:eastAsia="ChaparralPro-Regular" w:hAnsi="Arial" w:cs="Arial"/>
          <w:noProof/>
          <w:color w:val="auto"/>
          <w:sz w:val="22"/>
          <w:szCs w:val="22"/>
        </w:rPr>
        <w:pict>
          <v:shape id="Graf 48" o:spid="_x0000_i1053" type="#_x0000_t75" style="width:426.75pt;height:272.2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">
            <v:imagedata r:id="rId170" o:title="" croptop="-2492f" cropbottom="-2635f" cropleft="-77f" cropright="-223f"/>
            <o:lock v:ext="edit" aspectratio="f"/>
          </v:shape>
        </w:pict>
      </w:r>
    </w:p>
    <w:p w:rsidR="00104AFE" w:rsidRPr="00442515" w:rsidRDefault="00104AFE" w:rsidP="00104AFE">
      <w:pPr>
        <w:pStyle w:val="Default"/>
        <w:spacing w:before="120"/>
        <w:jc w:val="both"/>
        <w:rPr>
          <w:rFonts w:ascii="Arial" w:eastAsia="ChaparralPro-Regular" w:hAnsi="Arial" w:cs="Arial"/>
          <w:color w:val="auto"/>
          <w:sz w:val="16"/>
          <w:szCs w:val="16"/>
        </w:rPr>
      </w:pPr>
      <w:r w:rsidRPr="00FE5433">
        <w:rPr>
          <w:rFonts w:ascii="Arial" w:eastAsia="ChaparralPro-Regular" w:hAnsi="Arial" w:cs="Arial"/>
          <w:color w:val="auto"/>
          <w:sz w:val="16"/>
          <w:szCs w:val="16"/>
        </w:rPr>
        <w:t>(1)</w:t>
      </w:r>
      <w:r>
        <w:rPr>
          <w:rFonts w:ascii="Arial" w:eastAsia="ChaparralPro-Regular" w:hAnsi="Arial" w:cs="Arial"/>
          <w:color w:val="auto"/>
          <w:sz w:val="16"/>
          <w:szCs w:val="16"/>
        </w:rPr>
        <w:t xml:space="preserve"> </w:t>
      </w:r>
      <w:r w:rsidRPr="00442515">
        <w:rPr>
          <w:rFonts w:ascii="Arial" w:eastAsia="ChaparralPro-Regular" w:hAnsi="Arial" w:cs="Arial"/>
          <w:color w:val="auto"/>
          <w:sz w:val="16"/>
          <w:szCs w:val="16"/>
        </w:rPr>
        <w:t>Referenčním rokem u Itálie, Kanady</w:t>
      </w:r>
      <w:r>
        <w:rPr>
          <w:rFonts w:ascii="Arial" w:eastAsia="ChaparralPro-Regular" w:hAnsi="Arial" w:cs="Arial"/>
          <w:color w:val="auto"/>
          <w:sz w:val="16"/>
          <w:szCs w:val="16"/>
        </w:rPr>
        <w:t>,</w:t>
      </w:r>
      <w:r w:rsidRPr="00442515">
        <w:rPr>
          <w:rFonts w:ascii="Arial" w:eastAsia="ChaparralPro-Regular" w:hAnsi="Arial" w:cs="Arial"/>
          <w:color w:val="auto"/>
          <w:sz w:val="16"/>
          <w:szCs w:val="16"/>
        </w:rPr>
        <w:t xml:space="preserve"> Lucemburska, Nizozemska a Polska je rok 2010</w:t>
      </w:r>
    </w:p>
    <w:p w:rsidR="00306953" w:rsidRPr="00104AFE" w:rsidRDefault="00104AFE" w:rsidP="00104AFE">
      <w:pPr>
        <w:pStyle w:val="Default"/>
        <w:jc w:val="both"/>
        <w:rPr>
          <w:rFonts w:ascii="Arial" w:eastAsia="ChaparralPro-Regular" w:hAnsi="Arial" w:cs="Arial"/>
          <w:color w:val="auto"/>
          <w:sz w:val="16"/>
          <w:szCs w:val="16"/>
        </w:rPr>
      </w:pPr>
      <w:r w:rsidRPr="00FE5433">
        <w:rPr>
          <w:rFonts w:ascii="Arial" w:eastAsia="ChaparralPro-Regular" w:hAnsi="Arial" w:cs="Arial"/>
          <w:color w:val="auto"/>
          <w:sz w:val="16"/>
          <w:szCs w:val="16"/>
        </w:rPr>
        <w:t>(2)</w:t>
      </w:r>
      <w:r>
        <w:rPr>
          <w:rFonts w:ascii="Arial" w:eastAsia="ChaparralPro-Regular" w:hAnsi="Arial" w:cs="Arial"/>
          <w:color w:val="auto"/>
          <w:sz w:val="16"/>
          <w:szCs w:val="16"/>
        </w:rPr>
        <w:t xml:space="preserve"> </w:t>
      </w:r>
      <w:r w:rsidRPr="00442515">
        <w:rPr>
          <w:rFonts w:ascii="Arial" w:eastAsia="ChaparralPro-Regular" w:hAnsi="Arial" w:cs="Arial"/>
          <w:color w:val="auto"/>
          <w:sz w:val="16"/>
          <w:szCs w:val="16"/>
        </w:rPr>
        <w:t>Referenčním rokem u Austrálie je rok 2009.</w:t>
      </w:r>
    </w:p>
    <w:p w:rsidR="00306953" w:rsidRPr="00EF1584" w:rsidRDefault="00306953" w:rsidP="00306953">
      <w:pPr>
        <w:pStyle w:val="Default"/>
        <w:jc w:val="both"/>
        <w:rPr>
          <w:rFonts w:ascii="Arial" w:eastAsia="ChaparralPro-Regular" w:hAnsi="Arial" w:cs="Arial"/>
          <w:i/>
          <w:color w:val="auto"/>
          <w:sz w:val="16"/>
          <w:szCs w:val="16"/>
        </w:rPr>
      </w:pPr>
      <w:r w:rsidRPr="00EF1584">
        <w:rPr>
          <w:rFonts w:ascii="Arial" w:eastAsia="ChaparralPro-Regular" w:hAnsi="Arial" w:cs="Arial"/>
          <w:i/>
          <w:color w:val="auto"/>
          <w:sz w:val="16"/>
          <w:szCs w:val="16"/>
        </w:rPr>
        <w:t xml:space="preserve">Země jsou řazeny vzestupně dle výše celkového čistého </w:t>
      </w:r>
      <w:r w:rsidR="001D707B">
        <w:rPr>
          <w:rFonts w:ascii="Arial" w:eastAsia="ChaparralPro-Regular" w:hAnsi="Arial" w:cs="Arial"/>
          <w:i/>
          <w:color w:val="auto"/>
          <w:sz w:val="16"/>
          <w:szCs w:val="16"/>
        </w:rPr>
        <w:t>veřejn</w:t>
      </w:r>
      <w:r w:rsidRPr="00EF1584">
        <w:rPr>
          <w:rFonts w:ascii="Arial" w:eastAsia="ChaparralPro-Regular" w:hAnsi="Arial" w:cs="Arial"/>
          <w:i/>
          <w:color w:val="auto"/>
          <w:sz w:val="16"/>
          <w:szCs w:val="16"/>
        </w:rPr>
        <w:t>ého přínosu.</w:t>
      </w:r>
    </w:p>
    <w:p w:rsidR="00306953" w:rsidRPr="00EF1584" w:rsidRDefault="00306953" w:rsidP="00306953">
      <w:pPr>
        <w:pStyle w:val="Default"/>
        <w:spacing w:after="120"/>
        <w:jc w:val="both"/>
        <w:rPr>
          <w:rFonts w:ascii="Arial" w:hAnsi="Arial" w:cs="Arial"/>
          <w:sz w:val="16"/>
          <w:szCs w:val="16"/>
        </w:rPr>
      </w:pPr>
      <w:r w:rsidRPr="00EF1584">
        <w:rPr>
          <w:rFonts w:ascii="Arial" w:hAnsi="Arial" w:cs="Arial"/>
          <w:sz w:val="16"/>
          <w:szCs w:val="16"/>
        </w:rPr>
        <w:t xml:space="preserve">Zdroj: A 7.3, OECD 2015. StatLink:  </w:t>
      </w:r>
      <w:hyperlink r:id="rId171" w:history="1">
        <w:r w:rsidRPr="00EF1584">
          <w:rPr>
            <w:rStyle w:val="Hypertextovodkaz"/>
            <w:rFonts w:ascii="Arial" w:hAnsi="Arial" w:cs="Arial"/>
            <w:sz w:val="16"/>
            <w:szCs w:val="16"/>
          </w:rPr>
          <w:t>http://dx.doi.org/10.1787/888933283748</w:t>
        </w:r>
      </w:hyperlink>
      <w:r w:rsidRPr="00EF1584">
        <w:rPr>
          <w:rFonts w:ascii="Arial" w:hAnsi="Arial" w:cs="Arial"/>
          <w:color w:val="231F20"/>
          <w:sz w:val="16"/>
          <w:szCs w:val="16"/>
        </w:rPr>
        <w:t xml:space="preserve"> </w:t>
      </w:r>
    </w:p>
    <w:p w:rsidR="00306953" w:rsidRPr="00EF1584" w:rsidRDefault="00306953" w:rsidP="00306953">
      <w:pPr>
        <w:pStyle w:val="Default"/>
        <w:jc w:val="both"/>
        <w:rPr>
          <w:rFonts w:ascii="Arial" w:hAnsi="Arial" w:cs="Arial"/>
          <w:sz w:val="20"/>
          <w:szCs w:val="20"/>
        </w:rPr>
      </w:pPr>
      <w:r w:rsidRPr="00EF1584">
        <w:rPr>
          <w:rFonts w:ascii="Arial" w:hAnsi="Arial" w:cs="Arial"/>
          <w:sz w:val="20"/>
          <w:szCs w:val="20"/>
        </w:rPr>
        <w:t xml:space="preserve">Jak je patrné, v tomto ohledu Česká republika vykázala v roce 2011 nadprůměrný celkový veřejný přínos vzdělávání, a to jak v případě ženy, která dosáhla vyššího sekundárního až postsekundárního neterciárního </w:t>
      </w:r>
      <w:r w:rsidRPr="00EF1584">
        <w:rPr>
          <w:rFonts w:ascii="Arial" w:hAnsi="Arial" w:cs="Arial"/>
          <w:sz w:val="20"/>
          <w:szCs w:val="20"/>
        </w:rPr>
        <w:lastRenderedPageBreak/>
        <w:t>vzdělání, tak v případě ženy, která dosáhla terciárního vzdělání – a vyšší než Polsko (v roce 2010) či Slovensko (v roce 2011). Zároveň platí, že nejvyšší celkový přínos byl v obou případech zaznamenán ve Spojeném království a z nám kulturně bližších zemí byl v Maďarsku čistý veřejný přínos terciárního vzdělání u ženy třetí nejvyšší, na Slovinsku pak dokonce druhý nejvyšší.</w:t>
      </w:r>
    </w:p>
    <w:p w:rsidR="00306953" w:rsidRPr="00EF1584" w:rsidRDefault="00306953" w:rsidP="00306953">
      <w:pPr>
        <w:pStyle w:val="Default"/>
        <w:jc w:val="both"/>
        <w:rPr>
          <w:rFonts w:ascii="Arial" w:hAnsi="Arial" w:cs="Arial"/>
          <w:sz w:val="20"/>
          <w:szCs w:val="20"/>
        </w:rPr>
      </w:pPr>
    </w:p>
    <w:p w:rsidR="00306953" w:rsidRPr="00EF1584" w:rsidRDefault="00306953" w:rsidP="00306953">
      <w:pPr>
        <w:pStyle w:val="Default"/>
        <w:spacing w:after="120"/>
        <w:jc w:val="both"/>
        <w:rPr>
          <w:rFonts w:ascii="Arial" w:eastAsia="ChaparralPro-Regular" w:hAnsi="Arial" w:cs="Arial"/>
          <w:color w:val="auto"/>
          <w:sz w:val="20"/>
          <w:szCs w:val="20"/>
        </w:rPr>
      </w:pPr>
      <w:r w:rsidRPr="00EF1584">
        <w:rPr>
          <w:rFonts w:ascii="Arial" w:eastAsia="ChaparralPro-Regular" w:hAnsi="Arial" w:cs="Arial"/>
          <w:color w:val="auto"/>
          <w:sz w:val="20"/>
          <w:szCs w:val="20"/>
        </w:rPr>
        <w:t>V tabulce č. 38 níže jsou opět veřejné náklady a výnosy v roce 2011 v dělení na muže a ženy za ČR, Slovensko, Polsko a mezinárodní průměry:</w:t>
      </w:r>
    </w:p>
    <w:p w:rsidR="00306953" w:rsidRPr="00EF1584" w:rsidRDefault="00306953" w:rsidP="00306953">
      <w:pPr>
        <w:pStyle w:val="Default"/>
        <w:spacing w:after="120"/>
        <w:jc w:val="both"/>
        <w:rPr>
          <w:rFonts w:ascii="Arial" w:eastAsia="ChaparralPro-Regular" w:hAnsi="Arial" w:cs="Arial"/>
          <w:b/>
          <w:color w:val="auto"/>
          <w:sz w:val="20"/>
          <w:szCs w:val="20"/>
        </w:rPr>
      </w:pPr>
      <w:r w:rsidRPr="00EF1584">
        <w:rPr>
          <w:rFonts w:ascii="Arial" w:eastAsia="ChaparralPro-Regular" w:hAnsi="Arial" w:cs="Arial"/>
          <w:b/>
          <w:color w:val="auto"/>
          <w:sz w:val="20"/>
          <w:szCs w:val="20"/>
        </w:rPr>
        <w:t>Tabulka č. 38 Veřejné náklady na vzdělávání a výnosy ze vzdělávání (2011)</w:t>
      </w:r>
    </w:p>
    <w:tbl>
      <w:tblPr>
        <w:tblW w:w="8718" w:type="dxa"/>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866"/>
        <w:gridCol w:w="422"/>
        <w:gridCol w:w="1530"/>
        <w:gridCol w:w="1220"/>
        <w:gridCol w:w="1300"/>
        <w:gridCol w:w="1600"/>
        <w:gridCol w:w="1780"/>
      </w:tblGrid>
      <w:tr w:rsidR="00306953" w:rsidRPr="00EF1584" w:rsidTr="000C6FC8">
        <w:trPr>
          <w:trHeight w:val="300"/>
        </w:trPr>
        <w:tc>
          <w:tcPr>
            <w:tcW w:w="2818" w:type="dxa"/>
            <w:gridSpan w:val="3"/>
            <w:vMerge w:val="restart"/>
            <w:tcBorders>
              <w:top w:val="double" w:sz="4" w:space="0" w:color="auto"/>
              <w:bottom w:val="double" w:sz="4" w:space="0" w:color="auto"/>
            </w:tcBorders>
            <w:shd w:val="clear" w:color="auto" w:fill="FFCCCC"/>
            <w:noWrap/>
            <w:vAlign w:val="bottom"/>
            <w:hideMark/>
          </w:tcPr>
          <w:p w:rsidR="00306953" w:rsidRPr="00EF1584" w:rsidRDefault="00306953" w:rsidP="00306953">
            <w:pPr>
              <w:spacing w:after="0" w:line="240" w:lineRule="auto"/>
              <w:rPr>
                <w:rFonts w:cs="Arial"/>
                <w:color w:val="000000"/>
                <w:sz w:val="16"/>
                <w:szCs w:val="16"/>
              </w:rPr>
            </w:pPr>
            <w:r w:rsidRPr="00EF1584">
              <w:rPr>
                <w:rFonts w:cs="Arial"/>
                <w:color w:val="000000"/>
                <w:sz w:val="16"/>
                <w:szCs w:val="16"/>
              </w:rPr>
              <w:t> </w:t>
            </w:r>
          </w:p>
        </w:tc>
        <w:tc>
          <w:tcPr>
            <w:tcW w:w="1220" w:type="dxa"/>
            <w:vMerge w:val="restart"/>
            <w:tcBorders>
              <w:top w:val="double" w:sz="4" w:space="0" w:color="auto"/>
              <w:bottom w:val="double" w:sz="4" w:space="0" w:color="auto"/>
            </w:tcBorders>
            <w:shd w:val="clear" w:color="auto" w:fill="FFCCCC"/>
            <w:vAlign w:val="center"/>
            <w:hideMark/>
          </w:tcPr>
          <w:p w:rsidR="00306953" w:rsidRPr="00EF1584" w:rsidRDefault="00C45099" w:rsidP="004C55CD">
            <w:pPr>
              <w:spacing w:after="0" w:line="240" w:lineRule="auto"/>
              <w:jc w:val="center"/>
              <w:rPr>
                <w:rFonts w:cs="Arial"/>
                <w:b/>
                <w:bCs/>
                <w:sz w:val="16"/>
                <w:szCs w:val="16"/>
              </w:rPr>
            </w:pPr>
            <w:r>
              <w:rPr>
                <w:rFonts w:cs="Arial"/>
                <w:b/>
                <w:bCs/>
                <w:sz w:val="16"/>
                <w:szCs w:val="16"/>
              </w:rPr>
              <w:t>c</w:t>
            </w:r>
            <w:r w:rsidR="00306953" w:rsidRPr="00EF1584">
              <w:rPr>
                <w:rFonts w:cs="Arial"/>
                <w:b/>
                <w:bCs/>
                <w:sz w:val="16"/>
                <w:szCs w:val="16"/>
              </w:rPr>
              <w:t>elkové náklady</w:t>
            </w:r>
          </w:p>
        </w:tc>
        <w:tc>
          <w:tcPr>
            <w:tcW w:w="1300" w:type="dxa"/>
            <w:vMerge w:val="restart"/>
            <w:tcBorders>
              <w:top w:val="double" w:sz="4" w:space="0" w:color="auto"/>
              <w:bottom w:val="double" w:sz="4" w:space="0" w:color="auto"/>
            </w:tcBorders>
            <w:shd w:val="clear" w:color="auto" w:fill="FFCCCC"/>
            <w:vAlign w:val="center"/>
            <w:hideMark/>
          </w:tcPr>
          <w:p w:rsidR="00306953" w:rsidRPr="00EF1584" w:rsidRDefault="001042AC" w:rsidP="004C55CD">
            <w:pPr>
              <w:spacing w:after="0" w:line="240" w:lineRule="auto"/>
              <w:jc w:val="center"/>
              <w:rPr>
                <w:rFonts w:cs="Arial"/>
                <w:b/>
                <w:bCs/>
                <w:sz w:val="16"/>
                <w:szCs w:val="16"/>
              </w:rPr>
            </w:pPr>
            <w:r>
              <w:rPr>
                <w:rFonts w:cs="Arial"/>
                <w:b/>
                <w:bCs/>
                <w:sz w:val="16"/>
                <w:szCs w:val="16"/>
              </w:rPr>
              <w:t>celkové výnosy</w:t>
            </w:r>
          </w:p>
        </w:tc>
        <w:tc>
          <w:tcPr>
            <w:tcW w:w="1600" w:type="dxa"/>
            <w:vMerge w:val="restart"/>
            <w:tcBorders>
              <w:top w:val="double" w:sz="4" w:space="0" w:color="auto"/>
              <w:bottom w:val="double" w:sz="4" w:space="0" w:color="auto"/>
            </w:tcBorders>
            <w:shd w:val="clear" w:color="auto" w:fill="FFCCCC"/>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čistý finanční přínos</w:t>
            </w:r>
          </w:p>
        </w:tc>
        <w:tc>
          <w:tcPr>
            <w:tcW w:w="1780" w:type="dxa"/>
            <w:vMerge w:val="restart"/>
            <w:tcBorders>
              <w:top w:val="double" w:sz="4" w:space="0" w:color="auto"/>
              <w:bottom w:val="double" w:sz="4" w:space="0" w:color="auto"/>
            </w:tcBorders>
            <w:shd w:val="clear" w:color="auto" w:fill="FFCCCC"/>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vnitřní výnosové procento</w:t>
            </w:r>
          </w:p>
        </w:tc>
      </w:tr>
      <w:tr w:rsidR="00306953" w:rsidRPr="00EF1584" w:rsidTr="0015580D">
        <w:trPr>
          <w:trHeight w:val="184"/>
        </w:trPr>
        <w:tc>
          <w:tcPr>
            <w:tcW w:w="2818" w:type="dxa"/>
            <w:gridSpan w:val="3"/>
            <w:vMerge/>
            <w:tcBorders>
              <w:top w:val="single" w:sz="4" w:space="0" w:color="auto"/>
              <w:bottom w:val="double" w:sz="4" w:space="0" w:color="auto"/>
            </w:tcBorders>
            <w:shd w:val="clear" w:color="auto" w:fill="FFCCCC"/>
            <w:vAlign w:val="center"/>
            <w:hideMark/>
          </w:tcPr>
          <w:p w:rsidR="00306953" w:rsidRPr="00EF1584" w:rsidRDefault="00306953" w:rsidP="00306953">
            <w:pPr>
              <w:spacing w:after="0" w:line="240" w:lineRule="auto"/>
              <w:rPr>
                <w:rFonts w:cs="Arial"/>
                <w:color w:val="000000"/>
                <w:sz w:val="16"/>
                <w:szCs w:val="16"/>
              </w:rPr>
            </w:pPr>
          </w:p>
        </w:tc>
        <w:tc>
          <w:tcPr>
            <w:tcW w:w="1220" w:type="dxa"/>
            <w:vMerge/>
            <w:tcBorders>
              <w:top w:val="single" w:sz="4" w:space="0" w:color="auto"/>
              <w:bottom w:val="double" w:sz="4" w:space="0" w:color="auto"/>
            </w:tcBorders>
            <w:shd w:val="clear" w:color="auto" w:fill="FFCCCC"/>
            <w:vAlign w:val="center"/>
            <w:hideMark/>
          </w:tcPr>
          <w:p w:rsidR="00306953" w:rsidRPr="00EF1584" w:rsidRDefault="00306953" w:rsidP="004C55CD">
            <w:pPr>
              <w:spacing w:after="0" w:line="240" w:lineRule="auto"/>
              <w:jc w:val="center"/>
              <w:rPr>
                <w:rFonts w:cs="Arial"/>
                <w:b/>
                <w:bCs/>
                <w:sz w:val="16"/>
                <w:szCs w:val="16"/>
              </w:rPr>
            </w:pPr>
          </w:p>
        </w:tc>
        <w:tc>
          <w:tcPr>
            <w:tcW w:w="1300" w:type="dxa"/>
            <w:vMerge/>
            <w:tcBorders>
              <w:top w:val="single" w:sz="4" w:space="0" w:color="auto"/>
              <w:bottom w:val="double" w:sz="4" w:space="0" w:color="auto"/>
            </w:tcBorders>
            <w:shd w:val="clear" w:color="auto" w:fill="FFCCCC"/>
            <w:vAlign w:val="center"/>
            <w:hideMark/>
          </w:tcPr>
          <w:p w:rsidR="00306953" w:rsidRPr="00EF1584" w:rsidRDefault="00306953" w:rsidP="004C55CD">
            <w:pPr>
              <w:spacing w:after="0" w:line="240" w:lineRule="auto"/>
              <w:jc w:val="center"/>
              <w:rPr>
                <w:rFonts w:cs="Arial"/>
                <w:b/>
                <w:bCs/>
                <w:sz w:val="16"/>
                <w:szCs w:val="16"/>
              </w:rPr>
            </w:pPr>
          </w:p>
        </w:tc>
        <w:tc>
          <w:tcPr>
            <w:tcW w:w="1600" w:type="dxa"/>
            <w:vMerge/>
            <w:tcBorders>
              <w:top w:val="single" w:sz="4" w:space="0" w:color="auto"/>
              <w:bottom w:val="double" w:sz="4" w:space="0" w:color="auto"/>
            </w:tcBorders>
            <w:shd w:val="clear" w:color="auto" w:fill="FFCCCC"/>
            <w:vAlign w:val="center"/>
            <w:hideMark/>
          </w:tcPr>
          <w:p w:rsidR="00306953" w:rsidRPr="00EF1584" w:rsidRDefault="00306953" w:rsidP="004C55CD">
            <w:pPr>
              <w:spacing w:after="0" w:line="240" w:lineRule="auto"/>
              <w:jc w:val="center"/>
              <w:rPr>
                <w:rFonts w:cs="Arial"/>
                <w:b/>
                <w:bCs/>
                <w:sz w:val="16"/>
                <w:szCs w:val="16"/>
              </w:rPr>
            </w:pPr>
          </w:p>
        </w:tc>
        <w:tc>
          <w:tcPr>
            <w:tcW w:w="1780" w:type="dxa"/>
            <w:vMerge/>
            <w:tcBorders>
              <w:top w:val="single" w:sz="4" w:space="0" w:color="auto"/>
              <w:bottom w:val="double" w:sz="4" w:space="0" w:color="auto"/>
            </w:tcBorders>
            <w:shd w:val="clear" w:color="auto" w:fill="FFCCCC"/>
            <w:vAlign w:val="center"/>
            <w:hideMark/>
          </w:tcPr>
          <w:p w:rsidR="00306953" w:rsidRPr="00EF1584" w:rsidRDefault="00306953" w:rsidP="004C55CD">
            <w:pPr>
              <w:spacing w:after="0" w:line="240" w:lineRule="auto"/>
              <w:jc w:val="center"/>
              <w:rPr>
                <w:rFonts w:cs="Arial"/>
                <w:b/>
                <w:bCs/>
                <w:sz w:val="16"/>
                <w:szCs w:val="16"/>
              </w:rPr>
            </w:pPr>
          </w:p>
        </w:tc>
      </w:tr>
      <w:tr w:rsidR="00306953" w:rsidRPr="00EF1584" w:rsidTr="000C6FC8">
        <w:trPr>
          <w:trHeight w:val="300"/>
        </w:trPr>
        <w:tc>
          <w:tcPr>
            <w:tcW w:w="866" w:type="dxa"/>
            <w:vMerge w:val="restart"/>
            <w:tcBorders>
              <w:top w:val="double" w:sz="4" w:space="0" w:color="auto"/>
            </w:tcBorders>
            <w:shd w:val="clear" w:color="auto" w:fill="auto"/>
            <w:noWrap/>
            <w:textDirection w:val="btLr"/>
            <w:vAlign w:val="center"/>
            <w:hideMark/>
          </w:tcPr>
          <w:p w:rsidR="00306953" w:rsidRPr="00EF1584" w:rsidRDefault="00306953" w:rsidP="00306953">
            <w:pPr>
              <w:spacing w:after="0" w:line="240" w:lineRule="auto"/>
              <w:jc w:val="center"/>
              <w:rPr>
                <w:rFonts w:cs="Arial"/>
                <w:color w:val="000000"/>
                <w:sz w:val="16"/>
                <w:szCs w:val="16"/>
              </w:rPr>
            </w:pPr>
            <w:r w:rsidRPr="00EF1584">
              <w:rPr>
                <w:rFonts w:cs="Arial"/>
                <w:color w:val="000000"/>
                <w:sz w:val="16"/>
                <w:szCs w:val="16"/>
              </w:rPr>
              <w:t xml:space="preserve">vyšší sekundární až postsekundární neterciární vzdělávání </w:t>
            </w:r>
          </w:p>
        </w:tc>
        <w:tc>
          <w:tcPr>
            <w:tcW w:w="422" w:type="dxa"/>
            <w:vMerge w:val="restart"/>
            <w:tcBorders>
              <w:top w:val="double" w:sz="4" w:space="0" w:color="auto"/>
            </w:tcBorders>
            <w:shd w:val="clear" w:color="auto" w:fill="auto"/>
            <w:noWrap/>
            <w:textDirection w:val="btLr"/>
            <w:vAlign w:val="center"/>
            <w:hideMark/>
          </w:tcPr>
          <w:p w:rsidR="00306953" w:rsidRPr="00EF1584" w:rsidRDefault="00306953" w:rsidP="00306953">
            <w:pPr>
              <w:spacing w:after="0" w:line="240" w:lineRule="auto"/>
              <w:jc w:val="center"/>
              <w:rPr>
                <w:rFonts w:cs="Arial"/>
                <w:color w:val="000000"/>
                <w:sz w:val="16"/>
                <w:szCs w:val="16"/>
              </w:rPr>
            </w:pPr>
            <w:r w:rsidRPr="00EF1584">
              <w:rPr>
                <w:rFonts w:cs="Arial"/>
                <w:color w:val="000000"/>
                <w:sz w:val="16"/>
                <w:szCs w:val="16"/>
              </w:rPr>
              <w:t>muži</w:t>
            </w:r>
          </w:p>
        </w:tc>
        <w:tc>
          <w:tcPr>
            <w:tcW w:w="1530" w:type="dxa"/>
            <w:tcBorders>
              <w:top w:val="double" w:sz="4" w:space="0" w:color="auto"/>
            </w:tcBorders>
            <w:shd w:val="clear" w:color="auto" w:fill="auto"/>
            <w:noWrap/>
            <w:vAlign w:val="center"/>
            <w:hideMark/>
          </w:tcPr>
          <w:p w:rsidR="00306953" w:rsidRPr="00631582" w:rsidRDefault="00306953" w:rsidP="004C55CD">
            <w:pPr>
              <w:spacing w:after="0" w:line="240" w:lineRule="auto"/>
              <w:rPr>
                <w:rFonts w:cs="Arial"/>
                <w:sz w:val="16"/>
                <w:szCs w:val="16"/>
              </w:rPr>
            </w:pPr>
            <w:r w:rsidRPr="00631582">
              <w:rPr>
                <w:rFonts w:cs="Arial"/>
                <w:sz w:val="16"/>
                <w:szCs w:val="16"/>
              </w:rPr>
              <w:t>Česká republika</w:t>
            </w:r>
          </w:p>
        </w:tc>
        <w:tc>
          <w:tcPr>
            <w:tcW w:w="1220" w:type="dxa"/>
            <w:tcBorders>
              <w:top w:val="double" w:sz="4" w:space="0" w:color="auto"/>
            </w:tcBorders>
            <w:shd w:val="clear" w:color="auto" w:fill="auto"/>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- 17 800</w:t>
            </w:r>
          </w:p>
        </w:tc>
        <w:tc>
          <w:tcPr>
            <w:tcW w:w="1300" w:type="dxa"/>
            <w:tcBorders>
              <w:top w:val="double" w:sz="4" w:space="0" w:color="auto"/>
            </w:tcBorders>
            <w:shd w:val="clear" w:color="auto" w:fill="auto"/>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122 300</w:t>
            </w:r>
          </w:p>
        </w:tc>
        <w:tc>
          <w:tcPr>
            <w:tcW w:w="1600" w:type="dxa"/>
            <w:tcBorders>
              <w:top w:val="double" w:sz="4" w:space="0" w:color="auto"/>
            </w:tcBorders>
            <w:shd w:val="clear" w:color="auto" w:fill="auto"/>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104 500</w:t>
            </w:r>
          </w:p>
        </w:tc>
        <w:tc>
          <w:tcPr>
            <w:tcW w:w="1780" w:type="dxa"/>
            <w:tcBorders>
              <w:top w:val="double" w:sz="4" w:space="0" w:color="auto"/>
            </w:tcBorders>
            <w:shd w:val="clear" w:color="auto" w:fill="auto"/>
            <w:noWrap/>
            <w:vAlign w:val="center"/>
            <w:hideMark/>
          </w:tcPr>
          <w:p w:rsidR="00306953" w:rsidRPr="00EF1584" w:rsidRDefault="00306953" w:rsidP="004C55CD">
            <w:pPr>
              <w:spacing w:after="0" w:line="240" w:lineRule="auto"/>
              <w:jc w:val="center"/>
              <w:rPr>
                <w:rFonts w:cs="Arial"/>
                <w:sz w:val="16"/>
                <w:szCs w:val="16"/>
              </w:rPr>
            </w:pPr>
            <w:r w:rsidRPr="00EF1584">
              <w:rPr>
                <w:rFonts w:cs="Arial"/>
                <w:sz w:val="16"/>
                <w:szCs w:val="16"/>
              </w:rPr>
              <w:t>24,6%</w:t>
            </w:r>
          </w:p>
        </w:tc>
      </w:tr>
      <w:tr w:rsidR="00306953" w:rsidRPr="00EF1584" w:rsidTr="000C6FC8">
        <w:trPr>
          <w:trHeight w:val="300"/>
        </w:trPr>
        <w:tc>
          <w:tcPr>
            <w:tcW w:w="866" w:type="dxa"/>
            <w:vMerge/>
            <w:vAlign w:val="center"/>
            <w:hideMark/>
          </w:tcPr>
          <w:p w:rsidR="00306953" w:rsidRPr="00EF1584" w:rsidRDefault="00306953" w:rsidP="00306953">
            <w:pPr>
              <w:spacing w:after="0" w:line="240" w:lineRule="auto"/>
              <w:rPr>
                <w:rFonts w:cs="Arial"/>
                <w:color w:val="000000"/>
                <w:sz w:val="16"/>
                <w:szCs w:val="16"/>
              </w:rPr>
            </w:pPr>
          </w:p>
        </w:tc>
        <w:tc>
          <w:tcPr>
            <w:tcW w:w="422" w:type="dxa"/>
            <w:vMerge/>
            <w:vAlign w:val="center"/>
            <w:hideMark/>
          </w:tcPr>
          <w:p w:rsidR="00306953" w:rsidRPr="00EF1584" w:rsidRDefault="00306953" w:rsidP="00306953">
            <w:pPr>
              <w:spacing w:after="0" w:line="240" w:lineRule="auto"/>
              <w:rPr>
                <w:rFonts w:cs="Arial"/>
                <w:color w:val="000000"/>
                <w:sz w:val="16"/>
                <w:szCs w:val="16"/>
              </w:rPr>
            </w:pPr>
          </w:p>
        </w:tc>
        <w:tc>
          <w:tcPr>
            <w:tcW w:w="1530" w:type="dxa"/>
            <w:shd w:val="clear" w:color="auto" w:fill="auto"/>
            <w:noWrap/>
            <w:vAlign w:val="center"/>
            <w:hideMark/>
          </w:tcPr>
          <w:p w:rsidR="00306953" w:rsidRPr="00631582" w:rsidRDefault="00306953" w:rsidP="004C55CD">
            <w:pPr>
              <w:spacing w:after="0" w:line="240" w:lineRule="auto"/>
              <w:rPr>
                <w:rFonts w:cs="Arial"/>
                <w:sz w:val="16"/>
                <w:szCs w:val="16"/>
              </w:rPr>
            </w:pPr>
            <w:r w:rsidRPr="00631582">
              <w:rPr>
                <w:rFonts w:cs="Arial"/>
                <w:sz w:val="16"/>
                <w:szCs w:val="16"/>
              </w:rPr>
              <w:t>Polsko (rok 2010)</w:t>
            </w:r>
          </w:p>
        </w:tc>
        <w:tc>
          <w:tcPr>
            <w:tcW w:w="1220" w:type="dxa"/>
            <w:shd w:val="clear" w:color="auto" w:fill="auto"/>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- 22 900</w:t>
            </w:r>
          </w:p>
        </w:tc>
        <w:tc>
          <w:tcPr>
            <w:tcW w:w="1300" w:type="dxa"/>
            <w:shd w:val="clear" w:color="auto" w:fill="auto"/>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41 900</w:t>
            </w:r>
          </w:p>
        </w:tc>
        <w:tc>
          <w:tcPr>
            <w:tcW w:w="1600" w:type="dxa"/>
            <w:shd w:val="clear" w:color="auto" w:fill="auto"/>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19 000</w:t>
            </w:r>
          </w:p>
        </w:tc>
        <w:tc>
          <w:tcPr>
            <w:tcW w:w="1780" w:type="dxa"/>
            <w:shd w:val="clear" w:color="auto" w:fill="auto"/>
            <w:noWrap/>
            <w:vAlign w:val="center"/>
            <w:hideMark/>
          </w:tcPr>
          <w:p w:rsidR="00306953" w:rsidRPr="00EF1584" w:rsidRDefault="00306953" w:rsidP="004C55CD">
            <w:pPr>
              <w:spacing w:after="0" w:line="240" w:lineRule="auto"/>
              <w:jc w:val="center"/>
              <w:rPr>
                <w:rFonts w:cs="Arial"/>
                <w:sz w:val="16"/>
                <w:szCs w:val="16"/>
              </w:rPr>
            </w:pPr>
            <w:r w:rsidRPr="00EF1584">
              <w:rPr>
                <w:rFonts w:cs="Arial"/>
                <w:sz w:val="16"/>
                <w:szCs w:val="16"/>
              </w:rPr>
              <w:t>6,3%</w:t>
            </w:r>
          </w:p>
        </w:tc>
      </w:tr>
      <w:tr w:rsidR="00306953" w:rsidRPr="00EF1584" w:rsidTr="000C6FC8">
        <w:trPr>
          <w:trHeight w:val="300"/>
        </w:trPr>
        <w:tc>
          <w:tcPr>
            <w:tcW w:w="866" w:type="dxa"/>
            <w:vMerge/>
            <w:vAlign w:val="center"/>
            <w:hideMark/>
          </w:tcPr>
          <w:p w:rsidR="00306953" w:rsidRPr="00EF1584" w:rsidRDefault="00306953" w:rsidP="00306953">
            <w:pPr>
              <w:spacing w:after="0" w:line="240" w:lineRule="auto"/>
              <w:rPr>
                <w:rFonts w:cs="Arial"/>
                <w:color w:val="000000"/>
                <w:sz w:val="16"/>
                <w:szCs w:val="16"/>
              </w:rPr>
            </w:pPr>
          </w:p>
        </w:tc>
        <w:tc>
          <w:tcPr>
            <w:tcW w:w="422" w:type="dxa"/>
            <w:vMerge/>
            <w:vAlign w:val="center"/>
            <w:hideMark/>
          </w:tcPr>
          <w:p w:rsidR="00306953" w:rsidRPr="00EF1584" w:rsidRDefault="00306953" w:rsidP="00306953">
            <w:pPr>
              <w:spacing w:after="0" w:line="240" w:lineRule="auto"/>
              <w:rPr>
                <w:rFonts w:cs="Arial"/>
                <w:color w:val="000000"/>
                <w:sz w:val="16"/>
                <w:szCs w:val="16"/>
              </w:rPr>
            </w:pPr>
          </w:p>
        </w:tc>
        <w:tc>
          <w:tcPr>
            <w:tcW w:w="1530" w:type="dxa"/>
            <w:shd w:val="clear" w:color="auto" w:fill="auto"/>
            <w:noWrap/>
            <w:vAlign w:val="center"/>
            <w:hideMark/>
          </w:tcPr>
          <w:p w:rsidR="00306953" w:rsidRPr="00631582" w:rsidRDefault="00306953" w:rsidP="004C55CD">
            <w:pPr>
              <w:spacing w:after="0" w:line="240" w:lineRule="auto"/>
              <w:rPr>
                <w:rFonts w:cs="Arial"/>
                <w:sz w:val="16"/>
                <w:szCs w:val="16"/>
              </w:rPr>
            </w:pPr>
            <w:r w:rsidRPr="00631582">
              <w:rPr>
                <w:rFonts w:cs="Arial"/>
                <w:sz w:val="16"/>
                <w:szCs w:val="16"/>
              </w:rPr>
              <w:t>Slovensko</w:t>
            </w:r>
          </w:p>
        </w:tc>
        <w:tc>
          <w:tcPr>
            <w:tcW w:w="1220" w:type="dxa"/>
            <w:shd w:val="clear" w:color="auto" w:fill="auto"/>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- 13 700</w:t>
            </w:r>
          </w:p>
        </w:tc>
        <w:tc>
          <w:tcPr>
            <w:tcW w:w="1300" w:type="dxa"/>
            <w:shd w:val="clear" w:color="auto" w:fill="auto"/>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98 900</w:t>
            </w:r>
          </w:p>
        </w:tc>
        <w:tc>
          <w:tcPr>
            <w:tcW w:w="1600" w:type="dxa"/>
            <w:shd w:val="clear" w:color="auto" w:fill="auto"/>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85 100</w:t>
            </w:r>
          </w:p>
        </w:tc>
        <w:tc>
          <w:tcPr>
            <w:tcW w:w="1780" w:type="dxa"/>
            <w:shd w:val="clear" w:color="auto" w:fill="auto"/>
            <w:noWrap/>
            <w:vAlign w:val="center"/>
            <w:hideMark/>
          </w:tcPr>
          <w:p w:rsidR="00306953" w:rsidRPr="00EF1584" w:rsidRDefault="00306953" w:rsidP="004C55CD">
            <w:pPr>
              <w:spacing w:after="0" w:line="240" w:lineRule="auto"/>
              <w:jc w:val="center"/>
              <w:rPr>
                <w:rFonts w:cs="Arial"/>
                <w:sz w:val="16"/>
                <w:szCs w:val="16"/>
              </w:rPr>
            </w:pPr>
            <w:r w:rsidRPr="00EF1584">
              <w:rPr>
                <w:rFonts w:cs="Arial"/>
                <w:sz w:val="16"/>
                <w:szCs w:val="16"/>
              </w:rPr>
              <w:t>21,8%</w:t>
            </w:r>
          </w:p>
        </w:tc>
      </w:tr>
      <w:tr w:rsidR="00306953" w:rsidRPr="00EF1584" w:rsidTr="000C6FC8">
        <w:trPr>
          <w:trHeight w:val="300"/>
        </w:trPr>
        <w:tc>
          <w:tcPr>
            <w:tcW w:w="866" w:type="dxa"/>
            <w:vMerge/>
            <w:vAlign w:val="center"/>
            <w:hideMark/>
          </w:tcPr>
          <w:p w:rsidR="00306953" w:rsidRPr="00EF1584" w:rsidRDefault="00306953" w:rsidP="00306953">
            <w:pPr>
              <w:spacing w:after="0" w:line="240" w:lineRule="auto"/>
              <w:rPr>
                <w:rFonts w:cs="Arial"/>
                <w:color w:val="000000"/>
                <w:sz w:val="16"/>
                <w:szCs w:val="16"/>
              </w:rPr>
            </w:pPr>
          </w:p>
        </w:tc>
        <w:tc>
          <w:tcPr>
            <w:tcW w:w="422" w:type="dxa"/>
            <w:vMerge/>
            <w:vAlign w:val="center"/>
            <w:hideMark/>
          </w:tcPr>
          <w:p w:rsidR="00306953" w:rsidRPr="00EF1584" w:rsidRDefault="00306953" w:rsidP="00306953">
            <w:pPr>
              <w:spacing w:after="0" w:line="240" w:lineRule="auto"/>
              <w:rPr>
                <w:rFonts w:cs="Arial"/>
                <w:color w:val="000000"/>
                <w:sz w:val="16"/>
                <w:szCs w:val="16"/>
              </w:rPr>
            </w:pPr>
          </w:p>
        </w:tc>
        <w:tc>
          <w:tcPr>
            <w:tcW w:w="1530" w:type="dxa"/>
            <w:shd w:val="clear" w:color="auto" w:fill="C6D9F1" w:themeFill="text2" w:themeFillTint="33"/>
            <w:noWrap/>
            <w:vAlign w:val="center"/>
            <w:hideMark/>
          </w:tcPr>
          <w:p w:rsidR="00306953" w:rsidRPr="00631582" w:rsidRDefault="00306953" w:rsidP="004C55CD">
            <w:pPr>
              <w:spacing w:after="0" w:line="240" w:lineRule="auto"/>
              <w:rPr>
                <w:rFonts w:cs="Arial"/>
                <w:bCs/>
                <w:sz w:val="16"/>
                <w:szCs w:val="16"/>
              </w:rPr>
            </w:pPr>
            <w:r w:rsidRPr="00631582">
              <w:rPr>
                <w:rFonts w:cs="Arial"/>
                <w:bCs/>
                <w:sz w:val="16"/>
                <w:szCs w:val="16"/>
              </w:rPr>
              <w:t>průměr OECD</w:t>
            </w:r>
          </w:p>
        </w:tc>
        <w:tc>
          <w:tcPr>
            <w:tcW w:w="1220" w:type="dxa"/>
            <w:shd w:val="clear" w:color="auto" w:fill="C6D9F1" w:themeFill="text2" w:themeFillTint="33"/>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- 31 600</w:t>
            </w:r>
          </w:p>
        </w:tc>
        <w:tc>
          <w:tcPr>
            <w:tcW w:w="1300" w:type="dxa"/>
            <w:shd w:val="clear" w:color="auto" w:fill="C6D9F1" w:themeFill="text2" w:themeFillTint="33"/>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99 300</w:t>
            </w:r>
          </w:p>
        </w:tc>
        <w:tc>
          <w:tcPr>
            <w:tcW w:w="1600" w:type="dxa"/>
            <w:shd w:val="clear" w:color="auto" w:fill="C6D9F1" w:themeFill="text2" w:themeFillTint="33"/>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70 300</w:t>
            </w:r>
          </w:p>
        </w:tc>
        <w:tc>
          <w:tcPr>
            <w:tcW w:w="1780" w:type="dxa"/>
            <w:shd w:val="clear" w:color="auto" w:fill="C6D9F1" w:themeFill="text2" w:themeFillTint="33"/>
            <w:noWrap/>
            <w:vAlign w:val="center"/>
            <w:hideMark/>
          </w:tcPr>
          <w:p w:rsidR="00306953" w:rsidRPr="00EF1584" w:rsidRDefault="00306953" w:rsidP="004C55CD">
            <w:pPr>
              <w:spacing w:after="0" w:line="240" w:lineRule="auto"/>
              <w:jc w:val="center"/>
              <w:rPr>
                <w:rFonts w:cs="Arial"/>
                <w:sz w:val="16"/>
                <w:szCs w:val="16"/>
              </w:rPr>
            </w:pPr>
            <w:r w:rsidRPr="00EF1584">
              <w:rPr>
                <w:rFonts w:cs="Arial"/>
                <w:sz w:val="16"/>
                <w:szCs w:val="16"/>
              </w:rPr>
              <w:t>13,5%</w:t>
            </w:r>
          </w:p>
        </w:tc>
      </w:tr>
      <w:tr w:rsidR="00306953" w:rsidRPr="00EF1584" w:rsidTr="000C6FC8">
        <w:trPr>
          <w:trHeight w:val="300"/>
        </w:trPr>
        <w:tc>
          <w:tcPr>
            <w:tcW w:w="866" w:type="dxa"/>
            <w:vMerge/>
            <w:vAlign w:val="center"/>
            <w:hideMark/>
          </w:tcPr>
          <w:p w:rsidR="00306953" w:rsidRPr="00EF1584" w:rsidRDefault="00306953" w:rsidP="00306953">
            <w:pPr>
              <w:spacing w:after="0" w:line="240" w:lineRule="auto"/>
              <w:rPr>
                <w:rFonts w:cs="Arial"/>
                <w:color w:val="000000"/>
                <w:sz w:val="16"/>
                <w:szCs w:val="16"/>
              </w:rPr>
            </w:pPr>
          </w:p>
        </w:tc>
        <w:tc>
          <w:tcPr>
            <w:tcW w:w="422" w:type="dxa"/>
            <w:vMerge/>
            <w:vAlign w:val="center"/>
            <w:hideMark/>
          </w:tcPr>
          <w:p w:rsidR="00306953" w:rsidRPr="00EF1584" w:rsidRDefault="00306953" w:rsidP="00306953">
            <w:pPr>
              <w:spacing w:after="0" w:line="240" w:lineRule="auto"/>
              <w:rPr>
                <w:rFonts w:cs="Arial"/>
                <w:color w:val="000000"/>
                <w:sz w:val="16"/>
                <w:szCs w:val="16"/>
              </w:rPr>
            </w:pPr>
          </w:p>
        </w:tc>
        <w:tc>
          <w:tcPr>
            <w:tcW w:w="1530" w:type="dxa"/>
            <w:shd w:val="clear" w:color="auto" w:fill="C6D9F1" w:themeFill="text2" w:themeFillTint="33"/>
            <w:noWrap/>
            <w:vAlign w:val="center"/>
            <w:hideMark/>
          </w:tcPr>
          <w:p w:rsidR="00306953" w:rsidRPr="00631582" w:rsidRDefault="00306953" w:rsidP="004C55CD">
            <w:pPr>
              <w:spacing w:after="0" w:line="240" w:lineRule="auto"/>
              <w:rPr>
                <w:rFonts w:cs="Arial"/>
                <w:bCs/>
                <w:sz w:val="16"/>
                <w:szCs w:val="16"/>
              </w:rPr>
            </w:pPr>
            <w:r w:rsidRPr="00631582">
              <w:rPr>
                <w:rFonts w:cs="Arial"/>
                <w:bCs/>
                <w:sz w:val="16"/>
                <w:szCs w:val="16"/>
              </w:rPr>
              <w:t>průměr EU21</w:t>
            </w:r>
          </w:p>
        </w:tc>
        <w:tc>
          <w:tcPr>
            <w:tcW w:w="1220" w:type="dxa"/>
            <w:shd w:val="clear" w:color="auto" w:fill="C6D9F1" w:themeFill="text2" w:themeFillTint="33"/>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- 31 300</w:t>
            </w:r>
          </w:p>
        </w:tc>
        <w:tc>
          <w:tcPr>
            <w:tcW w:w="1300" w:type="dxa"/>
            <w:shd w:val="clear" w:color="auto" w:fill="C6D9F1" w:themeFill="text2" w:themeFillTint="33"/>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107 800</w:t>
            </w:r>
          </w:p>
        </w:tc>
        <w:tc>
          <w:tcPr>
            <w:tcW w:w="1600" w:type="dxa"/>
            <w:shd w:val="clear" w:color="auto" w:fill="C6D9F1" w:themeFill="text2" w:themeFillTint="33"/>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81 000</w:t>
            </w:r>
          </w:p>
        </w:tc>
        <w:tc>
          <w:tcPr>
            <w:tcW w:w="1780" w:type="dxa"/>
            <w:shd w:val="clear" w:color="auto" w:fill="C6D9F1" w:themeFill="text2" w:themeFillTint="33"/>
            <w:noWrap/>
            <w:vAlign w:val="center"/>
            <w:hideMark/>
          </w:tcPr>
          <w:p w:rsidR="00306953" w:rsidRPr="00EF1584" w:rsidRDefault="00306953" w:rsidP="004C55CD">
            <w:pPr>
              <w:spacing w:after="0" w:line="240" w:lineRule="auto"/>
              <w:jc w:val="center"/>
              <w:rPr>
                <w:rFonts w:cs="Arial"/>
                <w:sz w:val="16"/>
                <w:szCs w:val="16"/>
              </w:rPr>
            </w:pPr>
            <w:r w:rsidRPr="00EF1584">
              <w:rPr>
                <w:rFonts w:cs="Arial"/>
                <w:sz w:val="16"/>
                <w:szCs w:val="16"/>
              </w:rPr>
              <w:t>15,8%</w:t>
            </w:r>
          </w:p>
        </w:tc>
      </w:tr>
      <w:tr w:rsidR="00306953" w:rsidRPr="00EF1584" w:rsidTr="000C6FC8">
        <w:trPr>
          <w:trHeight w:val="300"/>
        </w:trPr>
        <w:tc>
          <w:tcPr>
            <w:tcW w:w="866" w:type="dxa"/>
            <w:vMerge/>
            <w:vAlign w:val="center"/>
            <w:hideMark/>
          </w:tcPr>
          <w:p w:rsidR="00306953" w:rsidRPr="00EF1584" w:rsidRDefault="00306953" w:rsidP="00306953">
            <w:pPr>
              <w:spacing w:after="0" w:line="240" w:lineRule="auto"/>
              <w:rPr>
                <w:rFonts w:cs="Arial"/>
                <w:color w:val="000000"/>
                <w:sz w:val="16"/>
                <w:szCs w:val="16"/>
              </w:rPr>
            </w:pPr>
          </w:p>
        </w:tc>
        <w:tc>
          <w:tcPr>
            <w:tcW w:w="422" w:type="dxa"/>
            <w:vMerge w:val="restart"/>
            <w:shd w:val="clear" w:color="auto" w:fill="auto"/>
            <w:noWrap/>
            <w:textDirection w:val="btLr"/>
            <w:vAlign w:val="center"/>
            <w:hideMark/>
          </w:tcPr>
          <w:p w:rsidR="00306953" w:rsidRPr="00EF1584" w:rsidRDefault="00306953" w:rsidP="00306953">
            <w:pPr>
              <w:spacing w:after="0" w:line="240" w:lineRule="auto"/>
              <w:jc w:val="center"/>
              <w:rPr>
                <w:rFonts w:cs="Arial"/>
                <w:color w:val="000000"/>
                <w:sz w:val="16"/>
                <w:szCs w:val="16"/>
              </w:rPr>
            </w:pPr>
            <w:r w:rsidRPr="00EF1584">
              <w:rPr>
                <w:rFonts w:cs="Arial"/>
                <w:color w:val="000000"/>
                <w:sz w:val="16"/>
                <w:szCs w:val="16"/>
              </w:rPr>
              <w:t>ženy</w:t>
            </w:r>
          </w:p>
        </w:tc>
        <w:tc>
          <w:tcPr>
            <w:tcW w:w="1530" w:type="dxa"/>
            <w:shd w:val="clear" w:color="auto" w:fill="auto"/>
            <w:noWrap/>
            <w:vAlign w:val="center"/>
            <w:hideMark/>
          </w:tcPr>
          <w:p w:rsidR="00306953" w:rsidRPr="00631582" w:rsidRDefault="00306953" w:rsidP="004C55CD">
            <w:pPr>
              <w:spacing w:after="0" w:line="240" w:lineRule="auto"/>
              <w:rPr>
                <w:rFonts w:cs="Arial"/>
                <w:sz w:val="16"/>
                <w:szCs w:val="16"/>
              </w:rPr>
            </w:pPr>
            <w:r w:rsidRPr="00631582">
              <w:rPr>
                <w:rFonts w:cs="Arial"/>
                <w:sz w:val="16"/>
                <w:szCs w:val="16"/>
              </w:rPr>
              <w:t>Česká republika</w:t>
            </w:r>
          </w:p>
        </w:tc>
        <w:tc>
          <w:tcPr>
            <w:tcW w:w="1220" w:type="dxa"/>
            <w:shd w:val="clear" w:color="auto" w:fill="auto"/>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- 17 400</w:t>
            </w:r>
          </w:p>
        </w:tc>
        <w:tc>
          <w:tcPr>
            <w:tcW w:w="1300" w:type="dxa"/>
            <w:shd w:val="clear" w:color="auto" w:fill="auto"/>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104 500</w:t>
            </w:r>
          </w:p>
        </w:tc>
        <w:tc>
          <w:tcPr>
            <w:tcW w:w="1600" w:type="dxa"/>
            <w:shd w:val="clear" w:color="auto" w:fill="auto"/>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87 100</w:t>
            </w:r>
          </w:p>
        </w:tc>
        <w:tc>
          <w:tcPr>
            <w:tcW w:w="1780" w:type="dxa"/>
            <w:shd w:val="clear" w:color="auto" w:fill="auto"/>
            <w:noWrap/>
            <w:vAlign w:val="center"/>
            <w:hideMark/>
          </w:tcPr>
          <w:p w:rsidR="00306953" w:rsidRPr="00EF1584" w:rsidRDefault="00306953" w:rsidP="004C55CD">
            <w:pPr>
              <w:spacing w:after="0" w:line="240" w:lineRule="auto"/>
              <w:jc w:val="center"/>
              <w:rPr>
                <w:rFonts w:cs="Arial"/>
                <w:sz w:val="16"/>
                <w:szCs w:val="16"/>
              </w:rPr>
            </w:pPr>
            <w:r w:rsidRPr="00EF1584">
              <w:rPr>
                <w:rFonts w:cs="Arial"/>
                <w:sz w:val="16"/>
                <w:szCs w:val="16"/>
              </w:rPr>
              <w:t>20,6%</w:t>
            </w:r>
          </w:p>
        </w:tc>
      </w:tr>
      <w:tr w:rsidR="00306953" w:rsidRPr="00EF1584" w:rsidTr="000C6FC8">
        <w:trPr>
          <w:trHeight w:val="300"/>
        </w:trPr>
        <w:tc>
          <w:tcPr>
            <w:tcW w:w="866" w:type="dxa"/>
            <w:vMerge/>
            <w:vAlign w:val="center"/>
            <w:hideMark/>
          </w:tcPr>
          <w:p w:rsidR="00306953" w:rsidRPr="00EF1584" w:rsidRDefault="00306953" w:rsidP="00306953">
            <w:pPr>
              <w:spacing w:after="0" w:line="240" w:lineRule="auto"/>
              <w:rPr>
                <w:rFonts w:cs="Arial"/>
                <w:color w:val="000000"/>
                <w:sz w:val="16"/>
                <w:szCs w:val="16"/>
              </w:rPr>
            </w:pPr>
          </w:p>
        </w:tc>
        <w:tc>
          <w:tcPr>
            <w:tcW w:w="422" w:type="dxa"/>
            <w:vMerge/>
            <w:vAlign w:val="center"/>
            <w:hideMark/>
          </w:tcPr>
          <w:p w:rsidR="00306953" w:rsidRPr="00EF1584" w:rsidRDefault="00306953" w:rsidP="00306953">
            <w:pPr>
              <w:spacing w:after="0" w:line="240" w:lineRule="auto"/>
              <w:rPr>
                <w:rFonts w:cs="Arial"/>
                <w:color w:val="000000"/>
                <w:sz w:val="16"/>
                <w:szCs w:val="16"/>
              </w:rPr>
            </w:pPr>
          </w:p>
        </w:tc>
        <w:tc>
          <w:tcPr>
            <w:tcW w:w="1530" w:type="dxa"/>
            <w:shd w:val="clear" w:color="auto" w:fill="auto"/>
            <w:noWrap/>
            <w:vAlign w:val="center"/>
            <w:hideMark/>
          </w:tcPr>
          <w:p w:rsidR="00306953" w:rsidRPr="00631582" w:rsidRDefault="00306953" w:rsidP="004C55CD">
            <w:pPr>
              <w:spacing w:after="0" w:line="240" w:lineRule="auto"/>
              <w:rPr>
                <w:rFonts w:cs="Arial"/>
                <w:sz w:val="16"/>
                <w:szCs w:val="16"/>
              </w:rPr>
            </w:pPr>
            <w:r w:rsidRPr="00631582">
              <w:rPr>
                <w:rFonts w:cs="Arial"/>
                <w:sz w:val="16"/>
                <w:szCs w:val="16"/>
              </w:rPr>
              <w:t>Polsko (rok 2010)</w:t>
            </w:r>
          </w:p>
        </w:tc>
        <w:tc>
          <w:tcPr>
            <w:tcW w:w="1220" w:type="dxa"/>
            <w:shd w:val="clear" w:color="auto" w:fill="auto"/>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- 22 400</w:t>
            </w:r>
          </w:p>
        </w:tc>
        <w:tc>
          <w:tcPr>
            <w:tcW w:w="1300" w:type="dxa"/>
            <w:shd w:val="clear" w:color="auto" w:fill="auto"/>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48 200</w:t>
            </w:r>
          </w:p>
        </w:tc>
        <w:tc>
          <w:tcPr>
            <w:tcW w:w="1600" w:type="dxa"/>
            <w:shd w:val="clear" w:color="auto" w:fill="auto"/>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25 700</w:t>
            </w:r>
          </w:p>
        </w:tc>
        <w:tc>
          <w:tcPr>
            <w:tcW w:w="1780" w:type="dxa"/>
            <w:shd w:val="clear" w:color="auto" w:fill="auto"/>
            <w:noWrap/>
            <w:vAlign w:val="center"/>
            <w:hideMark/>
          </w:tcPr>
          <w:p w:rsidR="00306953" w:rsidRPr="00EF1584" w:rsidRDefault="00306953" w:rsidP="004C55CD">
            <w:pPr>
              <w:spacing w:after="0" w:line="240" w:lineRule="auto"/>
              <w:jc w:val="center"/>
              <w:rPr>
                <w:rFonts w:cs="Arial"/>
                <w:sz w:val="16"/>
                <w:szCs w:val="16"/>
              </w:rPr>
            </w:pPr>
            <w:r w:rsidRPr="00EF1584">
              <w:rPr>
                <w:rFonts w:cs="Arial"/>
                <w:sz w:val="16"/>
                <w:szCs w:val="16"/>
              </w:rPr>
              <w:t>7,4%</w:t>
            </w:r>
          </w:p>
        </w:tc>
      </w:tr>
      <w:tr w:rsidR="00306953" w:rsidRPr="00EF1584" w:rsidTr="000C6FC8">
        <w:trPr>
          <w:trHeight w:val="300"/>
        </w:trPr>
        <w:tc>
          <w:tcPr>
            <w:tcW w:w="866" w:type="dxa"/>
            <w:vMerge/>
            <w:vAlign w:val="center"/>
            <w:hideMark/>
          </w:tcPr>
          <w:p w:rsidR="00306953" w:rsidRPr="00EF1584" w:rsidRDefault="00306953" w:rsidP="00306953">
            <w:pPr>
              <w:spacing w:after="0" w:line="240" w:lineRule="auto"/>
              <w:rPr>
                <w:rFonts w:cs="Arial"/>
                <w:color w:val="000000"/>
                <w:sz w:val="16"/>
                <w:szCs w:val="16"/>
              </w:rPr>
            </w:pPr>
          </w:p>
        </w:tc>
        <w:tc>
          <w:tcPr>
            <w:tcW w:w="422" w:type="dxa"/>
            <w:vMerge/>
            <w:vAlign w:val="center"/>
            <w:hideMark/>
          </w:tcPr>
          <w:p w:rsidR="00306953" w:rsidRPr="00EF1584" w:rsidRDefault="00306953" w:rsidP="00306953">
            <w:pPr>
              <w:spacing w:after="0" w:line="240" w:lineRule="auto"/>
              <w:rPr>
                <w:rFonts w:cs="Arial"/>
                <w:color w:val="000000"/>
                <w:sz w:val="16"/>
                <w:szCs w:val="16"/>
              </w:rPr>
            </w:pPr>
          </w:p>
        </w:tc>
        <w:tc>
          <w:tcPr>
            <w:tcW w:w="1530" w:type="dxa"/>
            <w:shd w:val="clear" w:color="auto" w:fill="auto"/>
            <w:noWrap/>
            <w:vAlign w:val="center"/>
            <w:hideMark/>
          </w:tcPr>
          <w:p w:rsidR="00306953" w:rsidRPr="00631582" w:rsidRDefault="00306953" w:rsidP="004C55CD">
            <w:pPr>
              <w:spacing w:after="0" w:line="240" w:lineRule="auto"/>
              <w:rPr>
                <w:rFonts w:cs="Arial"/>
                <w:sz w:val="16"/>
                <w:szCs w:val="16"/>
              </w:rPr>
            </w:pPr>
            <w:r w:rsidRPr="00631582">
              <w:rPr>
                <w:rFonts w:cs="Arial"/>
                <w:sz w:val="16"/>
                <w:szCs w:val="16"/>
              </w:rPr>
              <w:t>Slovensko</w:t>
            </w:r>
          </w:p>
        </w:tc>
        <w:tc>
          <w:tcPr>
            <w:tcW w:w="1220" w:type="dxa"/>
            <w:shd w:val="clear" w:color="auto" w:fill="auto"/>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- 15 200</w:t>
            </w:r>
          </w:p>
        </w:tc>
        <w:tc>
          <w:tcPr>
            <w:tcW w:w="1300" w:type="dxa"/>
            <w:shd w:val="clear" w:color="auto" w:fill="auto"/>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59 700</w:t>
            </w:r>
          </w:p>
        </w:tc>
        <w:tc>
          <w:tcPr>
            <w:tcW w:w="1600" w:type="dxa"/>
            <w:shd w:val="clear" w:color="auto" w:fill="auto"/>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44 500</w:t>
            </w:r>
          </w:p>
        </w:tc>
        <w:tc>
          <w:tcPr>
            <w:tcW w:w="1780" w:type="dxa"/>
            <w:shd w:val="clear" w:color="auto" w:fill="auto"/>
            <w:noWrap/>
            <w:vAlign w:val="center"/>
            <w:hideMark/>
          </w:tcPr>
          <w:p w:rsidR="00306953" w:rsidRPr="00EF1584" w:rsidRDefault="00306953" w:rsidP="004C55CD">
            <w:pPr>
              <w:spacing w:after="0" w:line="240" w:lineRule="auto"/>
              <w:jc w:val="center"/>
              <w:rPr>
                <w:rFonts w:cs="Arial"/>
                <w:sz w:val="16"/>
                <w:szCs w:val="16"/>
              </w:rPr>
            </w:pPr>
            <w:r w:rsidRPr="00EF1584">
              <w:rPr>
                <w:rFonts w:cs="Arial"/>
                <w:sz w:val="16"/>
                <w:szCs w:val="16"/>
              </w:rPr>
              <w:t>16,0%</w:t>
            </w:r>
          </w:p>
        </w:tc>
      </w:tr>
      <w:tr w:rsidR="00306953" w:rsidRPr="00EF1584" w:rsidTr="000C6FC8">
        <w:trPr>
          <w:trHeight w:val="300"/>
        </w:trPr>
        <w:tc>
          <w:tcPr>
            <w:tcW w:w="866" w:type="dxa"/>
            <w:vMerge/>
            <w:vAlign w:val="center"/>
            <w:hideMark/>
          </w:tcPr>
          <w:p w:rsidR="00306953" w:rsidRPr="00EF1584" w:rsidRDefault="00306953" w:rsidP="00306953">
            <w:pPr>
              <w:spacing w:after="0" w:line="240" w:lineRule="auto"/>
              <w:rPr>
                <w:rFonts w:cs="Arial"/>
                <w:color w:val="000000"/>
                <w:sz w:val="16"/>
                <w:szCs w:val="16"/>
              </w:rPr>
            </w:pPr>
          </w:p>
        </w:tc>
        <w:tc>
          <w:tcPr>
            <w:tcW w:w="422" w:type="dxa"/>
            <w:vMerge/>
            <w:vAlign w:val="center"/>
            <w:hideMark/>
          </w:tcPr>
          <w:p w:rsidR="00306953" w:rsidRPr="00EF1584" w:rsidRDefault="00306953" w:rsidP="00306953">
            <w:pPr>
              <w:spacing w:after="0" w:line="240" w:lineRule="auto"/>
              <w:rPr>
                <w:rFonts w:cs="Arial"/>
                <w:color w:val="000000"/>
                <w:sz w:val="16"/>
                <w:szCs w:val="16"/>
              </w:rPr>
            </w:pPr>
          </w:p>
        </w:tc>
        <w:tc>
          <w:tcPr>
            <w:tcW w:w="1530" w:type="dxa"/>
            <w:shd w:val="clear" w:color="auto" w:fill="C6D9F1" w:themeFill="text2" w:themeFillTint="33"/>
            <w:noWrap/>
            <w:vAlign w:val="center"/>
            <w:hideMark/>
          </w:tcPr>
          <w:p w:rsidR="00306953" w:rsidRPr="00631582" w:rsidRDefault="00306953" w:rsidP="004C55CD">
            <w:pPr>
              <w:spacing w:after="0" w:line="240" w:lineRule="auto"/>
              <w:rPr>
                <w:rFonts w:cs="Arial"/>
                <w:bCs/>
                <w:sz w:val="16"/>
                <w:szCs w:val="16"/>
              </w:rPr>
            </w:pPr>
            <w:r w:rsidRPr="00631582">
              <w:rPr>
                <w:rFonts w:cs="Arial"/>
                <w:bCs/>
                <w:sz w:val="16"/>
                <w:szCs w:val="16"/>
              </w:rPr>
              <w:t>průměr OECD</w:t>
            </w:r>
          </w:p>
        </w:tc>
        <w:tc>
          <w:tcPr>
            <w:tcW w:w="1220" w:type="dxa"/>
            <w:shd w:val="clear" w:color="auto" w:fill="C6D9F1" w:themeFill="text2" w:themeFillTint="33"/>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- 31 700</w:t>
            </w:r>
          </w:p>
        </w:tc>
        <w:tc>
          <w:tcPr>
            <w:tcW w:w="1300" w:type="dxa"/>
            <w:shd w:val="clear" w:color="auto" w:fill="C6D9F1" w:themeFill="text2" w:themeFillTint="33"/>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77 300</w:t>
            </w:r>
          </w:p>
        </w:tc>
        <w:tc>
          <w:tcPr>
            <w:tcW w:w="1600" w:type="dxa"/>
            <w:shd w:val="clear" w:color="auto" w:fill="C6D9F1" w:themeFill="text2" w:themeFillTint="33"/>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48 000</w:t>
            </w:r>
          </w:p>
        </w:tc>
        <w:tc>
          <w:tcPr>
            <w:tcW w:w="1780" w:type="dxa"/>
            <w:shd w:val="clear" w:color="auto" w:fill="C6D9F1" w:themeFill="text2" w:themeFillTint="33"/>
            <w:noWrap/>
            <w:vAlign w:val="center"/>
            <w:hideMark/>
          </w:tcPr>
          <w:p w:rsidR="00306953" w:rsidRPr="00EF1584" w:rsidRDefault="00306953" w:rsidP="004C55CD">
            <w:pPr>
              <w:spacing w:after="0" w:line="240" w:lineRule="auto"/>
              <w:jc w:val="center"/>
              <w:rPr>
                <w:rFonts w:cs="Arial"/>
                <w:sz w:val="16"/>
                <w:szCs w:val="16"/>
              </w:rPr>
            </w:pPr>
            <w:r w:rsidRPr="00EF1584">
              <w:rPr>
                <w:rFonts w:cs="Arial"/>
                <w:sz w:val="16"/>
                <w:szCs w:val="16"/>
              </w:rPr>
              <w:t>11,8%</w:t>
            </w:r>
          </w:p>
        </w:tc>
      </w:tr>
      <w:tr w:rsidR="00306953" w:rsidRPr="00EF1584" w:rsidTr="000C6FC8">
        <w:trPr>
          <w:trHeight w:val="300"/>
        </w:trPr>
        <w:tc>
          <w:tcPr>
            <w:tcW w:w="866" w:type="dxa"/>
            <w:vMerge/>
            <w:vAlign w:val="center"/>
            <w:hideMark/>
          </w:tcPr>
          <w:p w:rsidR="00306953" w:rsidRPr="00EF1584" w:rsidRDefault="00306953" w:rsidP="00306953">
            <w:pPr>
              <w:spacing w:after="0" w:line="240" w:lineRule="auto"/>
              <w:rPr>
                <w:rFonts w:cs="Arial"/>
                <w:color w:val="000000"/>
                <w:sz w:val="16"/>
                <w:szCs w:val="16"/>
              </w:rPr>
            </w:pPr>
          </w:p>
        </w:tc>
        <w:tc>
          <w:tcPr>
            <w:tcW w:w="422" w:type="dxa"/>
            <w:vMerge/>
            <w:vAlign w:val="center"/>
            <w:hideMark/>
          </w:tcPr>
          <w:p w:rsidR="00306953" w:rsidRPr="00EF1584" w:rsidRDefault="00306953" w:rsidP="00306953">
            <w:pPr>
              <w:spacing w:after="0" w:line="240" w:lineRule="auto"/>
              <w:rPr>
                <w:rFonts w:cs="Arial"/>
                <w:color w:val="000000"/>
                <w:sz w:val="16"/>
                <w:szCs w:val="16"/>
              </w:rPr>
            </w:pPr>
          </w:p>
        </w:tc>
        <w:tc>
          <w:tcPr>
            <w:tcW w:w="1530" w:type="dxa"/>
            <w:shd w:val="clear" w:color="auto" w:fill="C6D9F1" w:themeFill="text2" w:themeFillTint="33"/>
            <w:noWrap/>
            <w:vAlign w:val="center"/>
            <w:hideMark/>
          </w:tcPr>
          <w:p w:rsidR="00306953" w:rsidRPr="00631582" w:rsidRDefault="00306953" w:rsidP="004C55CD">
            <w:pPr>
              <w:spacing w:after="0" w:line="240" w:lineRule="auto"/>
              <w:rPr>
                <w:rFonts w:cs="Arial"/>
                <w:bCs/>
                <w:sz w:val="16"/>
                <w:szCs w:val="16"/>
              </w:rPr>
            </w:pPr>
            <w:r w:rsidRPr="00631582">
              <w:rPr>
                <w:rFonts w:cs="Arial"/>
                <w:bCs/>
                <w:sz w:val="16"/>
                <w:szCs w:val="16"/>
              </w:rPr>
              <w:t>průměr EU21</w:t>
            </w:r>
          </w:p>
        </w:tc>
        <w:tc>
          <w:tcPr>
            <w:tcW w:w="1220" w:type="dxa"/>
            <w:shd w:val="clear" w:color="auto" w:fill="C6D9F1" w:themeFill="text2" w:themeFillTint="33"/>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- 31 300</w:t>
            </w:r>
          </w:p>
        </w:tc>
        <w:tc>
          <w:tcPr>
            <w:tcW w:w="1300" w:type="dxa"/>
            <w:shd w:val="clear" w:color="auto" w:fill="C6D9F1" w:themeFill="text2" w:themeFillTint="33"/>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88 600</w:t>
            </w:r>
          </w:p>
        </w:tc>
        <w:tc>
          <w:tcPr>
            <w:tcW w:w="1600" w:type="dxa"/>
            <w:shd w:val="clear" w:color="auto" w:fill="C6D9F1" w:themeFill="text2" w:themeFillTint="33"/>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61 700</w:t>
            </w:r>
          </w:p>
        </w:tc>
        <w:tc>
          <w:tcPr>
            <w:tcW w:w="1780" w:type="dxa"/>
            <w:shd w:val="clear" w:color="auto" w:fill="C6D9F1" w:themeFill="text2" w:themeFillTint="33"/>
            <w:noWrap/>
            <w:vAlign w:val="center"/>
            <w:hideMark/>
          </w:tcPr>
          <w:p w:rsidR="00306953" w:rsidRPr="00EF1584" w:rsidRDefault="00306953" w:rsidP="004C55CD">
            <w:pPr>
              <w:spacing w:after="0" w:line="240" w:lineRule="auto"/>
              <w:jc w:val="center"/>
              <w:rPr>
                <w:rFonts w:cs="Arial"/>
                <w:sz w:val="16"/>
                <w:szCs w:val="16"/>
              </w:rPr>
            </w:pPr>
            <w:r w:rsidRPr="00EF1584">
              <w:rPr>
                <w:rFonts w:cs="Arial"/>
                <w:sz w:val="16"/>
                <w:szCs w:val="16"/>
              </w:rPr>
              <w:t>14,2%</w:t>
            </w:r>
          </w:p>
        </w:tc>
      </w:tr>
      <w:tr w:rsidR="00306953" w:rsidRPr="00EF1584" w:rsidTr="000C6FC8">
        <w:trPr>
          <w:trHeight w:val="300"/>
        </w:trPr>
        <w:tc>
          <w:tcPr>
            <w:tcW w:w="866" w:type="dxa"/>
            <w:vMerge w:val="restart"/>
            <w:shd w:val="clear" w:color="auto" w:fill="auto"/>
            <w:noWrap/>
            <w:textDirection w:val="btLr"/>
            <w:vAlign w:val="center"/>
            <w:hideMark/>
          </w:tcPr>
          <w:p w:rsidR="00306953" w:rsidRPr="00EF1584" w:rsidRDefault="00306953" w:rsidP="00306953">
            <w:pPr>
              <w:spacing w:after="0" w:line="240" w:lineRule="auto"/>
              <w:jc w:val="center"/>
              <w:rPr>
                <w:rFonts w:cs="Arial"/>
                <w:color w:val="000000"/>
                <w:sz w:val="16"/>
                <w:szCs w:val="16"/>
              </w:rPr>
            </w:pPr>
            <w:r w:rsidRPr="00EF1584">
              <w:rPr>
                <w:rFonts w:cs="Arial"/>
                <w:color w:val="000000"/>
                <w:sz w:val="16"/>
                <w:szCs w:val="16"/>
              </w:rPr>
              <w:t>terciární vzdělávání</w:t>
            </w:r>
          </w:p>
        </w:tc>
        <w:tc>
          <w:tcPr>
            <w:tcW w:w="422" w:type="dxa"/>
            <w:vMerge w:val="restart"/>
            <w:shd w:val="clear" w:color="auto" w:fill="auto"/>
            <w:noWrap/>
            <w:textDirection w:val="btLr"/>
            <w:vAlign w:val="center"/>
            <w:hideMark/>
          </w:tcPr>
          <w:p w:rsidR="00306953" w:rsidRPr="00EF1584" w:rsidRDefault="00306953" w:rsidP="00306953">
            <w:pPr>
              <w:spacing w:after="0" w:line="240" w:lineRule="auto"/>
              <w:jc w:val="center"/>
              <w:rPr>
                <w:rFonts w:cs="Arial"/>
                <w:color w:val="000000"/>
                <w:sz w:val="16"/>
                <w:szCs w:val="16"/>
              </w:rPr>
            </w:pPr>
            <w:r w:rsidRPr="00EF1584">
              <w:rPr>
                <w:rFonts w:cs="Arial"/>
                <w:color w:val="000000"/>
                <w:sz w:val="16"/>
                <w:szCs w:val="16"/>
              </w:rPr>
              <w:t>muži</w:t>
            </w:r>
          </w:p>
        </w:tc>
        <w:tc>
          <w:tcPr>
            <w:tcW w:w="1530" w:type="dxa"/>
            <w:shd w:val="clear" w:color="auto" w:fill="auto"/>
            <w:noWrap/>
            <w:vAlign w:val="center"/>
            <w:hideMark/>
          </w:tcPr>
          <w:p w:rsidR="00306953" w:rsidRPr="00631582" w:rsidRDefault="00306953" w:rsidP="004C55CD">
            <w:pPr>
              <w:spacing w:after="0" w:line="240" w:lineRule="auto"/>
              <w:rPr>
                <w:rFonts w:cs="Arial"/>
                <w:sz w:val="16"/>
                <w:szCs w:val="16"/>
              </w:rPr>
            </w:pPr>
            <w:r w:rsidRPr="00631582">
              <w:rPr>
                <w:rFonts w:cs="Arial"/>
                <w:sz w:val="16"/>
                <w:szCs w:val="16"/>
              </w:rPr>
              <w:t>Česká republika</w:t>
            </w:r>
          </w:p>
        </w:tc>
        <w:tc>
          <w:tcPr>
            <w:tcW w:w="1220" w:type="dxa"/>
            <w:shd w:val="clear" w:color="auto" w:fill="auto"/>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- 22 300</w:t>
            </w:r>
          </w:p>
        </w:tc>
        <w:tc>
          <w:tcPr>
            <w:tcW w:w="1300" w:type="dxa"/>
            <w:shd w:val="clear" w:color="auto" w:fill="auto"/>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156 600</w:t>
            </w:r>
          </w:p>
        </w:tc>
        <w:tc>
          <w:tcPr>
            <w:tcW w:w="1600" w:type="dxa"/>
            <w:shd w:val="clear" w:color="auto" w:fill="auto"/>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134 200</w:t>
            </w:r>
          </w:p>
        </w:tc>
        <w:tc>
          <w:tcPr>
            <w:tcW w:w="1780" w:type="dxa"/>
            <w:shd w:val="clear" w:color="auto" w:fill="auto"/>
            <w:noWrap/>
            <w:vAlign w:val="center"/>
            <w:hideMark/>
          </w:tcPr>
          <w:p w:rsidR="00306953" w:rsidRPr="00EF1584" w:rsidRDefault="00306953" w:rsidP="004C55CD">
            <w:pPr>
              <w:spacing w:after="0" w:line="240" w:lineRule="auto"/>
              <w:jc w:val="center"/>
              <w:rPr>
                <w:rFonts w:cs="Arial"/>
                <w:sz w:val="16"/>
                <w:szCs w:val="16"/>
              </w:rPr>
            </w:pPr>
            <w:r w:rsidRPr="00EF1584">
              <w:rPr>
                <w:rFonts w:cs="Arial"/>
                <w:sz w:val="16"/>
                <w:szCs w:val="16"/>
              </w:rPr>
              <w:t>17,0%</w:t>
            </w:r>
          </w:p>
        </w:tc>
      </w:tr>
      <w:tr w:rsidR="00306953" w:rsidRPr="00EF1584" w:rsidTr="000C6FC8">
        <w:trPr>
          <w:trHeight w:val="300"/>
        </w:trPr>
        <w:tc>
          <w:tcPr>
            <w:tcW w:w="866" w:type="dxa"/>
            <w:vMerge/>
            <w:vAlign w:val="center"/>
            <w:hideMark/>
          </w:tcPr>
          <w:p w:rsidR="00306953" w:rsidRPr="00EF1584" w:rsidRDefault="00306953" w:rsidP="00306953">
            <w:pPr>
              <w:spacing w:after="0" w:line="240" w:lineRule="auto"/>
              <w:rPr>
                <w:rFonts w:cs="Arial"/>
                <w:color w:val="000000"/>
                <w:sz w:val="16"/>
                <w:szCs w:val="16"/>
              </w:rPr>
            </w:pPr>
          </w:p>
        </w:tc>
        <w:tc>
          <w:tcPr>
            <w:tcW w:w="422" w:type="dxa"/>
            <w:vMerge/>
            <w:vAlign w:val="center"/>
            <w:hideMark/>
          </w:tcPr>
          <w:p w:rsidR="00306953" w:rsidRPr="00EF1584" w:rsidRDefault="00306953" w:rsidP="00306953">
            <w:pPr>
              <w:spacing w:after="0" w:line="240" w:lineRule="auto"/>
              <w:rPr>
                <w:rFonts w:cs="Arial"/>
                <w:color w:val="000000"/>
                <w:sz w:val="16"/>
                <w:szCs w:val="16"/>
              </w:rPr>
            </w:pPr>
          </w:p>
        </w:tc>
        <w:tc>
          <w:tcPr>
            <w:tcW w:w="1530" w:type="dxa"/>
            <w:shd w:val="clear" w:color="auto" w:fill="auto"/>
            <w:noWrap/>
            <w:vAlign w:val="center"/>
            <w:hideMark/>
          </w:tcPr>
          <w:p w:rsidR="00306953" w:rsidRPr="00631582" w:rsidRDefault="00306953" w:rsidP="004C55CD">
            <w:pPr>
              <w:spacing w:after="0" w:line="240" w:lineRule="auto"/>
              <w:rPr>
                <w:rFonts w:cs="Arial"/>
                <w:sz w:val="16"/>
                <w:szCs w:val="16"/>
              </w:rPr>
            </w:pPr>
            <w:r w:rsidRPr="00631582">
              <w:rPr>
                <w:rFonts w:cs="Arial"/>
                <w:sz w:val="16"/>
                <w:szCs w:val="16"/>
              </w:rPr>
              <w:t>Polsko (rok 2010)</w:t>
            </w:r>
          </w:p>
        </w:tc>
        <w:tc>
          <w:tcPr>
            <w:tcW w:w="1220" w:type="dxa"/>
            <w:shd w:val="clear" w:color="auto" w:fill="auto"/>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- 25 000</w:t>
            </w:r>
          </w:p>
        </w:tc>
        <w:tc>
          <w:tcPr>
            <w:tcW w:w="1300" w:type="dxa"/>
            <w:shd w:val="clear" w:color="auto" w:fill="auto"/>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143 100</w:t>
            </w:r>
          </w:p>
        </w:tc>
        <w:tc>
          <w:tcPr>
            <w:tcW w:w="1600" w:type="dxa"/>
            <w:shd w:val="clear" w:color="auto" w:fill="auto"/>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118 100</w:t>
            </w:r>
          </w:p>
        </w:tc>
        <w:tc>
          <w:tcPr>
            <w:tcW w:w="1780" w:type="dxa"/>
            <w:shd w:val="clear" w:color="auto" w:fill="auto"/>
            <w:noWrap/>
            <w:vAlign w:val="center"/>
            <w:hideMark/>
          </w:tcPr>
          <w:p w:rsidR="00306953" w:rsidRPr="00EF1584" w:rsidRDefault="00306953" w:rsidP="004C55CD">
            <w:pPr>
              <w:spacing w:after="0" w:line="240" w:lineRule="auto"/>
              <w:jc w:val="center"/>
              <w:rPr>
                <w:rFonts w:cs="Arial"/>
                <w:sz w:val="16"/>
                <w:szCs w:val="16"/>
              </w:rPr>
            </w:pPr>
            <w:r w:rsidRPr="00EF1584">
              <w:rPr>
                <w:rFonts w:cs="Arial"/>
                <w:sz w:val="16"/>
                <w:szCs w:val="16"/>
              </w:rPr>
              <w:t>15,1%</w:t>
            </w:r>
          </w:p>
        </w:tc>
      </w:tr>
      <w:tr w:rsidR="00306953" w:rsidRPr="00EF1584" w:rsidTr="000C6FC8">
        <w:trPr>
          <w:trHeight w:val="300"/>
        </w:trPr>
        <w:tc>
          <w:tcPr>
            <w:tcW w:w="866" w:type="dxa"/>
            <w:vMerge/>
            <w:vAlign w:val="center"/>
            <w:hideMark/>
          </w:tcPr>
          <w:p w:rsidR="00306953" w:rsidRPr="00EF1584" w:rsidRDefault="00306953" w:rsidP="00306953">
            <w:pPr>
              <w:spacing w:after="0" w:line="240" w:lineRule="auto"/>
              <w:rPr>
                <w:rFonts w:cs="Arial"/>
                <w:color w:val="000000"/>
                <w:sz w:val="16"/>
                <w:szCs w:val="16"/>
              </w:rPr>
            </w:pPr>
          </w:p>
        </w:tc>
        <w:tc>
          <w:tcPr>
            <w:tcW w:w="422" w:type="dxa"/>
            <w:vMerge/>
            <w:vAlign w:val="center"/>
            <w:hideMark/>
          </w:tcPr>
          <w:p w:rsidR="00306953" w:rsidRPr="00EF1584" w:rsidRDefault="00306953" w:rsidP="00306953">
            <w:pPr>
              <w:spacing w:after="0" w:line="240" w:lineRule="auto"/>
              <w:rPr>
                <w:rFonts w:cs="Arial"/>
                <w:color w:val="000000"/>
                <w:sz w:val="16"/>
                <w:szCs w:val="16"/>
              </w:rPr>
            </w:pPr>
          </w:p>
        </w:tc>
        <w:tc>
          <w:tcPr>
            <w:tcW w:w="1530" w:type="dxa"/>
            <w:shd w:val="clear" w:color="auto" w:fill="auto"/>
            <w:noWrap/>
            <w:vAlign w:val="center"/>
            <w:hideMark/>
          </w:tcPr>
          <w:p w:rsidR="00306953" w:rsidRPr="00631582" w:rsidRDefault="00306953" w:rsidP="004C55CD">
            <w:pPr>
              <w:spacing w:after="0" w:line="240" w:lineRule="auto"/>
              <w:rPr>
                <w:rFonts w:cs="Arial"/>
                <w:sz w:val="16"/>
                <w:szCs w:val="16"/>
              </w:rPr>
            </w:pPr>
            <w:r w:rsidRPr="00631582">
              <w:rPr>
                <w:rFonts w:cs="Arial"/>
                <w:sz w:val="16"/>
                <w:szCs w:val="16"/>
              </w:rPr>
              <w:t>Slovensko</w:t>
            </w:r>
          </w:p>
        </w:tc>
        <w:tc>
          <w:tcPr>
            <w:tcW w:w="1220" w:type="dxa"/>
            <w:shd w:val="clear" w:color="auto" w:fill="auto"/>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- 22 800</w:t>
            </w:r>
          </w:p>
        </w:tc>
        <w:tc>
          <w:tcPr>
            <w:tcW w:w="1300" w:type="dxa"/>
            <w:shd w:val="clear" w:color="auto" w:fill="auto"/>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123 100</w:t>
            </w:r>
          </w:p>
        </w:tc>
        <w:tc>
          <w:tcPr>
            <w:tcW w:w="1600" w:type="dxa"/>
            <w:shd w:val="clear" w:color="auto" w:fill="auto"/>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100 400</w:t>
            </w:r>
          </w:p>
        </w:tc>
        <w:tc>
          <w:tcPr>
            <w:tcW w:w="1780" w:type="dxa"/>
            <w:shd w:val="clear" w:color="auto" w:fill="auto"/>
            <w:noWrap/>
            <w:vAlign w:val="center"/>
            <w:hideMark/>
          </w:tcPr>
          <w:p w:rsidR="00306953" w:rsidRPr="00EF1584" w:rsidRDefault="00306953" w:rsidP="004C55CD">
            <w:pPr>
              <w:spacing w:after="0" w:line="240" w:lineRule="auto"/>
              <w:jc w:val="center"/>
              <w:rPr>
                <w:rFonts w:cs="Arial"/>
                <w:sz w:val="16"/>
                <w:szCs w:val="16"/>
              </w:rPr>
            </w:pPr>
            <w:r w:rsidRPr="00EF1584">
              <w:rPr>
                <w:rFonts w:cs="Arial"/>
                <w:sz w:val="16"/>
                <w:szCs w:val="16"/>
              </w:rPr>
              <w:t>14,6%</w:t>
            </w:r>
          </w:p>
        </w:tc>
      </w:tr>
      <w:tr w:rsidR="00306953" w:rsidRPr="00EF1584" w:rsidTr="000C6FC8">
        <w:trPr>
          <w:trHeight w:val="300"/>
        </w:trPr>
        <w:tc>
          <w:tcPr>
            <w:tcW w:w="866" w:type="dxa"/>
            <w:vMerge/>
            <w:vAlign w:val="center"/>
            <w:hideMark/>
          </w:tcPr>
          <w:p w:rsidR="00306953" w:rsidRPr="00EF1584" w:rsidRDefault="00306953" w:rsidP="00306953">
            <w:pPr>
              <w:spacing w:after="0" w:line="240" w:lineRule="auto"/>
              <w:rPr>
                <w:rFonts w:cs="Arial"/>
                <w:color w:val="000000"/>
                <w:sz w:val="16"/>
                <w:szCs w:val="16"/>
              </w:rPr>
            </w:pPr>
          </w:p>
        </w:tc>
        <w:tc>
          <w:tcPr>
            <w:tcW w:w="422" w:type="dxa"/>
            <w:vMerge/>
            <w:vAlign w:val="center"/>
            <w:hideMark/>
          </w:tcPr>
          <w:p w:rsidR="00306953" w:rsidRPr="00EF1584" w:rsidRDefault="00306953" w:rsidP="00306953">
            <w:pPr>
              <w:spacing w:after="0" w:line="240" w:lineRule="auto"/>
              <w:rPr>
                <w:rFonts w:cs="Arial"/>
                <w:color w:val="000000"/>
                <w:sz w:val="16"/>
                <w:szCs w:val="16"/>
              </w:rPr>
            </w:pPr>
          </w:p>
        </w:tc>
        <w:tc>
          <w:tcPr>
            <w:tcW w:w="1530" w:type="dxa"/>
            <w:shd w:val="clear" w:color="auto" w:fill="C6D9F1" w:themeFill="text2" w:themeFillTint="33"/>
            <w:noWrap/>
            <w:vAlign w:val="center"/>
            <w:hideMark/>
          </w:tcPr>
          <w:p w:rsidR="00306953" w:rsidRPr="00631582" w:rsidRDefault="00306953" w:rsidP="004C55CD">
            <w:pPr>
              <w:spacing w:after="0" w:line="240" w:lineRule="auto"/>
              <w:rPr>
                <w:rFonts w:cs="Arial"/>
                <w:bCs/>
                <w:sz w:val="16"/>
                <w:szCs w:val="16"/>
              </w:rPr>
            </w:pPr>
            <w:r w:rsidRPr="00631582">
              <w:rPr>
                <w:rFonts w:cs="Arial"/>
                <w:bCs/>
                <w:sz w:val="16"/>
                <w:szCs w:val="16"/>
              </w:rPr>
              <w:t>průměr OECD</w:t>
            </w:r>
          </w:p>
        </w:tc>
        <w:tc>
          <w:tcPr>
            <w:tcW w:w="1220" w:type="dxa"/>
            <w:shd w:val="clear" w:color="auto" w:fill="C6D9F1" w:themeFill="text2" w:themeFillTint="33"/>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- 53 900</w:t>
            </w:r>
          </w:p>
        </w:tc>
        <w:tc>
          <w:tcPr>
            <w:tcW w:w="1300" w:type="dxa"/>
            <w:shd w:val="clear" w:color="auto" w:fill="C6D9F1" w:themeFill="text2" w:themeFillTint="33"/>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185 800</w:t>
            </w:r>
          </w:p>
        </w:tc>
        <w:tc>
          <w:tcPr>
            <w:tcW w:w="1600" w:type="dxa"/>
            <w:shd w:val="clear" w:color="auto" w:fill="C6D9F1" w:themeFill="text2" w:themeFillTint="33"/>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127 400</w:t>
            </w:r>
          </w:p>
        </w:tc>
        <w:tc>
          <w:tcPr>
            <w:tcW w:w="1780" w:type="dxa"/>
            <w:shd w:val="clear" w:color="auto" w:fill="C6D9F1" w:themeFill="text2" w:themeFillTint="33"/>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10,6%</w:t>
            </w:r>
          </w:p>
        </w:tc>
      </w:tr>
      <w:tr w:rsidR="00306953" w:rsidRPr="00EF1584" w:rsidTr="000C6FC8">
        <w:trPr>
          <w:trHeight w:val="300"/>
        </w:trPr>
        <w:tc>
          <w:tcPr>
            <w:tcW w:w="866" w:type="dxa"/>
            <w:vMerge/>
            <w:vAlign w:val="center"/>
            <w:hideMark/>
          </w:tcPr>
          <w:p w:rsidR="00306953" w:rsidRPr="00EF1584" w:rsidRDefault="00306953" w:rsidP="00306953">
            <w:pPr>
              <w:spacing w:after="0" w:line="240" w:lineRule="auto"/>
              <w:rPr>
                <w:rFonts w:cs="Arial"/>
                <w:color w:val="000000"/>
                <w:sz w:val="16"/>
                <w:szCs w:val="16"/>
              </w:rPr>
            </w:pPr>
          </w:p>
        </w:tc>
        <w:tc>
          <w:tcPr>
            <w:tcW w:w="422" w:type="dxa"/>
            <w:vMerge/>
            <w:vAlign w:val="center"/>
            <w:hideMark/>
          </w:tcPr>
          <w:p w:rsidR="00306953" w:rsidRPr="00EF1584" w:rsidRDefault="00306953" w:rsidP="00306953">
            <w:pPr>
              <w:spacing w:after="0" w:line="240" w:lineRule="auto"/>
              <w:rPr>
                <w:rFonts w:cs="Arial"/>
                <w:color w:val="000000"/>
                <w:sz w:val="16"/>
                <w:szCs w:val="16"/>
              </w:rPr>
            </w:pPr>
          </w:p>
        </w:tc>
        <w:tc>
          <w:tcPr>
            <w:tcW w:w="1530" w:type="dxa"/>
            <w:shd w:val="clear" w:color="auto" w:fill="C6D9F1" w:themeFill="text2" w:themeFillTint="33"/>
            <w:noWrap/>
            <w:vAlign w:val="center"/>
            <w:hideMark/>
          </w:tcPr>
          <w:p w:rsidR="00306953" w:rsidRPr="00631582" w:rsidRDefault="00306953" w:rsidP="004C55CD">
            <w:pPr>
              <w:spacing w:after="0" w:line="240" w:lineRule="auto"/>
              <w:rPr>
                <w:rFonts w:cs="Arial"/>
                <w:bCs/>
                <w:sz w:val="16"/>
                <w:szCs w:val="16"/>
              </w:rPr>
            </w:pPr>
            <w:r w:rsidRPr="00631582">
              <w:rPr>
                <w:rFonts w:cs="Arial"/>
                <w:bCs/>
                <w:sz w:val="16"/>
                <w:szCs w:val="16"/>
              </w:rPr>
              <w:t>průměr EU21</w:t>
            </w:r>
          </w:p>
        </w:tc>
        <w:tc>
          <w:tcPr>
            <w:tcW w:w="1220" w:type="dxa"/>
            <w:shd w:val="clear" w:color="auto" w:fill="C6D9F1" w:themeFill="text2" w:themeFillTint="33"/>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- 56 400</w:t>
            </w:r>
          </w:p>
        </w:tc>
        <w:tc>
          <w:tcPr>
            <w:tcW w:w="1300" w:type="dxa"/>
            <w:shd w:val="clear" w:color="auto" w:fill="C6D9F1" w:themeFill="text2" w:themeFillTint="33"/>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203 400</w:t>
            </w:r>
          </w:p>
        </w:tc>
        <w:tc>
          <w:tcPr>
            <w:tcW w:w="1600" w:type="dxa"/>
            <w:shd w:val="clear" w:color="auto" w:fill="C6D9F1" w:themeFill="text2" w:themeFillTint="33"/>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142 200</w:t>
            </w:r>
          </w:p>
        </w:tc>
        <w:tc>
          <w:tcPr>
            <w:tcW w:w="1780" w:type="dxa"/>
            <w:shd w:val="clear" w:color="auto" w:fill="C6D9F1" w:themeFill="text2" w:themeFillTint="33"/>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11,7%</w:t>
            </w:r>
          </w:p>
        </w:tc>
      </w:tr>
      <w:tr w:rsidR="00306953" w:rsidRPr="00EF1584" w:rsidTr="000C6FC8">
        <w:trPr>
          <w:trHeight w:val="300"/>
        </w:trPr>
        <w:tc>
          <w:tcPr>
            <w:tcW w:w="866" w:type="dxa"/>
            <w:vMerge/>
            <w:vAlign w:val="center"/>
            <w:hideMark/>
          </w:tcPr>
          <w:p w:rsidR="00306953" w:rsidRPr="00EF1584" w:rsidRDefault="00306953" w:rsidP="00306953">
            <w:pPr>
              <w:spacing w:after="0" w:line="240" w:lineRule="auto"/>
              <w:rPr>
                <w:rFonts w:cs="Arial"/>
                <w:color w:val="000000"/>
                <w:sz w:val="16"/>
                <w:szCs w:val="16"/>
              </w:rPr>
            </w:pPr>
          </w:p>
        </w:tc>
        <w:tc>
          <w:tcPr>
            <w:tcW w:w="422" w:type="dxa"/>
            <w:vMerge w:val="restart"/>
            <w:shd w:val="clear" w:color="auto" w:fill="auto"/>
            <w:noWrap/>
            <w:textDirection w:val="btLr"/>
            <w:vAlign w:val="center"/>
            <w:hideMark/>
          </w:tcPr>
          <w:p w:rsidR="00306953" w:rsidRPr="00EF1584" w:rsidRDefault="00306953" w:rsidP="00306953">
            <w:pPr>
              <w:spacing w:after="0" w:line="240" w:lineRule="auto"/>
              <w:jc w:val="center"/>
              <w:rPr>
                <w:rFonts w:cs="Arial"/>
                <w:color w:val="000000"/>
                <w:sz w:val="16"/>
                <w:szCs w:val="16"/>
              </w:rPr>
            </w:pPr>
            <w:r w:rsidRPr="00EF1584">
              <w:rPr>
                <w:rFonts w:cs="Arial"/>
                <w:color w:val="000000"/>
                <w:sz w:val="16"/>
                <w:szCs w:val="16"/>
              </w:rPr>
              <w:t>ženy</w:t>
            </w:r>
          </w:p>
        </w:tc>
        <w:tc>
          <w:tcPr>
            <w:tcW w:w="1530" w:type="dxa"/>
            <w:shd w:val="clear" w:color="auto" w:fill="auto"/>
            <w:noWrap/>
            <w:vAlign w:val="center"/>
            <w:hideMark/>
          </w:tcPr>
          <w:p w:rsidR="00306953" w:rsidRPr="00631582" w:rsidRDefault="00306953" w:rsidP="004C55CD">
            <w:pPr>
              <w:spacing w:after="0" w:line="240" w:lineRule="auto"/>
              <w:rPr>
                <w:rFonts w:cs="Arial"/>
                <w:sz w:val="16"/>
                <w:szCs w:val="16"/>
              </w:rPr>
            </w:pPr>
            <w:r w:rsidRPr="00631582">
              <w:rPr>
                <w:rFonts w:cs="Arial"/>
                <w:sz w:val="16"/>
                <w:szCs w:val="16"/>
              </w:rPr>
              <w:t>Česká republika</w:t>
            </w:r>
          </w:p>
        </w:tc>
        <w:tc>
          <w:tcPr>
            <w:tcW w:w="1220" w:type="dxa"/>
            <w:shd w:val="clear" w:color="auto" w:fill="auto"/>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- 22 400</w:t>
            </w:r>
          </w:p>
        </w:tc>
        <w:tc>
          <w:tcPr>
            <w:tcW w:w="1300" w:type="dxa"/>
            <w:shd w:val="clear" w:color="auto" w:fill="auto"/>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104 100</w:t>
            </w:r>
          </w:p>
        </w:tc>
        <w:tc>
          <w:tcPr>
            <w:tcW w:w="1600" w:type="dxa"/>
            <w:shd w:val="clear" w:color="auto" w:fill="auto"/>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81 700</w:t>
            </w:r>
          </w:p>
        </w:tc>
        <w:tc>
          <w:tcPr>
            <w:tcW w:w="1780" w:type="dxa"/>
            <w:shd w:val="clear" w:color="auto" w:fill="auto"/>
            <w:noWrap/>
            <w:vAlign w:val="center"/>
            <w:hideMark/>
          </w:tcPr>
          <w:p w:rsidR="00306953" w:rsidRPr="00EF1584" w:rsidRDefault="00306953" w:rsidP="004C55CD">
            <w:pPr>
              <w:spacing w:after="0" w:line="240" w:lineRule="auto"/>
              <w:jc w:val="center"/>
              <w:rPr>
                <w:rFonts w:cs="Arial"/>
                <w:sz w:val="16"/>
                <w:szCs w:val="16"/>
              </w:rPr>
            </w:pPr>
            <w:r w:rsidRPr="00EF1584">
              <w:rPr>
                <w:rFonts w:cs="Arial"/>
                <w:sz w:val="16"/>
                <w:szCs w:val="16"/>
              </w:rPr>
              <w:t>13,5%</w:t>
            </w:r>
          </w:p>
        </w:tc>
      </w:tr>
      <w:tr w:rsidR="00306953" w:rsidRPr="00EF1584" w:rsidTr="000C6FC8">
        <w:trPr>
          <w:trHeight w:val="300"/>
        </w:trPr>
        <w:tc>
          <w:tcPr>
            <w:tcW w:w="866" w:type="dxa"/>
            <w:vMerge/>
            <w:vAlign w:val="center"/>
            <w:hideMark/>
          </w:tcPr>
          <w:p w:rsidR="00306953" w:rsidRPr="00EF1584" w:rsidRDefault="00306953" w:rsidP="00306953">
            <w:pPr>
              <w:spacing w:after="0" w:line="240" w:lineRule="auto"/>
              <w:rPr>
                <w:rFonts w:cs="Arial"/>
                <w:color w:val="000000"/>
                <w:sz w:val="16"/>
                <w:szCs w:val="16"/>
              </w:rPr>
            </w:pPr>
          </w:p>
        </w:tc>
        <w:tc>
          <w:tcPr>
            <w:tcW w:w="422" w:type="dxa"/>
            <w:vMerge/>
            <w:vAlign w:val="center"/>
            <w:hideMark/>
          </w:tcPr>
          <w:p w:rsidR="00306953" w:rsidRPr="00EF1584" w:rsidRDefault="00306953" w:rsidP="00306953">
            <w:pPr>
              <w:spacing w:after="0" w:line="240" w:lineRule="auto"/>
              <w:rPr>
                <w:rFonts w:cs="Arial"/>
                <w:color w:val="000000"/>
                <w:sz w:val="16"/>
                <w:szCs w:val="16"/>
              </w:rPr>
            </w:pPr>
          </w:p>
        </w:tc>
        <w:tc>
          <w:tcPr>
            <w:tcW w:w="1530" w:type="dxa"/>
            <w:shd w:val="clear" w:color="auto" w:fill="auto"/>
            <w:noWrap/>
            <w:vAlign w:val="center"/>
            <w:hideMark/>
          </w:tcPr>
          <w:p w:rsidR="00306953" w:rsidRPr="00631582" w:rsidRDefault="00306953" w:rsidP="004C55CD">
            <w:pPr>
              <w:spacing w:after="0" w:line="240" w:lineRule="auto"/>
              <w:rPr>
                <w:rFonts w:cs="Arial"/>
                <w:sz w:val="16"/>
                <w:szCs w:val="16"/>
              </w:rPr>
            </w:pPr>
            <w:r w:rsidRPr="00631582">
              <w:rPr>
                <w:rFonts w:cs="Arial"/>
                <w:sz w:val="16"/>
                <w:szCs w:val="16"/>
              </w:rPr>
              <w:t>Polsko (rok 2010)</w:t>
            </w:r>
          </w:p>
        </w:tc>
        <w:tc>
          <w:tcPr>
            <w:tcW w:w="1220" w:type="dxa"/>
            <w:shd w:val="clear" w:color="auto" w:fill="auto"/>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- 24 700</w:t>
            </w:r>
          </w:p>
        </w:tc>
        <w:tc>
          <w:tcPr>
            <w:tcW w:w="1300" w:type="dxa"/>
            <w:shd w:val="clear" w:color="auto" w:fill="auto"/>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101 400</w:t>
            </w:r>
          </w:p>
        </w:tc>
        <w:tc>
          <w:tcPr>
            <w:tcW w:w="1600" w:type="dxa"/>
            <w:shd w:val="clear" w:color="auto" w:fill="auto"/>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76 600</w:t>
            </w:r>
          </w:p>
        </w:tc>
        <w:tc>
          <w:tcPr>
            <w:tcW w:w="1780" w:type="dxa"/>
            <w:shd w:val="clear" w:color="auto" w:fill="auto"/>
            <w:noWrap/>
            <w:vAlign w:val="center"/>
            <w:hideMark/>
          </w:tcPr>
          <w:p w:rsidR="00306953" w:rsidRPr="00EF1584" w:rsidRDefault="00306953" w:rsidP="004C55CD">
            <w:pPr>
              <w:spacing w:after="0" w:line="240" w:lineRule="auto"/>
              <w:jc w:val="center"/>
              <w:rPr>
                <w:rFonts w:cs="Arial"/>
                <w:sz w:val="16"/>
                <w:szCs w:val="16"/>
              </w:rPr>
            </w:pPr>
            <w:r w:rsidRPr="00EF1584">
              <w:rPr>
                <w:rFonts w:cs="Arial"/>
                <w:sz w:val="16"/>
                <w:szCs w:val="16"/>
              </w:rPr>
              <w:t>12,6%</w:t>
            </w:r>
          </w:p>
        </w:tc>
      </w:tr>
      <w:tr w:rsidR="00306953" w:rsidRPr="00EF1584" w:rsidTr="000C6FC8">
        <w:trPr>
          <w:trHeight w:val="300"/>
        </w:trPr>
        <w:tc>
          <w:tcPr>
            <w:tcW w:w="866" w:type="dxa"/>
            <w:vMerge/>
            <w:vAlign w:val="center"/>
            <w:hideMark/>
          </w:tcPr>
          <w:p w:rsidR="00306953" w:rsidRPr="00EF1584" w:rsidRDefault="00306953" w:rsidP="00306953">
            <w:pPr>
              <w:spacing w:after="0" w:line="240" w:lineRule="auto"/>
              <w:rPr>
                <w:rFonts w:cs="Arial"/>
                <w:color w:val="000000"/>
                <w:sz w:val="16"/>
                <w:szCs w:val="16"/>
              </w:rPr>
            </w:pPr>
          </w:p>
        </w:tc>
        <w:tc>
          <w:tcPr>
            <w:tcW w:w="422" w:type="dxa"/>
            <w:vMerge/>
            <w:vAlign w:val="center"/>
            <w:hideMark/>
          </w:tcPr>
          <w:p w:rsidR="00306953" w:rsidRPr="00EF1584" w:rsidRDefault="00306953" w:rsidP="00306953">
            <w:pPr>
              <w:spacing w:after="0" w:line="240" w:lineRule="auto"/>
              <w:rPr>
                <w:rFonts w:cs="Arial"/>
                <w:color w:val="000000"/>
                <w:sz w:val="16"/>
                <w:szCs w:val="16"/>
              </w:rPr>
            </w:pPr>
          </w:p>
        </w:tc>
        <w:tc>
          <w:tcPr>
            <w:tcW w:w="1530" w:type="dxa"/>
            <w:shd w:val="clear" w:color="auto" w:fill="auto"/>
            <w:noWrap/>
            <w:vAlign w:val="center"/>
            <w:hideMark/>
          </w:tcPr>
          <w:p w:rsidR="00306953" w:rsidRPr="00631582" w:rsidRDefault="00306953" w:rsidP="004C55CD">
            <w:pPr>
              <w:spacing w:after="0" w:line="240" w:lineRule="auto"/>
              <w:rPr>
                <w:rFonts w:cs="Arial"/>
                <w:sz w:val="16"/>
                <w:szCs w:val="16"/>
              </w:rPr>
            </w:pPr>
            <w:r w:rsidRPr="00631582">
              <w:rPr>
                <w:rFonts w:cs="Arial"/>
                <w:sz w:val="16"/>
                <w:szCs w:val="16"/>
              </w:rPr>
              <w:t>Slovensko</w:t>
            </w:r>
          </w:p>
        </w:tc>
        <w:tc>
          <w:tcPr>
            <w:tcW w:w="1220" w:type="dxa"/>
            <w:shd w:val="clear" w:color="auto" w:fill="auto"/>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- 22 800</w:t>
            </w:r>
          </w:p>
        </w:tc>
        <w:tc>
          <w:tcPr>
            <w:tcW w:w="1300" w:type="dxa"/>
            <w:shd w:val="clear" w:color="auto" w:fill="auto"/>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76 800</w:t>
            </w:r>
          </w:p>
        </w:tc>
        <w:tc>
          <w:tcPr>
            <w:tcW w:w="1600" w:type="dxa"/>
            <w:shd w:val="clear" w:color="auto" w:fill="auto"/>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54 000</w:t>
            </w:r>
          </w:p>
        </w:tc>
        <w:tc>
          <w:tcPr>
            <w:tcW w:w="1780" w:type="dxa"/>
            <w:shd w:val="clear" w:color="auto" w:fill="auto"/>
            <w:noWrap/>
            <w:vAlign w:val="center"/>
            <w:hideMark/>
          </w:tcPr>
          <w:p w:rsidR="00306953" w:rsidRPr="00EF1584" w:rsidRDefault="00306953" w:rsidP="004C55CD">
            <w:pPr>
              <w:spacing w:after="0" w:line="240" w:lineRule="auto"/>
              <w:jc w:val="center"/>
              <w:rPr>
                <w:rFonts w:cs="Arial"/>
                <w:sz w:val="16"/>
                <w:szCs w:val="16"/>
              </w:rPr>
            </w:pPr>
            <w:r w:rsidRPr="00EF1584">
              <w:rPr>
                <w:rFonts w:cs="Arial"/>
                <w:sz w:val="16"/>
                <w:szCs w:val="16"/>
              </w:rPr>
              <w:t>10,5%</w:t>
            </w:r>
          </w:p>
        </w:tc>
      </w:tr>
      <w:tr w:rsidR="00306953" w:rsidRPr="00EF1584" w:rsidTr="000C6FC8">
        <w:trPr>
          <w:trHeight w:val="300"/>
        </w:trPr>
        <w:tc>
          <w:tcPr>
            <w:tcW w:w="866" w:type="dxa"/>
            <w:vMerge/>
            <w:vAlign w:val="center"/>
            <w:hideMark/>
          </w:tcPr>
          <w:p w:rsidR="00306953" w:rsidRPr="00EF1584" w:rsidRDefault="00306953" w:rsidP="00306953">
            <w:pPr>
              <w:spacing w:after="0" w:line="240" w:lineRule="auto"/>
              <w:rPr>
                <w:rFonts w:cs="Arial"/>
                <w:color w:val="000000"/>
                <w:sz w:val="16"/>
                <w:szCs w:val="16"/>
              </w:rPr>
            </w:pPr>
          </w:p>
        </w:tc>
        <w:tc>
          <w:tcPr>
            <w:tcW w:w="422" w:type="dxa"/>
            <w:vMerge/>
            <w:vAlign w:val="center"/>
            <w:hideMark/>
          </w:tcPr>
          <w:p w:rsidR="00306953" w:rsidRPr="00EF1584" w:rsidRDefault="00306953" w:rsidP="00306953">
            <w:pPr>
              <w:spacing w:after="0" w:line="240" w:lineRule="auto"/>
              <w:rPr>
                <w:rFonts w:cs="Arial"/>
                <w:color w:val="000000"/>
                <w:sz w:val="16"/>
                <w:szCs w:val="16"/>
              </w:rPr>
            </w:pPr>
          </w:p>
        </w:tc>
        <w:tc>
          <w:tcPr>
            <w:tcW w:w="1530" w:type="dxa"/>
            <w:shd w:val="clear" w:color="auto" w:fill="C6D9F1" w:themeFill="text2" w:themeFillTint="33"/>
            <w:noWrap/>
            <w:vAlign w:val="center"/>
            <w:hideMark/>
          </w:tcPr>
          <w:p w:rsidR="00306953" w:rsidRPr="00631582" w:rsidRDefault="00306953" w:rsidP="004C55CD">
            <w:pPr>
              <w:spacing w:after="0" w:line="240" w:lineRule="auto"/>
              <w:rPr>
                <w:rFonts w:cs="Arial"/>
                <w:bCs/>
                <w:sz w:val="16"/>
                <w:szCs w:val="16"/>
              </w:rPr>
            </w:pPr>
            <w:r w:rsidRPr="00631582">
              <w:rPr>
                <w:rFonts w:cs="Arial"/>
                <w:bCs/>
                <w:sz w:val="16"/>
                <w:szCs w:val="16"/>
              </w:rPr>
              <w:t>průměr OECD</w:t>
            </w:r>
          </w:p>
        </w:tc>
        <w:tc>
          <w:tcPr>
            <w:tcW w:w="1220" w:type="dxa"/>
            <w:shd w:val="clear" w:color="auto" w:fill="C6D9F1" w:themeFill="text2" w:themeFillTint="33"/>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- 53 900</w:t>
            </w:r>
          </w:p>
        </w:tc>
        <w:tc>
          <w:tcPr>
            <w:tcW w:w="1300" w:type="dxa"/>
            <w:shd w:val="clear" w:color="auto" w:fill="C6D9F1" w:themeFill="text2" w:themeFillTint="33"/>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123 600</w:t>
            </w:r>
          </w:p>
        </w:tc>
        <w:tc>
          <w:tcPr>
            <w:tcW w:w="1600" w:type="dxa"/>
            <w:shd w:val="clear" w:color="auto" w:fill="C6D9F1" w:themeFill="text2" w:themeFillTint="33"/>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65 500</w:t>
            </w:r>
          </w:p>
        </w:tc>
        <w:tc>
          <w:tcPr>
            <w:tcW w:w="1780" w:type="dxa"/>
            <w:shd w:val="clear" w:color="auto" w:fill="C6D9F1" w:themeFill="text2" w:themeFillTint="33"/>
            <w:noWrap/>
            <w:vAlign w:val="center"/>
            <w:hideMark/>
          </w:tcPr>
          <w:p w:rsidR="00306953" w:rsidRPr="00EF1584" w:rsidRDefault="00306953" w:rsidP="004C55CD">
            <w:pPr>
              <w:spacing w:after="0" w:line="240" w:lineRule="auto"/>
              <w:jc w:val="center"/>
              <w:rPr>
                <w:rFonts w:cs="Arial"/>
                <w:sz w:val="16"/>
                <w:szCs w:val="16"/>
              </w:rPr>
            </w:pPr>
            <w:r w:rsidRPr="00EF1584">
              <w:rPr>
                <w:rFonts w:cs="Arial"/>
                <w:sz w:val="16"/>
                <w:szCs w:val="16"/>
              </w:rPr>
              <w:t>8,6%</w:t>
            </w:r>
          </w:p>
        </w:tc>
      </w:tr>
      <w:tr w:rsidR="00306953" w:rsidRPr="00EF1584" w:rsidTr="000C6FC8">
        <w:trPr>
          <w:trHeight w:val="300"/>
        </w:trPr>
        <w:tc>
          <w:tcPr>
            <w:tcW w:w="866" w:type="dxa"/>
            <w:vMerge/>
            <w:vAlign w:val="center"/>
            <w:hideMark/>
          </w:tcPr>
          <w:p w:rsidR="00306953" w:rsidRPr="00EF1584" w:rsidRDefault="00306953" w:rsidP="00306953">
            <w:pPr>
              <w:spacing w:after="0" w:line="240" w:lineRule="auto"/>
              <w:rPr>
                <w:rFonts w:cs="Arial"/>
                <w:color w:val="000000"/>
                <w:sz w:val="16"/>
                <w:szCs w:val="16"/>
              </w:rPr>
            </w:pPr>
          </w:p>
        </w:tc>
        <w:tc>
          <w:tcPr>
            <w:tcW w:w="422" w:type="dxa"/>
            <w:vMerge/>
            <w:vAlign w:val="center"/>
            <w:hideMark/>
          </w:tcPr>
          <w:p w:rsidR="00306953" w:rsidRPr="00EF1584" w:rsidRDefault="00306953" w:rsidP="00306953">
            <w:pPr>
              <w:spacing w:after="0" w:line="240" w:lineRule="auto"/>
              <w:rPr>
                <w:rFonts w:cs="Arial"/>
                <w:color w:val="000000"/>
                <w:sz w:val="16"/>
                <w:szCs w:val="16"/>
              </w:rPr>
            </w:pPr>
          </w:p>
        </w:tc>
        <w:tc>
          <w:tcPr>
            <w:tcW w:w="1530" w:type="dxa"/>
            <w:shd w:val="clear" w:color="auto" w:fill="C6D9F1" w:themeFill="text2" w:themeFillTint="33"/>
            <w:noWrap/>
            <w:vAlign w:val="center"/>
            <w:hideMark/>
          </w:tcPr>
          <w:p w:rsidR="00306953" w:rsidRPr="00631582" w:rsidRDefault="00306953" w:rsidP="004C55CD">
            <w:pPr>
              <w:spacing w:after="0" w:line="240" w:lineRule="auto"/>
              <w:rPr>
                <w:rFonts w:cs="Arial"/>
                <w:bCs/>
                <w:sz w:val="16"/>
                <w:szCs w:val="16"/>
              </w:rPr>
            </w:pPr>
            <w:r w:rsidRPr="00631582">
              <w:rPr>
                <w:rFonts w:cs="Arial"/>
                <w:bCs/>
                <w:sz w:val="16"/>
                <w:szCs w:val="16"/>
              </w:rPr>
              <w:t>průměr EU21</w:t>
            </w:r>
          </w:p>
        </w:tc>
        <w:tc>
          <w:tcPr>
            <w:tcW w:w="1220" w:type="dxa"/>
            <w:shd w:val="clear" w:color="auto" w:fill="C6D9F1" w:themeFill="text2" w:themeFillTint="33"/>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- 56 400</w:t>
            </w:r>
          </w:p>
        </w:tc>
        <w:tc>
          <w:tcPr>
            <w:tcW w:w="1300" w:type="dxa"/>
            <w:shd w:val="clear" w:color="auto" w:fill="C6D9F1" w:themeFill="text2" w:themeFillTint="33"/>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140 200</w:t>
            </w:r>
          </w:p>
        </w:tc>
        <w:tc>
          <w:tcPr>
            <w:tcW w:w="1600" w:type="dxa"/>
            <w:shd w:val="clear" w:color="auto" w:fill="C6D9F1" w:themeFill="text2" w:themeFillTint="33"/>
            <w:noWrap/>
            <w:vAlign w:val="center"/>
            <w:hideMark/>
          </w:tcPr>
          <w:p w:rsidR="00306953" w:rsidRPr="00EF1584" w:rsidRDefault="00306953" w:rsidP="004C55CD">
            <w:pPr>
              <w:spacing w:after="0" w:line="240" w:lineRule="auto"/>
              <w:jc w:val="center"/>
              <w:rPr>
                <w:rFonts w:cs="Arial"/>
                <w:b/>
                <w:bCs/>
                <w:sz w:val="16"/>
                <w:szCs w:val="16"/>
              </w:rPr>
            </w:pPr>
            <w:r w:rsidRPr="00EF1584">
              <w:rPr>
                <w:rFonts w:cs="Arial"/>
                <w:b/>
                <w:bCs/>
                <w:sz w:val="16"/>
                <w:szCs w:val="16"/>
              </w:rPr>
              <w:t>79 300</w:t>
            </w:r>
          </w:p>
        </w:tc>
        <w:tc>
          <w:tcPr>
            <w:tcW w:w="1780" w:type="dxa"/>
            <w:shd w:val="clear" w:color="auto" w:fill="C6D9F1" w:themeFill="text2" w:themeFillTint="33"/>
            <w:noWrap/>
            <w:vAlign w:val="center"/>
            <w:hideMark/>
          </w:tcPr>
          <w:p w:rsidR="00306953" w:rsidRPr="00EF1584" w:rsidRDefault="00306953" w:rsidP="004C55CD">
            <w:pPr>
              <w:spacing w:after="0" w:line="240" w:lineRule="auto"/>
              <w:jc w:val="center"/>
              <w:rPr>
                <w:rFonts w:cs="Arial"/>
                <w:sz w:val="16"/>
                <w:szCs w:val="16"/>
              </w:rPr>
            </w:pPr>
            <w:r w:rsidRPr="00EF1584">
              <w:rPr>
                <w:rFonts w:cs="Arial"/>
                <w:sz w:val="16"/>
                <w:szCs w:val="16"/>
              </w:rPr>
              <w:t>9,9%</w:t>
            </w:r>
          </w:p>
        </w:tc>
      </w:tr>
    </w:tbl>
    <w:p w:rsidR="00306953" w:rsidRPr="00EF1584" w:rsidRDefault="00306953" w:rsidP="00FE5433">
      <w:pPr>
        <w:pStyle w:val="Default"/>
        <w:spacing w:before="120"/>
        <w:jc w:val="both"/>
        <w:rPr>
          <w:rFonts w:ascii="Arial" w:eastAsia="ChaparralPro-Regular" w:hAnsi="Arial" w:cs="Arial"/>
          <w:sz w:val="16"/>
          <w:szCs w:val="16"/>
        </w:rPr>
      </w:pPr>
      <w:r w:rsidRPr="00EF1584">
        <w:rPr>
          <w:rFonts w:ascii="Arial" w:eastAsia="ChaparralPro-Regular" w:hAnsi="Arial" w:cs="Arial"/>
          <w:color w:val="auto"/>
          <w:sz w:val="16"/>
          <w:szCs w:val="16"/>
        </w:rPr>
        <w:t xml:space="preserve">Zdroj: A 7.2a, A7.2b, A7.4a, A7.4b, OECD 2015, </w:t>
      </w:r>
      <w:r w:rsidRPr="00EF1584">
        <w:rPr>
          <w:rFonts w:ascii="Arial" w:eastAsia="ChaparralPro-Regular" w:hAnsi="Arial" w:cs="Arial"/>
          <w:sz w:val="16"/>
          <w:szCs w:val="16"/>
        </w:rPr>
        <w:t>výběr údajů ČSÚ.</w:t>
      </w:r>
    </w:p>
    <w:p w:rsidR="00306953" w:rsidRPr="00EF1584" w:rsidRDefault="00306953" w:rsidP="00306953">
      <w:pPr>
        <w:spacing w:after="0" w:line="240" w:lineRule="auto"/>
        <w:jc w:val="both"/>
        <w:rPr>
          <w:rFonts w:eastAsia="ChaparralPro-Regular" w:cs="Arial"/>
          <w:sz w:val="16"/>
          <w:szCs w:val="16"/>
        </w:rPr>
      </w:pPr>
      <w:r w:rsidRPr="00EF1584">
        <w:rPr>
          <w:rFonts w:eastAsia="ChaparralPro-Regular" w:cs="Arial"/>
          <w:sz w:val="16"/>
          <w:szCs w:val="16"/>
        </w:rPr>
        <w:t xml:space="preserve">Dostupné z: </w:t>
      </w:r>
      <w:hyperlink r:id="rId172" w:history="1">
        <w:r w:rsidRPr="00EF1584">
          <w:rPr>
            <w:rStyle w:val="Hypertextovodkaz"/>
            <w:rFonts w:eastAsia="ChaparralPro-Regular" w:cs="Arial"/>
            <w:sz w:val="16"/>
            <w:szCs w:val="16"/>
          </w:rPr>
          <w:t>http://www.oecd.org/edu/educationataglance2015indicators.htm</w:t>
        </w:r>
      </w:hyperlink>
      <w:r w:rsidRPr="00EF1584">
        <w:rPr>
          <w:rFonts w:eastAsia="ChaparralPro-Regular" w:cs="Arial"/>
          <w:sz w:val="16"/>
          <w:szCs w:val="16"/>
        </w:rPr>
        <w:t xml:space="preserve"> v souboru tabulek k indikátoru A7</w:t>
      </w:r>
    </w:p>
    <w:p w:rsidR="00306953" w:rsidRPr="00306953" w:rsidRDefault="00306953" w:rsidP="00306953">
      <w:pPr>
        <w:spacing w:after="0" w:line="240" w:lineRule="auto"/>
        <w:jc w:val="both"/>
        <w:rPr>
          <w:rFonts w:eastAsia="ChaparralPro-Regular" w:cs="Arial"/>
          <w:szCs w:val="20"/>
        </w:rPr>
      </w:pPr>
    </w:p>
    <w:p w:rsidR="002C4A87" w:rsidRDefault="00306953" w:rsidP="00306953">
      <w:pPr>
        <w:pStyle w:val="Default"/>
        <w:spacing w:after="120"/>
        <w:jc w:val="both"/>
        <w:rPr>
          <w:rFonts w:ascii="Arial" w:eastAsia="ChaparralPro-Regular" w:hAnsi="Arial" w:cs="Arial"/>
          <w:color w:val="auto"/>
          <w:sz w:val="20"/>
          <w:szCs w:val="20"/>
        </w:rPr>
      </w:pPr>
      <w:r w:rsidRPr="00EF1584">
        <w:rPr>
          <w:rFonts w:ascii="Arial" w:eastAsia="ChaparralPro-Regular" w:hAnsi="Arial" w:cs="Arial"/>
          <w:color w:val="auto"/>
          <w:sz w:val="20"/>
          <w:szCs w:val="20"/>
        </w:rPr>
        <w:t>Jak je patrné, obdobné tendence jako u žen lze konstatovat též u mužů</w:t>
      </w:r>
      <w:r w:rsidR="00E52654">
        <w:rPr>
          <w:rFonts w:ascii="Arial" w:eastAsia="ChaparralPro-Regular" w:hAnsi="Arial" w:cs="Arial"/>
          <w:color w:val="auto"/>
          <w:sz w:val="20"/>
          <w:szCs w:val="20"/>
        </w:rPr>
        <w:t xml:space="preserve"> – ČR zaznamenala v roce 2011 u </w:t>
      </w:r>
      <w:r w:rsidRPr="00EF1584">
        <w:rPr>
          <w:rFonts w:ascii="Arial" w:eastAsia="ChaparralPro-Regular" w:hAnsi="Arial" w:cs="Arial"/>
          <w:color w:val="auto"/>
          <w:sz w:val="20"/>
          <w:szCs w:val="20"/>
        </w:rPr>
        <w:t xml:space="preserve">mužů i žen nadprůměrný čistý veřejný finanční přínos i vnitřní výnosové procento z dosažení vyššího sekundárního až postsekundárního neterciárního vzdělávání, jakož i terciárního vzdělávání, a to jak v porovnání s průměrem za země OECD, tak v porovnání s průměrem za země v EU a současně v OECD. Jedinou výjimkou je dosažené terciární vzdělání u mužů, kde čistý veřejný finanční přínos v ČR byl o něco nižší než v průměru za země v EU a současně v OECD, vnitřní výnosové procento však bylo naopak v ČR vyšší. Ve všech sledovaných kategoriích byly zároveň v ČR čistý veřejný finanční přínos vzdělání i vnitřní výnosové procento vyšší než na Slovensku a v Polsku (zde za rok 2010).  </w:t>
      </w:r>
    </w:p>
    <w:p w:rsidR="002C4A87" w:rsidRDefault="002C4A87" w:rsidP="00306953">
      <w:pPr>
        <w:pStyle w:val="Default"/>
        <w:spacing w:after="120"/>
        <w:jc w:val="both"/>
        <w:rPr>
          <w:rFonts w:ascii="Arial" w:eastAsia="ChaparralPro-Regular" w:hAnsi="Arial" w:cs="Arial"/>
          <w:color w:val="auto"/>
          <w:sz w:val="20"/>
          <w:szCs w:val="20"/>
        </w:rPr>
      </w:pPr>
    </w:p>
    <w:p w:rsidR="00306953" w:rsidRPr="002C4A87" w:rsidRDefault="002C4A87" w:rsidP="002C4A87">
      <w:pPr>
        <w:pStyle w:val="Nadpis3"/>
        <w:spacing w:after="120"/>
      </w:pPr>
      <w:bookmarkStart w:id="42" w:name="_Toc460424400"/>
      <w:r>
        <w:t>Shrnutí</w:t>
      </w:r>
      <w:bookmarkEnd w:id="42"/>
      <w:r w:rsidR="00306953" w:rsidRPr="00EF1584">
        <w:t xml:space="preserve">  </w:t>
      </w:r>
    </w:p>
    <w:p w:rsidR="00306953" w:rsidRPr="00EF1584" w:rsidRDefault="00306953" w:rsidP="002C4A87">
      <w:pPr>
        <w:pStyle w:val="Default"/>
        <w:jc w:val="both"/>
        <w:rPr>
          <w:rFonts w:ascii="Arial" w:hAnsi="Arial" w:cs="Arial"/>
          <w:sz w:val="20"/>
          <w:szCs w:val="20"/>
        </w:rPr>
      </w:pPr>
      <w:r w:rsidRPr="00EF1584">
        <w:rPr>
          <w:rFonts w:ascii="Arial" w:hAnsi="Arial" w:cs="Arial"/>
          <w:sz w:val="20"/>
          <w:szCs w:val="20"/>
        </w:rPr>
        <w:t>Tato kapitola ukázala, že v ČR přináší dosažení terciárního vzdělání zejména pro jedince</w:t>
      </w:r>
      <w:r w:rsidR="00295800">
        <w:rPr>
          <w:rFonts w:ascii="Arial" w:hAnsi="Arial" w:cs="Arial"/>
          <w:sz w:val="20"/>
          <w:szCs w:val="20"/>
        </w:rPr>
        <w:t xml:space="preserve"> i</w:t>
      </w:r>
      <w:r w:rsidRPr="00EF1584">
        <w:rPr>
          <w:rFonts w:ascii="Arial" w:hAnsi="Arial" w:cs="Arial"/>
          <w:sz w:val="20"/>
          <w:szCs w:val="20"/>
        </w:rPr>
        <w:t xml:space="preserve"> pro společnost velké finanční výhody. Navíc mají tito jedinci v ČR i ve většině dalších zemí větší šanci, že jejich mzda s pokračující praxí (a tím i věkem) poroste. U nás i v naprosté většině dalších zemí dosahovaly ve sledovaných letech ženy napříč sledovanými úrovněmi dosaženého vzdělání v průměru nižších výdělků než muži a u nás byly navíc v roce 2013 platy mužů ve větší míře ovlivněny tím, zda dosáhli terciárního vzdělání (jejich plat oproti mužům s vyšším sekundárním vzděláním vzrostl více, než jak tomu bylo u žen), zatímco nedosažení vyššího sekundárního vzdělávání se u nás v platech mužů a žen projevovalo srovnatelně. V mezinárodním srovnání pak </w:t>
      </w:r>
      <w:r w:rsidRPr="00EF1584">
        <w:rPr>
          <w:rFonts w:ascii="Arial" w:eastAsia="ChaparralPro-Regular" w:hAnsi="Arial" w:cs="Arial"/>
          <w:color w:val="auto"/>
          <w:sz w:val="20"/>
          <w:szCs w:val="20"/>
        </w:rPr>
        <w:t xml:space="preserve">byly v ČR rozdíly ve mzdách osob v závislosti na dosaženém vzdělání </w:t>
      </w:r>
      <w:r w:rsidRPr="00EF1584">
        <w:rPr>
          <w:rFonts w:ascii="Arial" w:eastAsia="ChaparralPro-Regular" w:hAnsi="Arial" w:cs="Arial"/>
          <w:color w:val="auto"/>
          <w:sz w:val="20"/>
          <w:szCs w:val="20"/>
        </w:rPr>
        <w:lastRenderedPageBreak/>
        <w:t xml:space="preserve">celkově nadprůměrné, rozdíly v platech různě vzdělaných žen byly však srovnatelné s mezinárodními průměry (rozdíl byl tedy v platech různě vzdělaných mužů). V ČR i v mezinárodních průměrech také platí, že u osob ve věku 55–64 let znamenalo terciární vzdělání větší navýšení platu oproti osobám s vyšším sekundárním vzděláním, než jak tomu bylo v případě osob ve věku 25 až 34 let. </w:t>
      </w:r>
      <w:r w:rsidRPr="00EF1584">
        <w:rPr>
          <w:rFonts w:ascii="Arial" w:hAnsi="Arial" w:cs="Arial"/>
          <w:sz w:val="20"/>
          <w:szCs w:val="20"/>
        </w:rPr>
        <w:t>V ČR dále tvořily v roce 2013 výdělky žen s nižším vzděláním, než je vyšší sekundární, ale též s vyšším sekundárním až postsekundárním neterciárním vzděláním čtyři pětiny výdělků mužů, mezi terciárně vzdělanými však činil podíl výdělků žen vůči výdělkům mužů jen 71 %. Celkově, tj. za všechny úrovně vzdělání, dosahovaly ženy v ČR zhruba tří čtvrtin výdělků mužů (76 %), obdobně tomu bylo též na Slovensku (74 %) a v Rakousku (75 %). Jedná se o větší rozdíl mezi muži a ženami, než jaký byl zaznamenán v mezinárodních průměrech, ve kterých ženy dosahovaly 80 %, resp. 81 % výdělků mužů. V České republice (ale též na sousedním Slovensku, v Polsku a v Rakousku) byly celkově za všechny úrovně vzdělávání platy mužů a žen pak vyrovnanější u starší než mladší věkové kohorty. V ČR činil celkový rozdíl 12 procentních bodů, přičemž nejvýraznější byl u osob s terciárním vzděláním, tj. o 20 procentních bodů, poté u osob s vyšším sekundárním až postsekundárním neterciárním vzděláním, tj. o 13 procentních bodů; u osob s nižším dosaženým vzděláním, než je vyšší sekundární, nebyl mezi oběma věkovými kohortami v genderových rozdílech téměř žádný rozdíl. Ve srovnání s ČR byla v mezinárodních průměrech situace napříč úrovněmi vzdělávání gendrově mnohem vyrovnanější.</w:t>
      </w:r>
    </w:p>
    <w:p w:rsidR="00306953" w:rsidRPr="00EF1584" w:rsidRDefault="00306953" w:rsidP="002C4A87">
      <w:pPr>
        <w:pStyle w:val="Default"/>
        <w:jc w:val="both"/>
        <w:rPr>
          <w:rFonts w:ascii="Arial" w:eastAsia="ChaparralPro-Regular" w:hAnsi="Arial" w:cs="Arial"/>
          <w:color w:val="auto"/>
          <w:sz w:val="20"/>
          <w:szCs w:val="20"/>
        </w:rPr>
      </w:pPr>
      <w:r w:rsidRPr="00EF1584">
        <w:rPr>
          <w:rFonts w:ascii="Arial" w:eastAsia="ChaparralPro-Regular" w:hAnsi="Arial" w:cs="Arial"/>
          <w:color w:val="auto"/>
          <w:sz w:val="20"/>
          <w:szCs w:val="20"/>
        </w:rPr>
        <w:t>Po zohlednění soukromých nákladů a výnosů byly v České republice v roce 2011 čisté soukromé finanční přínosy plynoucí z dosažení vyššího sekundárního až postsekundárního neterciárního vzdělání u mužů i žen značně podprůměrné, v Polsku však byly v roce 2010 v případě mužů ještě nižší. Naopak na Slovensku dosahovaly v roce 2011 nadprůměrných hodnot. Zajímavá je i skutečnost, že v Polsku byl čistý soukromý finanční přínos z dosažení vyššího sekundárního až postsekundárního neterciárního vzdělání u mužů nižší než u žen; V ČR, na Slovensku i v obou mezinárodních průměrech tomu bylo</w:t>
      </w:r>
      <w:r w:rsidR="004C0E99">
        <w:rPr>
          <w:rFonts w:ascii="Arial" w:eastAsia="ChaparralPro-Regular" w:hAnsi="Arial" w:cs="Arial"/>
          <w:color w:val="auto"/>
          <w:sz w:val="20"/>
          <w:szCs w:val="20"/>
        </w:rPr>
        <w:t xml:space="preserve"> naopak. Pokud se jedná o </w:t>
      </w:r>
      <w:r w:rsidRPr="00EF1584">
        <w:rPr>
          <w:rFonts w:ascii="Arial" w:eastAsia="ChaparralPro-Regular" w:hAnsi="Arial" w:cs="Arial"/>
          <w:color w:val="auto"/>
          <w:sz w:val="20"/>
          <w:szCs w:val="20"/>
        </w:rPr>
        <w:t>vnitřní výnosové procento, bylo v ČR oproti mezinárodní</w:t>
      </w:r>
      <w:r w:rsidR="00295800">
        <w:rPr>
          <w:rFonts w:ascii="Arial" w:eastAsia="ChaparralPro-Regular" w:hAnsi="Arial" w:cs="Arial"/>
          <w:color w:val="auto"/>
          <w:sz w:val="20"/>
          <w:szCs w:val="20"/>
        </w:rPr>
        <w:t>m průměrům v případě mužů, kteří</w:t>
      </w:r>
      <w:r w:rsidRPr="00EF1584">
        <w:rPr>
          <w:rFonts w:ascii="Arial" w:eastAsia="ChaparralPro-Regular" w:hAnsi="Arial" w:cs="Arial"/>
          <w:color w:val="auto"/>
          <w:sz w:val="20"/>
          <w:szCs w:val="20"/>
        </w:rPr>
        <w:t xml:space="preserve"> dosáhli vyššího sekundárního až postsekundárního neterciárního vzdělání, o cca 2 procen</w:t>
      </w:r>
      <w:r w:rsidR="00E41821">
        <w:rPr>
          <w:rFonts w:ascii="Arial" w:eastAsia="ChaparralPro-Regular" w:hAnsi="Arial" w:cs="Arial"/>
          <w:color w:val="auto"/>
          <w:sz w:val="20"/>
          <w:szCs w:val="20"/>
        </w:rPr>
        <w:t>tní body vyšší, v případě žen bylo</w:t>
      </w:r>
      <w:r w:rsidRPr="00EF1584">
        <w:rPr>
          <w:rFonts w:ascii="Arial" w:eastAsia="ChaparralPro-Regular" w:hAnsi="Arial" w:cs="Arial"/>
          <w:color w:val="auto"/>
          <w:sz w:val="20"/>
          <w:szCs w:val="20"/>
        </w:rPr>
        <w:t xml:space="preserve"> vyšší jen cca o jeden procentní bod. Zde lze poznamenat, že na Slo</w:t>
      </w:r>
      <w:r w:rsidR="004C0E99">
        <w:rPr>
          <w:rFonts w:ascii="Arial" w:eastAsia="ChaparralPro-Regular" w:hAnsi="Arial" w:cs="Arial"/>
          <w:color w:val="auto"/>
          <w:sz w:val="20"/>
          <w:szCs w:val="20"/>
        </w:rPr>
        <w:t>vensku bylo výnosové procento u </w:t>
      </w:r>
      <w:r w:rsidRPr="00EF1584">
        <w:rPr>
          <w:rFonts w:ascii="Arial" w:eastAsia="ChaparralPro-Regular" w:hAnsi="Arial" w:cs="Arial"/>
          <w:color w:val="auto"/>
          <w:sz w:val="20"/>
          <w:szCs w:val="20"/>
        </w:rPr>
        <w:t>mužů, a zejména žen výrazně vyšší</w:t>
      </w:r>
      <w:r w:rsidR="00295800">
        <w:rPr>
          <w:rFonts w:ascii="Arial" w:eastAsia="ChaparralPro-Regular" w:hAnsi="Arial" w:cs="Arial"/>
          <w:color w:val="auto"/>
          <w:sz w:val="20"/>
          <w:szCs w:val="20"/>
        </w:rPr>
        <w:t xml:space="preserve"> než v ČR</w:t>
      </w:r>
      <w:r w:rsidRPr="00EF1584">
        <w:rPr>
          <w:rFonts w:ascii="Arial" w:eastAsia="ChaparralPro-Regular" w:hAnsi="Arial" w:cs="Arial"/>
          <w:color w:val="auto"/>
          <w:sz w:val="20"/>
          <w:szCs w:val="20"/>
        </w:rPr>
        <w:t xml:space="preserve">. Čistý soukromý finanční přínos dosažení terciárního vzdělání, jakož i vnitřní výnosová procenta jsou naopak v ČR u mužů i žen nadprůměrná, v sousedním Polsku jsou však ještě vyšší. Na Slovensku dosahují oproti ČR naopak nižších (přestože stále </w:t>
      </w:r>
      <w:r w:rsidR="0099014A">
        <w:rPr>
          <w:rFonts w:ascii="Arial" w:eastAsia="ChaparralPro-Regular" w:hAnsi="Arial" w:cs="Arial"/>
          <w:color w:val="auto"/>
          <w:sz w:val="20"/>
          <w:szCs w:val="20"/>
        </w:rPr>
        <w:t xml:space="preserve">většinou </w:t>
      </w:r>
      <w:r w:rsidRPr="00EF1584">
        <w:rPr>
          <w:rFonts w:ascii="Arial" w:eastAsia="ChaparralPro-Regular" w:hAnsi="Arial" w:cs="Arial"/>
          <w:color w:val="auto"/>
          <w:sz w:val="20"/>
          <w:szCs w:val="20"/>
        </w:rPr>
        <w:t xml:space="preserve">nadprůměrných) hodnot. V ČR, na Slovensku, v Polsku i v mezinárodních průměrech pak platí, že se dosažení terciárního vzdělání zpravidla více finančně vyplatilo mužům než ženám. </w:t>
      </w:r>
    </w:p>
    <w:p w:rsidR="00306953" w:rsidRPr="00EF1584" w:rsidRDefault="00306953" w:rsidP="002C4A87">
      <w:pPr>
        <w:pStyle w:val="Default"/>
        <w:spacing w:after="120"/>
        <w:jc w:val="both"/>
        <w:rPr>
          <w:rFonts w:ascii="Arial" w:eastAsia="ChaparralPro-Regular" w:hAnsi="Arial" w:cs="Arial"/>
          <w:color w:val="auto"/>
          <w:sz w:val="20"/>
          <w:szCs w:val="20"/>
        </w:rPr>
      </w:pPr>
      <w:r w:rsidRPr="00EF1584">
        <w:rPr>
          <w:rFonts w:ascii="Arial" w:eastAsia="ChaparralPro-Regular" w:hAnsi="Arial" w:cs="Arial"/>
          <w:color w:val="auto"/>
          <w:sz w:val="20"/>
          <w:szCs w:val="20"/>
        </w:rPr>
        <w:t xml:space="preserve">Pokud se jedná o veřejné finance, ČR zaznamenala v roce 2011 u mužů i žen nadprůměrný čistý veřejný finanční přínos i vnitřní výnosové procento z dosažení vyššího sekundárního až postsekundárního neterciárního vzdělávání, jakož i terciárního vzdělávání, a to jak v porovnání s průměrem za země OECD, tak v porovnání s průměrem za země v EU a současně v OECD. Jedinou výjimkou je dosažené terciární vzdělávání u mužů, kde čistý veřejný finanční přínos v ČR byl o něco nižší než v průměru za </w:t>
      </w:r>
      <w:r w:rsidR="004C0E99">
        <w:rPr>
          <w:rFonts w:ascii="Arial" w:eastAsia="ChaparralPro-Regular" w:hAnsi="Arial" w:cs="Arial"/>
          <w:color w:val="auto"/>
          <w:sz w:val="20"/>
          <w:szCs w:val="20"/>
        </w:rPr>
        <w:t>země v EU a </w:t>
      </w:r>
      <w:r w:rsidRPr="00EF1584">
        <w:rPr>
          <w:rFonts w:ascii="Arial" w:eastAsia="ChaparralPro-Regular" w:hAnsi="Arial" w:cs="Arial"/>
          <w:color w:val="auto"/>
          <w:sz w:val="20"/>
          <w:szCs w:val="20"/>
        </w:rPr>
        <w:t>současně v OECD, vnitřní výnosové procento však bylo naopak v ČR vyšší. Ve všech sledovaných kategoriích byl zároveň v ČR čistý veřejný finanční přínos vzdělání i vnitřní výnosové procento vyšší než na Slovensku a v Polsku (v této zemi za rok 2010).</w:t>
      </w:r>
    </w:p>
    <w:p w:rsidR="00EF1584" w:rsidRDefault="00EF1584" w:rsidP="00306953">
      <w:pPr>
        <w:pStyle w:val="Nadpis1"/>
        <w:rPr>
          <w:rFonts w:cs="Arial"/>
        </w:rPr>
      </w:pPr>
      <w:bookmarkStart w:id="43" w:name="_Toc457225394"/>
    </w:p>
    <w:p w:rsidR="00576B24" w:rsidRDefault="00E75868" w:rsidP="002C4A87">
      <w:pPr>
        <w:pStyle w:val="Nadpis2"/>
      </w:pPr>
      <w:bookmarkStart w:id="44" w:name="_Toc460424401"/>
      <w:r>
        <w:t>Závěrečné s</w:t>
      </w:r>
      <w:r w:rsidR="00306953" w:rsidRPr="00306953">
        <w:t>hrnutí a diskuze</w:t>
      </w:r>
      <w:bookmarkEnd w:id="43"/>
      <w:bookmarkEnd w:id="44"/>
    </w:p>
    <w:p w:rsidR="002C4A87" w:rsidRPr="002C4A87" w:rsidRDefault="002C4A87" w:rsidP="002C4A87">
      <w:pPr>
        <w:spacing w:after="0" w:line="240" w:lineRule="auto"/>
      </w:pPr>
    </w:p>
    <w:p w:rsidR="00306953" w:rsidRPr="00306953" w:rsidRDefault="00306953" w:rsidP="00306953">
      <w:pPr>
        <w:spacing w:line="240" w:lineRule="auto"/>
        <w:jc w:val="both"/>
        <w:rPr>
          <w:rFonts w:cs="Arial"/>
        </w:rPr>
      </w:pPr>
      <w:r w:rsidRPr="00306953">
        <w:rPr>
          <w:rFonts w:cs="Arial"/>
        </w:rPr>
        <w:t>Tato publikace si kladla za cíl představit různé zdroje dat týkajících se tématu financí ve formálním vzdělávání a některé zajímavé indikátory a výstupy z těchto zdrojů. Vycházela zejména z údajů v publikaci OECD Education at a Glance, kde jsou každoročně publikována mezinárodní srovnání různých dat a jevů z oblasti formálního vzdělávání (data jsou sbírána na základě dotazníků UOE) a dále z údajů ve Statistické ročence školství, kterou každoročně sestavuje Ministerstvo školství, mládeže a tělovýchovy. Doplňkově byla využita publikace sítě Eurydice Teachers' and School Heads' Salaries and Allowances in Europe, 2013/14</w:t>
      </w:r>
      <w:r w:rsidRPr="00306953">
        <w:rPr>
          <w:rFonts w:cs="Arial"/>
          <w:i/>
        </w:rPr>
        <w:t xml:space="preserve">. </w:t>
      </w:r>
      <w:r w:rsidRPr="00306953">
        <w:rPr>
          <w:rFonts w:cs="Arial"/>
        </w:rPr>
        <w:t>V jednotlivých kapitolách byly představeny a mezinárodně porovnány zdroje financí ve vzdělávání, výdaje zemí na jednoho žáka či studenta, podíl veřejných a soukromých výdajů ve vzdělávání, výdaje vzdělávacích institucí na vlastní vyučovací proces, na doprovodné služby a na výzkum a vývoj, běžné a kapitálové výdaje vzdělávacích institucí, mzdy ve vzdělávání a výše platu učitelů na jednoh</w:t>
      </w:r>
      <w:r w:rsidR="004C0E99">
        <w:rPr>
          <w:rFonts w:cs="Arial"/>
        </w:rPr>
        <w:t>o žáka dle úrovně vzdělávání. V </w:t>
      </w:r>
      <w:r w:rsidRPr="00306953">
        <w:rPr>
          <w:rFonts w:cs="Arial"/>
        </w:rPr>
        <w:t>poslední kapitole pak bylo pojednáno o finanční výhodnosti investice do vzdělávání, a to jak z pohledu jedince, tak i společnosti. V následujících odstavcích zopakujeme několik důležitých zjištění.</w:t>
      </w:r>
    </w:p>
    <w:p w:rsidR="00306953" w:rsidRPr="00306953" w:rsidRDefault="00306953" w:rsidP="00306953">
      <w:pPr>
        <w:spacing w:after="120" w:line="240" w:lineRule="auto"/>
        <w:jc w:val="both"/>
        <w:rPr>
          <w:rFonts w:eastAsia="ChaparralPro-Regular" w:cs="Arial"/>
        </w:rPr>
      </w:pPr>
      <w:r w:rsidRPr="00306953">
        <w:rPr>
          <w:rFonts w:cs="Arial"/>
        </w:rPr>
        <w:t>Jak bylo uvedeno, v Č</w:t>
      </w:r>
      <w:r w:rsidRPr="00306953">
        <w:rPr>
          <w:rFonts w:eastAsia="ChaparralPro-Regular" w:cs="Arial"/>
        </w:rPr>
        <w:t xml:space="preserve">R byl ve srovnání s jinými zeměmi OECD věnován z veřejných rozpočtů na formální vzdělávání </w:t>
      </w:r>
      <w:r w:rsidR="00E11C1C">
        <w:rPr>
          <w:rFonts w:eastAsia="ChaparralPro-Regular" w:cs="Arial"/>
        </w:rPr>
        <w:t xml:space="preserve">primární až terciární úrovně </w:t>
      </w:r>
      <w:r w:rsidRPr="00306953">
        <w:rPr>
          <w:rFonts w:eastAsia="ChaparralPro-Regular" w:cs="Arial"/>
        </w:rPr>
        <w:t>v letech 2005 až 2012 podprůměrný podíl financí, který byl např. v sousedním Polsku a také ve Finsku vyšší</w:t>
      </w:r>
      <w:r w:rsidR="00E11C1C">
        <w:rPr>
          <w:rFonts w:eastAsia="ChaparralPro-Regular" w:cs="Arial"/>
        </w:rPr>
        <w:t xml:space="preserve"> (na rozdíl od těchto zemí však v ČR v čase stoupal)</w:t>
      </w:r>
      <w:r w:rsidRPr="00306953">
        <w:rPr>
          <w:rFonts w:eastAsia="ChaparralPro-Regular" w:cs="Arial"/>
        </w:rPr>
        <w:t xml:space="preserve">. Veřejné výdaje na vzdělávání byly v roce 2012 v ČR a na Slovensku v mezinárodním srovnání nízké i v případě, že </w:t>
      </w:r>
      <w:r w:rsidRPr="00306953">
        <w:rPr>
          <w:rFonts w:eastAsia="ChaparralPro-Regular" w:cs="Arial"/>
        </w:rPr>
        <w:lastRenderedPageBreak/>
        <w:t>sledujeme jejich podíl na HDP (tj. 3,7 %, resp. 3,5 %; v Polsku a v Estonsku to bylo 4,3 %, resp. 4,4 %, průměr OECD činil 4,8 %). Slovensko dokonce dosáhlo v tomto ohledu nejnižší hodnoty ze všech</w:t>
      </w:r>
      <w:r w:rsidR="00FA7353">
        <w:rPr>
          <w:rFonts w:eastAsia="ChaparralPro-Regular" w:cs="Arial"/>
        </w:rPr>
        <w:t xml:space="preserve"> sledovaných zemí OECD, za které</w:t>
      </w:r>
      <w:r w:rsidRPr="00306953">
        <w:rPr>
          <w:rFonts w:eastAsia="ChaparralPro-Regular" w:cs="Arial"/>
        </w:rPr>
        <w:t xml:space="preserve"> jsou dostupná data (ve Finsku byla tato</w:t>
      </w:r>
      <w:r w:rsidR="003A515E">
        <w:rPr>
          <w:rFonts w:eastAsia="ChaparralPro-Regular" w:cs="Arial"/>
        </w:rPr>
        <w:t xml:space="preserve"> hodnota téměř dvojnásobná, tj. </w:t>
      </w:r>
      <w:r w:rsidRPr="00306953">
        <w:rPr>
          <w:rFonts w:eastAsia="ChaparralPro-Regular" w:cs="Arial"/>
        </w:rPr>
        <w:t>6,1 %, a v Norsku více než dvojnásobná, tj. 7,7 %). Odhlédneme-li však od faktorů v pozadí, které mohou mít skrytý vliv na výsledky (zejména vliv velikosti populace ve věku typickém pro účast ve formálním vzdělávání), můžeme konstatovat, že ČR patří mezi země, kde v době ekonomické krize (tj. mezi roky 2008 a 2011) veřejné výdaje na vzdělávací instituce v relativním vyjádření jakožt</w:t>
      </w:r>
      <w:r w:rsidR="00E11E29">
        <w:rPr>
          <w:rFonts w:eastAsia="ChaparralPro-Regular" w:cs="Arial"/>
        </w:rPr>
        <w:t>o podíl HDP nejvíce narostly (o </w:t>
      </w:r>
      <w:r w:rsidRPr="00306953">
        <w:rPr>
          <w:rFonts w:eastAsia="ChaparralPro-Regular" w:cs="Arial"/>
        </w:rPr>
        <w:t>17 %, naopak v Polsku byl zaznamenán pokles o 5 %). Kromě toho se ČR řadí též mezi země s pozitivním nárůstem veřejných výdajů na vzdělávací instituce vyjádřenýc</w:t>
      </w:r>
      <w:r w:rsidR="004C0E99">
        <w:rPr>
          <w:rFonts w:eastAsia="ChaparralPro-Regular" w:cs="Arial"/>
        </w:rPr>
        <w:t>h v podílu HDP mezi roky 2010 a </w:t>
      </w:r>
      <w:r w:rsidRPr="00306953">
        <w:rPr>
          <w:rFonts w:eastAsia="ChaparralPro-Regular" w:cs="Arial"/>
        </w:rPr>
        <w:t>2012 (o 4 %). V mezinárodním průměru za země OECD došlo naopak mezi lety 2010 a 2012 k mírnému poklesu (o 3,1 %) a též v Polsku se tento podíl snížil (o 6,3 %).</w:t>
      </w:r>
    </w:p>
    <w:p w:rsidR="00306953" w:rsidRPr="00306953" w:rsidRDefault="00306953" w:rsidP="00306953">
      <w:pPr>
        <w:spacing w:after="120" w:line="240" w:lineRule="auto"/>
        <w:jc w:val="both"/>
        <w:rPr>
          <w:rFonts w:eastAsia="ChaparralPro-Regular" w:cs="Arial"/>
        </w:rPr>
      </w:pPr>
      <w:r w:rsidRPr="00306953">
        <w:rPr>
          <w:rFonts w:eastAsia="ChaparralPro-Regular" w:cs="Arial"/>
        </w:rPr>
        <w:t xml:space="preserve">Pokud se jedná o veřejné i soukromé výdaje dohromady, </w:t>
      </w:r>
      <w:r w:rsidR="00E11C1C">
        <w:rPr>
          <w:rFonts w:eastAsia="ChaparralPro-Regular" w:cs="Arial"/>
        </w:rPr>
        <w:t>i v tomto souhrnu zaznamenala Česká republika podprůměrný podíl výdajů na vzdělávací instituce z HDP. Od jiných zemí OECD se přitom liší</w:t>
      </w:r>
      <w:r w:rsidRPr="00306953">
        <w:rPr>
          <w:rFonts w:eastAsia="ChaparralPro-Regular" w:cs="Arial"/>
        </w:rPr>
        <w:t xml:space="preserve"> především relativně nízkými výdaji na povinnou školní docházku (tj. primární a nižší sekundární </w:t>
      </w:r>
      <w:r w:rsidRPr="003401C8">
        <w:rPr>
          <w:rFonts w:eastAsia="ChaparralPro-Regular" w:cs="Arial"/>
        </w:rPr>
        <w:t>vzdělávání); oproti tomu podíl výdajů na terciární vzdělávání k HDP byl v ČR a v mezinárodních průměrech v roce 2012 téměř shodný. Zároveň lze konstatovat, že veřejné i soukromé výdaje na vzdělávání na p</w:t>
      </w:r>
      <w:r w:rsidRPr="00306953">
        <w:rPr>
          <w:rFonts w:eastAsia="ChaparralPro-Regular" w:cs="Arial"/>
        </w:rPr>
        <w:t xml:space="preserve">rimární až post-sekundární neterciární úrovni v poměru k HDP byly v ČR od roku 2000 do roku 2012 relativně stabilní, zatímco výdaje na terciární vzdělávání vzrostly z 0,76 % HDP v roce 2000 na 1,44 % HDP v roce 2012. V mezinárodních průměrech, ale též např. ve Finsku byl vývoj těchto výdajů na tyto dvě skupiny vzdělávání dle úrovně ve srovnání s Českou republikou vyrovnanější (svou úlohu zde může sehrát míra čerpání dotací z evropských fondů v různých zemích). </w:t>
      </w:r>
    </w:p>
    <w:p w:rsidR="00306953" w:rsidRPr="00306953" w:rsidRDefault="00306953" w:rsidP="00306953">
      <w:pPr>
        <w:spacing w:after="120" w:line="240" w:lineRule="auto"/>
        <w:jc w:val="both"/>
        <w:rPr>
          <w:rFonts w:eastAsia="ChaparralPro-Regular" w:cs="Arial"/>
        </w:rPr>
      </w:pPr>
      <w:r w:rsidRPr="00306953">
        <w:rPr>
          <w:rFonts w:eastAsia="ChaparralPro-Regular" w:cs="Arial"/>
        </w:rPr>
        <w:t xml:space="preserve">K poznatkům v předchozím odstavci je třeba doplnit, že na výdaje v různých zemích má vliv velikost populace dětí/žáků/studentů té které úrovně vzdělávání. </w:t>
      </w:r>
      <w:r w:rsidRPr="00306953">
        <w:rPr>
          <w:rFonts w:cs="Arial"/>
        </w:rPr>
        <w:t>Pro zohlednění velikosti populace žáků/studentů na různých úrovních vzdělávání v různých zemích OECD jsme dále sledovali výdaje na jednoho žáka/studenta. Zde je možné uvést, že v roce 2012 byly výdaje na formální vzdělávání v </w:t>
      </w:r>
      <w:r w:rsidR="003A515E">
        <w:rPr>
          <w:rFonts w:cs="Arial"/>
        </w:rPr>
        <w:t>ČR na jednoho žáka/studenta (po </w:t>
      </w:r>
      <w:r w:rsidRPr="00306953">
        <w:rPr>
          <w:rFonts w:cs="Arial"/>
        </w:rPr>
        <w:t>zoh</w:t>
      </w:r>
      <w:r w:rsidR="00FA7353">
        <w:rPr>
          <w:rFonts w:cs="Arial"/>
        </w:rPr>
        <w:t>lednění PPP) relativně nízké (</w:t>
      </w:r>
      <w:r w:rsidRPr="00306953">
        <w:rPr>
          <w:rFonts w:cs="Arial"/>
        </w:rPr>
        <w:t>ve všech úrovních vzdělávání nižší než v mezinárodních průměrech), což bylo především dáno menším objemem financí investo</w:t>
      </w:r>
      <w:r w:rsidR="005F19BD">
        <w:rPr>
          <w:rFonts w:cs="Arial"/>
        </w:rPr>
        <w:t>vaných do vlastního vzdělávání</w:t>
      </w:r>
      <w:r w:rsidRPr="00306953">
        <w:rPr>
          <w:rFonts w:cs="Arial"/>
        </w:rPr>
        <w:t xml:space="preserve">. </w:t>
      </w:r>
      <w:r w:rsidRPr="00306953">
        <w:rPr>
          <w:rFonts w:eastAsia="ChaparralPro-Regular" w:cs="Arial"/>
        </w:rPr>
        <w:t>Výdaje vzdělávacích institucí na jednoho žáka v primárním vzdělávání byly v ČR navíc také nižší oproti sousednímu Slovensku a Polsku, u ostatních úrovní vzdělávání tomu bylo naopak. Přitom výdaje vzdělávacích institucí primárního až postsekundárního neterciárního vzdělávání na jednoho žáka v ČR od roku 2000 postupně rostly a nárůst výdajů mezi lety 2005 a 2012 byl u těchto institucí v ČR nadprůměrný, v Polsku a na Slovensku však byl ještě o poznání větší. V případě terciárního vzdělávání byl rovněž nárůst výdajů na jednoho studenta mezi lety 2005 a 2012 v ČR nadprůměrný a srovnatelný se Slovenskem a Polskem.</w:t>
      </w:r>
    </w:p>
    <w:p w:rsidR="00306953" w:rsidRPr="00306953" w:rsidRDefault="00306953" w:rsidP="00306953">
      <w:pPr>
        <w:spacing w:after="120" w:line="240" w:lineRule="auto"/>
        <w:jc w:val="both"/>
        <w:rPr>
          <w:rFonts w:eastAsia="ChaparralPro-Regular" w:cs="Arial"/>
        </w:rPr>
      </w:pPr>
      <w:r w:rsidRPr="005F19BD">
        <w:rPr>
          <w:rFonts w:eastAsia="ChaparralPro-Regular" w:cs="Arial"/>
        </w:rPr>
        <w:t>Pokud se jedná o výdaje na výzkum a vývoj,</w:t>
      </w:r>
      <w:r w:rsidRPr="00306953">
        <w:rPr>
          <w:rFonts w:eastAsia="ChaparralPro-Regular" w:cs="Arial"/>
        </w:rPr>
        <w:t xml:space="preserve"> v ČR byla na tento účel v roce 2012 v souladu s mezinárodními průměry za země v OECD a za země v EU i OECD věnována třetina z výdajů vzdělávacích institucí na jednoho žáka terciární úrovně.  Ve srovnání s tím v Estonsku a Finsku</w:t>
      </w:r>
      <w:r w:rsidR="004C0E99">
        <w:rPr>
          <w:rFonts w:eastAsia="ChaparralPro-Regular" w:cs="Arial"/>
        </w:rPr>
        <w:t xml:space="preserve"> byl tento podíl dvoupětinový a </w:t>
      </w:r>
      <w:r w:rsidRPr="00306953">
        <w:rPr>
          <w:rFonts w:eastAsia="ChaparralPro-Regular" w:cs="Arial"/>
        </w:rPr>
        <w:t xml:space="preserve">v Polsku naopak jen cca pětinový. </w:t>
      </w:r>
      <w:r w:rsidR="005840DA">
        <w:rPr>
          <w:rFonts w:eastAsia="ChaparralPro-Regular" w:cs="Arial"/>
        </w:rPr>
        <w:t>Vyjádříme-li tyto výdaje</w:t>
      </w:r>
      <w:r w:rsidRPr="00144300">
        <w:rPr>
          <w:rFonts w:eastAsia="ChaparralPro-Regular" w:cs="Arial"/>
        </w:rPr>
        <w:t xml:space="preserve"> v procentech k HDP země, i v tomto ohledu byl v České republice v roce 2011 vydán v rámci terciárního vzdělávání</w:t>
      </w:r>
      <w:r w:rsidR="004C0E99" w:rsidRPr="00144300">
        <w:rPr>
          <w:rFonts w:eastAsia="ChaparralPro-Regular" w:cs="Arial"/>
        </w:rPr>
        <w:t xml:space="preserve"> průměrný podíl HDP na výzkum a </w:t>
      </w:r>
      <w:r w:rsidRPr="00144300">
        <w:rPr>
          <w:rFonts w:eastAsia="ChaparralPro-Regular" w:cs="Arial"/>
        </w:rPr>
        <w:t>vývoj (tj. ve srovnání s průměrem za země v EU i OECD i za všechny země v OECD) a</w:t>
      </w:r>
      <w:r w:rsidRPr="00306953">
        <w:rPr>
          <w:rFonts w:eastAsia="ChaparralPro-Regular" w:cs="Arial"/>
        </w:rPr>
        <w:t xml:space="preserve"> též celkové výdaje na terciární vzdělávání vyjádřené jakožto podíl HDP byly v ČR srovnate</w:t>
      </w:r>
      <w:r w:rsidR="004C0E99">
        <w:rPr>
          <w:rFonts w:eastAsia="ChaparralPro-Regular" w:cs="Arial"/>
        </w:rPr>
        <w:t>lné s průměrem za země v OECD a </w:t>
      </w:r>
      <w:r w:rsidRPr="00306953">
        <w:rPr>
          <w:rFonts w:eastAsia="ChaparralPro-Regular" w:cs="Arial"/>
        </w:rPr>
        <w:t>EU (ve srovnání s průměrem za země v OECD byly již tyto výdaje o něco nižší). Oproti oběma mezinárodním průměrům však ČR vydávala nižší podíl HDP na služby institucí spojené s vlastním poskytováním vzdělávání na primární až postsekundární neterciární úrovni (oproti tomu v Polsku byl ten</w:t>
      </w:r>
      <w:r w:rsidR="00144300">
        <w:rPr>
          <w:rFonts w:eastAsia="ChaparralPro-Regular" w:cs="Arial"/>
        </w:rPr>
        <w:t xml:space="preserve">to podíl </w:t>
      </w:r>
      <w:r w:rsidRPr="00306953">
        <w:rPr>
          <w:rFonts w:eastAsia="ChaparralPro-Regular" w:cs="Arial"/>
        </w:rPr>
        <w:t>srovnatelný</w:t>
      </w:r>
      <w:r w:rsidR="00144300">
        <w:rPr>
          <w:rFonts w:eastAsia="ChaparralPro-Regular" w:cs="Arial"/>
        </w:rPr>
        <w:t xml:space="preserve"> </w:t>
      </w:r>
      <w:r w:rsidR="00945024">
        <w:rPr>
          <w:rFonts w:eastAsia="ChaparralPro-Regular" w:cs="Arial"/>
        </w:rPr>
        <w:t>s mezinárodním průměrem za země v EU i OECD</w:t>
      </w:r>
      <w:r w:rsidRPr="00306953">
        <w:rPr>
          <w:rFonts w:eastAsia="ChaparralPro-Regular" w:cs="Arial"/>
        </w:rPr>
        <w:t>), zatímco podíl HDP věnovaný v ČR na poskytování doprovodných služeb v těchto institucích byl s mezinárodními průměry srovnatelný – a desetkrát vyšší než v Polsku.</w:t>
      </w:r>
    </w:p>
    <w:p w:rsidR="00306953" w:rsidRPr="00306953" w:rsidRDefault="00306953" w:rsidP="00306953">
      <w:pPr>
        <w:spacing w:after="120" w:line="240" w:lineRule="auto"/>
        <w:jc w:val="both"/>
        <w:rPr>
          <w:rFonts w:eastAsia="ChaparralPro-Regular" w:cs="Arial"/>
        </w:rPr>
      </w:pPr>
      <w:r w:rsidRPr="00306953">
        <w:rPr>
          <w:rFonts w:eastAsia="ChaparralPro-Regular" w:cs="Arial"/>
        </w:rPr>
        <w:t>V této práci byly dále výdaje vzdělávacích institucí děleny na běžné a kapitálové, přičemž běžné výdaje byly dále rozděleny na výdaje na mzdy personálu a ostatní běžné výdaje. V tomto ohledu se Česká republika ukázala být zemí, ve které byl v roce 2012 ze všech sledovaných zemí OECD nejnižší podíl běžných výdajů věnovaný na platy zaměstnanců působících na úrovni primárního, sekundárního a postsekundárního neterciárního vzdělávání (58 %; mezinárodní průměr činil 78,6 %). Pokud se jedná o terciární úroveň vzdělávání, pak ze sledovaných zemí byla pouze v ČR a v Indonésii méně než polovina běžných výdajů institucí terciárního vzdělávání určena na platy personálu (tj. 40,6 %, resp. 31,2 %). V sousedním Polsku přitom tento podíl činil tři čtvrtiny (za nižší úrovně vzdělávání příslušný údaj za tuto zemi není k dispozici).</w:t>
      </w:r>
    </w:p>
    <w:p w:rsidR="00306953" w:rsidRPr="00306953" w:rsidRDefault="00306953" w:rsidP="00306953">
      <w:pPr>
        <w:spacing w:after="120" w:line="240" w:lineRule="auto"/>
        <w:jc w:val="both"/>
        <w:rPr>
          <w:rFonts w:eastAsia="ChaparralPro-Regular" w:cs="Arial"/>
        </w:rPr>
      </w:pPr>
      <w:r w:rsidRPr="00306953">
        <w:rPr>
          <w:rFonts w:eastAsia="ChaparralPro-Regular" w:cs="Arial"/>
        </w:rPr>
        <w:t>Dále jsme se soustředili konkrétně na platy učitelů</w:t>
      </w:r>
      <w:r w:rsidR="00F3350A">
        <w:rPr>
          <w:rFonts w:eastAsia="ChaparralPro-Regular" w:cs="Arial"/>
        </w:rPr>
        <w:t xml:space="preserve"> </w:t>
      </w:r>
      <w:r w:rsidR="00F3350A">
        <w:rPr>
          <w:rFonts w:cs="Arial"/>
        </w:rPr>
        <w:t>(přepočtené na USD v paritě</w:t>
      </w:r>
      <w:r w:rsidR="00F3350A" w:rsidRPr="00306953">
        <w:rPr>
          <w:rFonts w:cs="Arial"/>
        </w:rPr>
        <w:t xml:space="preserve"> kupní síly)</w:t>
      </w:r>
      <w:r w:rsidRPr="00306953">
        <w:rPr>
          <w:rFonts w:eastAsia="ChaparralPro-Regular" w:cs="Arial"/>
        </w:rPr>
        <w:t xml:space="preserve">. Zde jsme obdobně uvedli, že v ČR připadal v roce 2012 na mzdové prostředky pro učitele na primární až post-sekundární neterciární úrovni, ale též na terciární úrovni výrazně podprůměrný podíl běžných výdajů (a to jak mezi evropskými zeměmi, které jsou členy OECD, tak i celkově mezi všemi zeměmi OECD). Konkrétně činil v ČR tento podíl u učitelů působících na primární až postsekundární neterciární úrovni 43,6 % (oproti 62,4 % </w:t>
      </w:r>
      <w:r w:rsidRPr="00306953">
        <w:rPr>
          <w:rFonts w:eastAsia="ChaparralPro-Regular" w:cs="Arial"/>
        </w:rPr>
        <w:lastRenderedPageBreak/>
        <w:t>v průměru za země OECD) a u učitelů na terciární úrovni 25,2 % (oproti 39,7 % v průměru za země OECD). Zároveň byly tyto podíly v ČR nižší než např. na Slovensku, v Rakousku či Finsku (za Polsko nejsou tyto údaje k dispozici).</w:t>
      </w:r>
    </w:p>
    <w:p w:rsidR="00306953" w:rsidRPr="00306953" w:rsidRDefault="00306953" w:rsidP="00306953">
      <w:pPr>
        <w:spacing w:after="120" w:line="240" w:lineRule="auto"/>
        <w:jc w:val="both"/>
        <w:rPr>
          <w:rFonts w:eastAsia="ChaparralPro-Regular" w:cs="Arial"/>
        </w:rPr>
      </w:pPr>
      <w:r w:rsidRPr="00306953">
        <w:rPr>
          <w:rFonts w:cs="Arial"/>
        </w:rPr>
        <w:t xml:space="preserve">Náklady na platy učitelů byly dále vyjádřeny jakožto náklady na jednoho žáka té které vzdělávací úrovně v různých zemích OECD. Zde lze opět konstatovat, že v roce 2013 byla výše nákladů na platy učitelů na jednoho žáka v primárním, nižším sekundárním i vyšším sekundárním vzdělávání v ČR v mezinárodním srovnání výrazně podprůměrná. </w:t>
      </w:r>
      <w:r w:rsidRPr="00306953">
        <w:rPr>
          <w:rFonts w:eastAsia="ChaparralPro-Regular" w:cs="Arial"/>
        </w:rPr>
        <w:t>K tomu lze doplnit, že v sousedním Polsku byly náklady na platy učitelů na jednoho žáka v primárním vzdělávání více než dvojnásobné a náklady na platy učitelů na jednoho žáka v nižším sekundárním vzdělávání byly více než o polovinu vyšší. Na Slovensku byly náklady na platy učitelů na jednoho žáka v primárním vzdělávání přibližně stejné jako v ČR, náklady na jednoho žáka v nižším sekundárním vzdělávání však byly o téměř čtvrtinu nižší. Lze také konstatovat, že na Slovensku byly náklady na mzdy učitelů v primárním vzdělávání a nižším a vyšším sekundárním vzdělávání vyrovnanější než v České republice, kde výdaje na mzdy učitelů na jednoho žáka v primárním vzdělávání byly výrazně nižší než výdaje na mzdy učitelů na jednoho žáka v nižším sekundárním vzdělávání. Pokud se jedná o podíl HDP na jednoho obyvatele věnovaný na mzdy učitelů na jednoho žáka, byl v ČR v primárním a nižším sekundárním vzdělávání opět nižší než v průměru za země OECD a byl také výrazně nižší než v sousedním Polsku, nebo např. Finsku a Rakousku.</w:t>
      </w:r>
      <w:r w:rsidR="00247D3D">
        <w:rPr>
          <w:rFonts w:eastAsia="ChaparralPro-Regular" w:cs="Arial"/>
        </w:rPr>
        <w:t xml:space="preserve"> </w:t>
      </w:r>
    </w:p>
    <w:p w:rsidR="00306953" w:rsidRPr="00306953" w:rsidRDefault="00306953" w:rsidP="00306953">
      <w:pPr>
        <w:spacing w:after="120" w:line="240" w:lineRule="auto"/>
        <w:jc w:val="both"/>
        <w:rPr>
          <w:rFonts w:eastAsia="ChaparralPro-Regular" w:cs="Arial"/>
        </w:rPr>
      </w:pPr>
      <w:r w:rsidRPr="00306953">
        <w:rPr>
          <w:rFonts w:eastAsia="ChaparralPro-Regular" w:cs="Arial"/>
        </w:rPr>
        <w:t>V roce 2013 patřila ČR spolu s Chile, Maďarskem, Estonskem a Slovenskem mezi pět zemí OECD s dostupnými daty s nejnižšími mzdovými výdaji na jednu odučenou hodinu učitele primárního a nižšího sekundárního vzdělávání s patnáctiletou praxí a typickým požadovaným vzděláním, a sice méně 30 USD.</w:t>
      </w:r>
      <w:r w:rsidRPr="00306953">
        <w:rPr>
          <w:rFonts w:cs="Arial"/>
        </w:rPr>
        <w:t xml:space="preserve"> </w:t>
      </w:r>
      <w:r w:rsidRPr="00306953">
        <w:rPr>
          <w:rFonts w:eastAsia="ChaparralPro-Regular" w:cs="Arial"/>
        </w:rPr>
        <w:t>Lze také uvést, že v ČR ve školním roce 2013/14 zaostávaly roční zákonem stanovené minimální i maximální platy učitelů i ředitelů za HDP na jednoho obyvatele a mezi evropskými zeměmi jsme byli jedinou zemí, ve které byly roční maximální zákonem stanovené platy ředitelů působících na primární, nižší i vyšší sekundární úrovni vzdělávání (tj. současně na všech těchto úrovních) nižší než HDP na jednoho obyvatele.</w:t>
      </w:r>
    </w:p>
    <w:p w:rsidR="009624FD" w:rsidRDefault="00306953" w:rsidP="00306953">
      <w:pPr>
        <w:spacing w:after="120" w:line="240" w:lineRule="auto"/>
        <w:jc w:val="both"/>
        <w:rPr>
          <w:rFonts w:eastAsia="ChaparralPro-Regular" w:cs="Arial"/>
        </w:rPr>
      </w:pPr>
      <w:r w:rsidRPr="00306953">
        <w:rPr>
          <w:rFonts w:cs="Arial"/>
        </w:rPr>
        <w:t>V této práci byl sledován též vývoj nákladů na platy učitelů na jednoho žáka v primárním a nižším sekundárním vzdělávání v letech 2005, 20</w:t>
      </w:r>
      <w:r w:rsidR="001B13F5">
        <w:rPr>
          <w:rFonts w:cs="Arial"/>
        </w:rPr>
        <w:t>08 a 2012 (přepočtených na USD v paritě</w:t>
      </w:r>
      <w:r w:rsidRPr="00306953">
        <w:rPr>
          <w:rFonts w:cs="Arial"/>
        </w:rPr>
        <w:t xml:space="preserve"> kupní síly). </w:t>
      </w:r>
      <w:r w:rsidRPr="00306953">
        <w:rPr>
          <w:rFonts w:eastAsia="ChaparralPro-Regular" w:cs="Arial"/>
        </w:rPr>
        <w:t>V České republice byly tyto náklady ve sledovaných letech v mezinárodním srovnání s dalšími zeměmi OECD jedny z nejnižších a od roku 2008 do roku 2012 poklesly o 15,1 % v primárním vzdělávání a o 6,4 % v nižším sekundárním vzdělávání. Přitom v Polsku došlo na obou úrovních vzdělávání naopak ke zvýšení nákladů na platy učitelů na jednoho žáka, které z velké části způsob</w:t>
      </w:r>
      <w:r w:rsidR="002D72E6">
        <w:rPr>
          <w:rFonts w:eastAsia="ChaparralPro-Regular" w:cs="Arial"/>
        </w:rPr>
        <w:t>ilo též zvýšení platů učitelů. Jak bylo přitom již řečeno, p</w:t>
      </w:r>
      <w:r w:rsidRPr="00306953">
        <w:rPr>
          <w:rFonts w:eastAsia="ChaparralPro-Regular" w:cs="Arial"/>
        </w:rPr>
        <w:t xml:space="preserve">odprůměrné náklady na platy učitelů na jednoho žáka (resp. jedny z nejnižších) zaznamenala ČR i v roce 2013. Na primární úrovni vzdělávání byly tyto náklady ve vyjádření v % k HDP dokonce nejnižší ze všech sledovaných zemí OECD, za které byla dostupná data. </w:t>
      </w:r>
    </w:p>
    <w:p w:rsidR="00306953" w:rsidRPr="00306953" w:rsidRDefault="009624FD" w:rsidP="00306953">
      <w:pPr>
        <w:spacing w:after="120" w:line="240" w:lineRule="auto"/>
        <w:jc w:val="both"/>
        <w:rPr>
          <w:rFonts w:eastAsia="ChaparralPro-Regular" w:cs="Arial"/>
          <w:szCs w:val="20"/>
          <w:vertAlign w:val="superscript"/>
        </w:rPr>
      </w:pPr>
      <w:r w:rsidRPr="009624FD">
        <w:rPr>
          <w:rFonts w:eastAsia="ChaparralPro-Regular" w:cs="Arial"/>
          <w:szCs w:val="20"/>
        </w:rPr>
        <w:t>V České republice činily v roce 2013 zákonné</w:t>
      </w:r>
      <w:r w:rsidRPr="00442515">
        <w:rPr>
          <w:rFonts w:eastAsia="ChaparralPro-Regular" w:cs="Arial"/>
          <w:szCs w:val="20"/>
        </w:rPr>
        <w:t xml:space="preserve"> platy učitelů s patnáctiletou praxí v oboru a minimálním požadovaným vzděláním (po</w:t>
      </w:r>
      <w:r>
        <w:rPr>
          <w:rFonts w:eastAsia="ChaparralPro-Regular" w:cs="Arial"/>
          <w:szCs w:val="20"/>
        </w:rPr>
        <w:t xml:space="preserve"> převedení na konstantní ceny a </w:t>
      </w:r>
      <w:r w:rsidRPr="00442515">
        <w:rPr>
          <w:rFonts w:eastAsia="ChaparralPro-Regular" w:cs="Arial"/>
          <w:szCs w:val="20"/>
        </w:rPr>
        <w:t>ošetření deflátorem pro soukromou spotřebu) méně než 90 % výše platů v roce 2005, a to jak na preprimární, tak na primární, nižší sekundární i vyšší sekundární úrovni</w:t>
      </w:r>
      <w:r>
        <w:rPr>
          <w:rFonts w:eastAsia="ChaparralPro-Regular" w:cs="Arial"/>
          <w:szCs w:val="20"/>
        </w:rPr>
        <w:t xml:space="preserve"> (v případě neprimárního vzdělávání je to dokonce jen 60 </w:t>
      </w:r>
      <w:r w:rsidRPr="009624FD">
        <w:rPr>
          <w:rFonts w:eastAsia="ChaparralPro-Regular" w:cs="Arial"/>
          <w:szCs w:val="20"/>
        </w:rPr>
        <w:t>%</w:t>
      </w:r>
      <w:r w:rsidR="001B7F92">
        <w:rPr>
          <w:rFonts w:eastAsia="ChaparralPro-Regular" w:cs="Arial"/>
          <w:szCs w:val="20"/>
        </w:rPr>
        <w:t>, vliv zde však může hrát i </w:t>
      </w:r>
      <w:r>
        <w:rPr>
          <w:rFonts w:eastAsia="ChaparralPro-Regular" w:cs="Arial"/>
          <w:szCs w:val="20"/>
        </w:rPr>
        <w:t>změna metodiky</w:t>
      </w:r>
      <w:r w:rsidR="001B13F5">
        <w:rPr>
          <w:rFonts w:eastAsia="ChaparralPro-Regular" w:cs="Arial"/>
          <w:szCs w:val="20"/>
        </w:rPr>
        <w:t xml:space="preserve"> vykazování v ČR</w:t>
      </w:r>
      <w:r w:rsidRPr="009624FD">
        <w:rPr>
          <w:rFonts w:eastAsia="ChaparralPro-Regular" w:cs="Arial"/>
          <w:szCs w:val="20"/>
        </w:rPr>
        <w:t xml:space="preserve">). </w:t>
      </w:r>
      <w:r w:rsidR="006C5FEA" w:rsidRPr="009624FD">
        <w:rPr>
          <w:rFonts w:eastAsia="ChaparralPro-Regular" w:cs="Arial"/>
        </w:rPr>
        <w:t xml:space="preserve">Sousední Polsko přitom zaznamenalo v uvedených úrovních pětinový až čtvrtinový nárůst. </w:t>
      </w:r>
      <w:r w:rsidR="00306953" w:rsidRPr="009624FD">
        <w:rPr>
          <w:rFonts w:eastAsia="ChaparralPro-Regular" w:cs="Arial"/>
          <w:color w:val="000000" w:themeColor="text1"/>
        </w:rPr>
        <w:t>Přitom, jak již bylo zmíněno</w:t>
      </w:r>
      <w:r w:rsidR="00306953" w:rsidRPr="00306953">
        <w:rPr>
          <w:rFonts w:eastAsia="ChaparralPro-Regular" w:cs="Arial"/>
          <w:color w:val="000000" w:themeColor="text1"/>
        </w:rPr>
        <w:t xml:space="preserve"> výše, patří ČR k zemím, ve kterých celkové veřejné výdaje na instituce formálního vzdělávání vyjádřené jakožto podíl HDP země mezi roky 2008 a 2012 narostly, naopak v Polsku byl zaznamenán nepatrný pokles daný též poměrně vysokým nárůstem HDP. Obdobně lze v ČR a na Slovensku sledovat mírný nárůst podílu veřejných výdajů na vzdělávání z celkových veřejných výdajů mezi roky 2000 a 2012 (v Polsku naopak mírně klesl</w:t>
      </w:r>
      <w:r>
        <w:rPr>
          <w:rFonts w:eastAsia="ChaparralPro-Regular" w:cs="Arial"/>
          <w:color w:val="000000" w:themeColor="text1"/>
        </w:rPr>
        <w:t>), jakož i </w:t>
      </w:r>
      <w:r w:rsidR="00306953" w:rsidRPr="00306953">
        <w:rPr>
          <w:rFonts w:eastAsia="ChaparralPro-Regular" w:cs="Arial"/>
          <w:color w:val="000000" w:themeColor="text1"/>
        </w:rPr>
        <w:t xml:space="preserve">podílu výdajů na vzdělávání z HDP mezi roky 2000 a 2012 (v Polsku byl v roce 2012 o desetinu procentního bodu nižší než v roce 2000).  </w:t>
      </w:r>
    </w:p>
    <w:p w:rsidR="00306953" w:rsidRPr="00306953" w:rsidRDefault="00306953" w:rsidP="00306953">
      <w:pPr>
        <w:spacing w:after="120" w:line="240" w:lineRule="auto"/>
        <w:jc w:val="both"/>
        <w:rPr>
          <w:rFonts w:eastAsia="ChaparralPro-Regular" w:cs="Arial"/>
        </w:rPr>
      </w:pPr>
      <w:r w:rsidRPr="00306953">
        <w:rPr>
          <w:rFonts w:eastAsia="ChaparralPro-Regular" w:cs="Arial"/>
        </w:rPr>
        <w:t>Dále jsme se věnovali otázce, zda je učitelské povolání z hlediska platového ohodnocení v různých zemích výhodnou profesí. V tomto ohledu lze konstatovat, že v průměru za země OECD dosahoval v roce 2012 učitel v preprimárním a primárním vzdělávání 78 % platu pracovníka s obdobným vzděláním (25–64letého, pracujícího celý rok na plný úvazek), u učitelů v nižším sekundárním vzdělávání je to 80 % a ve vyšším sekundárním vzdělávání 82 %. V České republice dosahoval učitel v primárním a nižším sekundárním vzdělávání průměrně pouze 52 % platu pracovníka s obdobným vzděláním, ve vyšším sekundárním vzdělávání je to potom 56 %. Až na vyšší sekundární vzdělávání přitom platí, že ČR zaznamenala nejnižší podíly ze všech zemí (u vyššího sekundárního vzdělávání dosáhlo nejnižšího podílu Maďarsko a na Slovensku byl tento podíl jen o procentní bod vyšší). Podobné výsledky byly pro ČR zjištěny i za rok 2013, kdy se sledovaly skutečné platy učitelů ve věku 25-64 let a zákonné platy učitelů s patnáctiletou praxí v oboru a typickou kvalifikací. Zde lze poznamenat, že pokud se jedná o skutečné platy učitelů</w:t>
      </w:r>
      <w:r w:rsidR="00E173B0">
        <w:rPr>
          <w:rFonts w:eastAsia="ChaparralPro-Regular" w:cs="Arial"/>
        </w:rPr>
        <w:t xml:space="preserve"> v nižším sekundárním vzdělávání</w:t>
      </w:r>
      <w:r w:rsidR="00D82385">
        <w:rPr>
          <w:rFonts w:eastAsia="ChaparralPro-Regular" w:cs="Arial"/>
        </w:rPr>
        <w:t xml:space="preserve"> působících ve školách s veřejným zřizovatelem</w:t>
      </w:r>
      <w:r w:rsidRPr="00306953">
        <w:rPr>
          <w:rFonts w:eastAsia="ChaparralPro-Regular" w:cs="Arial"/>
        </w:rPr>
        <w:t>, v sousedním Polsku dosahovaly 86 % platu pracovníka s obdobným vzděláním, což je v mezinárodním srovnání nadprůměrný podíl.</w:t>
      </w:r>
    </w:p>
    <w:p w:rsidR="00306953" w:rsidRPr="00306953" w:rsidRDefault="00306953" w:rsidP="00306953">
      <w:pPr>
        <w:autoSpaceDE w:val="0"/>
        <w:autoSpaceDN w:val="0"/>
        <w:adjustRightInd w:val="0"/>
        <w:spacing w:after="120" w:line="240" w:lineRule="auto"/>
        <w:jc w:val="both"/>
        <w:rPr>
          <w:rFonts w:eastAsia="ChaparralPro-Regular" w:cs="Arial"/>
        </w:rPr>
      </w:pPr>
      <w:r w:rsidRPr="00306953">
        <w:rPr>
          <w:rFonts w:eastAsia="ChaparralPro-Regular" w:cs="Arial"/>
        </w:rPr>
        <w:lastRenderedPageBreak/>
        <w:t>V souhrnu lze říci, že na vzdělávání ČR vydávala ve sledovaných letech podprůměrnou výši finančních prostředků, včetně zejména mzdových výdajů na platy učitelů. Zároveň u nás učitelům narůstal plat spolu s postupující praxí v mezinárodním srovnání jen velmi mírně a ve srovnání se mzdami vysokoškolsky vzdělaných osob v ČR byl plat učitelů v ČR značně podprůměrný (v tomto ohledu Münich a Straka (2012) navíc uvádějí, že v jiných než učitelských profesích roste pracovníkům s přibývajícími lety praxe plat mnohem rychleji</w:t>
      </w:r>
      <w:r w:rsidRPr="00306953">
        <w:rPr>
          <w:rStyle w:val="Znakapoznpodarou"/>
          <w:rFonts w:eastAsia="ChaparralPro-Regular" w:cs="Arial"/>
        </w:rPr>
        <w:footnoteReference w:id="17"/>
      </w:r>
      <w:r w:rsidRPr="00306953">
        <w:rPr>
          <w:rFonts w:eastAsia="ChaparralPro-Regular" w:cs="Arial"/>
        </w:rPr>
        <w:t>). V této části zprávy jsme také zmínili, že dle šetření TALIS 2013 byl u nás v roce 2013 ze všech zemí OECD zapojených do tohoto šetření nejnižší podíl učitelů názoru, že výhody učitelského povolání jednoznačně převažují nad jeho nevýhodami (53 % oproti</w:t>
      </w:r>
      <w:r w:rsidR="004F682F">
        <w:rPr>
          <w:rFonts w:eastAsia="ChaparralPro-Regular" w:cs="Arial"/>
        </w:rPr>
        <w:t xml:space="preserve"> 77 % v mezinárodním průměru) a </w:t>
      </w:r>
      <w:r w:rsidRPr="00306953">
        <w:rPr>
          <w:rFonts w:eastAsia="ChaparralPro-Regular" w:cs="Arial"/>
        </w:rPr>
        <w:t>nadprůměrný podíl učitelů si u nás také nemyslel, že by si společnost povolání učitele vážila (v ČR 88 % oproti 69 % v mezinárodním průměru) (</w:t>
      </w:r>
      <w:hyperlink r:id="rId173" w:history="1">
        <w:r w:rsidRPr="00FA7353">
          <w:rPr>
            <w:rStyle w:val="Hypertextovodkaz"/>
            <w:rFonts w:eastAsia="ChaparralPro-Regular" w:cs="Arial"/>
          </w:rPr>
          <w:t>OECD, 2014b</w:t>
        </w:r>
      </w:hyperlink>
      <w:r w:rsidRPr="00306953">
        <w:rPr>
          <w:rFonts w:eastAsia="ChaparralPro-Regular" w:cs="Arial"/>
        </w:rPr>
        <w:t xml:space="preserve">).  I do těchto postojů, jakož i motivace učitelů setrvat ve své profesi a podávat kvalitní výkon, resp. do motivace talentovaných uchazečů dát se vůbec na učitelskou profesní dráhu se přitom může relativně nízké finanční ohodnocení učitelů u nás promítat. Např. v šetření provedeném společností </w:t>
      </w:r>
      <w:hyperlink r:id="rId174" w:history="1">
        <w:proofErr w:type="spellStart"/>
        <w:r w:rsidRPr="009E4D73">
          <w:rPr>
            <w:rStyle w:val="Hypertextovodkaz"/>
            <w:rFonts w:eastAsia="ChaparralPro-Regular" w:cs="Arial"/>
          </w:rPr>
          <w:t>Factum</w:t>
        </w:r>
        <w:proofErr w:type="spellEnd"/>
        <w:r w:rsidRPr="009E4D73">
          <w:rPr>
            <w:rStyle w:val="Hypertextovodkaz"/>
            <w:rFonts w:eastAsia="ChaparralPro-Regular" w:cs="Arial"/>
          </w:rPr>
          <w:t xml:space="preserve"> </w:t>
        </w:r>
        <w:proofErr w:type="spellStart"/>
        <w:r w:rsidRPr="009E4D73">
          <w:rPr>
            <w:rStyle w:val="Hypertextovodkaz"/>
            <w:rFonts w:eastAsia="ChaparralPro-Regular" w:cs="Arial"/>
          </w:rPr>
          <w:t>Invenio</w:t>
        </w:r>
        <w:proofErr w:type="spellEnd"/>
        <w:r w:rsidRPr="009E4D73">
          <w:rPr>
            <w:rStyle w:val="Hypertextovodkaz"/>
            <w:rFonts w:eastAsia="ChaparralPro-Regular" w:cs="Arial"/>
          </w:rPr>
          <w:t xml:space="preserve"> (2009)</w:t>
        </w:r>
      </w:hyperlink>
      <w:r w:rsidRPr="00306953">
        <w:rPr>
          <w:rFonts w:eastAsia="ChaparralPro-Regular" w:cs="Arial"/>
        </w:rPr>
        <w:t xml:space="preserve"> uváděli dotazovaní učitelé i studenti špatné finanční ohodnocení jako hlavní důvod, proč u mladých lidí není velký zájem o vykonávání učitelského povolání, a nízké finanční ohodnocení se v tomto šetření též zařadilo mezi hlavní důvody, kvůli kterým údajně učitelé uvažují o odchodu z této profese (po fyzické a psychické náročnosti práce se žáky, zejména n</w:t>
      </w:r>
      <w:r w:rsidR="004A1A13">
        <w:rPr>
          <w:rFonts w:eastAsia="ChaparralPro-Regular" w:cs="Arial"/>
        </w:rPr>
        <w:t xml:space="preserve">emají-li zájem o výuku). </w:t>
      </w:r>
      <w:proofErr w:type="spellStart"/>
      <w:r w:rsidR="004A1A13">
        <w:rPr>
          <w:rFonts w:eastAsia="ChaparralPro-Regular" w:cs="Arial"/>
        </w:rPr>
        <w:t>Münich</w:t>
      </w:r>
      <w:proofErr w:type="spellEnd"/>
      <w:r w:rsidR="004A1A13">
        <w:rPr>
          <w:rFonts w:eastAsia="ChaparralPro-Regular" w:cs="Arial"/>
        </w:rPr>
        <w:t xml:space="preserve">, </w:t>
      </w:r>
      <w:proofErr w:type="spellStart"/>
      <w:r w:rsidR="004A1A13">
        <w:rPr>
          <w:rFonts w:eastAsia="ChaparralPro-Regular" w:cs="Arial"/>
        </w:rPr>
        <w:t>Perignáthová</w:t>
      </w:r>
      <w:proofErr w:type="spellEnd"/>
      <w:r w:rsidR="004A1A13">
        <w:rPr>
          <w:rFonts w:eastAsia="ChaparralPro-Regular" w:cs="Arial"/>
        </w:rPr>
        <w:t>, Smolka a Zapletalová (2015)</w:t>
      </w:r>
      <w:r w:rsidRPr="00306953">
        <w:rPr>
          <w:rFonts w:eastAsia="ChaparralPro-Regular" w:cs="Arial"/>
        </w:rPr>
        <w:t xml:space="preserve"> ve své studii, ve které vychá</w:t>
      </w:r>
      <w:r w:rsidR="004F682F">
        <w:rPr>
          <w:rFonts w:eastAsia="ChaparralPro-Regular" w:cs="Arial"/>
        </w:rPr>
        <w:t>zeli z publikace Education at a </w:t>
      </w:r>
      <w:r w:rsidRPr="00306953">
        <w:rPr>
          <w:rFonts w:eastAsia="ChaparralPro-Regular" w:cs="Arial"/>
        </w:rPr>
        <w:t xml:space="preserve">Glance, ale také z dat </w:t>
      </w:r>
      <w:r w:rsidR="001B13F5">
        <w:rPr>
          <w:rFonts w:eastAsia="ChaparralPro-Regular" w:cs="Arial"/>
        </w:rPr>
        <w:t xml:space="preserve">ISPV </w:t>
      </w:r>
      <w:r w:rsidRPr="00306953">
        <w:rPr>
          <w:rFonts w:eastAsia="ChaparralPro-Regular" w:cs="Arial"/>
        </w:rPr>
        <w:t xml:space="preserve">sebraných firmou </w:t>
      </w:r>
      <w:proofErr w:type="spellStart"/>
      <w:r w:rsidRPr="00306953">
        <w:rPr>
          <w:rFonts w:eastAsia="ChaparralPro-Regular" w:cs="Arial"/>
        </w:rPr>
        <w:t>Trexima</w:t>
      </w:r>
      <w:proofErr w:type="spellEnd"/>
      <w:r w:rsidRPr="00306953">
        <w:rPr>
          <w:rFonts w:eastAsia="ChaparralPro-Regular" w:cs="Arial"/>
        </w:rPr>
        <w:t>, poukaz</w:t>
      </w:r>
      <w:r w:rsidR="004A1A13">
        <w:rPr>
          <w:rFonts w:eastAsia="ChaparralPro-Regular" w:cs="Arial"/>
        </w:rPr>
        <w:t>ují na to, že v letech 2006–2014</w:t>
      </w:r>
      <w:r w:rsidRPr="00306953">
        <w:rPr>
          <w:rFonts w:eastAsia="ChaparralPro-Regular" w:cs="Arial"/>
        </w:rPr>
        <w:t xml:space="preserve"> </w:t>
      </w:r>
      <w:r w:rsidR="004A1A13">
        <w:rPr>
          <w:rFonts w:eastAsia="ChaparralPro-Regular" w:cs="Arial"/>
        </w:rPr>
        <w:t xml:space="preserve">se </w:t>
      </w:r>
      <w:r w:rsidR="004A1A13" w:rsidRPr="004A1A13">
        <w:rPr>
          <w:rFonts w:eastAsia="ChaparralPro-Regular" w:cs="Arial"/>
        </w:rPr>
        <w:t xml:space="preserve">„podíl vysokoškolsky vzdělaných zaměstnanců-neučitelů s platy vyššími než jsou průměrné platy učitelů základních škol až na nejmladší (20 – 29 let) a nejstarší </w:t>
      </w:r>
      <w:r w:rsidR="00253DCC">
        <w:rPr>
          <w:rFonts w:eastAsia="ChaparralPro-Regular" w:cs="Arial"/>
        </w:rPr>
        <w:t>věkovou skupinu (60+) pohyboval</w:t>
      </w:r>
      <w:r w:rsidR="004A1A13" w:rsidRPr="004A1A13">
        <w:rPr>
          <w:rFonts w:eastAsia="ChaparralPro-Regular" w:cs="Arial"/>
        </w:rPr>
        <w:t xml:space="preserve"> nad 80 %. To znamená, že 4/5 vysokoškolsky vzdělaných zaměstnanců pobírají vyšší plat než je průměrný plat učitele.</w:t>
      </w:r>
      <w:r w:rsidR="004358C2" w:rsidRPr="004358C2">
        <w:rPr>
          <w:rFonts w:eastAsia="ChaparralPro-Regular" w:cs="Arial"/>
        </w:rPr>
        <w:t xml:space="preserve"> Nejhorší byla a zůstává situace učitelů středního věku 30 – 50 let, kde se uvedený podíl za celé období pohyboval mezi 84 – 89 %.</w:t>
      </w:r>
      <w:r w:rsidR="004A1A13">
        <w:rPr>
          <w:rFonts w:eastAsia="ChaparralPro-Regular" w:cs="Arial"/>
        </w:rPr>
        <w:t>“ (</w:t>
      </w:r>
      <w:proofErr w:type="spellStart"/>
      <w:r w:rsidR="00984E22">
        <w:rPr>
          <w:rFonts w:eastAsia="ChaparralPro-Regular" w:cs="Arial"/>
        </w:rPr>
        <w:fldChar w:fldCharType="begin"/>
      </w:r>
      <w:r w:rsidR="00BA5EE1">
        <w:rPr>
          <w:rFonts w:eastAsia="ChaparralPro-Regular" w:cs="Arial"/>
        </w:rPr>
        <w:instrText>HYPERLINK "http://idea.cerge-ei.cz/files/IDEA_Studie_4_2015_Platy_ucitelu.pdf"</w:instrText>
      </w:r>
      <w:r w:rsidR="00BA5EE1">
        <w:rPr>
          <w:rFonts w:eastAsia="ChaparralPro-Regular" w:cs="Arial"/>
        </w:rPr>
      </w:r>
      <w:r w:rsidR="00984E22">
        <w:rPr>
          <w:rFonts w:eastAsia="ChaparralPro-Regular" w:cs="Arial"/>
        </w:rPr>
        <w:fldChar w:fldCharType="separate"/>
      </w:r>
      <w:r w:rsidR="004A1A13" w:rsidRPr="004A1A13">
        <w:rPr>
          <w:rStyle w:val="Hypertextovodkaz"/>
          <w:rFonts w:eastAsia="ChaparralPro-Regular" w:cs="Arial"/>
        </w:rPr>
        <w:t>Münich</w:t>
      </w:r>
      <w:proofErr w:type="spellEnd"/>
      <w:r w:rsidR="004A1A13" w:rsidRPr="004A1A13">
        <w:rPr>
          <w:rStyle w:val="Hypertextovodkaz"/>
          <w:rFonts w:eastAsia="ChaparralPro-Regular" w:cs="Arial"/>
        </w:rPr>
        <w:t xml:space="preserve">, </w:t>
      </w:r>
      <w:proofErr w:type="spellStart"/>
      <w:r w:rsidR="004A1A13" w:rsidRPr="004A1A13">
        <w:rPr>
          <w:rStyle w:val="Hypertextovodkaz"/>
          <w:rFonts w:eastAsia="ChaparralPro-Regular" w:cs="Arial"/>
        </w:rPr>
        <w:t>Peri</w:t>
      </w:r>
      <w:r w:rsidR="004A1A13">
        <w:rPr>
          <w:rStyle w:val="Hypertextovodkaz"/>
          <w:rFonts w:eastAsia="ChaparralPro-Regular" w:cs="Arial"/>
        </w:rPr>
        <w:t>gnáthová</w:t>
      </w:r>
      <w:proofErr w:type="spellEnd"/>
      <w:r w:rsidR="004A1A13">
        <w:rPr>
          <w:rStyle w:val="Hypertextovodkaz"/>
          <w:rFonts w:eastAsia="ChaparralPro-Regular" w:cs="Arial"/>
        </w:rPr>
        <w:t>, S</w:t>
      </w:r>
      <w:r w:rsidR="004A1A13">
        <w:rPr>
          <w:rStyle w:val="Hypertextovodkaz"/>
          <w:rFonts w:eastAsia="ChaparralPro-Regular" w:cs="Arial"/>
        </w:rPr>
        <w:t>m</w:t>
      </w:r>
      <w:r w:rsidR="004A1A13">
        <w:rPr>
          <w:rStyle w:val="Hypertextovodkaz"/>
          <w:rFonts w:eastAsia="ChaparralPro-Regular" w:cs="Arial"/>
        </w:rPr>
        <w:t xml:space="preserve">olka, </w:t>
      </w:r>
      <w:r w:rsidR="004A1A13" w:rsidRPr="004A1A13">
        <w:rPr>
          <w:rStyle w:val="Hypertextovodkaz"/>
          <w:rFonts w:eastAsia="ChaparralPro-Regular" w:cs="Arial"/>
        </w:rPr>
        <w:t>&amp; Zapletalová, 2015</w:t>
      </w:r>
      <w:r w:rsidR="00984E22">
        <w:rPr>
          <w:rFonts w:eastAsia="ChaparralPro-Regular" w:cs="Arial"/>
        </w:rPr>
        <w:fldChar w:fldCharType="end"/>
      </w:r>
      <w:r w:rsidR="004A1A13">
        <w:rPr>
          <w:rFonts w:eastAsia="ChaparralPro-Regular" w:cs="Arial"/>
        </w:rPr>
        <w:t>).</w:t>
      </w:r>
      <w:r w:rsidR="004A1A13" w:rsidRPr="00306953">
        <w:rPr>
          <w:rFonts w:eastAsia="ChaparralPro-Regular" w:cs="Arial"/>
        </w:rPr>
        <w:t xml:space="preserve"> </w:t>
      </w:r>
      <w:r w:rsidRPr="00306953">
        <w:rPr>
          <w:rFonts w:eastAsia="ChaparralPro-Regular" w:cs="Arial"/>
        </w:rPr>
        <w:t xml:space="preserve"> V souladu s výsledky šetření od</w:t>
      </w:r>
      <w:r w:rsidR="004A1A13">
        <w:rPr>
          <w:rFonts w:eastAsia="ChaparralPro-Regular" w:cs="Arial"/>
        </w:rPr>
        <w:t xml:space="preserve"> společnosti </w:t>
      </w:r>
      <w:proofErr w:type="spellStart"/>
      <w:r w:rsidR="004A1A13">
        <w:rPr>
          <w:rFonts w:eastAsia="ChaparralPro-Regular" w:cs="Arial"/>
        </w:rPr>
        <w:t>Factum</w:t>
      </w:r>
      <w:proofErr w:type="spellEnd"/>
      <w:r w:rsidR="004A1A13">
        <w:rPr>
          <w:rFonts w:eastAsia="ChaparralPro-Regular" w:cs="Arial"/>
        </w:rPr>
        <w:t xml:space="preserve"> </w:t>
      </w:r>
      <w:proofErr w:type="spellStart"/>
      <w:r w:rsidR="004A1A13">
        <w:rPr>
          <w:rFonts w:eastAsia="ChaparralPro-Regular" w:cs="Arial"/>
        </w:rPr>
        <w:t>Invenio</w:t>
      </w:r>
      <w:proofErr w:type="spellEnd"/>
      <w:r w:rsidR="004A1A13">
        <w:rPr>
          <w:rFonts w:eastAsia="ChaparralPro-Regular" w:cs="Arial"/>
        </w:rPr>
        <w:t xml:space="preserve"> přitom </w:t>
      </w:r>
      <w:proofErr w:type="spellStart"/>
      <w:r w:rsidR="004A1A13">
        <w:rPr>
          <w:rFonts w:eastAsia="ChaparralPro-Regular" w:cs="Arial"/>
        </w:rPr>
        <w:t>Munich</w:t>
      </w:r>
      <w:proofErr w:type="spellEnd"/>
      <w:r w:rsidR="004A1A13">
        <w:rPr>
          <w:rFonts w:eastAsia="ChaparralPro-Regular" w:cs="Arial"/>
        </w:rPr>
        <w:t xml:space="preserve"> a Straka </w:t>
      </w:r>
      <w:r w:rsidR="00253DCC" w:rsidRPr="00306953">
        <w:rPr>
          <w:rFonts w:eastAsia="ChaparralPro-Regular" w:cs="Arial"/>
        </w:rPr>
        <w:t xml:space="preserve">pomocí jiných studií </w:t>
      </w:r>
      <w:r w:rsidR="004A1A13">
        <w:rPr>
          <w:rFonts w:eastAsia="ChaparralPro-Regular" w:cs="Arial"/>
        </w:rPr>
        <w:t>již v roce 2012 doložili</w:t>
      </w:r>
      <w:r w:rsidRPr="00306953">
        <w:rPr>
          <w:rFonts w:eastAsia="ChaparralPro-Regular" w:cs="Arial"/>
        </w:rPr>
        <w:t>, že „malá finanční atraktivnost učitelské profese se promítá i do velmi nízkého zájmu o ni mezi mladými lidmi a zejména mezi těmi talentovanějšími“</w:t>
      </w:r>
      <w:r w:rsidRPr="00306953">
        <w:rPr>
          <w:rStyle w:val="Znakapoznpodarou"/>
          <w:rFonts w:eastAsia="ChaparralPro-Regular" w:cs="Arial"/>
        </w:rPr>
        <w:footnoteReference w:id="18"/>
      </w:r>
      <w:r w:rsidRPr="00306953">
        <w:rPr>
          <w:rFonts w:eastAsia="ChaparralPro-Regular" w:cs="Arial"/>
        </w:rPr>
        <w:t xml:space="preserve"> (</w:t>
      </w:r>
      <w:proofErr w:type="spellStart"/>
      <w:r w:rsidR="00984E22">
        <w:fldChar w:fldCharType="begin"/>
      </w:r>
      <w:r w:rsidR="00FB340A">
        <w:instrText>HYPERLINK "http://idea.cerge-ei.cz/documents/kratka_studie_2012_05.pdf"</w:instrText>
      </w:r>
      <w:r w:rsidR="00984E22">
        <w:fldChar w:fldCharType="separate"/>
      </w:r>
      <w:r w:rsidRPr="00FA7353">
        <w:rPr>
          <w:rStyle w:val="Hypertextovodkaz"/>
          <w:rFonts w:eastAsia="ChaparralPro-Regular" w:cs="Arial"/>
        </w:rPr>
        <w:t>Münich</w:t>
      </w:r>
      <w:proofErr w:type="spellEnd"/>
      <w:r w:rsidRPr="00FA7353">
        <w:rPr>
          <w:rStyle w:val="Hypertextovodkaz"/>
          <w:rFonts w:eastAsia="ChaparralPro-Regular" w:cs="Arial"/>
        </w:rPr>
        <w:t xml:space="preserve"> </w:t>
      </w:r>
      <w:r w:rsidR="004A1A13" w:rsidRPr="004A1A13">
        <w:rPr>
          <w:rStyle w:val="Hypertextovodkaz"/>
          <w:rFonts w:eastAsia="ChaparralPro-Regular" w:cs="Arial"/>
        </w:rPr>
        <w:t>&amp;</w:t>
      </w:r>
      <w:r w:rsidRPr="00FA7353">
        <w:rPr>
          <w:rStyle w:val="Hypertextovodkaz"/>
          <w:rFonts w:eastAsia="ChaparralPro-Regular" w:cs="Arial"/>
        </w:rPr>
        <w:t xml:space="preserve"> Straka, 2012</w:t>
      </w:r>
      <w:r w:rsidR="00984E22">
        <w:fldChar w:fldCharType="end"/>
      </w:r>
      <w:r w:rsidRPr="00306953">
        <w:rPr>
          <w:rFonts w:eastAsia="ChaparralPro-Regular" w:cs="Arial"/>
        </w:rPr>
        <w:t>, s. 1). Řada zahraničních studií upozorňuje na to, že kvalita učitele je zásadním předpokladem pro dobré výsledky vzdělávání u žáků</w:t>
      </w:r>
      <w:r w:rsidRPr="00306953">
        <w:rPr>
          <w:rStyle w:val="Znakapoznpodarou"/>
          <w:rFonts w:eastAsia="ChaparralPro-Regular" w:cs="Arial"/>
        </w:rPr>
        <w:footnoteReference w:id="19"/>
      </w:r>
      <w:r w:rsidRPr="00306953">
        <w:rPr>
          <w:rFonts w:eastAsia="ChaparralPro-Regular" w:cs="Arial"/>
        </w:rPr>
        <w:t>. Münich a Straka (2012) však dodávají, že „v českém výzkumu se dopadům kvality učitele na vzdělávací výsledky žáků věnuje velmi malá pozornost, takže žádné empirické odhady těchto dopadů dosud nejsou k dispozici.“ (</w:t>
      </w:r>
      <w:proofErr w:type="spellStart"/>
      <w:r w:rsidR="00984E22">
        <w:fldChar w:fldCharType="begin"/>
      </w:r>
      <w:r w:rsidR="00FB340A">
        <w:instrText>HYPERLINK "http://idea.cerge-ei.cz/documents/kratka_studie_2012_05.pdf"</w:instrText>
      </w:r>
      <w:r w:rsidR="00984E22">
        <w:fldChar w:fldCharType="separate"/>
      </w:r>
      <w:r w:rsidRPr="00306953">
        <w:rPr>
          <w:rStyle w:val="Hypertextovodkaz"/>
          <w:rFonts w:eastAsia="ChaparralPro-Regular" w:cs="Arial"/>
        </w:rPr>
        <w:t>Münich</w:t>
      </w:r>
      <w:proofErr w:type="spellEnd"/>
      <w:r w:rsidR="004A1A13">
        <w:rPr>
          <w:rStyle w:val="Hypertextovodkaz"/>
          <w:rFonts w:eastAsia="ChaparralPro-Regular" w:cs="Arial"/>
        </w:rPr>
        <w:t xml:space="preserve"> </w:t>
      </w:r>
      <w:r w:rsidR="004A1A13" w:rsidRPr="004A1A13">
        <w:rPr>
          <w:rStyle w:val="Hypertextovodkaz"/>
          <w:rFonts w:eastAsia="ChaparralPro-Regular" w:cs="Arial"/>
        </w:rPr>
        <w:t>&amp;</w:t>
      </w:r>
      <w:r w:rsidR="004A1A13">
        <w:rPr>
          <w:rStyle w:val="Hypertextovodkaz"/>
          <w:rFonts w:eastAsia="ChaparralPro-Regular" w:cs="Arial"/>
        </w:rPr>
        <w:t xml:space="preserve"> </w:t>
      </w:r>
      <w:r w:rsidRPr="00306953">
        <w:rPr>
          <w:rStyle w:val="Hypertextovodkaz"/>
          <w:rFonts w:eastAsia="ChaparralPro-Regular" w:cs="Arial"/>
        </w:rPr>
        <w:t>Straka 2012</w:t>
      </w:r>
      <w:r w:rsidR="00984E22">
        <w:fldChar w:fldCharType="end"/>
      </w:r>
      <w:r w:rsidRPr="00306953">
        <w:rPr>
          <w:rFonts w:eastAsia="ChaparralPro-Regular" w:cs="Arial"/>
        </w:rPr>
        <w:t>, s. 2). Na možnou (byť třeba jen nepřímou) souvislost mezi výsledky žáků a výší platů učitelů přitom již od té doby poukázala OECD. V publikaci Education at a Glance 2014 srovnal</w:t>
      </w:r>
      <w:r w:rsidR="004F682F">
        <w:rPr>
          <w:rFonts w:eastAsia="ChaparralPro-Regular" w:cs="Arial"/>
        </w:rPr>
        <w:t>a platy učitelů v zemích OECD a </w:t>
      </w:r>
      <w:r w:rsidRPr="00306953">
        <w:rPr>
          <w:rFonts w:eastAsia="ChaparralPro-Regular" w:cs="Arial"/>
        </w:rPr>
        <w:t>některých partnerských zemích sledovaných jakožto podíl HDP dané země v roce 2012 s výsledky patnáctiletých žáků v těchto zemích v testu matematických dovedností zjišťovaných v šetření PISA 2012. Přitom mezi zeměmi a ekonomickými celky s vyšším HDP na jednoho obyvatele než 20 000 USD (včetně ČR a</w:t>
      </w:r>
      <w:r w:rsidR="003E19E7">
        <w:rPr>
          <w:rFonts w:eastAsia="ChaparralPro-Regular" w:cs="Arial"/>
        </w:rPr>
        <w:t xml:space="preserve"> většiny zemí OECD) platí, že v </w:t>
      </w:r>
      <w:r w:rsidRPr="00306953">
        <w:rPr>
          <w:rFonts w:eastAsia="ChaparralPro-Regular" w:cs="Arial"/>
        </w:rPr>
        <w:t>zemích, ve kterých učitelé pobírali v roce 2012 vyšší mzdu sledovanou jakožto podíl HDP země, měli žáci tendenci dosahovat v matematickém testu lepších výsledků (</w:t>
      </w:r>
      <w:hyperlink r:id="rId175" w:history="1">
        <w:r w:rsidRPr="00306953">
          <w:rPr>
            <w:rStyle w:val="Hypertextovodkaz"/>
            <w:rFonts w:eastAsia="ChaparralPro-Regular" w:cs="Arial"/>
          </w:rPr>
          <w:t>OECD 2014</w:t>
        </w:r>
      </w:hyperlink>
      <w:r w:rsidRPr="00306953">
        <w:rPr>
          <w:rFonts w:eastAsia="ChaparralPro-Regular" w:cs="Arial"/>
        </w:rPr>
        <w:t>, s. 457). Efektivním vynakládáním financí ve vzdělávacích systémech se zabývali též autoři Dolton, Marcenaro-Gutiérrez a Still (2014), kteří na základě dat z šetření PISA a TIMSS prozkoumali 63 různých faktorů</w:t>
      </w:r>
      <w:r w:rsidRPr="00306953">
        <w:rPr>
          <w:rStyle w:val="Znakapoznpodarou"/>
          <w:rFonts w:eastAsia="ChaparralPro-Regular" w:cs="Arial"/>
        </w:rPr>
        <w:footnoteReference w:id="20"/>
      </w:r>
      <w:r w:rsidRPr="00306953">
        <w:rPr>
          <w:rFonts w:eastAsia="ChaparralPro-Regular" w:cs="Arial"/>
        </w:rPr>
        <w:t xml:space="preserve"> a jejich vliv na umístění té které země ve výsledcích žáků v šetření PISA. Zjistili, že ze statistického hlediska mají ze všech 63 faktorů vliv na výsledky žáků pouze platy učitelů a velikost třídy, tedy faktory týkající se investice do práce učitelů</w:t>
      </w:r>
      <w:r w:rsidR="001B13F5">
        <w:rPr>
          <w:rFonts w:eastAsia="ChaparralPro-Regular" w:cs="Arial"/>
        </w:rPr>
        <w:t>.</w:t>
      </w:r>
      <w:r w:rsidRPr="00306953">
        <w:rPr>
          <w:rStyle w:val="Znakapoznpodarou"/>
          <w:rFonts w:eastAsia="ChaparralPro-Regular" w:cs="Arial"/>
        </w:rPr>
        <w:footnoteReference w:id="21"/>
      </w:r>
      <w:r w:rsidR="002B3EA6">
        <w:rPr>
          <w:rFonts w:eastAsia="ChaparralPro-Regular" w:cs="Arial"/>
        </w:rPr>
        <w:t xml:space="preserve"> Zároveň objevili</w:t>
      </w:r>
      <w:r w:rsidRPr="00306953">
        <w:rPr>
          <w:rFonts w:eastAsia="ChaparralPro-Regular" w:cs="Arial"/>
        </w:rPr>
        <w:t>, že existuje jistý bod „nasycenosti“, nad který již další investice do zvyšování platů učitelů či do snižování velikosti třídy přestávaj</w:t>
      </w:r>
      <w:r w:rsidR="001B13F5">
        <w:rPr>
          <w:rFonts w:eastAsia="ChaparralPro-Regular" w:cs="Arial"/>
        </w:rPr>
        <w:t>í být výhodné (velikost třídy i </w:t>
      </w:r>
      <w:r w:rsidRPr="00306953">
        <w:rPr>
          <w:rFonts w:eastAsia="ChaparralPro-Regular" w:cs="Arial"/>
        </w:rPr>
        <w:t xml:space="preserve">platy učitelů tak mohou být jak příliš vysoké, tak i příliš nízké). Z dat šetření PISA autoři spočetli, že Finsko má nejen výborné výsledky žáků, ale </w:t>
      </w:r>
      <w:r w:rsidRPr="00306953">
        <w:rPr>
          <w:rFonts w:eastAsia="ChaparralPro-Regular" w:cs="Arial"/>
        </w:rPr>
        <w:lastRenderedPageBreak/>
        <w:t>též nejoptimálnější rovnováhu mezi výší platů učitelů a velikostí třídy pro dosahování těchto výsledků. Autoři také uvádějí, že Česká republika je po Finsku a Korejské republice třetí zemí, která na jeden utracený dolar (přepočtený na paritu kupní síly) vykazuje nejlepší výsledky v šetření PISA. Na rozdíl od Finska a Korejské republiky jsou však platy učitelů v České republice v porovnání s jinými zeměmi velmi nízké a z tohoto hlediska není Česká republika vhodným vzorem pro politiky jiných států. Na základě dalších výpočtů pak České republice doporučují zaměřit se zejména na zvyšování platů učitelů, které může mít pozitivní vliv na zlepšování výsledků žáků v šetření PISA. Přitom abychom zvýšili úroveň našich žá</w:t>
      </w:r>
      <w:r w:rsidR="00E66153">
        <w:rPr>
          <w:rFonts w:eastAsia="ChaparralPro-Regular" w:cs="Arial"/>
        </w:rPr>
        <w:t xml:space="preserve">ků na úroveň žáků ve Finsku, </w:t>
      </w:r>
      <w:r w:rsidRPr="00306953">
        <w:rPr>
          <w:rFonts w:eastAsia="ChaparralPro-Regular" w:cs="Arial"/>
        </w:rPr>
        <w:t xml:space="preserve">bylo </w:t>
      </w:r>
      <w:r w:rsidR="00E66153">
        <w:rPr>
          <w:rFonts w:eastAsia="ChaparralPro-Regular" w:cs="Arial"/>
        </w:rPr>
        <w:t xml:space="preserve">by </w:t>
      </w:r>
      <w:r w:rsidRPr="00306953">
        <w:rPr>
          <w:rFonts w:eastAsia="ChaparralPro-Regular" w:cs="Arial"/>
        </w:rPr>
        <w:t>čistě dle statistických propočtů vhodné (za předpokladu, že se velikost třídy nezmění) zvýšit platy učit</w:t>
      </w:r>
      <w:r w:rsidR="001B13F5">
        <w:rPr>
          <w:rFonts w:eastAsia="ChaparralPro-Regular" w:cs="Arial"/>
        </w:rPr>
        <w:t>elů v České republice dokonce o </w:t>
      </w:r>
      <w:r w:rsidRPr="00306953">
        <w:rPr>
          <w:rFonts w:eastAsia="ChaparralPro-Regular" w:cs="Arial"/>
        </w:rPr>
        <w:t>82,6 % (</w:t>
      </w:r>
      <w:proofErr w:type="spellStart"/>
      <w:r w:rsidR="00984E22">
        <w:fldChar w:fldCharType="begin"/>
      </w:r>
      <w:r w:rsidR="006D4200">
        <w:instrText>HYPERLINK "http://www.edefficiencyindex.com/book/"</w:instrText>
      </w:r>
      <w:r w:rsidR="00984E22">
        <w:fldChar w:fldCharType="separate"/>
      </w:r>
      <w:r w:rsidRPr="00306953">
        <w:rPr>
          <w:rStyle w:val="Hypertextovodkaz"/>
          <w:rFonts w:eastAsia="ChaparralPro-Regular" w:cs="Arial"/>
        </w:rPr>
        <w:t>Dolton</w:t>
      </w:r>
      <w:proofErr w:type="spellEnd"/>
      <w:r w:rsidRPr="00306953">
        <w:rPr>
          <w:rStyle w:val="Hypertextovodkaz"/>
          <w:rFonts w:eastAsia="ChaparralPro-Regular" w:cs="Arial"/>
        </w:rPr>
        <w:t xml:space="preserve">, </w:t>
      </w:r>
      <w:proofErr w:type="spellStart"/>
      <w:r w:rsidRPr="00306953">
        <w:rPr>
          <w:rStyle w:val="Hypertextovodkaz"/>
          <w:rFonts w:eastAsia="ChaparralPro-Regular" w:cs="Arial"/>
        </w:rPr>
        <w:t>Marcenaro</w:t>
      </w:r>
      <w:proofErr w:type="spellEnd"/>
      <w:r w:rsidRPr="00306953">
        <w:rPr>
          <w:rStyle w:val="Hypertextovodkaz"/>
          <w:rFonts w:eastAsia="ChaparralPro-Regular" w:cs="Arial"/>
        </w:rPr>
        <w:t>-</w:t>
      </w:r>
      <w:proofErr w:type="spellStart"/>
      <w:r w:rsidRPr="00306953">
        <w:rPr>
          <w:rStyle w:val="Hypertextovodkaz"/>
          <w:rFonts w:eastAsia="ChaparralPro-Regular" w:cs="Arial"/>
        </w:rPr>
        <w:t>Gutiérrez</w:t>
      </w:r>
      <w:proofErr w:type="spellEnd"/>
      <w:r w:rsidRPr="00306953">
        <w:rPr>
          <w:rStyle w:val="Hypertextovodkaz"/>
          <w:rFonts w:eastAsia="ChaparralPro-Regular" w:cs="Arial"/>
        </w:rPr>
        <w:t xml:space="preserve">, &amp; </w:t>
      </w:r>
      <w:proofErr w:type="spellStart"/>
      <w:r w:rsidRPr="00306953">
        <w:rPr>
          <w:rStyle w:val="Hypertextovodkaz"/>
          <w:rFonts w:eastAsia="ChaparralPro-Regular" w:cs="Arial"/>
        </w:rPr>
        <w:t>Still</w:t>
      </w:r>
      <w:proofErr w:type="spellEnd"/>
      <w:r w:rsidR="00984E22">
        <w:fldChar w:fldCharType="end"/>
      </w:r>
      <w:r w:rsidRPr="00306953">
        <w:rPr>
          <w:rFonts w:eastAsia="ChaparralPro-Regular" w:cs="Arial"/>
        </w:rPr>
        <w:t>, 2014). Již výše zmínění autoři Münich a Straka ve své práci z roku 2012 uvedli, že „ČR (…) obtížně hledá řešení: zda jít cestou další stagnace nebo dokonce redukce výdajů na školstv</w:t>
      </w:r>
      <w:r w:rsidR="003A515E">
        <w:rPr>
          <w:rFonts w:eastAsia="ChaparralPro-Regular" w:cs="Arial"/>
        </w:rPr>
        <w:t>í na úkor budoucí vzdělanosti a </w:t>
      </w:r>
      <w:r w:rsidRPr="00306953">
        <w:rPr>
          <w:rFonts w:eastAsia="ChaparralPro-Regular" w:cs="Arial"/>
        </w:rPr>
        <w:t>dlouhodobého ekonomického růstu nebo cestou postupného zvyšováním učitelských platů na úkor jiných výdajů ve školství či v jiných sektorech.“ (</w:t>
      </w:r>
      <w:proofErr w:type="spellStart"/>
      <w:r w:rsidR="00984E22">
        <w:fldChar w:fldCharType="begin"/>
      </w:r>
      <w:r w:rsidR="00FB340A">
        <w:instrText>HYPERLINK "http://idea.cerge-ei.cz/documents/kratka_studie_2012_05.pdf"</w:instrText>
      </w:r>
      <w:r w:rsidR="00984E22">
        <w:fldChar w:fldCharType="separate"/>
      </w:r>
      <w:r w:rsidR="004A1A13">
        <w:rPr>
          <w:rStyle w:val="Hypertextovodkaz"/>
          <w:rFonts w:eastAsia="ChaparralPro-Regular" w:cs="Arial"/>
        </w:rPr>
        <w:t>Münich</w:t>
      </w:r>
      <w:proofErr w:type="spellEnd"/>
      <w:r w:rsidR="004A1A13">
        <w:rPr>
          <w:rStyle w:val="Hypertextovodkaz"/>
          <w:rFonts w:eastAsia="ChaparralPro-Regular" w:cs="Arial"/>
        </w:rPr>
        <w:t xml:space="preserve"> </w:t>
      </w:r>
      <w:r w:rsidR="004A1A13" w:rsidRPr="004A1A13">
        <w:rPr>
          <w:rStyle w:val="Hypertextovodkaz"/>
          <w:rFonts w:eastAsia="ChaparralPro-Regular" w:cs="Arial"/>
        </w:rPr>
        <w:t>&amp;</w:t>
      </w:r>
      <w:r w:rsidRPr="00306953">
        <w:rPr>
          <w:rStyle w:val="Hypertextovodkaz"/>
          <w:rFonts w:eastAsia="ChaparralPro-Regular" w:cs="Arial"/>
        </w:rPr>
        <w:t xml:space="preserve"> Straka 2012</w:t>
      </w:r>
      <w:r w:rsidR="00984E22">
        <w:fldChar w:fldCharType="end"/>
      </w:r>
      <w:r w:rsidRPr="00306953">
        <w:rPr>
          <w:rFonts w:eastAsia="ChaparralPro-Regular" w:cs="Arial"/>
        </w:rPr>
        <w:t>, s. 1).</w:t>
      </w:r>
      <w:r w:rsidRPr="00306953">
        <w:rPr>
          <w:rStyle w:val="Znakapoznpodarou"/>
          <w:rFonts w:eastAsia="ChaparralPro-Regular" w:cs="Arial"/>
        </w:rPr>
        <w:footnoteReference w:id="22"/>
      </w:r>
      <w:r w:rsidRPr="00306953">
        <w:rPr>
          <w:rFonts w:eastAsia="ChaparralPro-Regular" w:cs="Arial"/>
        </w:rPr>
        <w:t xml:space="preserve"> Učitelé hrají spolu s rodinným zázemím hlavní roli v motivaci žáků a studentů ke vzdělávání. V poslední části této zprávy bylo navíc doloženo, že investice do vzdělávání se společnosti vyplatí (v ČR to platí dokonce ve větší míře, než jak je tomu v mezinárodních průměrech, příp. na Slovensku či v Polsku). Je tedy důležité, aby práce učitelů byla adekvátně oceněna a motivovala učitele k lepším výkonům, jakož i talentované studenty k volbě této profese. V této práci bylo přitom poukázáno nejen na obecně nízké platy učitelů (či výdajů na platy učitelů na jednoho žáka</w:t>
      </w:r>
      <w:r w:rsidR="00F05F10">
        <w:rPr>
          <w:rFonts w:eastAsia="ChaparralPro-Regular" w:cs="Arial"/>
        </w:rPr>
        <w:t>, příp. vztažené k HDP</w:t>
      </w:r>
      <w:r w:rsidRPr="00306953">
        <w:rPr>
          <w:rFonts w:eastAsia="ChaparralPro-Regular" w:cs="Arial"/>
        </w:rPr>
        <w:t>) v ČR v mezinárodním srovnání, ale též na významně podprůměrný podíl běžných výdajů vzdělávacích institucí věno</w:t>
      </w:r>
      <w:r w:rsidR="00F05F10">
        <w:rPr>
          <w:rFonts w:eastAsia="ChaparralPro-Regular" w:cs="Arial"/>
        </w:rPr>
        <w:t xml:space="preserve">vaný na platy učitelů. Navíc </w:t>
      </w:r>
      <w:r w:rsidRPr="00306953">
        <w:rPr>
          <w:rFonts w:eastAsia="ChaparralPro-Regular" w:cs="Arial"/>
        </w:rPr>
        <w:t>z výsledků publikovaných v </w:t>
      </w:r>
      <w:proofErr w:type="spellStart"/>
      <w:r w:rsidRPr="00306953">
        <w:rPr>
          <w:rFonts w:eastAsia="ChaparralPro-Regular" w:cs="Arial"/>
        </w:rPr>
        <w:t>Education</w:t>
      </w:r>
      <w:proofErr w:type="spellEnd"/>
      <w:r w:rsidRPr="00306953">
        <w:rPr>
          <w:rFonts w:eastAsia="ChaparralPro-Regular" w:cs="Arial"/>
        </w:rPr>
        <w:t xml:space="preserve"> </w:t>
      </w:r>
      <w:proofErr w:type="spellStart"/>
      <w:r w:rsidRPr="00306953">
        <w:rPr>
          <w:rFonts w:eastAsia="ChaparralPro-Regular" w:cs="Arial"/>
        </w:rPr>
        <w:t>at</w:t>
      </w:r>
      <w:proofErr w:type="spellEnd"/>
      <w:r w:rsidR="004F682F">
        <w:rPr>
          <w:rFonts w:eastAsia="ChaparralPro-Regular" w:cs="Arial"/>
        </w:rPr>
        <w:t xml:space="preserve"> a </w:t>
      </w:r>
      <w:proofErr w:type="spellStart"/>
      <w:r w:rsidR="00F05F10">
        <w:rPr>
          <w:rFonts w:eastAsia="ChaparralPro-Regular" w:cs="Arial"/>
        </w:rPr>
        <w:t>Glance</w:t>
      </w:r>
      <w:proofErr w:type="spellEnd"/>
      <w:r w:rsidR="00F05F10">
        <w:rPr>
          <w:rFonts w:eastAsia="ChaparralPro-Regular" w:cs="Arial"/>
        </w:rPr>
        <w:t xml:space="preserve"> vyplývá</w:t>
      </w:r>
      <w:r w:rsidRPr="00306953">
        <w:rPr>
          <w:rFonts w:eastAsia="ChaparralPro-Regular" w:cs="Arial"/>
        </w:rPr>
        <w:t xml:space="preserve">, že se v ČR navyšování veřejných výdajů do vzdělávání v čase (zejména v relativním vyjádření k HDP) dostatečně nepromítá do platů učitelů. Zdá se tedy, že potenciál vkladu učitelů do nabytých dovedností a znalostí u dětí, žáků a studentů v ČR skutečně není patřičně doceněn. </w:t>
      </w:r>
    </w:p>
    <w:p w:rsidR="00306953" w:rsidRPr="00306953" w:rsidRDefault="00306953" w:rsidP="00306953">
      <w:pPr>
        <w:autoSpaceDE w:val="0"/>
        <w:autoSpaceDN w:val="0"/>
        <w:adjustRightInd w:val="0"/>
        <w:spacing w:after="120" w:line="240" w:lineRule="auto"/>
        <w:jc w:val="both"/>
        <w:rPr>
          <w:rFonts w:eastAsia="ChaparralPro-Regular" w:cs="Arial"/>
        </w:rPr>
      </w:pPr>
      <w:r w:rsidRPr="00306953">
        <w:rPr>
          <w:rFonts w:eastAsia="ChaparralPro-Regular" w:cs="Arial"/>
        </w:rPr>
        <w:t>Kromě toho, že tato publikace poukázala na relativně nevýhodnou situaci učitelů v České republice, též upozornila, že v řadě ohledů se zdá být situace učitelů v sousedním Polsku příznivější. V této souvislosti bylo mj. odkázáno na publikaci OECD, která uvádí, že v Polsku stouply platy učitelů od roku 2005 o min. 20 % na všech úrovních vzdělávání v důsledku vládního programu, jehož</w:t>
      </w:r>
      <w:r w:rsidR="004F682F">
        <w:rPr>
          <w:rFonts w:eastAsia="ChaparralPro-Regular" w:cs="Arial"/>
        </w:rPr>
        <w:t xml:space="preserve"> realizace začala v roce 2007 a </w:t>
      </w:r>
      <w:r w:rsidRPr="00306953">
        <w:rPr>
          <w:rFonts w:eastAsia="ChaparralPro-Regular" w:cs="Arial"/>
        </w:rPr>
        <w:t>který se zaměřil na postupné zvyšování platů učitelů mezi roky 2008 a 2012 s cílem přilákat a udržet dobré učitele ve školství (</w:t>
      </w:r>
      <w:hyperlink r:id="rId176" w:history="1">
        <w:r w:rsidRPr="00306953">
          <w:rPr>
            <w:rStyle w:val="Hypertextovodkaz"/>
            <w:rFonts w:eastAsia="ChaparralPro-Regular" w:cs="Arial"/>
          </w:rPr>
          <w:t>OECD 2015</w:t>
        </w:r>
      </w:hyperlink>
      <w:r w:rsidRPr="00306953">
        <w:rPr>
          <w:rFonts w:eastAsia="ChaparralPro-Regular" w:cs="Arial"/>
        </w:rPr>
        <w:t xml:space="preserve">, s. 433). Srovnání s Polskem je zajímavé z důvodu, že se jedná o naši sousední zemi, taktéž postsocialistickou a slovanskou, jejíž kultura je té naší poměrně blízká. V úvodu této zprávy bylo přitom uvedeno, že v rámci šetření PISA se Polsko ukázalo být </w:t>
      </w:r>
      <w:r w:rsidRPr="00306953">
        <w:rPr>
          <w:rFonts w:cs="Arial"/>
        </w:rPr>
        <w:t>zemí s nadprůměrně dobrými výsledky, která navíc doznala v průběhu posledních cyklů šetření</w:t>
      </w:r>
      <w:r w:rsidRPr="00306953">
        <w:rPr>
          <w:rFonts w:eastAsia="ChaparralPro-Regular" w:cs="Arial"/>
        </w:rPr>
        <w:t xml:space="preserve"> </w:t>
      </w:r>
      <w:r w:rsidRPr="00306953">
        <w:rPr>
          <w:rFonts w:cs="Arial"/>
        </w:rPr>
        <w:t>PISA prudkého zlepšení výsledků žáků.</w:t>
      </w:r>
      <w:r w:rsidRPr="00306953">
        <w:rPr>
          <w:rFonts w:eastAsia="ChaparralPro-Regular" w:cs="Arial"/>
        </w:rPr>
        <w:t xml:space="preserve"> Zároveň v Mezinárodním šetření o vyučování a učení (TALIS 2013) byla tato nám kulturně blízká země identifikována jako země, u které bychom mohli hledat inspiraci při hledání způsobů, jak vylepšovat podmínky pro učitele a činit tuto profesi atraktivnější</w:t>
      </w:r>
      <w:r w:rsidRPr="00306953">
        <w:rPr>
          <w:rStyle w:val="Znakapoznpodarou"/>
          <w:rFonts w:eastAsia="ChaparralPro-Regular" w:cs="Arial"/>
        </w:rPr>
        <w:footnoteReference w:id="23"/>
      </w:r>
      <w:r w:rsidRPr="00306953">
        <w:rPr>
          <w:rFonts w:eastAsia="ChaparralPro-Regular" w:cs="Arial"/>
        </w:rPr>
        <w:t xml:space="preserve">. V závěru lze tedy doporučit, aby se další analýzy zaměřily na zkoumání toho, zda by nebylo vhodné či možné se od Polska v některých ohledech inspirovat. </w:t>
      </w:r>
    </w:p>
    <w:p w:rsidR="004862B4" w:rsidRDefault="004862B4" w:rsidP="004862B4">
      <w:pPr>
        <w:pStyle w:val="Nadpis2"/>
      </w:pPr>
      <w:bookmarkStart w:id="45" w:name="_Toc457225395"/>
    </w:p>
    <w:p w:rsidR="004862B4" w:rsidRPr="004862B4" w:rsidRDefault="004862B4" w:rsidP="004862B4"/>
    <w:p w:rsidR="00306953" w:rsidRPr="00306953" w:rsidRDefault="00306953" w:rsidP="00576B24">
      <w:pPr>
        <w:pStyle w:val="Nadpis2"/>
      </w:pPr>
      <w:bookmarkStart w:id="46" w:name="_Toc460424402"/>
      <w:r w:rsidRPr="00306953">
        <w:t>Seznam odkazovaných pramenů</w:t>
      </w:r>
      <w:bookmarkEnd w:id="45"/>
      <w:bookmarkEnd w:id="46"/>
    </w:p>
    <w:p w:rsidR="00306953" w:rsidRPr="00306953" w:rsidRDefault="00306953" w:rsidP="00306953">
      <w:pPr>
        <w:keepNext/>
        <w:rPr>
          <w:rFonts w:cs="Arial"/>
          <w:highlight w:val="lightGray"/>
        </w:rPr>
      </w:pPr>
    </w:p>
    <w:p w:rsidR="00306953" w:rsidRPr="003E19E7" w:rsidRDefault="00F14220" w:rsidP="00306953">
      <w:pPr>
        <w:keepNext/>
        <w:autoSpaceDE w:val="0"/>
        <w:autoSpaceDN w:val="0"/>
        <w:adjustRightInd w:val="0"/>
        <w:spacing w:after="0" w:line="240" w:lineRule="auto"/>
        <w:rPr>
          <w:rFonts w:cs="Arial"/>
          <w:szCs w:val="20"/>
        </w:rPr>
      </w:pPr>
      <w:r>
        <w:rPr>
          <w:rFonts w:cs="Arial"/>
          <w:szCs w:val="20"/>
        </w:rPr>
        <w:t>Český statistický úřad (2008).</w:t>
      </w:r>
      <w:r w:rsidR="00306953" w:rsidRPr="009E6109">
        <w:rPr>
          <w:rFonts w:cs="Arial"/>
          <w:szCs w:val="20"/>
        </w:rPr>
        <w:t xml:space="preserve">  </w:t>
      </w:r>
      <w:r w:rsidR="00306953" w:rsidRPr="009E6109">
        <w:rPr>
          <w:rFonts w:cs="Arial"/>
          <w:i/>
          <w:szCs w:val="20"/>
        </w:rPr>
        <w:t>Klasifikace ekonomických činností (CZ-NACE)</w:t>
      </w:r>
      <w:r w:rsidR="00306953" w:rsidRPr="009E6109">
        <w:rPr>
          <w:rFonts w:cs="Arial"/>
          <w:szCs w:val="20"/>
        </w:rPr>
        <w:t>. Zpracoval Odbor obecné metodiky. Dostupné z</w:t>
      </w:r>
      <w:r w:rsidR="008A5827">
        <w:rPr>
          <w:rFonts w:cs="Arial"/>
          <w:szCs w:val="20"/>
        </w:rPr>
        <w:t xml:space="preserve"> (30. 8</w:t>
      </w:r>
      <w:r w:rsidR="00FA7353">
        <w:rPr>
          <w:rFonts w:cs="Arial"/>
          <w:szCs w:val="20"/>
        </w:rPr>
        <w:t>. 2016)</w:t>
      </w:r>
      <w:r w:rsidR="00306953" w:rsidRPr="009E6109">
        <w:rPr>
          <w:rFonts w:cs="Arial"/>
          <w:szCs w:val="20"/>
        </w:rPr>
        <w:t xml:space="preserve">: </w:t>
      </w:r>
      <w:hyperlink r:id="rId177" w:history="1">
        <w:r w:rsidR="003E19E7" w:rsidRPr="008836D4">
          <w:rPr>
            <w:rStyle w:val="Hypertextovodkaz"/>
          </w:rPr>
          <w:t>www.czso.cz/csu/czso/klasifikace_ekonomickych_cinnosti_cz_nace</w:t>
        </w:r>
      </w:hyperlink>
      <w:r w:rsidR="00A66B6E">
        <w:t xml:space="preserve"> </w:t>
      </w:r>
    </w:p>
    <w:p w:rsidR="00F14220" w:rsidRDefault="00F14220" w:rsidP="00306953">
      <w:pPr>
        <w:keepNext/>
        <w:autoSpaceDE w:val="0"/>
        <w:autoSpaceDN w:val="0"/>
        <w:adjustRightInd w:val="0"/>
        <w:spacing w:after="0" w:line="240" w:lineRule="auto"/>
      </w:pPr>
    </w:p>
    <w:p w:rsidR="00F14220" w:rsidRPr="00F14220" w:rsidRDefault="00F14220" w:rsidP="00306953">
      <w:pPr>
        <w:keepNext/>
        <w:autoSpaceDE w:val="0"/>
        <w:autoSpaceDN w:val="0"/>
        <w:adjustRightInd w:val="0"/>
        <w:spacing w:after="0" w:line="240" w:lineRule="auto"/>
      </w:pPr>
      <w:r>
        <w:t xml:space="preserve">Český statistický úřad (2016). </w:t>
      </w:r>
      <w:r w:rsidRPr="00F14220">
        <w:rPr>
          <w:i/>
        </w:rPr>
        <w:t>Statistická ročenka České republiky 2016</w:t>
      </w:r>
      <w:r w:rsidRPr="00F14220">
        <w:t>.</w:t>
      </w:r>
      <w:r>
        <w:t xml:space="preserve"> Praha:ČSÚ. </w:t>
      </w:r>
    </w:p>
    <w:p w:rsidR="00306953" w:rsidRPr="009E6109" w:rsidRDefault="00306953" w:rsidP="00306953">
      <w:pPr>
        <w:keepNext/>
        <w:autoSpaceDE w:val="0"/>
        <w:autoSpaceDN w:val="0"/>
        <w:adjustRightInd w:val="0"/>
        <w:spacing w:after="0" w:line="240" w:lineRule="auto"/>
        <w:rPr>
          <w:rFonts w:cs="Arial"/>
          <w:szCs w:val="20"/>
        </w:rPr>
      </w:pPr>
    </w:p>
    <w:p w:rsidR="00306953" w:rsidRPr="009E6109" w:rsidRDefault="00306953" w:rsidP="00306953">
      <w:pPr>
        <w:autoSpaceDE w:val="0"/>
        <w:autoSpaceDN w:val="0"/>
        <w:adjustRightInd w:val="0"/>
        <w:spacing w:after="0" w:line="240" w:lineRule="auto"/>
        <w:rPr>
          <w:rFonts w:cs="Arial"/>
          <w:szCs w:val="20"/>
        </w:rPr>
      </w:pPr>
      <w:r w:rsidRPr="009E6109">
        <w:rPr>
          <w:rFonts w:cs="Arial"/>
          <w:szCs w:val="20"/>
        </w:rPr>
        <w:t xml:space="preserve">Darling-Hammond, L. (1999), </w:t>
      </w:r>
      <w:r w:rsidRPr="009E6109">
        <w:rPr>
          <w:rFonts w:cs="Arial"/>
          <w:i/>
          <w:szCs w:val="20"/>
        </w:rPr>
        <w:t xml:space="preserve">Teacher quality and student achievement: A review of </w:t>
      </w:r>
      <w:proofErr w:type="gramStart"/>
      <w:r w:rsidRPr="009E6109">
        <w:rPr>
          <w:rFonts w:cs="Arial"/>
          <w:i/>
          <w:szCs w:val="20"/>
        </w:rPr>
        <w:t>state</w:t>
      </w:r>
      <w:proofErr w:type="gramEnd"/>
      <w:r w:rsidRPr="009E6109">
        <w:rPr>
          <w:rFonts w:cs="Arial"/>
          <w:i/>
          <w:szCs w:val="20"/>
        </w:rPr>
        <w:t xml:space="preserve"> policy evidence</w:t>
      </w:r>
      <w:r w:rsidRPr="009E6109">
        <w:rPr>
          <w:rFonts w:cs="Arial"/>
          <w:szCs w:val="20"/>
        </w:rPr>
        <w:t>, Seattle, WA: University of Washington, Center for the Study of Teaching and Policy.</w:t>
      </w:r>
    </w:p>
    <w:p w:rsidR="00306953" w:rsidRPr="009E6109" w:rsidRDefault="00306953" w:rsidP="00306953">
      <w:pPr>
        <w:autoSpaceDE w:val="0"/>
        <w:autoSpaceDN w:val="0"/>
        <w:adjustRightInd w:val="0"/>
        <w:spacing w:after="0" w:line="240" w:lineRule="auto"/>
        <w:rPr>
          <w:rFonts w:cs="Arial"/>
          <w:szCs w:val="20"/>
        </w:rPr>
      </w:pPr>
    </w:p>
    <w:p w:rsidR="00306953" w:rsidRPr="009E6109" w:rsidRDefault="00306953" w:rsidP="00306953">
      <w:pPr>
        <w:autoSpaceDE w:val="0"/>
        <w:autoSpaceDN w:val="0"/>
        <w:adjustRightInd w:val="0"/>
        <w:spacing w:after="0" w:line="240" w:lineRule="auto"/>
        <w:rPr>
          <w:rFonts w:cs="Arial"/>
          <w:color w:val="5F1965"/>
          <w:szCs w:val="20"/>
        </w:rPr>
      </w:pPr>
      <w:r w:rsidRPr="009E6109">
        <w:rPr>
          <w:rFonts w:cs="Arial"/>
          <w:szCs w:val="20"/>
        </w:rPr>
        <w:t xml:space="preserve">Dolton, P., Marcenaro-Gutiérrez, O., &amp; Still, A. (2014). </w:t>
      </w:r>
      <w:r w:rsidRPr="009E6109">
        <w:rPr>
          <w:rFonts w:cs="Arial"/>
          <w:i/>
          <w:szCs w:val="20"/>
        </w:rPr>
        <w:t>The efficiency index</w:t>
      </w:r>
      <w:r w:rsidRPr="009E6109">
        <w:rPr>
          <w:rFonts w:cs="Arial"/>
          <w:szCs w:val="20"/>
        </w:rPr>
        <w:t>. GEMS Education Solutions. Dostupné z</w:t>
      </w:r>
      <w:r w:rsidR="008A5827">
        <w:rPr>
          <w:rFonts w:cs="Arial"/>
          <w:szCs w:val="20"/>
        </w:rPr>
        <w:t xml:space="preserve"> (30. 8</w:t>
      </w:r>
      <w:r w:rsidR="00FA7353">
        <w:rPr>
          <w:rFonts w:cs="Arial"/>
          <w:szCs w:val="20"/>
        </w:rPr>
        <w:t>. 2016)</w:t>
      </w:r>
      <w:r w:rsidRPr="009E6109">
        <w:rPr>
          <w:rFonts w:cs="Arial"/>
          <w:szCs w:val="20"/>
        </w:rPr>
        <w:t>:</w:t>
      </w:r>
      <w:r w:rsidRPr="009E6109">
        <w:rPr>
          <w:rFonts w:cs="Arial"/>
          <w:color w:val="5F1965"/>
          <w:szCs w:val="20"/>
        </w:rPr>
        <w:t xml:space="preserve"> </w:t>
      </w:r>
      <w:hyperlink r:id="rId178" w:history="1">
        <w:r w:rsidRPr="009E6109">
          <w:rPr>
            <w:rStyle w:val="Hypertextovodkaz"/>
            <w:rFonts w:cs="Arial"/>
            <w:szCs w:val="20"/>
          </w:rPr>
          <w:t>www.edefficiencyindex.com/book/</w:t>
        </w:r>
      </w:hyperlink>
      <w:r w:rsidRPr="009E6109">
        <w:rPr>
          <w:rFonts w:cs="Arial"/>
          <w:color w:val="5F1965"/>
          <w:szCs w:val="20"/>
        </w:rPr>
        <w:t xml:space="preserve"> </w:t>
      </w:r>
    </w:p>
    <w:p w:rsidR="00306953" w:rsidRPr="009E6109" w:rsidRDefault="00306953" w:rsidP="00306953">
      <w:pPr>
        <w:autoSpaceDE w:val="0"/>
        <w:autoSpaceDN w:val="0"/>
        <w:adjustRightInd w:val="0"/>
        <w:spacing w:after="0" w:line="240" w:lineRule="auto"/>
        <w:rPr>
          <w:rFonts w:cs="Arial"/>
          <w:szCs w:val="20"/>
        </w:rPr>
      </w:pPr>
    </w:p>
    <w:p w:rsidR="00306953" w:rsidRPr="009E6109" w:rsidRDefault="00306953" w:rsidP="00A66B6E">
      <w:pPr>
        <w:autoSpaceDE w:val="0"/>
        <w:autoSpaceDN w:val="0"/>
        <w:adjustRightInd w:val="0"/>
        <w:spacing w:after="0" w:line="240" w:lineRule="auto"/>
        <w:rPr>
          <w:rFonts w:cs="Arial"/>
          <w:szCs w:val="20"/>
        </w:rPr>
      </w:pPr>
      <w:r w:rsidRPr="009E6109">
        <w:rPr>
          <w:rFonts w:cs="Arial"/>
          <w:szCs w:val="20"/>
        </w:rPr>
        <w:lastRenderedPageBreak/>
        <w:t xml:space="preserve">EACEA/Eurydice (2014). </w:t>
      </w:r>
      <w:r w:rsidRPr="009E6109">
        <w:rPr>
          <w:rFonts w:cs="Arial"/>
          <w:i/>
          <w:szCs w:val="20"/>
        </w:rPr>
        <w:t>Teachers' and School Heads' Salaries and Allowances in Europe, 2013/14</w:t>
      </w:r>
      <w:r w:rsidRPr="009E6109">
        <w:rPr>
          <w:rFonts w:cs="Arial"/>
          <w:szCs w:val="20"/>
        </w:rPr>
        <w:t>. Dostupné z</w:t>
      </w:r>
      <w:r w:rsidR="008A5827">
        <w:rPr>
          <w:rFonts w:cs="Arial"/>
          <w:szCs w:val="20"/>
        </w:rPr>
        <w:t xml:space="preserve"> (30. 8</w:t>
      </w:r>
      <w:r w:rsidR="00FA7353">
        <w:rPr>
          <w:rFonts w:cs="Arial"/>
          <w:szCs w:val="20"/>
        </w:rPr>
        <w:t>. 2016)</w:t>
      </w:r>
      <w:r w:rsidRPr="009E6109">
        <w:rPr>
          <w:rFonts w:cs="Arial"/>
          <w:szCs w:val="20"/>
        </w:rPr>
        <w:t>:</w:t>
      </w:r>
      <w:r w:rsidRPr="009E6109">
        <w:rPr>
          <w:rFonts w:cs="Arial"/>
          <w:i/>
          <w:szCs w:val="20"/>
        </w:rPr>
        <w:t xml:space="preserve"> </w:t>
      </w:r>
      <w:hyperlink r:id="rId179" w:history="1">
        <w:r w:rsidR="00A66B6E" w:rsidRPr="00D066CA">
          <w:rPr>
            <w:rStyle w:val="Hypertextovodkaz"/>
          </w:rPr>
          <w:t>http://eacea.ec.europa.eu/education/eurydice/documents/facts_and_figures/salaries.pdf</w:t>
        </w:r>
      </w:hyperlink>
      <w:r w:rsidR="00A66B6E">
        <w:t xml:space="preserve"> </w:t>
      </w:r>
      <w:r w:rsidRPr="009E6109">
        <w:rPr>
          <w:rFonts w:cs="Arial"/>
          <w:szCs w:val="20"/>
        </w:rPr>
        <w:t xml:space="preserve">  </w:t>
      </w:r>
    </w:p>
    <w:p w:rsidR="00306953" w:rsidRPr="009E6109" w:rsidRDefault="00306953" w:rsidP="00306953">
      <w:pPr>
        <w:autoSpaceDE w:val="0"/>
        <w:autoSpaceDN w:val="0"/>
        <w:adjustRightInd w:val="0"/>
        <w:spacing w:after="0" w:line="240" w:lineRule="auto"/>
        <w:rPr>
          <w:rFonts w:cs="Arial"/>
          <w:szCs w:val="20"/>
        </w:rPr>
      </w:pPr>
    </w:p>
    <w:p w:rsidR="00306953" w:rsidRPr="009E6109" w:rsidRDefault="00306953" w:rsidP="00306953">
      <w:pPr>
        <w:autoSpaceDE w:val="0"/>
        <w:autoSpaceDN w:val="0"/>
        <w:adjustRightInd w:val="0"/>
        <w:spacing w:after="0" w:line="240" w:lineRule="auto"/>
        <w:rPr>
          <w:rFonts w:cs="Arial"/>
          <w:szCs w:val="20"/>
        </w:rPr>
      </w:pPr>
      <w:r w:rsidRPr="009E6109">
        <w:rPr>
          <w:rFonts w:cs="Arial"/>
          <w:szCs w:val="20"/>
        </w:rPr>
        <w:t xml:space="preserve">Eurostat (2012). </w:t>
      </w:r>
      <w:r w:rsidRPr="009E6109">
        <w:rPr>
          <w:rFonts w:cs="Arial"/>
          <w:i/>
          <w:szCs w:val="20"/>
        </w:rPr>
        <w:t>Key Data on Education in Europe</w:t>
      </w:r>
      <w:r w:rsidR="00B277D8">
        <w:rPr>
          <w:rFonts w:cs="Arial"/>
          <w:i/>
          <w:szCs w:val="20"/>
        </w:rPr>
        <w:t xml:space="preserve"> 2012</w:t>
      </w:r>
      <w:r w:rsidRPr="009E6109">
        <w:rPr>
          <w:rFonts w:cs="Arial"/>
          <w:i/>
          <w:szCs w:val="20"/>
        </w:rPr>
        <w:t>.</w:t>
      </w:r>
      <w:r w:rsidRPr="009E6109">
        <w:rPr>
          <w:rFonts w:cs="Arial"/>
          <w:szCs w:val="20"/>
        </w:rPr>
        <w:t xml:space="preserve"> Dostupné z</w:t>
      </w:r>
      <w:r w:rsidR="008A5827">
        <w:rPr>
          <w:rFonts w:cs="Arial"/>
          <w:szCs w:val="20"/>
        </w:rPr>
        <w:t xml:space="preserve"> (30. 8</w:t>
      </w:r>
      <w:r w:rsidR="00FA7353">
        <w:rPr>
          <w:rFonts w:cs="Arial"/>
          <w:szCs w:val="20"/>
        </w:rPr>
        <w:t>. 2016)</w:t>
      </w:r>
      <w:r w:rsidRPr="009E6109">
        <w:rPr>
          <w:rFonts w:cs="Arial"/>
          <w:szCs w:val="20"/>
        </w:rPr>
        <w:t>:</w:t>
      </w:r>
    </w:p>
    <w:p w:rsidR="00306953" w:rsidRPr="009E6109" w:rsidRDefault="00984E22" w:rsidP="00306953">
      <w:pPr>
        <w:autoSpaceDE w:val="0"/>
        <w:autoSpaceDN w:val="0"/>
        <w:adjustRightInd w:val="0"/>
        <w:spacing w:after="0" w:line="240" w:lineRule="auto"/>
        <w:rPr>
          <w:rFonts w:cs="Arial"/>
          <w:szCs w:val="20"/>
        </w:rPr>
      </w:pPr>
      <w:hyperlink r:id="rId180" w:history="1">
        <w:r w:rsidR="00306953" w:rsidRPr="009E6109">
          <w:rPr>
            <w:rStyle w:val="Hypertextovodkaz"/>
            <w:rFonts w:cs="Arial"/>
            <w:szCs w:val="20"/>
          </w:rPr>
          <w:t>http://eacea.ec.europa.eu/education/eurydice/documents/key_data_series/134EN.pdf</w:t>
        </w:r>
      </w:hyperlink>
      <w:r w:rsidR="00306953" w:rsidRPr="009E6109">
        <w:rPr>
          <w:rFonts w:cs="Arial"/>
          <w:szCs w:val="20"/>
        </w:rPr>
        <w:t xml:space="preserve">  </w:t>
      </w:r>
    </w:p>
    <w:p w:rsidR="00306953" w:rsidRPr="009E6109" w:rsidRDefault="00306953" w:rsidP="00306953">
      <w:pPr>
        <w:autoSpaceDE w:val="0"/>
        <w:autoSpaceDN w:val="0"/>
        <w:adjustRightInd w:val="0"/>
        <w:spacing w:after="0" w:line="240" w:lineRule="auto"/>
        <w:rPr>
          <w:rFonts w:cs="Arial"/>
          <w:szCs w:val="20"/>
        </w:rPr>
      </w:pPr>
    </w:p>
    <w:p w:rsidR="00306953" w:rsidRPr="009E6109" w:rsidRDefault="00306953" w:rsidP="00306953">
      <w:pPr>
        <w:autoSpaceDE w:val="0"/>
        <w:autoSpaceDN w:val="0"/>
        <w:adjustRightInd w:val="0"/>
        <w:spacing w:after="0" w:line="240" w:lineRule="auto"/>
        <w:rPr>
          <w:rFonts w:cs="Arial"/>
          <w:szCs w:val="20"/>
        </w:rPr>
      </w:pPr>
      <w:r w:rsidRPr="009E6109">
        <w:rPr>
          <w:rFonts w:cs="Arial"/>
          <w:szCs w:val="20"/>
        </w:rPr>
        <w:t xml:space="preserve">Eurydice (2007): </w:t>
      </w:r>
      <w:r w:rsidRPr="009E6109">
        <w:rPr>
          <w:rFonts w:cs="Arial"/>
          <w:i/>
          <w:szCs w:val="20"/>
        </w:rPr>
        <w:t>School Autonomy in Europe. Policies and Measures</w:t>
      </w:r>
      <w:r w:rsidRPr="009E6109">
        <w:rPr>
          <w:rFonts w:cs="Arial"/>
          <w:szCs w:val="20"/>
        </w:rPr>
        <w:t>. Dostupné z</w:t>
      </w:r>
      <w:r w:rsidR="008A5827">
        <w:rPr>
          <w:rFonts w:cs="Arial"/>
          <w:szCs w:val="20"/>
        </w:rPr>
        <w:t xml:space="preserve"> (30. 8</w:t>
      </w:r>
      <w:r w:rsidR="00FA7353">
        <w:rPr>
          <w:rFonts w:cs="Arial"/>
          <w:szCs w:val="20"/>
        </w:rPr>
        <w:t>. 2016)</w:t>
      </w:r>
      <w:r w:rsidRPr="009E6109">
        <w:rPr>
          <w:rFonts w:cs="Arial"/>
          <w:szCs w:val="20"/>
        </w:rPr>
        <w:t xml:space="preserve">: </w:t>
      </w:r>
      <w:hyperlink r:id="rId181" w:history="1">
        <w:r w:rsidRPr="009E6109">
          <w:rPr>
            <w:rStyle w:val="Hypertextovodkaz"/>
            <w:rFonts w:cs="Arial"/>
            <w:szCs w:val="20"/>
          </w:rPr>
          <w:t>www.google.cz/url?sa=t&amp;rct=j&amp;q=&amp;esrc=s&amp;source=web&amp;cd=1&amp;ved=0CCUQFjAA&amp;url=http%3A%2F%2Feacea.ec.europa.eu%2Feducation%2Feurydice%2Fdocuments%2Fthematic_reports%2F090EN.pdf&amp;ei=929HVZ_7JMvKaN_NgMAC&amp;usg=AFQjCNHX6KAaLlNPfJL4i7rGVzL4Rk1YZw&amp;bvm=bv.92291466,d.d2s</w:t>
        </w:r>
      </w:hyperlink>
      <w:r w:rsidRPr="009E6109">
        <w:rPr>
          <w:rFonts w:cs="Arial"/>
          <w:szCs w:val="20"/>
        </w:rPr>
        <w:t xml:space="preserve"> </w:t>
      </w:r>
    </w:p>
    <w:p w:rsidR="00306953" w:rsidRPr="009E6109" w:rsidRDefault="00306953" w:rsidP="00306953">
      <w:pPr>
        <w:autoSpaceDE w:val="0"/>
        <w:autoSpaceDN w:val="0"/>
        <w:adjustRightInd w:val="0"/>
        <w:spacing w:after="0" w:line="240" w:lineRule="auto"/>
        <w:rPr>
          <w:rFonts w:cs="Arial"/>
          <w:b/>
          <w:bCs/>
          <w:color w:val="1F497D"/>
          <w:szCs w:val="20"/>
        </w:rPr>
      </w:pPr>
    </w:p>
    <w:p w:rsidR="00306953" w:rsidRPr="009E6109" w:rsidRDefault="00306953" w:rsidP="00306953">
      <w:pPr>
        <w:autoSpaceDE w:val="0"/>
        <w:autoSpaceDN w:val="0"/>
        <w:adjustRightInd w:val="0"/>
        <w:spacing w:after="0" w:line="240" w:lineRule="auto"/>
        <w:rPr>
          <w:rFonts w:cs="Arial"/>
          <w:szCs w:val="20"/>
        </w:rPr>
      </w:pPr>
      <w:r w:rsidRPr="009E6109">
        <w:rPr>
          <w:rFonts w:cs="Arial"/>
          <w:szCs w:val="20"/>
        </w:rPr>
        <w:t xml:space="preserve">Factum Invenio (2009). </w:t>
      </w:r>
      <w:r w:rsidRPr="009E6109">
        <w:rPr>
          <w:rFonts w:cs="Arial"/>
          <w:i/>
          <w:szCs w:val="20"/>
        </w:rPr>
        <w:t>Analýza předpokladů a vzdělávacích potřeb pedagogických pracovníků pro zkvalitňování jejich práce</w:t>
      </w:r>
      <w:r w:rsidRPr="009E6109">
        <w:rPr>
          <w:rFonts w:cs="Arial"/>
          <w:szCs w:val="20"/>
        </w:rPr>
        <w:t>. Praha: MŠMT. Dostupné z</w:t>
      </w:r>
      <w:r w:rsidR="008A5827">
        <w:rPr>
          <w:rFonts w:cs="Arial"/>
          <w:szCs w:val="20"/>
        </w:rPr>
        <w:t xml:space="preserve"> (30. 8</w:t>
      </w:r>
      <w:r w:rsidR="00FA7353">
        <w:rPr>
          <w:rFonts w:cs="Arial"/>
          <w:szCs w:val="20"/>
        </w:rPr>
        <w:t>. 2016)</w:t>
      </w:r>
      <w:r w:rsidRPr="009E6109">
        <w:rPr>
          <w:rFonts w:cs="Arial"/>
          <w:szCs w:val="20"/>
        </w:rPr>
        <w:t>:</w:t>
      </w:r>
    </w:p>
    <w:p w:rsidR="00306953" w:rsidRDefault="00984E22" w:rsidP="00306953">
      <w:pPr>
        <w:autoSpaceDE w:val="0"/>
        <w:autoSpaceDN w:val="0"/>
        <w:adjustRightInd w:val="0"/>
        <w:spacing w:after="120"/>
        <w:rPr>
          <w:rFonts w:cs="Arial"/>
          <w:szCs w:val="20"/>
        </w:rPr>
      </w:pPr>
      <w:hyperlink r:id="rId182" w:history="1">
        <w:r w:rsidR="003E19E7" w:rsidRPr="008836D4">
          <w:rPr>
            <w:rStyle w:val="Hypertextovodkaz"/>
            <w:rFonts w:cs="Arial"/>
            <w:szCs w:val="20"/>
          </w:rPr>
          <w:t>www.msmt.cz/vzdelavani/skolstvi-v-cr/skolskareforma/predpoklady-a-vzdelavaci-potreby-pedagogu?highlightWords=Anal%C3%BDza+p%C5%99edpoklad%C5%AF+vzd%C4%9Bl%C3%A1vac%C3%ADch+pot%C5%99eb</w:t>
        </w:r>
      </w:hyperlink>
      <w:r w:rsidR="00306953" w:rsidRPr="009E6109">
        <w:rPr>
          <w:rFonts w:cs="Arial"/>
          <w:szCs w:val="20"/>
        </w:rPr>
        <w:t xml:space="preserve"> </w:t>
      </w:r>
    </w:p>
    <w:p w:rsidR="003E19E7" w:rsidRDefault="00BB3F84" w:rsidP="003E19E7">
      <w:pPr>
        <w:autoSpaceDE w:val="0"/>
        <w:autoSpaceDN w:val="0"/>
        <w:adjustRightInd w:val="0"/>
        <w:spacing w:after="0" w:line="240" w:lineRule="auto"/>
      </w:pPr>
      <w:r>
        <w:rPr>
          <w:rFonts w:cs="Arial"/>
          <w:szCs w:val="20"/>
        </w:rPr>
        <w:t xml:space="preserve">Fotr, J. </w:t>
      </w:r>
      <w:r w:rsidRPr="009E6109">
        <w:rPr>
          <w:rFonts w:cs="Arial"/>
          <w:szCs w:val="20"/>
        </w:rPr>
        <w:t>&amp;</w:t>
      </w:r>
      <w:r>
        <w:rPr>
          <w:rFonts w:cs="Arial"/>
          <w:szCs w:val="20"/>
        </w:rPr>
        <w:t xml:space="preserve"> Souček, I. (2005). </w:t>
      </w:r>
      <w:r w:rsidRPr="008A5827">
        <w:rPr>
          <w:i/>
        </w:rPr>
        <w:t>Podnikatelský záměr a investiční rozhodování</w:t>
      </w:r>
      <w:r>
        <w:t xml:space="preserve">. Praha: </w:t>
      </w:r>
      <w:proofErr w:type="spellStart"/>
      <w:r>
        <w:t>Grada</w:t>
      </w:r>
      <w:proofErr w:type="spellEnd"/>
      <w:r>
        <w:t xml:space="preserve">. </w:t>
      </w:r>
    </w:p>
    <w:p w:rsidR="00BB3F84" w:rsidRPr="00BB3F84" w:rsidRDefault="00BB3F84" w:rsidP="00306953">
      <w:pPr>
        <w:autoSpaceDE w:val="0"/>
        <w:autoSpaceDN w:val="0"/>
        <w:adjustRightInd w:val="0"/>
        <w:spacing w:after="120"/>
      </w:pPr>
      <w:r>
        <w:t>Dostupné z</w:t>
      </w:r>
      <w:r w:rsidR="008A5827">
        <w:t> (30. 8</w:t>
      </w:r>
      <w:r w:rsidR="003E19E7">
        <w:t>. 2016)</w:t>
      </w:r>
      <w:r>
        <w:t xml:space="preserve">: </w:t>
      </w:r>
      <w:hyperlink r:id="rId183" w:anchor="v=onepage&amp;q=b%C4%9B%C5%BEn%C3%A9%20ceny%2C%20st%C3%A1l%C3%A9%20ceny&amp;f=false" w:history="1">
        <w:r w:rsidRPr="00273B95">
          <w:rPr>
            <w:rStyle w:val="Hypertextovodkaz"/>
          </w:rPr>
          <w:t>https://books.google.cz/books?id=LGus2lKHZqEC&amp;pg=PA108&amp;dq=b%C4%9B%C5%BEn%C3%A9+ceny,+st%C3%A1l%C3%A9+ceny&amp;hl=cs&amp;sa=X&amp;ved=0ahUKEwiy1v6PvObOAhUDaRQKHWBuCBIQ6AEIKzAC#v=onepage&amp;q=b%C4%9B%C5%BEn%C3%A9%20ceny%2C%20st%C3%A1l%C3%A9%20ceny&amp;f=false</w:t>
        </w:r>
      </w:hyperlink>
      <w:r>
        <w:t xml:space="preserve"> </w:t>
      </w:r>
    </w:p>
    <w:p w:rsidR="00306953" w:rsidRPr="009E6109" w:rsidRDefault="008A5827" w:rsidP="00306953">
      <w:pPr>
        <w:autoSpaceDE w:val="0"/>
        <w:autoSpaceDN w:val="0"/>
        <w:adjustRightInd w:val="0"/>
        <w:spacing w:after="0" w:line="240" w:lineRule="auto"/>
        <w:rPr>
          <w:rFonts w:cs="Arial"/>
          <w:szCs w:val="20"/>
        </w:rPr>
      </w:pPr>
      <w:proofErr w:type="spellStart"/>
      <w:r>
        <w:rPr>
          <w:rFonts w:cs="Arial"/>
          <w:szCs w:val="20"/>
        </w:rPr>
        <w:t>Hanushek</w:t>
      </w:r>
      <w:proofErr w:type="spellEnd"/>
      <w:r>
        <w:rPr>
          <w:rFonts w:cs="Arial"/>
          <w:szCs w:val="20"/>
        </w:rPr>
        <w:t xml:space="preserve">, E. A. </w:t>
      </w:r>
      <w:r w:rsidR="00306953" w:rsidRPr="009E6109">
        <w:rPr>
          <w:rFonts w:cs="Arial"/>
          <w:szCs w:val="20"/>
        </w:rPr>
        <w:t xml:space="preserve">&amp; </w:t>
      </w:r>
      <w:proofErr w:type="spellStart"/>
      <w:r w:rsidR="00306953" w:rsidRPr="009E6109">
        <w:rPr>
          <w:rFonts w:cs="Arial"/>
          <w:szCs w:val="20"/>
        </w:rPr>
        <w:t>Rivkin</w:t>
      </w:r>
      <w:proofErr w:type="spellEnd"/>
      <w:r w:rsidR="00306953" w:rsidRPr="009E6109">
        <w:rPr>
          <w:rFonts w:cs="Arial"/>
          <w:szCs w:val="20"/>
        </w:rPr>
        <w:t xml:space="preserve">, S. (2006). </w:t>
      </w:r>
      <w:r w:rsidR="00306953" w:rsidRPr="009E6109">
        <w:rPr>
          <w:rFonts w:cs="Arial"/>
          <w:i/>
          <w:szCs w:val="20"/>
        </w:rPr>
        <w:t>Handbook of the Economics of Education</w:t>
      </w:r>
      <w:r w:rsidR="00306953" w:rsidRPr="009E6109">
        <w:rPr>
          <w:rFonts w:cs="Arial"/>
          <w:szCs w:val="20"/>
        </w:rPr>
        <w:t>. Volume 2, Chapter 18, Elsevier.</w:t>
      </w:r>
    </w:p>
    <w:p w:rsidR="00306953" w:rsidRPr="003E19E7" w:rsidRDefault="00306953" w:rsidP="00306953">
      <w:pPr>
        <w:autoSpaceDE w:val="0"/>
        <w:autoSpaceDN w:val="0"/>
        <w:adjustRightInd w:val="0"/>
        <w:spacing w:after="0" w:line="240" w:lineRule="auto"/>
        <w:rPr>
          <w:rFonts w:cs="Arial"/>
          <w:sz w:val="12"/>
          <w:szCs w:val="12"/>
        </w:rPr>
      </w:pPr>
    </w:p>
    <w:p w:rsidR="00306953" w:rsidRPr="009E6109" w:rsidRDefault="00306953" w:rsidP="00306953">
      <w:pPr>
        <w:autoSpaceDE w:val="0"/>
        <w:autoSpaceDN w:val="0"/>
        <w:adjustRightInd w:val="0"/>
        <w:spacing w:after="0" w:line="240" w:lineRule="auto"/>
        <w:rPr>
          <w:rFonts w:cs="Arial"/>
          <w:szCs w:val="20"/>
        </w:rPr>
      </w:pPr>
      <w:r w:rsidRPr="009E6109">
        <w:rPr>
          <w:rFonts w:eastAsia="ChaparralPro-Regular" w:cs="Arial"/>
          <w:szCs w:val="20"/>
        </w:rPr>
        <w:t xml:space="preserve">Hanushek, E. A. &amp; Woessmann, L. (2011). </w:t>
      </w:r>
      <w:r w:rsidRPr="009E6109">
        <w:rPr>
          <w:rFonts w:cs="Arial"/>
          <w:i/>
          <w:szCs w:val="20"/>
        </w:rPr>
        <w:t>Class Size: Does It Matter?</w:t>
      </w:r>
      <w:r w:rsidRPr="009E6109">
        <w:rPr>
          <w:rFonts w:cs="Arial"/>
          <w:szCs w:val="20"/>
        </w:rPr>
        <w:t>. EENEE POLICY BRIEF 2/2011. Dostupné z</w:t>
      </w:r>
      <w:r w:rsidR="008A5827">
        <w:rPr>
          <w:rFonts w:cs="Arial"/>
          <w:szCs w:val="20"/>
        </w:rPr>
        <w:t xml:space="preserve"> (30. 8</w:t>
      </w:r>
      <w:r w:rsidR="00FA7353">
        <w:rPr>
          <w:rFonts w:cs="Arial"/>
          <w:szCs w:val="20"/>
        </w:rPr>
        <w:t>. 2016)</w:t>
      </w:r>
      <w:r w:rsidRPr="009E6109">
        <w:rPr>
          <w:rFonts w:cs="Arial"/>
          <w:szCs w:val="20"/>
        </w:rPr>
        <w:t xml:space="preserve">: </w:t>
      </w:r>
      <w:hyperlink r:id="rId184" w:history="1">
        <w:r w:rsidR="00784F0A" w:rsidRPr="009E6109">
          <w:rPr>
            <w:rStyle w:val="Hypertextovodkaz"/>
            <w:rFonts w:cs="Arial"/>
            <w:szCs w:val="20"/>
          </w:rPr>
          <w:t>http://www.google.cz/url?sa=t&amp;rct=j&amp;q=&amp;esrc=s&amp;source=web&amp;cd=5&amp;ved=0ahUKEwiV3cLU3JDMAhWLbBoKHaRDBRMQFgg_MAQ&amp;url=http%3A%2F%2Fwww.eenee.de%2Fdms%2FEENEE%2FPolicy_Briefs%2FPolicyBrief2-2011.pdf&amp;usg=AFQjCNFzGq-0VunvcnbCDulVNCyn7_6cmA&amp;bvm=bv.119745492,d.d2s</w:t>
        </w:r>
      </w:hyperlink>
      <w:r w:rsidR="008A5827">
        <w:rPr>
          <w:rFonts w:cs="Arial"/>
          <w:szCs w:val="20"/>
        </w:rPr>
        <w:t xml:space="preserve"> </w:t>
      </w:r>
      <w:r w:rsidR="003E19E7">
        <w:rPr>
          <w:rFonts w:cs="Arial"/>
          <w:szCs w:val="20"/>
        </w:rPr>
        <w:t xml:space="preserve"> </w:t>
      </w:r>
      <w:r w:rsidRPr="009E6109">
        <w:rPr>
          <w:rFonts w:cs="Arial"/>
          <w:szCs w:val="20"/>
        </w:rPr>
        <w:t xml:space="preserve"> </w:t>
      </w:r>
    </w:p>
    <w:p w:rsidR="00306953" w:rsidRPr="009E6109" w:rsidRDefault="00306953" w:rsidP="00306953">
      <w:pPr>
        <w:autoSpaceDE w:val="0"/>
        <w:autoSpaceDN w:val="0"/>
        <w:adjustRightInd w:val="0"/>
        <w:spacing w:after="0" w:line="240" w:lineRule="auto"/>
        <w:rPr>
          <w:rFonts w:cs="Arial"/>
          <w:szCs w:val="20"/>
        </w:rPr>
      </w:pPr>
    </w:p>
    <w:p w:rsidR="00306953" w:rsidRDefault="004F35F1" w:rsidP="00306953">
      <w:pPr>
        <w:autoSpaceDE w:val="0"/>
        <w:autoSpaceDN w:val="0"/>
        <w:adjustRightInd w:val="0"/>
        <w:spacing w:after="0" w:line="240" w:lineRule="auto"/>
        <w:rPr>
          <w:rFonts w:cs="Arial"/>
          <w:szCs w:val="20"/>
        </w:rPr>
      </w:pPr>
      <w:proofErr w:type="spellStart"/>
      <w:r>
        <w:rPr>
          <w:rFonts w:cs="Arial"/>
          <w:szCs w:val="20"/>
        </w:rPr>
        <w:t>Heyneman</w:t>
      </w:r>
      <w:proofErr w:type="spellEnd"/>
      <w:r>
        <w:rPr>
          <w:rFonts w:cs="Arial"/>
          <w:szCs w:val="20"/>
        </w:rPr>
        <w:t>, S.</w:t>
      </w:r>
      <w:r w:rsidR="00365B8C">
        <w:rPr>
          <w:rFonts w:cs="Arial"/>
          <w:szCs w:val="20"/>
        </w:rPr>
        <w:t> </w:t>
      </w:r>
      <w:r>
        <w:rPr>
          <w:rFonts w:cs="Arial"/>
          <w:szCs w:val="20"/>
        </w:rPr>
        <w:t xml:space="preserve">P. &amp; </w:t>
      </w:r>
      <w:proofErr w:type="spellStart"/>
      <w:r w:rsidR="00306953" w:rsidRPr="009E6109">
        <w:rPr>
          <w:rFonts w:cs="Arial"/>
          <w:szCs w:val="20"/>
        </w:rPr>
        <w:t>Loxley</w:t>
      </w:r>
      <w:proofErr w:type="spellEnd"/>
      <w:r>
        <w:rPr>
          <w:rFonts w:cs="Arial"/>
          <w:szCs w:val="20"/>
        </w:rPr>
        <w:t>, W.</w:t>
      </w:r>
      <w:r w:rsidR="00306953" w:rsidRPr="009E6109">
        <w:rPr>
          <w:rFonts w:cs="Arial"/>
          <w:szCs w:val="20"/>
        </w:rPr>
        <w:t xml:space="preserve"> (1983). The distribution of primary school quality within high and low- income countries, </w:t>
      </w:r>
      <w:r w:rsidR="00306953" w:rsidRPr="009E6109">
        <w:rPr>
          <w:rFonts w:cs="Arial"/>
          <w:i/>
          <w:szCs w:val="20"/>
        </w:rPr>
        <w:t>Comparative Education Review</w:t>
      </w:r>
      <w:r w:rsidR="00306953" w:rsidRPr="009E6109">
        <w:rPr>
          <w:rFonts w:cs="Arial"/>
          <w:szCs w:val="20"/>
        </w:rPr>
        <w:t>, No. 27, 108–118.</w:t>
      </w:r>
    </w:p>
    <w:p w:rsidR="001B5AA0" w:rsidRDefault="001B5AA0" w:rsidP="00306953">
      <w:pPr>
        <w:autoSpaceDE w:val="0"/>
        <w:autoSpaceDN w:val="0"/>
        <w:adjustRightInd w:val="0"/>
        <w:spacing w:after="0" w:line="240" w:lineRule="auto"/>
        <w:rPr>
          <w:rFonts w:cs="Arial"/>
          <w:szCs w:val="20"/>
        </w:rPr>
      </w:pPr>
    </w:p>
    <w:p w:rsidR="001B5AA0" w:rsidRPr="001B5AA0" w:rsidRDefault="001B5AA0" w:rsidP="001B5AA0">
      <w:pPr>
        <w:autoSpaceDE w:val="0"/>
        <w:autoSpaceDN w:val="0"/>
        <w:adjustRightInd w:val="0"/>
        <w:spacing w:after="0" w:line="240" w:lineRule="auto"/>
        <w:rPr>
          <w:rFonts w:cs="Arial"/>
        </w:rPr>
      </w:pPr>
      <w:r w:rsidRPr="001B5AA0">
        <w:rPr>
          <w:rFonts w:cs="Arial"/>
        </w:rPr>
        <w:t>Kašparová, V., Holečková, A., Hučín, J., Janík, T., Najvar, P., Píšová, M.,</w:t>
      </w:r>
      <w:r w:rsidR="003A515E">
        <w:rPr>
          <w:rFonts w:cs="Arial"/>
        </w:rPr>
        <w:t xml:space="preserve"> Potužníková, E., Soukup, P., &amp; </w:t>
      </w:r>
      <w:r w:rsidRPr="001B5AA0">
        <w:rPr>
          <w:rFonts w:cs="Arial"/>
        </w:rPr>
        <w:t xml:space="preserve">Ševců, M. (2015). </w:t>
      </w:r>
      <w:r w:rsidRPr="001B5AA0">
        <w:rPr>
          <w:rFonts w:cs="Arial"/>
          <w:i/>
        </w:rPr>
        <w:t>Analytická zpráva z šetření TALIS 2013</w:t>
      </w:r>
      <w:r w:rsidRPr="001B5AA0">
        <w:rPr>
          <w:rFonts w:cs="Arial"/>
        </w:rPr>
        <w:t>. Praha: ČŠI</w:t>
      </w:r>
      <w:r w:rsidR="003A515E">
        <w:rPr>
          <w:rFonts w:cs="Arial"/>
        </w:rPr>
        <w:t>. Dostupné</w:t>
      </w:r>
      <w:r w:rsidR="008A5827">
        <w:rPr>
          <w:rFonts w:cs="Arial"/>
        </w:rPr>
        <w:t xml:space="preserve"> z (cit. 30. 8. 2016</w:t>
      </w:r>
      <w:r w:rsidRPr="001B5AA0">
        <w:rPr>
          <w:rFonts w:cs="Arial"/>
          <w:color w:val="1C1C1A"/>
        </w:rPr>
        <w:t>)</w:t>
      </w:r>
      <w:r w:rsidRPr="001B5AA0">
        <w:rPr>
          <w:rFonts w:cs="Arial"/>
        </w:rPr>
        <w:t>:</w:t>
      </w:r>
    </w:p>
    <w:p w:rsidR="001B5AA0" w:rsidRPr="001B5AA0" w:rsidRDefault="00984E22" w:rsidP="001B5AA0">
      <w:pPr>
        <w:autoSpaceDE w:val="0"/>
        <w:autoSpaceDN w:val="0"/>
        <w:adjustRightInd w:val="0"/>
        <w:spacing w:after="0" w:line="240" w:lineRule="auto"/>
        <w:rPr>
          <w:rFonts w:cs="Arial"/>
          <w:szCs w:val="20"/>
        </w:rPr>
      </w:pPr>
      <w:hyperlink r:id="rId185" w:history="1">
        <w:r w:rsidR="008A5827" w:rsidRPr="008836D4">
          <w:rPr>
            <w:rStyle w:val="Hypertextovodkaz"/>
            <w:rFonts w:cs="Arial"/>
          </w:rPr>
          <w:t>www.csicr.cz/Prave-menu/Mezinarodni-setreni/TALIS/Ceska-skolni-inspekce-zverejnuje-analytickou-zprav</w:t>
        </w:r>
      </w:hyperlink>
    </w:p>
    <w:p w:rsidR="00306953" w:rsidRPr="009E6109" w:rsidRDefault="00306953" w:rsidP="00306953">
      <w:pPr>
        <w:autoSpaceDE w:val="0"/>
        <w:autoSpaceDN w:val="0"/>
        <w:adjustRightInd w:val="0"/>
        <w:spacing w:after="0" w:line="240" w:lineRule="auto"/>
        <w:rPr>
          <w:rFonts w:cs="Arial"/>
          <w:szCs w:val="20"/>
        </w:rPr>
      </w:pPr>
    </w:p>
    <w:p w:rsidR="00306953" w:rsidRPr="009E6109" w:rsidRDefault="00306953" w:rsidP="00306953">
      <w:pPr>
        <w:autoSpaceDE w:val="0"/>
        <w:autoSpaceDN w:val="0"/>
        <w:adjustRightInd w:val="0"/>
        <w:spacing w:after="0" w:line="240" w:lineRule="auto"/>
        <w:rPr>
          <w:rFonts w:cs="Arial"/>
          <w:szCs w:val="20"/>
        </w:rPr>
      </w:pPr>
      <w:r w:rsidRPr="009E6109">
        <w:rPr>
          <w:rFonts w:cs="Arial"/>
          <w:szCs w:val="20"/>
        </w:rPr>
        <w:t xml:space="preserve">Kleňhová, M. (2009). </w:t>
      </w:r>
      <w:r w:rsidRPr="009E6109">
        <w:rPr>
          <w:rFonts w:cs="Arial"/>
          <w:i/>
          <w:szCs w:val="20"/>
        </w:rPr>
        <w:t xml:space="preserve">Ekonomické indikátory ve vzdělávání. Indikatory OECD. Metodicka příručka. </w:t>
      </w:r>
      <w:r w:rsidRPr="009E6109">
        <w:rPr>
          <w:rFonts w:cs="Arial"/>
          <w:szCs w:val="20"/>
        </w:rPr>
        <w:t>Praha: Ústav pro informace ve vzdělávání. Dostupné z</w:t>
      </w:r>
      <w:r w:rsidR="008A5827">
        <w:rPr>
          <w:rFonts w:cs="Arial"/>
          <w:szCs w:val="20"/>
        </w:rPr>
        <w:t xml:space="preserve"> (30. 8</w:t>
      </w:r>
      <w:r w:rsidR="00FA7353">
        <w:rPr>
          <w:rFonts w:cs="Arial"/>
          <w:szCs w:val="20"/>
        </w:rPr>
        <w:t>. 2016)</w:t>
      </w:r>
      <w:r w:rsidRPr="009E6109">
        <w:rPr>
          <w:rFonts w:cs="Arial"/>
          <w:szCs w:val="20"/>
        </w:rPr>
        <w:t xml:space="preserve">: </w:t>
      </w:r>
      <w:hyperlink r:id="rId186" w:history="1">
        <w:r w:rsidR="008A5827" w:rsidRPr="008836D4">
          <w:rPr>
            <w:rStyle w:val="Hypertextovodkaz"/>
            <w:rFonts w:cs="Arial"/>
            <w:szCs w:val="20"/>
          </w:rPr>
          <w:t>www.google.cz/url?sa=t&amp;rct=j&amp;q=&amp;esrc=s&amp;source=web&amp;cd=1&amp;ved=0CC4QFjAA&amp;url=http%3A%2F%2Fwww.msmt.cz%2Ffile%2F13680_1_1%2F&amp;ei=o9ksVfHSHMn1avSigNAI&amp;usg=AFQjCNGEXTEQHiZP-ZyyclE_eOC8sFYTBg&amp;bvm=bv.90790515,d.d2s</w:t>
        </w:r>
      </w:hyperlink>
    </w:p>
    <w:p w:rsidR="00306953" w:rsidRPr="009E6109" w:rsidRDefault="00306953" w:rsidP="00306953">
      <w:pPr>
        <w:pStyle w:val="Default"/>
        <w:rPr>
          <w:rFonts w:ascii="Arial" w:hAnsi="Arial" w:cs="Arial"/>
          <w:sz w:val="20"/>
          <w:szCs w:val="20"/>
        </w:rPr>
      </w:pPr>
    </w:p>
    <w:p w:rsidR="00306953" w:rsidRPr="00363581" w:rsidRDefault="00306953" w:rsidP="00306953">
      <w:pPr>
        <w:pStyle w:val="Default"/>
        <w:rPr>
          <w:rStyle w:val="Hypertextovodkaz"/>
          <w:rFonts w:ascii="Arial" w:hAnsi="Arial" w:cs="Arial"/>
          <w:sz w:val="20"/>
          <w:szCs w:val="20"/>
        </w:rPr>
      </w:pPr>
      <w:r w:rsidRPr="009E6109">
        <w:rPr>
          <w:rFonts w:ascii="Arial" w:hAnsi="Arial" w:cs="Arial"/>
          <w:sz w:val="20"/>
          <w:szCs w:val="20"/>
        </w:rPr>
        <w:t xml:space="preserve">Kleňhová, M. (2010).  </w:t>
      </w:r>
      <w:r w:rsidRPr="009E6109">
        <w:rPr>
          <w:rFonts w:ascii="Arial" w:hAnsi="Arial" w:cs="Arial"/>
          <w:i/>
          <w:sz w:val="20"/>
          <w:szCs w:val="20"/>
        </w:rPr>
        <w:t xml:space="preserve">Finanční a lidské zdroje vložené do vzdělávání v ČR a v zahraničí. </w:t>
      </w:r>
      <w:r w:rsidRPr="009E6109">
        <w:rPr>
          <w:rFonts w:ascii="Arial" w:hAnsi="Arial" w:cs="Arial"/>
          <w:sz w:val="20"/>
          <w:szCs w:val="20"/>
        </w:rPr>
        <w:t xml:space="preserve">Příspěvek vznikl jako součást činností spojených s projektem RELIK – Reprodukce lidského kapitálu (program 2D06026 – Sociálně ekonomický rozvoj české společnosti v rámci Národního </w:t>
      </w:r>
      <w:r w:rsidR="003A515E">
        <w:rPr>
          <w:rFonts w:ascii="Arial" w:hAnsi="Arial" w:cs="Arial"/>
          <w:sz w:val="20"/>
          <w:szCs w:val="20"/>
        </w:rPr>
        <w:t>programu výzkumu II). Dostupné </w:t>
      </w:r>
      <w:r w:rsidRPr="009E6109">
        <w:rPr>
          <w:rFonts w:ascii="Arial" w:hAnsi="Arial" w:cs="Arial"/>
          <w:sz w:val="20"/>
          <w:szCs w:val="20"/>
        </w:rPr>
        <w:t>z</w:t>
      </w:r>
      <w:r w:rsidR="0079537E">
        <w:rPr>
          <w:rFonts w:ascii="Arial" w:hAnsi="Arial" w:cs="Arial"/>
          <w:sz w:val="20"/>
          <w:szCs w:val="20"/>
        </w:rPr>
        <w:t> </w:t>
      </w:r>
      <w:r w:rsidR="008A5827">
        <w:rPr>
          <w:rFonts w:ascii="Arial" w:hAnsi="Arial" w:cs="Arial"/>
          <w:sz w:val="20"/>
          <w:szCs w:val="20"/>
        </w:rPr>
        <w:t>(30. 8</w:t>
      </w:r>
      <w:r w:rsidR="00FA7353" w:rsidRPr="00FA7353">
        <w:rPr>
          <w:rFonts w:ascii="Arial" w:hAnsi="Arial" w:cs="Arial"/>
          <w:sz w:val="20"/>
          <w:szCs w:val="20"/>
        </w:rPr>
        <w:t>. 2016)</w:t>
      </w:r>
      <w:r w:rsidRPr="009E6109">
        <w:rPr>
          <w:rFonts w:ascii="Arial" w:hAnsi="Arial" w:cs="Arial"/>
          <w:sz w:val="20"/>
          <w:szCs w:val="20"/>
        </w:rPr>
        <w:t xml:space="preserve">: </w:t>
      </w:r>
      <w:hyperlink r:id="rId187" w:history="1">
        <w:r w:rsidR="00363581" w:rsidRPr="00363581">
          <w:rPr>
            <w:rStyle w:val="Hypertextovodkaz"/>
            <w:rFonts w:ascii="Arial" w:hAnsi="Arial" w:cs="Arial"/>
            <w:sz w:val="20"/>
            <w:szCs w:val="20"/>
          </w:rPr>
          <w:t>http://kdem.vse.cz/resources/relik10/PDFucastnici/Klenhova.pdf</w:t>
        </w:r>
      </w:hyperlink>
      <w:r w:rsidR="00363581" w:rsidRPr="00363581">
        <w:rPr>
          <w:rFonts w:ascii="Arial" w:hAnsi="Arial" w:cs="Arial"/>
          <w:sz w:val="20"/>
          <w:szCs w:val="20"/>
        </w:rPr>
        <w:t xml:space="preserve"> </w:t>
      </w:r>
      <w:r w:rsidRPr="00363581">
        <w:rPr>
          <w:rStyle w:val="Hypertextovodkaz"/>
          <w:rFonts w:ascii="Arial" w:hAnsi="Arial" w:cs="Arial"/>
          <w:sz w:val="20"/>
          <w:szCs w:val="20"/>
        </w:rPr>
        <w:t xml:space="preserve">  </w:t>
      </w:r>
    </w:p>
    <w:p w:rsidR="00306953" w:rsidRPr="00363581" w:rsidRDefault="00306953" w:rsidP="00306953">
      <w:pPr>
        <w:pStyle w:val="Default"/>
        <w:rPr>
          <w:rStyle w:val="Hypertextovodkaz"/>
          <w:rFonts w:ascii="Arial" w:hAnsi="Arial" w:cs="Arial"/>
          <w:sz w:val="20"/>
          <w:szCs w:val="20"/>
        </w:rPr>
      </w:pPr>
    </w:p>
    <w:p w:rsidR="00306953" w:rsidRPr="009E6109" w:rsidRDefault="00306953" w:rsidP="00306953">
      <w:pPr>
        <w:pStyle w:val="Default"/>
        <w:rPr>
          <w:rFonts w:ascii="Arial" w:hAnsi="Arial" w:cs="Arial"/>
          <w:sz w:val="20"/>
          <w:szCs w:val="20"/>
        </w:rPr>
      </w:pPr>
      <w:proofErr w:type="spellStart"/>
      <w:r w:rsidRPr="009E6109">
        <w:rPr>
          <w:rFonts w:ascii="Arial" w:hAnsi="Arial" w:cs="Arial"/>
          <w:sz w:val="20"/>
          <w:szCs w:val="20"/>
        </w:rPr>
        <w:t>Luschei</w:t>
      </w:r>
      <w:proofErr w:type="spellEnd"/>
      <w:r w:rsidRPr="009E6109">
        <w:rPr>
          <w:rFonts w:ascii="Arial" w:hAnsi="Arial" w:cs="Arial"/>
          <w:sz w:val="20"/>
          <w:szCs w:val="20"/>
        </w:rPr>
        <w:t>, T.</w:t>
      </w:r>
      <w:r w:rsidR="00365B8C">
        <w:rPr>
          <w:rFonts w:ascii="Arial" w:hAnsi="Arial" w:cs="Arial"/>
          <w:sz w:val="20"/>
          <w:szCs w:val="20"/>
        </w:rPr>
        <w:t> </w:t>
      </w:r>
      <w:r w:rsidRPr="009E6109">
        <w:rPr>
          <w:rFonts w:ascii="Arial" w:hAnsi="Arial" w:cs="Arial"/>
          <w:sz w:val="20"/>
          <w:szCs w:val="20"/>
        </w:rPr>
        <w:t xml:space="preserve">F. </w:t>
      </w:r>
      <w:r w:rsidR="00365B8C">
        <w:rPr>
          <w:rFonts w:cs="Arial"/>
          <w:szCs w:val="20"/>
        </w:rPr>
        <w:t xml:space="preserve">&amp; </w:t>
      </w:r>
      <w:r w:rsidR="00365B8C">
        <w:rPr>
          <w:rFonts w:ascii="Arial" w:hAnsi="Arial" w:cs="Arial"/>
          <w:sz w:val="20"/>
          <w:szCs w:val="20"/>
        </w:rPr>
        <w:t xml:space="preserve"> </w:t>
      </w:r>
      <w:proofErr w:type="spellStart"/>
      <w:r w:rsidRPr="009E6109">
        <w:rPr>
          <w:rFonts w:ascii="Arial" w:hAnsi="Arial" w:cs="Arial"/>
          <w:sz w:val="20"/>
          <w:szCs w:val="20"/>
        </w:rPr>
        <w:t>Carnoy</w:t>
      </w:r>
      <w:proofErr w:type="spellEnd"/>
      <w:r w:rsidR="00365B8C">
        <w:rPr>
          <w:rFonts w:ascii="Arial" w:hAnsi="Arial" w:cs="Arial"/>
          <w:sz w:val="20"/>
          <w:szCs w:val="20"/>
        </w:rPr>
        <w:t>, M.</w:t>
      </w:r>
      <w:r w:rsidRPr="009E6109">
        <w:rPr>
          <w:rFonts w:ascii="Arial" w:hAnsi="Arial" w:cs="Arial"/>
          <w:sz w:val="20"/>
          <w:szCs w:val="20"/>
        </w:rPr>
        <w:t xml:space="preserve"> (2010). Educational production and the distribution of teachers in Uruguay.  </w:t>
      </w:r>
      <w:r w:rsidRPr="009E6109">
        <w:rPr>
          <w:rFonts w:ascii="Arial" w:hAnsi="Arial" w:cs="Arial"/>
          <w:i/>
          <w:iCs/>
          <w:sz w:val="20"/>
          <w:szCs w:val="20"/>
        </w:rPr>
        <w:t>International Journal of Educational Development</w:t>
      </w:r>
      <w:r w:rsidRPr="009E6109">
        <w:rPr>
          <w:rFonts w:ascii="Arial" w:hAnsi="Arial" w:cs="Arial"/>
          <w:sz w:val="20"/>
          <w:szCs w:val="20"/>
        </w:rPr>
        <w:t>, No. 30(2010), 169–181.</w:t>
      </w:r>
    </w:p>
    <w:p w:rsidR="00306953" w:rsidRPr="009E6109" w:rsidRDefault="00306953" w:rsidP="00306953">
      <w:pPr>
        <w:pStyle w:val="Default"/>
        <w:rPr>
          <w:rFonts w:ascii="Arial" w:hAnsi="Arial" w:cs="Arial"/>
          <w:sz w:val="20"/>
          <w:szCs w:val="20"/>
        </w:rPr>
      </w:pPr>
    </w:p>
    <w:p w:rsidR="00642984" w:rsidRPr="009E6109" w:rsidRDefault="00642984" w:rsidP="00642984">
      <w:pPr>
        <w:pStyle w:val="Default"/>
        <w:rPr>
          <w:rFonts w:ascii="Arial" w:hAnsi="Arial" w:cs="Arial"/>
          <w:sz w:val="20"/>
          <w:szCs w:val="20"/>
        </w:rPr>
      </w:pPr>
      <w:r w:rsidRPr="009E6109">
        <w:rPr>
          <w:rFonts w:ascii="Arial" w:hAnsi="Arial" w:cs="Arial"/>
          <w:sz w:val="20"/>
          <w:szCs w:val="20"/>
        </w:rPr>
        <w:t xml:space="preserve">MŠMT (2014, 2015). </w:t>
      </w:r>
      <w:r w:rsidRPr="009E6109">
        <w:rPr>
          <w:rFonts w:ascii="Arial" w:hAnsi="Arial" w:cs="Arial"/>
          <w:i/>
          <w:sz w:val="20"/>
          <w:szCs w:val="20"/>
        </w:rPr>
        <w:t>České školství v mezinárodním srovnání</w:t>
      </w:r>
      <w:r w:rsidRPr="009E6109">
        <w:rPr>
          <w:rFonts w:ascii="Arial" w:hAnsi="Arial" w:cs="Arial"/>
          <w:sz w:val="20"/>
          <w:szCs w:val="20"/>
        </w:rPr>
        <w:t>. Dostupné z</w:t>
      </w:r>
      <w:r>
        <w:rPr>
          <w:rFonts w:ascii="Arial" w:hAnsi="Arial" w:cs="Arial"/>
          <w:sz w:val="20"/>
          <w:szCs w:val="20"/>
        </w:rPr>
        <w:t xml:space="preserve"> </w:t>
      </w:r>
      <w:r w:rsidR="008A5827">
        <w:rPr>
          <w:rFonts w:ascii="Arial" w:hAnsi="Arial" w:cs="Arial"/>
          <w:sz w:val="20"/>
          <w:szCs w:val="20"/>
        </w:rPr>
        <w:t>(30. 8</w:t>
      </w:r>
      <w:r w:rsidRPr="00FA7353">
        <w:rPr>
          <w:rFonts w:ascii="Arial" w:hAnsi="Arial" w:cs="Arial"/>
          <w:sz w:val="20"/>
          <w:szCs w:val="20"/>
        </w:rPr>
        <w:t>. 2016)</w:t>
      </w:r>
      <w:r w:rsidRPr="009E6109">
        <w:rPr>
          <w:rFonts w:ascii="Arial" w:hAnsi="Arial" w:cs="Arial"/>
          <w:sz w:val="20"/>
          <w:szCs w:val="20"/>
        </w:rPr>
        <w:t>:</w:t>
      </w:r>
    </w:p>
    <w:p w:rsidR="00642984" w:rsidRDefault="00984E22" w:rsidP="00642984">
      <w:pPr>
        <w:autoSpaceDE w:val="0"/>
        <w:autoSpaceDN w:val="0"/>
        <w:adjustRightInd w:val="0"/>
        <w:spacing w:after="0" w:line="240" w:lineRule="auto"/>
        <w:jc w:val="both"/>
      </w:pPr>
      <w:hyperlink r:id="rId188" w:history="1">
        <w:r w:rsidR="00642984" w:rsidRPr="009E6109">
          <w:rPr>
            <w:rStyle w:val="Hypertextovodkaz"/>
            <w:rFonts w:cs="Arial"/>
            <w:szCs w:val="20"/>
          </w:rPr>
          <w:t>http://www.msmt.cz/vzdelavani/skolstvi-v-cr/statistika-skolstvi/ceske-skolstvi-v-mezinarodnim-srovnani-1</w:t>
        </w:r>
      </w:hyperlink>
    </w:p>
    <w:p w:rsidR="00642984" w:rsidRDefault="00642984" w:rsidP="00642984">
      <w:pPr>
        <w:autoSpaceDE w:val="0"/>
        <w:autoSpaceDN w:val="0"/>
        <w:adjustRightInd w:val="0"/>
        <w:spacing w:after="0" w:line="240" w:lineRule="auto"/>
        <w:jc w:val="both"/>
      </w:pPr>
    </w:p>
    <w:p w:rsidR="00306953" w:rsidRPr="009E6109" w:rsidRDefault="000611C2" w:rsidP="00642984">
      <w:pPr>
        <w:autoSpaceDE w:val="0"/>
        <w:autoSpaceDN w:val="0"/>
        <w:adjustRightInd w:val="0"/>
        <w:spacing w:after="0" w:line="240" w:lineRule="auto"/>
        <w:jc w:val="both"/>
        <w:rPr>
          <w:rFonts w:eastAsia="NovareseCEBook" w:cs="Arial"/>
          <w:szCs w:val="20"/>
        </w:rPr>
      </w:pPr>
      <w:r>
        <w:rPr>
          <w:rFonts w:cs="Arial"/>
          <w:color w:val="000000"/>
          <w:szCs w:val="20"/>
        </w:rPr>
        <w:t>MŠMT (2016 a starší</w:t>
      </w:r>
      <w:r w:rsidR="00306953" w:rsidRPr="009E6109">
        <w:rPr>
          <w:rFonts w:cs="Arial"/>
          <w:color w:val="000000"/>
          <w:szCs w:val="20"/>
        </w:rPr>
        <w:t xml:space="preserve">). </w:t>
      </w:r>
      <w:r w:rsidR="00306953" w:rsidRPr="009E6109">
        <w:rPr>
          <w:rFonts w:cs="Arial"/>
          <w:i/>
          <w:color w:val="000000"/>
          <w:szCs w:val="20"/>
        </w:rPr>
        <w:t>Statistická ročenka školství – soubor ekonomických ukazatelů</w:t>
      </w:r>
      <w:r w:rsidR="001042AC">
        <w:rPr>
          <w:rFonts w:cs="Arial"/>
          <w:color w:val="000000"/>
          <w:szCs w:val="20"/>
        </w:rPr>
        <w:t>. Dostupné </w:t>
      </w:r>
      <w:r w:rsidR="00306953" w:rsidRPr="009E6109">
        <w:rPr>
          <w:rFonts w:cs="Arial"/>
          <w:color w:val="000000"/>
          <w:szCs w:val="20"/>
        </w:rPr>
        <w:t>z</w:t>
      </w:r>
      <w:r w:rsidR="0079537E">
        <w:rPr>
          <w:rFonts w:cs="Arial"/>
          <w:color w:val="000000"/>
          <w:szCs w:val="20"/>
        </w:rPr>
        <w:t> </w:t>
      </w:r>
      <w:r w:rsidR="008A5827">
        <w:rPr>
          <w:rFonts w:cs="Arial"/>
          <w:szCs w:val="20"/>
        </w:rPr>
        <w:t>(30. 8</w:t>
      </w:r>
      <w:r w:rsidR="0079537E" w:rsidRPr="00FA7353">
        <w:rPr>
          <w:rFonts w:cs="Arial"/>
          <w:szCs w:val="20"/>
        </w:rPr>
        <w:t>. 2016)</w:t>
      </w:r>
      <w:r w:rsidR="00306953" w:rsidRPr="009E6109">
        <w:rPr>
          <w:rFonts w:cs="Arial"/>
          <w:color w:val="000000"/>
          <w:szCs w:val="20"/>
        </w:rPr>
        <w:t xml:space="preserve">: </w:t>
      </w:r>
      <w:hyperlink r:id="rId189" w:history="1">
        <w:r w:rsidRPr="00D066CA">
          <w:rPr>
            <w:rStyle w:val="Hypertextovodkaz"/>
          </w:rPr>
          <w:t>http://www.msmt.cz/vzdelavani/skolstvi-v-cr/statistika-skolstvi/statisticka-rocenka-skolstvi-soubor-ekonomickcyh-ukazatelu</w:t>
        </w:r>
      </w:hyperlink>
      <w:r>
        <w:t xml:space="preserve"> </w:t>
      </w:r>
    </w:p>
    <w:p w:rsidR="00306953" w:rsidRPr="009E6109" w:rsidRDefault="00306953" w:rsidP="00306953">
      <w:pPr>
        <w:autoSpaceDE w:val="0"/>
        <w:autoSpaceDN w:val="0"/>
        <w:adjustRightInd w:val="0"/>
        <w:spacing w:after="0" w:line="240" w:lineRule="auto"/>
        <w:jc w:val="both"/>
        <w:rPr>
          <w:rFonts w:eastAsia="NovareseCEBook" w:cs="Arial"/>
          <w:szCs w:val="20"/>
        </w:rPr>
      </w:pPr>
    </w:p>
    <w:p w:rsidR="0079537E" w:rsidRDefault="000611C2" w:rsidP="008A5827">
      <w:pPr>
        <w:keepNext/>
        <w:spacing w:after="0" w:line="240" w:lineRule="auto"/>
        <w:rPr>
          <w:rFonts w:cs="Arial"/>
          <w:color w:val="000000"/>
          <w:szCs w:val="20"/>
        </w:rPr>
      </w:pPr>
      <w:r>
        <w:rPr>
          <w:rFonts w:cs="Arial"/>
          <w:color w:val="000000"/>
          <w:szCs w:val="20"/>
        </w:rPr>
        <w:lastRenderedPageBreak/>
        <w:t>MŠMT (2016 a starší</w:t>
      </w:r>
      <w:r w:rsidR="00306953" w:rsidRPr="009E6109">
        <w:rPr>
          <w:rFonts w:cs="Arial"/>
          <w:color w:val="000000"/>
          <w:szCs w:val="20"/>
        </w:rPr>
        <w:t xml:space="preserve">). </w:t>
      </w:r>
      <w:r w:rsidR="00306953" w:rsidRPr="009E6109">
        <w:rPr>
          <w:rFonts w:cs="Arial"/>
          <w:i/>
          <w:color w:val="000000"/>
          <w:szCs w:val="20"/>
        </w:rPr>
        <w:t>Statistická ročenka školství - Zaměstnanci a mzdové prostředk</w:t>
      </w:r>
      <w:r>
        <w:rPr>
          <w:rFonts w:cs="Arial"/>
          <w:i/>
          <w:color w:val="000000"/>
          <w:szCs w:val="20"/>
        </w:rPr>
        <w:t>y</w:t>
      </w:r>
      <w:r w:rsidR="00306953" w:rsidRPr="009E6109">
        <w:rPr>
          <w:rFonts w:cs="Arial"/>
          <w:color w:val="000000"/>
          <w:szCs w:val="20"/>
        </w:rPr>
        <w:t xml:space="preserve">. </w:t>
      </w:r>
    </w:p>
    <w:p w:rsidR="00306953" w:rsidRDefault="00306953" w:rsidP="00306953">
      <w:r w:rsidRPr="009E6109">
        <w:rPr>
          <w:rFonts w:cs="Arial"/>
          <w:color w:val="000000"/>
          <w:szCs w:val="20"/>
        </w:rPr>
        <w:t>Dostupné z</w:t>
      </w:r>
      <w:r w:rsidR="0079537E">
        <w:rPr>
          <w:rFonts w:cs="Arial"/>
          <w:color w:val="000000"/>
          <w:szCs w:val="20"/>
        </w:rPr>
        <w:t> </w:t>
      </w:r>
      <w:r w:rsidR="008A5827">
        <w:rPr>
          <w:rFonts w:cs="Arial"/>
          <w:szCs w:val="20"/>
        </w:rPr>
        <w:t>(30. 8</w:t>
      </w:r>
      <w:r w:rsidR="0079537E" w:rsidRPr="00FA7353">
        <w:rPr>
          <w:rFonts w:cs="Arial"/>
          <w:szCs w:val="20"/>
        </w:rPr>
        <w:t>. 2016)</w:t>
      </w:r>
      <w:r w:rsidRPr="009E6109">
        <w:rPr>
          <w:rFonts w:cs="Arial"/>
          <w:color w:val="000000"/>
          <w:szCs w:val="20"/>
        </w:rPr>
        <w:t xml:space="preserve">: </w:t>
      </w:r>
      <w:hyperlink r:id="rId190" w:history="1">
        <w:r w:rsidR="000611C2" w:rsidRPr="00D066CA">
          <w:rPr>
            <w:rStyle w:val="Hypertextovodkaz"/>
          </w:rPr>
          <w:t>http://www.msmt.cz/vzdelavani/skolstvi-v-cr/statistika-skolstvi/statistickerocenky-skolstvi-zamestnanci-a-mzdove-prostredky</w:t>
        </w:r>
      </w:hyperlink>
      <w:r w:rsidR="000611C2">
        <w:t xml:space="preserve"> </w:t>
      </w:r>
    </w:p>
    <w:p w:rsidR="00306953" w:rsidRPr="009E6109" w:rsidRDefault="000611C2" w:rsidP="00885827">
      <w:pPr>
        <w:rPr>
          <w:rFonts w:cs="Arial"/>
          <w:szCs w:val="20"/>
        </w:rPr>
      </w:pPr>
      <w:r>
        <w:t xml:space="preserve">MŠMT (2016). </w:t>
      </w:r>
      <w:r w:rsidRPr="00642984">
        <w:rPr>
          <w:i/>
        </w:rPr>
        <w:t>Vývojová ročenka školství</w:t>
      </w:r>
      <w:r>
        <w:t xml:space="preserve">. </w:t>
      </w:r>
      <w:r w:rsidRPr="009E6109">
        <w:rPr>
          <w:rFonts w:cs="Arial"/>
          <w:color w:val="000000"/>
          <w:szCs w:val="20"/>
        </w:rPr>
        <w:t>Dostupné z</w:t>
      </w:r>
      <w:r>
        <w:rPr>
          <w:rFonts w:cs="Arial"/>
          <w:color w:val="000000"/>
          <w:szCs w:val="20"/>
        </w:rPr>
        <w:t> </w:t>
      </w:r>
      <w:r w:rsidR="008A5827">
        <w:rPr>
          <w:rFonts w:cs="Arial"/>
          <w:szCs w:val="20"/>
        </w:rPr>
        <w:t>(30. 8</w:t>
      </w:r>
      <w:r w:rsidRPr="00FA7353">
        <w:rPr>
          <w:rFonts w:cs="Arial"/>
          <w:szCs w:val="20"/>
        </w:rPr>
        <w:t>. 2016)</w:t>
      </w:r>
      <w:r w:rsidRPr="009E6109">
        <w:rPr>
          <w:rFonts w:cs="Arial"/>
          <w:color w:val="000000"/>
          <w:szCs w:val="20"/>
        </w:rPr>
        <w:t>:</w:t>
      </w:r>
      <w:r w:rsidRPr="000611C2">
        <w:t xml:space="preserve"> </w:t>
      </w:r>
      <w:hyperlink r:id="rId191" w:history="1">
        <w:r w:rsidRPr="00D066CA">
          <w:rPr>
            <w:rStyle w:val="Hypertextovodkaz"/>
            <w:rFonts w:cs="Arial"/>
            <w:szCs w:val="20"/>
          </w:rPr>
          <w:t>http://www.msmt.cz/vzdelavani/skolstvi-v-cr/statistika-skolstvi/statisticka-rocenka-skolstvi-vyvojova-rocenka</w:t>
        </w:r>
      </w:hyperlink>
      <w:r>
        <w:rPr>
          <w:rFonts w:cs="Arial"/>
          <w:color w:val="000000"/>
          <w:szCs w:val="20"/>
        </w:rPr>
        <w:t xml:space="preserve"> </w:t>
      </w:r>
      <w:r w:rsidR="00306953" w:rsidRPr="009E6109">
        <w:rPr>
          <w:rFonts w:cs="Arial"/>
          <w:szCs w:val="20"/>
        </w:rPr>
        <w:t xml:space="preserve"> </w:t>
      </w:r>
    </w:p>
    <w:p w:rsidR="00306953" w:rsidRDefault="00306953" w:rsidP="00306953">
      <w:pPr>
        <w:autoSpaceDE w:val="0"/>
        <w:autoSpaceDN w:val="0"/>
        <w:adjustRightInd w:val="0"/>
        <w:spacing w:after="0" w:line="240" w:lineRule="auto"/>
        <w:rPr>
          <w:rStyle w:val="Hypertextovodkaz"/>
          <w:rFonts w:cs="Arial"/>
          <w:szCs w:val="20"/>
        </w:rPr>
      </w:pPr>
      <w:r w:rsidRPr="009E6109">
        <w:rPr>
          <w:rFonts w:eastAsia="ChaparralPro-Regular" w:cs="Arial"/>
          <w:szCs w:val="20"/>
        </w:rPr>
        <w:t xml:space="preserve">Münich, D. </w:t>
      </w:r>
      <w:r w:rsidRPr="009E6109">
        <w:rPr>
          <w:rFonts w:cs="Arial"/>
          <w:szCs w:val="20"/>
        </w:rPr>
        <w:t>&amp;</w:t>
      </w:r>
      <w:r w:rsidRPr="009E6109">
        <w:rPr>
          <w:rFonts w:eastAsia="ChaparralPro-Regular" w:cs="Arial"/>
          <w:szCs w:val="20"/>
        </w:rPr>
        <w:t xml:space="preserve"> Straka, J. (2012). </w:t>
      </w:r>
      <w:r w:rsidRPr="009E6109">
        <w:rPr>
          <w:rFonts w:eastAsia="ChaparralPro-Regular" w:cs="Arial"/>
          <w:i/>
          <w:szCs w:val="20"/>
        </w:rPr>
        <w:t>Být či nebýt učitelem: platy českých učitelů pohledem nákladů ušlých příležitostí a širší souvislostí</w:t>
      </w:r>
      <w:r w:rsidRPr="009E6109">
        <w:rPr>
          <w:rFonts w:eastAsia="ChaparralPro-Regular" w:cs="Arial"/>
          <w:szCs w:val="20"/>
        </w:rPr>
        <w:t xml:space="preserve">. </w:t>
      </w:r>
      <w:r w:rsidRPr="009E6109">
        <w:rPr>
          <w:rFonts w:cs="Arial"/>
          <w:color w:val="000000"/>
          <w:szCs w:val="20"/>
        </w:rPr>
        <w:t>Krátká studie 5/2012. Národohospodářský ústav AVČR</w:t>
      </w:r>
      <w:r w:rsidR="003E19E7">
        <w:rPr>
          <w:rFonts w:cs="Arial"/>
          <w:color w:val="000000"/>
          <w:szCs w:val="20"/>
        </w:rPr>
        <w:t xml:space="preserve">, </w:t>
      </w:r>
      <w:proofErr w:type="gramStart"/>
      <w:r w:rsidR="003E19E7">
        <w:rPr>
          <w:rFonts w:cs="Arial"/>
          <w:color w:val="000000"/>
          <w:szCs w:val="20"/>
        </w:rPr>
        <w:t>v.v.</w:t>
      </w:r>
      <w:proofErr w:type="gramEnd"/>
      <w:r w:rsidR="003E19E7">
        <w:rPr>
          <w:rFonts w:cs="Arial"/>
          <w:color w:val="000000"/>
          <w:szCs w:val="20"/>
        </w:rPr>
        <w:t>i.</w:t>
      </w:r>
      <w:r w:rsidRPr="009E6109">
        <w:rPr>
          <w:rFonts w:cs="Arial"/>
          <w:color w:val="000000"/>
          <w:szCs w:val="20"/>
        </w:rPr>
        <w:t>. Dostupné</w:t>
      </w:r>
      <w:r w:rsidR="008A5827">
        <w:rPr>
          <w:rFonts w:eastAsia="ChaparralPro-Regular" w:cs="Arial"/>
          <w:szCs w:val="20"/>
        </w:rPr>
        <w:t> </w:t>
      </w:r>
      <w:r w:rsidRPr="009E6109">
        <w:rPr>
          <w:rFonts w:eastAsia="ChaparralPro-Regular" w:cs="Arial"/>
          <w:szCs w:val="20"/>
        </w:rPr>
        <w:t>z</w:t>
      </w:r>
      <w:r w:rsidR="0079537E">
        <w:rPr>
          <w:rFonts w:eastAsia="ChaparralPro-Regular" w:cs="Arial"/>
          <w:szCs w:val="20"/>
        </w:rPr>
        <w:t> </w:t>
      </w:r>
      <w:r w:rsidR="008A5827">
        <w:rPr>
          <w:rFonts w:cs="Arial"/>
          <w:szCs w:val="20"/>
        </w:rPr>
        <w:t>(30. 8</w:t>
      </w:r>
      <w:r w:rsidR="0079537E" w:rsidRPr="00FA7353">
        <w:rPr>
          <w:rFonts w:cs="Arial"/>
          <w:szCs w:val="20"/>
        </w:rPr>
        <w:t>. 2016)</w:t>
      </w:r>
      <w:r w:rsidRPr="009E6109">
        <w:rPr>
          <w:rFonts w:eastAsia="ChaparralPro-Regular" w:cs="Arial"/>
          <w:szCs w:val="20"/>
        </w:rPr>
        <w:t xml:space="preserve">: </w:t>
      </w:r>
      <w:hyperlink r:id="rId192" w:history="1">
        <w:r w:rsidRPr="009E6109">
          <w:rPr>
            <w:rStyle w:val="Hypertextovodkaz"/>
            <w:rFonts w:cs="Arial"/>
            <w:szCs w:val="20"/>
          </w:rPr>
          <w:t>http://idea.cerge-ei.cz/documents/kratka_studie_2012_05.pdf</w:t>
        </w:r>
      </w:hyperlink>
      <w:r w:rsidRPr="009E6109">
        <w:rPr>
          <w:rStyle w:val="Hypertextovodkaz"/>
          <w:rFonts w:cs="Arial"/>
          <w:szCs w:val="20"/>
        </w:rPr>
        <w:t xml:space="preserve"> </w:t>
      </w:r>
    </w:p>
    <w:p w:rsidR="003E19E7" w:rsidRDefault="003E19E7" w:rsidP="00306953">
      <w:pPr>
        <w:autoSpaceDE w:val="0"/>
        <w:autoSpaceDN w:val="0"/>
        <w:adjustRightInd w:val="0"/>
        <w:spacing w:after="0" w:line="240" w:lineRule="auto"/>
        <w:rPr>
          <w:rStyle w:val="Hypertextovodkaz"/>
          <w:rFonts w:cs="Arial"/>
          <w:szCs w:val="20"/>
        </w:rPr>
      </w:pPr>
    </w:p>
    <w:p w:rsidR="00306953" w:rsidRPr="003E19E7" w:rsidRDefault="003E19E7" w:rsidP="003E19E7">
      <w:pPr>
        <w:rPr>
          <w:rFonts w:cs="Arial"/>
          <w:szCs w:val="20"/>
        </w:rPr>
      </w:pPr>
      <w:proofErr w:type="spellStart"/>
      <w:r w:rsidRPr="009E6109">
        <w:rPr>
          <w:rFonts w:eastAsia="ChaparralPro-Regular" w:cs="Arial"/>
          <w:szCs w:val="20"/>
        </w:rPr>
        <w:t>Münich</w:t>
      </w:r>
      <w:proofErr w:type="spellEnd"/>
      <w:r w:rsidRPr="009E6109">
        <w:rPr>
          <w:rFonts w:eastAsia="ChaparralPro-Regular" w:cs="Arial"/>
          <w:szCs w:val="20"/>
        </w:rPr>
        <w:t>, D.</w:t>
      </w:r>
      <w:r>
        <w:rPr>
          <w:rFonts w:eastAsia="ChaparralPro-Regular" w:cs="Arial"/>
          <w:szCs w:val="20"/>
        </w:rPr>
        <w:t xml:space="preserve">, </w:t>
      </w:r>
      <w:proofErr w:type="spellStart"/>
      <w:r>
        <w:rPr>
          <w:rFonts w:eastAsia="ChaparralPro-Regular" w:cs="Arial"/>
          <w:szCs w:val="20"/>
        </w:rPr>
        <w:t>Perignáthová</w:t>
      </w:r>
      <w:proofErr w:type="spellEnd"/>
      <w:r>
        <w:rPr>
          <w:rFonts w:eastAsia="ChaparralPro-Regular" w:cs="Arial"/>
          <w:szCs w:val="20"/>
        </w:rPr>
        <w:t>, M., Smolka, V</w:t>
      </w:r>
      <w:r w:rsidRPr="003E19E7">
        <w:rPr>
          <w:rFonts w:cs="Arial"/>
          <w:szCs w:val="20"/>
        </w:rPr>
        <w:t xml:space="preserve">., </w:t>
      </w:r>
      <w:r w:rsidRPr="009E6109">
        <w:rPr>
          <w:rFonts w:cs="Arial"/>
          <w:szCs w:val="20"/>
        </w:rPr>
        <w:t>&amp;</w:t>
      </w:r>
      <w:r>
        <w:rPr>
          <w:rFonts w:cs="Arial"/>
          <w:szCs w:val="20"/>
        </w:rPr>
        <w:t xml:space="preserve"> Zapletalová, L. (2015). </w:t>
      </w:r>
      <w:r w:rsidRPr="003E19E7">
        <w:rPr>
          <w:rFonts w:cs="Arial"/>
          <w:szCs w:val="20"/>
        </w:rPr>
        <w:t>Platy učitelů českých základních škol: setrvale nízké a neatraktivní</w:t>
      </w:r>
      <w:r>
        <w:rPr>
          <w:rFonts w:cs="Arial"/>
          <w:szCs w:val="20"/>
        </w:rPr>
        <w:t xml:space="preserve">. </w:t>
      </w:r>
      <w:r w:rsidRPr="009E6109">
        <w:rPr>
          <w:rFonts w:cs="Arial"/>
          <w:color w:val="000000"/>
          <w:szCs w:val="20"/>
        </w:rPr>
        <w:t>Národohospodářský ústav AVČR</w:t>
      </w:r>
      <w:r>
        <w:rPr>
          <w:rFonts w:cs="Arial"/>
          <w:color w:val="000000"/>
          <w:szCs w:val="20"/>
        </w:rPr>
        <w:t xml:space="preserve">, </w:t>
      </w:r>
      <w:proofErr w:type="gramStart"/>
      <w:r>
        <w:rPr>
          <w:rFonts w:cs="Arial"/>
          <w:color w:val="000000"/>
          <w:szCs w:val="20"/>
        </w:rPr>
        <w:t>v.v.</w:t>
      </w:r>
      <w:proofErr w:type="gramEnd"/>
      <w:r>
        <w:rPr>
          <w:rFonts w:cs="Arial"/>
          <w:color w:val="000000"/>
          <w:szCs w:val="20"/>
        </w:rPr>
        <w:t xml:space="preserve">i. </w:t>
      </w:r>
      <w:r w:rsidRPr="009E6109">
        <w:rPr>
          <w:rFonts w:cs="Arial"/>
          <w:color w:val="000000"/>
          <w:szCs w:val="20"/>
        </w:rPr>
        <w:t>Dostupné</w:t>
      </w:r>
      <w:r w:rsidRPr="009E6109">
        <w:rPr>
          <w:rFonts w:eastAsia="ChaparralPro-Regular" w:cs="Arial"/>
          <w:szCs w:val="20"/>
        </w:rPr>
        <w:t xml:space="preserve"> z</w:t>
      </w:r>
      <w:r>
        <w:rPr>
          <w:rFonts w:eastAsia="ChaparralPro-Regular" w:cs="Arial"/>
          <w:szCs w:val="20"/>
        </w:rPr>
        <w:t> </w:t>
      </w:r>
      <w:r w:rsidR="008A5827">
        <w:rPr>
          <w:rFonts w:cs="Arial"/>
          <w:szCs w:val="20"/>
        </w:rPr>
        <w:t>(30. 8</w:t>
      </w:r>
      <w:r w:rsidRPr="00FA7353">
        <w:rPr>
          <w:rFonts w:cs="Arial"/>
          <w:szCs w:val="20"/>
        </w:rPr>
        <w:t>. 2016)</w:t>
      </w:r>
      <w:r w:rsidRPr="009E6109">
        <w:rPr>
          <w:rFonts w:eastAsia="ChaparralPro-Regular" w:cs="Arial"/>
          <w:szCs w:val="20"/>
        </w:rPr>
        <w:t>:</w:t>
      </w:r>
      <w:r>
        <w:rPr>
          <w:rFonts w:eastAsia="ChaparralPro-Regular" w:cs="Arial"/>
          <w:szCs w:val="20"/>
        </w:rPr>
        <w:t xml:space="preserve"> </w:t>
      </w:r>
      <w:hyperlink r:id="rId193" w:history="1">
        <w:r w:rsidR="00784F0A" w:rsidRPr="00784F0A">
          <w:rPr>
            <w:rStyle w:val="Hypertextovodkaz"/>
            <w:rFonts w:cs="Arial"/>
            <w:szCs w:val="20"/>
          </w:rPr>
          <w:t>http://idea.cerge-ei.cz/files/IDEA_Studie_4_2015_Platy_ucitelu.pdf</w:t>
        </w:r>
      </w:hyperlink>
    </w:p>
    <w:p w:rsidR="00306953" w:rsidRPr="009E6109" w:rsidRDefault="00306953" w:rsidP="0079537E">
      <w:pPr>
        <w:spacing w:after="120"/>
        <w:rPr>
          <w:rFonts w:cs="Arial"/>
          <w:szCs w:val="20"/>
        </w:rPr>
      </w:pPr>
      <w:r w:rsidRPr="009E6109">
        <w:rPr>
          <w:rFonts w:cs="Arial"/>
          <w:color w:val="000000"/>
          <w:szCs w:val="20"/>
        </w:rPr>
        <w:t xml:space="preserve">OECD (2014). </w:t>
      </w:r>
      <w:r w:rsidRPr="009E6109">
        <w:rPr>
          <w:rFonts w:cs="Arial"/>
          <w:i/>
          <w:color w:val="000000"/>
          <w:szCs w:val="20"/>
        </w:rPr>
        <w:t>Education at a Glance 2014: OECD Indicators</w:t>
      </w:r>
      <w:r w:rsidRPr="009E6109">
        <w:rPr>
          <w:rFonts w:cs="Arial"/>
          <w:color w:val="000000"/>
          <w:szCs w:val="20"/>
        </w:rPr>
        <w:t>. P</w:t>
      </w:r>
      <w:r w:rsidR="008A5827">
        <w:rPr>
          <w:rFonts w:cs="Arial"/>
          <w:color w:val="000000"/>
          <w:szCs w:val="20"/>
        </w:rPr>
        <w:t>aris: OECD Publishing. Dostupné </w:t>
      </w:r>
      <w:r w:rsidRPr="009E6109">
        <w:rPr>
          <w:rFonts w:cs="Arial"/>
          <w:color w:val="000000"/>
          <w:szCs w:val="20"/>
        </w:rPr>
        <w:t>z</w:t>
      </w:r>
      <w:r w:rsidR="0079537E">
        <w:rPr>
          <w:rFonts w:cs="Arial"/>
          <w:color w:val="000000"/>
          <w:szCs w:val="20"/>
        </w:rPr>
        <w:t> </w:t>
      </w:r>
      <w:r w:rsidR="008A5827">
        <w:rPr>
          <w:rFonts w:cs="Arial"/>
          <w:szCs w:val="20"/>
        </w:rPr>
        <w:t>(30. 8</w:t>
      </w:r>
      <w:r w:rsidR="0079537E" w:rsidRPr="00FA7353">
        <w:rPr>
          <w:rFonts w:cs="Arial"/>
          <w:szCs w:val="20"/>
        </w:rPr>
        <w:t>. 2016)</w:t>
      </w:r>
      <w:r w:rsidRPr="009E6109">
        <w:rPr>
          <w:rFonts w:cs="Arial"/>
          <w:color w:val="000000"/>
          <w:szCs w:val="20"/>
        </w:rPr>
        <w:t xml:space="preserve">: </w:t>
      </w:r>
      <w:hyperlink r:id="rId194" w:history="1">
        <w:r w:rsidRPr="009E6109">
          <w:rPr>
            <w:rStyle w:val="Hypertextovodkaz"/>
            <w:rFonts w:cs="Arial"/>
            <w:szCs w:val="20"/>
          </w:rPr>
          <w:t>http://dx.doi.org/10.1787/eag-2014-en</w:t>
        </w:r>
      </w:hyperlink>
      <w:r w:rsidRPr="009E6109">
        <w:rPr>
          <w:rFonts w:cs="Arial"/>
          <w:szCs w:val="20"/>
        </w:rPr>
        <w:t xml:space="preserve"> </w:t>
      </w:r>
    </w:p>
    <w:p w:rsidR="00306953" w:rsidRPr="009E6109" w:rsidRDefault="00306953" w:rsidP="0079537E">
      <w:pPr>
        <w:spacing w:after="120"/>
        <w:rPr>
          <w:rFonts w:cs="Arial"/>
          <w:color w:val="000000"/>
          <w:szCs w:val="20"/>
        </w:rPr>
      </w:pPr>
      <w:r w:rsidRPr="009E6109">
        <w:rPr>
          <w:rFonts w:cs="Arial"/>
          <w:color w:val="000000"/>
          <w:szCs w:val="20"/>
        </w:rPr>
        <w:t xml:space="preserve">OECD (2014b). OECD (2014b). </w:t>
      </w:r>
      <w:r w:rsidRPr="009E6109">
        <w:rPr>
          <w:rFonts w:cs="Arial"/>
          <w:i/>
          <w:color w:val="000000"/>
          <w:szCs w:val="20"/>
        </w:rPr>
        <w:t>TALIS 2013 Results: An international perspective on teaching and learning</w:t>
      </w:r>
      <w:r w:rsidRPr="009E6109">
        <w:rPr>
          <w:rFonts w:cs="Arial"/>
          <w:color w:val="000000"/>
          <w:szCs w:val="20"/>
        </w:rPr>
        <w:t>. Paris: OECD Publishing. Dostupné z</w:t>
      </w:r>
      <w:r w:rsidR="0079537E">
        <w:rPr>
          <w:rFonts w:cs="Arial"/>
          <w:color w:val="000000"/>
          <w:szCs w:val="20"/>
        </w:rPr>
        <w:t xml:space="preserve"> </w:t>
      </w:r>
      <w:r w:rsidR="008A5827">
        <w:rPr>
          <w:rFonts w:cs="Arial"/>
          <w:szCs w:val="20"/>
        </w:rPr>
        <w:t>(30. 8</w:t>
      </w:r>
      <w:r w:rsidR="0079537E" w:rsidRPr="00FA7353">
        <w:rPr>
          <w:rFonts w:cs="Arial"/>
          <w:szCs w:val="20"/>
        </w:rPr>
        <w:t>. 2016)</w:t>
      </w:r>
      <w:r w:rsidRPr="009E6109">
        <w:rPr>
          <w:rFonts w:cs="Arial"/>
          <w:color w:val="000000"/>
          <w:szCs w:val="20"/>
        </w:rPr>
        <w:t xml:space="preserve">: </w:t>
      </w:r>
      <w:hyperlink r:id="rId195" w:history="1">
        <w:r w:rsidRPr="009E6109">
          <w:rPr>
            <w:rStyle w:val="Hypertextovodkaz"/>
            <w:rFonts w:cs="Arial"/>
            <w:szCs w:val="20"/>
          </w:rPr>
          <w:t>http://dx.doi.org/10.1787/9789264196261-en</w:t>
        </w:r>
      </w:hyperlink>
      <w:r w:rsidRPr="009E6109">
        <w:rPr>
          <w:rFonts w:cs="Arial"/>
          <w:color w:val="000000"/>
          <w:szCs w:val="20"/>
        </w:rPr>
        <w:t xml:space="preserve"> </w:t>
      </w:r>
    </w:p>
    <w:p w:rsidR="00306953" w:rsidRPr="009E6109" w:rsidRDefault="00306953" w:rsidP="00306953">
      <w:pPr>
        <w:autoSpaceDE w:val="0"/>
        <w:autoSpaceDN w:val="0"/>
        <w:adjustRightInd w:val="0"/>
        <w:spacing w:after="0" w:line="240" w:lineRule="auto"/>
        <w:rPr>
          <w:rFonts w:cs="Arial"/>
          <w:szCs w:val="20"/>
        </w:rPr>
      </w:pPr>
      <w:r w:rsidRPr="009E6109">
        <w:rPr>
          <w:rFonts w:cs="Arial"/>
          <w:szCs w:val="20"/>
        </w:rPr>
        <w:t xml:space="preserve">OECD (2014c). </w:t>
      </w:r>
      <w:r w:rsidRPr="009E6109">
        <w:rPr>
          <w:rFonts w:cs="Arial"/>
          <w:i/>
          <w:szCs w:val="20"/>
        </w:rPr>
        <w:t xml:space="preserve">PISA 2012 </w:t>
      </w:r>
      <w:r w:rsidRPr="009E6109">
        <w:rPr>
          <w:rFonts w:cs="Arial"/>
          <w:i/>
          <w:iCs/>
          <w:szCs w:val="20"/>
        </w:rPr>
        <w:t xml:space="preserve">Results: What Students Know and Can Do, Student Performance in Mathematics, Reading and Science. </w:t>
      </w:r>
      <w:r w:rsidRPr="009E6109">
        <w:rPr>
          <w:rFonts w:cs="Arial"/>
          <w:szCs w:val="20"/>
        </w:rPr>
        <w:t xml:space="preserve">Volume l – revised edition. Paris: </w:t>
      </w:r>
      <w:r w:rsidR="008A5827">
        <w:rPr>
          <w:rFonts w:cs="Arial"/>
          <w:szCs w:val="20"/>
        </w:rPr>
        <w:t>PISA, OECD Publishing. Dostupné </w:t>
      </w:r>
      <w:r w:rsidRPr="009E6109">
        <w:rPr>
          <w:rFonts w:cs="Arial"/>
          <w:szCs w:val="20"/>
        </w:rPr>
        <w:t>z</w:t>
      </w:r>
      <w:r w:rsidR="008A5827">
        <w:rPr>
          <w:rFonts w:cs="Arial"/>
          <w:szCs w:val="20"/>
        </w:rPr>
        <w:t> (30.</w:t>
      </w:r>
      <w:r w:rsidR="00E433FB">
        <w:rPr>
          <w:rFonts w:cs="Arial"/>
          <w:szCs w:val="20"/>
        </w:rPr>
        <w:t> </w:t>
      </w:r>
      <w:r w:rsidR="008A5827">
        <w:rPr>
          <w:rFonts w:cs="Arial"/>
          <w:szCs w:val="20"/>
        </w:rPr>
        <w:t>8.</w:t>
      </w:r>
      <w:r w:rsidR="00E433FB">
        <w:t> </w:t>
      </w:r>
      <w:r w:rsidR="008A5827">
        <w:rPr>
          <w:rFonts w:cs="Arial"/>
          <w:szCs w:val="20"/>
        </w:rPr>
        <w:t>2016)</w:t>
      </w:r>
      <w:r w:rsidRPr="009E6109">
        <w:rPr>
          <w:rFonts w:cs="Arial"/>
          <w:szCs w:val="20"/>
        </w:rPr>
        <w:t xml:space="preserve">: </w:t>
      </w:r>
      <w:hyperlink r:id="rId196" w:history="1">
        <w:r w:rsidR="005660EA" w:rsidRPr="00415C6A">
          <w:rPr>
            <w:rStyle w:val="Hypertextovodkaz"/>
            <w:rFonts w:cs="Arial"/>
            <w:szCs w:val="20"/>
          </w:rPr>
          <w:t>h</w:t>
        </w:r>
        <w:r w:rsidR="005660EA" w:rsidRPr="00415C6A">
          <w:rPr>
            <w:rStyle w:val="Hypertextovodkaz"/>
            <w:rFonts w:eastAsia="MS Gothic"/>
          </w:rPr>
          <w:t>ttp://dx.doi.org/10.1787/9789264208780-en</w:t>
        </w:r>
      </w:hyperlink>
      <w:r w:rsidR="005660EA">
        <w:rPr>
          <w:rFonts w:cs="Arial"/>
          <w:szCs w:val="20"/>
        </w:rPr>
        <w:t xml:space="preserve"> </w:t>
      </w:r>
    </w:p>
    <w:p w:rsidR="00306953" w:rsidRPr="009E6109" w:rsidRDefault="00306953" w:rsidP="00306953">
      <w:pPr>
        <w:autoSpaceDE w:val="0"/>
        <w:autoSpaceDN w:val="0"/>
        <w:adjustRightInd w:val="0"/>
        <w:spacing w:after="0" w:line="240" w:lineRule="auto"/>
        <w:rPr>
          <w:rFonts w:cs="Arial"/>
          <w:szCs w:val="20"/>
        </w:rPr>
      </w:pPr>
    </w:p>
    <w:p w:rsidR="00172A21" w:rsidRPr="00141861" w:rsidRDefault="00306953" w:rsidP="00141861">
      <w:pPr>
        <w:spacing w:after="120"/>
        <w:rPr>
          <w:rFonts w:cs="Arial"/>
          <w:color w:val="000000"/>
          <w:szCs w:val="20"/>
        </w:rPr>
      </w:pPr>
      <w:proofErr w:type="gramStart"/>
      <w:r w:rsidRPr="009E6109">
        <w:rPr>
          <w:rFonts w:cs="Arial"/>
          <w:color w:val="000000"/>
          <w:szCs w:val="20"/>
          <w:lang w:val="en-US"/>
        </w:rPr>
        <w:t>OECD (2015).</w:t>
      </w:r>
      <w:proofErr w:type="gramEnd"/>
      <w:r w:rsidRPr="009E6109">
        <w:rPr>
          <w:rFonts w:cs="Arial"/>
          <w:color w:val="000000"/>
          <w:szCs w:val="20"/>
          <w:lang w:val="en-US"/>
        </w:rPr>
        <w:t xml:space="preserve"> </w:t>
      </w:r>
      <w:r w:rsidRPr="009E6109">
        <w:rPr>
          <w:rFonts w:cs="Arial"/>
          <w:i/>
          <w:color w:val="000000"/>
          <w:szCs w:val="20"/>
        </w:rPr>
        <w:t>Education at a Glance 2015: OECD Indicators</w:t>
      </w:r>
      <w:r w:rsidRPr="009E6109">
        <w:rPr>
          <w:rFonts w:cs="Arial"/>
          <w:color w:val="000000"/>
          <w:szCs w:val="20"/>
        </w:rPr>
        <w:t>. P</w:t>
      </w:r>
      <w:r w:rsidR="008A5827">
        <w:rPr>
          <w:rFonts w:cs="Arial"/>
          <w:color w:val="000000"/>
          <w:szCs w:val="20"/>
        </w:rPr>
        <w:t>aris: OECD Publishing. Dostupné </w:t>
      </w:r>
      <w:r w:rsidRPr="009E6109">
        <w:rPr>
          <w:rFonts w:cs="Arial"/>
          <w:color w:val="000000"/>
          <w:szCs w:val="20"/>
        </w:rPr>
        <w:t>z</w:t>
      </w:r>
      <w:r w:rsidR="0079537E">
        <w:rPr>
          <w:rFonts w:cs="Arial"/>
          <w:color w:val="000000"/>
          <w:szCs w:val="20"/>
        </w:rPr>
        <w:t> </w:t>
      </w:r>
      <w:r w:rsidR="008A5827">
        <w:rPr>
          <w:rFonts w:cs="Arial"/>
          <w:szCs w:val="20"/>
        </w:rPr>
        <w:t>(30. 8</w:t>
      </w:r>
      <w:r w:rsidR="0079537E" w:rsidRPr="00FA7353">
        <w:rPr>
          <w:rFonts w:cs="Arial"/>
          <w:szCs w:val="20"/>
        </w:rPr>
        <w:t>. 2016)</w:t>
      </w:r>
      <w:r w:rsidRPr="009E6109">
        <w:rPr>
          <w:rFonts w:cs="Arial"/>
          <w:color w:val="000000"/>
          <w:szCs w:val="20"/>
        </w:rPr>
        <w:t xml:space="preserve">: </w:t>
      </w:r>
      <w:r w:rsidR="005F4DF2" w:rsidRPr="005F4DF2">
        <w:rPr>
          <w:rStyle w:val="Hypertextovodkaz"/>
          <w:rFonts w:cs="Arial"/>
          <w:szCs w:val="20"/>
        </w:rPr>
        <w:t>http://dx.doi.org/10.1787/eag-2015-en</w:t>
      </w:r>
      <w:r w:rsidRPr="009E6109">
        <w:rPr>
          <w:rFonts w:cs="Arial"/>
          <w:color w:val="000000"/>
          <w:szCs w:val="20"/>
        </w:rPr>
        <w:t xml:space="preserve"> </w:t>
      </w:r>
    </w:p>
    <w:p w:rsidR="00306953" w:rsidRDefault="00306953" w:rsidP="00141861">
      <w:pPr>
        <w:pStyle w:val="Textpoznpodarou"/>
        <w:rPr>
          <w:rFonts w:ascii="Arial" w:hAnsi="Arial" w:cs="Arial"/>
          <w:color w:val="000000"/>
        </w:rPr>
      </w:pPr>
      <w:r w:rsidRPr="009E6109">
        <w:rPr>
          <w:rFonts w:ascii="Arial" w:hAnsi="Arial" w:cs="Arial"/>
          <w:color w:val="000000"/>
        </w:rPr>
        <w:t>Palečková J., Tomášek, V., Basl, J., Blažek, R., &amp; Boudová, S. (2013).</w:t>
      </w:r>
      <w:r w:rsidRPr="009E6109">
        <w:rPr>
          <w:rFonts w:ascii="Arial" w:hAnsi="Arial" w:cs="Arial"/>
        </w:rPr>
        <w:t xml:space="preserve"> </w:t>
      </w:r>
      <w:r w:rsidRPr="009E6109">
        <w:rPr>
          <w:rFonts w:ascii="Arial" w:hAnsi="Arial" w:cs="Arial"/>
          <w:i/>
          <w:color w:val="000000"/>
        </w:rPr>
        <w:t>Hlavní zjištění PISA 2012: Matematická gramotnost patnáctiletých žáků</w:t>
      </w:r>
      <w:r w:rsidRPr="009E6109">
        <w:rPr>
          <w:rFonts w:ascii="Arial" w:hAnsi="Arial" w:cs="Arial"/>
        </w:rPr>
        <w:t xml:space="preserve">. </w:t>
      </w:r>
      <w:r w:rsidRPr="009E6109">
        <w:rPr>
          <w:rFonts w:ascii="Arial" w:hAnsi="Arial" w:cs="Arial"/>
          <w:color w:val="000000"/>
        </w:rPr>
        <w:t>Praha: ČŠI. Dostupné z</w:t>
      </w:r>
      <w:r w:rsidR="0079537E">
        <w:rPr>
          <w:rFonts w:ascii="Arial" w:hAnsi="Arial" w:cs="Arial"/>
          <w:color w:val="000000"/>
        </w:rPr>
        <w:t xml:space="preserve"> </w:t>
      </w:r>
      <w:r w:rsidR="008A5827">
        <w:rPr>
          <w:rFonts w:ascii="Arial" w:hAnsi="Arial" w:cs="Arial"/>
        </w:rPr>
        <w:t>(30. 8</w:t>
      </w:r>
      <w:r w:rsidR="0079537E" w:rsidRPr="00FA7353">
        <w:rPr>
          <w:rFonts w:ascii="Arial" w:hAnsi="Arial" w:cs="Arial"/>
        </w:rPr>
        <w:t>. 2016)</w:t>
      </w:r>
      <w:r w:rsidRPr="009E6109">
        <w:rPr>
          <w:rFonts w:ascii="Arial" w:hAnsi="Arial" w:cs="Arial"/>
          <w:color w:val="000000"/>
        </w:rPr>
        <w:t xml:space="preserve">: </w:t>
      </w:r>
      <w:hyperlink r:id="rId197" w:history="1">
        <w:r w:rsidRPr="009E6109">
          <w:rPr>
            <w:rStyle w:val="Hypertextovodkaz"/>
            <w:rFonts w:ascii="Arial" w:hAnsi="Arial" w:cs="Arial"/>
          </w:rPr>
          <w:t>http://www.csicr.cz/Prave-menu/Mezinarodni-setreni/PISA/Narodni-zpravy/Hlavni-zjisteni-PISA-2012</w:t>
        </w:r>
      </w:hyperlink>
      <w:r w:rsidRPr="009E6109">
        <w:rPr>
          <w:rFonts w:ascii="Arial" w:hAnsi="Arial" w:cs="Arial"/>
          <w:color w:val="000000"/>
        </w:rPr>
        <w:t xml:space="preserve"> </w:t>
      </w:r>
    </w:p>
    <w:p w:rsidR="00141861" w:rsidRPr="00141861" w:rsidRDefault="00141861" w:rsidP="00141861">
      <w:pPr>
        <w:pStyle w:val="Textpoznpodarou"/>
        <w:rPr>
          <w:rFonts w:ascii="Arial" w:hAnsi="Arial" w:cs="Arial"/>
          <w:color w:val="000000"/>
        </w:rPr>
      </w:pPr>
    </w:p>
    <w:p w:rsidR="000611C2" w:rsidRPr="00576B24" w:rsidRDefault="00306953" w:rsidP="00576B24">
      <w:pPr>
        <w:rPr>
          <w:rFonts w:cs="Arial"/>
        </w:rPr>
      </w:pPr>
      <w:r w:rsidRPr="00576B24">
        <w:rPr>
          <w:rFonts w:cs="Arial"/>
        </w:rPr>
        <w:t xml:space="preserve">Žák, M. (2006) </w:t>
      </w:r>
      <w:r w:rsidRPr="00576B24">
        <w:rPr>
          <w:rFonts w:cs="Arial"/>
          <w:i/>
        </w:rPr>
        <w:t>Hospodářská politika</w:t>
      </w:r>
      <w:r w:rsidRPr="00576B24">
        <w:rPr>
          <w:rFonts w:cs="Arial"/>
        </w:rPr>
        <w:t>. Praha: VŠEM. Dostupné z</w:t>
      </w:r>
      <w:r w:rsidR="0079537E">
        <w:rPr>
          <w:rFonts w:cs="Arial"/>
        </w:rPr>
        <w:t xml:space="preserve"> </w:t>
      </w:r>
      <w:r w:rsidR="008A5827">
        <w:rPr>
          <w:rFonts w:cs="Arial"/>
          <w:szCs w:val="20"/>
        </w:rPr>
        <w:t>(30. 8</w:t>
      </w:r>
      <w:r w:rsidR="0079537E" w:rsidRPr="00FA7353">
        <w:rPr>
          <w:rFonts w:cs="Arial"/>
          <w:szCs w:val="20"/>
        </w:rPr>
        <w:t>. 2016)</w:t>
      </w:r>
      <w:r w:rsidRPr="00576B24">
        <w:rPr>
          <w:rFonts w:cs="Arial"/>
        </w:rPr>
        <w:t xml:space="preserve">: </w:t>
      </w:r>
      <w:hyperlink r:id="rId198" w:anchor="v=onepage&amp;q=defl%C3%A1tor%20hdp%20definice&amp;f=false" w:history="1">
        <w:r w:rsidRPr="00576B24">
          <w:rPr>
            <w:rStyle w:val="Hypertextovodkaz"/>
            <w:bCs/>
            <w:szCs w:val="20"/>
          </w:rPr>
          <w:t>https://books.google.cz/books?id=C-mzCmLKX1cC&amp;pg=PA18&amp;lpg=PA18&amp;dq=defl%C3%A1tor+hdp+definice&amp;source=bl&amp;ots=Tz6_uaLyib&amp;sig=Bz_BtEZYDi1cTeK_vrtl5NR-wZs&amp;hl=cs&amp;sa=X&amp;ved=0ahUKEwjDkOr5kJDMAhWJ6xoKHecTD-U4ChDoAQgwMAQ#v=onepage&amp;q=defl%C3%A1tor%20hdp%20definice&amp;f=false</w:t>
        </w:r>
      </w:hyperlink>
      <w:r w:rsidR="009E6109" w:rsidRPr="00576B24">
        <w:rPr>
          <w:rFonts w:cs="Arial"/>
        </w:rPr>
        <w:t xml:space="preserve">  </w:t>
      </w:r>
      <w:r w:rsidRPr="00576B24">
        <w:rPr>
          <w:rFonts w:cs="Arial"/>
        </w:rPr>
        <w:t xml:space="preserve"> </w:t>
      </w:r>
    </w:p>
    <w:sectPr w:rsidR="000611C2" w:rsidRPr="00576B24" w:rsidSect="006F5416">
      <w:headerReference w:type="even" r:id="rId199"/>
      <w:headerReference w:type="default" r:id="rId200"/>
      <w:footerReference w:type="even" r:id="rId201"/>
      <w:footerReference w:type="default" r:id="rId202"/>
      <w:pgSz w:w="11906" w:h="16838" w:code="9"/>
      <w:pgMar w:top="1134" w:right="1134" w:bottom="1418" w:left="1134" w:header="680"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24E4" w:rsidRDefault="005424E4" w:rsidP="00E71A58">
      <w:r>
        <w:separator/>
      </w:r>
    </w:p>
  </w:endnote>
  <w:endnote w:type="continuationSeparator" w:id="0">
    <w:p w:rsidR="005424E4" w:rsidRDefault="005424E4" w:rsidP="00E71A58">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haparralPro-Regular">
    <w:altName w:val="MS Mincho"/>
    <w:panose1 w:val="00000000000000000000"/>
    <w:charset w:val="80"/>
    <w:family w:val="roman"/>
    <w:notTrueType/>
    <w:pitch w:val="default"/>
    <w:sig w:usb0="00000001" w:usb1="08070000" w:usb2="00000010" w:usb3="00000000" w:csb0="00020000" w:csb1="00000000"/>
  </w:font>
  <w:font w:name="NovareseCEBook">
    <w:altName w:val="MS Mincho"/>
    <w:panose1 w:val="00000000000000000000"/>
    <w:charset w:val="80"/>
    <w:family w:val="auto"/>
    <w:notTrueType/>
    <w:pitch w:val="default"/>
    <w:sig w:usb0="00000001" w:usb1="08070000" w:usb2="00000010" w:usb3="00000000" w:csb0="00020000" w:csb1="00000000"/>
  </w:font>
  <w:font w:name="NovareseCEMedium">
    <w:altName w:val="MS Mincho"/>
    <w:panose1 w:val="00000000000000000000"/>
    <w:charset w:val="80"/>
    <w:family w:val="auto"/>
    <w:notTrueType/>
    <w:pitch w:val="default"/>
    <w:sig w:usb0="00000001" w:usb1="08070000" w:usb2="00000010" w:usb3="00000000" w:csb0="00020000" w:csb1="00000000"/>
  </w:font>
  <w:font w:name="NovareseCEBook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4E4" w:rsidRPr="00932443" w:rsidRDefault="00984E22" w:rsidP="00A418BC">
    <w:pPr>
      <w:pStyle w:val="Zpat"/>
      <w:rPr>
        <w:szCs w:val="16"/>
      </w:rPr>
    </w:pPr>
    <w:r>
      <w:rPr>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236.2pt;margin-top:-5.1pt;width:33.75pt;height:15.85pt;z-index:251658240;mso-position-horizontal:right">
          <v:imagedata r:id="rId1" o:title="CSU RGB CZ logo-01"/>
        </v:shape>
      </w:pict>
    </w:r>
    <w:r w:rsidRPr="00932443">
      <w:rPr>
        <w:szCs w:val="16"/>
      </w:rPr>
      <w:fldChar w:fldCharType="begin"/>
    </w:r>
    <w:r w:rsidR="005424E4" w:rsidRPr="00932443">
      <w:rPr>
        <w:szCs w:val="16"/>
      </w:rPr>
      <w:instrText>PAGE   \* MERGEFORMAT</w:instrText>
    </w:r>
    <w:r w:rsidRPr="00932443">
      <w:rPr>
        <w:szCs w:val="16"/>
      </w:rPr>
      <w:fldChar w:fldCharType="separate"/>
    </w:r>
    <w:r w:rsidR="00BA5EE1">
      <w:rPr>
        <w:szCs w:val="16"/>
      </w:rPr>
      <w:t>68</w:t>
    </w:r>
    <w:r w:rsidRPr="00932443">
      <w:rPr>
        <w:szCs w:val="16"/>
      </w:rPr>
      <w:fldChar w:fldCharType="end"/>
    </w:r>
    <w:r w:rsidR="005424E4" w:rsidRPr="00932443">
      <w:rPr>
        <w:szCs w:val="16"/>
      </w:rPr>
      <w:tab/>
    </w:r>
    <w:r w:rsidR="005424E4">
      <w:rPr>
        <w:szCs w:val="16"/>
      </w:rPr>
      <w:t>2016</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4E4" w:rsidRPr="00932443" w:rsidRDefault="00984E22" w:rsidP="00A418BC">
    <w:pPr>
      <w:pStyle w:val="Zpat"/>
      <w:rPr>
        <w:szCs w:val="16"/>
      </w:rPr>
    </w:pPr>
    <w:r>
      <w:rPr>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0;margin-top:-9.65pt;width:40.2pt;height:21.45pt;z-index:251657216;mso-position-horizontal:left">
          <v:imagedata r:id="rId1" o:title="CSU RGB CZ logo-02"/>
        </v:shape>
      </w:pict>
    </w:r>
    <w:r w:rsidR="005424E4" w:rsidRPr="00932443">
      <w:rPr>
        <w:szCs w:val="16"/>
      </w:rPr>
      <w:tab/>
    </w:r>
    <w:r w:rsidR="005424E4">
      <w:rPr>
        <w:rStyle w:val="ZpatChar"/>
        <w:szCs w:val="16"/>
      </w:rPr>
      <w:t>2016</w:t>
    </w:r>
    <w:r w:rsidR="005424E4" w:rsidRPr="00932443">
      <w:rPr>
        <w:szCs w:val="16"/>
      </w:rPr>
      <w:tab/>
    </w:r>
    <w:r w:rsidRPr="00932443">
      <w:rPr>
        <w:rStyle w:val="ZpatChar"/>
        <w:szCs w:val="16"/>
      </w:rPr>
      <w:fldChar w:fldCharType="begin"/>
    </w:r>
    <w:r w:rsidR="005424E4" w:rsidRPr="00932443">
      <w:rPr>
        <w:rStyle w:val="ZpatChar"/>
        <w:szCs w:val="16"/>
      </w:rPr>
      <w:instrText>PAGE   \* MERGEFORMAT</w:instrText>
    </w:r>
    <w:r w:rsidRPr="00932443">
      <w:rPr>
        <w:rStyle w:val="ZpatChar"/>
        <w:szCs w:val="16"/>
      </w:rPr>
      <w:fldChar w:fldCharType="separate"/>
    </w:r>
    <w:r w:rsidR="00BA5EE1">
      <w:rPr>
        <w:rStyle w:val="ZpatChar"/>
        <w:szCs w:val="16"/>
      </w:rPr>
      <w:t>67</w:t>
    </w:r>
    <w:r w:rsidRPr="00932443">
      <w:rPr>
        <w:rStyle w:val="ZpatChar"/>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24E4" w:rsidRDefault="005424E4" w:rsidP="00E71A58">
      <w:r>
        <w:separator/>
      </w:r>
    </w:p>
  </w:footnote>
  <w:footnote w:type="continuationSeparator" w:id="0">
    <w:p w:rsidR="005424E4" w:rsidRDefault="005424E4" w:rsidP="00E71A58">
      <w:r>
        <w:continuationSeparator/>
      </w:r>
    </w:p>
  </w:footnote>
  <w:footnote w:id="1">
    <w:p w:rsidR="005424E4" w:rsidRPr="00576B24" w:rsidRDefault="005424E4" w:rsidP="005424E4">
      <w:pPr>
        <w:pStyle w:val="Textpoznpodarou"/>
        <w:jc w:val="both"/>
        <w:rPr>
          <w:rFonts w:ascii="Arial" w:hAnsi="Arial" w:cs="Arial"/>
          <w:sz w:val="16"/>
          <w:szCs w:val="16"/>
        </w:rPr>
      </w:pPr>
      <w:r w:rsidRPr="00576B24">
        <w:rPr>
          <w:rStyle w:val="Znakapoznpodarou"/>
          <w:rFonts w:ascii="Arial" w:eastAsia="MS Gothic" w:hAnsi="Arial" w:cs="Arial"/>
          <w:sz w:val="16"/>
          <w:szCs w:val="16"/>
        </w:rPr>
        <w:footnoteRef/>
      </w:r>
      <w:r w:rsidRPr="00576B24">
        <w:rPr>
          <w:rFonts w:ascii="Arial" w:hAnsi="Arial" w:cs="Arial"/>
          <w:sz w:val="16"/>
          <w:szCs w:val="16"/>
        </w:rPr>
        <w:t xml:space="preserve"> Pro vstup k dotazníku je zapotřebí registrace. P</w:t>
      </w:r>
      <w:r w:rsidRPr="00576B24">
        <w:rPr>
          <w:rFonts w:ascii="Arial" w:eastAsia="NovareseCEBook" w:hAnsi="Arial" w:cs="Arial"/>
          <w:sz w:val="16"/>
          <w:szCs w:val="16"/>
        </w:rPr>
        <w:t xml:space="preserve">o přihlášení je možné se k dotazníku dostat pomocí těchto odkazů: CIRCABC &gt; </w:t>
      </w:r>
      <w:proofErr w:type="spellStart"/>
      <w:r w:rsidRPr="00576B24">
        <w:rPr>
          <w:rFonts w:ascii="Arial" w:eastAsia="NovareseCEBook" w:hAnsi="Arial" w:cs="Arial"/>
          <w:sz w:val="16"/>
          <w:szCs w:val="16"/>
        </w:rPr>
        <w:t>Headers</w:t>
      </w:r>
      <w:proofErr w:type="spellEnd"/>
      <w:r w:rsidRPr="00576B24">
        <w:rPr>
          <w:rFonts w:ascii="Arial" w:eastAsia="NovareseCEBook" w:hAnsi="Arial" w:cs="Arial"/>
          <w:sz w:val="16"/>
          <w:szCs w:val="16"/>
        </w:rPr>
        <w:t xml:space="preserve">: </w:t>
      </w:r>
      <w:proofErr w:type="spellStart"/>
      <w:r w:rsidRPr="00576B24">
        <w:rPr>
          <w:rFonts w:ascii="Arial" w:eastAsia="NovareseCEBook" w:hAnsi="Arial" w:cs="Arial"/>
          <w:sz w:val="16"/>
          <w:szCs w:val="16"/>
        </w:rPr>
        <w:t>European</w:t>
      </w:r>
      <w:proofErr w:type="spellEnd"/>
      <w:r w:rsidRPr="00576B24">
        <w:rPr>
          <w:rFonts w:ascii="Arial" w:eastAsia="NovareseCEBook" w:hAnsi="Arial" w:cs="Arial"/>
          <w:sz w:val="16"/>
          <w:szCs w:val="16"/>
        </w:rPr>
        <w:t xml:space="preserve"> </w:t>
      </w:r>
      <w:proofErr w:type="spellStart"/>
      <w:r w:rsidRPr="00576B24">
        <w:rPr>
          <w:rFonts w:ascii="Arial" w:eastAsia="NovareseCEBook" w:hAnsi="Arial" w:cs="Arial"/>
          <w:sz w:val="16"/>
          <w:szCs w:val="16"/>
        </w:rPr>
        <w:t>Commission</w:t>
      </w:r>
      <w:proofErr w:type="spellEnd"/>
      <w:r w:rsidRPr="00576B24">
        <w:rPr>
          <w:rFonts w:ascii="Arial" w:eastAsia="NovareseCEBook" w:hAnsi="Arial" w:cs="Arial"/>
          <w:sz w:val="16"/>
          <w:szCs w:val="16"/>
        </w:rPr>
        <w:t xml:space="preserve"> &gt; </w:t>
      </w:r>
      <w:proofErr w:type="spellStart"/>
      <w:r w:rsidRPr="00576B24">
        <w:rPr>
          <w:rFonts w:ascii="Arial" w:eastAsia="NovareseCEBook" w:hAnsi="Arial" w:cs="Arial"/>
          <w:sz w:val="16"/>
          <w:szCs w:val="16"/>
        </w:rPr>
        <w:t>Eurostat</w:t>
      </w:r>
      <w:proofErr w:type="spellEnd"/>
      <w:r w:rsidRPr="00576B24">
        <w:rPr>
          <w:rFonts w:ascii="Arial" w:eastAsia="NovareseCEBook" w:hAnsi="Arial" w:cs="Arial"/>
          <w:sz w:val="16"/>
          <w:szCs w:val="16"/>
        </w:rPr>
        <w:t xml:space="preserve"> &gt; </w:t>
      </w:r>
      <w:proofErr w:type="spellStart"/>
      <w:r w:rsidRPr="00576B24">
        <w:rPr>
          <w:rFonts w:ascii="Arial" w:eastAsia="NovareseCEBook" w:hAnsi="Arial" w:cs="Arial"/>
          <w:sz w:val="16"/>
          <w:szCs w:val="16"/>
        </w:rPr>
        <w:t>Education</w:t>
      </w:r>
      <w:proofErr w:type="spellEnd"/>
      <w:r w:rsidRPr="00576B24">
        <w:rPr>
          <w:rFonts w:ascii="Arial" w:eastAsia="NovareseCEBook" w:hAnsi="Arial" w:cs="Arial"/>
          <w:sz w:val="16"/>
          <w:szCs w:val="16"/>
        </w:rPr>
        <w:t xml:space="preserve"> </w:t>
      </w:r>
      <w:proofErr w:type="spellStart"/>
      <w:r w:rsidRPr="00576B24">
        <w:rPr>
          <w:rFonts w:ascii="Arial" w:eastAsia="NovareseCEBook" w:hAnsi="Arial" w:cs="Arial"/>
          <w:sz w:val="16"/>
          <w:szCs w:val="16"/>
        </w:rPr>
        <w:t>and</w:t>
      </w:r>
      <w:proofErr w:type="spellEnd"/>
      <w:r w:rsidRPr="00576B24">
        <w:rPr>
          <w:rFonts w:ascii="Arial" w:eastAsia="NovareseCEBook" w:hAnsi="Arial" w:cs="Arial"/>
          <w:sz w:val="16"/>
          <w:szCs w:val="16"/>
        </w:rPr>
        <w:t xml:space="preserve"> </w:t>
      </w:r>
      <w:proofErr w:type="spellStart"/>
      <w:r w:rsidRPr="00576B24">
        <w:rPr>
          <w:rFonts w:ascii="Arial" w:eastAsia="NovareseCEBook" w:hAnsi="Arial" w:cs="Arial"/>
          <w:sz w:val="16"/>
          <w:szCs w:val="16"/>
        </w:rPr>
        <w:t>training</w:t>
      </w:r>
      <w:proofErr w:type="spellEnd"/>
      <w:r w:rsidRPr="00576B24">
        <w:rPr>
          <w:rFonts w:ascii="Arial" w:eastAsia="NovareseCEBook" w:hAnsi="Arial" w:cs="Arial"/>
          <w:sz w:val="16"/>
          <w:szCs w:val="16"/>
        </w:rPr>
        <w:t xml:space="preserve"> </w:t>
      </w:r>
      <w:proofErr w:type="spellStart"/>
      <w:r w:rsidRPr="00576B24">
        <w:rPr>
          <w:rFonts w:ascii="Arial" w:eastAsia="NovareseCEBook" w:hAnsi="Arial" w:cs="Arial"/>
          <w:sz w:val="16"/>
          <w:szCs w:val="16"/>
        </w:rPr>
        <w:t>statistics</w:t>
      </w:r>
      <w:proofErr w:type="spellEnd"/>
      <w:r w:rsidRPr="00576B24">
        <w:rPr>
          <w:rFonts w:ascii="Arial" w:eastAsia="NovareseCEBook" w:hAnsi="Arial" w:cs="Arial"/>
          <w:sz w:val="16"/>
          <w:szCs w:val="16"/>
        </w:rPr>
        <w:t xml:space="preserve"> &gt; </w:t>
      </w:r>
      <w:proofErr w:type="spellStart"/>
      <w:r w:rsidRPr="00576B24">
        <w:rPr>
          <w:rFonts w:ascii="Arial" w:eastAsia="NovareseCEBook" w:hAnsi="Arial" w:cs="Arial"/>
          <w:sz w:val="16"/>
          <w:szCs w:val="16"/>
        </w:rPr>
        <w:t>Library</w:t>
      </w:r>
      <w:proofErr w:type="spellEnd"/>
      <w:r w:rsidRPr="00576B24">
        <w:rPr>
          <w:rFonts w:ascii="Arial" w:eastAsia="NovareseCEBook" w:hAnsi="Arial" w:cs="Arial"/>
          <w:sz w:val="16"/>
          <w:szCs w:val="16"/>
        </w:rPr>
        <w:t xml:space="preserve"> &gt; </w:t>
      </w:r>
      <w:hyperlink r:id="rId1" w:history="1">
        <w:r w:rsidRPr="00576B24">
          <w:rPr>
            <w:rFonts w:ascii="Arial" w:eastAsia="NovareseCEBook" w:hAnsi="Arial" w:cs="Arial"/>
            <w:sz w:val="16"/>
            <w:szCs w:val="16"/>
          </w:rPr>
          <w:t>Public</w:t>
        </w:r>
      </w:hyperlink>
      <w:r w:rsidRPr="00576B24">
        <w:rPr>
          <w:rFonts w:ascii="Arial" w:eastAsia="NovareseCEBook" w:hAnsi="Arial" w:cs="Arial"/>
          <w:sz w:val="16"/>
          <w:szCs w:val="16"/>
        </w:rPr>
        <w:t xml:space="preserve"> &gt; </w:t>
      </w:r>
      <w:hyperlink r:id="rId2" w:history="1">
        <w:r w:rsidRPr="00576B24">
          <w:rPr>
            <w:rFonts w:ascii="Arial" w:eastAsia="NovareseCEBook" w:hAnsi="Arial" w:cs="Arial"/>
            <w:sz w:val="16"/>
            <w:szCs w:val="16"/>
          </w:rPr>
          <w:t>3. UOE - UNESCO-OECD-</w:t>
        </w:r>
        <w:proofErr w:type="spellStart"/>
        <w:r w:rsidRPr="00576B24">
          <w:rPr>
            <w:rFonts w:ascii="Arial" w:eastAsia="NovareseCEBook" w:hAnsi="Arial" w:cs="Arial"/>
            <w:sz w:val="16"/>
            <w:szCs w:val="16"/>
          </w:rPr>
          <w:t>Eurostat</w:t>
        </w:r>
        <w:proofErr w:type="spellEnd"/>
        <w:r w:rsidRPr="00576B24">
          <w:rPr>
            <w:rFonts w:ascii="Arial" w:eastAsia="NovareseCEBook" w:hAnsi="Arial" w:cs="Arial"/>
            <w:sz w:val="16"/>
            <w:szCs w:val="16"/>
          </w:rPr>
          <w:t xml:space="preserve"> data </w:t>
        </w:r>
        <w:proofErr w:type="spellStart"/>
        <w:r w:rsidRPr="00576B24">
          <w:rPr>
            <w:rFonts w:ascii="Arial" w:eastAsia="NovareseCEBook" w:hAnsi="Arial" w:cs="Arial"/>
            <w:sz w:val="16"/>
            <w:szCs w:val="16"/>
          </w:rPr>
          <w:t>collection</w:t>
        </w:r>
        <w:proofErr w:type="spellEnd"/>
        <w:r w:rsidRPr="00576B24">
          <w:rPr>
            <w:rFonts w:ascii="Arial" w:eastAsia="NovareseCEBook" w:hAnsi="Arial" w:cs="Arial"/>
            <w:sz w:val="16"/>
            <w:szCs w:val="16"/>
          </w:rPr>
          <w:t xml:space="preserve"> on </w:t>
        </w:r>
        <w:proofErr w:type="spellStart"/>
        <w:r w:rsidRPr="00576B24">
          <w:rPr>
            <w:rFonts w:ascii="Arial" w:eastAsia="NovareseCEBook" w:hAnsi="Arial" w:cs="Arial"/>
            <w:sz w:val="16"/>
            <w:szCs w:val="16"/>
          </w:rPr>
          <w:t>Education</w:t>
        </w:r>
        <w:proofErr w:type="spellEnd"/>
      </w:hyperlink>
      <w:r w:rsidRPr="00576B24">
        <w:rPr>
          <w:rFonts w:ascii="Arial" w:eastAsia="NovareseCEBook" w:hAnsi="Arial" w:cs="Arial"/>
          <w:sz w:val="16"/>
          <w:szCs w:val="16"/>
        </w:rPr>
        <w:t xml:space="preserve"> &gt; </w:t>
      </w:r>
      <w:hyperlink r:id="rId3" w:history="1">
        <w:r w:rsidRPr="00576B24">
          <w:rPr>
            <w:rFonts w:ascii="Arial" w:eastAsia="NovareseCEBook" w:hAnsi="Arial" w:cs="Arial"/>
            <w:sz w:val="16"/>
            <w:szCs w:val="16"/>
          </w:rPr>
          <w:t>2014</w:t>
        </w:r>
      </w:hyperlink>
      <w:r w:rsidRPr="00576B24">
        <w:rPr>
          <w:rFonts w:ascii="Arial" w:eastAsia="NovareseCEBook" w:hAnsi="Arial" w:cs="Arial"/>
          <w:sz w:val="16"/>
          <w:szCs w:val="16"/>
        </w:rPr>
        <w:t xml:space="preserve"> &gt; UOE </w:t>
      </w:r>
      <w:proofErr w:type="spellStart"/>
      <w:r w:rsidRPr="00576B24">
        <w:rPr>
          <w:rFonts w:ascii="Arial" w:eastAsia="NovareseCEBook" w:hAnsi="Arial" w:cs="Arial"/>
          <w:sz w:val="16"/>
          <w:szCs w:val="16"/>
        </w:rPr>
        <w:t>tables</w:t>
      </w:r>
      <w:proofErr w:type="spellEnd"/>
    </w:p>
  </w:footnote>
  <w:footnote w:id="2">
    <w:p w:rsidR="005424E4" w:rsidRPr="00576B24" w:rsidRDefault="005424E4" w:rsidP="005424E4">
      <w:pPr>
        <w:pStyle w:val="Textkomente"/>
        <w:jc w:val="both"/>
        <w:rPr>
          <w:rFonts w:ascii="Arial" w:hAnsi="Arial" w:cs="Arial"/>
          <w:sz w:val="16"/>
          <w:szCs w:val="16"/>
        </w:rPr>
      </w:pPr>
      <w:r w:rsidRPr="00576B24">
        <w:rPr>
          <w:rStyle w:val="Znakapoznpodarou"/>
          <w:rFonts w:ascii="Arial" w:hAnsi="Arial" w:cs="Arial"/>
          <w:sz w:val="16"/>
          <w:szCs w:val="16"/>
        </w:rPr>
        <w:footnoteRef/>
      </w:r>
      <w:r w:rsidRPr="00576B24">
        <w:rPr>
          <w:rFonts w:ascii="Arial" w:hAnsi="Arial" w:cs="Arial"/>
          <w:sz w:val="16"/>
          <w:szCs w:val="16"/>
        </w:rPr>
        <w:t xml:space="preserve"> Zde je třeba doplnit, že ne všechny údaje jsou ve všech zemích dostupné. Pokud data dostupná nejsou, ale je možné na základě jiných dat učinit odhad, přistupuje se k odhadům.  Tyto odhady ovšem mohou v různých zemích vycházet z různých dostupných dat a přes snahu o sjednocení metodiky použité pro odhady se nemusí napříč zeměmi zcela shodovat. U doprovodných služeb (tj. </w:t>
      </w:r>
      <w:r>
        <w:rPr>
          <w:rFonts w:ascii="Arial" w:hAnsi="Arial" w:cs="Arial"/>
          <w:sz w:val="16"/>
          <w:szCs w:val="16"/>
        </w:rPr>
        <w:t xml:space="preserve">služeb </w:t>
      </w:r>
      <w:r w:rsidRPr="00576B24">
        <w:rPr>
          <w:rFonts w:ascii="Arial" w:hAnsi="Arial" w:cs="Arial"/>
          <w:sz w:val="16"/>
          <w:szCs w:val="16"/>
        </w:rPr>
        <w:t>jiného charakteru</w:t>
      </w:r>
      <w:r>
        <w:rPr>
          <w:rFonts w:ascii="Arial" w:hAnsi="Arial" w:cs="Arial"/>
          <w:sz w:val="16"/>
          <w:szCs w:val="16"/>
        </w:rPr>
        <w:t>,</w:t>
      </w:r>
      <w:r w:rsidRPr="00576B24">
        <w:rPr>
          <w:rFonts w:ascii="Arial" w:hAnsi="Arial" w:cs="Arial"/>
          <w:sz w:val="16"/>
          <w:szCs w:val="16"/>
        </w:rPr>
        <w:t xml:space="preserve"> než </w:t>
      </w:r>
      <w:r>
        <w:rPr>
          <w:rFonts w:ascii="Arial" w:hAnsi="Arial" w:cs="Arial"/>
          <w:sz w:val="16"/>
          <w:szCs w:val="16"/>
        </w:rPr>
        <w:t xml:space="preserve">je poskytování </w:t>
      </w:r>
      <w:r w:rsidRPr="00576B24">
        <w:rPr>
          <w:rFonts w:ascii="Arial" w:hAnsi="Arial" w:cs="Arial"/>
          <w:sz w:val="16"/>
          <w:szCs w:val="16"/>
        </w:rPr>
        <w:t>vlastní</w:t>
      </w:r>
      <w:r>
        <w:rPr>
          <w:rFonts w:ascii="Arial" w:hAnsi="Arial" w:cs="Arial"/>
          <w:sz w:val="16"/>
          <w:szCs w:val="16"/>
        </w:rPr>
        <w:t>ho</w:t>
      </w:r>
      <w:r w:rsidRPr="00576B24">
        <w:rPr>
          <w:rFonts w:ascii="Arial" w:hAnsi="Arial" w:cs="Arial"/>
          <w:sz w:val="16"/>
          <w:szCs w:val="16"/>
        </w:rPr>
        <w:t xml:space="preserve"> vzdělávání) navíc platí, že v různých </w:t>
      </w:r>
      <w:r>
        <w:rPr>
          <w:rFonts w:ascii="Arial" w:hAnsi="Arial" w:cs="Arial"/>
          <w:sz w:val="16"/>
          <w:szCs w:val="16"/>
        </w:rPr>
        <w:t>zemích zahrnují různé spektrum</w:t>
      </w:r>
      <w:r w:rsidRPr="00576B24">
        <w:rPr>
          <w:rFonts w:ascii="Arial" w:hAnsi="Arial" w:cs="Arial"/>
          <w:sz w:val="16"/>
          <w:szCs w:val="16"/>
        </w:rPr>
        <w:t xml:space="preserve"> služeb.</w:t>
      </w:r>
    </w:p>
  </w:footnote>
  <w:footnote w:id="3">
    <w:p w:rsidR="005424E4" w:rsidRPr="00576B24" w:rsidRDefault="005424E4" w:rsidP="005424E4">
      <w:pPr>
        <w:pStyle w:val="Textpoznpodarou"/>
        <w:jc w:val="both"/>
        <w:rPr>
          <w:rFonts w:ascii="Arial" w:hAnsi="Arial" w:cs="Arial"/>
          <w:sz w:val="16"/>
          <w:szCs w:val="16"/>
        </w:rPr>
      </w:pPr>
      <w:r w:rsidRPr="00576B24">
        <w:rPr>
          <w:rStyle w:val="Znakapoznpodarou"/>
          <w:rFonts w:ascii="Arial" w:eastAsia="MS Gothic" w:hAnsi="Arial" w:cs="Arial"/>
          <w:sz w:val="16"/>
          <w:szCs w:val="16"/>
        </w:rPr>
        <w:footnoteRef/>
      </w:r>
      <w:r w:rsidRPr="00576B24">
        <w:rPr>
          <w:rFonts w:ascii="Arial" w:hAnsi="Arial" w:cs="Arial"/>
          <w:sz w:val="16"/>
          <w:szCs w:val="16"/>
        </w:rPr>
        <w:t xml:space="preserve"> V této publikaci budeme v souladu s publikací </w:t>
      </w:r>
      <w:proofErr w:type="spellStart"/>
      <w:r w:rsidRPr="00576B24">
        <w:rPr>
          <w:rFonts w:ascii="Arial" w:hAnsi="Arial" w:cs="Arial"/>
          <w:sz w:val="16"/>
          <w:szCs w:val="16"/>
        </w:rPr>
        <w:t>Education</w:t>
      </w:r>
      <w:proofErr w:type="spellEnd"/>
      <w:r w:rsidRPr="00576B24">
        <w:rPr>
          <w:rFonts w:ascii="Arial" w:hAnsi="Arial" w:cs="Arial"/>
          <w:sz w:val="16"/>
          <w:szCs w:val="16"/>
        </w:rPr>
        <w:t xml:space="preserve"> </w:t>
      </w:r>
      <w:proofErr w:type="spellStart"/>
      <w:r w:rsidRPr="00576B24">
        <w:rPr>
          <w:rFonts w:ascii="Arial" w:hAnsi="Arial" w:cs="Arial"/>
          <w:sz w:val="16"/>
          <w:szCs w:val="16"/>
        </w:rPr>
        <w:t>at</w:t>
      </w:r>
      <w:proofErr w:type="spellEnd"/>
      <w:r w:rsidRPr="00576B24">
        <w:rPr>
          <w:rFonts w:ascii="Arial" w:hAnsi="Arial" w:cs="Arial"/>
          <w:sz w:val="16"/>
          <w:szCs w:val="16"/>
        </w:rPr>
        <w:t xml:space="preserve"> a </w:t>
      </w:r>
      <w:proofErr w:type="spellStart"/>
      <w:r w:rsidRPr="00576B24">
        <w:rPr>
          <w:rFonts w:ascii="Arial" w:hAnsi="Arial" w:cs="Arial"/>
          <w:sz w:val="16"/>
          <w:szCs w:val="16"/>
        </w:rPr>
        <w:t>Glance</w:t>
      </w:r>
      <w:proofErr w:type="spellEnd"/>
      <w:r w:rsidRPr="00576B24">
        <w:rPr>
          <w:rFonts w:ascii="Arial" w:hAnsi="Arial" w:cs="Arial"/>
          <w:sz w:val="16"/>
          <w:szCs w:val="16"/>
        </w:rPr>
        <w:t xml:space="preserve"> používat výraz „soukromý sektor“, resp. „soukromé instituce“. V ČR se však užívá též výraz „neveřejný zřizovatel“, kterým se označuje jiný zřizovatel škol než veřejný, tedy privátní a církevní.  </w:t>
      </w:r>
    </w:p>
  </w:footnote>
  <w:footnote w:id="4">
    <w:p w:rsidR="005424E4" w:rsidRPr="004F3978" w:rsidRDefault="005424E4" w:rsidP="005424E4">
      <w:pPr>
        <w:pStyle w:val="Textpoznpodarou"/>
        <w:jc w:val="both"/>
        <w:rPr>
          <w:rFonts w:ascii="Arial" w:hAnsi="Arial" w:cs="Arial"/>
          <w:sz w:val="16"/>
          <w:szCs w:val="16"/>
        </w:rPr>
      </w:pPr>
      <w:r w:rsidRPr="004F3978">
        <w:rPr>
          <w:rStyle w:val="Znakapoznpodarou"/>
          <w:rFonts w:ascii="Arial" w:eastAsia="MS Gothic" w:hAnsi="Arial" w:cs="Arial"/>
          <w:sz w:val="16"/>
          <w:szCs w:val="16"/>
        </w:rPr>
        <w:footnoteRef/>
      </w:r>
      <w:r w:rsidRPr="004F3978">
        <w:rPr>
          <w:rFonts w:ascii="Arial" w:hAnsi="Arial" w:cs="Arial"/>
          <w:sz w:val="16"/>
          <w:szCs w:val="16"/>
        </w:rPr>
        <w:t xml:space="preserve"> </w:t>
      </w:r>
      <w:r w:rsidRPr="004F3978">
        <w:rPr>
          <w:rFonts w:ascii="Arial" w:eastAsia="NovareseCEBook" w:hAnsi="Arial" w:cs="Arial"/>
          <w:sz w:val="16"/>
          <w:szCs w:val="16"/>
        </w:rPr>
        <w:t>Část mezinárodních zdrojů není institucím ve vzdělávání vyplácena přímo, nýbrž vstupuje do veřejných rozpočtů, ze kterých je následně příjemci vyplácena (např. v případě operačních programů).</w:t>
      </w:r>
    </w:p>
  </w:footnote>
  <w:footnote w:id="5">
    <w:p w:rsidR="005424E4" w:rsidRPr="004F3978" w:rsidRDefault="005424E4" w:rsidP="005424E4">
      <w:pPr>
        <w:pStyle w:val="Textpoznpodarou"/>
        <w:jc w:val="both"/>
        <w:rPr>
          <w:rFonts w:ascii="Arial" w:hAnsi="Arial" w:cs="Arial"/>
          <w:sz w:val="16"/>
          <w:szCs w:val="16"/>
        </w:rPr>
      </w:pPr>
      <w:r w:rsidRPr="004F3978">
        <w:rPr>
          <w:rStyle w:val="Znakapoznpodarou"/>
          <w:rFonts w:ascii="Arial" w:eastAsia="MS Gothic" w:hAnsi="Arial" w:cs="Arial"/>
          <w:sz w:val="16"/>
          <w:szCs w:val="16"/>
        </w:rPr>
        <w:footnoteRef/>
      </w:r>
      <w:r w:rsidRPr="004F3978">
        <w:rPr>
          <w:rFonts w:ascii="Arial" w:hAnsi="Arial" w:cs="Arial"/>
          <w:sz w:val="16"/>
          <w:szCs w:val="16"/>
        </w:rPr>
        <w:t xml:space="preserve"> </w:t>
      </w:r>
      <w:r w:rsidRPr="004F3978">
        <w:rPr>
          <w:rStyle w:val="Hypertextovodkaz"/>
          <w:rFonts w:ascii="Arial" w:hAnsi="Arial" w:cs="Arial"/>
          <w:color w:val="auto"/>
          <w:sz w:val="16"/>
          <w:szCs w:val="16"/>
          <w:u w:val="none"/>
        </w:rPr>
        <w:t>Pro přístup k manuálu je zapotřebí registrace. Po přihlášení je možné se k dotazníku dostat pomocí těchto odkazů:</w:t>
      </w:r>
      <w:r w:rsidRPr="004F3978">
        <w:rPr>
          <w:rStyle w:val="Hypertextovodkaz"/>
          <w:rFonts w:ascii="Arial" w:hAnsi="Arial" w:cs="Arial"/>
          <w:sz w:val="16"/>
          <w:szCs w:val="16"/>
          <w:u w:val="none"/>
        </w:rPr>
        <w:t xml:space="preserve"> </w:t>
      </w:r>
      <w:r w:rsidRPr="004F3978">
        <w:rPr>
          <w:rStyle w:val="Hypertextovodkaz"/>
          <w:rFonts w:ascii="Arial" w:hAnsi="Arial" w:cs="Arial"/>
          <w:color w:val="auto"/>
          <w:sz w:val="16"/>
          <w:szCs w:val="16"/>
          <w:u w:val="none"/>
        </w:rPr>
        <w:t xml:space="preserve">CIRCABC &gt; </w:t>
      </w:r>
      <w:proofErr w:type="spellStart"/>
      <w:r w:rsidRPr="004F3978">
        <w:rPr>
          <w:rStyle w:val="Hypertextovodkaz"/>
          <w:rFonts w:ascii="Arial" w:hAnsi="Arial" w:cs="Arial"/>
          <w:color w:val="auto"/>
          <w:sz w:val="16"/>
          <w:szCs w:val="16"/>
          <w:u w:val="none"/>
        </w:rPr>
        <w:t>Headers</w:t>
      </w:r>
      <w:proofErr w:type="spellEnd"/>
      <w:r w:rsidRPr="004F3978">
        <w:rPr>
          <w:rStyle w:val="Hypertextovodkaz"/>
          <w:rFonts w:ascii="Arial" w:hAnsi="Arial" w:cs="Arial"/>
          <w:color w:val="auto"/>
          <w:sz w:val="16"/>
          <w:szCs w:val="16"/>
          <w:u w:val="none"/>
        </w:rPr>
        <w:t xml:space="preserve">: </w:t>
      </w:r>
      <w:proofErr w:type="spellStart"/>
      <w:r w:rsidRPr="004F3978">
        <w:rPr>
          <w:rStyle w:val="Hypertextovodkaz"/>
          <w:rFonts w:ascii="Arial" w:hAnsi="Arial" w:cs="Arial"/>
          <w:color w:val="auto"/>
          <w:sz w:val="16"/>
          <w:szCs w:val="16"/>
          <w:u w:val="none"/>
        </w:rPr>
        <w:t>European</w:t>
      </w:r>
      <w:proofErr w:type="spellEnd"/>
      <w:r w:rsidRPr="004F3978">
        <w:rPr>
          <w:rStyle w:val="Hypertextovodkaz"/>
          <w:rFonts w:ascii="Arial" w:hAnsi="Arial" w:cs="Arial"/>
          <w:color w:val="auto"/>
          <w:sz w:val="16"/>
          <w:szCs w:val="16"/>
          <w:u w:val="none"/>
        </w:rPr>
        <w:t xml:space="preserve"> </w:t>
      </w:r>
      <w:proofErr w:type="spellStart"/>
      <w:r w:rsidRPr="004F3978">
        <w:rPr>
          <w:rStyle w:val="Hypertextovodkaz"/>
          <w:rFonts w:ascii="Arial" w:hAnsi="Arial" w:cs="Arial"/>
          <w:color w:val="auto"/>
          <w:sz w:val="16"/>
          <w:szCs w:val="16"/>
          <w:u w:val="none"/>
        </w:rPr>
        <w:t>Commission</w:t>
      </w:r>
      <w:proofErr w:type="spellEnd"/>
      <w:r w:rsidRPr="004F3978">
        <w:rPr>
          <w:rStyle w:val="Hypertextovodkaz"/>
          <w:rFonts w:ascii="Arial" w:hAnsi="Arial" w:cs="Arial"/>
          <w:color w:val="auto"/>
          <w:sz w:val="16"/>
          <w:szCs w:val="16"/>
          <w:u w:val="none"/>
        </w:rPr>
        <w:t xml:space="preserve"> &gt; </w:t>
      </w:r>
      <w:proofErr w:type="spellStart"/>
      <w:r w:rsidRPr="004F3978">
        <w:rPr>
          <w:rStyle w:val="Hypertextovodkaz"/>
          <w:rFonts w:ascii="Arial" w:hAnsi="Arial" w:cs="Arial"/>
          <w:color w:val="auto"/>
          <w:sz w:val="16"/>
          <w:szCs w:val="16"/>
          <w:u w:val="none"/>
        </w:rPr>
        <w:t>Eurostat</w:t>
      </w:r>
      <w:proofErr w:type="spellEnd"/>
      <w:r w:rsidRPr="004F3978">
        <w:rPr>
          <w:rStyle w:val="Hypertextovodkaz"/>
          <w:rFonts w:ascii="Arial" w:hAnsi="Arial" w:cs="Arial"/>
          <w:color w:val="auto"/>
          <w:sz w:val="16"/>
          <w:szCs w:val="16"/>
          <w:u w:val="none"/>
        </w:rPr>
        <w:t xml:space="preserve"> &gt; </w:t>
      </w:r>
      <w:proofErr w:type="spellStart"/>
      <w:r w:rsidRPr="004F3978">
        <w:rPr>
          <w:rStyle w:val="Hypertextovodkaz"/>
          <w:rFonts w:ascii="Arial" w:hAnsi="Arial" w:cs="Arial"/>
          <w:color w:val="auto"/>
          <w:sz w:val="16"/>
          <w:szCs w:val="16"/>
          <w:u w:val="none"/>
        </w:rPr>
        <w:t>Education</w:t>
      </w:r>
      <w:proofErr w:type="spellEnd"/>
      <w:r w:rsidRPr="004F3978">
        <w:rPr>
          <w:rStyle w:val="Hypertextovodkaz"/>
          <w:rFonts w:ascii="Arial" w:hAnsi="Arial" w:cs="Arial"/>
          <w:color w:val="auto"/>
          <w:sz w:val="16"/>
          <w:szCs w:val="16"/>
          <w:u w:val="none"/>
        </w:rPr>
        <w:t xml:space="preserve"> </w:t>
      </w:r>
      <w:proofErr w:type="spellStart"/>
      <w:r w:rsidRPr="004F3978">
        <w:rPr>
          <w:rStyle w:val="Hypertextovodkaz"/>
          <w:rFonts w:ascii="Arial" w:hAnsi="Arial" w:cs="Arial"/>
          <w:color w:val="auto"/>
          <w:sz w:val="16"/>
          <w:szCs w:val="16"/>
          <w:u w:val="none"/>
        </w:rPr>
        <w:t>and</w:t>
      </w:r>
      <w:proofErr w:type="spellEnd"/>
      <w:r w:rsidRPr="004F3978">
        <w:rPr>
          <w:rStyle w:val="Hypertextovodkaz"/>
          <w:rFonts w:ascii="Arial" w:hAnsi="Arial" w:cs="Arial"/>
          <w:color w:val="auto"/>
          <w:sz w:val="16"/>
          <w:szCs w:val="16"/>
          <w:u w:val="none"/>
        </w:rPr>
        <w:t xml:space="preserve"> </w:t>
      </w:r>
      <w:proofErr w:type="spellStart"/>
      <w:r w:rsidRPr="004F3978">
        <w:rPr>
          <w:rStyle w:val="Hypertextovodkaz"/>
          <w:rFonts w:ascii="Arial" w:hAnsi="Arial" w:cs="Arial"/>
          <w:color w:val="auto"/>
          <w:sz w:val="16"/>
          <w:szCs w:val="16"/>
          <w:u w:val="none"/>
        </w:rPr>
        <w:t>training</w:t>
      </w:r>
      <w:proofErr w:type="spellEnd"/>
      <w:r w:rsidRPr="004F3978">
        <w:rPr>
          <w:rStyle w:val="Hypertextovodkaz"/>
          <w:rFonts w:ascii="Arial" w:hAnsi="Arial" w:cs="Arial"/>
          <w:color w:val="auto"/>
          <w:sz w:val="16"/>
          <w:szCs w:val="16"/>
          <w:u w:val="none"/>
        </w:rPr>
        <w:t xml:space="preserve"> </w:t>
      </w:r>
      <w:proofErr w:type="spellStart"/>
      <w:r w:rsidRPr="004F3978">
        <w:rPr>
          <w:rStyle w:val="Hypertextovodkaz"/>
          <w:rFonts w:ascii="Arial" w:hAnsi="Arial" w:cs="Arial"/>
          <w:color w:val="auto"/>
          <w:sz w:val="16"/>
          <w:szCs w:val="16"/>
          <w:u w:val="none"/>
        </w:rPr>
        <w:t>statistics</w:t>
      </w:r>
      <w:proofErr w:type="spellEnd"/>
      <w:r w:rsidRPr="004F3978">
        <w:rPr>
          <w:rStyle w:val="Hypertextovodkaz"/>
          <w:rFonts w:ascii="Arial" w:hAnsi="Arial" w:cs="Arial"/>
          <w:color w:val="auto"/>
          <w:sz w:val="16"/>
          <w:szCs w:val="16"/>
          <w:u w:val="none"/>
        </w:rPr>
        <w:t xml:space="preserve"> &gt; </w:t>
      </w:r>
      <w:proofErr w:type="spellStart"/>
      <w:r w:rsidRPr="004F3978">
        <w:rPr>
          <w:rStyle w:val="Hypertextovodkaz"/>
          <w:rFonts w:ascii="Arial" w:hAnsi="Arial" w:cs="Arial"/>
          <w:color w:val="auto"/>
          <w:sz w:val="16"/>
          <w:szCs w:val="16"/>
          <w:u w:val="none"/>
        </w:rPr>
        <w:t>Library</w:t>
      </w:r>
      <w:proofErr w:type="spellEnd"/>
      <w:r w:rsidRPr="004F3978">
        <w:rPr>
          <w:rStyle w:val="Hypertextovodkaz"/>
          <w:rFonts w:ascii="Arial" w:hAnsi="Arial" w:cs="Arial"/>
          <w:color w:val="auto"/>
          <w:sz w:val="16"/>
          <w:szCs w:val="16"/>
          <w:u w:val="none"/>
        </w:rPr>
        <w:t xml:space="preserve"> &gt; </w:t>
      </w:r>
      <w:hyperlink r:id="rId4" w:history="1">
        <w:r w:rsidRPr="004F3978">
          <w:rPr>
            <w:rStyle w:val="Hypertextovodkaz"/>
            <w:rFonts w:ascii="Arial" w:hAnsi="Arial" w:cs="Arial"/>
            <w:color w:val="auto"/>
            <w:sz w:val="16"/>
            <w:szCs w:val="16"/>
            <w:u w:val="none"/>
          </w:rPr>
          <w:t>Public</w:t>
        </w:r>
      </w:hyperlink>
      <w:r w:rsidRPr="004F3978">
        <w:rPr>
          <w:rStyle w:val="Hypertextovodkaz"/>
          <w:rFonts w:ascii="Arial" w:hAnsi="Arial" w:cs="Arial"/>
          <w:color w:val="auto"/>
          <w:sz w:val="16"/>
          <w:szCs w:val="16"/>
          <w:u w:val="none"/>
        </w:rPr>
        <w:t xml:space="preserve"> &gt; </w:t>
      </w:r>
      <w:hyperlink r:id="rId5" w:history="1">
        <w:r w:rsidRPr="004F3978">
          <w:rPr>
            <w:rStyle w:val="Hypertextovodkaz"/>
            <w:rFonts w:ascii="Arial" w:hAnsi="Arial" w:cs="Arial"/>
            <w:color w:val="auto"/>
            <w:sz w:val="16"/>
            <w:szCs w:val="16"/>
            <w:u w:val="none"/>
          </w:rPr>
          <w:t>3. UOE - UNESCO-OECD-</w:t>
        </w:r>
        <w:proofErr w:type="spellStart"/>
        <w:r w:rsidRPr="004F3978">
          <w:rPr>
            <w:rStyle w:val="Hypertextovodkaz"/>
            <w:rFonts w:ascii="Arial" w:hAnsi="Arial" w:cs="Arial"/>
            <w:color w:val="auto"/>
            <w:sz w:val="16"/>
            <w:szCs w:val="16"/>
            <w:u w:val="none"/>
          </w:rPr>
          <w:t>Eurostat</w:t>
        </w:r>
        <w:proofErr w:type="spellEnd"/>
        <w:r w:rsidRPr="004F3978">
          <w:rPr>
            <w:rStyle w:val="Hypertextovodkaz"/>
            <w:rFonts w:ascii="Arial" w:hAnsi="Arial" w:cs="Arial"/>
            <w:color w:val="auto"/>
            <w:sz w:val="16"/>
            <w:szCs w:val="16"/>
            <w:u w:val="none"/>
          </w:rPr>
          <w:t xml:space="preserve"> data </w:t>
        </w:r>
        <w:proofErr w:type="spellStart"/>
        <w:r w:rsidRPr="004F3978">
          <w:rPr>
            <w:rStyle w:val="Hypertextovodkaz"/>
            <w:rFonts w:ascii="Arial" w:hAnsi="Arial" w:cs="Arial"/>
            <w:color w:val="auto"/>
            <w:sz w:val="16"/>
            <w:szCs w:val="16"/>
            <w:u w:val="none"/>
          </w:rPr>
          <w:t>collection</w:t>
        </w:r>
        <w:proofErr w:type="spellEnd"/>
        <w:r w:rsidRPr="004F3978">
          <w:rPr>
            <w:rStyle w:val="Hypertextovodkaz"/>
            <w:rFonts w:ascii="Arial" w:hAnsi="Arial" w:cs="Arial"/>
            <w:color w:val="auto"/>
            <w:sz w:val="16"/>
            <w:szCs w:val="16"/>
            <w:u w:val="none"/>
          </w:rPr>
          <w:t xml:space="preserve"> on </w:t>
        </w:r>
        <w:proofErr w:type="spellStart"/>
        <w:r w:rsidRPr="004F3978">
          <w:rPr>
            <w:rStyle w:val="Hypertextovodkaz"/>
            <w:rFonts w:ascii="Arial" w:hAnsi="Arial" w:cs="Arial"/>
            <w:color w:val="auto"/>
            <w:sz w:val="16"/>
            <w:szCs w:val="16"/>
            <w:u w:val="none"/>
          </w:rPr>
          <w:t>Education</w:t>
        </w:r>
        <w:proofErr w:type="spellEnd"/>
      </w:hyperlink>
      <w:r w:rsidRPr="004F3978">
        <w:rPr>
          <w:rStyle w:val="Hypertextovodkaz"/>
          <w:rFonts w:ascii="Arial" w:hAnsi="Arial" w:cs="Arial"/>
          <w:color w:val="auto"/>
          <w:sz w:val="16"/>
          <w:szCs w:val="16"/>
          <w:u w:val="none"/>
        </w:rPr>
        <w:t xml:space="preserve"> &gt; </w:t>
      </w:r>
      <w:hyperlink r:id="rId6" w:history="1">
        <w:proofErr w:type="spellStart"/>
        <w:r w:rsidRPr="004F3978">
          <w:rPr>
            <w:rStyle w:val="Hypertextovodkaz"/>
            <w:rFonts w:ascii="Arial" w:hAnsi="Arial" w:cs="Arial"/>
            <w:color w:val="auto"/>
            <w:sz w:val="16"/>
            <w:szCs w:val="16"/>
            <w:u w:val="none"/>
          </w:rPr>
          <w:t>Methodology</w:t>
        </w:r>
        <w:proofErr w:type="spellEnd"/>
      </w:hyperlink>
      <w:r w:rsidRPr="004F3978">
        <w:rPr>
          <w:rStyle w:val="Hypertextovodkaz"/>
          <w:rFonts w:ascii="Arial" w:hAnsi="Arial" w:cs="Arial"/>
          <w:color w:val="auto"/>
          <w:sz w:val="16"/>
          <w:szCs w:val="16"/>
          <w:u w:val="none"/>
        </w:rPr>
        <w:t xml:space="preserve"> UOE2015Manual</w:t>
      </w:r>
      <w:r w:rsidRPr="004F3978">
        <w:rPr>
          <w:rFonts w:ascii="Arial" w:hAnsi="Arial" w:cs="Arial"/>
          <w:sz w:val="16"/>
          <w:szCs w:val="16"/>
        </w:rPr>
        <w:t>.</w:t>
      </w:r>
    </w:p>
  </w:footnote>
  <w:footnote w:id="6">
    <w:p w:rsidR="005424E4" w:rsidRPr="004F3978" w:rsidRDefault="005424E4" w:rsidP="00306953">
      <w:pPr>
        <w:autoSpaceDE w:val="0"/>
        <w:autoSpaceDN w:val="0"/>
        <w:adjustRightInd w:val="0"/>
        <w:spacing w:after="0" w:line="240" w:lineRule="auto"/>
        <w:rPr>
          <w:rFonts w:cs="Arial"/>
          <w:sz w:val="16"/>
          <w:szCs w:val="16"/>
        </w:rPr>
      </w:pPr>
      <w:r w:rsidRPr="004F3978">
        <w:rPr>
          <w:rStyle w:val="Znakapoznpodarou"/>
          <w:rFonts w:eastAsia="MS Gothic"/>
          <w:sz w:val="16"/>
          <w:szCs w:val="16"/>
        </w:rPr>
        <w:footnoteRef/>
      </w:r>
      <w:r w:rsidRPr="004F3978">
        <w:rPr>
          <w:sz w:val="16"/>
          <w:szCs w:val="16"/>
        </w:rPr>
        <w:t xml:space="preserve"> </w:t>
      </w:r>
      <w:r>
        <w:rPr>
          <w:rStyle w:val="Hypertextovodkaz"/>
          <w:rFonts w:cs="Arial"/>
          <w:color w:val="auto"/>
          <w:sz w:val="16"/>
          <w:szCs w:val="16"/>
          <w:u w:val="none"/>
        </w:rPr>
        <w:t>V</w:t>
      </w:r>
      <w:r w:rsidRPr="006E3335">
        <w:rPr>
          <w:rStyle w:val="Hypertextovodkaz"/>
          <w:rFonts w:cs="Arial"/>
          <w:color w:val="auto"/>
          <w:sz w:val="16"/>
          <w:szCs w:val="16"/>
          <w:u w:val="none"/>
        </w:rPr>
        <w:t xml:space="preserve">iz </w:t>
      </w:r>
      <w:hyperlink r:id="rId7" w:history="1">
        <w:r w:rsidRPr="006E3335">
          <w:rPr>
            <w:rStyle w:val="Hypertextovodkaz"/>
            <w:rFonts w:cs="Arial"/>
            <w:sz w:val="16"/>
            <w:szCs w:val="16"/>
          </w:rPr>
          <w:t>OECD (2014c)</w:t>
        </w:r>
      </w:hyperlink>
      <w:r w:rsidRPr="006E3335">
        <w:rPr>
          <w:rStyle w:val="Hypertextovodkaz"/>
          <w:rFonts w:cs="Arial"/>
          <w:color w:val="auto"/>
          <w:sz w:val="16"/>
          <w:szCs w:val="16"/>
          <w:u w:val="none"/>
        </w:rPr>
        <w:t xml:space="preserve"> a </w:t>
      </w:r>
      <w:hyperlink r:id="rId8" w:history="1">
        <w:r w:rsidRPr="006E3335">
          <w:rPr>
            <w:rStyle w:val="Hypertextovodkaz"/>
            <w:rFonts w:cs="Arial"/>
            <w:sz w:val="16"/>
            <w:szCs w:val="16"/>
          </w:rPr>
          <w:t xml:space="preserve">Palečková </w:t>
        </w:r>
        <w:proofErr w:type="spellStart"/>
        <w:r w:rsidRPr="006E3335">
          <w:rPr>
            <w:rStyle w:val="Hypertextovodkaz"/>
            <w:rFonts w:cs="Arial"/>
            <w:sz w:val="16"/>
            <w:szCs w:val="16"/>
          </w:rPr>
          <w:t>et</w:t>
        </w:r>
        <w:proofErr w:type="spellEnd"/>
        <w:r w:rsidRPr="006E3335">
          <w:rPr>
            <w:rStyle w:val="Hypertextovodkaz"/>
            <w:rFonts w:cs="Arial"/>
            <w:sz w:val="16"/>
            <w:szCs w:val="16"/>
          </w:rPr>
          <w:t xml:space="preserve"> </w:t>
        </w:r>
        <w:proofErr w:type="spellStart"/>
        <w:r w:rsidRPr="006E3335">
          <w:rPr>
            <w:rStyle w:val="Hypertextovodkaz"/>
            <w:rFonts w:cs="Arial"/>
            <w:sz w:val="16"/>
            <w:szCs w:val="16"/>
          </w:rPr>
          <w:t>al</w:t>
        </w:r>
        <w:proofErr w:type="spellEnd"/>
        <w:r w:rsidRPr="006E3335">
          <w:rPr>
            <w:rStyle w:val="Hypertextovodkaz"/>
            <w:rFonts w:cs="Arial"/>
            <w:sz w:val="16"/>
            <w:szCs w:val="16"/>
          </w:rPr>
          <w:t>. (2013)</w:t>
        </w:r>
      </w:hyperlink>
      <w:r w:rsidRPr="006E3335">
        <w:rPr>
          <w:rStyle w:val="Hypertextovodkaz"/>
          <w:rFonts w:cs="Arial"/>
          <w:color w:val="auto"/>
          <w:sz w:val="16"/>
          <w:szCs w:val="16"/>
          <w:u w:val="none"/>
        </w:rPr>
        <w:t xml:space="preserve">. Obdobně byly s těmito zeměmi srovnávány i výsledky šetření TALIS 2013 – viz </w:t>
      </w:r>
      <w:hyperlink r:id="rId9" w:history="1">
        <w:r w:rsidRPr="006E3335">
          <w:rPr>
            <w:rStyle w:val="Hypertextovodkaz"/>
            <w:rFonts w:cs="Arial"/>
            <w:sz w:val="16"/>
            <w:szCs w:val="16"/>
          </w:rPr>
          <w:t>zde</w:t>
        </w:r>
      </w:hyperlink>
      <w:r>
        <w:rPr>
          <w:rStyle w:val="Hypertextovodkaz"/>
          <w:rFonts w:cs="Arial"/>
          <w:color w:val="auto"/>
          <w:sz w:val="16"/>
          <w:szCs w:val="16"/>
          <w:u w:val="none"/>
        </w:rPr>
        <w:t>.</w:t>
      </w:r>
    </w:p>
  </w:footnote>
  <w:footnote w:id="7">
    <w:p w:rsidR="005424E4" w:rsidRPr="004F3978" w:rsidRDefault="005424E4" w:rsidP="00306953">
      <w:pPr>
        <w:pStyle w:val="Textpoznpodarou"/>
        <w:jc w:val="both"/>
        <w:rPr>
          <w:rFonts w:ascii="Arial" w:hAnsi="Arial" w:cs="Arial"/>
          <w:sz w:val="16"/>
          <w:szCs w:val="16"/>
        </w:rPr>
      </w:pPr>
      <w:r w:rsidRPr="004F3978">
        <w:rPr>
          <w:rStyle w:val="Znakapoznpodarou"/>
          <w:rFonts w:ascii="Arial" w:eastAsia="MS Gothic" w:hAnsi="Arial" w:cs="Arial"/>
          <w:sz w:val="16"/>
          <w:szCs w:val="16"/>
        </w:rPr>
        <w:footnoteRef/>
      </w:r>
      <w:r w:rsidRPr="004F3978">
        <w:rPr>
          <w:rFonts w:ascii="Arial" w:hAnsi="Arial" w:cs="Arial"/>
          <w:sz w:val="16"/>
          <w:szCs w:val="16"/>
        </w:rPr>
        <w:t xml:space="preserve"> Konkrétně je sem zahrnut rozpočet MŠMT (kapitola 333), obcí a DSO (kapitola 700), krajských úřadů (kapitola 700), okresních úřadů (kapitola 380), transfery z MŠMT na krajské úřady a magistráty, rozpočet Ministerstva zemědělství (kapitola 329) a Ministerstva obrany (kapitola 307). Rozpočet MŠMT viz</w:t>
      </w:r>
      <w:r>
        <w:rPr>
          <w:rFonts w:ascii="Arial" w:hAnsi="Arial" w:cs="Arial"/>
          <w:sz w:val="16"/>
          <w:szCs w:val="16"/>
        </w:rPr>
        <w:t xml:space="preserve"> </w:t>
      </w:r>
      <w:hyperlink r:id="rId10" w:history="1">
        <w:r w:rsidRPr="00940186">
          <w:rPr>
            <w:rStyle w:val="Hypertextovodkaz"/>
            <w:rFonts w:ascii="Arial" w:hAnsi="Arial" w:cs="Arial"/>
            <w:sz w:val="16"/>
            <w:szCs w:val="16"/>
          </w:rPr>
          <w:t>zde</w:t>
        </w:r>
      </w:hyperlink>
      <w:r w:rsidRPr="004F3978">
        <w:rPr>
          <w:rFonts w:ascii="Arial" w:hAnsi="Arial" w:cs="Arial"/>
          <w:sz w:val="16"/>
          <w:szCs w:val="16"/>
        </w:rPr>
        <w:t>.</w:t>
      </w:r>
    </w:p>
  </w:footnote>
  <w:footnote w:id="8">
    <w:p w:rsidR="005424E4" w:rsidRPr="00576B24" w:rsidRDefault="005424E4" w:rsidP="005424E4">
      <w:pPr>
        <w:pStyle w:val="Textpoznpodarou"/>
        <w:jc w:val="both"/>
        <w:rPr>
          <w:rFonts w:ascii="Arial" w:hAnsi="Arial" w:cs="Arial"/>
          <w:sz w:val="16"/>
          <w:szCs w:val="16"/>
        </w:rPr>
      </w:pPr>
      <w:r w:rsidRPr="00576B24">
        <w:rPr>
          <w:rStyle w:val="Znakapoznpodarou"/>
          <w:rFonts w:ascii="Arial" w:eastAsia="MS Gothic" w:hAnsi="Arial" w:cs="Arial"/>
          <w:sz w:val="16"/>
          <w:szCs w:val="16"/>
        </w:rPr>
        <w:footnoteRef/>
      </w:r>
      <w:r w:rsidRPr="00576B24">
        <w:rPr>
          <w:rFonts w:ascii="Arial" w:hAnsi="Arial" w:cs="Arial"/>
          <w:sz w:val="16"/>
          <w:szCs w:val="16"/>
        </w:rPr>
        <w:t xml:space="preserve"> </w:t>
      </w:r>
      <w:r w:rsidRPr="00576B24">
        <w:rPr>
          <w:rFonts w:ascii="Arial" w:eastAsia="ChaparralPro-Regular" w:hAnsi="Arial" w:cs="Arial"/>
          <w:sz w:val="16"/>
          <w:szCs w:val="16"/>
        </w:rPr>
        <w:t>V Polsku může hrát roli poměrně stabilní růst HDP v uvedených letech. Tabulka výše však doložila, že v Polsku i Estonsku měl v čase též podíl výdajů na vzdělávání ze všech výdajů veřejných rozpočtů tendenci se snižovat.</w:t>
      </w:r>
    </w:p>
  </w:footnote>
  <w:footnote w:id="9">
    <w:p w:rsidR="005424E4" w:rsidRPr="00576B24" w:rsidRDefault="005424E4" w:rsidP="005424E4">
      <w:pPr>
        <w:pStyle w:val="Textpoznpodarou"/>
        <w:jc w:val="both"/>
        <w:rPr>
          <w:rFonts w:ascii="Arial" w:hAnsi="Arial" w:cs="Arial"/>
          <w:sz w:val="16"/>
          <w:szCs w:val="16"/>
        </w:rPr>
      </w:pPr>
      <w:r w:rsidRPr="00576B24">
        <w:rPr>
          <w:rStyle w:val="Znakapoznpodarou"/>
          <w:rFonts w:ascii="Arial" w:eastAsia="MS Gothic" w:hAnsi="Arial" w:cs="Arial"/>
          <w:sz w:val="16"/>
          <w:szCs w:val="16"/>
        </w:rPr>
        <w:footnoteRef/>
      </w:r>
      <w:r w:rsidRPr="00576B24">
        <w:rPr>
          <w:rFonts w:ascii="Arial" w:hAnsi="Arial" w:cs="Arial"/>
          <w:sz w:val="16"/>
          <w:szCs w:val="16"/>
        </w:rPr>
        <w:t xml:space="preserve"> Tento nárůst lze přičíst zejména operačním programům, resp. zahájení OP VK (Vzdělávání pro konkurenceschopnost) a OP </w:t>
      </w:r>
      <w:proofErr w:type="spellStart"/>
      <w:r w:rsidRPr="00576B24">
        <w:rPr>
          <w:rFonts w:ascii="Arial" w:hAnsi="Arial" w:cs="Arial"/>
          <w:sz w:val="16"/>
          <w:szCs w:val="16"/>
        </w:rPr>
        <w:t>VaVpI</w:t>
      </w:r>
      <w:proofErr w:type="spellEnd"/>
      <w:r w:rsidRPr="00576B24">
        <w:rPr>
          <w:rFonts w:ascii="Arial" w:hAnsi="Arial" w:cs="Arial"/>
          <w:sz w:val="16"/>
          <w:szCs w:val="16"/>
        </w:rPr>
        <w:t xml:space="preserve"> (Výzkum a vývoj pro inovace).</w:t>
      </w:r>
    </w:p>
  </w:footnote>
  <w:footnote w:id="10">
    <w:p w:rsidR="005424E4" w:rsidRPr="00576B24" w:rsidRDefault="005424E4" w:rsidP="005424E4">
      <w:pPr>
        <w:pStyle w:val="Textpoznpodarou"/>
        <w:jc w:val="both"/>
        <w:rPr>
          <w:rFonts w:ascii="Arial" w:hAnsi="Arial" w:cs="Arial"/>
          <w:sz w:val="16"/>
          <w:szCs w:val="16"/>
        </w:rPr>
      </w:pPr>
      <w:r w:rsidRPr="00576B24">
        <w:rPr>
          <w:rStyle w:val="Znakapoznpodarou"/>
          <w:rFonts w:ascii="Arial" w:eastAsia="MS Gothic" w:hAnsi="Arial" w:cs="Arial"/>
          <w:sz w:val="16"/>
          <w:szCs w:val="16"/>
        </w:rPr>
        <w:footnoteRef/>
      </w:r>
      <w:r w:rsidRPr="00576B24">
        <w:rPr>
          <w:rFonts w:ascii="Arial" w:hAnsi="Arial" w:cs="Arial"/>
          <w:sz w:val="16"/>
          <w:szCs w:val="16"/>
        </w:rPr>
        <w:t xml:space="preserve"> </w:t>
      </w:r>
      <w:r w:rsidRPr="00576B24">
        <w:rPr>
          <w:rFonts w:ascii="Arial" w:eastAsia="ChaparralPro-Regular" w:hAnsi="Arial" w:cs="Arial"/>
          <w:sz w:val="16"/>
          <w:szCs w:val="16"/>
        </w:rPr>
        <w:t>Výše USD byla upravena s využitím parity kupní síly pro soukromou spotřebu.</w:t>
      </w:r>
    </w:p>
  </w:footnote>
  <w:footnote w:id="11">
    <w:p w:rsidR="005424E4" w:rsidRPr="00576B24" w:rsidRDefault="005424E4" w:rsidP="005424E4">
      <w:pPr>
        <w:pStyle w:val="Textpoznpodarou"/>
        <w:jc w:val="both"/>
        <w:rPr>
          <w:rFonts w:ascii="Arial" w:hAnsi="Arial" w:cs="Arial"/>
          <w:sz w:val="16"/>
          <w:szCs w:val="16"/>
        </w:rPr>
      </w:pPr>
      <w:r w:rsidRPr="00576B24">
        <w:rPr>
          <w:rStyle w:val="Znakapoznpodarou"/>
          <w:rFonts w:ascii="Arial" w:eastAsia="MS Gothic" w:hAnsi="Arial" w:cs="Arial"/>
          <w:sz w:val="16"/>
          <w:szCs w:val="16"/>
        </w:rPr>
        <w:footnoteRef/>
      </w:r>
      <w:r w:rsidRPr="00576B24">
        <w:rPr>
          <w:rFonts w:ascii="Arial" w:hAnsi="Arial" w:cs="Arial"/>
          <w:sz w:val="16"/>
          <w:szCs w:val="16"/>
        </w:rPr>
        <w:t xml:space="preserve"> V tomto ohledu je zajímavé, že (jak bylo uvedeno </w:t>
      </w:r>
      <w:r>
        <w:rPr>
          <w:rFonts w:ascii="Arial" w:hAnsi="Arial" w:cs="Arial"/>
          <w:sz w:val="16"/>
          <w:szCs w:val="16"/>
        </w:rPr>
        <w:t>výše v této publikaci</w:t>
      </w:r>
      <w:r w:rsidRPr="00576B24">
        <w:rPr>
          <w:rFonts w:ascii="Arial" w:hAnsi="Arial" w:cs="Arial"/>
          <w:sz w:val="16"/>
          <w:szCs w:val="16"/>
        </w:rPr>
        <w:t>) Lucembursko vydávalo na vzdělávání z veřejného rozpočtu v roce 2012 podprůměrný podíl finančních prostředků.</w:t>
      </w:r>
    </w:p>
  </w:footnote>
  <w:footnote w:id="12">
    <w:p w:rsidR="005424E4" w:rsidRPr="00576B24" w:rsidRDefault="005424E4" w:rsidP="00306953">
      <w:pPr>
        <w:pStyle w:val="Textpoznpodarou"/>
        <w:rPr>
          <w:rFonts w:ascii="Arial" w:hAnsi="Arial" w:cs="Arial"/>
          <w:sz w:val="16"/>
          <w:szCs w:val="16"/>
        </w:rPr>
      </w:pPr>
      <w:r w:rsidRPr="00576B24">
        <w:rPr>
          <w:rStyle w:val="Znakapoznpodarou"/>
          <w:rFonts w:ascii="Arial" w:eastAsia="MS Gothic" w:hAnsi="Arial" w:cs="Arial"/>
          <w:sz w:val="16"/>
          <w:szCs w:val="16"/>
        </w:rPr>
        <w:footnoteRef/>
      </w:r>
      <w:r w:rsidRPr="00576B24">
        <w:rPr>
          <w:rFonts w:ascii="Arial" w:hAnsi="Arial" w:cs="Arial"/>
          <w:sz w:val="16"/>
          <w:szCs w:val="16"/>
        </w:rPr>
        <w:t xml:space="preserve"> Kromě zákonem stanoveného platu dostávají v řadě zemí učitelé též různé příplatky, více o tomto tématu v téže publikaci (EACEA/</w:t>
      </w:r>
      <w:proofErr w:type="spellStart"/>
      <w:r w:rsidRPr="00576B24">
        <w:rPr>
          <w:rFonts w:ascii="Arial" w:hAnsi="Arial" w:cs="Arial"/>
          <w:sz w:val="16"/>
          <w:szCs w:val="16"/>
        </w:rPr>
        <w:t>Eurydice</w:t>
      </w:r>
      <w:proofErr w:type="spellEnd"/>
      <w:r w:rsidRPr="00576B24">
        <w:rPr>
          <w:rFonts w:ascii="Arial" w:hAnsi="Arial" w:cs="Arial"/>
          <w:sz w:val="16"/>
          <w:szCs w:val="16"/>
        </w:rPr>
        <w:t xml:space="preserve"> 2014 s. 24-26).</w:t>
      </w:r>
    </w:p>
  </w:footnote>
  <w:footnote w:id="13">
    <w:p w:rsidR="005424E4" w:rsidRPr="00576B24" w:rsidRDefault="005424E4" w:rsidP="005424E4">
      <w:pPr>
        <w:pStyle w:val="Textpoznpodarou"/>
        <w:jc w:val="both"/>
        <w:rPr>
          <w:rFonts w:ascii="Arial" w:hAnsi="Arial" w:cs="Arial"/>
          <w:sz w:val="16"/>
          <w:szCs w:val="16"/>
        </w:rPr>
      </w:pPr>
      <w:r w:rsidRPr="00576B24">
        <w:rPr>
          <w:rStyle w:val="Znakapoznpodarou"/>
          <w:rFonts w:ascii="Arial" w:eastAsia="MS Gothic" w:hAnsi="Arial" w:cs="Arial"/>
          <w:sz w:val="16"/>
          <w:szCs w:val="16"/>
        </w:rPr>
        <w:footnoteRef/>
      </w:r>
      <w:r w:rsidRPr="00576B24">
        <w:rPr>
          <w:rFonts w:ascii="Arial" w:hAnsi="Arial" w:cs="Arial"/>
          <w:sz w:val="16"/>
          <w:szCs w:val="16"/>
        </w:rPr>
        <w:t xml:space="preserve"> V publikaci </w:t>
      </w:r>
      <w:proofErr w:type="spellStart"/>
      <w:r w:rsidRPr="00576B24">
        <w:rPr>
          <w:rFonts w:ascii="Arial" w:hAnsi="Arial" w:cs="Arial"/>
          <w:sz w:val="16"/>
          <w:szCs w:val="16"/>
        </w:rPr>
        <w:t>Education</w:t>
      </w:r>
      <w:proofErr w:type="spellEnd"/>
      <w:r w:rsidRPr="00576B24">
        <w:rPr>
          <w:rFonts w:ascii="Arial" w:hAnsi="Arial" w:cs="Arial"/>
          <w:sz w:val="16"/>
          <w:szCs w:val="16"/>
        </w:rPr>
        <w:t xml:space="preserve"> </w:t>
      </w:r>
      <w:proofErr w:type="spellStart"/>
      <w:r w:rsidRPr="00576B24">
        <w:rPr>
          <w:rFonts w:ascii="Arial" w:hAnsi="Arial" w:cs="Arial"/>
          <w:sz w:val="16"/>
          <w:szCs w:val="16"/>
        </w:rPr>
        <w:t>at</w:t>
      </w:r>
      <w:proofErr w:type="spellEnd"/>
      <w:r w:rsidRPr="00576B24">
        <w:rPr>
          <w:rFonts w:ascii="Arial" w:hAnsi="Arial" w:cs="Arial"/>
          <w:sz w:val="16"/>
          <w:szCs w:val="16"/>
        </w:rPr>
        <w:t xml:space="preserve"> a </w:t>
      </w:r>
      <w:proofErr w:type="spellStart"/>
      <w:r w:rsidRPr="00576B24">
        <w:rPr>
          <w:rFonts w:ascii="Arial" w:hAnsi="Arial" w:cs="Arial"/>
          <w:sz w:val="16"/>
          <w:szCs w:val="16"/>
        </w:rPr>
        <w:t>Glance</w:t>
      </w:r>
      <w:proofErr w:type="spellEnd"/>
      <w:r w:rsidRPr="00576B24">
        <w:rPr>
          <w:rFonts w:ascii="Arial" w:hAnsi="Arial" w:cs="Arial"/>
          <w:sz w:val="16"/>
          <w:szCs w:val="16"/>
        </w:rPr>
        <w:t xml:space="preserve"> je uvedeno, že v Maďarsku došlo v roce 2006 k politickému opatření, kdy se zvýšil počet hodin, který mají učitelé v sekundárním vzdělávání odučit, což snížilo nároky na počet učitelů na této úrovni vzdělávání. Důsledkem toho došlo ke snížení výdajů na platy učitelů. (OECD 2014, s. 287)</w:t>
      </w:r>
    </w:p>
  </w:footnote>
  <w:footnote w:id="14">
    <w:p w:rsidR="005424E4" w:rsidRPr="00814350" w:rsidRDefault="005424E4" w:rsidP="00306953">
      <w:pPr>
        <w:autoSpaceDE w:val="0"/>
        <w:autoSpaceDN w:val="0"/>
        <w:adjustRightInd w:val="0"/>
        <w:spacing w:after="0" w:line="240" w:lineRule="auto"/>
        <w:jc w:val="both"/>
        <w:rPr>
          <w:rFonts w:eastAsia="ChaparralPro-Regular" w:cs="Arial"/>
          <w:sz w:val="16"/>
          <w:szCs w:val="16"/>
        </w:rPr>
      </w:pPr>
      <w:r w:rsidRPr="00814350">
        <w:rPr>
          <w:rStyle w:val="Znakapoznpodarou"/>
          <w:rFonts w:eastAsia="MS Gothic" w:cs="Arial"/>
          <w:sz w:val="16"/>
          <w:szCs w:val="16"/>
        </w:rPr>
        <w:footnoteRef/>
      </w:r>
      <w:r w:rsidRPr="00814350">
        <w:rPr>
          <w:rFonts w:cs="Arial"/>
          <w:sz w:val="16"/>
          <w:szCs w:val="16"/>
        </w:rPr>
        <w:t xml:space="preserve"> „</w:t>
      </w:r>
      <w:proofErr w:type="spellStart"/>
      <w:r w:rsidRPr="00814350">
        <w:rPr>
          <w:rFonts w:eastAsia="ChaparralPro-Regular" w:cs="Arial"/>
          <w:sz w:val="16"/>
          <w:szCs w:val="16"/>
        </w:rPr>
        <w:t>Statutory</w:t>
      </w:r>
      <w:proofErr w:type="spellEnd"/>
      <w:r w:rsidRPr="00814350">
        <w:rPr>
          <w:rFonts w:eastAsia="ChaparralPro-Regular" w:cs="Arial"/>
          <w:sz w:val="16"/>
          <w:szCs w:val="16"/>
        </w:rPr>
        <w:t xml:space="preserve"> </w:t>
      </w:r>
      <w:proofErr w:type="spellStart"/>
      <w:r w:rsidRPr="00814350">
        <w:rPr>
          <w:rFonts w:eastAsia="ChaparralPro-Regular" w:cs="Arial"/>
          <w:sz w:val="16"/>
          <w:szCs w:val="16"/>
        </w:rPr>
        <w:t>salaries</w:t>
      </w:r>
      <w:proofErr w:type="spellEnd"/>
      <w:r w:rsidRPr="00814350">
        <w:rPr>
          <w:rFonts w:eastAsia="ChaparralPro-Regular" w:cs="Arial"/>
          <w:sz w:val="16"/>
          <w:szCs w:val="16"/>
        </w:rPr>
        <w:t xml:space="preserve">” je třeba odlišit od </w:t>
      </w:r>
      <w:r>
        <w:rPr>
          <w:rFonts w:eastAsia="ChaparralPro-Regular" w:cs="Arial"/>
          <w:sz w:val="16"/>
          <w:szCs w:val="16"/>
        </w:rPr>
        <w:t>skutečných (</w:t>
      </w:r>
      <w:r w:rsidRPr="00814350">
        <w:rPr>
          <w:rFonts w:eastAsia="ChaparralPro-Regular" w:cs="Arial"/>
          <w:sz w:val="16"/>
          <w:szCs w:val="16"/>
        </w:rPr>
        <w:t>reálných</w:t>
      </w:r>
      <w:r>
        <w:rPr>
          <w:rFonts w:eastAsia="ChaparralPro-Regular" w:cs="Arial"/>
          <w:sz w:val="16"/>
          <w:szCs w:val="16"/>
        </w:rPr>
        <w:t>)</w:t>
      </w:r>
      <w:r w:rsidRPr="00814350">
        <w:rPr>
          <w:rFonts w:eastAsia="ChaparralPro-Regular" w:cs="Arial"/>
          <w:sz w:val="16"/>
          <w:szCs w:val="16"/>
        </w:rPr>
        <w:t xml:space="preserve"> výdajů vlád zemí na platy a od </w:t>
      </w:r>
      <w:r>
        <w:rPr>
          <w:rFonts w:eastAsia="ChaparralPro-Regular" w:cs="Arial"/>
          <w:sz w:val="16"/>
          <w:szCs w:val="16"/>
        </w:rPr>
        <w:t>skutečných (</w:t>
      </w:r>
      <w:r w:rsidRPr="00814350">
        <w:rPr>
          <w:rFonts w:eastAsia="ChaparralPro-Regular" w:cs="Arial"/>
          <w:sz w:val="16"/>
          <w:szCs w:val="16"/>
        </w:rPr>
        <w:t>reálných</w:t>
      </w:r>
      <w:r>
        <w:rPr>
          <w:rFonts w:eastAsia="ChaparralPro-Regular" w:cs="Arial"/>
          <w:sz w:val="16"/>
          <w:szCs w:val="16"/>
        </w:rPr>
        <w:t>)</w:t>
      </w:r>
      <w:r w:rsidRPr="00814350">
        <w:rPr>
          <w:rFonts w:eastAsia="ChaparralPro-Regular" w:cs="Arial"/>
          <w:sz w:val="16"/>
          <w:szCs w:val="16"/>
        </w:rPr>
        <w:t xml:space="preserve"> průměrných platů učitelů, které za svou práci dostávají. Průměrné platy učitelů, které ve skutečnosti dostávají za svou práci, jsou ovlivněny takovými faktory, jako je průměrná délka pracovní zkušenosti učitelů v dané zemi a míra poskytování různých prémií a odměn v rámci systému hodnocení. Tyto další </w:t>
      </w:r>
      <w:proofErr w:type="spellStart"/>
      <w:r w:rsidRPr="00814350">
        <w:rPr>
          <w:rFonts w:eastAsia="ChaparralPro-Regular" w:cs="Arial"/>
          <w:sz w:val="16"/>
          <w:szCs w:val="16"/>
        </w:rPr>
        <w:t>benefity</w:t>
      </w:r>
      <w:proofErr w:type="spellEnd"/>
      <w:r w:rsidRPr="00814350">
        <w:rPr>
          <w:rFonts w:eastAsia="ChaparralPro-Regular" w:cs="Arial"/>
          <w:sz w:val="16"/>
          <w:szCs w:val="16"/>
        </w:rPr>
        <w:t xml:space="preserve"> mohou platy učitelů významně zvýšit. Např. na Slovensku dostává většina učitelů každý měsíc prémie/odměny, zejména formou osobního ohodnocení. V závislosti na finančních zdrojích školy a na hodnocení jednotlivých učitelů mohou dosáhnout průměrné platy učitelů, které </w:t>
      </w:r>
      <w:r>
        <w:rPr>
          <w:rFonts w:eastAsia="ChaparralPro-Regular" w:cs="Arial"/>
          <w:sz w:val="16"/>
          <w:szCs w:val="16"/>
        </w:rPr>
        <w:t>ve skutečnosti</w:t>
      </w:r>
      <w:r w:rsidRPr="00814350">
        <w:rPr>
          <w:rFonts w:eastAsia="ChaparralPro-Regular" w:cs="Arial"/>
          <w:sz w:val="16"/>
          <w:szCs w:val="16"/>
        </w:rPr>
        <w:t xml:space="preserve"> dostávají (tj. včetně odměn) v té které zemi až dvojnásobné výše zákonného platu. (OECD 2014, s. 456).</w:t>
      </w:r>
    </w:p>
  </w:footnote>
  <w:footnote w:id="15">
    <w:p w:rsidR="005424E4" w:rsidRPr="00576B24" w:rsidRDefault="005424E4" w:rsidP="005424E4">
      <w:pPr>
        <w:pStyle w:val="Textpoznpodarou"/>
        <w:jc w:val="both"/>
        <w:rPr>
          <w:rFonts w:ascii="Arial" w:eastAsia="ChaparralPro-Regular" w:hAnsi="Arial" w:cs="Arial"/>
          <w:sz w:val="16"/>
          <w:szCs w:val="16"/>
        </w:rPr>
      </w:pPr>
      <w:r w:rsidRPr="00576B24">
        <w:rPr>
          <w:rStyle w:val="Znakapoznpodarou"/>
          <w:rFonts w:ascii="Arial" w:eastAsia="MS Gothic" w:hAnsi="Arial" w:cs="Arial"/>
          <w:sz w:val="16"/>
          <w:szCs w:val="16"/>
        </w:rPr>
        <w:footnoteRef/>
      </w:r>
      <w:r w:rsidRPr="00576B24">
        <w:rPr>
          <w:rFonts w:ascii="Arial" w:hAnsi="Arial" w:cs="Arial"/>
          <w:sz w:val="16"/>
          <w:szCs w:val="16"/>
        </w:rPr>
        <w:t xml:space="preserve"> </w:t>
      </w:r>
      <w:r w:rsidRPr="00576B24">
        <w:rPr>
          <w:rFonts w:ascii="Arial" w:eastAsia="ChaparralPro-Regular" w:hAnsi="Arial" w:cs="Arial"/>
          <w:sz w:val="16"/>
          <w:szCs w:val="16"/>
        </w:rPr>
        <w:t>V roce 2012 se úzce v souladu s metodikou OECD začal do minimálního platu učitele zahrnovat pouze tabulkový plat – dříve se zahrnovaly i nenárokové složky platu, které byly vypláceny pravidelně. Stejně tak se za minimální kvalifikaci začala považovat minimální kvalifikace požadovaná zákonem – dříve se u nás odvozovala z nejčastější kvalifikace. Kombinace obou těchto faktorů je důvodem pro snížení platu učitele s minimální kvalifikací, a to zejména na mateřských školách.</w:t>
      </w:r>
    </w:p>
  </w:footnote>
  <w:footnote w:id="16">
    <w:p w:rsidR="005424E4" w:rsidRPr="00576B24" w:rsidRDefault="005424E4" w:rsidP="005424E4">
      <w:pPr>
        <w:pStyle w:val="Textpoznpodarou"/>
        <w:jc w:val="both"/>
        <w:rPr>
          <w:rFonts w:ascii="Arial" w:hAnsi="Arial" w:cs="Arial"/>
          <w:sz w:val="16"/>
          <w:szCs w:val="16"/>
        </w:rPr>
      </w:pPr>
      <w:r w:rsidRPr="00576B24">
        <w:rPr>
          <w:rStyle w:val="Znakapoznpodarou"/>
          <w:rFonts w:ascii="Arial" w:eastAsia="MS Gothic" w:hAnsi="Arial" w:cs="Arial"/>
          <w:sz w:val="16"/>
          <w:szCs w:val="16"/>
        </w:rPr>
        <w:footnoteRef/>
      </w:r>
      <w:r w:rsidRPr="00576B24">
        <w:rPr>
          <w:rFonts w:ascii="Arial" w:hAnsi="Arial" w:cs="Arial"/>
          <w:sz w:val="16"/>
          <w:szCs w:val="16"/>
        </w:rPr>
        <w:t xml:space="preserve"> </w:t>
      </w:r>
      <w:r w:rsidRPr="00576B24">
        <w:rPr>
          <w:rFonts w:ascii="Arial" w:eastAsia="ChaparralPro-Regular" w:hAnsi="Arial" w:cs="Arial"/>
          <w:b/>
          <w:sz w:val="16"/>
          <w:szCs w:val="16"/>
        </w:rPr>
        <w:t>Veřejné výnosy</w:t>
      </w:r>
      <w:r w:rsidRPr="00576B24">
        <w:rPr>
          <w:rFonts w:ascii="Arial" w:eastAsia="ChaparralPro-Regular" w:hAnsi="Arial" w:cs="Arial"/>
          <w:sz w:val="16"/>
          <w:szCs w:val="16"/>
        </w:rPr>
        <w:t xml:space="preserve"> jsou součtem daňových příjmů, které se ze mzdy jedince odvádějí do státního rozpočtu. Přitom za předpokladu vstupu na trh práce bývají výdělky </w:t>
      </w:r>
      <w:r w:rsidRPr="00576B24">
        <w:rPr>
          <w:rFonts w:ascii="Arial" w:eastAsia="ChaparralPro-Regular" w:hAnsi="Arial" w:cs="Arial"/>
          <w:sz w:val="16"/>
          <w:szCs w:val="16"/>
        </w:rPr>
        <w:softHyphen/>
        <w:t xml:space="preserve">i daňové odvody těch, kteří dosáhli vyšší úrovně vzdělání, vyšší. S vyšší úrovní vzdělání se navíc zpravidla zmenšuje podíl nezaměstnaných, což veřejné výnosy také navyšuje. </w:t>
      </w:r>
      <w:r w:rsidRPr="00576B24">
        <w:rPr>
          <w:rFonts w:ascii="Arial" w:eastAsia="ChaparralPro-Regular" w:hAnsi="Arial" w:cs="Arial"/>
          <w:b/>
          <w:sz w:val="16"/>
          <w:szCs w:val="16"/>
        </w:rPr>
        <w:t>Veřejnými náklady</w:t>
      </w:r>
      <w:r w:rsidRPr="00576B24">
        <w:rPr>
          <w:rFonts w:ascii="Arial" w:eastAsia="ChaparralPro-Regular" w:hAnsi="Arial" w:cs="Arial"/>
          <w:sz w:val="16"/>
          <w:szCs w:val="16"/>
        </w:rPr>
        <w:t xml:space="preserve"> jsou pak státní výdaje na vzdělávání a také ušlé daňové odvody, které by od studujících jedinců stát získal, kdyby místo studia byli zaměstnáni. Obdobně </w:t>
      </w:r>
      <w:r w:rsidRPr="00576B24">
        <w:rPr>
          <w:rFonts w:ascii="Arial" w:eastAsia="ChaparralPro-Regular" w:hAnsi="Arial" w:cs="Arial"/>
          <w:b/>
          <w:sz w:val="16"/>
          <w:szCs w:val="16"/>
        </w:rPr>
        <w:t>soukromými náklady</w:t>
      </w:r>
      <w:r w:rsidRPr="00576B24">
        <w:rPr>
          <w:rFonts w:ascii="Arial" w:eastAsia="ChaparralPro-Regular" w:hAnsi="Arial" w:cs="Arial"/>
          <w:sz w:val="16"/>
          <w:szCs w:val="16"/>
        </w:rPr>
        <w:t xml:space="preserve"> na vzdělávání jsou útraty za vzdělávání a také ušlé příjmy ze zaměstnání v době studia a </w:t>
      </w:r>
      <w:r w:rsidRPr="00576B24">
        <w:rPr>
          <w:rFonts w:ascii="Arial" w:eastAsia="ChaparralPro-Regular" w:hAnsi="Arial" w:cs="Arial"/>
          <w:b/>
          <w:sz w:val="16"/>
          <w:szCs w:val="16"/>
        </w:rPr>
        <w:t>soukromými výnosy</w:t>
      </w:r>
      <w:r w:rsidRPr="00576B24">
        <w:rPr>
          <w:rFonts w:ascii="Arial" w:eastAsia="ChaparralPro-Regular" w:hAnsi="Arial" w:cs="Arial"/>
          <w:sz w:val="16"/>
          <w:szCs w:val="16"/>
        </w:rPr>
        <w:t xml:space="preserve"> jsou vyšší platy a nižší pravděpodobnost nezaměstnanosti vzdělanějších osob. Více k</w:t>
      </w:r>
      <w:r>
        <w:rPr>
          <w:rFonts w:ascii="Arial" w:eastAsia="ChaparralPro-Regular" w:hAnsi="Arial" w:cs="Arial"/>
          <w:sz w:val="16"/>
          <w:szCs w:val="16"/>
        </w:rPr>
        <w:t xml:space="preserve"> metodologii těchto výpočtů viz publikaci </w:t>
      </w:r>
      <w:proofErr w:type="spellStart"/>
      <w:r>
        <w:rPr>
          <w:rFonts w:ascii="Arial" w:eastAsia="ChaparralPro-Regular" w:hAnsi="Arial" w:cs="Arial"/>
          <w:sz w:val="16"/>
          <w:szCs w:val="16"/>
        </w:rPr>
        <w:t>Education</w:t>
      </w:r>
      <w:proofErr w:type="spellEnd"/>
      <w:r>
        <w:rPr>
          <w:rFonts w:ascii="Arial" w:eastAsia="ChaparralPro-Regular" w:hAnsi="Arial" w:cs="Arial"/>
          <w:sz w:val="16"/>
          <w:szCs w:val="16"/>
        </w:rPr>
        <w:t xml:space="preserve"> </w:t>
      </w:r>
      <w:proofErr w:type="spellStart"/>
      <w:r>
        <w:rPr>
          <w:rFonts w:ascii="Arial" w:eastAsia="ChaparralPro-Regular" w:hAnsi="Arial" w:cs="Arial"/>
          <w:sz w:val="16"/>
          <w:szCs w:val="16"/>
        </w:rPr>
        <w:t>at</w:t>
      </w:r>
      <w:proofErr w:type="spellEnd"/>
      <w:r>
        <w:rPr>
          <w:rFonts w:ascii="Arial" w:eastAsia="ChaparralPro-Regular" w:hAnsi="Arial" w:cs="Arial"/>
          <w:sz w:val="16"/>
          <w:szCs w:val="16"/>
        </w:rPr>
        <w:t xml:space="preserve"> a </w:t>
      </w:r>
      <w:proofErr w:type="spellStart"/>
      <w:r w:rsidRPr="00576B24">
        <w:rPr>
          <w:rFonts w:ascii="Arial" w:eastAsia="ChaparralPro-Regular" w:hAnsi="Arial" w:cs="Arial"/>
          <w:sz w:val="16"/>
          <w:szCs w:val="16"/>
        </w:rPr>
        <w:t>Glance</w:t>
      </w:r>
      <w:proofErr w:type="spellEnd"/>
      <w:r w:rsidRPr="00576B24">
        <w:rPr>
          <w:rFonts w:ascii="Arial" w:eastAsia="ChaparralPro-Regular" w:hAnsi="Arial" w:cs="Arial"/>
          <w:sz w:val="16"/>
          <w:szCs w:val="16"/>
        </w:rPr>
        <w:t xml:space="preserve"> (OECD 2015, s. 138–141).</w:t>
      </w:r>
    </w:p>
  </w:footnote>
  <w:footnote w:id="17">
    <w:p w:rsidR="005424E4" w:rsidRPr="004F3978" w:rsidRDefault="005424E4" w:rsidP="00306953">
      <w:pPr>
        <w:autoSpaceDE w:val="0"/>
        <w:autoSpaceDN w:val="0"/>
        <w:adjustRightInd w:val="0"/>
        <w:spacing w:after="0" w:line="240" w:lineRule="auto"/>
        <w:jc w:val="both"/>
        <w:rPr>
          <w:rFonts w:cs="Arial"/>
          <w:sz w:val="16"/>
          <w:szCs w:val="16"/>
        </w:rPr>
      </w:pPr>
      <w:r w:rsidRPr="004F3978">
        <w:rPr>
          <w:rStyle w:val="Znakapoznpodarou"/>
          <w:rFonts w:eastAsia="MS Gothic" w:cs="Arial"/>
          <w:sz w:val="16"/>
          <w:szCs w:val="16"/>
        </w:rPr>
        <w:footnoteRef/>
      </w:r>
      <w:r w:rsidRPr="004F3978">
        <w:rPr>
          <w:rFonts w:cs="Arial"/>
          <w:sz w:val="16"/>
          <w:szCs w:val="16"/>
        </w:rPr>
        <w:t xml:space="preserve"> </w:t>
      </w:r>
      <w:proofErr w:type="spellStart"/>
      <w:r w:rsidRPr="004F3978">
        <w:rPr>
          <w:rFonts w:cs="Arial"/>
          <w:sz w:val="16"/>
          <w:szCs w:val="16"/>
        </w:rPr>
        <w:t>Münich</w:t>
      </w:r>
      <w:proofErr w:type="spellEnd"/>
      <w:r w:rsidRPr="004F3978">
        <w:rPr>
          <w:rFonts w:cs="Arial"/>
          <w:sz w:val="16"/>
          <w:szCs w:val="16"/>
        </w:rPr>
        <w:t xml:space="preserve"> a Straka v této souvislosti mluví o „ušlých platových příležitostech učitelů“ ve srovnání s terciárně vzdělanými pracovníky jiných profesí a dokládají, že „náklady ušlých platových příležitostí učitelů se od roku 2006 pomalu, ale systematicky zvyšovaly. V roce 2011 sice došlo ke zřetelnému obratu, ale situace se tak vrátila pouze cca do stavu roku 2006. Zde je třeba připomenout, že v letech 2010 až 2011 došlo v důsledku ekonomické krize k prudkému zpomalení růstu mezd v podnikatelské sféře.“</w:t>
      </w:r>
      <w:r w:rsidRPr="004F3978">
        <w:rPr>
          <w:rFonts w:eastAsia="ChaparralPro-Regular" w:cs="Arial"/>
          <w:sz w:val="16"/>
          <w:szCs w:val="16"/>
        </w:rPr>
        <w:t xml:space="preserve"> (</w:t>
      </w:r>
      <w:proofErr w:type="spellStart"/>
      <w:r w:rsidR="00984E22">
        <w:fldChar w:fldCharType="begin"/>
      </w:r>
      <w:r>
        <w:instrText>HYPERLINK "http://idea.cerge-ei.cz/documents/kratka_studie_2012_05.pdf"</w:instrText>
      </w:r>
      <w:r w:rsidR="00984E22">
        <w:fldChar w:fldCharType="separate"/>
      </w:r>
      <w:r w:rsidRPr="004F3978">
        <w:rPr>
          <w:rStyle w:val="Hypertextovodkaz"/>
          <w:rFonts w:eastAsia="ChaparralPro-Regular" w:cs="Arial"/>
          <w:sz w:val="16"/>
          <w:szCs w:val="16"/>
        </w:rPr>
        <w:t>Münich</w:t>
      </w:r>
      <w:proofErr w:type="spellEnd"/>
      <w:r w:rsidRPr="004F3978">
        <w:rPr>
          <w:rStyle w:val="Hypertextovodkaz"/>
          <w:rFonts w:eastAsia="ChaparralPro-Regular" w:cs="Arial"/>
          <w:sz w:val="16"/>
          <w:szCs w:val="16"/>
        </w:rPr>
        <w:t xml:space="preserve"> a Straka 2012</w:t>
      </w:r>
      <w:r w:rsidR="00984E22">
        <w:fldChar w:fldCharType="end"/>
      </w:r>
      <w:r w:rsidRPr="004F3978">
        <w:rPr>
          <w:rFonts w:eastAsia="ChaparralPro-Regular" w:cs="Arial"/>
          <w:sz w:val="16"/>
          <w:szCs w:val="16"/>
        </w:rPr>
        <w:t>, s. 5)</w:t>
      </w:r>
    </w:p>
  </w:footnote>
  <w:footnote w:id="18">
    <w:p w:rsidR="005424E4" w:rsidRPr="004F3978" w:rsidRDefault="005424E4" w:rsidP="00306953">
      <w:pPr>
        <w:autoSpaceDE w:val="0"/>
        <w:autoSpaceDN w:val="0"/>
        <w:adjustRightInd w:val="0"/>
        <w:spacing w:after="0" w:line="240" w:lineRule="auto"/>
        <w:jc w:val="both"/>
        <w:rPr>
          <w:rFonts w:cs="Arial"/>
          <w:sz w:val="16"/>
          <w:szCs w:val="16"/>
        </w:rPr>
      </w:pPr>
      <w:r w:rsidRPr="004F3978">
        <w:rPr>
          <w:rStyle w:val="Znakapoznpodarou"/>
          <w:rFonts w:eastAsia="MS Gothic" w:cs="Arial"/>
          <w:sz w:val="16"/>
          <w:szCs w:val="16"/>
        </w:rPr>
        <w:footnoteRef/>
      </w:r>
      <w:r w:rsidRPr="004F3978">
        <w:rPr>
          <w:rFonts w:cs="Arial"/>
          <w:sz w:val="16"/>
          <w:szCs w:val="16"/>
        </w:rPr>
        <w:t xml:space="preserve"> </w:t>
      </w:r>
      <w:proofErr w:type="spellStart"/>
      <w:r w:rsidRPr="004F3978">
        <w:rPr>
          <w:rFonts w:cs="Arial"/>
          <w:sz w:val="16"/>
          <w:szCs w:val="16"/>
        </w:rPr>
        <w:t>Münich</w:t>
      </w:r>
      <w:proofErr w:type="spellEnd"/>
      <w:r w:rsidRPr="004F3978">
        <w:rPr>
          <w:rFonts w:cs="Arial"/>
          <w:sz w:val="16"/>
          <w:szCs w:val="16"/>
        </w:rPr>
        <w:t xml:space="preserve"> a Straka v tomto uvádějí, že: „Znalosti a dovednosti, které učitel žáky naučí a které pak mohou využít v dalším vzdělávání nebo v práci, zdaleka nejsou jediným cílem vzdělávání. Vzdělávání by mělo u žáků vypěstovat oblibu, </w:t>
      </w:r>
      <w:r>
        <w:rPr>
          <w:rFonts w:cs="Arial"/>
          <w:sz w:val="16"/>
          <w:szCs w:val="16"/>
        </w:rPr>
        <w:t>vůli a odvahu k dalšímu učení a </w:t>
      </w:r>
      <w:r w:rsidRPr="004F3978">
        <w:rPr>
          <w:rFonts w:cs="Arial"/>
          <w:sz w:val="16"/>
          <w:szCs w:val="16"/>
        </w:rPr>
        <w:t>poznávání. I proto kvalitního učitele zdaleka nedělá diplom z vysoké školy, ale specifická kombi</w:t>
      </w:r>
      <w:r>
        <w:rPr>
          <w:rFonts w:cs="Arial"/>
          <w:sz w:val="16"/>
          <w:szCs w:val="16"/>
        </w:rPr>
        <w:t>nace pedagogických dovedností a </w:t>
      </w:r>
      <w:r w:rsidRPr="004F3978">
        <w:rPr>
          <w:rFonts w:cs="Arial"/>
          <w:sz w:val="16"/>
          <w:szCs w:val="16"/>
        </w:rPr>
        <w:t>zkušeností na straně jedné a osobnostních dispozic a kvalit na straně druhé. Pro kvalitu vzdělávání je tudíž velmi důležité i to, jak talentovaní lidé se o práci učitele uchází.“ (</w:t>
      </w:r>
      <w:proofErr w:type="spellStart"/>
      <w:r w:rsidR="00984E22">
        <w:fldChar w:fldCharType="begin"/>
      </w:r>
      <w:r>
        <w:instrText>HYPERLINK "http://idea.cerge-ei.cz/documents/kratka_studie_2012_05.pdf"</w:instrText>
      </w:r>
      <w:r w:rsidR="00984E22">
        <w:fldChar w:fldCharType="separate"/>
      </w:r>
      <w:r w:rsidRPr="004F3978">
        <w:rPr>
          <w:rStyle w:val="Hypertextovodkaz"/>
          <w:rFonts w:cs="Arial"/>
          <w:sz w:val="16"/>
          <w:szCs w:val="16"/>
        </w:rPr>
        <w:t>Münich</w:t>
      </w:r>
      <w:proofErr w:type="spellEnd"/>
      <w:r w:rsidRPr="004F3978">
        <w:rPr>
          <w:rStyle w:val="Hypertextovodkaz"/>
          <w:rFonts w:cs="Arial"/>
          <w:sz w:val="16"/>
          <w:szCs w:val="16"/>
        </w:rPr>
        <w:t xml:space="preserve"> a Straka 2012</w:t>
      </w:r>
      <w:r w:rsidR="00984E22">
        <w:fldChar w:fldCharType="end"/>
      </w:r>
      <w:r w:rsidRPr="004F3978">
        <w:rPr>
          <w:rFonts w:cs="Arial"/>
          <w:sz w:val="16"/>
          <w:szCs w:val="16"/>
        </w:rPr>
        <w:t xml:space="preserve">, s. 2). Přitom jsou tito autoři názoru, že „platy učitelů (…) stojí na začátku dlouhodobého příčinného </w:t>
      </w:r>
      <w:proofErr w:type="gramStart"/>
      <w:r w:rsidRPr="004F3978">
        <w:rPr>
          <w:rFonts w:cs="Arial"/>
          <w:sz w:val="16"/>
          <w:szCs w:val="16"/>
        </w:rPr>
        <w:t xml:space="preserve">řetězce  </w:t>
      </w:r>
      <w:r w:rsidRPr="004F3978">
        <w:rPr>
          <w:rFonts w:cs="Arial"/>
          <w:i/>
          <w:sz w:val="16"/>
          <w:szCs w:val="16"/>
        </w:rPr>
        <w:t>výše</w:t>
      </w:r>
      <w:proofErr w:type="gramEnd"/>
      <w:r w:rsidRPr="004F3978">
        <w:rPr>
          <w:rFonts w:cs="Arial"/>
          <w:i/>
          <w:sz w:val="16"/>
          <w:szCs w:val="16"/>
        </w:rPr>
        <w:t xml:space="preserve"> platů -&gt; kvalita učitelů -&gt; úroveň vzdělanosti -&gt; dlouhodobý růst hospodářství a kvality života</w:t>
      </w:r>
      <w:r w:rsidRPr="004F3978">
        <w:rPr>
          <w:rFonts w:cs="Arial"/>
          <w:sz w:val="16"/>
          <w:szCs w:val="16"/>
        </w:rPr>
        <w:t>.“ (</w:t>
      </w:r>
      <w:proofErr w:type="spellStart"/>
      <w:r w:rsidR="00984E22">
        <w:fldChar w:fldCharType="begin"/>
      </w:r>
      <w:r>
        <w:instrText>HYPERLINK "http://idea.cerge-ei.cz/documents/kratka_studie_2012_05.pdf"</w:instrText>
      </w:r>
      <w:r w:rsidR="00984E22">
        <w:fldChar w:fldCharType="separate"/>
      </w:r>
      <w:r w:rsidRPr="004F3978">
        <w:rPr>
          <w:rStyle w:val="Hypertextovodkaz"/>
          <w:rFonts w:cs="Arial"/>
          <w:sz w:val="16"/>
          <w:szCs w:val="16"/>
        </w:rPr>
        <w:t>Münich</w:t>
      </w:r>
      <w:proofErr w:type="spellEnd"/>
      <w:r w:rsidRPr="004F3978">
        <w:rPr>
          <w:rStyle w:val="Hypertextovodkaz"/>
          <w:rFonts w:cs="Arial"/>
          <w:sz w:val="16"/>
          <w:szCs w:val="16"/>
        </w:rPr>
        <w:t xml:space="preserve"> a Straka 2012</w:t>
      </w:r>
      <w:r w:rsidR="00984E22">
        <w:fldChar w:fldCharType="end"/>
      </w:r>
      <w:r w:rsidRPr="004F3978">
        <w:rPr>
          <w:rFonts w:cs="Arial"/>
          <w:sz w:val="16"/>
          <w:szCs w:val="16"/>
        </w:rPr>
        <w:t>, s. 12).</w:t>
      </w:r>
    </w:p>
  </w:footnote>
  <w:footnote w:id="19">
    <w:p w:rsidR="005424E4" w:rsidRPr="004F3978" w:rsidRDefault="005424E4" w:rsidP="00306953">
      <w:pPr>
        <w:pStyle w:val="Textpoznpodarou"/>
        <w:jc w:val="both"/>
        <w:rPr>
          <w:rFonts w:ascii="Arial" w:eastAsia="ChaparralPro-Regular" w:hAnsi="Arial" w:cs="Arial"/>
          <w:sz w:val="16"/>
          <w:szCs w:val="16"/>
        </w:rPr>
      </w:pPr>
      <w:r w:rsidRPr="004F3978">
        <w:rPr>
          <w:rStyle w:val="Znakapoznpodarou"/>
          <w:rFonts w:ascii="Arial" w:eastAsia="MS Gothic" w:hAnsi="Arial" w:cs="Arial"/>
          <w:sz w:val="16"/>
          <w:szCs w:val="16"/>
        </w:rPr>
        <w:footnoteRef/>
      </w:r>
      <w:r w:rsidRPr="004F3978">
        <w:rPr>
          <w:rFonts w:ascii="Arial" w:hAnsi="Arial" w:cs="Arial"/>
          <w:sz w:val="16"/>
          <w:szCs w:val="16"/>
        </w:rPr>
        <w:t xml:space="preserve"> </w:t>
      </w:r>
      <w:hyperlink r:id="rId11" w:history="1">
        <w:r w:rsidRPr="004F3978">
          <w:rPr>
            <w:rStyle w:val="Hypertextovodkaz"/>
            <w:rFonts w:ascii="Arial" w:eastAsia="ChaparralPro-Regular" w:hAnsi="Arial" w:cs="Arial"/>
            <w:sz w:val="16"/>
            <w:szCs w:val="16"/>
          </w:rPr>
          <w:t>Koncepční rámec šetření TALIS 2013</w:t>
        </w:r>
      </w:hyperlink>
      <w:r w:rsidRPr="004F3978">
        <w:rPr>
          <w:rFonts w:ascii="Arial" w:eastAsia="ChaparralPro-Regular" w:hAnsi="Arial" w:cs="Arial"/>
          <w:sz w:val="16"/>
          <w:szCs w:val="16"/>
        </w:rPr>
        <w:t xml:space="preserve"> odkazuje na autory </w:t>
      </w:r>
      <w:proofErr w:type="spellStart"/>
      <w:r w:rsidRPr="004F3978">
        <w:rPr>
          <w:rFonts w:ascii="Arial" w:eastAsia="ChaparralPro-Regular" w:hAnsi="Arial" w:cs="Arial"/>
          <w:sz w:val="16"/>
          <w:szCs w:val="16"/>
        </w:rPr>
        <w:t>Darling</w:t>
      </w:r>
      <w:proofErr w:type="spellEnd"/>
      <w:r w:rsidRPr="004F3978">
        <w:rPr>
          <w:rFonts w:ascii="Arial" w:eastAsia="ChaparralPro-Regular" w:hAnsi="Arial" w:cs="Arial"/>
          <w:sz w:val="16"/>
          <w:szCs w:val="16"/>
        </w:rPr>
        <w:t>-</w:t>
      </w:r>
      <w:proofErr w:type="spellStart"/>
      <w:r w:rsidRPr="004F3978">
        <w:rPr>
          <w:rFonts w:ascii="Arial" w:eastAsia="ChaparralPro-Regular" w:hAnsi="Arial" w:cs="Arial"/>
          <w:sz w:val="16"/>
          <w:szCs w:val="16"/>
        </w:rPr>
        <w:t>Hammond</w:t>
      </w:r>
      <w:proofErr w:type="spellEnd"/>
      <w:r w:rsidRPr="004F3978">
        <w:rPr>
          <w:rFonts w:ascii="Arial" w:eastAsia="ChaparralPro-Regular" w:hAnsi="Arial" w:cs="Arial"/>
          <w:sz w:val="16"/>
          <w:szCs w:val="16"/>
        </w:rPr>
        <w:t xml:space="preserve">, 1999; </w:t>
      </w:r>
      <w:proofErr w:type="spellStart"/>
      <w:r w:rsidRPr="004F3978">
        <w:rPr>
          <w:rFonts w:ascii="Arial" w:eastAsia="ChaparralPro-Regular" w:hAnsi="Arial" w:cs="Arial"/>
          <w:sz w:val="16"/>
          <w:szCs w:val="16"/>
        </w:rPr>
        <w:t>Heyneman</w:t>
      </w:r>
      <w:proofErr w:type="spellEnd"/>
      <w:r w:rsidRPr="004F3978">
        <w:rPr>
          <w:rFonts w:ascii="Arial" w:eastAsia="ChaparralPro-Regular" w:hAnsi="Arial" w:cs="Arial"/>
          <w:sz w:val="16"/>
          <w:szCs w:val="16"/>
        </w:rPr>
        <w:t xml:space="preserve"> a </w:t>
      </w:r>
      <w:proofErr w:type="spellStart"/>
      <w:r w:rsidRPr="004F3978">
        <w:rPr>
          <w:rFonts w:ascii="Arial" w:eastAsia="ChaparralPro-Regular" w:hAnsi="Arial" w:cs="Arial"/>
          <w:sz w:val="16"/>
          <w:szCs w:val="16"/>
        </w:rPr>
        <w:t>Loxley</w:t>
      </w:r>
      <w:proofErr w:type="spellEnd"/>
      <w:r w:rsidRPr="004F3978">
        <w:rPr>
          <w:rFonts w:ascii="Arial" w:eastAsia="ChaparralPro-Regular" w:hAnsi="Arial" w:cs="Arial"/>
          <w:sz w:val="16"/>
          <w:szCs w:val="16"/>
        </w:rPr>
        <w:t xml:space="preserve">, 1983; </w:t>
      </w:r>
      <w:proofErr w:type="spellStart"/>
      <w:r w:rsidRPr="004F3978">
        <w:rPr>
          <w:rFonts w:ascii="Arial" w:eastAsia="ChaparralPro-Regular" w:hAnsi="Arial" w:cs="Arial"/>
          <w:sz w:val="16"/>
          <w:szCs w:val="16"/>
        </w:rPr>
        <w:t>Luschei</w:t>
      </w:r>
      <w:proofErr w:type="spellEnd"/>
      <w:r w:rsidRPr="004F3978">
        <w:rPr>
          <w:rFonts w:ascii="Arial" w:eastAsia="ChaparralPro-Regular" w:hAnsi="Arial" w:cs="Arial"/>
          <w:sz w:val="16"/>
          <w:szCs w:val="16"/>
        </w:rPr>
        <w:t xml:space="preserve"> a </w:t>
      </w:r>
      <w:proofErr w:type="spellStart"/>
      <w:r w:rsidRPr="004F3978">
        <w:rPr>
          <w:rFonts w:ascii="Arial" w:eastAsia="ChaparralPro-Regular" w:hAnsi="Arial" w:cs="Arial"/>
          <w:sz w:val="16"/>
          <w:szCs w:val="16"/>
        </w:rPr>
        <w:t>Carnoy</w:t>
      </w:r>
      <w:proofErr w:type="spellEnd"/>
      <w:r w:rsidRPr="004F3978">
        <w:rPr>
          <w:rFonts w:ascii="Arial" w:eastAsia="ChaparralPro-Regular" w:hAnsi="Arial" w:cs="Arial"/>
          <w:sz w:val="16"/>
          <w:szCs w:val="16"/>
        </w:rPr>
        <w:t xml:space="preserve">, 2010.  </w:t>
      </w:r>
      <w:proofErr w:type="spellStart"/>
      <w:r w:rsidRPr="004F3978">
        <w:rPr>
          <w:rFonts w:ascii="Arial" w:eastAsia="ChaparralPro-Regular" w:hAnsi="Arial" w:cs="Arial"/>
          <w:sz w:val="16"/>
          <w:szCs w:val="16"/>
        </w:rPr>
        <w:t>Münich</w:t>
      </w:r>
      <w:proofErr w:type="spellEnd"/>
      <w:r w:rsidRPr="004F3978">
        <w:rPr>
          <w:rFonts w:ascii="Arial" w:eastAsia="ChaparralPro-Regular" w:hAnsi="Arial" w:cs="Arial"/>
          <w:sz w:val="16"/>
          <w:szCs w:val="16"/>
        </w:rPr>
        <w:t xml:space="preserve"> a Straka (2012) odkazují na </w:t>
      </w:r>
      <w:proofErr w:type="spellStart"/>
      <w:r w:rsidRPr="004F3978">
        <w:rPr>
          <w:rFonts w:ascii="Arial" w:eastAsia="ChaparralPro-Regular" w:hAnsi="Arial" w:cs="Arial"/>
          <w:sz w:val="16"/>
          <w:szCs w:val="16"/>
        </w:rPr>
        <w:t>metapřehled</w:t>
      </w:r>
      <w:proofErr w:type="spellEnd"/>
      <w:r w:rsidRPr="004F3978">
        <w:rPr>
          <w:rFonts w:ascii="Arial" w:eastAsia="ChaparralPro-Regular" w:hAnsi="Arial" w:cs="Arial"/>
          <w:sz w:val="16"/>
          <w:szCs w:val="16"/>
        </w:rPr>
        <w:t xml:space="preserve"> empirických výzkumů od autorů </w:t>
      </w:r>
      <w:proofErr w:type="spellStart"/>
      <w:proofErr w:type="gramStart"/>
      <w:r w:rsidRPr="004F3978">
        <w:rPr>
          <w:rFonts w:ascii="Arial" w:eastAsia="ChaparralPro-Regular" w:hAnsi="Arial" w:cs="Arial"/>
          <w:sz w:val="16"/>
          <w:szCs w:val="16"/>
        </w:rPr>
        <w:t>Hanushek</w:t>
      </w:r>
      <w:proofErr w:type="spellEnd"/>
      <w:r w:rsidRPr="004F3978">
        <w:rPr>
          <w:rFonts w:ascii="Arial" w:eastAsia="ChaparralPro-Regular" w:hAnsi="Arial" w:cs="Arial"/>
          <w:sz w:val="16"/>
          <w:szCs w:val="16"/>
        </w:rPr>
        <w:t xml:space="preserve"> E. a </w:t>
      </w:r>
      <w:proofErr w:type="spellStart"/>
      <w:r w:rsidRPr="004F3978">
        <w:rPr>
          <w:rFonts w:ascii="Arial" w:eastAsia="ChaparralPro-Regular" w:hAnsi="Arial" w:cs="Arial"/>
          <w:sz w:val="16"/>
          <w:szCs w:val="16"/>
        </w:rPr>
        <w:t>S</w:t>
      </w:r>
      <w:proofErr w:type="spellEnd"/>
      <w:r w:rsidRPr="004F3978">
        <w:rPr>
          <w:rFonts w:ascii="Arial" w:eastAsia="ChaparralPro-Regular" w:hAnsi="Arial" w:cs="Arial"/>
          <w:sz w:val="16"/>
          <w:szCs w:val="16"/>
        </w:rPr>
        <w:t>.</w:t>
      </w:r>
      <w:proofErr w:type="spellStart"/>
      <w:proofErr w:type="gramEnd"/>
      <w:r w:rsidRPr="004F3978">
        <w:rPr>
          <w:rFonts w:ascii="Arial" w:eastAsia="ChaparralPro-Regular" w:hAnsi="Arial" w:cs="Arial"/>
          <w:sz w:val="16"/>
          <w:szCs w:val="16"/>
        </w:rPr>
        <w:t>Rivkin</w:t>
      </w:r>
      <w:proofErr w:type="spellEnd"/>
      <w:r w:rsidRPr="004F3978">
        <w:rPr>
          <w:rFonts w:ascii="Arial" w:eastAsia="ChaparralPro-Regular" w:hAnsi="Arial" w:cs="Arial"/>
          <w:sz w:val="16"/>
          <w:szCs w:val="16"/>
        </w:rPr>
        <w:t xml:space="preserve"> (2006).</w:t>
      </w:r>
    </w:p>
  </w:footnote>
  <w:footnote w:id="20">
    <w:p w:rsidR="005424E4" w:rsidRPr="004F3978" w:rsidRDefault="005424E4" w:rsidP="00306953">
      <w:pPr>
        <w:pStyle w:val="Textpoznpodarou"/>
        <w:rPr>
          <w:rFonts w:ascii="Arial" w:hAnsi="Arial" w:cs="Arial"/>
          <w:sz w:val="16"/>
          <w:szCs w:val="16"/>
        </w:rPr>
      </w:pPr>
      <w:r w:rsidRPr="004F3978">
        <w:rPr>
          <w:rStyle w:val="Znakapoznpodarou"/>
          <w:rFonts w:ascii="Arial" w:eastAsia="MS Gothic" w:hAnsi="Arial" w:cs="Arial"/>
          <w:sz w:val="16"/>
          <w:szCs w:val="16"/>
        </w:rPr>
        <w:footnoteRef/>
      </w:r>
      <w:r w:rsidRPr="004F3978">
        <w:rPr>
          <w:rFonts w:ascii="Arial" w:hAnsi="Arial" w:cs="Arial"/>
          <w:sz w:val="16"/>
          <w:szCs w:val="16"/>
        </w:rPr>
        <w:t xml:space="preserve"> </w:t>
      </w:r>
      <w:r w:rsidRPr="004F3978">
        <w:rPr>
          <w:rFonts w:ascii="Arial" w:eastAsia="ChaparralPro-Regular" w:hAnsi="Arial" w:cs="Arial"/>
          <w:sz w:val="16"/>
          <w:szCs w:val="16"/>
        </w:rPr>
        <w:t xml:space="preserve">Mezi tyto faktory nebyly zařazeny faktory na </w:t>
      </w:r>
      <w:proofErr w:type="spellStart"/>
      <w:r w:rsidRPr="004F3978">
        <w:rPr>
          <w:rFonts w:ascii="Arial" w:eastAsia="ChaparralPro-Regular" w:hAnsi="Arial" w:cs="Arial"/>
          <w:sz w:val="16"/>
          <w:szCs w:val="16"/>
        </w:rPr>
        <w:t>mikro</w:t>
      </w:r>
      <w:proofErr w:type="spellEnd"/>
      <w:r w:rsidRPr="004F3978">
        <w:rPr>
          <w:rFonts w:ascii="Arial" w:eastAsia="ChaparralPro-Regular" w:hAnsi="Arial" w:cs="Arial"/>
          <w:sz w:val="16"/>
          <w:szCs w:val="16"/>
        </w:rPr>
        <w:t xml:space="preserve"> úrovni, jako jsou socioekonomické zázemí žáků apod., ale faktory na </w:t>
      </w:r>
      <w:proofErr w:type="spellStart"/>
      <w:r w:rsidRPr="004F3978">
        <w:rPr>
          <w:rFonts w:ascii="Arial" w:eastAsia="ChaparralPro-Regular" w:hAnsi="Arial" w:cs="Arial"/>
          <w:sz w:val="16"/>
          <w:szCs w:val="16"/>
        </w:rPr>
        <w:t>makrorovině</w:t>
      </w:r>
      <w:proofErr w:type="spellEnd"/>
      <w:r w:rsidRPr="004F3978">
        <w:rPr>
          <w:rFonts w:ascii="Arial" w:eastAsia="ChaparralPro-Regular" w:hAnsi="Arial" w:cs="Arial"/>
          <w:sz w:val="16"/>
          <w:szCs w:val="16"/>
        </w:rPr>
        <w:t>, které lze snáze regulovat politickými opatřeními využívajícími omezený rozpočet.</w:t>
      </w:r>
      <w:r w:rsidRPr="004F3978">
        <w:rPr>
          <w:rFonts w:ascii="Arial" w:hAnsi="Arial" w:cs="Arial"/>
          <w:sz w:val="16"/>
          <w:szCs w:val="16"/>
        </w:rPr>
        <w:t xml:space="preserve"> </w:t>
      </w:r>
    </w:p>
  </w:footnote>
  <w:footnote w:id="21">
    <w:p w:rsidR="005424E4" w:rsidRPr="004F3978" w:rsidRDefault="005424E4" w:rsidP="00306953">
      <w:pPr>
        <w:pStyle w:val="Textpoznpodarou"/>
        <w:rPr>
          <w:rFonts w:ascii="Arial" w:eastAsia="ChaparralPro-Regular" w:hAnsi="Arial" w:cs="Arial"/>
          <w:sz w:val="16"/>
          <w:szCs w:val="16"/>
        </w:rPr>
      </w:pPr>
      <w:r w:rsidRPr="004F3978">
        <w:rPr>
          <w:rStyle w:val="Znakapoznpodarou"/>
          <w:rFonts w:ascii="Arial" w:eastAsia="MS Gothic" w:hAnsi="Arial" w:cs="Arial"/>
          <w:sz w:val="16"/>
          <w:szCs w:val="16"/>
        </w:rPr>
        <w:footnoteRef/>
      </w:r>
      <w:r w:rsidRPr="004F3978">
        <w:rPr>
          <w:rFonts w:ascii="Arial" w:hAnsi="Arial" w:cs="Arial"/>
          <w:sz w:val="16"/>
          <w:szCs w:val="16"/>
        </w:rPr>
        <w:t xml:space="preserve"> </w:t>
      </w:r>
      <w:r w:rsidRPr="004F3978">
        <w:rPr>
          <w:rFonts w:ascii="Arial" w:eastAsia="ChaparralPro-Regular" w:hAnsi="Arial" w:cs="Arial"/>
          <w:sz w:val="16"/>
          <w:szCs w:val="16"/>
        </w:rPr>
        <w:t xml:space="preserve">Poznamenejme, že autoři se zde zabývali finanční efektivitou, kdy zmenšování třídy (i navyšování platů) je spojeno s vyššími náklady, avšak může pozitivně ovlivnit výkony žáků. Autoři jiných studií, jak bylo v této práci zmíněno, však vyzdvihují význam kvality učitelů nad velikostí třídy (viz </w:t>
      </w:r>
      <w:hyperlink r:id="rId12" w:history="1">
        <w:proofErr w:type="spellStart"/>
        <w:r w:rsidRPr="004F3978">
          <w:rPr>
            <w:rStyle w:val="Hypertextovodkaz"/>
            <w:rFonts w:ascii="Arial" w:eastAsia="ChaparralPro-Regular" w:hAnsi="Arial" w:cs="Arial"/>
            <w:sz w:val="16"/>
            <w:szCs w:val="16"/>
          </w:rPr>
          <w:t>Hanushek</w:t>
        </w:r>
        <w:proofErr w:type="spellEnd"/>
        <w:r w:rsidRPr="004F3978">
          <w:rPr>
            <w:rStyle w:val="Hypertextovodkaz"/>
            <w:rFonts w:ascii="Arial" w:eastAsia="ChaparralPro-Regular" w:hAnsi="Arial" w:cs="Arial"/>
            <w:sz w:val="16"/>
            <w:szCs w:val="16"/>
          </w:rPr>
          <w:t xml:space="preserve"> &amp; </w:t>
        </w:r>
        <w:proofErr w:type="spellStart"/>
        <w:r w:rsidRPr="004F3978">
          <w:rPr>
            <w:rStyle w:val="Hypertextovodkaz"/>
            <w:rFonts w:ascii="Arial" w:eastAsia="ChaparralPro-Regular" w:hAnsi="Arial" w:cs="Arial"/>
            <w:sz w:val="16"/>
            <w:szCs w:val="16"/>
          </w:rPr>
          <w:t>Woessmann</w:t>
        </w:r>
        <w:proofErr w:type="spellEnd"/>
        <w:r w:rsidRPr="004F3978">
          <w:rPr>
            <w:rStyle w:val="Hypertextovodkaz"/>
            <w:rFonts w:ascii="Arial" w:eastAsia="ChaparralPro-Regular" w:hAnsi="Arial" w:cs="Arial"/>
            <w:sz w:val="16"/>
            <w:szCs w:val="16"/>
          </w:rPr>
          <w:t>, 2011</w:t>
        </w:r>
      </w:hyperlink>
      <w:r w:rsidRPr="004F3978">
        <w:rPr>
          <w:rFonts w:ascii="Arial" w:eastAsia="ChaparralPro-Regular" w:hAnsi="Arial" w:cs="Arial"/>
          <w:sz w:val="16"/>
          <w:szCs w:val="16"/>
        </w:rPr>
        <w:t>).</w:t>
      </w:r>
    </w:p>
  </w:footnote>
  <w:footnote w:id="22">
    <w:p w:rsidR="005424E4" w:rsidRPr="004F3978" w:rsidRDefault="005424E4" w:rsidP="005424E4">
      <w:pPr>
        <w:pStyle w:val="Textpoznpodarou"/>
        <w:jc w:val="both"/>
        <w:rPr>
          <w:rFonts w:ascii="Arial" w:hAnsi="Arial" w:cs="Arial"/>
          <w:sz w:val="16"/>
          <w:szCs w:val="16"/>
        </w:rPr>
      </w:pPr>
      <w:r w:rsidRPr="004F3978">
        <w:rPr>
          <w:rStyle w:val="Znakapoznpodarou"/>
          <w:rFonts w:ascii="Arial" w:eastAsia="MS Gothic" w:hAnsi="Arial" w:cs="Arial"/>
          <w:sz w:val="16"/>
          <w:szCs w:val="16"/>
        </w:rPr>
        <w:footnoteRef/>
      </w:r>
      <w:r w:rsidRPr="004F3978">
        <w:rPr>
          <w:rFonts w:ascii="Arial" w:hAnsi="Arial" w:cs="Arial"/>
          <w:sz w:val="16"/>
          <w:szCs w:val="16"/>
        </w:rPr>
        <w:t xml:space="preserve"> </w:t>
      </w:r>
      <w:r w:rsidRPr="004F3978">
        <w:rPr>
          <w:rFonts w:ascii="Arial" w:eastAsia="ChaparralPro-Regular" w:hAnsi="Arial" w:cs="Arial"/>
          <w:sz w:val="16"/>
          <w:szCs w:val="16"/>
        </w:rPr>
        <w:t>Jak bylo uvedeno v této práci, v následujících dvou letech průměrné měsíční mzdy učitelů mírně rostly.</w:t>
      </w:r>
    </w:p>
  </w:footnote>
  <w:footnote w:id="23">
    <w:p w:rsidR="005424E4" w:rsidRPr="004F3978" w:rsidRDefault="005424E4" w:rsidP="005424E4">
      <w:pPr>
        <w:pStyle w:val="Textpoznpodarou"/>
        <w:jc w:val="both"/>
        <w:rPr>
          <w:rFonts w:ascii="Arial" w:eastAsia="ChaparralPro-Regular" w:hAnsi="Arial" w:cs="Arial"/>
          <w:sz w:val="16"/>
          <w:szCs w:val="16"/>
        </w:rPr>
      </w:pPr>
      <w:r w:rsidRPr="004F3978">
        <w:rPr>
          <w:rStyle w:val="Znakapoznpodarou"/>
          <w:rFonts w:ascii="Arial" w:eastAsia="MS Gothic" w:hAnsi="Arial" w:cs="Arial"/>
          <w:sz w:val="16"/>
          <w:szCs w:val="16"/>
        </w:rPr>
        <w:footnoteRef/>
      </w:r>
      <w:r w:rsidRPr="004F3978">
        <w:rPr>
          <w:rFonts w:ascii="Arial" w:hAnsi="Arial" w:cs="Arial"/>
          <w:sz w:val="16"/>
          <w:szCs w:val="16"/>
        </w:rPr>
        <w:t xml:space="preserve"> </w:t>
      </w:r>
      <w:r w:rsidRPr="004F3978">
        <w:rPr>
          <w:rFonts w:ascii="Arial" w:eastAsia="ChaparralPro-Regular" w:hAnsi="Arial" w:cs="Arial"/>
          <w:sz w:val="16"/>
          <w:szCs w:val="16"/>
        </w:rPr>
        <w:t xml:space="preserve">viz např. </w:t>
      </w:r>
      <w:hyperlink r:id="rId13" w:history="1">
        <w:r w:rsidRPr="004F3978">
          <w:rPr>
            <w:rStyle w:val="Hypertextovodkaz"/>
            <w:rFonts w:ascii="Arial" w:eastAsia="ChaparralPro-Regular" w:hAnsi="Arial" w:cs="Arial"/>
            <w:sz w:val="16"/>
            <w:szCs w:val="16"/>
          </w:rPr>
          <w:t>přehledové tabulky</w:t>
        </w:r>
      </w:hyperlink>
      <w:r w:rsidRPr="004F3978">
        <w:rPr>
          <w:rFonts w:ascii="Arial" w:eastAsia="ChaparralPro-Regular" w:hAnsi="Arial" w:cs="Arial"/>
          <w:sz w:val="16"/>
          <w:szCs w:val="16"/>
        </w:rPr>
        <w:t xml:space="preserve"> ke klíčovým výsledkům v Analytické zprávě z mezinárodního šetření TALIS 2013 (</w:t>
      </w:r>
      <w:hyperlink r:id="rId14" w:history="1">
        <w:r w:rsidRPr="004F3978">
          <w:rPr>
            <w:rStyle w:val="Hypertextovodkaz"/>
            <w:rFonts w:ascii="Arial" w:eastAsia="ChaparralPro-Regular" w:hAnsi="Arial" w:cs="Arial"/>
            <w:sz w:val="16"/>
            <w:szCs w:val="16"/>
          </w:rPr>
          <w:t xml:space="preserve">Kašparová </w:t>
        </w:r>
        <w:proofErr w:type="spellStart"/>
        <w:r w:rsidRPr="004F3978">
          <w:rPr>
            <w:rStyle w:val="Hypertextovodkaz"/>
            <w:rFonts w:ascii="Arial" w:eastAsia="ChaparralPro-Regular" w:hAnsi="Arial" w:cs="Arial"/>
            <w:sz w:val="16"/>
            <w:szCs w:val="16"/>
          </w:rPr>
          <w:t>et</w:t>
        </w:r>
        <w:proofErr w:type="spellEnd"/>
        <w:r w:rsidRPr="004F3978">
          <w:rPr>
            <w:rStyle w:val="Hypertextovodkaz"/>
            <w:rFonts w:ascii="Arial" w:eastAsia="ChaparralPro-Regular" w:hAnsi="Arial" w:cs="Arial"/>
            <w:sz w:val="16"/>
            <w:szCs w:val="16"/>
          </w:rPr>
          <w:t xml:space="preserve">. </w:t>
        </w:r>
        <w:proofErr w:type="spellStart"/>
        <w:proofErr w:type="gramStart"/>
        <w:r w:rsidRPr="004F3978">
          <w:rPr>
            <w:rStyle w:val="Hypertextovodkaz"/>
            <w:rFonts w:ascii="Arial" w:eastAsia="ChaparralPro-Regular" w:hAnsi="Arial" w:cs="Arial"/>
            <w:sz w:val="16"/>
            <w:szCs w:val="16"/>
          </w:rPr>
          <w:t>al</w:t>
        </w:r>
        <w:proofErr w:type="spellEnd"/>
        <w:proofErr w:type="gramEnd"/>
        <w:r w:rsidRPr="004F3978">
          <w:rPr>
            <w:rStyle w:val="Hypertextovodkaz"/>
            <w:rFonts w:ascii="Arial" w:eastAsia="ChaparralPro-Regular" w:hAnsi="Arial" w:cs="Arial"/>
            <w:sz w:val="16"/>
            <w:szCs w:val="16"/>
          </w:rPr>
          <w:t>., 2015</w:t>
        </w:r>
      </w:hyperlink>
      <w:r w:rsidRPr="004F3978">
        <w:rPr>
          <w:rFonts w:ascii="Arial" w:eastAsia="ChaparralPro-Regular" w:hAnsi="Arial" w:cs="Arial"/>
          <w:sz w:val="16"/>
          <w:szCs w:val="16"/>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4E4" w:rsidRPr="006D7437" w:rsidRDefault="005424E4" w:rsidP="006D7437">
    <w:pPr>
      <w:pStyle w:val="Zhlav"/>
      <w:rPr>
        <w:szCs w:val="16"/>
      </w:rPr>
    </w:pPr>
    <w:r w:rsidRPr="006D7437">
      <w:rPr>
        <w:szCs w:val="16"/>
      </w:rPr>
      <w:t>Financování vzdělávání v ČR v mezinárodním srovnání</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4E4" w:rsidRPr="006D7437" w:rsidRDefault="005424E4" w:rsidP="006D7437">
    <w:pPr>
      <w:pStyle w:val="Zhlav"/>
      <w:rPr>
        <w:szCs w:val="16"/>
      </w:rPr>
    </w:pPr>
    <w:r w:rsidRPr="006D7437">
      <w:rPr>
        <w:szCs w:val="16"/>
      </w:rPr>
      <w:t>Financování vzdělávání v ČR v mezinárodním srovnání</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52EA2"/>
    <w:multiLevelType w:val="hybridMultilevel"/>
    <w:tmpl w:val="5E8C8250"/>
    <w:lvl w:ilvl="0" w:tplc="C4E037FE">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15C6616"/>
    <w:multiLevelType w:val="hybridMultilevel"/>
    <w:tmpl w:val="68FE4126"/>
    <w:lvl w:ilvl="0" w:tplc="C4E037FE">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8B75740"/>
    <w:multiLevelType w:val="hybridMultilevel"/>
    <w:tmpl w:val="FF90F198"/>
    <w:lvl w:ilvl="0" w:tplc="C4E037FE">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201E43A9"/>
    <w:multiLevelType w:val="hybridMultilevel"/>
    <w:tmpl w:val="DA62779C"/>
    <w:lvl w:ilvl="0" w:tplc="C4E037FE">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3E97659F"/>
    <w:multiLevelType w:val="hybridMultilevel"/>
    <w:tmpl w:val="53CAD04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54492AC5"/>
    <w:multiLevelType w:val="hybridMultilevel"/>
    <w:tmpl w:val="EF0660B8"/>
    <w:lvl w:ilvl="0" w:tplc="B9E40F3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79B5705B"/>
    <w:multiLevelType w:val="hybridMultilevel"/>
    <w:tmpl w:val="296C61A4"/>
    <w:lvl w:ilvl="0" w:tplc="C4E037FE">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6"/>
  </w:num>
  <w:num w:numId="5">
    <w:abstractNumId w:val="3"/>
  </w:num>
  <w:num w:numId="6">
    <w:abstractNumId w:val="5"/>
  </w:num>
  <w:num w:numId="7">
    <w:abstractNumId w:val="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1001"/>
  <w:stylePaneSortMethod w:val="0004"/>
  <w:doNotTrackMoves/>
  <w:defaultTabStop w:val="708"/>
  <w:hyphenationZone w:val="425"/>
  <w:evenAndOddHeaders/>
  <w:drawingGridHorizontalSpacing w:val="110"/>
  <w:displayHorizontalDrawingGridEvery w:val="2"/>
  <w:characterSpacingControl w:val="doNotCompress"/>
  <w:hdrShapeDefaults>
    <o:shapedefaults v:ext="edit" spidmax="2060">
      <o:colormru v:ext="edit" colors="#ecf4dd,#eaecee,#fcec0a,#fcecdb,#f1daf5"/>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A2A8C"/>
    <w:rsid w:val="00000EC5"/>
    <w:rsid w:val="0000209D"/>
    <w:rsid w:val="000037AC"/>
    <w:rsid w:val="00003E69"/>
    <w:rsid w:val="00004D5A"/>
    <w:rsid w:val="000056D5"/>
    <w:rsid w:val="0000767A"/>
    <w:rsid w:val="000079BD"/>
    <w:rsid w:val="00010702"/>
    <w:rsid w:val="00014415"/>
    <w:rsid w:val="000155F8"/>
    <w:rsid w:val="00017052"/>
    <w:rsid w:val="000170B8"/>
    <w:rsid w:val="000228D3"/>
    <w:rsid w:val="000234D6"/>
    <w:rsid w:val="0002379B"/>
    <w:rsid w:val="00023D29"/>
    <w:rsid w:val="00026389"/>
    <w:rsid w:val="00031AE0"/>
    <w:rsid w:val="000322EF"/>
    <w:rsid w:val="00033FCD"/>
    <w:rsid w:val="00034F00"/>
    <w:rsid w:val="00041CEC"/>
    <w:rsid w:val="00045B4A"/>
    <w:rsid w:val="0004663C"/>
    <w:rsid w:val="0004694F"/>
    <w:rsid w:val="000522E4"/>
    <w:rsid w:val="00052582"/>
    <w:rsid w:val="000536EE"/>
    <w:rsid w:val="00054EC6"/>
    <w:rsid w:val="000571CE"/>
    <w:rsid w:val="000610E1"/>
    <w:rsid w:val="000611C2"/>
    <w:rsid w:val="00062E27"/>
    <w:rsid w:val="00062EC5"/>
    <w:rsid w:val="00062F22"/>
    <w:rsid w:val="00064D3E"/>
    <w:rsid w:val="00064D7A"/>
    <w:rsid w:val="000712B3"/>
    <w:rsid w:val="00072672"/>
    <w:rsid w:val="00081710"/>
    <w:rsid w:val="0008263E"/>
    <w:rsid w:val="00082C19"/>
    <w:rsid w:val="0008322D"/>
    <w:rsid w:val="00085395"/>
    <w:rsid w:val="00087553"/>
    <w:rsid w:val="00087634"/>
    <w:rsid w:val="00087DAE"/>
    <w:rsid w:val="00087F2B"/>
    <w:rsid w:val="00092BE0"/>
    <w:rsid w:val="000974D1"/>
    <w:rsid w:val="0009799E"/>
    <w:rsid w:val="000A0D77"/>
    <w:rsid w:val="000A1183"/>
    <w:rsid w:val="000A254D"/>
    <w:rsid w:val="000A256D"/>
    <w:rsid w:val="000A3A2C"/>
    <w:rsid w:val="000A4AF1"/>
    <w:rsid w:val="000A711C"/>
    <w:rsid w:val="000C23D1"/>
    <w:rsid w:val="000C3408"/>
    <w:rsid w:val="000C6AFD"/>
    <w:rsid w:val="000C6FC8"/>
    <w:rsid w:val="000D122A"/>
    <w:rsid w:val="000D192F"/>
    <w:rsid w:val="000D5637"/>
    <w:rsid w:val="000E047F"/>
    <w:rsid w:val="000E529F"/>
    <w:rsid w:val="000E5A0E"/>
    <w:rsid w:val="000E6FBD"/>
    <w:rsid w:val="000F25D7"/>
    <w:rsid w:val="000F4ED6"/>
    <w:rsid w:val="00100D0C"/>
    <w:rsid w:val="00100F5C"/>
    <w:rsid w:val="001042AC"/>
    <w:rsid w:val="00104AFE"/>
    <w:rsid w:val="00104C4C"/>
    <w:rsid w:val="001068F1"/>
    <w:rsid w:val="00113436"/>
    <w:rsid w:val="0011530F"/>
    <w:rsid w:val="00116A1F"/>
    <w:rsid w:val="0011742F"/>
    <w:rsid w:val="0011791B"/>
    <w:rsid w:val="0012192F"/>
    <w:rsid w:val="00125D69"/>
    <w:rsid w:val="001405FA"/>
    <w:rsid w:val="00141861"/>
    <w:rsid w:val="001425C3"/>
    <w:rsid w:val="00144300"/>
    <w:rsid w:val="001451EF"/>
    <w:rsid w:val="0014635D"/>
    <w:rsid w:val="00153C18"/>
    <w:rsid w:val="0015580D"/>
    <w:rsid w:val="00157B3E"/>
    <w:rsid w:val="0016256B"/>
    <w:rsid w:val="00163793"/>
    <w:rsid w:val="00164100"/>
    <w:rsid w:val="001706D6"/>
    <w:rsid w:val="001714F2"/>
    <w:rsid w:val="00172A21"/>
    <w:rsid w:val="0017403C"/>
    <w:rsid w:val="001742DF"/>
    <w:rsid w:val="00184B08"/>
    <w:rsid w:val="00185010"/>
    <w:rsid w:val="001A0FC0"/>
    <w:rsid w:val="001A2903"/>
    <w:rsid w:val="001A4E4F"/>
    <w:rsid w:val="001A552F"/>
    <w:rsid w:val="001A73C5"/>
    <w:rsid w:val="001B13F5"/>
    <w:rsid w:val="001B2968"/>
    <w:rsid w:val="001B2CA9"/>
    <w:rsid w:val="001B3110"/>
    <w:rsid w:val="001B401B"/>
    <w:rsid w:val="001B45BB"/>
    <w:rsid w:val="001B4729"/>
    <w:rsid w:val="001B5AA0"/>
    <w:rsid w:val="001B6C09"/>
    <w:rsid w:val="001B7F92"/>
    <w:rsid w:val="001C05CD"/>
    <w:rsid w:val="001C42CF"/>
    <w:rsid w:val="001C4685"/>
    <w:rsid w:val="001C5E40"/>
    <w:rsid w:val="001C5F84"/>
    <w:rsid w:val="001D68B2"/>
    <w:rsid w:val="001D6E8F"/>
    <w:rsid w:val="001D707B"/>
    <w:rsid w:val="001E0836"/>
    <w:rsid w:val="001F1A8E"/>
    <w:rsid w:val="001F4597"/>
    <w:rsid w:val="001F57A1"/>
    <w:rsid w:val="001F63BE"/>
    <w:rsid w:val="00210021"/>
    <w:rsid w:val="002118B9"/>
    <w:rsid w:val="00217C5B"/>
    <w:rsid w:val="0022139E"/>
    <w:rsid w:val="00223E50"/>
    <w:rsid w:val="002252E0"/>
    <w:rsid w:val="002255F6"/>
    <w:rsid w:val="00225B77"/>
    <w:rsid w:val="00227850"/>
    <w:rsid w:val="00227A53"/>
    <w:rsid w:val="00230066"/>
    <w:rsid w:val="00230C6E"/>
    <w:rsid w:val="00236443"/>
    <w:rsid w:val="00240545"/>
    <w:rsid w:val="002436BA"/>
    <w:rsid w:val="00244A15"/>
    <w:rsid w:val="002456F5"/>
    <w:rsid w:val="00247319"/>
    <w:rsid w:val="0024799E"/>
    <w:rsid w:val="00247D3D"/>
    <w:rsid w:val="00253A91"/>
    <w:rsid w:val="00253C0F"/>
    <w:rsid w:val="00253DCC"/>
    <w:rsid w:val="00255CD0"/>
    <w:rsid w:val="00260CB5"/>
    <w:rsid w:val="00263D11"/>
    <w:rsid w:val="00264CB0"/>
    <w:rsid w:val="00271465"/>
    <w:rsid w:val="00280C53"/>
    <w:rsid w:val="00281C1F"/>
    <w:rsid w:val="00283E06"/>
    <w:rsid w:val="00285412"/>
    <w:rsid w:val="0029469E"/>
    <w:rsid w:val="00295800"/>
    <w:rsid w:val="00295DA6"/>
    <w:rsid w:val="002A00BE"/>
    <w:rsid w:val="002A0D10"/>
    <w:rsid w:val="002A16D4"/>
    <w:rsid w:val="002A230C"/>
    <w:rsid w:val="002A2A8C"/>
    <w:rsid w:val="002B1315"/>
    <w:rsid w:val="002B19E2"/>
    <w:rsid w:val="002B3EA6"/>
    <w:rsid w:val="002C43BD"/>
    <w:rsid w:val="002C4A87"/>
    <w:rsid w:val="002C5FD0"/>
    <w:rsid w:val="002D0E59"/>
    <w:rsid w:val="002D30E9"/>
    <w:rsid w:val="002D39EE"/>
    <w:rsid w:val="002D72E6"/>
    <w:rsid w:val="002E02A1"/>
    <w:rsid w:val="002E4E4C"/>
    <w:rsid w:val="002E78B6"/>
    <w:rsid w:val="002F039D"/>
    <w:rsid w:val="00301950"/>
    <w:rsid w:val="00304771"/>
    <w:rsid w:val="003052D4"/>
    <w:rsid w:val="00305E23"/>
    <w:rsid w:val="00306953"/>
    <w:rsid w:val="00306C5B"/>
    <w:rsid w:val="00312B18"/>
    <w:rsid w:val="003140F9"/>
    <w:rsid w:val="003209D6"/>
    <w:rsid w:val="00320BFE"/>
    <w:rsid w:val="00321924"/>
    <w:rsid w:val="00321B00"/>
    <w:rsid w:val="0032656E"/>
    <w:rsid w:val="00332190"/>
    <w:rsid w:val="00333F6D"/>
    <w:rsid w:val="003401C8"/>
    <w:rsid w:val="003442C4"/>
    <w:rsid w:val="00344668"/>
    <w:rsid w:val="00345E75"/>
    <w:rsid w:val="003462D9"/>
    <w:rsid w:val="00351DB0"/>
    <w:rsid w:val="00353EC5"/>
    <w:rsid w:val="003553FB"/>
    <w:rsid w:val="00360C86"/>
    <w:rsid w:val="00363328"/>
    <w:rsid w:val="00363581"/>
    <w:rsid w:val="003657F3"/>
    <w:rsid w:val="00365B8C"/>
    <w:rsid w:val="003662E4"/>
    <w:rsid w:val="00366B33"/>
    <w:rsid w:val="003818DC"/>
    <w:rsid w:val="0038276C"/>
    <w:rsid w:val="00384327"/>
    <w:rsid w:val="00385D98"/>
    <w:rsid w:val="00385F4A"/>
    <w:rsid w:val="0039186A"/>
    <w:rsid w:val="00397339"/>
    <w:rsid w:val="003A2B4D"/>
    <w:rsid w:val="003A368D"/>
    <w:rsid w:val="003A478C"/>
    <w:rsid w:val="003A515E"/>
    <w:rsid w:val="003A5525"/>
    <w:rsid w:val="003A6B38"/>
    <w:rsid w:val="003B0DA8"/>
    <w:rsid w:val="003B5A32"/>
    <w:rsid w:val="003B77B9"/>
    <w:rsid w:val="003C3490"/>
    <w:rsid w:val="003D6920"/>
    <w:rsid w:val="003D6A95"/>
    <w:rsid w:val="003D70DF"/>
    <w:rsid w:val="003E19E7"/>
    <w:rsid w:val="003E2CE3"/>
    <w:rsid w:val="003E4C91"/>
    <w:rsid w:val="003F313C"/>
    <w:rsid w:val="003F3CCD"/>
    <w:rsid w:val="003F4B2C"/>
    <w:rsid w:val="003F515A"/>
    <w:rsid w:val="003F551C"/>
    <w:rsid w:val="003F59CA"/>
    <w:rsid w:val="003F778C"/>
    <w:rsid w:val="003F7D23"/>
    <w:rsid w:val="00400802"/>
    <w:rsid w:val="00407C13"/>
    <w:rsid w:val="00410638"/>
    <w:rsid w:val="00410FD0"/>
    <w:rsid w:val="0041197F"/>
    <w:rsid w:val="00426388"/>
    <w:rsid w:val="00432A58"/>
    <w:rsid w:val="00434617"/>
    <w:rsid w:val="004358C2"/>
    <w:rsid w:val="00440900"/>
    <w:rsid w:val="00442515"/>
    <w:rsid w:val="004441A0"/>
    <w:rsid w:val="00457292"/>
    <w:rsid w:val="00460FB3"/>
    <w:rsid w:val="004641FB"/>
    <w:rsid w:val="00471132"/>
    <w:rsid w:val="00476240"/>
    <w:rsid w:val="00476439"/>
    <w:rsid w:val="0047735C"/>
    <w:rsid w:val="004776BC"/>
    <w:rsid w:val="00477BFC"/>
    <w:rsid w:val="0048139F"/>
    <w:rsid w:val="00481740"/>
    <w:rsid w:val="00481E40"/>
    <w:rsid w:val="00483550"/>
    <w:rsid w:val="0048497C"/>
    <w:rsid w:val="00484ECE"/>
    <w:rsid w:val="004862B4"/>
    <w:rsid w:val="004900FF"/>
    <w:rsid w:val="004915CB"/>
    <w:rsid w:val="004924DC"/>
    <w:rsid w:val="00497173"/>
    <w:rsid w:val="004A14E4"/>
    <w:rsid w:val="004A1A13"/>
    <w:rsid w:val="004A3212"/>
    <w:rsid w:val="004A50B8"/>
    <w:rsid w:val="004A61C5"/>
    <w:rsid w:val="004A77DF"/>
    <w:rsid w:val="004B1417"/>
    <w:rsid w:val="004B442A"/>
    <w:rsid w:val="004B55B7"/>
    <w:rsid w:val="004B5A99"/>
    <w:rsid w:val="004B6468"/>
    <w:rsid w:val="004C0E99"/>
    <w:rsid w:val="004C3619"/>
    <w:rsid w:val="004C384C"/>
    <w:rsid w:val="004C3867"/>
    <w:rsid w:val="004C4CD0"/>
    <w:rsid w:val="004C55CD"/>
    <w:rsid w:val="004C70DC"/>
    <w:rsid w:val="004C738C"/>
    <w:rsid w:val="004D0211"/>
    <w:rsid w:val="004D0794"/>
    <w:rsid w:val="004D1B6C"/>
    <w:rsid w:val="004E66B0"/>
    <w:rsid w:val="004F042C"/>
    <w:rsid w:val="004F06F5"/>
    <w:rsid w:val="004F33A0"/>
    <w:rsid w:val="004F35F1"/>
    <w:rsid w:val="004F3978"/>
    <w:rsid w:val="004F682F"/>
    <w:rsid w:val="004F6D84"/>
    <w:rsid w:val="00500A8A"/>
    <w:rsid w:val="00501FBC"/>
    <w:rsid w:val="00504887"/>
    <w:rsid w:val="00505353"/>
    <w:rsid w:val="00510886"/>
    <w:rsid w:val="005108C0"/>
    <w:rsid w:val="00511873"/>
    <w:rsid w:val="00512A2F"/>
    <w:rsid w:val="00513B7E"/>
    <w:rsid w:val="00515C74"/>
    <w:rsid w:val="0052007E"/>
    <w:rsid w:val="00521734"/>
    <w:rsid w:val="0052337A"/>
    <w:rsid w:val="00525137"/>
    <w:rsid w:val="005251DD"/>
    <w:rsid w:val="0052747A"/>
    <w:rsid w:val="00532CE7"/>
    <w:rsid w:val="0053324C"/>
    <w:rsid w:val="005337A4"/>
    <w:rsid w:val="00534A28"/>
    <w:rsid w:val="005354F4"/>
    <w:rsid w:val="00536AA6"/>
    <w:rsid w:val="00540521"/>
    <w:rsid w:val="00541508"/>
    <w:rsid w:val="0054161F"/>
    <w:rsid w:val="005424E4"/>
    <w:rsid w:val="005464DF"/>
    <w:rsid w:val="0055599F"/>
    <w:rsid w:val="00556D68"/>
    <w:rsid w:val="005647BF"/>
    <w:rsid w:val="005660EA"/>
    <w:rsid w:val="0057364B"/>
    <w:rsid w:val="00574773"/>
    <w:rsid w:val="00574E4F"/>
    <w:rsid w:val="005759B6"/>
    <w:rsid w:val="00576B24"/>
    <w:rsid w:val="00577C98"/>
    <w:rsid w:val="0058116A"/>
    <w:rsid w:val="005829BC"/>
    <w:rsid w:val="00583FFD"/>
    <w:rsid w:val="005840DA"/>
    <w:rsid w:val="005907A3"/>
    <w:rsid w:val="0059117B"/>
    <w:rsid w:val="005911BE"/>
    <w:rsid w:val="00593152"/>
    <w:rsid w:val="005A07F3"/>
    <w:rsid w:val="005A10F2"/>
    <w:rsid w:val="005A1672"/>
    <w:rsid w:val="005A21E0"/>
    <w:rsid w:val="005A28FF"/>
    <w:rsid w:val="005A29AD"/>
    <w:rsid w:val="005A3DF8"/>
    <w:rsid w:val="005A5549"/>
    <w:rsid w:val="005A76C4"/>
    <w:rsid w:val="005A7760"/>
    <w:rsid w:val="005B121D"/>
    <w:rsid w:val="005B5EB1"/>
    <w:rsid w:val="005C06ED"/>
    <w:rsid w:val="005C533B"/>
    <w:rsid w:val="005C60B3"/>
    <w:rsid w:val="005C6535"/>
    <w:rsid w:val="005D5802"/>
    <w:rsid w:val="005D7890"/>
    <w:rsid w:val="005E2A00"/>
    <w:rsid w:val="005E4B45"/>
    <w:rsid w:val="005E525F"/>
    <w:rsid w:val="005E60FE"/>
    <w:rsid w:val="005E7C78"/>
    <w:rsid w:val="005F19BD"/>
    <w:rsid w:val="005F3752"/>
    <w:rsid w:val="005F3EB1"/>
    <w:rsid w:val="005F4935"/>
    <w:rsid w:val="005F4DF2"/>
    <w:rsid w:val="005F5469"/>
    <w:rsid w:val="005F6921"/>
    <w:rsid w:val="0060083B"/>
    <w:rsid w:val="00603791"/>
    <w:rsid w:val="00604307"/>
    <w:rsid w:val="0060487F"/>
    <w:rsid w:val="00604EAD"/>
    <w:rsid w:val="006104FB"/>
    <w:rsid w:val="00612A2F"/>
    <w:rsid w:val="00616E05"/>
    <w:rsid w:val="006205A9"/>
    <w:rsid w:val="00623673"/>
    <w:rsid w:val="00624093"/>
    <w:rsid w:val="00631582"/>
    <w:rsid w:val="00637184"/>
    <w:rsid w:val="006404A7"/>
    <w:rsid w:val="00642984"/>
    <w:rsid w:val="006431BE"/>
    <w:rsid w:val="006433E5"/>
    <w:rsid w:val="00644F19"/>
    <w:rsid w:val="006451E4"/>
    <w:rsid w:val="00645B33"/>
    <w:rsid w:val="00645DB8"/>
    <w:rsid w:val="006516CB"/>
    <w:rsid w:val="0065267C"/>
    <w:rsid w:val="0065558D"/>
    <w:rsid w:val="0065633C"/>
    <w:rsid w:val="006569B5"/>
    <w:rsid w:val="0065716E"/>
    <w:rsid w:val="00657E87"/>
    <w:rsid w:val="00660E3D"/>
    <w:rsid w:val="00664803"/>
    <w:rsid w:val="00664BC6"/>
    <w:rsid w:val="00665BA4"/>
    <w:rsid w:val="00667AF2"/>
    <w:rsid w:val="0067027D"/>
    <w:rsid w:val="006710C9"/>
    <w:rsid w:val="00674D89"/>
    <w:rsid w:val="00675E37"/>
    <w:rsid w:val="00680594"/>
    <w:rsid w:val="00680DD2"/>
    <w:rsid w:val="0068174E"/>
    <w:rsid w:val="00681DCE"/>
    <w:rsid w:val="0068260E"/>
    <w:rsid w:val="00695BEF"/>
    <w:rsid w:val="006977F6"/>
    <w:rsid w:val="00697A13"/>
    <w:rsid w:val="006A109C"/>
    <w:rsid w:val="006A20FF"/>
    <w:rsid w:val="006A5F22"/>
    <w:rsid w:val="006A73AA"/>
    <w:rsid w:val="006B344A"/>
    <w:rsid w:val="006B426D"/>
    <w:rsid w:val="006B58B3"/>
    <w:rsid w:val="006B78D8"/>
    <w:rsid w:val="006C06FC"/>
    <w:rsid w:val="006C113F"/>
    <w:rsid w:val="006C123E"/>
    <w:rsid w:val="006C3A39"/>
    <w:rsid w:val="006C4A41"/>
    <w:rsid w:val="006C56D4"/>
    <w:rsid w:val="006C5FEA"/>
    <w:rsid w:val="006C6146"/>
    <w:rsid w:val="006C6924"/>
    <w:rsid w:val="006C7CA6"/>
    <w:rsid w:val="006D002A"/>
    <w:rsid w:val="006D05D2"/>
    <w:rsid w:val="006D3E8A"/>
    <w:rsid w:val="006D4200"/>
    <w:rsid w:val="006D61F6"/>
    <w:rsid w:val="006D7437"/>
    <w:rsid w:val="006E279A"/>
    <w:rsid w:val="006E313B"/>
    <w:rsid w:val="006E3335"/>
    <w:rsid w:val="006E3FBA"/>
    <w:rsid w:val="006E7E91"/>
    <w:rsid w:val="006F1110"/>
    <w:rsid w:val="006F5416"/>
    <w:rsid w:val="006F63EE"/>
    <w:rsid w:val="006F7137"/>
    <w:rsid w:val="0070484D"/>
    <w:rsid w:val="00706AD4"/>
    <w:rsid w:val="007140BE"/>
    <w:rsid w:val="00714D23"/>
    <w:rsid w:val="007211F5"/>
    <w:rsid w:val="00725BB5"/>
    <w:rsid w:val="007263C9"/>
    <w:rsid w:val="007272ED"/>
    <w:rsid w:val="00730AE8"/>
    <w:rsid w:val="00731ED6"/>
    <w:rsid w:val="007351B2"/>
    <w:rsid w:val="00735860"/>
    <w:rsid w:val="007377BD"/>
    <w:rsid w:val="00740420"/>
    <w:rsid w:val="00741493"/>
    <w:rsid w:val="00750A6B"/>
    <w:rsid w:val="00751828"/>
    <w:rsid w:val="00752180"/>
    <w:rsid w:val="00755202"/>
    <w:rsid w:val="00755D3A"/>
    <w:rsid w:val="007578D3"/>
    <w:rsid w:val="007609C6"/>
    <w:rsid w:val="0076175D"/>
    <w:rsid w:val="00762D16"/>
    <w:rsid w:val="0076521E"/>
    <w:rsid w:val="007661E9"/>
    <w:rsid w:val="00767494"/>
    <w:rsid w:val="0077049F"/>
    <w:rsid w:val="00776169"/>
    <w:rsid w:val="00776527"/>
    <w:rsid w:val="0077679F"/>
    <w:rsid w:val="00777F62"/>
    <w:rsid w:val="00780E35"/>
    <w:rsid w:val="00780EF1"/>
    <w:rsid w:val="0078407E"/>
    <w:rsid w:val="00784F0A"/>
    <w:rsid w:val="007858CF"/>
    <w:rsid w:val="00790764"/>
    <w:rsid w:val="00792D6F"/>
    <w:rsid w:val="0079453C"/>
    <w:rsid w:val="00794677"/>
    <w:rsid w:val="0079537E"/>
    <w:rsid w:val="007954A1"/>
    <w:rsid w:val="007A5643"/>
    <w:rsid w:val="007A673D"/>
    <w:rsid w:val="007A75D7"/>
    <w:rsid w:val="007B139C"/>
    <w:rsid w:val="007B6689"/>
    <w:rsid w:val="007C1802"/>
    <w:rsid w:val="007C2F11"/>
    <w:rsid w:val="007C60B0"/>
    <w:rsid w:val="007C6842"/>
    <w:rsid w:val="007D40DF"/>
    <w:rsid w:val="007D7DB3"/>
    <w:rsid w:val="007E5BD0"/>
    <w:rsid w:val="007E7E61"/>
    <w:rsid w:val="007F0845"/>
    <w:rsid w:val="007F0F04"/>
    <w:rsid w:val="007F1A97"/>
    <w:rsid w:val="007F43FF"/>
    <w:rsid w:val="007F6E7D"/>
    <w:rsid w:val="007F748E"/>
    <w:rsid w:val="007F7AC0"/>
    <w:rsid w:val="00807C82"/>
    <w:rsid w:val="008128FE"/>
    <w:rsid w:val="00814350"/>
    <w:rsid w:val="00816905"/>
    <w:rsid w:val="00820AFF"/>
    <w:rsid w:val="00821FF6"/>
    <w:rsid w:val="0082214D"/>
    <w:rsid w:val="00824144"/>
    <w:rsid w:val="00825C4D"/>
    <w:rsid w:val="0083143E"/>
    <w:rsid w:val="00831CDE"/>
    <w:rsid w:val="008337AB"/>
    <w:rsid w:val="00834304"/>
    <w:rsid w:val="00834FAA"/>
    <w:rsid w:val="00836086"/>
    <w:rsid w:val="0084708F"/>
    <w:rsid w:val="008477C8"/>
    <w:rsid w:val="0085114D"/>
    <w:rsid w:val="00852217"/>
    <w:rsid w:val="00855408"/>
    <w:rsid w:val="00856D65"/>
    <w:rsid w:val="00861B41"/>
    <w:rsid w:val="00863434"/>
    <w:rsid w:val="00865E4C"/>
    <w:rsid w:val="00866C4C"/>
    <w:rsid w:val="008701E4"/>
    <w:rsid w:val="00870CB1"/>
    <w:rsid w:val="00875A32"/>
    <w:rsid w:val="00876086"/>
    <w:rsid w:val="00885827"/>
    <w:rsid w:val="00886695"/>
    <w:rsid w:val="008873D4"/>
    <w:rsid w:val="00892E5C"/>
    <w:rsid w:val="00893E85"/>
    <w:rsid w:val="00894031"/>
    <w:rsid w:val="008942E9"/>
    <w:rsid w:val="008A5827"/>
    <w:rsid w:val="008B3348"/>
    <w:rsid w:val="008B362A"/>
    <w:rsid w:val="008B53F5"/>
    <w:rsid w:val="008B7C02"/>
    <w:rsid w:val="008B7D2B"/>
    <w:rsid w:val="008C0049"/>
    <w:rsid w:val="008C0E88"/>
    <w:rsid w:val="008C3BF7"/>
    <w:rsid w:val="008C5C0E"/>
    <w:rsid w:val="008D1E6A"/>
    <w:rsid w:val="008D2A16"/>
    <w:rsid w:val="008D5980"/>
    <w:rsid w:val="008D675E"/>
    <w:rsid w:val="008E2C57"/>
    <w:rsid w:val="008E31FF"/>
    <w:rsid w:val="008E5204"/>
    <w:rsid w:val="008E59C3"/>
    <w:rsid w:val="008E6F06"/>
    <w:rsid w:val="008F029B"/>
    <w:rsid w:val="008F3FC9"/>
    <w:rsid w:val="008F4DEB"/>
    <w:rsid w:val="008F55A6"/>
    <w:rsid w:val="008F585B"/>
    <w:rsid w:val="008F5F4B"/>
    <w:rsid w:val="009000C1"/>
    <w:rsid w:val="009003A8"/>
    <w:rsid w:val="00902500"/>
    <w:rsid w:val="00902E5E"/>
    <w:rsid w:val="00902EFF"/>
    <w:rsid w:val="00906401"/>
    <w:rsid w:val="0091155E"/>
    <w:rsid w:val="00912A92"/>
    <w:rsid w:val="0091728D"/>
    <w:rsid w:val="0092180B"/>
    <w:rsid w:val="00921F14"/>
    <w:rsid w:val="00923267"/>
    <w:rsid w:val="00924AC8"/>
    <w:rsid w:val="0092532F"/>
    <w:rsid w:val="0092597A"/>
    <w:rsid w:val="00932443"/>
    <w:rsid w:val="00937AE2"/>
    <w:rsid w:val="00940186"/>
    <w:rsid w:val="0094427A"/>
    <w:rsid w:val="00945024"/>
    <w:rsid w:val="009475E7"/>
    <w:rsid w:val="00950553"/>
    <w:rsid w:val="00957A8D"/>
    <w:rsid w:val="009624FD"/>
    <w:rsid w:val="009634A1"/>
    <w:rsid w:val="00964292"/>
    <w:rsid w:val="009653B6"/>
    <w:rsid w:val="00970340"/>
    <w:rsid w:val="009708DA"/>
    <w:rsid w:val="00974575"/>
    <w:rsid w:val="00974923"/>
    <w:rsid w:val="00980D3D"/>
    <w:rsid w:val="00984E22"/>
    <w:rsid w:val="00987A30"/>
    <w:rsid w:val="00987F9A"/>
    <w:rsid w:val="00990075"/>
    <w:rsid w:val="0099014A"/>
    <w:rsid w:val="0099241C"/>
    <w:rsid w:val="00992CF3"/>
    <w:rsid w:val="009968D6"/>
    <w:rsid w:val="009A0C81"/>
    <w:rsid w:val="009A1CAB"/>
    <w:rsid w:val="009A498C"/>
    <w:rsid w:val="009A60D1"/>
    <w:rsid w:val="009A621E"/>
    <w:rsid w:val="009B4E49"/>
    <w:rsid w:val="009B528E"/>
    <w:rsid w:val="009B6FD3"/>
    <w:rsid w:val="009C1750"/>
    <w:rsid w:val="009C2E29"/>
    <w:rsid w:val="009C554B"/>
    <w:rsid w:val="009C719E"/>
    <w:rsid w:val="009C781D"/>
    <w:rsid w:val="009D2BD9"/>
    <w:rsid w:val="009D352C"/>
    <w:rsid w:val="009D3ACD"/>
    <w:rsid w:val="009D3BC0"/>
    <w:rsid w:val="009E2585"/>
    <w:rsid w:val="009E46C6"/>
    <w:rsid w:val="009E4D73"/>
    <w:rsid w:val="009E5273"/>
    <w:rsid w:val="009E5DDB"/>
    <w:rsid w:val="009E6109"/>
    <w:rsid w:val="009F2B95"/>
    <w:rsid w:val="009F3FFC"/>
    <w:rsid w:val="009F4CA7"/>
    <w:rsid w:val="009F4EC6"/>
    <w:rsid w:val="009F76ED"/>
    <w:rsid w:val="009F7E52"/>
    <w:rsid w:val="00A052C4"/>
    <w:rsid w:val="00A10D66"/>
    <w:rsid w:val="00A13312"/>
    <w:rsid w:val="00A13F88"/>
    <w:rsid w:val="00A14114"/>
    <w:rsid w:val="00A16154"/>
    <w:rsid w:val="00A16413"/>
    <w:rsid w:val="00A17828"/>
    <w:rsid w:val="00A20FBC"/>
    <w:rsid w:val="00A23E43"/>
    <w:rsid w:val="00A26B1E"/>
    <w:rsid w:val="00A275E0"/>
    <w:rsid w:val="00A30F65"/>
    <w:rsid w:val="00A4119D"/>
    <w:rsid w:val="00A418BC"/>
    <w:rsid w:val="00A41E43"/>
    <w:rsid w:val="00A46DE0"/>
    <w:rsid w:val="00A50D73"/>
    <w:rsid w:val="00A52C2A"/>
    <w:rsid w:val="00A52CAD"/>
    <w:rsid w:val="00A53FC7"/>
    <w:rsid w:val="00A56208"/>
    <w:rsid w:val="00A565D8"/>
    <w:rsid w:val="00A62CE1"/>
    <w:rsid w:val="00A635AF"/>
    <w:rsid w:val="00A66B6E"/>
    <w:rsid w:val="00A6741E"/>
    <w:rsid w:val="00A75E40"/>
    <w:rsid w:val="00A77D1D"/>
    <w:rsid w:val="00A82C42"/>
    <w:rsid w:val="00A857C0"/>
    <w:rsid w:val="00A86640"/>
    <w:rsid w:val="00A901E7"/>
    <w:rsid w:val="00A91F95"/>
    <w:rsid w:val="00A94240"/>
    <w:rsid w:val="00A97217"/>
    <w:rsid w:val="00AA2996"/>
    <w:rsid w:val="00AA52BF"/>
    <w:rsid w:val="00AA559A"/>
    <w:rsid w:val="00AA7B9B"/>
    <w:rsid w:val="00AB2AF1"/>
    <w:rsid w:val="00AB388A"/>
    <w:rsid w:val="00AC441F"/>
    <w:rsid w:val="00AD306C"/>
    <w:rsid w:val="00AD7789"/>
    <w:rsid w:val="00AE09B3"/>
    <w:rsid w:val="00AE1A83"/>
    <w:rsid w:val="00AE1B99"/>
    <w:rsid w:val="00AF26E9"/>
    <w:rsid w:val="00AF330F"/>
    <w:rsid w:val="00AF4476"/>
    <w:rsid w:val="00B00913"/>
    <w:rsid w:val="00B01593"/>
    <w:rsid w:val="00B02845"/>
    <w:rsid w:val="00B02E8C"/>
    <w:rsid w:val="00B07DEE"/>
    <w:rsid w:val="00B10A4D"/>
    <w:rsid w:val="00B12A37"/>
    <w:rsid w:val="00B14018"/>
    <w:rsid w:val="00B15FE5"/>
    <w:rsid w:val="00B17719"/>
    <w:rsid w:val="00B17E71"/>
    <w:rsid w:val="00B17FDE"/>
    <w:rsid w:val="00B2379C"/>
    <w:rsid w:val="00B2687D"/>
    <w:rsid w:val="00B26952"/>
    <w:rsid w:val="00B277D8"/>
    <w:rsid w:val="00B32DDB"/>
    <w:rsid w:val="00B340A3"/>
    <w:rsid w:val="00B34528"/>
    <w:rsid w:val="00B360ED"/>
    <w:rsid w:val="00B402FC"/>
    <w:rsid w:val="00B41E11"/>
    <w:rsid w:val="00B43A21"/>
    <w:rsid w:val="00B46604"/>
    <w:rsid w:val="00B51C20"/>
    <w:rsid w:val="00B530CD"/>
    <w:rsid w:val="00B55F5E"/>
    <w:rsid w:val="00B57476"/>
    <w:rsid w:val="00B5752E"/>
    <w:rsid w:val="00B632BA"/>
    <w:rsid w:val="00B63A11"/>
    <w:rsid w:val="00B64C24"/>
    <w:rsid w:val="00B6608F"/>
    <w:rsid w:val="00B666C8"/>
    <w:rsid w:val="00B679FB"/>
    <w:rsid w:val="00B73318"/>
    <w:rsid w:val="00B75C16"/>
    <w:rsid w:val="00B76D1E"/>
    <w:rsid w:val="00B77856"/>
    <w:rsid w:val="00B77CA9"/>
    <w:rsid w:val="00B80EC6"/>
    <w:rsid w:val="00B920BE"/>
    <w:rsid w:val="00B92D1D"/>
    <w:rsid w:val="00B938C5"/>
    <w:rsid w:val="00B95940"/>
    <w:rsid w:val="00B95C3A"/>
    <w:rsid w:val="00BA5776"/>
    <w:rsid w:val="00BA5EE1"/>
    <w:rsid w:val="00BA64C8"/>
    <w:rsid w:val="00BA7318"/>
    <w:rsid w:val="00BB1275"/>
    <w:rsid w:val="00BB3F84"/>
    <w:rsid w:val="00BB46F3"/>
    <w:rsid w:val="00BB4CB1"/>
    <w:rsid w:val="00BB4F98"/>
    <w:rsid w:val="00BC7154"/>
    <w:rsid w:val="00BD11FB"/>
    <w:rsid w:val="00BD366B"/>
    <w:rsid w:val="00BD621B"/>
    <w:rsid w:val="00BD6D50"/>
    <w:rsid w:val="00BD78B1"/>
    <w:rsid w:val="00BE18B9"/>
    <w:rsid w:val="00BE2495"/>
    <w:rsid w:val="00BF1578"/>
    <w:rsid w:val="00BF267F"/>
    <w:rsid w:val="00BF4D8A"/>
    <w:rsid w:val="00C05F7E"/>
    <w:rsid w:val="00C12CBC"/>
    <w:rsid w:val="00C15ACB"/>
    <w:rsid w:val="00C211A8"/>
    <w:rsid w:val="00C21D0B"/>
    <w:rsid w:val="00C21F94"/>
    <w:rsid w:val="00C25086"/>
    <w:rsid w:val="00C261B9"/>
    <w:rsid w:val="00C27913"/>
    <w:rsid w:val="00C27ECC"/>
    <w:rsid w:val="00C32A42"/>
    <w:rsid w:val="00C33473"/>
    <w:rsid w:val="00C33B68"/>
    <w:rsid w:val="00C36A79"/>
    <w:rsid w:val="00C405D4"/>
    <w:rsid w:val="00C40F78"/>
    <w:rsid w:val="00C45099"/>
    <w:rsid w:val="00C4513B"/>
    <w:rsid w:val="00C50C7A"/>
    <w:rsid w:val="00C54697"/>
    <w:rsid w:val="00C63864"/>
    <w:rsid w:val="00C63E7A"/>
    <w:rsid w:val="00C722C3"/>
    <w:rsid w:val="00C72D73"/>
    <w:rsid w:val="00C73885"/>
    <w:rsid w:val="00C747B1"/>
    <w:rsid w:val="00C82191"/>
    <w:rsid w:val="00C83419"/>
    <w:rsid w:val="00C90CF4"/>
    <w:rsid w:val="00C92EB6"/>
    <w:rsid w:val="00C92EBF"/>
    <w:rsid w:val="00C93389"/>
    <w:rsid w:val="00CB1D9D"/>
    <w:rsid w:val="00CB2EA2"/>
    <w:rsid w:val="00CB4930"/>
    <w:rsid w:val="00CB62B2"/>
    <w:rsid w:val="00CC2E7D"/>
    <w:rsid w:val="00CC3959"/>
    <w:rsid w:val="00CC4525"/>
    <w:rsid w:val="00CC4584"/>
    <w:rsid w:val="00CC6CBE"/>
    <w:rsid w:val="00CD10A5"/>
    <w:rsid w:val="00CD2076"/>
    <w:rsid w:val="00CD32D8"/>
    <w:rsid w:val="00CE14DF"/>
    <w:rsid w:val="00CE1AB5"/>
    <w:rsid w:val="00CE670B"/>
    <w:rsid w:val="00CF49AA"/>
    <w:rsid w:val="00CF51EC"/>
    <w:rsid w:val="00CF6504"/>
    <w:rsid w:val="00CF73AE"/>
    <w:rsid w:val="00D010A1"/>
    <w:rsid w:val="00D040DD"/>
    <w:rsid w:val="00D13986"/>
    <w:rsid w:val="00D235B7"/>
    <w:rsid w:val="00D25E9E"/>
    <w:rsid w:val="00D25F28"/>
    <w:rsid w:val="00D27973"/>
    <w:rsid w:val="00D31939"/>
    <w:rsid w:val="00D35030"/>
    <w:rsid w:val="00D37F2F"/>
    <w:rsid w:val="00D46D8F"/>
    <w:rsid w:val="00D50F46"/>
    <w:rsid w:val="00D61790"/>
    <w:rsid w:val="00D66223"/>
    <w:rsid w:val="00D67BE4"/>
    <w:rsid w:val="00D751DB"/>
    <w:rsid w:val="00D8025C"/>
    <w:rsid w:val="00D8084C"/>
    <w:rsid w:val="00D810B8"/>
    <w:rsid w:val="00D82385"/>
    <w:rsid w:val="00D82A66"/>
    <w:rsid w:val="00D84176"/>
    <w:rsid w:val="00D841D1"/>
    <w:rsid w:val="00D86E6A"/>
    <w:rsid w:val="00D9583C"/>
    <w:rsid w:val="00DA6881"/>
    <w:rsid w:val="00DA7C0C"/>
    <w:rsid w:val="00DB1402"/>
    <w:rsid w:val="00DB2EC8"/>
    <w:rsid w:val="00DB7B84"/>
    <w:rsid w:val="00DC0C2D"/>
    <w:rsid w:val="00DC5B3B"/>
    <w:rsid w:val="00DC690F"/>
    <w:rsid w:val="00DC785D"/>
    <w:rsid w:val="00DD129F"/>
    <w:rsid w:val="00DE19AF"/>
    <w:rsid w:val="00DF1979"/>
    <w:rsid w:val="00DF42FF"/>
    <w:rsid w:val="00DF5055"/>
    <w:rsid w:val="00DF6DCD"/>
    <w:rsid w:val="00E01C0E"/>
    <w:rsid w:val="00E031F1"/>
    <w:rsid w:val="00E03F9A"/>
    <w:rsid w:val="00E04694"/>
    <w:rsid w:val="00E062C9"/>
    <w:rsid w:val="00E10DDE"/>
    <w:rsid w:val="00E11C1C"/>
    <w:rsid w:val="00E11E29"/>
    <w:rsid w:val="00E12B1E"/>
    <w:rsid w:val="00E132EA"/>
    <w:rsid w:val="00E14902"/>
    <w:rsid w:val="00E15F5F"/>
    <w:rsid w:val="00E17262"/>
    <w:rsid w:val="00E173B0"/>
    <w:rsid w:val="00E253A2"/>
    <w:rsid w:val="00E30747"/>
    <w:rsid w:val="00E31EA9"/>
    <w:rsid w:val="00E32963"/>
    <w:rsid w:val="00E3309D"/>
    <w:rsid w:val="00E342B5"/>
    <w:rsid w:val="00E34AA3"/>
    <w:rsid w:val="00E361EC"/>
    <w:rsid w:val="00E41821"/>
    <w:rsid w:val="00E433FB"/>
    <w:rsid w:val="00E46D77"/>
    <w:rsid w:val="00E50156"/>
    <w:rsid w:val="00E52654"/>
    <w:rsid w:val="00E53470"/>
    <w:rsid w:val="00E539F6"/>
    <w:rsid w:val="00E54E60"/>
    <w:rsid w:val="00E63279"/>
    <w:rsid w:val="00E63D96"/>
    <w:rsid w:val="00E6519D"/>
    <w:rsid w:val="00E66153"/>
    <w:rsid w:val="00E67696"/>
    <w:rsid w:val="00E71A58"/>
    <w:rsid w:val="00E72A7A"/>
    <w:rsid w:val="00E75868"/>
    <w:rsid w:val="00E75C94"/>
    <w:rsid w:val="00E92F35"/>
    <w:rsid w:val="00E93820"/>
    <w:rsid w:val="00E939B8"/>
    <w:rsid w:val="00E94BA7"/>
    <w:rsid w:val="00EA0C68"/>
    <w:rsid w:val="00EA32BC"/>
    <w:rsid w:val="00EA4FF7"/>
    <w:rsid w:val="00EA6A4F"/>
    <w:rsid w:val="00EB166E"/>
    <w:rsid w:val="00EB3C60"/>
    <w:rsid w:val="00EB4511"/>
    <w:rsid w:val="00EB6741"/>
    <w:rsid w:val="00EC03D7"/>
    <w:rsid w:val="00EC2AEB"/>
    <w:rsid w:val="00ED59B5"/>
    <w:rsid w:val="00ED62C6"/>
    <w:rsid w:val="00ED64C1"/>
    <w:rsid w:val="00EE3446"/>
    <w:rsid w:val="00EE3E78"/>
    <w:rsid w:val="00EE4B1B"/>
    <w:rsid w:val="00EF150D"/>
    <w:rsid w:val="00EF1584"/>
    <w:rsid w:val="00EF1F5A"/>
    <w:rsid w:val="00EF2260"/>
    <w:rsid w:val="00EF47BF"/>
    <w:rsid w:val="00F04811"/>
    <w:rsid w:val="00F0488C"/>
    <w:rsid w:val="00F05F10"/>
    <w:rsid w:val="00F05F5E"/>
    <w:rsid w:val="00F10F11"/>
    <w:rsid w:val="00F14220"/>
    <w:rsid w:val="00F15AAA"/>
    <w:rsid w:val="00F15BEF"/>
    <w:rsid w:val="00F15ED3"/>
    <w:rsid w:val="00F16324"/>
    <w:rsid w:val="00F24407"/>
    <w:rsid w:val="00F24FAA"/>
    <w:rsid w:val="00F3350A"/>
    <w:rsid w:val="00F3364D"/>
    <w:rsid w:val="00F437CC"/>
    <w:rsid w:val="00F47067"/>
    <w:rsid w:val="00F4784B"/>
    <w:rsid w:val="00F5066F"/>
    <w:rsid w:val="00F525EB"/>
    <w:rsid w:val="00F53B2E"/>
    <w:rsid w:val="00F6066A"/>
    <w:rsid w:val="00F61490"/>
    <w:rsid w:val="00F63DDE"/>
    <w:rsid w:val="00F63FB7"/>
    <w:rsid w:val="00F649D2"/>
    <w:rsid w:val="00F6602B"/>
    <w:rsid w:val="00F7260E"/>
    <w:rsid w:val="00F738B6"/>
    <w:rsid w:val="00F73A0C"/>
    <w:rsid w:val="00F73D18"/>
    <w:rsid w:val="00F756DB"/>
    <w:rsid w:val="00F80FF7"/>
    <w:rsid w:val="00F83F57"/>
    <w:rsid w:val="00F84C44"/>
    <w:rsid w:val="00F85066"/>
    <w:rsid w:val="00FA5D4D"/>
    <w:rsid w:val="00FA68EB"/>
    <w:rsid w:val="00FA7353"/>
    <w:rsid w:val="00FB0EE2"/>
    <w:rsid w:val="00FB2D4C"/>
    <w:rsid w:val="00FB340A"/>
    <w:rsid w:val="00FB4035"/>
    <w:rsid w:val="00FB529E"/>
    <w:rsid w:val="00FB542E"/>
    <w:rsid w:val="00FC0E5F"/>
    <w:rsid w:val="00FC13AE"/>
    <w:rsid w:val="00FC1A95"/>
    <w:rsid w:val="00FC53E5"/>
    <w:rsid w:val="00FC56DE"/>
    <w:rsid w:val="00FC684B"/>
    <w:rsid w:val="00FD3265"/>
    <w:rsid w:val="00FD6568"/>
    <w:rsid w:val="00FE1052"/>
    <w:rsid w:val="00FE2F78"/>
    <w:rsid w:val="00FE4D9A"/>
    <w:rsid w:val="00FE5433"/>
    <w:rsid w:val="00FE5902"/>
    <w:rsid w:val="00FF736C"/>
    <w:rsid w:val="00FF7B96"/>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colormru v:ext="edit" colors="#ecf4dd,#eaecee,#fcec0a,#fcecdb,#f1daf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qFormat="1"/>
    <w:lsdException w:name="footer" w:qFormat="1"/>
    <w:lsdException w:name="caption" w:uiPriority="35" w:qFormat="1"/>
    <w:lsdException w:name="footnote reference" w:uiPriority="0"/>
    <w:lsdException w:name="annotation reference" w:uiPriority="0"/>
    <w:lsdException w:name="List"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lsdException w:name="Colorful Grid Accent 1" w:semiHidden="0" w:uiPriority="29" w:unhideWhenUsed="0"/>
    <w:lsdException w:name="Light Shading Accent 2" w:semiHidden="0" w:uiPriority="3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39" w:qFormat="1"/>
  </w:latentStyles>
  <w:style w:type="paragraph" w:default="1" w:styleId="Normln">
    <w:name w:val="Normal"/>
    <w:qFormat/>
    <w:rsid w:val="00DF42FF"/>
    <w:pPr>
      <w:spacing w:after="240" w:line="288" w:lineRule="auto"/>
    </w:pPr>
    <w:rPr>
      <w:rFonts w:ascii="Arial" w:eastAsia="Times New Roman" w:hAnsi="Arial"/>
      <w:szCs w:val="24"/>
    </w:rPr>
  </w:style>
  <w:style w:type="paragraph" w:styleId="Nadpis1">
    <w:name w:val="heading 1"/>
    <w:next w:val="Normln"/>
    <w:link w:val="Nadpis1Char"/>
    <w:uiPriority w:val="9"/>
    <w:qFormat/>
    <w:rsid w:val="004900FF"/>
    <w:pPr>
      <w:keepNext/>
      <w:keepLines/>
      <w:spacing w:after="100" w:line="288" w:lineRule="auto"/>
      <w:contextualSpacing/>
      <w:outlineLvl w:val="0"/>
    </w:pPr>
    <w:rPr>
      <w:rFonts w:ascii="Arial" w:eastAsia="MS Gothic" w:hAnsi="Arial"/>
      <w:b/>
      <w:bCs/>
      <w:color w:val="C00000"/>
      <w:sz w:val="32"/>
      <w:szCs w:val="28"/>
    </w:rPr>
  </w:style>
  <w:style w:type="paragraph" w:styleId="Nadpis2">
    <w:name w:val="heading 2"/>
    <w:next w:val="Normln"/>
    <w:link w:val="Nadpis2Char"/>
    <w:uiPriority w:val="9"/>
    <w:qFormat/>
    <w:rsid w:val="004900FF"/>
    <w:pPr>
      <w:keepNext/>
      <w:keepLines/>
      <w:spacing w:line="288" w:lineRule="auto"/>
      <w:outlineLvl w:val="1"/>
    </w:pPr>
    <w:rPr>
      <w:rFonts w:ascii="Arial" w:eastAsia="MS Gothic" w:hAnsi="Arial"/>
      <w:b/>
      <w:bCs/>
      <w:color w:val="BC091B"/>
      <w:sz w:val="28"/>
      <w:szCs w:val="26"/>
    </w:rPr>
  </w:style>
  <w:style w:type="paragraph" w:styleId="Nadpis3">
    <w:name w:val="heading 3"/>
    <w:next w:val="Normln"/>
    <w:link w:val="Nadpis3Char"/>
    <w:uiPriority w:val="9"/>
    <w:qFormat/>
    <w:rsid w:val="004900FF"/>
    <w:pPr>
      <w:keepNext/>
      <w:keepLines/>
      <w:spacing w:line="288" w:lineRule="auto"/>
      <w:outlineLvl w:val="2"/>
    </w:pPr>
    <w:rPr>
      <w:rFonts w:ascii="Arial" w:eastAsia="MS Gothic" w:hAnsi="Arial"/>
      <w:b/>
      <w:bCs/>
      <w:color w:val="BC091B"/>
      <w:sz w:val="24"/>
      <w:szCs w:val="24"/>
    </w:rPr>
  </w:style>
  <w:style w:type="paragraph" w:styleId="Nadpis4">
    <w:name w:val="heading 4"/>
    <w:next w:val="Normln"/>
    <w:link w:val="Nadpis4Char"/>
    <w:uiPriority w:val="9"/>
    <w:qFormat/>
    <w:rsid w:val="004900FF"/>
    <w:pPr>
      <w:keepNext/>
      <w:keepLines/>
      <w:spacing w:line="288" w:lineRule="auto"/>
      <w:outlineLvl w:val="3"/>
    </w:pPr>
    <w:rPr>
      <w:rFonts w:ascii="Arial" w:eastAsia="MS Gothic" w:hAnsi="Arial"/>
      <w:b/>
      <w:bCs/>
      <w:iCs/>
      <w:color w:val="BC091B"/>
      <w:szCs w:val="24"/>
    </w:rPr>
  </w:style>
  <w:style w:type="paragraph" w:styleId="Nadpis9">
    <w:name w:val="heading 9"/>
    <w:basedOn w:val="Normln"/>
    <w:next w:val="Normln"/>
    <w:link w:val="Nadpis9Char"/>
    <w:uiPriority w:val="9"/>
    <w:semiHidden/>
    <w:unhideWhenUsed/>
    <w:qFormat/>
    <w:rsid w:val="00A30F65"/>
    <w:p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4900FF"/>
    <w:rPr>
      <w:rFonts w:ascii="Arial" w:eastAsia="MS Gothic" w:hAnsi="Arial"/>
      <w:b/>
      <w:bCs/>
      <w:color w:val="C00000"/>
      <w:sz w:val="32"/>
      <w:szCs w:val="28"/>
      <w:lang w:bidi="ar-SA"/>
    </w:rPr>
  </w:style>
  <w:style w:type="character" w:customStyle="1" w:styleId="Nadpis2Char">
    <w:name w:val="Nadpis 2 Char"/>
    <w:link w:val="Nadpis2"/>
    <w:uiPriority w:val="9"/>
    <w:rsid w:val="004900FF"/>
    <w:rPr>
      <w:rFonts w:ascii="Arial" w:eastAsia="MS Gothic" w:hAnsi="Arial"/>
      <w:b/>
      <w:bCs/>
      <w:color w:val="BC091B"/>
      <w:sz w:val="28"/>
      <w:szCs w:val="26"/>
      <w:lang w:bidi="ar-SA"/>
    </w:rPr>
  </w:style>
  <w:style w:type="character" w:customStyle="1" w:styleId="Nadpis3Char">
    <w:name w:val="Nadpis 3 Char"/>
    <w:link w:val="Nadpis3"/>
    <w:uiPriority w:val="9"/>
    <w:rsid w:val="004900FF"/>
    <w:rPr>
      <w:rFonts w:ascii="Arial" w:eastAsia="MS Gothic" w:hAnsi="Arial"/>
      <w:b/>
      <w:bCs/>
      <w:color w:val="BC091B"/>
      <w:sz w:val="24"/>
      <w:szCs w:val="24"/>
      <w:lang w:bidi="ar-SA"/>
    </w:rPr>
  </w:style>
  <w:style w:type="character" w:customStyle="1" w:styleId="Nadpis4Char">
    <w:name w:val="Nadpis 4 Char"/>
    <w:link w:val="Nadpis4"/>
    <w:uiPriority w:val="9"/>
    <w:rsid w:val="004900FF"/>
    <w:rPr>
      <w:rFonts w:ascii="Arial" w:eastAsia="MS Gothic" w:hAnsi="Arial"/>
      <w:b/>
      <w:bCs/>
      <w:iCs/>
      <w:color w:val="BC091B"/>
      <w:szCs w:val="24"/>
      <w:lang w:bidi="ar-SA"/>
    </w:rPr>
  </w:style>
  <w:style w:type="character" w:customStyle="1" w:styleId="Nadpis9Char">
    <w:name w:val="Nadpis 9 Char"/>
    <w:link w:val="Nadpis9"/>
    <w:uiPriority w:val="9"/>
    <w:semiHidden/>
    <w:rsid w:val="00A30F65"/>
    <w:rPr>
      <w:rFonts w:ascii="Cambria" w:eastAsia="Times New Roman" w:hAnsi="Cambria" w:cs="Times New Roman"/>
      <w:sz w:val="22"/>
      <w:szCs w:val="22"/>
    </w:rPr>
  </w:style>
  <w:style w:type="character" w:styleId="Hypertextovodkaz">
    <w:name w:val="Hyperlink"/>
    <w:uiPriority w:val="99"/>
    <w:rsid w:val="00E71A58"/>
    <w:rPr>
      <w:color w:val="0000FF"/>
      <w:u w:val="single"/>
    </w:rPr>
  </w:style>
  <w:style w:type="paragraph" w:styleId="Zhlav">
    <w:name w:val="header"/>
    <w:link w:val="ZhlavChar"/>
    <w:uiPriority w:val="99"/>
    <w:unhideWhenUsed/>
    <w:qFormat/>
    <w:rsid w:val="00A418BC"/>
    <w:pPr>
      <w:spacing w:line="288" w:lineRule="auto"/>
    </w:pPr>
    <w:rPr>
      <w:rFonts w:ascii="Arial" w:hAnsi="Arial"/>
      <w:sz w:val="16"/>
      <w:szCs w:val="22"/>
      <w:lang w:eastAsia="en-US"/>
    </w:rPr>
  </w:style>
  <w:style w:type="character" w:customStyle="1" w:styleId="ZhlavChar">
    <w:name w:val="Záhlaví Char"/>
    <w:link w:val="Zhlav"/>
    <w:uiPriority w:val="99"/>
    <w:rsid w:val="00A418BC"/>
    <w:rPr>
      <w:rFonts w:ascii="Arial" w:hAnsi="Arial"/>
      <w:sz w:val="16"/>
      <w:szCs w:val="22"/>
      <w:lang w:eastAsia="en-US" w:bidi="ar-SA"/>
    </w:rPr>
  </w:style>
  <w:style w:type="paragraph" w:styleId="Zpat">
    <w:name w:val="footer"/>
    <w:link w:val="ZpatChar"/>
    <w:uiPriority w:val="99"/>
    <w:unhideWhenUsed/>
    <w:qFormat/>
    <w:rsid w:val="00031AE0"/>
    <w:pPr>
      <w:tabs>
        <w:tab w:val="center" w:pos="4820"/>
        <w:tab w:val="right" w:pos="9639"/>
      </w:tabs>
    </w:pPr>
    <w:rPr>
      <w:rFonts w:ascii="Arial" w:hAnsi="Arial"/>
      <w:noProof/>
      <w:sz w:val="16"/>
      <w:lang w:eastAsia="en-US"/>
    </w:rPr>
  </w:style>
  <w:style w:type="character" w:customStyle="1" w:styleId="ZpatChar">
    <w:name w:val="Zápatí Char"/>
    <w:link w:val="Zpat"/>
    <w:uiPriority w:val="99"/>
    <w:rsid w:val="00031AE0"/>
    <w:rPr>
      <w:rFonts w:ascii="Arial" w:hAnsi="Arial"/>
      <w:noProof/>
      <w:sz w:val="16"/>
      <w:lang w:eastAsia="en-US" w:bidi="ar-SA"/>
    </w:rPr>
  </w:style>
  <w:style w:type="paragraph" w:styleId="Textbubliny">
    <w:name w:val="Balloon Text"/>
    <w:basedOn w:val="Normln"/>
    <w:link w:val="TextbublinyChar"/>
    <w:uiPriority w:val="99"/>
    <w:semiHidden/>
    <w:unhideWhenUsed/>
    <w:rsid w:val="00E71A58"/>
    <w:rPr>
      <w:rFonts w:ascii="Tahoma" w:eastAsia="Calibri" w:hAnsi="Tahoma"/>
      <w:sz w:val="16"/>
      <w:szCs w:val="16"/>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link w:val="ZkladnodstavecChar"/>
    <w:uiPriority w:val="99"/>
    <w:rsid w:val="0008263E"/>
    <w:pPr>
      <w:autoSpaceDE w:val="0"/>
      <w:autoSpaceDN w:val="0"/>
      <w:adjustRightInd w:val="0"/>
      <w:spacing w:line="276" w:lineRule="auto"/>
      <w:textAlignment w:val="center"/>
    </w:pPr>
    <w:rPr>
      <w:rFonts w:ascii="Arial" w:hAnsi="Arial"/>
      <w:color w:val="000000"/>
      <w:szCs w:val="24"/>
    </w:rPr>
  </w:style>
  <w:style w:type="character" w:customStyle="1" w:styleId="ZkladnodstavecChar">
    <w:name w:val="[Základní odstavec] Char"/>
    <w:link w:val="Zkladnodstavec"/>
    <w:uiPriority w:val="99"/>
    <w:rsid w:val="0008263E"/>
    <w:rPr>
      <w:rFonts w:ascii="Arial" w:hAnsi="Arial"/>
      <w:color w:val="000000"/>
      <w:szCs w:val="24"/>
      <w:lang w:bidi="ar-SA"/>
    </w:rPr>
  </w:style>
  <w:style w:type="paragraph" w:styleId="Obsah1">
    <w:name w:val="toc 1"/>
    <w:basedOn w:val="Obsahpoloky"/>
    <w:next w:val="Obsahpoloky"/>
    <w:autoRedefine/>
    <w:uiPriority w:val="39"/>
    <w:unhideWhenUsed/>
    <w:rsid w:val="00FC1A95"/>
  </w:style>
  <w:style w:type="paragraph" w:customStyle="1" w:styleId="TLIdentifikace-sted">
    <w:name w:val="TL Identifikace - střed"/>
    <w:qFormat/>
    <w:rsid w:val="009A60D1"/>
    <w:pPr>
      <w:spacing w:after="200" w:line="288" w:lineRule="auto"/>
    </w:pPr>
    <w:rPr>
      <w:rFonts w:ascii="Arial" w:eastAsia="Times New Roman" w:hAnsi="Arial"/>
      <w:sz w:val="24"/>
      <w:szCs w:val="24"/>
    </w:rPr>
  </w:style>
  <w:style w:type="paragraph" w:customStyle="1" w:styleId="Obsah">
    <w:name w:val="Obsah"/>
    <w:next w:val="Normln"/>
    <w:qFormat/>
    <w:rsid w:val="004900FF"/>
    <w:pPr>
      <w:spacing w:after="80" w:line="288" w:lineRule="auto"/>
    </w:pPr>
    <w:rPr>
      <w:rFonts w:ascii="Arial" w:eastAsia="Times New Roman" w:hAnsi="Arial"/>
      <w:b/>
      <w:color w:val="BC091B"/>
      <w:sz w:val="32"/>
      <w:szCs w:val="24"/>
    </w:rPr>
  </w:style>
  <w:style w:type="paragraph" w:customStyle="1" w:styleId="Obsahpoloky">
    <w:name w:val="Obsah položky"/>
    <w:qFormat/>
    <w:rsid w:val="00616E05"/>
    <w:pPr>
      <w:tabs>
        <w:tab w:val="right" w:leader="dot" w:pos="9639"/>
      </w:tabs>
      <w:spacing w:line="288" w:lineRule="auto"/>
    </w:pPr>
    <w:rPr>
      <w:rFonts w:ascii="Arial" w:eastAsia="Times New Roman" w:hAnsi="Arial"/>
      <w:szCs w:val="24"/>
    </w:rPr>
  </w:style>
  <w:style w:type="paragraph" w:customStyle="1" w:styleId="Box1">
    <w:name w:val="Box 1"/>
    <w:next w:val="Normln"/>
    <w:qFormat/>
    <w:rsid w:val="004900FF"/>
    <w:pPr>
      <w:shd w:val="clear" w:color="auto" w:fill="F5DADD"/>
      <w:spacing w:before="240" w:after="240" w:line="288" w:lineRule="auto"/>
      <w:ind w:left="709"/>
      <w:contextualSpacing/>
    </w:pPr>
    <w:rPr>
      <w:rFonts w:ascii="Arial" w:hAnsi="Arial" w:cs="Arial"/>
    </w:rPr>
  </w:style>
  <w:style w:type="paragraph" w:customStyle="1" w:styleId="Box2">
    <w:name w:val="Box 2"/>
    <w:qFormat/>
    <w:rsid w:val="004900FF"/>
    <w:pPr>
      <w:spacing w:before="240" w:after="240" w:line="288" w:lineRule="auto"/>
      <w:ind w:left="709"/>
      <w:contextualSpacing/>
    </w:pPr>
    <w:rPr>
      <w:rFonts w:ascii="Arial" w:hAnsi="Arial" w:cs="Arial"/>
      <w:color w:val="BC091B"/>
    </w:rPr>
  </w:style>
  <w:style w:type="paragraph" w:styleId="Seznam">
    <w:name w:val="List"/>
    <w:basedOn w:val="Normln"/>
    <w:uiPriority w:val="99"/>
    <w:unhideWhenUsed/>
    <w:qFormat/>
    <w:rsid w:val="00481E40"/>
    <w:pPr>
      <w:contextualSpacing/>
    </w:pPr>
  </w:style>
  <w:style w:type="character" w:styleId="Siln">
    <w:name w:val="Strong"/>
    <w:aliases w:val="Tučné"/>
    <w:uiPriority w:val="22"/>
    <w:qFormat/>
    <w:rsid w:val="00EC03D7"/>
    <w:rPr>
      <w:rFonts w:ascii="Arial" w:hAnsi="Arial"/>
      <w:b/>
      <w:bCs/>
      <w:sz w:val="20"/>
    </w:rPr>
  </w:style>
  <w:style w:type="paragraph" w:customStyle="1" w:styleId="TLKontaktyerven">
    <w:name w:val="TL Kontakty červené"/>
    <w:basedOn w:val="Normln"/>
    <w:qFormat/>
    <w:rsid w:val="00104C4C"/>
    <w:pPr>
      <w:spacing w:after="40"/>
      <w:contextualSpacing/>
    </w:pPr>
    <w:rPr>
      <w:b/>
      <w:caps/>
      <w:color w:val="BD1B21"/>
      <w:sz w:val="24"/>
    </w:rPr>
  </w:style>
  <w:style w:type="paragraph" w:customStyle="1" w:styleId="TLKontakty">
    <w:name w:val="TL Kontakty"/>
    <w:qFormat/>
    <w:rsid w:val="008E6F06"/>
    <w:pPr>
      <w:spacing w:after="160" w:line="259" w:lineRule="auto"/>
      <w:contextualSpacing/>
    </w:pPr>
    <w:rPr>
      <w:rFonts w:ascii="Arial" w:eastAsia="Times New Roman" w:hAnsi="Arial"/>
      <w:b/>
      <w:color w:val="0071BC"/>
    </w:rPr>
  </w:style>
  <w:style w:type="paragraph" w:styleId="Nzev">
    <w:name w:val="Title"/>
    <w:link w:val="NzevChar"/>
    <w:uiPriority w:val="10"/>
    <w:qFormat/>
    <w:rsid w:val="004900FF"/>
    <w:pPr>
      <w:spacing w:line="288" w:lineRule="auto"/>
    </w:pPr>
    <w:rPr>
      <w:rFonts w:ascii="Arial" w:eastAsia="Times New Roman" w:hAnsi="Arial"/>
      <w:b/>
      <w:bCs/>
      <w:caps/>
      <w:color w:val="BC091B"/>
      <w:kern w:val="28"/>
      <w:sz w:val="56"/>
      <w:szCs w:val="32"/>
    </w:rPr>
  </w:style>
  <w:style w:type="character" w:customStyle="1" w:styleId="NzevChar">
    <w:name w:val="Název Char"/>
    <w:link w:val="Nzev"/>
    <w:uiPriority w:val="10"/>
    <w:rsid w:val="004900FF"/>
    <w:rPr>
      <w:rFonts w:ascii="Arial" w:eastAsia="Times New Roman" w:hAnsi="Arial"/>
      <w:b/>
      <w:bCs/>
      <w:caps/>
      <w:color w:val="BC091B"/>
      <w:kern w:val="28"/>
      <w:sz w:val="56"/>
      <w:szCs w:val="32"/>
      <w:lang w:bidi="ar-SA"/>
    </w:rPr>
  </w:style>
  <w:style w:type="paragraph" w:styleId="Podtitul">
    <w:name w:val="Subtitle"/>
    <w:link w:val="PodtitulChar"/>
    <w:uiPriority w:val="11"/>
    <w:qFormat/>
    <w:rsid w:val="004900FF"/>
    <w:pPr>
      <w:spacing w:line="288" w:lineRule="auto"/>
    </w:pPr>
    <w:rPr>
      <w:rFonts w:ascii="Arial" w:eastAsia="Times New Roman" w:hAnsi="Arial"/>
      <w:b/>
      <w:color w:val="BC091B"/>
      <w:sz w:val="28"/>
      <w:szCs w:val="24"/>
    </w:rPr>
  </w:style>
  <w:style w:type="character" w:customStyle="1" w:styleId="PodtitulChar">
    <w:name w:val="Podtitul Char"/>
    <w:link w:val="Podtitul"/>
    <w:uiPriority w:val="11"/>
    <w:rsid w:val="004900FF"/>
    <w:rPr>
      <w:rFonts w:ascii="Arial" w:eastAsia="Times New Roman" w:hAnsi="Arial"/>
      <w:b/>
      <w:color w:val="BC091B"/>
      <w:sz w:val="28"/>
      <w:szCs w:val="24"/>
      <w:lang w:bidi="ar-SA"/>
    </w:rPr>
  </w:style>
  <w:style w:type="paragraph" w:styleId="Obsah2">
    <w:name w:val="toc 2"/>
    <w:basedOn w:val="Obsahpoloky"/>
    <w:next w:val="Obsahpoloky"/>
    <w:autoRedefine/>
    <w:uiPriority w:val="39"/>
    <w:unhideWhenUsed/>
    <w:rsid w:val="00FC1A95"/>
    <w:pPr>
      <w:ind w:left="200"/>
    </w:pPr>
  </w:style>
  <w:style w:type="paragraph" w:styleId="Obsah3">
    <w:name w:val="toc 3"/>
    <w:basedOn w:val="Obsahpoloky"/>
    <w:next w:val="Obsahpoloky"/>
    <w:autoRedefine/>
    <w:uiPriority w:val="39"/>
    <w:unhideWhenUsed/>
    <w:rsid w:val="00FC1A95"/>
    <w:pPr>
      <w:ind w:left="400"/>
    </w:pPr>
  </w:style>
  <w:style w:type="paragraph" w:styleId="Obsah4">
    <w:name w:val="toc 4"/>
    <w:basedOn w:val="Obsahpoloky"/>
    <w:next w:val="Obsahpoloky"/>
    <w:autoRedefine/>
    <w:uiPriority w:val="39"/>
    <w:unhideWhenUsed/>
    <w:rsid w:val="00FC1A95"/>
    <w:pPr>
      <w:ind w:left="600"/>
    </w:pPr>
  </w:style>
  <w:style w:type="paragraph" w:styleId="Obsah5">
    <w:name w:val="toc 5"/>
    <w:basedOn w:val="Obsahpoloky"/>
    <w:next w:val="Obsahpoloky"/>
    <w:autoRedefine/>
    <w:uiPriority w:val="39"/>
    <w:semiHidden/>
    <w:unhideWhenUsed/>
    <w:rsid w:val="00FC1A95"/>
    <w:pPr>
      <w:ind w:left="800"/>
    </w:pPr>
  </w:style>
  <w:style w:type="paragraph" w:styleId="Obsah6">
    <w:name w:val="toc 6"/>
    <w:basedOn w:val="Obsahpoloky"/>
    <w:next w:val="Obsahpoloky"/>
    <w:autoRedefine/>
    <w:uiPriority w:val="39"/>
    <w:semiHidden/>
    <w:unhideWhenUsed/>
    <w:rsid w:val="00FC1A95"/>
    <w:pPr>
      <w:ind w:left="1000"/>
    </w:pPr>
  </w:style>
  <w:style w:type="paragraph" w:styleId="Obsah7">
    <w:name w:val="toc 7"/>
    <w:basedOn w:val="Obsahpoloky"/>
    <w:next w:val="Obsahpoloky"/>
    <w:autoRedefine/>
    <w:uiPriority w:val="39"/>
    <w:semiHidden/>
    <w:unhideWhenUsed/>
    <w:rsid w:val="00FC1A95"/>
    <w:pPr>
      <w:ind w:left="1200"/>
    </w:pPr>
  </w:style>
  <w:style w:type="paragraph" w:styleId="Obsah8">
    <w:name w:val="toc 8"/>
    <w:basedOn w:val="Obsahpoloky"/>
    <w:next w:val="Obsahpoloky"/>
    <w:autoRedefine/>
    <w:uiPriority w:val="39"/>
    <w:semiHidden/>
    <w:unhideWhenUsed/>
    <w:rsid w:val="00FC1A95"/>
    <w:pPr>
      <w:ind w:left="1400"/>
    </w:pPr>
  </w:style>
  <w:style w:type="paragraph" w:styleId="Obsah9">
    <w:name w:val="toc 9"/>
    <w:basedOn w:val="Obsahpoloky"/>
    <w:next w:val="Obsahpoloky"/>
    <w:autoRedefine/>
    <w:uiPriority w:val="39"/>
    <w:semiHidden/>
    <w:unhideWhenUsed/>
    <w:rsid w:val="00924AC8"/>
    <w:pPr>
      <w:ind w:left="1600"/>
    </w:pPr>
  </w:style>
  <w:style w:type="paragraph" w:customStyle="1" w:styleId="TL-identifikace-sted">
    <w:name w:val="TL - identifikace - střed"/>
    <w:basedOn w:val="Normln"/>
    <w:link w:val="TL-identifikace-stedChar"/>
    <w:rsid w:val="000E047F"/>
    <w:pPr>
      <w:spacing w:after="200"/>
    </w:pPr>
    <w:rPr>
      <w:sz w:val="24"/>
    </w:rPr>
  </w:style>
  <w:style w:type="character" w:customStyle="1" w:styleId="TL-identifikace-stedChar">
    <w:name w:val="TL - identifikace - střed Char"/>
    <w:link w:val="TL-identifikace-sted"/>
    <w:rsid w:val="000E047F"/>
    <w:rPr>
      <w:rFonts w:ascii="Arial" w:eastAsia="Times New Roman" w:hAnsi="Arial"/>
      <w:sz w:val="24"/>
      <w:szCs w:val="24"/>
    </w:rPr>
  </w:style>
  <w:style w:type="paragraph" w:styleId="Odstavecseseznamem">
    <w:name w:val="List Paragraph"/>
    <w:basedOn w:val="Normln"/>
    <w:uiPriority w:val="34"/>
    <w:qFormat/>
    <w:rsid w:val="000E047F"/>
    <w:pPr>
      <w:spacing w:after="200" w:line="276" w:lineRule="auto"/>
      <w:ind w:left="720"/>
      <w:contextualSpacing/>
    </w:pPr>
    <w:rPr>
      <w:rFonts w:ascii="Calibri" w:hAnsi="Calibri"/>
      <w:sz w:val="22"/>
      <w:szCs w:val="22"/>
    </w:rPr>
  </w:style>
  <w:style w:type="paragraph" w:styleId="Textpoznpodarou">
    <w:name w:val="footnote text"/>
    <w:basedOn w:val="Normln"/>
    <w:link w:val="TextpoznpodarouChar"/>
    <w:unhideWhenUsed/>
    <w:rsid w:val="000E047F"/>
    <w:pPr>
      <w:spacing w:after="0" w:line="240" w:lineRule="auto"/>
    </w:pPr>
    <w:rPr>
      <w:rFonts w:ascii="Calibri" w:hAnsi="Calibri"/>
      <w:szCs w:val="20"/>
    </w:rPr>
  </w:style>
  <w:style w:type="character" w:customStyle="1" w:styleId="TextpoznpodarouChar">
    <w:name w:val="Text pozn. pod čarou Char"/>
    <w:basedOn w:val="Standardnpsmoodstavce"/>
    <w:link w:val="Textpoznpodarou"/>
    <w:rsid w:val="000E047F"/>
    <w:rPr>
      <w:rFonts w:ascii="Calibri" w:eastAsia="Times New Roman" w:hAnsi="Calibri" w:cs="Times New Roman"/>
    </w:rPr>
  </w:style>
  <w:style w:type="character" w:styleId="Znakapoznpodarou">
    <w:name w:val="footnote reference"/>
    <w:basedOn w:val="Standardnpsmoodstavce"/>
    <w:semiHidden/>
    <w:unhideWhenUsed/>
    <w:rsid w:val="000E047F"/>
    <w:rPr>
      <w:vertAlign w:val="superscript"/>
    </w:rPr>
  </w:style>
  <w:style w:type="paragraph" w:customStyle="1" w:styleId="Default">
    <w:name w:val="Default"/>
    <w:rsid w:val="000E047F"/>
    <w:pPr>
      <w:autoSpaceDE w:val="0"/>
      <w:autoSpaceDN w:val="0"/>
      <w:adjustRightInd w:val="0"/>
    </w:pPr>
    <w:rPr>
      <w:rFonts w:eastAsia="Times New Roman" w:cs="Calibri"/>
      <w:color w:val="000000"/>
      <w:sz w:val="24"/>
      <w:szCs w:val="24"/>
    </w:rPr>
  </w:style>
  <w:style w:type="paragraph" w:styleId="Nadpisobsahu">
    <w:name w:val="TOC Heading"/>
    <w:basedOn w:val="Nadpis1"/>
    <w:next w:val="Normln"/>
    <w:uiPriority w:val="39"/>
    <w:semiHidden/>
    <w:unhideWhenUsed/>
    <w:qFormat/>
    <w:rsid w:val="000E047F"/>
    <w:pPr>
      <w:spacing w:before="480" w:after="0" w:line="276" w:lineRule="auto"/>
      <w:contextualSpacing w:val="0"/>
      <w:outlineLvl w:val="9"/>
    </w:pPr>
    <w:rPr>
      <w:rFonts w:ascii="Cambria" w:eastAsia="Times New Roman" w:hAnsi="Cambria"/>
      <w:color w:val="365F91"/>
      <w:sz w:val="28"/>
    </w:rPr>
  </w:style>
  <w:style w:type="paragraph" w:styleId="Normlnweb">
    <w:name w:val="Normal (Web)"/>
    <w:basedOn w:val="Normln"/>
    <w:uiPriority w:val="99"/>
    <w:unhideWhenUsed/>
    <w:rsid w:val="000E047F"/>
    <w:pPr>
      <w:spacing w:before="100" w:beforeAutospacing="1" w:after="100" w:afterAutospacing="1" w:line="240" w:lineRule="auto"/>
    </w:pPr>
    <w:rPr>
      <w:rFonts w:ascii="Times New Roman" w:hAnsi="Times New Roman"/>
      <w:sz w:val="24"/>
    </w:rPr>
  </w:style>
  <w:style w:type="character" w:styleId="Odkaznakoment">
    <w:name w:val="annotation reference"/>
    <w:semiHidden/>
    <w:unhideWhenUsed/>
    <w:rsid w:val="000E047F"/>
    <w:rPr>
      <w:sz w:val="16"/>
      <w:szCs w:val="16"/>
    </w:rPr>
  </w:style>
  <w:style w:type="paragraph" w:styleId="Textkomente">
    <w:name w:val="annotation text"/>
    <w:basedOn w:val="Normln"/>
    <w:link w:val="TextkomenteChar"/>
    <w:unhideWhenUsed/>
    <w:rsid w:val="000E047F"/>
    <w:pPr>
      <w:spacing w:after="0" w:line="240" w:lineRule="auto"/>
    </w:pPr>
    <w:rPr>
      <w:rFonts w:ascii="Times New Roman" w:eastAsia="MS Mincho" w:hAnsi="Times New Roman"/>
      <w:szCs w:val="20"/>
      <w:lang w:eastAsia="ja-JP"/>
    </w:rPr>
  </w:style>
  <w:style w:type="character" w:customStyle="1" w:styleId="TextkomenteChar">
    <w:name w:val="Text komentáře Char"/>
    <w:basedOn w:val="Standardnpsmoodstavce"/>
    <w:link w:val="Textkomente"/>
    <w:rsid w:val="000E047F"/>
    <w:rPr>
      <w:rFonts w:ascii="Times New Roman" w:eastAsia="MS Mincho" w:hAnsi="Times New Roman"/>
      <w:lang w:eastAsia="ja-JP"/>
    </w:rPr>
  </w:style>
  <w:style w:type="character" w:styleId="Sledovanodkaz">
    <w:name w:val="FollowedHyperlink"/>
    <w:basedOn w:val="Standardnpsmoodstavce"/>
    <w:uiPriority w:val="99"/>
    <w:semiHidden/>
    <w:unhideWhenUsed/>
    <w:rsid w:val="000E047F"/>
    <w:rPr>
      <w:color w:val="800080"/>
      <w:u w:val="single"/>
    </w:rPr>
  </w:style>
  <w:style w:type="paragraph" w:styleId="Zkladntextodsazen3">
    <w:name w:val="Body Text Indent 3"/>
    <w:basedOn w:val="Normln"/>
    <w:link w:val="Zkladntextodsazen3Char"/>
    <w:semiHidden/>
    <w:rsid w:val="000E047F"/>
    <w:pPr>
      <w:spacing w:after="0" w:line="240" w:lineRule="auto"/>
      <w:ind w:left="360" w:firstLine="360"/>
      <w:jc w:val="both"/>
    </w:pPr>
    <w:rPr>
      <w:rFonts w:ascii="Times New Roman" w:hAnsi="Times New Roman"/>
      <w:sz w:val="24"/>
    </w:rPr>
  </w:style>
  <w:style w:type="character" w:customStyle="1" w:styleId="Zkladntextodsazen3Char">
    <w:name w:val="Základní text odsazený 3 Char"/>
    <w:basedOn w:val="Standardnpsmoodstavce"/>
    <w:link w:val="Zkladntextodsazen3"/>
    <w:semiHidden/>
    <w:rsid w:val="000E047F"/>
    <w:rPr>
      <w:rFonts w:ascii="Times New Roman" w:eastAsia="Times New Roman" w:hAnsi="Times New Roman"/>
      <w:sz w:val="24"/>
      <w:szCs w:val="24"/>
    </w:rPr>
  </w:style>
  <w:style w:type="paragraph" w:customStyle="1" w:styleId="Num-DocParagraph">
    <w:name w:val="Num-Doc Paragraph"/>
    <w:basedOn w:val="Zkladntext"/>
    <w:rsid w:val="000E047F"/>
    <w:pPr>
      <w:tabs>
        <w:tab w:val="left" w:pos="850"/>
        <w:tab w:val="left" w:pos="1191"/>
        <w:tab w:val="left" w:pos="1531"/>
      </w:tabs>
      <w:spacing w:after="240" w:line="240" w:lineRule="auto"/>
      <w:jc w:val="both"/>
    </w:pPr>
    <w:rPr>
      <w:rFonts w:ascii="Times New Roman" w:hAnsi="Times New Roman"/>
      <w:lang w:val="en-GB" w:eastAsia="zh-CN"/>
    </w:rPr>
  </w:style>
  <w:style w:type="paragraph" w:styleId="Zkladntext">
    <w:name w:val="Body Text"/>
    <w:basedOn w:val="Normln"/>
    <w:link w:val="ZkladntextChar"/>
    <w:uiPriority w:val="99"/>
    <w:semiHidden/>
    <w:unhideWhenUsed/>
    <w:rsid w:val="000E047F"/>
    <w:pPr>
      <w:spacing w:after="120" w:line="276" w:lineRule="auto"/>
    </w:pPr>
    <w:rPr>
      <w:rFonts w:ascii="Calibri" w:hAnsi="Calibri"/>
      <w:sz w:val="22"/>
      <w:szCs w:val="22"/>
    </w:rPr>
  </w:style>
  <w:style w:type="character" w:customStyle="1" w:styleId="ZkladntextChar">
    <w:name w:val="Základní text Char"/>
    <w:basedOn w:val="Standardnpsmoodstavce"/>
    <w:link w:val="Zkladntext"/>
    <w:uiPriority w:val="99"/>
    <w:semiHidden/>
    <w:rsid w:val="000E047F"/>
    <w:rPr>
      <w:rFonts w:ascii="Calibri" w:eastAsia="Times New Roman" w:hAnsi="Calibri" w:cs="Times New Roman"/>
      <w:sz w:val="22"/>
      <w:szCs w:val="22"/>
    </w:rPr>
  </w:style>
  <w:style w:type="character" w:styleId="Zvraznn">
    <w:name w:val="Emphasis"/>
    <w:basedOn w:val="Standardnpsmoodstavce"/>
    <w:uiPriority w:val="20"/>
    <w:qFormat/>
    <w:rsid w:val="000E047F"/>
    <w:rPr>
      <w:i/>
      <w:iCs/>
    </w:rPr>
  </w:style>
  <w:style w:type="paragraph" w:styleId="Pedmtkomente">
    <w:name w:val="annotation subject"/>
    <w:basedOn w:val="Textkomente"/>
    <w:next w:val="Textkomente"/>
    <w:link w:val="PedmtkomenteChar"/>
    <w:uiPriority w:val="99"/>
    <w:semiHidden/>
    <w:unhideWhenUsed/>
    <w:rsid w:val="000E047F"/>
    <w:pPr>
      <w:spacing w:after="200"/>
    </w:pPr>
    <w:rPr>
      <w:rFonts w:ascii="Calibri" w:eastAsia="Times New Roman" w:hAnsi="Calibri"/>
      <w:b/>
      <w:bCs/>
      <w:lang w:eastAsia="cs-CZ"/>
    </w:rPr>
  </w:style>
  <w:style w:type="character" w:customStyle="1" w:styleId="PedmtkomenteChar">
    <w:name w:val="Předmět komentáře Char"/>
    <w:basedOn w:val="TextkomenteChar"/>
    <w:link w:val="Pedmtkomente"/>
    <w:uiPriority w:val="99"/>
    <w:semiHidden/>
    <w:rsid w:val="000E047F"/>
    <w:rPr>
      <w:rFonts w:ascii="Calibri" w:eastAsia="Times New Roman" w:hAnsi="Calibri" w:cs="Times New Roman"/>
      <w:b/>
      <w:bCs/>
    </w:rPr>
  </w:style>
  <w:style w:type="character" w:customStyle="1" w:styleId="st1">
    <w:name w:val="st1"/>
    <w:basedOn w:val="Standardnpsmoodstavce"/>
    <w:rsid w:val="00306953"/>
  </w:style>
  <w:style w:type="character" w:customStyle="1" w:styleId="st">
    <w:name w:val="st"/>
    <w:basedOn w:val="Standardnpsmoodstavce"/>
    <w:rsid w:val="005660EA"/>
  </w:style>
</w:styles>
</file>

<file path=word/webSettings.xml><?xml version="1.0" encoding="utf-8"?>
<w:webSettings xmlns:r="http://schemas.openxmlformats.org/officeDocument/2006/relationships" xmlns:w="http://schemas.openxmlformats.org/wordprocessingml/2006/main">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264115308">
      <w:bodyDiv w:val="1"/>
      <w:marLeft w:val="0"/>
      <w:marRight w:val="0"/>
      <w:marTop w:val="0"/>
      <w:marBottom w:val="0"/>
      <w:divBdr>
        <w:top w:val="none" w:sz="0" w:space="0" w:color="auto"/>
        <w:left w:val="none" w:sz="0" w:space="0" w:color="auto"/>
        <w:bottom w:val="none" w:sz="0" w:space="0" w:color="auto"/>
        <w:right w:val="none" w:sz="0" w:space="0" w:color="auto"/>
      </w:divBdr>
    </w:div>
    <w:div w:id="449668647">
      <w:bodyDiv w:val="1"/>
      <w:marLeft w:val="0"/>
      <w:marRight w:val="0"/>
      <w:marTop w:val="0"/>
      <w:marBottom w:val="0"/>
      <w:divBdr>
        <w:top w:val="none" w:sz="0" w:space="0" w:color="auto"/>
        <w:left w:val="none" w:sz="0" w:space="0" w:color="auto"/>
        <w:bottom w:val="none" w:sz="0" w:space="0" w:color="auto"/>
        <w:right w:val="none" w:sz="0" w:space="0" w:color="auto"/>
      </w:divBdr>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533806547">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1208487203">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893350832">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17" Type="http://schemas.openxmlformats.org/officeDocument/2006/relationships/hyperlink" Target="http://www.msmt.cz/vzdelavani/skolstvi-v-cr/statistika-skolstvi/statisticka-rocenka-skolstvi-vyvojova-rocenka" TargetMode="External"/><Relationship Id="rId21" Type="http://schemas.openxmlformats.org/officeDocument/2006/relationships/hyperlink" Target="http://ec.europa.eu/eurostat/statistics-explained/index.php/Glossary:Classification_of_the_functions_of_government_(COFOG)" TargetMode="External"/><Relationship Id="rId42" Type="http://schemas.openxmlformats.org/officeDocument/2006/relationships/hyperlink" Target="https://books.google.cz/books?id=C-mzCmLKX1cC&amp;pg=PA18&amp;lpg=PA18&amp;dq=defl%C3%A1tor+hdp+definice&amp;source=bl&amp;ots=Tz6_uaLyib&amp;sig=Bz_BtEZYDi1cTeK_vrtl5NR-wZs&amp;hl=cs&amp;sa=X&amp;ved=0ahUKEwjDkOr5kJDMAhWJ6xoKHecTD-U4ChDoAQgwMAQ" TargetMode="External"/><Relationship Id="rId63" Type="http://schemas.openxmlformats.org/officeDocument/2006/relationships/hyperlink" Target="http://dx.doi.org/10.1787/888933285443" TargetMode="External"/><Relationship Id="rId84" Type="http://schemas.openxmlformats.org/officeDocument/2006/relationships/hyperlink" Target="http://www.msmt.cz/file/36518/download" TargetMode="External"/><Relationship Id="rId138" Type="http://schemas.openxmlformats.org/officeDocument/2006/relationships/image" Target="media/image21.png"/><Relationship Id="rId159" Type="http://schemas.openxmlformats.org/officeDocument/2006/relationships/hyperlink" Target="http://ec.europa.eu/justice/gender-equality/gender-pay-gap/index_cs.htm" TargetMode="External"/><Relationship Id="rId170" Type="http://schemas.openxmlformats.org/officeDocument/2006/relationships/image" Target="media/image29.png"/><Relationship Id="rId191" Type="http://schemas.openxmlformats.org/officeDocument/2006/relationships/hyperlink" Target="http://www.msmt.cz/vzdelavani/skolstvi-v-cr/statistika-skolstvi/statisticka-rocenka-skolstvi-vyvojova-rocenka" TargetMode="External"/><Relationship Id="rId196" Type="http://schemas.openxmlformats.org/officeDocument/2006/relationships/hyperlink" Target="http://dx.doi.org/10.1787/9789264208780-en" TargetMode="External"/><Relationship Id="rId200" Type="http://schemas.openxmlformats.org/officeDocument/2006/relationships/header" Target="header2.xml"/><Relationship Id="rId16" Type="http://schemas.openxmlformats.org/officeDocument/2006/relationships/hyperlink" Target="http://eacea.ec.europa.eu/education/eurydice/documents/key_data_series/134EN.pdf" TargetMode="External"/><Relationship Id="rId107" Type="http://schemas.openxmlformats.org/officeDocument/2006/relationships/hyperlink" Target="http://dx.doi.org/10.1787/888933285646" TargetMode="External"/><Relationship Id="rId11" Type="http://schemas.openxmlformats.org/officeDocument/2006/relationships/hyperlink" Target="http://www.oecd.org/education/education-at-a-glance-19991487.htm" TargetMode="External"/><Relationship Id="rId32" Type="http://schemas.openxmlformats.org/officeDocument/2006/relationships/hyperlink" Target="http://www.uis.unesco.org/Library/Pages/DocumentMorePage.aspx?docIdValue=902&amp;docIdFld=ID" TargetMode="External"/><Relationship Id="rId37" Type="http://schemas.openxmlformats.org/officeDocument/2006/relationships/hyperlink" Target="https://circabc.europa.eu/faces/jsp/extension/wai/navigation/container.jsp" TargetMode="External"/><Relationship Id="rId53" Type="http://schemas.openxmlformats.org/officeDocument/2006/relationships/image" Target="media/image1.png"/><Relationship Id="rId58" Type="http://schemas.openxmlformats.org/officeDocument/2006/relationships/hyperlink" Target="http://dx.doi.org/10.1787/888933117326" TargetMode="External"/><Relationship Id="rId74" Type="http://schemas.openxmlformats.org/officeDocument/2006/relationships/hyperlink" Target="http://dx.doi.org/10.1787/eag-2014-en" TargetMode="External"/><Relationship Id="rId79" Type="http://schemas.openxmlformats.org/officeDocument/2006/relationships/hyperlink" Target="http://dx.doi.org/10.1787/888933285351" TargetMode="External"/><Relationship Id="rId102" Type="http://schemas.openxmlformats.org/officeDocument/2006/relationships/hyperlink" Target="http://dx.doi.org/10.1787/888933117345" TargetMode="External"/><Relationship Id="rId123" Type="http://schemas.openxmlformats.org/officeDocument/2006/relationships/hyperlink" Target="http://dx.doi.org/10.1787/888933285662" TargetMode="External"/><Relationship Id="rId128" Type="http://schemas.openxmlformats.org/officeDocument/2006/relationships/hyperlink" Target="http://www.oecd.org/edu/education-at-a-glance-2014-indicators-by-chapter.htm" TargetMode="External"/><Relationship Id="rId144" Type="http://schemas.openxmlformats.org/officeDocument/2006/relationships/hyperlink" Target="http://www.google.cz/url?sa=t&amp;rct=j&amp;q=&amp;esrc=s&amp;source=web&amp;cd=5&amp;ved=0ahUKEwiV3cLU3JDMAhWLbBoKHaRDBRMQFgg_MAQ&amp;url=http%3A%2F%2Fwww.eenee.de%2Fdms%2FEENEE%2FPolicy_Briefs%2FPolicyBrief2-2011.pdf&amp;usg=AFQjCNFzGq-0VunvcnbCDulVNCyn7_6cmA&amp;bvm=bv.119745492,d.d2s" TargetMode="External"/><Relationship Id="rId149" Type="http://schemas.openxmlformats.org/officeDocument/2006/relationships/hyperlink" Target="http://zpravy.idnes.cz/liska-ucitelum-prilepsil-jen-o-osm-stovek-ted-je-maji-v-hrsti-reditele-1kq-/domaci.aspx?c=A090226_112634_studium_bar" TargetMode="External"/><Relationship Id="rId5" Type="http://schemas.openxmlformats.org/officeDocument/2006/relationships/webSettings" Target="webSettings.xml"/><Relationship Id="rId90" Type="http://schemas.openxmlformats.org/officeDocument/2006/relationships/hyperlink" Target="http://dx.doi.org/10.1787/888933285473" TargetMode="External"/><Relationship Id="rId95" Type="http://schemas.openxmlformats.org/officeDocument/2006/relationships/hyperlink" Target="http://dx.doi.org/10.1787/888933285491" TargetMode="External"/><Relationship Id="rId160" Type="http://schemas.openxmlformats.org/officeDocument/2006/relationships/hyperlink" Target="http://dx.doi.org/10.1787/eag-2014-en" TargetMode="External"/><Relationship Id="rId165" Type="http://schemas.openxmlformats.org/officeDocument/2006/relationships/hyperlink" Target="http://dx.doi.org/10.1787/888933283733" TargetMode="External"/><Relationship Id="rId181" Type="http://schemas.openxmlformats.org/officeDocument/2006/relationships/hyperlink" Target="http://www.google.cz/url?sa=t&amp;rct=j&amp;q=&amp;esrc=s&amp;source=web&amp;cd=1&amp;ved=0CCUQFjAA&amp;url=http%3A%2F%2Feacea.ec.europa.eu%2Feducation%2Feurydice%2Fdocuments%2Fthematic_reports%2F090EN.pdf&amp;ei=929HVZ_7JMvKaN_NgMAC&amp;usg=AFQjCNHX6KAaLlNPfJL4i7rGVzL4Rk1YZw&amp;bvm=bv.92291466,d.d2s" TargetMode="External"/><Relationship Id="rId186" Type="http://schemas.openxmlformats.org/officeDocument/2006/relationships/hyperlink" Target="http://www.google.cz/url?sa=t&amp;rct=j&amp;q=&amp;esrc=s&amp;source=web&amp;cd=1&amp;ved=0CC4QFjAA&amp;url=http%3A%2F%2Fwww.msmt.cz%2Ffile%2F13680_1_1%2F&amp;ei=o9ksVfHSHMn1avSigNAI&amp;usg=AFQjCNGEXTEQHiZP-ZyyclE_eOC8sFYTBg&amp;bvm=bv.90790515,d.d2s" TargetMode="External"/><Relationship Id="rId22" Type="http://schemas.openxmlformats.org/officeDocument/2006/relationships/hyperlink" Target="https://managementmania.com/cs/suroviny-primarni-sektor" TargetMode="External"/><Relationship Id="rId27" Type="http://schemas.openxmlformats.org/officeDocument/2006/relationships/hyperlink" Target="https://www.czso.cz/documents/10180/23174387/metodicka_prirucka_cz_nace_rev_2.pdf/e26ebee3-a5b2-48a1-a036-75e14cdb8944?version=1.0" TargetMode="External"/><Relationship Id="rId43" Type="http://schemas.openxmlformats.org/officeDocument/2006/relationships/hyperlink" Target="http://dx.doi.org/10.1787/eag-2015-en" TargetMode="External"/><Relationship Id="rId48" Type="http://schemas.openxmlformats.org/officeDocument/2006/relationships/hyperlink" Target="http://www.msmt.cz/vzdelavani/skolstvi-v-cr/statistika-skolstvi/statisticka-rocenka-skolstvi-soubor-ekonomickych-ukazatelu-7" TargetMode="External"/><Relationship Id="rId64" Type="http://schemas.openxmlformats.org/officeDocument/2006/relationships/image" Target="media/image5.png"/><Relationship Id="rId69" Type="http://schemas.openxmlformats.org/officeDocument/2006/relationships/hyperlink" Target="http://dx.doi.org/10.1787/eag-2015-en" TargetMode="External"/><Relationship Id="rId113" Type="http://schemas.openxmlformats.org/officeDocument/2006/relationships/hyperlink" Target="http://dx.doi.org/10.1787/9789264196261-en" TargetMode="External"/><Relationship Id="rId118" Type="http://schemas.openxmlformats.org/officeDocument/2006/relationships/hyperlink" Target="http://dx.doi.org/10.1787/eag-2015-en" TargetMode="External"/><Relationship Id="rId134" Type="http://schemas.openxmlformats.org/officeDocument/2006/relationships/hyperlink" Target="http://eacea.ec.europa.eu/education/eurydice/documents/facts_and_figures/salaries.pdf" TargetMode="External"/><Relationship Id="rId139" Type="http://schemas.openxmlformats.org/officeDocument/2006/relationships/hyperlink" Target="http://dx.doi.org/10.1787/888933118124" TargetMode="External"/><Relationship Id="rId80" Type="http://schemas.openxmlformats.org/officeDocument/2006/relationships/hyperlink" Target="http://dx.doi.org/10.1787/888933285509" TargetMode="External"/><Relationship Id="rId85" Type="http://schemas.openxmlformats.org/officeDocument/2006/relationships/hyperlink" Target="http://dx.doi.org/10.1787/888933285381" TargetMode="External"/><Relationship Id="rId150" Type="http://schemas.openxmlformats.org/officeDocument/2006/relationships/hyperlink" Target="http://www.msmt.cz/ministerstvo/novinar/ministr-dobes-opet-zvysuje-platove-tarify-ucitelu?highlightWords=platy+u%C4%8Ditel%C5%AF" TargetMode="External"/><Relationship Id="rId155" Type="http://schemas.openxmlformats.org/officeDocument/2006/relationships/hyperlink" Target="http://dx.doi.org/10.1787/888933285052" TargetMode="External"/><Relationship Id="rId171" Type="http://schemas.openxmlformats.org/officeDocument/2006/relationships/hyperlink" Target="http://dx.doi.org/10.1787/888933283748" TargetMode="External"/><Relationship Id="rId176" Type="http://schemas.openxmlformats.org/officeDocument/2006/relationships/hyperlink" Target="http://dx.doi.org/10.1787/eag-2015-en" TargetMode="External"/><Relationship Id="rId192" Type="http://schemas.openxmlformats.org/officeDocument/2006/relationships/hyperlink" Target="http://idea.cerge-ei.cz/documents/kratka_studie_2012_05.pdf" TargetMode="External"/><Relationship Id="rId197" Type="http://schemas.openxmlformats.org/officeDocument/2006/relationships/hyperlink" Target="http://www.csicr.cz/Prave-menu/Mezinarodni-setreni/PISA/Narodni-zpravy/Hlavni-zjisteni-PISA-2012" TargetMode="External"/><Relationship Id="rId201" Type="http://schemas.openxmlformats.org/officeDocument/2006/relationships/footer" Target="footer1.xml"/><Relationship Id="rId12" Type="http://schemas.openxmlformats.org/officeDocument/2006/relationships/hyperlink" Target="https://circabc.europa.eu/faces/jsp/extension/wai/navigation/container.jsp" TargetMode="External"/><Relationship Id="rId17" Type="http://schemas.openxmlformats.org/officeDocument/2006/relationships/hyperlink" Target="http://www.dzs.cz/" TargetMode="External"/><Relationship Id="rId33" Type="http://schemas.openxmlformats.org/officeDocument/2006/relationships/hyperlink" Target="http://www.czso.cz/csu/czso/klasifikace_vzdelani_cz_isced_2011" TargetMode="External"/><Relationship Id="rId38" Type="http://schemas.openxmlformats.org/officeDocument/2006/relationships/hyperlink" Target="https://www.czso.cz/csu/czso/evropsky_srovnavaci_program" TargetMode="External"/><Relationship Id="rId59" Type="http://schemas.openxmlformats.org/officeDocument/2006/relationships/hyperlink" Target="http://www.oecd.org/edu/educationataglance2015indicators.htm" TargetMode="External"/><Relationship Id="rId103" Type="http://schemas.openxmlformats.org/officeDocument/2006/relationships/image" Target="media/image13.png"/><Relationship Id="rId108" Type="http://schemas.openxmlformats.org/officeDocument/2006/relationships/image" Target="media/image15.png"/><Relationship Id="rId124" Type="http://schemas.openxmlformats.org/officeDocument/2006/relationships/image" Target="media/image18.png"/><Relationship Id="rId129" Type="http://schemas.openxmlformats.org/officeDocument/2006/relationships/hyperlink" Target="http://www.oecd.org/edu/education-at-a-glance-2014-indicators-by-chapter.htm" TargetMode="External"/><Relationship Id="rId54" Type="http://schemas.openxmlformats.org/officeDocument/2006/relationships/hyperlink" Target="http://dx.doi.org/10.1787/888933284022" TargetMode="External"/><Relationship Id="rId70" Type="http://schemas.openxmlformats.org/officeDocument/2006/relationships/hyperlink" Target="http://dx.doi.org/10.1787/eag-2015-en" TargetMode="External"/><Relationship Id="rId75" Type="http://schemas.openxmlformats.org/officeDocument/2006/relationships/hyperlink" Target="https://www.czso.cz/csu/czso/vekove-slozeni-obyvatelstva" TargetMode="External"/><Relationship Id="rId91" Type="http://schemas.openxmlformats.org/officeDocument/2006/relationships/image" Target="media/image10.png"/><Relationship Id="rId96" Type="http://schemas.openxmlformats.org/officeDocument/2006/relationships/hyperlink" Target="http://dsia.uiv.cz/vystupy/vu_vs_f2.html" TargetMode="External"/><Relationship Id="rId140" Type="http://schemas.openxmlformats.org/officeDocument/2006/relationships/image" Target="media/image22.png"/><Relationship Id="rId145" Type="http://schemas.openxmlformats.org/officeDocument/2006/relationships/image" Target="media/image24.png"/><Relationship Id="rId161" Type="http://schemas.openxmlformats.org/officeDocument/2006/relationships/hyperlink" Target="http://www.oecd.org/edu/education-at-a-glance-2014-indicators-by-chapter.htm" TargetMode="External"/><Relationship Id="rId166" Type="http://schemas.openxmlformats.org/officeDocument/2006/relationships/hyperlink" Target="http://www.oecd.org/edu/educationataglance2015indicators.htm" TargetMode="External"/><Relationship Id="rId182" Type="http://schemas.openxmlformats.org/officeDocument/2006/relationships/hyperlink" Target="http://www.msmt.cz/vzdelavani/skolstvi-v-cr/skolskareforma/predpoklady-a-vzdelavaci-potreby-pedagogu?highlightWords=Anal%C3%BDza+p%C5%99edpoklad%C5%AF+vzd%C4%9Bl%C3%A1vac%C3%ADch+pot%C5%99eb" TargetMode="External"/><Relationship Id="rId187" Type="http://schemas.openxmlformats.org/officeDocument/2006/relationships/hyperlink" Target="http://kdem.vse.cz/resources/relik10/PDFucastnici/Klenhova.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managementmania.com/cs/vyroba-a-prumysl-sekundarni-sektor" TargetMode="External"/><Relationship Id="rId28" Type="http://schemas.openxmlformats.org/officeDocument/2006/relationships/hyperlink" Target="http://dx.doi.org/10.1787/eag-2014-en" TargetMode="External"/><Relationship Id="rId49" Type="http://schemas.openxmlformats.org/officeDocument/2006/relationships/hyperlink" Target="http://www.msmt.cz/vzdelavani/skolstvi-v-cr/statistika-skolstvi/statisticka-rocenka-skolstvi-soubor-ekonomickcyh-ukazatelu" TargetMode="External"/><Relationship Id="rId114" Type="http://schemas.openxmlformats.org/officeDocument/2006/relationships/hyperlink" Target="http://www.msmt.cz/vzdelavani/skolstvi-v-cr/statistika-skolstvi/statisticka-rocenka-skolstvi-zamestnanci-a-mzdove-prostredky-6?highlightWords=statistick%C3%A1+ro%C4%8Denka+%C5%A1kolstv%C3%AD" TargetMode="External"/><Relationship Id="rId119" Type="http://schemas.openxmlformats.org/officeDocument/2006/relationships/hyperlink" Target="http://dx.doi.org/10.1787/eag-2015-en" TargetMode="External"/><Relationship Id="rId44" Type="http://schemas.openxmlformats.org/officeDocument/2006/relationships/hyperlink" Target="http://dx.doi.org/10.1787/eag-2015-en" TargetMode="External"/><Relationship Id="rId60" Type="http://schemas.openxmlformats.org/officeDocument/2006/relationships/image" Target="media/image3.png"/><Relationship Id="rId65" Type="http://schemas.openxmlformats.org/officeDocument/2006/relationships/hyperlink" Target="http://dx.doi.org/10.1787/888933283959" TargetMode="External"/><Relationship Id="rId81" Type="http://schemas.openxmlformats.org/officeDocument/2006/relationships/hyperlink" Target="http://dx.doi.org/10.1787/888933285509" TargetMode="External"/><Relationship Id="rId86" Type="http://schemas.openxmlformats.org/officeDocument/2006/relationships/hyperlink" Target="http://www.msmt.cz/file/34152/download" TargetMode="External"/><Relationship Id="rId130" Type="http://schemas.openxmlformats.org/officeDocument/2006/relationships/hyperlink" Target="http://dx.doi.org/10.1787/eag-2015-en" TargetMode="External"/><Relationship Id="rId135" Type="http://schemas.openxmlformats.org/officeDocument/2006/relationships/hyperlink" Target="http://eacea.ec.europa.eu/education/eurydice/documents/facts_and_figures/salaries.pdf" TargetMode="External"/><Relationship Id="rId151" Type="http://schemas.openxmlformats.org/officeDocument/2006/relationships/hyperlink" Target="http://dx.doi.org/10.1787/eag-2015-en" TargetMode="External"/><Relationship Id="rId156" Type="http://schemas.openxmlformats.org/officeDocument/2006/relationships/hyperlink" Target="http://dx.doi.org/10.1787/888933285052" TargetMode="External"/><Relationship Id="rId177" Type="http://schemas.openxmlformats.org/officeDocument/2006/relationships/hyperlink" Target="http://www.czso.cz/csu/czso/klasifikace_ekonomickych_cinnosti_cz_nace" TargetMode="External"/><Relationship Id="rId198" Type="http://schemas.openxmlformats.org/officeDocument/2006/relationships/hyperlink" Target="https://books.google.cz/books?id=C-mzCmLKX1cC&amp;pg=PA18&amp;lpg=PA18&amp;dq=defl%C3%A1tor+hdp+definice&amp;source=bl&amp;ots=Tz6_uaLyib&amp;sig=Bz_BtEZYDi1cTeK_vrtl5NR-wZs&amp;hl=cs&amp;sa=X&amp;ved=0ahUKEwjDkOr5kJDMAhWJ6xoKHecTD-U4ChDoAQgwMAQ" TargetMode="External"/><Relationship Id="rId172" Type="http://schemas.openxmlformats.org/officeDocument/2006/relationships/hyperlink" Target="http://www.oecd.org/edu/educationataglance2015indicators.htm" TargetMode="External"/><Relationship Id="rId193" Type="http://schemas.openxmlformats.org/officeDocument/2006/relationships/hyperlink" Target="http://idea.cerge-ei.cz/files/IDEA_Studie_4_2015_Platy_ucitelu.pdf" TargetMode="External"/><Relationship Id="rId202" Type="http://schemas.openxmlformats.org/officeDocument/2006/relationships/footer" Target="footer2.xml"/><Relationship Id="rId13" Type="http://schemas.openxmlformats.org/officeDocument/2006/relationships/hyperlink" Target="http://www.oecd.org/education/eag.htm" TargetMode="External"/><Relationship Id="rId18" Type="http://schemas.openxmlformats.org/officeDocument/2006/relationships/hyperlink" Target="http://eacea.ec.europa.eu/education/eurydice/documents/facts_and_figures/salaries.pdf" TargetMode="External"/><Relationship Id="rId39" Type="http://schemas.openxmlformats.org/officeDocument/2006/relationships/hyperlink" Target="https://books.google.cz/books?id=LGus2lKHZqEC&amp;pg=PA108&amp;dq=b%C4%9B%C5%BEn%C3%A9+ceny,+st%C3%A1l%C3%A9+ceny&amp;hl=cs&amp;sa=X&amp;ved=0ahUKEwiy1v6PvObOAhUDaRQKHWBuCBIQ6AEIKzAC" TargetMode="External"/><Relationship Id="rId109" Type="http://schemas.openxmlformats.org/officeDocument/2006/relationships/image" Target="media/image16.png"/><Relationship Id="rId34" Type="http://schemas.openxmlformats.org/officeDocument/2006/relationships/hyperlink" Target="http://www.google.cz/url?sa=t&amp;rct=j&amp;q=&amp;esrc=s&amp;source=web&amp;cd=1&amp;ved=0CC4QFjAA&amp;url=http%3A%2F%2Fwww.msmt.cz%2Ffile%2F13680_1_1%2F&amp;ei=o9ksVfHSHMn1avSigNAI&amp;usg=AFQjCNGEXTEQHiZP-ZyyclE_eOC8sFYTBg&amp;bvm=bv.90790515,d.d2s" TargetMode="External"/><Relationship Id="rId50" Type="http://schemas.openxmlformats.org/officeDocument/2006/relationships/hyperlink" Target="http://dx.doi.org/10.1787/eag-2015-en" TargetMode="External"/><Relationship Id="rId55" Type="http://schemas.openxmlformats.org/officeDocument/2006/relationships/hyperlink" Target="http://dx.doi.org/10.1787/888933285538" TargetMode="External"/><Relationship Id="rId76" Type="http://schemas.openxmlformats.org/officeDocument/2006/relationships/hyperlink" Target="http://dx.doi.org/10.1787/eag-2015-en" TargetMode="External"/><Relationship Id="rId97" Type="http://schemas.openxmlformats.org/officeDocument/2006/relationships/hyperlink" Target="http://dx.doi.org/10.1787/888933285363" TargetMode="External"/><Relationship Id="rId104" Type="http://schemas.openxmlformats.org/officeDocument/2006/relationships/hyperlink" Target="http://dx.doi.org/10.1787/888933284092" TargetMode="External"/><Relationship Id="rId120" Type="http://schemas.openxmlformats.org/officeDocument/2006/relationships/hyperlink" Target="http://dx.doi.org/10.1787/eag-2015-en" TargetMode="External"/><Relationship Id="rId125" Type="http://schemas.openxmlformats.org/officeDocument/2006/relationships/hyperlink" Target="http://dx.doi.org/10.1787/888933118162" TargetMode="External"/><Relationship Id="rId141" Type="http://schemas.openxmlformats.org/officeDocument/2006/relationships/hyperlink" Target="http://www.oecd.org/edu/educationataglance2015indicators.htm" TargetMode="External"/><Relationship Id="rId146" Type="http://schemas.openxmlformats.org/officeDocument/2006/relationships/hyperlink" Target="http://dx.doi.org/10.1787/888933118143" TargetMode="External"/><Relationship Id="rId167" Type="http://schemas.openxmlformats.org/officeDocument/2006/relationships/hyperlink" Target="http://dx.doi.org/10.1787/eag-2015-en" TargetMode="External"/><Relationship Id="rId188" Type="http://schemas.openxmlformats.org/officeDocument/2006/relationships/hyperlink" Target="http://www.msmt.cz/vzdelavani/skolstvi-v-cr/statistika-skolstvi/ceske-skolstvi-v-mezinarodnim-srovnani-1" TargetMode="External"/><Relationship Id="rId7" Type="http://schemas.openxmlformats.org/officeDocument/2006/relationships/endnotes" Target="endnotes.xml"/><Relationship Id="rId71" Type="http://schemas.openxmlformats.org/officeDocument/2006/relationships/hyperlink" Target="http://dx.doi.org/10.1787/eag-2014-en" TargetMode="External"/><Relationship Id="rId92" Type="http://schemas.openxmlformats.org/officeDocument/2006/relationships/image" Target="media/image11.png"/><Relationship Id="rId162" Type="http://schemas.openxmlformats.org/officeDocument/2006/relationships/hyperlink" Target="http://dx.doi.org/10.1787/eag-2015-en" TargetMode="External"/><Relationship Id="rId183" Type="http://schemas.openxmlformats.org/officeDocument/2006/relationships/hyperlink" Target="https://books.google.cz/books?id=LGus2lKHZqEC&amp;pg=PA108&amp;dq=b%C4%9B%C5%BEn%C3%A9+ceny,+st%C3%A1l%C3%A9+ceny&amp;hl=cs&amp;sa=X&amp;ved=0ahUKEwiy1v6PvObOAhUDaRQKHWBuCBIQ6AEIKzAC" TargetMode="External"/><Relationship Id="rId2" Type="http://schemas.openxmlformats.org/officeDocument/2006/relationships/numbering" Target="numbering.xml"/><Relationship Id="rId29" Type="http://schemas.openxmlformats.org/officeDocument/2006/relationships/hyperlink" Target="http://dx.doi.org/10.1787/eag-2015-en" TargetMode="External"/><Relationship Id="rId24" Type="http://schemas.openxmlformats.org/officeDocument/2006/relationships/hyperlink" Target="https://managementmania.com/cs/sektor-sluzeb-terciarni-sektor" TargetMode="External"/><Relationship Id="rId40" Type="http://schemas.openxmlformats.org/officeDocument/2006/relationships/hyperlink" Target="http://cs.wikipedia.org/wiki/Hrub%C3%BD_dom%C3%A1c%C3%AD_produkt" TargetMode="External"/><Relationship Id="rId45" Type="http://schemas.openxmlformats.org/officeDocument/2006/relationships/hyperlink" Target="http://dx.doi.org/10.1787/eag-2015-en" TargetMode="External"/><Relationship Id="rId66" Type="http://schemas.openxmlformats.org/officeDocument/2006/relationships/image" Target="media/image6.png"/><Relationship Id="rId87" Type="http://schemas.openxmlformats.org/officeDocument/2006/relationships/hyperlink" Target="http://www.msmt.cz/file/34152/download" TargetMode="External"/><Relationship Id="rId110" Type="http://schemas.openxmlformats.org/officeDocument/2006/relationships/hyperlink" Target="http://dx.doi.org/10.1787/888933284103" TargetMode="External"/><Relationship Id="rId115" Type="http://schemas.openxmlformats.org/officeDocument/2006/relationships/hyperlink" Target="http://www.msmt.cz/vzdelavani/skolstvi-v-cr/statistika-skolstvi/rocenky" TargetMode="External"/><Relationship Id="rId131" Type="http://schemas.openxmlformats.org/officeDocument/2006/relationships/hyperlink" Target="http://dx.doi.org/10.1787/888933286208" TargetMode="External"/><Relationship Id="rId136" Type="http://schemas.openxmlformats.org/officeDocument/2006/relationships/hyperlink" Target="http://www.msmt.cz/file/34152/download" TargetMode="External"/><Relationship Id="rId157" Type="http://schemas.openxmlformats.org/officeDocument/2006/relationships/hyperlink" Target="http://dx.doi.org/10.1787/888933285052" TargetMode="External"/><Relationship Id="rId178" Type="http://schemas.openxmlformats.org/officeDocument/2006/relationships/hyperlink" Target="http://www.edefficiencyindex.com/book/" TargetMode="External"/><Relationship Id="rId61" Type="http://schemas.openxmlformats.org/officeDocument/2006/relationships/hyperlink" Target="http://dx.doi.org/10.1787/888933283976" TargetMode="External"/><Relationship Id="rId82" Type="http://schemas.openxmlformats.org/officeDocument/2006/relationships/hyperlink" Target="http://dx.doi.org/10.1787/888933285381" TargetMode="External"/><Relationship Id="rId152" Type="http://schemas.openxmlformats.org/officeDocument/2006/relationships/hyperlink" Target="http://www.oecd.org/edu/educationataglance2015indicators.htm" TargetMode="External"/><Relationship Id="rId173" Type="http://schemas.openxmlformats.org/officeDocument/2006/relationships/hyperlink" Target="http://dx.doi.org/10.1787/9789264196261-en" TargetMode="External"/><Relationship Id="rId194" Type="http://schemas.openxmlformats.org/officeDocument/2006/relationships/hyperlink" Target="http://dx.doi.org/10.1787/eag-2014-en" TargetMode="External"/><Relationship Id="rId199" Type="http://schemas.openxmlformats.org/officeDocument/2006/relationships/header" Target="header1.xml"/><Relationship Id="rId203" Type="http://schemas.openxmlformats.org/officeDocument/2006/relationships/fontTable" Target="fontTable.xml"/><Relationship Id="rId19" Type="http://schemas.openxmlformats.org/officeDocument/2006/relationships/hyperlink" Target="http://ec.europa.eu/eurostat/web/education-and-training/data/main-tables" TargetMode="External"/><Relationship Id="rId14" Type="http://schemas.openxmlformats.org/officeDocument/2006/relationships/hyperlink" Target="http://www.oecd.org/edu/educationataglance2015indicators.htm" TargetMode="External"/><Relationship Id="rId30" Type="http://schemas.openxmlformats.org/officeDocument/2006/relationships/hyperlink" Target="http://www.uis.unesco.org/Library/Documents/isced97-en.pdf" TargetMode="External"/><Relationship Id="rId35" Type="http://schemas.openxmlformats.org/officeDocument/2006/relationships/hyperlink" Target="http://www.google.cz/url?sa=t&amp;rct=j&amp;q=&amp;esrc=s&amp;source=web&amp;cd=1&amp;ved=0CC4QFjAA&amp;url=http%3A%2F%2Fwww.msmt.cz%2Ffile%2F13680_1_1%2F&amp;ei=o9ksVfHSHMn1avSigNAI&amp;usg=AFQjCNGEXTEQHiZP-ZyyclE_eOC8sFYTBg&amp;bvm=bv.90790515,d.d2s" TargetMode="External"/><Relationship Id="rId56" Type="http://schemas.openxmlformats.org/officeDocument/2006/relationships/hyperlink" Target="http://www.oecd.org/edu/educationataglance2015indicators.htm" TargetMode="External"/><Relationship Id="rId77" Type="http://schemas.openxmlformats.org/officeDocument/2006/relationships/image" Target="media/image8.png"/><Relationship Id="rId100" Type="http://schemas.openxmlformats.org/officeDocument/2006/relationships/hyperlink" Target="http://dx.doi.org/10.1787/888933117250" TargetMode="External"/><Relationship Id="rId105" Type="http://schemas.openxmlformats.org/officeDocument/2006/relationships/image" Target="media/image14.png"/><Relationship Id="rId126" Type="http://schemas.openxmlformats.org/officeDocument/2006/relationships/image" Target="media/image19.png"/><Relationship Id="rId147" Type="http://schemas.openxmlformats.org/officeDocument/2006/relationships/hyperlink" Target="http://dx.doi.org/10.1787/eag-2014-en" TargetMode="External"/><Relationship Id="rId168" Type="http://schemas.openxmlformats.org/officeDocument/2006/relationships/hyperlink" Target="http://www.businessvize.cz/rizeni-a-optimalizace/hodnoceni-investic-vnitrni-vynosove-procento-irr" TargetMode="External"/><Relationship Id="rId8" Type="http://schemas.openxmlformats.org/officeDocument/2006/relationships/hyperlink" Target="http://www.msmt.cz/vzdelavani/skolstvi-v-cr/statistika-skolstvi/statisticka-rocenka-skolstvi-soubor-ekonomickcyh-ukazatelu" TargetMode="External"/><Relationship Id="rId51" Type="http://schemas.openxmlformats.org/officeDocument/2006/relationships/hyperlink" Target="http://dx.doi.org/10.1787/eag-2015-en" TargetMode="External"/><Relationship Id="rId72" Type="http://schemas.openxmlformats.org/officeDocument/2006/relationships/image" Target="media/image7.png"/><Relationship Id="rId93" Type="http://schemas.openxmlformats.org/officeDocument/2006/relationships/hyperlink" Target="http://dx.doi.org/10.1787/888933283996" TargetMode="External"/><Relationship Id="rId98" Type="http://schemas.openxmlformats.org/officeDocument/2006/relationships/hyperlink" Target="http://dx.doi.org/10.1787/888933117250" TargetMode="External"/><Relationship Id="rId121" Type="http://schemas.openxmlformats.org/officeDocument/2006/relationships/image" Target="media/image17.png"/><Relationship Id="rId142" Type="http://schemas.openxmlformats.org/officeDocument/2006/relationships/image" Target="media/image23.png"/><Relationship Id="rId163" Type="http://schemas.openxmlformats.org/officeDocument/2006/relationships/image" Target="media/image26.png"/><Relationship Id="rId184" Type="http://schemas.openxmlformats.org/officeDocument/2006/relationships/hyperlink" Target="http://www.google.cz/url?sa=t&amp;rct=j&amp;q=&amp;esrc=s&amp;source=web&amp;cd=5&amp;ved=0ahUKEwiV3cLU3JDMAhWLbBoKHaRDBRMQFgg_MAQ&amp;url=http%3A%2F%2Fwww.eenee.de%2Fdms%2FEENEE%2FPolicy_Briefs%2FPolicyBrief2-2011.pdf&amp;usg=AFQjCNFzGq-0VunvcnbCDulVNCyn7_6cmA&amp;bvm=bv.119745492,d.d2s" TargetMode="External"/><Relationship Id="rId189" Type="http://schemas.openxmlformats.org/officeDocument/2006/relationships/hyperlink" Target="http://www.msmt.cz/vzdelavani/skolstvi-v-cr/statistika-skolstvi/statisticka-rocenka-skolstvi-soubor-ekonomickcyh-ukazatelu" TargetMode="External"/><Relationship Id="rId3" Type="http://schemas.openxmlformats.org/officeDocument/2006/relationships/styles" Target="styles.xml"/><Relationship Id="rId25" Type="http://schemas.openxmlformats.org/officeDocument/2006/relationships/hyperlink" Target="https://managementmania.com/cs/financni-sluzby-sektor" TargetMode="External"/><Relationship Id="rId46" Type="http://schemas.openxmlformats.org/officeDocument/2006/relationships/hyperlink" Target="http://www.oecd.org/pisa/aboutpisa/" TargetMode="External"/><Relationship Id="rId67" Type="http://schemas.openxmlformats.org/officeDocument/2006/relationships/hyperlink" Target="http://dx.doi.org/10.1787/888933283959" TargetMode="External"/><Relationship Id="rId116" Type="http://schemas.openxmlformats.org/officeDocument/2006/relationships/hyperlink" Target="http://www.msmt.cz/ministerstvo/novinar/ministr-dobes-opet-zvysuje-platove-tarify-ucitelu?highlightWords=platy+u%C4%8Ditel%C5%AF" TargetMode="External"/><Relationship Id="rId137" Type="http://schemas.openxmlformats.org/officeDocument/2006/relationships/image" Target="media/image20.png"/><Relationship Id="rId158" Type="http://schemas.openxmlformats.org/officeDocument/2006/relationships/hyperlink" Target="http://dx.doi.org/10.1787/888933285069" TargetMode="External"/><Relationship Id="rId20" Type="http://schemas.openxmlformats.org/officeDocument/2006/relationships/hyperlink" Target="https://managementmania.com/cs/stat" TargetMode="External"/><Relationship Id="rId41" Type="http://schemas.openxmlformats.org/officeDocument/2006/relationships/hyperlink" Target="http://cs.wikipedia.org/wiki/Hrub%C3%BD_dom%C3%A1c%C3%AD_produkt" TargetMode="External"/><Relationship Id="rId62" Type="http://schemas.openxmlformats.org/officeDocument/2006/relationships/image" Target="media/image4.png"/><Relationship Id="rId83" Type="http://schemas.openxmlformats.org/officeDocument/2006/relationships/hyperlink" Target="http://www.msmt.cz/file/34152/download" TargetMode="External"/><Relationship Id="rId88" Type="http://schemas.openxmlformats.org/officeDocument/2006/relationships/image" Target="media/image9.png"/><Relationship Id="rId111" Type="http://schemas.openxmlformats.org/officeDocument/2006/relationships/hyperlink" Target="http://www.msmt.cz/vzdelavani/skolstvi-v-cr/statistika-skolstvi/statisticka-rocenka-skolstvi-soubor-ekonomickcyh-ukazatelu" TargetMode="External"/><Relationship Id="rId132" Type="http://schemas.openxmlformats.org/officeDocument/2006/relationships/hyperlink" Target="http://dx.doi.org/10.1787/888933284469" TargetMode="External"/><Relationship Id="rId153" Type="http://schemas.openxmlformats.org/officeDocument/2006/relationships/image" Target="media/image25.png"/><Relationship Id="rId174" Type="http://schemas.openxmlformats.org/officeDocument/2006/relationships/hyperlink" Target="http://www.msmt.cz/vzdelavani/skolstvi-v-cr/skolskareforma/predpoklady-a-vzdelavaci-potreby-pedagogu?highlightWords=Anal%C3%BDza+p%C5%99edpoklad%C5%AF+vzd%C4%9Bl%C3%A1vac%C3%ADch+pot%C5%99eb" TargetMode="External"/><Relationship Id="rId179" Type="http://schemas.openxmlformats.org/officeDocument/2006/relationships/hyperlink" Target="http://eacea.ec.europa.eu/education/eurydice/documents/facts_and_figures/salaries.pdf" TargetMode="External"/><Relationship Id="rId195" Type="http://schemas.openxmlformats.org/officeDocument/2006/relationships/hyperlink" Target="http://dx.doi.org/10.1787/9789264196261-en" TargetMode="External"/><Relationship Id="rId190" Type="http://schemas.openxmlformats.org/officeDocument/2006/relationships/hyperlink" Target="http://www.msmt.cz/vzdelavani/skolstvi-v-cr/statistika-skolstvi/statistickerocenky-skolstvi-zamestnanci-a-mzdove-prostredky" TargetMode="External"/><Relationship Id="rId204" Type="http://schemas.openxmlformats.org/officeDocument/2006/relationships/theme" Target="theme/theme1.xml"/><Relationship Id="rId15" Type="http://schemas.openxmlformats.org/officeDocument/2006/relationships/hyperlink" Target="http://www.msmt.cz/vzdelavani/skolstvi-v-cr/statistika-skolstvi/ceske-skolstvi-v-mezinarodnim-srovnani-1" TargetMode="External"/><Relationship Id="rId36" Type="http://schemas.openxmlformats.org/officeDocument/2006/relationships/hyperlink" Target="http://dx.doi.org/10.1787/eag-2014-en" TargetMode="External"/><Relationship Id="rId57" Type="http://schemas.openxmlformats.org/officeDocument/2006/relationships/image" Target="media/image2.png"/><Relationship Id="rId106" Type="http://schemas.openxmlformats.org/officeDocument/2006/relationships/hyperlink" Target="http://dx.doi.org/10.1787/888933285646" TargetMode="External"/><Relationship Id="rId127" Type="http://schemas.openxmlformats.org/officeDocument/2006/relationships/hyperlink" Target="http://dx.doi.org/10.1787/888933118162" TargetMode="External"/><Relationship Id="rId10" Type="http://schemas.openxmlformats.org/officeDocument/2006/relationships/hyperlink" Target="http://www.msmt.cz/vzdelavani/skolstvi-v-cr/statistika-skolstvi/statisticka-rocenka-skolstvi-vyvojova-rocenka" TargetMode="External"/><Relationship Id="rId31" Type="http://schemas.openxmlformats.org/officeDocument/2006/relationships/hyperlink" Target="http://www.uis.unesco.org/Education/Pages/international-standard-classification-of-education.aspx" TargetMode="External"/><Relationship Id="rId52" Type="http://schemas.openxmlformats.org/officeDocument/2006/relationships/hyperlink" Target="http://dx.doi.org/10.1787/eag-2015-en" TargetMode="External"/><Relationship Id="rId73" Type="http://schemas.openxmlformats.org/officeDocument/2006/relationships/hyperlink" Target="http://dx.doi.org/10.1787/888933117839" TargetMode="External"/><Relationship Id="rId78" Type="http://schemas.openxmlformats.org/officeDocument/2006/relationships/hyperlink" Target="http://dx.doi.org/10.1787/888933283897" TargetMode="External"/><Relationship Id="rId94" Type="http://schemas.openxmlformats.org/officeDocument/2006/relationships/hyperlink" Target="http://dx.doi.org/10.1787/888933285480" TargetMode="External"/><Relationship Id="rId99" Type="http://schemas.openxmlformats.org/officeDocument/2006/relationships/hyperlink" Target="http://dx.doi.org/10.1787/888933117250" TargetMode="External"/><Relationship Id="rId101" Type="http://schemas.openxmlformats.org/officeDocument/2006/relationships/image" Target="media/image12.png"/><Relationship Id="rId122" Type="http://schemas.openxmlformats.org/officeDocument/2006/relationships/hyperlink" Target="http://dx.doi.org/10.1787/888933284112" TargetMode="External"/><Relationship Id="rId143" Type="http://schemas.openxmlformats.org/officeDocument/2006/relationships/hyperlink" Target="http://dx.doi.org/10.1787/888933118143" TargetMode="External"/><Relationship Id="rId148" Type="http://schemas.openxmlformats.org/officeDocument/2006/relationships/hyperlink" Target="http://www.msmt.cz/file/34152/download" TargetMode="External"/><Relationship Id="rId164" Type="http://schemas.openxmlformats.org/officeDocument/2006/relationships/image" Target="media/image27.png"/><Relationship Id="rId169" Type="http://schemas.openxmlformats.org/officeDocument/2006/relationships/image" Target="media/image28.png"/><Relationship Id="rId185" Type="http://schemas.openxmlformats.org/officeDocument/2006/relationships/hyperlink" Target="http://www.csicr.cz/Prave-menu/Mezinarodni-setreni/TALIS/Ceska-skolni-inspekce-zverejnuje-analytickou-zprav" TargetMode="External"/><Relationship Id="rId4" Type="http://schemas.openxmlformats.org/officeDocument/2006/relationships/settings" Target="settings.xml"/><Relationship Id="rId9" Type="http://schemas.openxmlformats.org/officeDocument/2006/relationships/hyperlink" Target="http://www.msmt.cz/vzdelavani/skolstvi-v-cr/statistika-skolstvi/statistickerocenky-skolstvi-zamestnanci-a-mzdove-prostredky" TargetMode="External"/><Relationship Id="rId180" Type="http://schemas.openxmlformats.org/officeDocument/2006/relationships/hyperlink" Target="http://eacea.ec.europa.eu/education/eurydice/documents/key_data_series/134EN.pdf" TargetMode="External"/><Relationship Id="rId26" Type="http://schemas.openxmlformats.org/officeDocument/2006/relationships/hyperlink" Target="https://www.czso.cz/csu/czso/hdp_narodni_ucty" TargetMode="External"/><Relationship Id="rId47" Type="http://schemas.openxmlformats.org/officeDocument/2006/relationships/hyperlink" Target="http://www.msmt.cz/vzdelavani/skolstvi-v-cr/statistika-skolstvi/rocenky" TargetMode="External"/><Relationship Id="rId68" Type="http://schemas.openxmlformats.org/officeDocument/2006/relationships/hyperlink" Target="http://dx.doi.org/10.1787/888933285427" TargetMode="External"/><Relationship Id="rId89" Type="http://schemas.openxmlformats.org/officeDocument/2006/relationships/hyperlink" Target="http://dx.doi.org/10.1787/888933283989" TargetMode="External"/><Relationship Id="rId112" Type="http://schemas.openxmlformats.org/officeDocument/2006/relationships/hyperlink" Target="http://www.msmt.cz/ministerstvo/novinar/msmt-podpori-kapacity-ms-a-zs-i-v-roce-2016" TargetMode="External"/><Relationship Id="rId133" Type="http://schemas.openxmlformats.org/officeDocument/2006/relationships/hyperlink" Target="http://dx.doi.org/10.1787/888933119948" TargetMode="External"/><Relationship Id="rId154" Type="http://schemas.openxmlformats.org/officeDocument/2006/relationships/hyperlink" Target="http://www.msmt.cz/file/36518/download" TargetMode="External"/><Relationship Id="rId175" Type="http://schemas.openxmlformats.org/officeDocument/2006/relationships/hyperlink" Target="http://dx.doi.org/10.1787/eag-2014-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_rels/footer2.xml.rels><?xml version="1.0" encoding="UTF-8" standalone="yes"?>
<Relationships xmlns="http://schemas.openxmlformats.org/package/2006/relationships"><Relationship Id="rId1" Type="http://schemas.openxmlformats.org/officeDocument/2006/relationships/image" Target="media/image31.png"/></Relationships>
</file>

<file path=word/_rels/footnotes.xml.rels><?xml version="1.0" encoding="UTF-8" standalone="yes"?>
<Relationships xmlns="http://schemas.openxmlformats.org/package/2006/relationships"><Relationship Id="rId8" Type="http://schemas.openxmlformats.org/officeDocument/2006/relationships/hyperlink" Target="http://www.csicr.cz/Prave-menu/Mezinarodni-setreni/PISA/Narodni-zpravy/Hlavni-zjisteni-PISA-2012" TargetMode="External"/><Relationship Id="rId13" Type="http://schemas.openxmlformats.org/officeDocument/2006/relationships/hyperlink" Target="http://www.csicr.cz/getattachment/c2817f61-72f1-4e58-b843-761110ccad6d" TargetMode="External"/><Relationship Id="rId3" Type="http://schemas.openxmlformats.org/officeDocument/2006/relationships/hyperlink" Target="https://circabc.europa.eu/faces/jsp/extension/wai/navigation/container.jsp?FormPrincipal:_idcl=navigationLibrary&amp;FormPrincipal_SUBMIT=1&amp;org.apache.myfaces.trinidad.faces.STATE=DUMMY&amp;id=347f4c47-76a5-4aab-99ab-e1fb51064a4b&amp;javax.faces.ViewState=rO0ABXVyABNbTGphdmEubGFuZy5PYmplY3Q7kM5YnxBzKWwCAAB4cAAAAAN0AAIxMXB0ACsvanNwL2V4dGVuc2lvbi93YWkvbmF2aWdhdGlvbi9jb250YWluZXIuanNw" TargetMode="External"/><Relationship Id="rId7" Type="http://schemas.openxmlformats.org/officeDocument/2006/relationships/hyperlink" Target="ttp://dx.doi.org/10.1787/9789264208780-en" TargetMode="External"/><Relationship Id="rId12" Type="http://schemas.openxmlformats.org/officeDocument/2006/relationships/hyperlink" Target="http://www.google.cz/url?sa=t&amp;rct=j&amp;q=&amp;esrc=s&amp;source=web&amp;cd=5&amp;ved=0ahUKEwiV3cLU3JDMAhWLbBoKHaRDBRMQFgg_MAQ&amp;url=http%3A%2F%2Fwww.eenee.de%2Fdms%2FEENEE%2FPolicy_Briefs%2FPolicyBrief2-2011.pdf&amp;usg=AFQjCNFzGq-0VunvcnbCDulVNCyn7_6cmA&amp;bvm=bv.119745492,d.d2s" TargetMode="External"/><Relationship Id="rId2" Type="http://schemas.openxmlformats.org/officeDocument/2006/relationships/hyperlink" Target="https://circabc.europa.eu/faces/jsp/extension/wai/navigation/container.jsp?FormPrincipal:_idcl=navigationLibrary&amp;FormPrincipal_SUBMIT=1&amp;org.apache.myfaces.trinidad.faces.STATE=DUMMY&amp;id=b1c46d80-0461-48ef-92a5-30f16e9d2b10&amp;javax.faces.ViewState=rO0ABXVyABNbTGphdmEubGFuZy5PYmplY3Q7kM5YnxBzKWwCAAB4cAAAAAN0AAIxMXB0ACsvanNwL2V4dGVuc2lvbi93YWkvbmF2aWdhdGlvbi9jb250YWluZXIuanNw" TargetMode="External"/><Relationship Id="rId1" Type="http://schemas.openxmlformats.org/officeDocument/2006/relationships/hyperlink" Target="https://circabc.europa.eu/faces/jsp/extension/wai/navigation/container.jsp?FormPrincipal:_idcl=navigationLibrary&amp;FormPrincipal_SUBMIT=1&amp;org.apache.myfaces.trinidad.faces.STATE=DUMMY&amp;id=de8afd37-d91d-4615-939f-9b028cf06f73&amp;javax.faces.ViewState=rO0ABXVyABNbTGphdmEubGFuZy5PYmplY3Q7kM5YnxBzKWwCAAB4cAAAAAN0AAIxMXB0ACsvanNwL2V4dGVuc2lvbi93YWkvbmF2aWdhdGlvbi9jb250YWluZXIuanNw" TargetMode="External"/><Relationship Id="rId6" Type="http://schemas.openxmlformats.org/officeDocument/2006/relationships/hyperlink" Target="https://circabc.europa.eu/faces/jsp/extension/wai/navigation/container.jsp?FormPrincipal:_idcl=navigationLibrary&amp;FormPrincipal_SUBMIT=1&amp;org.apache.myfaces.trinidad.faces.STATE=DUMMY&amp;id=347f4c47-76a5-4aab-99ab-e1fb51064a4b&amp;javax.faces.ViewState=rO0ABXVyABNbTGphdmEubGFuZy5PYmplY3Q7kM5YnxBzKWwCAAB4cAAAAAN0AAIxMXB0ACsvanNwL2V4dGVuc2lvbi93YWkvbmF2aWdhdGlvbi9jb250YWluZXIuanNw" TargetMode="External"/><Relationship Id="rId11" Type="http://schemas.openxmlformats.org/officeDocument/2006/relationships/hyperlink" Target="http://www.csicr.cz/Prave-menu/Mezinarodni-setreni/TALIS/Metodika-setreni/Koncepcni-ramec-setreni-TALIS-2013" TargetMode="External"/><Relationship Id="rId5" Type="http://schemas.openxmlformats.org/officeDocument/2006/relationships/hyperlink" Target="https://circabc.europa.eu/faces/jsp/extension/wai/navigation/container.jsp?FormPrincipal:_idcl=navigationLibrary&amp;FormPrincipal_SUBMIT=1&amp;org.apache.myfaces.trinidad.faces.STATE=DUMMY&amp;id=b1c46d80-0461-48ef-92a5-30f16e9d2b10&amp;javax.faces.ViewState=rO0ABXVyABNbTGphdmEubGFuZy5PYmplY3Q7kM5YnxBzKWwCAAB4cAAAAAN0AAIxMXB0ACsvanNwL2V4dGVuc2lvbi93YWkvbmF2aWdhdGlvbi9jb250YWluZXIuanNw" TargetMode="External"/><Relationship Id="rId10" Type="http://schemas.openxmlformats.org/officeDocument/2006/relationships/hyperlink" Target="http://www.msmt.cz/vzdelavani/skolstvi-v-cr/ekonomika-skolstvi/rozpocet-kapitoly-msmt-na-rok-2015" TargetMode="External"/><Relationship Id="rId4" Type="http://schemas.openxmlformats.org/officeDocument/2006/relationships/hyperlink" Target="https://circabc.europa.eu/faces/jsp/extension/wai/navigation/container.jsp?FormPrincipal:_idcl=navigationLibrary&amp;FormPrincipal_SUBMIT=1&amp;org.apache.myfaces.trinidad.faces.STATE=DUMMY&amp;id=de8afd37-d91d-4615-939f-9b028cf06f73&amp;javax.faces.ViewState=rO0ABXVyABNbTGphdmEubGFuZy5PYmplY3Q7kM5YnxBzKWwCAAB4cAAAAAN0AAIxMXB0ACsvanNwL2V4dGVuc2lvbi93YWkvbmF2aWdhdGlvbi9jb250YWluZXIuanNw" TargetMode="External"/><Relationship Id="rId9" Type="http://schemas.openxmlformats.org/officeDocument/2006/relationships/hyperlink" Target="http://www.csicr.cz/getattachment/c2817f61-72f1-4e58-b843-761110ccad6d" TargetMode="External"/><Relationship Id="rId14" Type="http://schemas.openxmlformats.org/officeDocument/2006/relationships/hyperlink" Target="http://www.csicr.cz/Prave-menu/Mezinarodni-setreni/TALIS/Sekundarni-analyzy/Ceska-skolni-inspekce-zverejnuje-analytickou-zprav"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LNIC~1\AppData\Local\Temp\Publikace%20bar%20CZ_lide%20a%20spolecnost_2016-03-29.dot"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7462F-AAD4-48BD-A82A-03CA1052A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 CZ_lide a spolecnost_2016-03-29</Template>
  <TotalTime>2958</TotalTime>
  <Pages>70</Pages>
  <Words>35114</Words>
  <Characters>207179</Characters>
  <Application>Microsoft Office Word</Application>
  <DocSecurity>0</DocSecurity>
  <Lines>1726</Lines>
  <Paragraphs>483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CSU</Company>
  <LinksUpToDate>false</LinksUpToDate>
  <CharactersWithSpaces>241810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Vladimíra Kalnická</dc:creator>
  <cp:lastModifiedBy>kasparova3676</cp:lastModifiedBy>
  <cp:revision>411</cp:revision>
  <cp:lastPrinted>2016-08-18T08:50:00Z</cp:lastPrinted>
  <dcterms:created xsi:type="dcterms:W3CDTF">2016-08-10T11:11:00Z</dcterms:created>
  <dcterms:modified xsi:type="dcterms:W3CDTF">2016-09-02T12:13:00Z</dcterms:modified>
</cp:coreProperties>
</file>