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226408">
      <w:pPr>
        <w:pStyle w:val="Nzev"/>
        <w:spacing w:after="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D963D0" w:rsidRPr="009F01FD" w:rsidRDefault="00D963D0" w:rsidP="00D963D0">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D963D0">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D963D0">
      <w:pPr>
        <w:pStyle w:val="titulek1"/>
        <w:spacing w:before="120" w:after="0"/>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D963D0">
      <w:pPr>
        <w:pStyle w:val="Zkladntext"/>
        <w:spacing w:before="120" w:after="0"/>
        <w:ind w:firstLine="425"/>
        <w:rPr>
          <w:rFonts w:cs="Arial"/>
          <w:i/>
          <w:iCs/>
          <w:sz w:val="20"/>
          <w:szCs w:val="20"/>
          <w:lang w:val="en-GB"/>
        </w:rPr>
      </w:pPr>
      <w:r w:rsidRPr="009F01FD">
        <w:rPr>
          <w:rFonts w:cs="Arial"/>
          <w:b/>
          <w:i/>
          <w:iCs/>
          <w:sz w:val="20"/>
          <w:szCs w:val="20"/>
          <w:lang w:val="en-GB"/>
        </w:rPr>
        <w:lastRenderedPageBreak/>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4F5A47">
      <w:pPr>
        <w:pStyle w:val="Zkladntext"/>
        <w:spacing w:before="12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B1344D" w:rsidRPr="009F01FD" w:rsidRDefault="00B1344D" w:rsidP="00B1344D">
      <w:pPr>
        <w:pStyle w:val="Zkladntext"/>
        <w:spacing w:before="120" w:after="0"/>
        <w:ind w:firstLine="425"/>
        <w:rPr>
          <w:rFonts w:cs="Arial"/>
          <w:bCs/>
          <w:i/>
          <w:iCs/>
          <w:sz w:val="20"/>
          <w:szCs w:val="20"/>
          <w:lang w:val="en-GB"/>
        </w:rPr>
      </w:pPr>
      <w:r w:rsidRPr="009F01FD">
        <w:rPr>
          <w:rFonts w:cs="Arial"/>
          <w:bCs/>
          <w:i/>
          <w:iCs/>
          <w:sz w:val="20"/>
          <w:szCs w:val="20"/>
          <w:lang w:val="en-GB"/>
        </w:rPr>
        <w:t xml:space="preserve">Since January 2009 industrial producer price indices and market services indices are compiled, calculated, and published </w:t>
      </w:r>
      <w:r>
        <w:rPr>
          <w:rFonts w:cs="Arial"/>
          <w:bCs/>
          <w:i/>
          <w:iCs/>
          <w:sz w:val="20"/>
          <w:szCs w:val="20"/>
          <w:lang w:val="en-GB"/>
        </w:rPr>
        <w:t>according to</w:t>
      </w:r>
      <w:r w:rsidRPr="009F01FD">
        <w:rPr>
          <w:rFonts w:cs="Arial"/>
          <w:bCs/>
          <w:i/>
          <w:iCs/>
          <w:sz w:val="20"/>
          <w:szCs w:val="20"/>
          <w:lang w:val="en-GB"/>
        </w:rPr>
        <w:t xml:space="preserve"> the Classification of Products by Activity </w:t>
      </w:r>
      <w:r>
        <w:rPr>
          <w:rFonts w:cs="Arial"/>
          <w:bCs/>
          <w:i/>
          <w:iCs/>
          <w:sz w:val="20"/>
          <w:szCs w:val="20"/>
          <w:lang w:val="en-GB"/>
        </w:rPr>
        <w:t>(</w:t>
      </w:r>
      <w:r w:rsidRPr="009F01FD">
        <w:rPr>
          <w:rFonts w:cs="Arial"/>
          <w:bCs/>
          <w:i/>
          <w:iCs/>
          <w:sz w:val="20"/>
          <w:szCs w:val="20"/>
          <w:lang w:val="en-GB"/>
        </w:rPr>
        <w:t>CZ-CPA</w:t>
      </w:r>
      <w:r>
        <w:rPr>
          <w:rFonts w:cs="Arial"/>
          <w:bCs/>
          <w:i/>
          <w:iCs/>
          <w:sz w:val="20"/>
          <w:szCs w:val="20"/>
          <w:lang w:val="en-GB"/>
        </w:rPr>
        <w:t>)</w:t>
      </w:r>
      <w:r w:rsidRPr="009F01FD">
        <w:rPr>
          <w:rFonts w:cs="Arial"/>
          <w:bCs/>
          <w:i/>
          <w:iCs/>
          <w:sz w:val="20"/>
          <w:szCs w:val="20"/>
          <w:lang w:val="en-GB"/>
        </w:rPr>
        <w:t xml:space="preserve">. Detailed information on the classification is available on the CZSO </w:t>
      </w:r>
      <w:r>
        <w:rPr>
          <w:rFonts w:cs="Arial"/>
          <w:bCs/>
          <w:i/>
          <w:iCs/>
          <w:sz w:val="20"/>
          <w:szCs w:val="20"/>
          <w:lang w:val="en-GB"/>
        </w:rPr>
        <w:t>website</w:t>
      </w:r>
      <w:r w:rsidRPr="009F01FD">
        <w:rPr>
          <w:rFonts w:cs="Arial"/>
          <w:bCs/>
          <w:i/>
          <w:iCs/>
          <w:sz w:val="20"/>
          <w:szCs w:val="20"/>
          <w:lang w:val="en-GB"/>
        </w:rPr>
        <w:t>:</w:t>
      </w:r>
    </w:p>
    <w:p w:rsidR="00B1344D" w:rsidRPr="009F01FD" w:rsidRDefault="00B1344D" w:rsidP="00B1344D">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www.czso.cz/csu/czso/classifications</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A96E93" w:rsidRPr="009F01FD"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83240980" r:id="rId9"/>
        </w:objec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sidR="00B1344D" w:rsidRPr="009F01FD">
        <w:rPr>
          <w:rFonts w:cs="Arial"/>
          <w:i/>
          <w:iCs/>
          <w:sz w:val="20"/>
          <w:szCs w:val="20"/>
          <w:lang w:val="en-GB"/>
        </w:rPr>
        <w:t>,</w:t>
      </w:r>
      <w:r w:rsidR="00B1344D">
        <w:rPr>
          <w:rFonts w:cs="Arial"/>
          <w:i/>
          <w:iCs/>
          <w:sz w:val="20"/>
          <w:szCs w:val="20"/>
          <w:lang w:val="en-GB"/>
        </w:rPr>
        <w:t xml:space="preserve"> and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sidR="00B1344D">
        <w:rPr>
          <w:rFonts w:cs="Arial"/>
          <w:i/>
          <w:iCs/>
          <w:sz w:val="20"/>
          <w:szCs w:val="20"/>
          <w:lang w:val="en-GB"/>
        </w:rPr>
        <w:t>, that is</w:t>
      </w:r>
      <w:r w:rsidR="00B1344D" w:rsidRPr="009F01FD">
        <w:rPr>
          <w:rFonts w:cs="Arial"/>
          <w:i/>
          <w:iCs/>
          <w:sz w:val="20"/>
          <w:szCs w:val="20"/>
          <w:lang w:val="en-GB"/>
        </w:rPr>
        <w:t xml:space="preserve"> the</w:t>
      </w:r>
      <w:r w:rsidRPr="009F01FD">
        <w:rPr>
          <w:rFonts w:cs="Arial"/>
          <w:i/>
          <w:iCs/>
          <w:sz w:val="20"/>
          <w:szCs w:val="20"/>
          <w:lang w:val="en-GB"/>
        </w:rPr>
        <w:t xml:space="preserve"> value indicator of the base period (sales, yields, etc.).</w:t>
      </w:r>
    </w:p>
    <w:p w:rsidR="00A96E93" w:rsidRPr="009F01FD" w:rsidRDefault="00A96E93" w:rsidP="004F5A47">
      <w:pPr>
        <w:spacing w:before="120"/>
        <w:ind w:firstLine="425"/>
        <w:jc w:val="both"/>
        <w:rPr>
          <w:rFonts w:ascii="Arial" w:hAnsi="Arial" w:cs="Arial"/>
          <w:i/>
          <w:iCs/>
          <w:sz w:val="20"/>
          <w:szCs w:val="20"/>
          <w:lang w:val="en-GB"/>
        </w:rPr>
      </w:pP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2012</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2009, 2010, and 2011</w:t>
      </w:r>
      <w:r>
        <w:rPr>
          <w:rFonts w:ascii="Arial" w:hAnsi="Arial" w:cs="Arial"/>
          <w:i/>
          <w:sz w:val="20"/>
          <w:szCs w:val="20"/>
          <w:lang w:val="en-GB"/>
        </w:rPr>
        <w:t>,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sidR="003D0DDC">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2010 = 100</w:t>
      </w:r>
      <w:r w:rsidRPr="009F01FD">
        <w:rPr>
          <w:rFonts w:ascii="Arial" w:hAnsi="Arial" w:cs="Arial"/>
          <w:i/>
          <w:sz w:val="20"/>
          <w:szCs w:val="20"/>
          <w:lang w:val="en-GB"/>
        </w:rPr>
        <w:t>.</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as</w:t>
      </w:r>
      <w:r w:rsidRPr="009F01FD">
        <w:rPr>
          <w:rFonts w:ascii="Arial" w:hAnsi="Arial" w:cs="Arial"/>
          <w:i/>
          <w:sz w:val="20"/>
          <w:szCs w:val="20"/>
          <w:lang w:val="en-GB"/>
        </w:rPr>
        <w:t xml:space="preserve"> 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 xml:space="preserve">year. The sum of weights of the highest </w:t>
      </w:r>
      <w:r w:rsidRPr="009F01FD">
        <w:rPr>
          <w:rFonts w:ascii="Arial" w:hAnsi="Arial" w:cs="Arial"/>
          <w:i/>
          <w:sz w:val="20"/>
          <w:szCs w:val="20"/>
          <w:lang w:val="en-GB"/>
        </w:rPr>
        <w:lastRenderedPageBreak/>
        <w:t>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Pr>
          <w:rFonts w:ascii="Arial" w:hAnsi="Arial" w:cs="Arial"/>
          <w:b/>
          <w:i/>
          <w:sz w:val="20"/>
          <w:szCs w:val="20"/>
          <w:lang w:val="en-GB"/>
        </w:rPr>
        <w:t>Therefore s</w:t>
      </w:r>
      <w:r w:rsidRPr="009F01FD">
        <w:rPr>
          <w:rFonts w:ascii="Arial" w:hAnsi="Arial" w:cs="Arial"/>
          <w:b/>
          <w:i/>
          <w:sz w:val="20"/>
          <w:szCs w:val="20"/>
          <w:lang w:val="en-GB"/>
        </w:rPr>
        <w:t>ince January 2013 variable monthly weights are used for the agricultural producer price index</w:t>
      </w:r>
      <w:r w:rsidRPr="00FF475D">
        <w:rPr>
          <w:rFonts w:ascii="Arial" w:hAnsi="Arial" w:cs="Arial"/>
          <w:b/>
          <w:i/>
          <w:sz w:val="20"/>
          <w:szCs w:val="20"/>
          <w:lang w:val="en-GB"/>
        </w:rPr>
        <w:t xml:space="preserve"> </w:t>
      </w:r>
      <w:r w:rsidRPr="009F01FD">
        <w:rPr>
          <w:rFonts w:ascii="Arial" w:hAnsi="Arial" w:cs="Arial"/>
          <w:b/>
          <w:i/>
          <w:sz w:val="20"/>
          <w:szCs w:val="20"/>
          <w:lang w:val="en-GB"/>
        </w:rPr>
        <w:t>calculation.</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i/>
          <w:sz w:val="20"/>
          <w:szCs w:val="20"/>
          <w:lang w:val="en-GB"/>
        </w:rPr>
        <w:t xml:space="preserve">Agricultural producer price </w:t>
      </w:r>
      <w:r w:rsidRPr="009F01FD">
        <w:rPr>
          <w:rFonts w:ascii="Arial" w:hAnsi="Arial" w:cs="Arial"/>
          <w:b/>
          <w:i/>
          <w:sz w:val="20"/>
          <w:szCs w:val="20"/>
          <w:lang w:val="en-GB"/>
        </w:rPr>
        <w:t>indices</w:t>
      </w:r>
      <w:r w:rsidRPr="009F01FD">
        <w:rPr>
          <w:rFonts w:ascii="Arial" w:hAnsi="Arial" w:cs="Arial"/>
          <w:i/>
          <w:sz w:val="20"/>
          <w:szCs w:val="20"/>
          <w:lang w:val="en-GB"/>
        </w:rPr>
        <w:t xml:space="preserve"> are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71 basic agricultural products (price representatives), of which 55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16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40 representatives are </w:t>
      </w:r>
      <w:r>
        <w:rPr>
          <w:rFonts w:ascii="Arial" w:hAnsi="Arial" w:cs="Arial"/>
          <w:i/>
          <w:sz w:val="20"/>
          <w:szCs w:val="20"/>
          <w:lang w:val="en-GB"/>
        </w:rPr>
        <w:t>monitored</w:t>
      </w:r>
      <w:r w:rsidRPr="009F01FD">
        <w:rPr>
          <w:rFonts w:ascii="Arial" w:hAnsi="Arial" w:cs="Arial"/>
          <w:i/>
          <w:sz w:val="20"/>
          <w:szCs w:val="20"/>
          <w:lang w:val="en-GB"/>
        </w:rPr>
        <w:t>, which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and are just </w:t>
      </w:r>
      <w:r w:rsidRPr="009F01FD">
        <w:rPr>
          <w:rFonts w:ascii="Arial" w:hAnsi="Arial" w:cs="Arial"/>
          <w:i/>
          <w:sz w:val="20"/>
          <w:szCs w:val="20"/>
          <w:lang w:val="en-GB"/>
        </w:rPr>
        <w:t>published.</w:t>
      </w:r>
    </w:p>
    <w:p w:rsidR="00B1344D" w:rsidRPr="009F01FD" w:rsidRDefault="00B1344D" w:rsidP="00B1344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9F01FD">
        <w:rPr>
          <w:rFonts w:ascii="Arial" w:hAnsi="Arial" w:cs="Arial"/>
          <w:b/>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w:t>
      </w:r>
      <w:r w:rsidRPr="009F01FD">
        <w:rPr>
          <w:rFonts w:ascii="Arial" w:hAnsi="Arial" w:cs="Arial"/>
          <w:i/>
          <w:iCs/>
          <w:sz w:val="20"/>
          <w:szCs w:val="20"/>
          <w:lang w:val="en-GB"/>
        </w:rPr>
        <w:t xml:space="preserve"> are regarded as industrial products.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w:t>
      </w:r>
      <w:r w:rsidR="0024161E">
        <w:rPr>
          <w:rFonts w:ascii="Arial" w:hAnsi="Arial" w:cs="Arial"/>
          <w:i/>
          <w:iCs/>
          <w:sz w:val="20"/>
          <w:szCs w:val="20"/>
          <w:lang w:val="en-GB"/>
        </w:rPr>
        <w:t>o</w:t>
      </w:r>
      <w:r>
        <w:rPr>
          <w:rFonts w:ascii="Arial" w:hAnsi="Arial" w:cs="Arial"/>
          <w:i/>
          <w:iCs/>
          <w:sz w:val="20"/>
          <w:szCs w:val="20"/>
          <w:lang w:val="en-GB"/>
        </w:rPr>
        <w:t xml:space="preserve">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the current base of the average of 2005 = 100, which ensures continuation of the current times series of indices </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8871F9">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sidR="008871F9">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8871F9">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sidR="008871F9">
        <w:rPr>
          <w:rFonts w:ascii="Arial" w:hAnsi="Arial" w:cs="Arial"/>
          <w:i/>
          <w:iCs/>
          <w:sz w:val="20"/>
          <w:szCs w:val="20"/>
          <w:lang w:val="en-GB"/>
        </w:rPr>
        <w:t>to</w:t>
      </w:r>
      <w:r w:rsidRPr="009F01FD">
        <w:rPr>
          <w:rFonts w:ascii="Arial" w:hAnsi="Arial" w:cs="Arial"/>
          <w:i/>
          <w:iCs/>
          <w:sz w:val="20"/>
          <w:szCs w:val="20"/>
          <w:lang w:val="en-GB"/>
        </w:rPr>
        <w:t xml:space="preserve"> the </w:t>
      </w:r>
      <w:r w:rsidR="008871F9">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71, 73, 74, 77, 78, 80, 81, and 82.</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2012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xml:space="preserve">. Since January 2013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w:t>
      </w:r>
      <w:r w:rsidR="003D0DDC">
        <w:rPr>
          <w:rFonts w:ascii="Arial" w:hAnsi="Arial" w:cs="Arial"/>
          <w:i/>
          <w:sz w:val="20"/>
          <w:szCs w:val="20"/>
          <w:lang w:val="en-GB"/>
        </w:rPr>
        <w:t xml:space="preserve">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 xml:space="preserve">2011. Newly calculated indices on the base of the average of 2011 = 100 were chained to the current price base of the average of 2005 = 100 in December 2012, which </w:t>
      </w:r>
      <w:r>
        <w:rPr>
          <w:rFonts w:ascii="Arial" w:hAnsi="Arial" w:cs="Arial"/>
          <w:i/>
          <w:sz w:val="20"/>
          <w:szCs w:val="20"/>
          <w:lang w:val="en-GB"/>
        </w:rPr>
        <w:t xml:space="preserve">ensured </w:t>
      </w:r>
      <w:r w:rsidRPr="009F01FD">
        <w:rPr>
          <w:rFonts w:ascii="Arial" w:hAnsi="Arial" w:cs="Arial"/>
          <w:i/>
          <w:sz w:val="20"/>
          <w:szCs w:val="20"/>
          <w:lang w:val="en-GB"/>
        </w:rPr>
        <w:t xml:space="preserve">continuation of the </w:t>
      </w:r>
      <w:r>
        <w:rPr>
          <w:rFonts w:ascii="Arial" w:hAnsi="Arial" w:cs="Arial"/>
          <w:i/>
          <w:sz w:val="20"/>
          <w:szCs w:val="20"/>
          <w:lang w:val="en-GB"/>
        </w:rPr>
        <w:t xml:space="preserve">current </w:t>
      </w:r>
      <w:r w:rsidRPr="009F01FD">
        <w:rPr>
          <w:rFonts w:ascii="Arial" w:hAnsi="Arial" w:cs="Arial"/>
          <w:i/>
          <w:sz w:val="20"/>
          <w:szCs w:val="20"/>
          <w:lang w:val="en-GB"/>
        </w:rPr>
        <w:t>time series of indices.</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3D0DDC">
        <w:rPr>
          <w:rFonts w:ascii="Arial" w:hAnsi="Arial" w:cs="Arial"/>
          <w:i/>
          <w:iCs/>
          <w:sz w:val="20"/>
          <w:szCs w:val="20"/>
          <w:lang w:val="en-GB"/>
        </w:rPr>
        <w:t xml:space="preserve"> there are</w:t>
      </w:r>
      <w:r>
        <w:rPr>
          <w:rFonts w:ascii="Arial" w:hAnsi="Arial" w:cs="Arial"/>
          <w:i/>
          <w:iCs/>
          <w:sz w:val="20"/>
          <w:szCs w:val="20"/>
          <w:lang w:val="en-GB"/>
        </w:rPr>
        <w:t xml:space="preserve"> about</w:t>
      </w:r>
      <w:r w:rsidRPr="009F01FD">
        <w:rPr>
          <w:rFonts w:ascii="Arial" w:hAnsi="Arial" w:cs="Arial"/>
          <w:i/>
          <w:iCs/>
          <w:sz w:val="20"/>
          <w:szCs w:val="20"/>
          <w:lang w:val="en-GB"/>
        </w:rPr>
        <w:t xml:space="preserve"> 240 constant price representatives from approximately 550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w:t>
      </w:r>
      <w:r w:rsidR="003D0DDC">
        <w:rPr>
          <w:rFonts w:ascii="Arial" w:hAnsi="Arial" w:cs="Arial"/>
          <w:i/>
          <w:iCs/>
          <w:sz w:val="20"/>
          <w:szCs w:val="20"/>
          <w:lang w:val="en-GB"/>
        </w:rPr>
        <w:t xml:space="preserv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45</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 </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2005.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B1344D" w:rsidRPr="009F01FD" w:rsidRDefault="00B1344D" w:rsidP="00B1344D">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B1344D" w:rsidRPr="009F01FD" w:rsidRDefault="00B1344D" w:rsidP="00B1344D">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2016,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2014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B1344D" w:rsidRPr="009F01FD" w:rsidRDefault="00B1344D" w:rsidP="00B1344D">
      <w:pPr>
        <w:pStyle w:val="Podnadpis"/>
        <w:spacing w:before="120"/>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(about 9</w:t>
      </w:r>
      <w:r>
        <w:rPr>
          <w:i/>
          <w:sz w:val="20"/>
          <w:szCs w:val="20"/>
          <w:lang w:val="en-GB"/>
        </w:rPr>
        <w:t> </w:t>
      </w:r>
      <w:r w:rsidRPr="009F01FD">
        <w:rPr>
          <w:i/>
          <w:sz w:val="20"/>
          <w:szCs w:val="20"/>
          <w:lang w:val="en-GB"/>
        </w:rPr>
        <w:t xml:space="preserve">000)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B1344D" w:rsidRPr="009F01FD" w:rsidRDefault="00B1344D" w:rsidP="00B1344D">
      <w:pPr>
        <w:pStyle w:val="Podnadpis"/>
        <w:spacing w:before="120"/>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A96E93" w:rsidRPr="009F01FD" w:rsidRDefault="00A96E93" w:rsidP="004F5A47">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83240981" r:id="rId10"/>
        </w:object>
      </w:r>
    </w:p>
    <w:p w:rsidR="00B1344D" w:rsidRDefault="00B1344D" w:rsidP="00B1344D">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B1344D" w:rsidRDefault="00B1344D" w:rsidP="00B1344D">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B1344D" w:rsidRDefault="00B1344D" w:rsidP="00B1344D">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B1344D" w:rsidRDefault="00B1344D" w:rsidP="00B1344D">
      <w:pPr>
        <w:spacing w:before="120"/>
        <w:ind w:firstLine="425"/>
        <w:jc w:val="both"/>
        <w:rPr>
          <w:rFonts w:ascii="Arial" w:hAnsi="Arial" w:cs="Arial"/>
          <w:i/>
          <w:sz w:val="20"/>
          <w:szCs w:val="20"/>
          <w:lang w:val="en-GB"/>
        </w:rPr>
      </w:pPr>
      <w:r w:rsidRPr="00076773">
        <w:rPr>
          <w:rFonts w:ascii="Arial" w:hAnsi="Arial" w:cs="Arial"/>
          <w:b/>
          <w:i/>
          <w:sz w:val="20"/>
          <w:szCs w:val="20"/>
          <w:lang w:val="en-GB"/>
        </w:rPr>
        <w:t>Starting from January 2016</w:t>
      </w:r>
      <w:r>
        <w:rPr>
          <w:rFonts w:ascii="Arial" w:hAnsi="Arial" w:cs="Arial"/>
          <w:i/>
          <w:sz w:val="20"/>
          <w:szCs w:val="20"/>
          <w:lang w:val="en-GB"/>
        </w:rPr>
        <w:t xml:space="preserve">, the price reference period for the price indices was changed from December 2013 to December 2015. </w:t>
      </w:r>
      <w:r w:rsidRPr="00076773">
        <w:rPr>
          <w:rFonts w:ascii="Arial" w:hAnsi="Arial" w:cs="Arial"/>
          <w:b/>
          <w:i/>
          <w:sz w:val="20"/>
          <w:szCs w:val="20"/>
          <w:lang w:val="en-GB"/>
        </w:rPr>
        <w:t>Since January 2017</w:t>
      </w:r>
      <w:r>
        <w:rPr>
          <w:rFonts w:ascii="Arial" w:hAnsi="Arial" w:cs="Arial"/>
          <w:i/>
          <w:sz w:val="20"/>
          <w:szCs w:val="20"/>
          <w:lang w:val="en-GB"/>
        </w:rPr>
        <w:t xml:space="preserve"> indices calculated on this base at every level of the consumer basket are newly chained to the index of the base of the average of 2015 = 100. A constant (the index for December 2015 to the base of the average of 2015 = 100) is used to convert the index with the base of December 2015 = 100 into the index time series with the base of the average of 2015 = 100. The index with the base of the average of 2015 = 100 is calculated by multiplying the constant by the index of the base of December 2015 = 100</w:t>
      </w:r>
      <w:r>
        <w:rPr>
          <w:rFonts w:ascii="Arial" w:hAnsi="Arial" w:cs="Arial"/>
          <w:i/>
          <w:iCs/>
          <w:sz w:val="20"/>
          <w:szCs w:val="20"/>
          <w:lang w:val="en-GB"/>
        </w:rPr>
        <w:t>. The resulting time series, with the base of 2015 average = 100, is used to calculate indices of other bases 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A7BBC">
      <w:pPr>
        <w:pStyle w:val="titulek1"/>
        <w:keepNext/>
        <w:spacing w:before="360" w:after="0"/>
        <w:rPr>
          <w:rFonts w:cs="Arial"/>
          <w:i/>
          <w:iCs/>
          <w:sz w:val="28"/>
          <w:szCs w:val="28"/>
          <w:lang w:val="en-GB"/>
        </w:rPr>
      </w:pPr>
      <w:r w:rsidRPr="00807867">
        <w:rPr>
          <w:rFonts w:cs="Arial"/>
          <w:i/>
          <w:iCs/>
          <w:sz w:val="28"/>
          <w:szCs w:val="28"/>
          <w:lang w:val="en-GB"/>
        </w:rPr>
        <w:lastRenderedPageBreak/>
        <w:t>Employees and wages</w:t>
      </w:r>
    </w:p>
    <w:p w:rsidR="00B1344D" w:rsidRPr="001861A5" w:rsidRDefault="00B1344D" w:rsidP="008A7BBC">
      <w:pPr>
        <w:pStyle w:val="Zkladntext"/>
        <w:keepNext/>
        <w:spacing w:before="120" w:after="0"/>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B1344D">
      <w:pPr>
        <w:pStyle w:val="Zkladntext"/>
        <w:tabs>
          <w:tab w:val="clear" w:pos="9360"/>
        </w:tabs>
        <w:spacing w:before="120" w:after="0"/>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B1344D">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B1344D">
      <w:pPr>
        <w:spacing w:before="240"/>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are processed and published according to </w:t>
      </w:r>
      <w:r>
        <w:rPr>
          <w:rFonts w:ascii="Arial" w:hAnsi="Arial" w:cs="Arial"/>
          <w:i/>
          <w:iCs/>
          <w:sz w:val="20"/>
          <w:szCs w:val="20"/>
          <w:lang w:val="en-GB"/>
        </w:rPr>
        <w:t>the</w:t>
      </w:r>
      <w:r w:rsidRPr="009F01FD">
        <w:rPr>
          <w:rFonts w:ascii="Arial" w:hAnsi="Arial" w:cs="Arial"/>
          <w:i/>
          <w:iCs/>
          <w:sz w:val="20"/>
          <w:szCs w:val="20"/>
          <w:lang w:val="en-GB"/>
        </w:rPr>
        <w:t xml:space="preserve"> Classification of Economic Activities CZ-NACE (national version</w:t>
      </w:r>
      <w:r>
        <w:rPr>
          <w:rFonts w:ascii="Arial" w:hAnsi="Arial" w:cs="Arial"/>
          <w:i/>
          <w:iCs/>
          <w:sz w:val="20"/>
          <w:szCs w:val="20"/>
          <w:lang w:val="en-GB"/>
        </w:rPr>
        <w:t xml:space="preserve"> of</w:t>
      </w:r>
      <w:r w:rsidRPr="009F01FD">
        <w:rPr>
          <w:rFonts w:ascii="Arial" w:hAnsi="Arial" w:cs="Arial"/>
          <w:i/>
          <w:iCs/>
          <w:sz w:val="20"/>
          <w:szCs w:val="20"/>
          <w:lang w:val="en-GB"/>
        </w:rPr>
        <w:t xml:space="preserve"> NACE</w:t>
      </w:r>
      <w:r>
        <w:rPr>
          <w:rFonts w:ascii="Arial" w:hAnsi="Arial" w:cs="Arial"/>
          <w:i/>
          <w:iCs/>
          <w:sz w:val="20"/>
          <w:szCs w:val="20"/>
          <w:lang w:val="en-GB"/>
        </w:rPr>
        <w:t>,</w:t>
      </w:r>
      <w:r w:rsidRPr="009F01FD">
        <w:rPr>
          <w:rFonts w:ascii="Arial" w:hAnsi="Arial" w:cs="Arial"/>
          <w:i/>
          <w:iCs/>
          <w:sz w:val="20"/>
          <w:szCs w:val="20"/>
          <w:lang w:val="en-GB"/>
        </w:rPr>
        <w:t xml:space="preserve"> Rev.2), which replaced the </w:t>
      </w:r>
      <w:r>
        <w:rPr>
          <w:rFonts w:ascii="Arial" w:hAnsi="Arial" w:cs="Arial"/>
          <w:i/>
          <w:iCs/>
          <w:sz w:val="20"/>
          <w:szCs w:val="20"/>
          <w:lang w:val="en-GB"/>
        </w:rPr>
        <w:t>previously</w:t>
      </w:r>
      <w:r w:rsidRPr="009F01FD">
        <w:rPr>
          <w:rFonts w:ascii="Arial" w:hAnsi="Arial" w:cs="Arial"/>
          <w:i/>
          <w:iCs/>
          <w:sz w:val="20"/>
          <w:szCs w:val="20"/>
          <w:lang w:val="en-GB"/>
        </w:rPr>
        <w:t xml:space="preserve"> used </w:t>
      </w:r>
      <w:r w:rsidRPr="00985681">
        <w:rPr>
          <w:rFonts w:ascii="Arial" w:hAnsi="Arial" w:cs="Arial"/>
          <w:iCs/>
          <w:sz w:val="20"/>
          <w:szCs w:val="20"/>
          <w:lang w:val="en-GB"/>
        </w:rPr>
        <w:t>OKEČ</w:t>
      </w:r>
      <w:r w:rsidRPr="009F01FD">
        <w:rPr>
          <w:rFonts w:ascii="Arial" w:hAnsi="Arial" w:cs="Arial"/>
          <w:i/>
          <w:iCs/>
          <w:sz w:val="20"/>
          <w:szCs w:val="20"/>
          <w:lang w:val="en-GB"/>
        </w:rPr>
        <w:t xml:space="preserve"> classification (national version </w:t>
      </w:r>
      <w:r>
        <w:rPr>
          <w:rFonts w:ascii="Arial" w:hAnsi="Arial" w:cs="Arial"/>
          <w:i/>
          <w:iCs/>
          <w:sz w:val="20"/>
          <w:szCs w:val="20"/>
          <w:lang w:val="en-GB"/>
        </w:rPr>
        <w:t xml:space="preserve">of </w:t>
      </w:r>
      <w:r w:rsidRPr="009F01FD">
        <w:rPr>
          <w:rFonts w:ascii="Arial" w:hAnsi="Arial" w:cs="Arial"/>
          <w:i/>
          <w:iCs/>
          <w:sz w:val="20"/>
          <w:szCs w:val="20"/>
          <w:lang w:val="en-GB"/>
        </w:rPr>
        <w:t>NACE Rev.1.1)</w:t>
      </w:r>
      <w:r>
        <w:rPr>
          <w:rFonts w:ascii="Arial" w:hAnsi="Arial" w:cs="Arial"/>
          <w:i/>
          <w:iCs/>
          <w:sz w:val="20"/>
          <w:szCs w:val="20"/>
          <w:lang w:val="en-GB"/>
        </w:rPr>
        <w:t>;</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Pr>
          <w:rFonts w:ascii="Arial" w:hAnsi="Arial" w:cs="Arial"/>
          <w:i/>
          <w:iCs/>
          <w:sz w:val="20"/>
          <w:szCs w:val="20"/>
          <w:lang w:val="en-GB"/>
        </w:rPr>
        <w:t>applied as well; and</w:t>
      </w:r>
    </w:p>
    <w:p w:rsidR="00B1344D" w:rsidRPr="009F01FD" w:rsidRDefault="00B1344D" w:rsidP="00B1344D">
      <w:pPr>
        <w:numPr>
          <w:ilvl w:val="0"/>
          <w:numId w:val="17"/>
        </w:numPr>
        <w:tabs>
          <w:tab w:val="clear" w:pos="785"/>
          <w:tab w:val="num" w:pos="1211"/>
        </w:tabs>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 xml:space="preserve">Data on the number of employees and average wages </w:t>
      </w:r>
      <w:r>
        <w:rPr>
          <w:rFonts w:ascii="Arial" w:hAnsi="Arial" w:cs="Arial"/>
          <w:i/>
          <w:iCs/>
          <w:sz w:val="20"/>
          <w:szCs w:val="20"/>
          <w:lang w:val="en-GB"/>
        </w:rPr>
        <w:t>are given for full-time equivalent employee in </w:t>
      </w:r>
      <w:r w:rsidRPr="009F01FD">
        <w:rPr>
          <w:rFonts w:ascii="Arial" w:hAnsi="Arial" w:cs="Arial"/>
          <w:i/>
          <w:iCs/>
          <w:sz w:val="20"/>
          <w:szCs w:val="20"/>
          <w:lang w:val="en-GB"/>
        </w:rPr>
        <w:t>the entire national economy.</w:t>
      </w:r>
      <w:r w:rsidRPr="009D08FD">
        <w:rPr>
          <w:rFonts w:ascii="Arial" w:hAnsi="Arial" w:cs="Arial"/>
          <w:i/>
          <w:iCs/>
          <w:sz w:val="20"/>
          <w:szCs w:val="20"/>
          <w:lang w:val="en-GB"/>
        </w:rPr>
        <w:t xml:space="preserve"> </w:t>
      </w:r>
      <w:r>
        <w:rPr>
          <w:rFonts w:ascii="Arial" w:hAnsi="Arial" w:cs="Arial"/>
          <w:i/>
          <w:iCs/>
          <w:sz w:val="20"/>
          <w:szCs w:val="20"/>
          <w:lang w:val="en-GB"/>
        </w:rPr>
        <w:t>Formerly they were given per headcount employee.</w:t>
      </w:r>
    </w:p>
    <w:p w:rsidR="00B1344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B1344D" w:rsidRPr="009F01FD" w:rsidRDefault="00B1344D" w:rsidP="00B1344D">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labour</w:t>
      </w:r>
      <w:r>
        <w:rPr>
          <w:rFonts w:cs="Arial"/>
          <w:i/>
          <w:iCs/>
          <w:sz w:val="20"/>
          <w:szCs w:val="20"/>
          <w:lang w:val="en-GB"/>
        </w:rPr>
        <w:t xml:space="preserve"> cost</w:t>
      </w:r>
      <w:r w:rsidRPr="009F01FD">
        <w:rPr>
          <w:rFonts w:cs="Arial"/>
          <w:i/>
          <w:iCs/>
          <w:sz w:val="20"/>
          <w:szCs w:val="20"/>
          <w:lang w:val="en-GB"/>
        </w:rPr>
        <w:t xml:space="preserve">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sidR="00D424F8">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wages are taken over from quarterly statistical questionnaires of the CZSO and grossed up to the whole national economy;</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Other labour costs are constructed as estimates from the structure of the annual survey on total labour costs;</w:t>
      </w:r>
      <w:r w:rsidR="00D424F8">
        <w:rPr>
          <w:rFonts w:ascii="Arial" w:hAnsi="Arial" w:cs="Arial"/>
          <w:i/>
          <w:iCs/>
          <w:sz w:val="20"/>
          <w:szCs w:val="20"/>
          <w:lang w:val="en-GB"/>
        </w:rPr>
        <w:t xml:space="preserve"> </w:t>
      </w:r>
      <w:r>
        <w:rPr>
          <w:rFonts w:ascii="Arial" w:hAnsi="Arial" w:cs="Arial"/>
          <w:i/>
          <w:iCs/>
          <w:sz w:val="20"/>
          <w:szCs w:val="20"/>
          <w:lang w:val="en-GB"/>
        </w:rPr>
        <w:t>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Pr>
          <w:rFonts w:ascii="Arial" w:hAnsi="Arial" w:cs="Arial"/>
          <w:i/>
          <w:iCs/>
          <w:sz w:val="20"/>
          <w:szCs w:val="20"/>
          <w:lang w:val="en-GB"/>
        </w:rPr>
        <w:t>Data on hours worked are calculated by means of actually worked hours per week in the given quarter from the Labour Force Sample Survey.</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3D0DDC" w:rsidRDefault="00B1344D" w:rsidP="003D0DDC">
      <w:pPr>
        <w:pStyle w:val="Zkladntext"/>
        <w:spacing w:before="120" w:after="0"/>
        <w:ind w:firstLine="425"/>
        <w:rPr>
          <w:rFonts w:cs="Arial"/>
          <w:i/>
          <w:iCs/>
          <w:sz w:val="20"/>
          <w:szCs w:val="20"/>
          <w:lang w:val="en-GB"/>
        </w:rPr>
      </w:pPr>
      <w:r w:rsidRPr="009F01FD">
        <w:rPr>
          <w:rFonts w:cs="Arial"/>
          <w:b/>
          <w:bCs/>
          <w:i/>
          <w:iCs/>
          <w:sz w:val="20"/>
          <w:szCs w:val="20"/>
          <w:lang w:val="en-GB"/>
        </w:rPr>
        <w:lastRenderedPageBreak/>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076773">
      <w:pPr>
        <w:pStyle w:val="Zkladntext"/>
        <w:spacing w:before="360" w:after="0"/>
        <w:rPr>
          <w:rFonts w:cs="Arial"/>
          <w:b/>
          <w:i/>
          <w:iCs/>
          <w:sz w:val="20"/>
          <w:szCs w:val="20"/>
          <w:lang w:val="en-GB"/>
        </w:rPr>
      </w:pPr>
      <w:r w:rsidRPr="003D0DDC">
        <w:rPr>
          <w:rFonts w:cs="Arial"/>
          <w:b/>
          <w:i/>
          <w:iCs/>
          <w:sz w:val="28"/>
          <w:szCs w:val="28"/>
          <w:lang w:val="en-GB"/>
        </w:rPr>
        <w:t>Unemployment</w:t>
      </w:r>
    </w:p>
    <w:p w:rsidR="00B1344D" w:rsidRPr="00437ED6"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B1344D">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B1344D">
      <w:pPr>
        <w:pStyle w:val="Odstavecseseznamem"/>
        <w:spacing w:before="120"/>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B1344D">
      <w:pPr>
        <w:pStyle w:val="Zkladntext"/>
        <w:spacing w:before="120" w:after="0"/>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Selected indicators from LFSS</w:t>
      </w:r>
    </w:p>
    <w:p w:rsidR="00B1344D" w:rsidRPr="009F01FD" w:rsidRDefault="00B1344D" w:rsidP="00B1344D">
      <w:pPr>
        <w:pStyle w:val="Zkladntext"/>
        <w:spacing w:before="120" w:after="0"/>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does not have a job;</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is willing to take a job within a fortnight; and</w:t>
      </w:r>
    </w:p>
    <w:p w:rsidR="00B1344D" w:rsidRDefault="00B1344D" w:rsidP="00B1344D">
      <w:pPr>
        <w:numPr>
          <w:ilvl w:val="0"/>
          <w:numId w:val="17"/>
        </w:numPr>
        <w:tabs>
          <w:tab w:val="clear" w:pos="785"/>
          <w:tab w:val="num" w:pos="1211"/>
        </w:tabs>
        <w:spacing w:before="120"/>
        <w:ind w:left="782" w:hanging="357"/>
        <w:jc w:val="both"/>
        <w:rPr>
          <w:rFonts w:cs="Arial"/>
          <w:i/>
          <w:iCs/>
          <w:sz w:val="20"/>
          <w:szCs w:val="20"/>
          <w:lang w:val="en-GB"/>
        </w:rPr>
      </w:pPr>
      <w:r w:rsidRPr="001861A5">
        <w:rPr>
          <w:rFonts w:ascii="Arial" w:hAnsi="Arial" w:cs="Arial"/>
          <w:i/>
          <w:iCs/>
          <w:sz w:val="20"/>
          <w:szCs w:val="20"/>
          <w:lang w:val="en-GB"/>
        </w:rPr>
        <w:t>the person carries out an active search for a job</w:t>
      </w:r>
      <w:r>
        <w:rPr>
          <w:rFonts w:ascii="Arial" w:hAnsi="Arial" w:cs="Arial"/>
          <w:i/>
          <w:iCs/>
          <w:sz w:val="20"/>
          <w:szCs w:val="20"/>
          <w:lang w:val="en-GB"/>
        </w:rPr>
        <w:t>;</w:t>
      </w:r>
    </w:p>
    <w:p w:rsidR="00B1344D" w:rsidRPr="009F01FD" w:rsidRDefault="00B1344D" w:rsidP="00B1344D">
      <w:pPr>
        <w:pStyle w:val="Zkladntext"/>
        <w:spacing w:before="120" w:after="0"/>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lastRenderedPageBreak/>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B1344D" w:rsidRDefault="00B1344D" w:rsidP="00B1344D">
      <w:pPr>
        <w:pStyle w:val="Zkladntext"/>
        <w:spacing w:before="120" w:after="0"/>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Statistical Business Register</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963D0" w:rsidRPr="009F01FD" w:rsidRDefault="00D963D0" w:rsidP="00D963D0">
      <w:pPr>
        <w:pStyle w:val="Zkladntext"/>
        <w:spacing w:before="120" w:after="0"/>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The indicator “Private entrepreneurs, total</w:t>
      </w:r>
      <w:r w:rsidRPr="009F01FD">
        <w:rPr>
          <w:rFonts w:cs="Arial"/>
          <w:sz w:val="20"/>
          <w:szCs w:val="20"/>
          <w:lang w:val="en-GB"/>
        </w:rPr>
        <w:t>”</w:t>
      </w:r>
      <w:r w:rsidRPr="009F01FD">
        <w:rPr>
          <w:rFonts w:cs="Arial"/>
          <w:i/>
          <w:iCs/>
          <w:sz w:val="20"/>
          <w:szCs w:val="20"/>
          <w:lang w:val="en-GB"/>
        </w:rPr>
        <w:t xml:space="preserve"> includes (i) until the end of 1991: natural persons authorised to do business according to the Act No 105/1990 Sb</w:t>
      </w:r>
      <w:r>
        <w:rPr>
          <w:rFonts w:cs="Arial"/>
          <w:i/>
          <w:iCs/>
          <w:sz w:val="20"/>
          <w:szCs w:val="20"/>
          <w:lang w:val="en-GB"/>
        </w:rPr>
        <w:t xml:space="preserve"> on Private Enterprise of Citizens</w:t>
      </w:r>
      <w:r w:rsidRPr="009F01FD">
        <w:rPr>
          <w:rFonts w:cs="Arial"/>
          <w:i/>
          <w:iCs/>
          <w:sz w:val="20"/>
          <w:szCs w:val="20"/>
          <w:lang w:val="en-GB"/>
        </w:rPr>
        <w:t xml:space="preserve">, (ii) from 1992: natural persons with a trade licence, and (iii) from the </w:t>
      </w:r>
      <w:r>
        <w:rPr>
          <w:rFonts w:cs="Arial"/>
          <w:i/>
          <w:iCs/>
          <w:sz w:val="20"/>
          <w:szCs w:val="20"/>
          <w:lang w:val="en-GB"/>
        </w:rPr>
        <w:t>third</w:t>
      </w:r>
      <w:r w:rsidRPr="009F01FD">
        <w:rPr>
          <w:rFonts w:cs="Arial"/>
          <w:i/>
          <w:iCs/>
          <w:sz w:val="20"/>
          <w:szCs w:val="20"/>
          <w:lang w:val="en-GB"/>
        </w:rPr>
        <w:t xml:space="preserve"> quarter of 1991: </w:t>
      </w:r>
      <w:r>
        <w:rPr>
          <w:rFonts w:cs="Arial"/>
          <w:i/>
          <w:iCs/>
          <w:sz w:val="20"/>
          <w:szCs w:val="20"/>
          <w:lang w:val="en-GB"/>
        </w:rPr>
        <w:t xml:space="preserve">also </w:t>
      </w:r>
      <w:r w:rsidRPr="009F01FD">
        <w:rPr>
          <w:rFonts w:cs="Arial"/>
          <w:i/>
          <w:iCs/>
          <w:sz w:val="20"/>
          <w:szCs w:val="20"/>
          <w:lang w:val="en-GB"/>
        </w:rPr>
        <w:t>self-employed farmers whose transformation into agricultural entrepreneurs – natural persons took place from 1 May 2004 to 1 May 2009.</w:t>
      </w:r>
    </w:p>
    <w:p w:rsidR="00D963D0" w:rsidRPr="009F01FD" w:rsidRDefault="00D963D0" w:rsidP="00D963D0">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963D0" w:rsidRPr="009F01FD" w:rsidRDefault="00D963D0" w:rsidP="00D963D0">
      <w:pPr>
        <w:pStyle w:val="titulek1"/>
        <w:spacing w:before="120" w:after="0"/>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B1344D">
      <w:pPr>
        <w:pStyle w:val="Zkladntext"/>
        <w:spacing w:before="120" w:after="0"/>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B1344D">
      <w:pPr>
        <w:pStyle w:val="Zkladntext"/>
        <w:spacing w:before="120" w:after="0"/>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D963D0">
      <w:pPr>
        <w:pStyle w:val="Zkladntext"/>
        <w:spacing w:before="120" w:after="0"/>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076773">
      <w:pPr>
        <w:pStyle w:val="Zkladntext"/>
        <w:keepNext/>
        <w:spacing w:before="120" w:after="0"/>
        <w:ind w:firstLine="425"/>
        <w:rPr>
          <w:rFonts w:cs="Arial"/>
          <w:i/>
          <w:iCs/>
          <w:sz w:val="20"/>
          <w:szCs w:val="20"/>
          <w:lang w:val="en-GB"/>
        </w:rPr>
      </w:pPr>
      <w:r w:rsidRPr="00076773">
        <w:rPr>
          <w:rFonts w:cs="Arial"/>
          <w:i/>
          <w:iCs/>
          <w:sz w:val="20"/>
          <w:szCs w:val="20"/>
          <w:lang w:val="en-GB"/>
        </w:rPr>
        <w:lastRenderedPageBreak/>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290F67">
      <w:pPr>
        <w:pStyle w:val="Zkladntext"/>
        <w:spacing w:before="120" w:after="0"/>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2E7E35">
      <w:pPr>
        <w:pStyle w:val="Zkladntext"/>
        <w:spacing w:before="120" w:after="0"/>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076773">
      <w:pPr>
        <w:spacing w:before="240"/>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076773">
      <w:pPr>
        <w:spacing w:before="100" w:beforeAutospacing="1" w:after="100" w:afterAutospacing="1"/>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B224B1" w:rsidP="00076773">
      <w:pPr>
        <w:spacing w:before="100" w:beforeAutospacing="1" w:after="100" w:afterAutospacing="1"/>
        <w:ind w:left="426"/>
        <w:jc w:val="both"/>
        <w:rPr>
          <w:rFonts w:ascii="Arial" w:hAnsi="Arial" w:cs="Arial"/>
          <w:i/>
          <w:iCs/>
          <w:sz w:val="20"/>
          <w:szCs w:val="20"/>
          <w:lang w:val="en-GB"/>
        </w:rPr>
      </w:pPr>
      <w:r w:rsidRPr="00076773">
        <w:rPr>
          <w:rFonts w:ascii="Arial" w:hAnsi="Arial" w:cs="Arial"/>
          <w:i/>
          <w:iCs/>
          <w:sz w:val="20"/>
          <w:szCs w:val="20"/>
          <w:lang w:val="en-GB"/>
        </w:rPr>
        <w:t>- The base period for fixed-base</w:t>
      </w:r>
      <w:r w:rsidR="004C3963" w:rsidRPr="00076773">
        <w:rPr>
          <w:rFonts w:ascii="Arial" w:hAnsi="Arial" w:cs="Arial"/>
          <w:i/>
          <w:iCs/>
          <w:sz w:val="20"/>
          <w:szCs w:val="20"/>
          <w:lang w:val="en-GB"/>
        </w:rPr>
        <w:t xml:space="preserve"> indices</w:t>
      </w:r>
      <w:r w:rsidRPr="00076773">
        <w:rPr>
          <w:rFonts w:ascii="Arial" w:hAnsi="Arial" w:cs="Arial"/>
          <w:i/>
          <w:iCs/>
          <w:sz w:val="20"/>
          <w:szCs w:val="20"/>
          <w:lang w:val="en-GB"/>
        </w:rPr>
        <w:t xml:space="preserve"> changed from the average of the year 2010 to the average of the year 2015.</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New weighting schemes have been used that are derived from results of the structural business statistics for the year 2015.</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xml:space="preserve">- In line with the </w:t>
      </w:r>
      <w:r w:rsidRPr="00076773">
        <w:rPr>
          <w:rFonts w:ascii="Arial" w:hAnsi="Arial" w:cs="Arial"/>
          <w:i/>
          <w:iCs/>
          <w:sz w:val="20"/>
          <w:szCs w:val="20"/>
        </w:rPr>
        <w:t>Eurostat</w:t>
      </w:r>
      <w:r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B224B1" w:rsidP="00076773">
      <w:pPr>
        <w:spacing w:before="100" w:beforeAutospacing="1" w:after="100" w:afterAutospacing="1"/>
        <w:ind w:left="425"/>
        <w:jc w:val="both"/>
        <w:rPr>
          <w:rFonts w:ascii="Arial" w:hAnsi="Arial" w:cs="Arial"/>
          <w:i/>
          <w:iCs/>
          <w:sz w:val="20"/>
          <w:szCs w:val="20"/>
          <w:lang w:val="en-GB"/>
        </w:rPr>
      </w:pPr>
      <w:r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Pr="00076773">
        <w:rPr>
          <w:rFonts w:ascii="Arial" w:hAnsi="Arial" w:cs="Arial"/>
          <w:b/>
          <w:i/>
          <w:iCs/>
          <w:sz w:val="20"/>
          <w:szCs w:val="20"/>
          <w:lang w:val="en-GB"/>
        </w:rPr>
        <w:t xml:space="preserve">entire year </w:t>
      </w:r>
      <w:r w:rsidRPr="00076773">
        <w:rPr>
          <w:rFonts w:ascii="Arial" w:hAnsi="Arial" w:cs="Arial"/>
          <w:b/>
          <w:i/>
          <w:iCs/>
          <w:sz w:val="20"/>
          <w:szCs w:val="20"/>
        </w:rPr>
        <w:t>cumulation</w:t>
      </w:r>
      <w:r w:rsidR="00620EE8" w:rsidRPr="00076773">
        <w:rPr>
          <w:rFonts w:ascii="Arial" w:hAnsi="Arial" w:cs="Arial"/>
          <w:b/>
          <w:i/>
          <w:iCs/>
          <w:sz w:val="20"/>
          <w:szCs w:val="20"/>
        </w:rPr>
        <w:t>s</w:t>
      </w:r>
      <w:r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Pr="00076773">
        <w:rPr>
          <w:rFonts w:ascii="Arial" w:hAnsi="Arial" w:cs="Arial"/>
          <w:i/>
          <w:iCs/>
          <w:sz w:val="20"/>
          <w:szCs w:val="20"/>
        </w:rPr>
        <w:t>additivity</w:t>
      </w:r>
      <w:r w:rsidRPr="00076773">
        <w:rPr>
          <w:rFonts w:ascii="Arial" w:hAnsi="Arial" w:cs="Arial"/>
          <w:i/>
          <w:iCs/>
          <w:sz w:val="20"/>
          <w:szCs w:val="20"/>
          <w:lang w:val="en-GB"/>
        </w:rPr>
        <w:t>; it means that they cannot be aggregated by means of the current weighting scheme.</w:t>
      </w:r>
    </w:p>
    <w:p w:rsidR="00487EB4" w:rsidRPr="00076773" w:rsidRDefault="00FF1B1B" w:rsidP="00076773">
      <w:pPr>
        <w:spacing w:before="100" w:beforeAutospacing="1" w:after="100" w:afterAutospacing="1"/>
        <w:ind w:firstLine="425"/>
        <w:jc w:val="both"/>
        <w:rPr>
          <w:rFonts w:ascii="Arial" w:hAnsi="Arial" w:cs="Arial"/>
          <w:i/>
          <w:iCs/>
          <w:sz w:val="20"/>
          <w:szCs w:val="20"/>
          <w:lang w:val="en-GB"/>
        </w:rPr>
      </w:pPr>
      <w:r w:rsidRPr="00076773">
        <w:rPr>
          <w:rFonts w:ascii="Arial" w:hAnsi="Arial" w:cs="Arial"/>
          <w:i/>
          <w:sz w:val="20"/>
          <w:lang w:val="en-GB"/>
        </w:rPr>
        <w:t>In relation to the transition to the new base period, data for the year 2017 have also been revised</w:t>
      </w:r>
      <w:r w:rsidR="00076773">
        <w:rPr>
          <w:rFonts w:ascii="Arial" w:hAnsi="Arial" w:cs="Arial"/>
          <w:i/>
          <w:sz w:val="20"/>
          <w:lang w:val="en-GB"/>
        </w:rPr>
        <w: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CZ-CPA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076773" w:rsidRPr="009F01FD" w:rsidRDefault="00076773" w:rsidP="00076773">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2015</w:t>
      </w:r>
      <w:r w:rsidRPr="009F01FD">
        <w:rPr>
          <w:rFonts w:ascii="Arial" w:hAnsi="Arial" w:cs="Arial"/>
          <w:i/>
          <w:iCs/>
          <w:sz w:val="20"/>
          <w:szCs w:val="20"/>
          <w:lang w:val="en-GB"/>
        </w:rPr>
        <w:t>.</w:t>
      </w:r>
    </w:p>
    <w:p w:rsidR="00076773" w:rsidRPr="009F01FD" w:rsidRDefault="00076773" w:rsidP="00076773">
      <w:pPr>
        <w:spacing w:before="120"/>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 xml:space="preserve">the base period </w:t>
      </w:r>
      <w:r w:rsidRPr="001861A5">
        <w:rPr>
          <w:rFonts w:ascii="Arial" w:hAnsi="Arial" w:cs="Arial"/>
          <w:i/>
          <w:iCs/>
          <w:sz w:val="20"/>
          <w:szCs w:val="20"/>
          <w:lang w:val="en-GB"/>
        </w:rPr>
        <w:t>i</w:t>
      </w:r>
      <w:r>
        <w:rPr>
          <w:rFonts w:ascii="Arial" w:hAnsi="Arial" w:cs="Arial"/>
          <w:i/>
          <w:iCs/>
          <w:sz w:val="20"/>
          <w:szCs w:val="20"/>
          <w:lang w:val="en-GB"/>
        </w:rPr>
        <w:t>n 2018 and a related planned revision of results for 2017 ca</w:t>
      </w:r>
      <w:r>
        <w:rPr>
          <w:rFonts w:ascii="Arial" w:hAnsi="Arial" w:cs="Arial"/>
          <w:i/>
          <w:iCs/>
          <w:sz w:val="20"/>
          <w:szCs w:val="20"/>
          <w:lang w:val="en-GB"/>
        </w:rPr>
        <w:t>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B1344D" w:rsidRPr="009F01FD" w:rsidRDefault="00B1344D" w:rsidP="008A7BBC">
      <w:pPr>
        <w:pStyle w:val="Zkladntext"/>
        <w:spacing w:before="12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B1344D" w:rsidRPr="009F01FD" w:rsidRDefault="00B1344D" w:rsidP="00B1344D">
      <w:pPr>
        <w:spacing w:before="120"/>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B1344D" w:rsidRPr="009F01FD" w:rsidRDefault="00B1344D" w:rsidP="00B1344D">
      <w:pPr>
        <w:spacing w:before="120"/>
        <w:ind w:firstLine="425"/>
        <w:jc w:val="both"/>
        <w:rPr>
          <w:rFonts w:ascii="Arial" w:hAnsi="Arial" w:cs="Arial"/>
          <w:i/>
          <w:sz w:val="20"/>
          <w:szCs w:val="20"/>
          <w:lang w:val="en-GB"/>
        </w:rPr>
      </w:pPr>
      <w:r w:rsidRPr="009F01FD">
        <w:rPr>
          <w:rFonts w:ascii="Arial" w:hAnsi="Arial" w:cs="Arial"/>
          <w:b/>
          <w:bCs/>
          <w:i/>
          <w:sz w:val="20"/>
          <w:szCs w:val="20"/>
          <w:lang w:val="en-GB"/>
        </w:rPr>
        <w:lastRenderedPageBreak/>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(the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B1344D" w:rsidRPr="009F01FD" w:rsidRDefault="00B1344D" w:rsidP="00B1344D">
      <w:pPr>
        <w:pStyle w:val="Zpat"/>
        <w:tabs>
          <w:tab w:val="clear" w:pos="4536"/>
          <w:tab w:val="clear" w:pos="9072"/>
        </w:tabs>
        <w:spacing w:before="12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 xml:space="preserve">ode (the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B1344D" w:rsidRPr="009F01FD" w:rsidRDefault="00B1344D" w:rsidP="00B1344D">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
    <w:p w:rsidR="00606E83" w:rsidRPr="009F01FD" w:rsidRDefault="001B1A8D" w:rsidP="00D424F8">
      <w:pPr>
        <w:pStyle w:val="Nadpis4"/>
        <w:keepNext w:val="0"/>
        <w:spacing w:before="120" w:after="0"/>
        <w:rPr>
          <w:rFonts w:cs="Arial"/>
          <w:szCs w:val="20"/>
        </w:rPr>
      </w:pPr>
      <w:r>
        <w:rPr>
          <w:rFonts w:cs="Arial"/>
          <w:szCs w:val="20"/>
        </w:rPr>
        <w:t>55   Accommodation</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D424F8">
      <w:pPr>
        <w:pStyle w:val="Nadpis4"/>
        <w:keepNext w:val="0"/>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p>
    <w:p w:rsidR="00606E83" w:rsidRPr="009F01FD" w:rsidRDefault="00606E83" w:rsidP="00D424F8">
      <w:pPr>
        <w:pStyle w:val="Nadpis4"/>
        <w:keepNext w:val="0"/>
        <w:spacing w:before="120" w:after="0"/>
        <w:rPr>
          <w:rFonts w:cs="Arial"/>
          <w:szCs w:val="20"/>
        </w:rPr>
      </w:pPr>
      <w:r w:rsidRPr="009F01FD">
        <w:rPr>
          <w:rFonts w:cs="Arial"/>
          <w:szCs w:val="20"/>
        </w:rPr>
        <w:t>Retail sale of automotive fuel in specialised stores - CZ-NACE 47.3</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p>
    <w:p w:rsidR="00606E83" w:rsidRPr="009F01FD" w:rsidRDefault="00606E83" w:rsidP="00D424F8">
      <w:pPr>
        <w:pStyle w:val="Nadpis5"/>
        <w:keepNext w:val="0"/>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A96E93" w:rsidRPr="00933356" w:rsidRDefault="00B224B1" w:rsidP="00EB3BD8">
      <w:pPr>
        <w:spacing w:before="240"/>
        <w:ind w:firstLine="425"/>
        <w:jc w:val="both"/>
        <w:rPr>
          <w:rFonts w:ascii="Arial" w:hAnsi="Arial" w:cs="Arial"/>
          <w:b/>
          <w:i/>
          <w:iCs/>
          <w:sz w:val="20"/>
          <w:szCs w:val="20"/>
          <w:lang w:val="en-GB"/>
        </w:rPr>
      </w:pPr>
      <w:r w:rsidRPr="00076773">
        <w:rPr>
          <w:rFonts w:ascii="Arial" w:hAnsi="Arial" w:cs="Arial"/>
          <w:i/>
          <w:sz w:val="20"/>
          <w:szCs w:val="20"/>
          <w:lang w:val="en-GB"/>
        </w:rPr>
        <w:t>For</w:t>
      </w:r>
      <w:r w:rsidR="00E6180D">
        <w:rPr>
          <w:rFonts w:ascii="Arial" w:hAnsi="Arial" w:cs="Arial"/>
          <w:b/>
          <w:i/>
          <w:sz w:val="20"/>
          <w:szCs w:val="20"/>
          <w:lang w:val="en-GB"/>
        </w:rPr>
        <w:t xml:space="preserve"> a </w:t>
      </w:r>
      <w:r w:rsidRPr="00076773">
        <w:rPr>
          <w:rFonts w:ascii="Arial" w:hAnsi="Arial" w:cs="Arial"/>
          <w:b/>
          <w:i/>
          <w:sz w:val="20"/>
          <w:szCs w:val="20"/>
          <w:lang w:val="en-GB"/>
        </w:rPr>
        <w:t>revision and change of the base period in 2018</w:t>
      </w:r>
      <w:r w:rsidRPr="00076773">
        <w:rPr>
          <w:rFonts w:ascii="Arial" w:hAnsi="Arial" w:cs="Arial"/>
          <w:i/>
          <w:sz w:val="20"/>
          <w:szCs w:val="20"/>
          <w:lang w:val="en-GB"/>
        </w:rPr>
        <w:t xml:space="preserve"> see the </w:t>
      </w:r>
      <w:r w:rsidR="009D100B">
        <w:rPr>
          <w:rFonts w:ascii="Arial" w:hAnsi="Arial" w:cs="Arial"/>
          <w:i/>
          <w:sz w:val="20"/>
          <w:szCs w:val="20"/>
          <w:lang w:val="en-GB"/>
        </w:rPr>
        <w:t>cha</w:t>
      </w:r>
      <w:r w:rsidR="00E83435">
        <w:rPr>
          <w:rFonts w:ascii="Arial" w:hAnsi="Arial" w:cs="Arial"/>
          <w:i/>
          <w:sz w:val="20"/>
          <w:szCs w:val="20"/>
          <w:lang w:val="en-GB"/>
        </w:rPr>
        <w:t>p</w:t>
      </w:r>
      <w:r w:rsidRPr="00076773">
        <w:rPr>
          <w:rFonts w:ascii="Arial" w:hAnsi="Arial" w:cs="Arial"/>
          <w:i/>
          <w:sz w:val="20"/>
          <w:szCs w:val="20"/>
          <w:lang w:val="en-GB"/>
        </w:rPr>
        <w:t>ter on Industry</w:t>
      </w:r>
      <w:r w:rsidR="001D23DF">
        <w:rPr>
          <w:rFonts w:ascii="Arial" w:hAnsi="Arial" w:cs="Arial"/>
          <w:i/>
          <w:sz w:val="20"/>
          <w:szCs w:val="20"/>
          <w:lang w:val="en-GB"/>
        </w:rPr>
        <w:t>.</w:t>
      </w:r>
    </w:p>
    <w:p w:rsidR="00A96E93" w:rsidRPr="00807867" w:rsidRDefault="00A96E93" w:rsidP="00562A5D">
      <w:pPr>
        <w:pStyle w:val="titulek1"/>
        <w:spacing w:before="360" w:after="0"/>
        <w:rPr>
          <w:rFonts w:cs="Arial"/>
          <w:i/>
          <w:iCs/>
          <w:sz w:val="28"/>
          <w:szCs w:val="28"/>
          <w:lang w:val="en-GB"/>
        </w:rPr>
      </w:pPr>
      <w:r w:rsidRPr="00807867">
        <w:rPr>
          <w:rFonts w:cs="Arial"/>
          <w:i/>
          <w:iCs/>
          <w:sz w:val="28"/>
          <w:szCs w:val="28"/>
          <w:lang w:val="en-GB"/>
        </w:rPr>
        <w:t>Transport</w:t>
      </w:r>
    </w:p>
    <w:p w:rsidR="00B1344D" w:rsidRDefault="00B1344D" w:rsidP="00B1344D">
      <w:pPr>
        <w:spacing w:before="120"/>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the Classifi</w:t>
      </w:r>
      <w:r w:rsidR="0039231D">
        <w:rPr>
          <w:rFonts w:ascii="Arial" w:hAnsi="Arial" w:cs="Arial"/>
          <w:i/>
          <w:iCs/>
          <w:sz w:val="20"/>
          <w:lang w:val="en-GB"/>
        </w:rPr>
        <w:t>cation of Economic Activities).</w:t>
      </w:r>
    </w:p>
    <w:p w:rsidR="00076773" w:rsidRDefault="00076773" w:rsidP="00076773">
      <w:pPr>
        <w:pStyle w:val="Zkladntext"/>
        <w:spacing w:before="120" w:after="0"/>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in 2018 and a related </w:t>
      </w:r>
      <w:r w:rsidRPr="00192E1A">
        <w:rPr>
          <w:rFonts w:cs="Arial"/>
          <w:b/>
          <w:bCs/>
          <w:i/>
          <w:iCs/>
          <w:sz w:val="20"/>
          <w:lang w:val="en-GB"/>
        </w:rPr>
        <w:t>revision of results</w:t>
      </w:r>
      <w:r w:rsidRPr="00192E1A">
        <w:rPr>
          <w:rFonts w:cs="Arial"/>
          <w:bCs/>
          <w:i/>
          <w:iCs/>
          <w:sz w:val="20"/>
          <w:lang w:val="en-GB"/>
        </w:rPr>
        <w:t xml:space="preserve"> for 2017 can be found in chapter Industry. </w:t>
      </w:r>
    </w:p>
    <w:p w:rsidR="00B473D2" w:rsidRPr="00807867" w:rsidRDefault="00B473D2" w:rsidP="00076773">
      <w:pPr>
        <w:pStyle w:val="Zkladntext"/>
        <w:keepNext/>
        <w:spacing w:before="360" w:after="0"/>
        <w:rPr>
          <w:rFonts w:cs="Arial"/>
          <w:b/>
          <w:bCs/>
          <w:i/>
          <w:iCs/>
          <w:sz w:val="28"/>
          <w:szCs w:val="28"/>
          <w:lang w:val="en-GB"/>
        </w:rPr>
      </w:pPr>
      <w:r>
        <w:rPr>
          <w:rFonts w:cs="Arial"/>
          <w:b/>
          <w:bCs/>
          <w:i/>
          <w:iCs/>
          <w:sz w:val="28"/>
          <w:szCs w:val="28"/>
          <w:lang w:val="en-GB"/>
        </w:rPr>
        <w:lastRenderedPageBreak/>
        <w:t>Number of g</w:t>
      </w:r>
      <w:r w:rsidRPr="00807867">
        <w:rPr>
          <w:rFonts w:cs="Arial"/>
          <w:b/>
          <w:bCs/>
          <w:i/>
          <w:iCs/>
          <w:sz w:val="28"/>
          <w:szCs w:val="28"/>
          <w:lang w:val="en-GB"/>
        </w:rPr>
        <w:t>uests in collective accommodation establishments</w:t>
      </w:r>
    </w:p>
    <w:p w:rsidR="00B473D2" w:rsidRPr="00920FDA" w:rsidRDefault="00B473D2" w:rsidP="00B473D2">
      <w:pPr>
        <w:spacing w:before="12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pPr>
        <w:spacing w:before="120"/>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B473D2">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B473D2">
      <w:pPr>
        <w:pStyle w:val="Zkladntext"/>
        <w:spacing w:before="120" w:after="0"/>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B473D2">
      <w:pPr>
        <w:pStyle w:val="Zkladntext"/>
        <w:spacing w:before="120" w:after="0"/>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B4353">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3D0DDC">
      <w:pPr>
        <w:pStyle w:val="Nadpis7"/>
        <w:keepNext w:val="0"/>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3D0DDC">
      <w:pPr>
        <w:pStyle w:val="Nadpis6"/>
        <w:keepNext w:val="0"/>
        <w:spacing w:before="120"/>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076773">
      <w:pPr>
        <w:keepNext/>
        <w:spacing w:before="120"/>
        <w:jc w:val="both"/>
        <w:rPr>
          <w:rFonts w:ascii="Arial" w:hAnsi="Arial" w:cs="Arial"/>
          <w:i/>
          <w:iCs/>
          <w:sz w:val="20"/>
          <w:szCs w:val="20"/>
          <w:lang w:val="en-GB"/>
        </w:rPr>
      </w:pPr>
      <w:r w:rsidRPr="009F01FD">
        <w:rPr>
          <w:rFonts w:ascii="Arial" w:hAnsi="Arial" w:cs="Arial"/>
          <w:i/>
          <w:iCs/>
          <w:sz w:val="20"/>
          <w:szCs w:val="20"/>
          <w:lang w:val="en-GB"/>
        </w:rPr>
        <w:lastRenderedPageBreak/>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076773">
      <w:pPr>
        <w:keepNext/>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076773">
      <w:pPr>
        <w:keepNext/>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B473D2" w:rsidRDefault="00F64C18" w:rsidP="00B473D2">
      <w:pPr>
        <w:spacing w:before="120"/>
        <w:ind w:firstLine="425"/>
        <w:jc w:val="both"/>
        <w:rPr>
          <w:rFonts w:ascii="Arial" w:hAnsi="Arial" w:cs="Arial"/>
          <w:i/>
          <w:iCs/>
          <w:sz w:val="20"/>
          <w:lang w:val="en-GB"/>
        </w:rPr>
      </w:pPr>
      <w:r w:rsidRPr="009D100B">
        <w:rPr>
          <w:rFonts w:ascii="Arial" w:hAnsi="Arial" w:cs="Arial"/>
          <w:i/>
          <w:sz w:val="20"/>
          <w:szCs w:val="20"/>
          <w:lang w:val="en-GB"/>
        </w:rPr>
        <w:t>For</w:t>
      </w:r>
      <w:r>
        <w:rPr>
          <w:rFonts w:ascii="Arial" w:hAnsi="Arial" w:cs="Arial"/>
          <w:b/>
          <w:i/>
          <w:sz w:val="20"/>
          <w:szCs w:val="20"/>
          <w:lang w:val="en-GB"/>
        </w:rPr>
        <w:t xml:space="preserve"> a </w:t>
      </w:r>
      <w:r w:rsidRPr="009D100B">
        <w:rPr>
          <w:rFonts w:ascii="Arial" w:hAnsi="Arial" w:cs="Arial"/>
          <w:b/>
          <w:i/>
          <w:sz w:val="20"/>
          <w:szCs w:val="20"/>
          <w:lang w:val="en-GB"/>
        </w:rPr>
        <w:t>revision and change of the base period in 2018</w:t>
      </w:r>
      <w:r w:rsidRPr="009D100B">
        <w:rPr>
          <w:rFonts w:ascii="Arial" w:hAnsi="Arial" w:cs="Arial"/>
          <w:i/>
          <w:sz w:val="20"/>
          <w:szCs w:val="20"/>
          <w:lang w:val="en-GB"/>
        </w:rPr>
        <w:t xml:space="preserve"> see the </w:t>
      </w:r>
      <w:r>
        <w:rPr>
          <w:rFonts w:ascii="Arial" w:hAnsi="Arial" w:cs="Arial"/>
          <w:i/>
          <w:sz w:val="20"/>
          <w:szCs w:val="20"/>
          <w:lang w:val="en-GB"/>
        </w:rPr>
        <w:t>chap</w:t>
      </w:r>
      <w:r w:rsidRPr="009D100B">
        <w:rPr>
          <w:rFonts w:ascii="Arial" w:hAnsi="Arial" w:cs="Arial"/>
          <w:i/>
          <w:sz w:val="20"/>
          <w:szCs w:val="20"/>
          <w:lang w:val="en-GB"/>
        </w:rPr>
        <w:t>ter on Industry</w:t>
      </w:r>
      <w:r w:rsidR="00E9369D">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650EB5">
      <w:pPr>
        <w:pStyle w:val="Zkladntext"/>
        <w:spacing w:before="120" w:after="0"/>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650EB5">
      <w:pPr>
        <w:pStyle w:val="Zkladntext"/>
        <w:spacing w:before="120" w:after="0"/>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650EB5">
      <w:pPr>
        <w:pStyle w:val="Zkladntext"/>
        <w:spacing w:before="120" w:after="0"/>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650EB5">
      <w:pPr>
        <w:pStyle w:val="Zkladntext"/>
        <w:spacing w:before="120" w:after="0"/>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650EB5">
      <w:pPr>
        <w:pStyle w:val="Zkladntext"/>
        <w:spacing w:before="120" w:after="0"/>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w:t>
      </w:r>
      <w:r w:rsidR="001D2160">
        <w:rPr>
          <w:rFonts w:cs="Arial"/>
          <w:i/>
          <w:iCs/>
          <w:sz w:val="20"/>
          <w:szCs w:val="20"/>
          <w:lang w:val="en-GB"/>
        </w:rPr>
        <w:lastRenderedPageBreak/>
        <w:t>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650EB5">
      <w:pPr>
        <w:pStyle w:val="Zkladntext"/>
        <w:spacing w:before="120" w:after="0"/>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650EB5">
      <w:pPr>
        <w:pStyle w:val="Zkladntext"/>
        <w:spacing w:before="120" w:after="0"/>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650EB5">
      <w:pPr>
        <w:pStyle w:val="Zkladntext"/>
        <w:spacing w:before="120" w:after="0"/>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650EB5">
      <w:pPr>
        <w:pStyle w:val="Zkladntext"/>
        <w:spacing w:before="120" w:after="0"/>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7502B5">
      <w:headerReference w:type="even" r:id="rId12"/>
      <w:headerReference w:type="default" r:id="rId13"/>
      <w:footerReference w:type="even" r:id="rId14"/>
      <w:footerReference w:type="default" r:id="rId15"/>
      <w:pgSz w:w="11906" w:h="16838" w:code="9"/>
      <w:pgMar w:top="1134" w:right="1134" w:bottom="1134" w:left="1418" w:header="680" w:footer="68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
        <w:separator/>
      </w:r>
    </w:p>
  </w:endnote>
  <w:endnote w:type="continuationSeparator" w:id="0">
    <w:p w:rsidR="00933EF4" w:rsidRDefault="0093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775583">
      <w:rPr>
        <w:rFonts w:ascii="Arial" w:hAnsi="Arial" w:cs="Arial"/>
        <w:noProof/>
        <w:sz w:val="16"/>
        <w:szCs w:val="16"/>
      </w:rPr>
      <w:t>30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B01757">
      <w:rPr>
        <w:rFonts w:ascii="Arial" w:hAnsi="Arial" w:cs="Arial"/>
        <w:sz w:val="16"/>
        <w:szCs w:val="16"/>
      </w:rPr>
      <w:t>4</w:t>
    </w:r>
    <w:r w:rsidR="003D0DDC" w:rsidRPr="00D750C6">
      <w:rPr>
        <w:rFonts w:ascii="Arial" w:hAnsi="Arial" w:cs="Arial"/>
        <w:sz w:val="16"/>
        <w:szCs w:val="16"/>
      </w:rPr>
      <w:t>. čtvrtletí 201</w:t>
    </w:r>
    <w:r w:rsidR="003D0DDC">
      <w:rPr>
        <w:rFonts w:ascii="Arial" w:hAnsi="Arial" w:cs="Arial"/>
        <w:sz w:val="16"/>
        <w:szCs w:val="16"/>
      </w:rPr>
      <w:t>7</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B01757">
      <w:rPr>
        <w:rFonts w:ascii="Arial" w:hAnsi="Arial" w:cs="Arial"/>
        <w:sz w:val="16"/>
        <w:szCs w:val="16"/>
      </w:rPr>
      <w:t>4</w:t>
    </w:r>
    <w:r>
      <w:rPr>
        <w:rFonts w:ascii="Arial" w:hAnsi="Arial" w:cs="Arial"/>
        <w:sz w:val="16"/>
        <w:szCs w:val="16"/>
      </w:rPr>
      <w:t>. čtvrtletí 2017</w:t>
    </w:r>
    <w:r w:rsidRPr="00226408">
      <w:rPr>
        <w:rFonts w:ascii="Arial" w:hAnsi="Arial" w:cs="Arial"/>
        <w:sz w:val="16"/>
        <w:szCs w:val="16"/>
      </w:rPr>
      <w:ptab w:relativeTo="margin" w:alignment="right" w:leader="none"/>
    </w:r>
    <w:r w:rsidR="00B224B1" w:rsidRPr="00333392">
      <w:rPr>
        <w:rFonts w:ascii="Arial" w:hAnsi="Arial" w:cs="Arial"/>
        <w:sz w:val="16"/>
        <w:szCs w:val="16"/>
      </w:rPr>
      <w:fldChar w:fldCharType="begin"/>
    </w:r>
    <w:r w:rsidRPr="00333392">
      <w:rPr>
        <w:rFonts w:ascii="Arial" w:hAnsi="Arial" w:cs="Arial"/>
        <w:sz w:val="16"/>
        <w:szCs w:val="16"/>
      </w:rPr>
      <w:instrText xml:space="preserve"> PAGE   \* MERGEFORMAT </w:instrText>
    </w:r>
    <w:r w:rsidR="00B224B1" w:rsidRPr="00333392">
      <w:rPr>
        <w:rFonts w:ascii="Arial" w:hAnsi="Arial" w:cs="Arial"/>
        <w:sz w:val="16"/>
        <w:szCs w:val="16"/>
      </w:rPr>
      <w:fldChar w:fldCharType="separate"/>
    </w:r>
    <w:r w:rsidR="00775583">
      <w:rPr>
        <w:rFonts w:ascii="Arial" w:hAnsi="Arial" w:cs="Arial"/>
        <w:noProof/>
        <w:sz w:val="16"/>
        <w:szCs w:val="16"/>
      </w:rPr>
      <w:t>19</w:t>
    </w:r>
    <w:r w:rsidR="00B224B1" w:rsidRPr="0033339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
        <w:separator/>
      </w:r>
    </w:p>
  </w:footnote>
  <w:footnote w:type="continuationSeparator" w:id="0">
    <w:p w:rsidR="00933EF4" w:rsidRDefault="0093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F77942" w:rsidRDefault="003D0DDC">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12D9F"/>
    <w:rsid w:val="0001418D"/>
    <w:rsid w:val="000141BD"/>
    <w:rsid w:val="00016A82"/>
    <w:rsid w:val="0001716E"/>
    <w:rsid w:val="000207EE"/>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49E7"/>
    <w:rsid w:val="00126729"/>
    <w:rsid w:val="001267EF"/>
    <w:rsid w:val="00130518"/>
    <w:rsid w:val="00130645"/>
    <w:rsid w:val="00132A72"/>
    <w:rsid w:val="00132BE7"/>
    <w:rsid w:val="00133B3D"/>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3FB1"/>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C34"/>
    <w:rsid w:val="003A0C52"/>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524B"/>
    <w:rsid w:val="007502B5"/>
    <w:rsid w:val="00750EDC"/>
    <w:rsid w:val="00752E5D"/>
    <w:rsid w:val="00755791"/>
    <w:rsid w:val="00756C26"/>
    <w:rsid w:val="007576C9"/>
    <w:rsid w:val="007656F1"/>
    <w:rsid w:val="00766E5B"/>
    <w:rsid w:val="00772AFB"/>
    <w:rsid w:val="00775583"/>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40FB"/>
    <w:rsid w:val="0092416E"/>
    <w:rsid w:val="00925699"/>
    <w:rsid w:val="00926184"/>
    <w:rsid w:val="009270DC"/>
    <w:rsid w:val="00931A79"/>
    <w:rsid w:val="00932917"/>
    <w:rsid w:val="00933356"/>
    <w:rsid w:val="00933EF4"/>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97AF8"/>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9E9"/>
    <w:rsid w:val="00C8609C"/>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813EC"/>
    <w:rsid w:val="00E83435"/>
    <w:rsid w:val="00E8389A"/>
    <w:rsid w:val="00E83E1F"/>
    <w:rsid w:val="00E85E41"/>
    <w:rsid w:val="00E90462"/>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6D15C"/>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9B89-79B7-4418-B7B0-D4272C1C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6333</Words>
  <Characters>37367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43613</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2018-03-22T15:21:00Z</cp:lastPrinted>
  <dcterms:created xsi:type="dcterms:W3CDTF">2018-03-22T15:23:00Z</dcterms:created>
  <dcterms:modified xsi:type="dcterms:W3CDTF">2018-03-22T15:23:00Z</dcterms:modified>
</cp:coreProperties>
</file>