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D3" w:rsidRDefault="009259D3" w:rsidP="008E183C">
      <w:pPr>
        <w:pStyle w:val="Nadpis2"/>
        <w:spacing w:after="120"/>
        <w:rPr>
          <w:sz w:val="32"/>
          <w:szCs w:val="28"/>
        </w:rPr>
      </w:pPr>
      <w:r w:rsidRPr="009259D3">
        <w:rPr>
          <w:sz w:val="32"/>
          <w:szCs w:val="28"/>
        </w:rPr>
        <w:t>STÁTNÍ ROZPOČTOVÉ VÝDAJE NA VÝZKUM A VÝVOJ V</w:t>
      </w:r>
      <w:r>
        <w:rPr>
          <w:sz w:val="32"/>
          <w:szCs w:val="28"/>
        </w:rPr>
        <w:t> </w:t>
      </w:r>
      <w:r w:rsidRPr="009259D3">
        <w:rPr>
          <w:sz w:val="32"/>
          <w:szCs w:val="28"/>
        </w:rPr>
        <w:t>ČR</w:t>
      </w:r>
    </w:p>
    <w:p w:rsidR="006C446E" w:rsidRPr="006C446E" w:rsidRDefault="006C446E" w:rsidP="006E3865">
      <w:pPr>
        <w:pStyle w:val="Nadpis3"/>
      </w:pPr>
      <w:r w:rsidRPr="006C446E">
        <w:t>Základní údaje</w:t>
      </w:r>
    </w:p>
    <w:p w:rsidR="00F83898" w:rsidRDefault="00C8553F" w:rsidP="001673AF">
      <w:pPr>
        <w:spacing w:before="120"/>
        <w:jc w:val="both"/>
      </w:pPr>
      <w:r w:rsidRPr="00C81F8D">
        <w:t>V České republice v roce 201</w:t>
      </w:r>
      <w:r w:rsidR="00273F9D">
        <w:t>6</w:t>
      </w:r>
      <w:r w:rsidR="001673AF" w:rsidRPr="00C81F8D">
        <w:t xml:space="preserve"> dosáhly </w:t>
      </w:r>
      <w:r w:rsidR="001673AF" w:rsidRPr="00C81F8D">
        <w:rPr>
          <w:b/>
        </w:rPr>
        <w:t xml:space="preserve">státní rozpočtové výdaje na výzkum a vývoj </w:t>
      </w:r>
      <w:r w:rsidR="001673AF" w:rsidRPr="00C81F8D">
        <w:t xml:space="preserve">(dále jen GBARD) částky </w:t>
      </w:r>
      <w:r w:rsidR="00F63CE5" w:rsidRPr="00C81F8D">
        <w:rPr>
          <w:b/>
        </w:rPr>
        <w:t xml:space="preserve">27 984 </w:t>
      </w:r>
      <w:r w:rsidR="001673AF" w:rsidRPr="00C81F8D">
        <w:rPr>
          <w:b/>
        </w:rPr>
        <w:t>mil. Kč</w:t>
      </w:r>
      <w:r w:rsidR="00B40138" w:rsidRPr="00C81F8D">
        <w:rPr>
          <w:rStyle w:val="Znakapoznpodarou"/>
          <w:b/>
        </w:rPr>
        <w:footnoteReference w:id="1"/>
      </w:r>
      <w:r w:rsidR="00B10F37">
        <w:t>. Státní rozpočet</w:t>
      </w:r>
      <w:r w:rsidR="001673AF" w:rsidRPr="00C81F8D">
        <w:t xml:space="preserve"> </w:t>
      </w:r>
      <w:r w:rsidR="008839A7" w:rsidRPr="00C81F8D">
        <w:t>je v současnosti</w:t>
      </w:r>
      <w:r w:rsidR="001673AF" w:rsidRPr="00C81F8D">
        <w:t xml:space="preserve"> druhým nejdůležitějším zdrojem financování </w:t>
      </w:r>
      <w:r w:rsidR="002C30CA" w:rsidRPr="00C81F8D">
        <w:t>výzkumu a vývoje (dále jen VaV)</w:t>
      </w:r>
      <w:r w:rsidR="001673AF" w:rsidRPr="00C81F8D">
        <w:t xml:space="preserve"> na </w:t>
      </w:r>
      <w:r w:rsidR="00F3539C" w:rsidRPr="00C81F8D">
        <w:t>území České republiky</w:t>
      </w:r>
      <w:r w:rsidR="00B10F37">
        <w:t xml:space="preserve"> (dále ČR)</w:t>
      </w:r>
      <w:r w:rsidR="00F3539C" w:rsidRPr="00C81F8D">
        <w:t xml:space="preserve">. Na prvním místě jsou z hlediska objemu </w:t>
      </w:r>
      <w:r w:rsidR="00F63CE5" w:rsidRPr="00C81F8D">
        <w:t xml:space="preserve">prostředků </w:t>
      </w:r>
      <w:r w:rsidR="001673AF" w:rsidRPr="00C81F8D">
        <w:t>vlastní zdroj</w:t>
      </w:r>
      <w:r w:rsidR="00CB6BED" w:rsidRPr="00C81F8D">
        <w:t>e</w:t>
      </w:r>
      <w:r w:rsidR="001673AF" w:rsidRPr="00C81F8D">
        <w:t xml:space="preserve"> </w:t>
      </w:r>
      <w:r w:rsidR="00CB6BED" w:rsidRPr="00C81F8D">
        <w:t>podnikatelských subjektů</w:t>
      </w:r>
      <w:r w:rsidR="009A4BB3" w:rsidRPr="00C81F8D">
        <w:rPr>
          <w:rStyle w:val="Znakapoznpodarou"/>
        </w:rPr>
        <w:footnoteReference w:id="2"/>
      </w:r>
      <w:r w:rsidR="001673AF" w:rsidRPr="00C81F8D">
        <w:t xml:space="preserve">. </w:t>
      </w:r>
      <w:r w:rsidR="00B10F37">
        <w:t>Ve srovnání s předchozím rokem</w:t>
      </w:r>
      <w:r w:rsidR="002C30CA" w:rsidRPr="00C81F8D">
        <w:t xml:space="preserve"> vzrostla přímá veřejná podpora </w:t>
      </w:r>
      <w:r w:rsidR="00EA72E6" w:rsidRPr="00C81F8D">
        <w:t xml:space="preserve">VaV v ČR o </w:t>
      </w:r>
      <w:r w:rsidR="006577E2" w:rsidRPr="00C81F8D">
        <w:t>pouhých 0,6</w:t>
      </w:r>
      <w:r w:rsidR="00EA72E6" w:rsidRPr="00C81F8D">
        <w:t> </w:t>
      </w:r>
      <w:r w:rsidR="002C30CA" w:rsidRPr="00C81F8D">
        <w:t>% (</w:t>
      </w:r>
      <w:r w:rsidR="00C81F8D" w:rsidRPr="00C81F8D">
        <w:t>15</w:t>
      </w:r>
      <w:r w:rsidR="005A390B">
        <w:t>4</w:t>
      </w:r>
      <w:r w:rsidR="002C30CA" w:rsidRPr="00C81F8D">
        <w:t xml:space="preserve"> mil. Kč) z </w:t>
      </w:r>
      <w:r w:rsidR="00F63CE5" w:rsidRPr="00C81F8D">
        <w:t>27 830</w:t>
      </w:r>
      <w:r w:rsidR="002C30CA" w:rsidRPr="00C81F8D">
        <w:t xml:space="preserve"> mil. Kč v roce 201</w:t>
      </w:r>
      <w:r w:rsidR="00F63CE5" w:rsidRPr="00C81F8D">
        <w:t>5</w:t>
      </w:r>
      <w:r w:rsidR="002C30CA" w:rsidRPr="00C81F8D">
        <w:t>.</w:t>
      </w:r>
      <w:r w:rsidR="001673AF" w:rsidRPr="00C81F8D">
        <w:t xml:space="preserve"> Uvedená výše finančních prostředků státní podpory poskytnutá na </w:t>
      </w:r>
      <w:r w:rsidR="00D546E4" w:rsidRPr="00C81F8D">
        <w:t>VaV</w:t>
      </w:r>
      <w:r w:rsidR="00AC69BC">
        <w:t xml:space="preserve"> aktivity v ČR</w:t>
      </w:r>
      <w:r w:rsidR="001673AF" w:rsidRPr="00C81F8D">
        <w:t xml:space="preserve"> a v zahraničí zahrnuje pouze prostředky z centrálního rozpočtu</w:t>
      </w:r>
      <w:r w:rsidR="00B10F37">
        <w:t>. Krajské a obecní rozpočty nejsou započteny.</w:t>
      </w:r>
      <w:r w:rsidR="008D1336" w:rsidRPr="00C81F8D">
        <w:t xml:space="preserve"> </w:t>
      </w:r>
    </w:p>
    <w:p w:rsidR="00142861" w:rsidRDefault="00094263" w:rsidP="001673AF">
      <w:pPr>
        <w:spacing w:before="120"/>
        <w:jc w:val="both"/>
        <w:rPr>
          <w:b/>
        </w:rPr>
      </w:pPr>
      <w:r>
        <w:rPr>
          <w:b/>
        </w:rPr>
        <w:t xml:space="preserve">TAB 1-1: </w:t>
      </w:r>
      <w:r w:rsidR="002D007E">
        <w:rPr>
          <w:b/>
        </w:rPr>
        <w:t>Schválené a skutečné</w:t>
      </w:r>
      <w:r w:rsidR="002D007E">
        <w:rPr>
          <w:rStyle w:val="Znakapoznpodarou"/>
          <w:b/>
        </w:rPr>
        <w:footnoteReference w:id="3"/>
      </w:r>
      <w:r w:rsidR="002D007E">
        <w:rPr>
          <w:b/>
        </w:rPr>
        <w:t xml:space="preserve"> s</w:t>
      </w:r>
      <w:r>
        <w:rPr>
          <w:b/>
        </w:rPr>
        <w:t>tátní</w:t>
      </w:r>
      <w:r w:rsidR="00142861" w:rsidRPr="00142861">
        <w:rPr>
          <w:b/>
        </w:rPr>
        <w:t xml:space="preserve"> </w:t>
      </w:r>
      <w:r>
        <w:rPr>
          <w:b/>
        </w:rPr>
        <w:t>rozpočtové výdaje</w:t>
      </w:r>
      <w:r w:rsidR="00142861">
        <w:rPr>
          <w:b/>
        </w:rPr>
        <w:t xml:space="preserve"> na </w:t>
      </w:r>
      <w:r>
        <w:rPr>
          <w:b/>
        </w:rPr>
        <w:t>VaV</w:t>
      </w:r>
      <w:r w:rsidR="00142861">
        <w:rPr>
          <w:b/>
        </w:rPr>
        <w:t xml:space="preserve"> v ČR v mld. Kč</w:t>
      </w:r>
    </w:p>
    <w:tbl>
      <w:tblPr>
        <w:tblW w:w="9480" w:type="dxa"/>
        <w:tblInd w:w="70" w:type="dxa"/>
        <w:tblCellMar>
          <w:left w:w="70" w:type="dxa"/>
          <w:right w:w="70" w:type="dxa"/>
        </w:tblCellMar>
        <w:tblLook w:val="04A0" w:firstRow="1" w:lastRow="0" w:firstColumn="1" w:lastColumn="0" w:noHBand="0" w:noVBand="1"/>
      </w:tblPr>
      <w:tblGrid>
        <w:gridCol w:w="2520"/>
        <w:gridCol w:w="580"/>
        <w:gridCol w:w="580"/>
        <w:gridCol w:w="580"/>
        <w:gridCol w:w="580"/>
        <w:gridCol w:w="580"/>
        <w:gridCol w:w="580"/>
        <w:gridCol w:w="580"/>
        <w:gridCol w:w="580"/>
        <w:gridCol w:w="580"/>
        <w:gridCol w:w="580"/>
        <w:gridCol w:w="580"/>
        <w:gridCol w:w="580"/>
      </w:tblGrid>
      <w:tr w:rsidR="00F83898" w:rsidRPr="00F83898" w:rsidTr="00E754E3">
        <w:trPr>
          <w:trHeight w:val="300"/>
        </w:trPr>
        <w:tc>
          <w:tcPr>
            <w:tcW w:w="252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center"/>
              <w:rPr>
                <w:rFonts w:cs="Arial"/>
                <w:b/>
                <w:bCs/>
                <w:sz w:val="16"/>
                <w:szCs w:val="16"/>
              </w:rPr>
            </w:pPr>
            <w:r w:rsidRPr="00F83898">
              <w:rPr>
                <w:rFonts w:cs="Arial"/>
                <w:b/>
                <w:bCs/>
                <w:sz w:val="16"/>
                <w:szCs w:val="16"/>
              </w:rPr>
              <w:t>SR VaVaI</w:t>
            </w:r>
          </w:p>
        </w:tc>
        <w:tc>
          <w:tcPr>
            <w:tcW w:w="580" w:type="dxa"/>
            <w:tcBorders>
              <w:top w:val="single" w:sz="4" w:space="0" w:color="808080"/>
              <w:left w:val="single" w:sz="4" w:space="0" w:color="808080"/>
              <w:bottom w:val="single" w:sz="4" w:space="0" w:color="808080"/>
              <w:right w:val="single" w:sz="4" w:space="0" w:color="808080"/>
            </w:tcBorders>
            <w:shd w:val="clear" w:color="000000" w:fill="DAEEF3"/>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2000</w:t>
            </w:r>
          </w:p>
        </w:tc>
        <w:tc>
          <w:tcPr>
            <w:tcW w:w="580" w:type="dxa"/>
            <w:tcBorders>
              <w:top w:val="single" w:sz="4" w:space="0" w:color="808080"/>
              <w:left w:val="nil"/>
              <w:bottom w:val="single" w:sz="4" w:space="0" w:color="808080"/>
              <w:right w:val="single" w:sz="4" w:space="0" w:color="808080"/>
            </w:tcBorders>
            <w:shd w:val="clear" w:color="000000" w:fill="DAEEF3"/>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2005</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2007</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2008</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2009</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2010</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2011</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center"/>
              <w:rPr>
                <w:rFonts w:cs="Arial"/>
                <w:b/>
                <w:bCs/>
                <w:sz w:val="16"/>
                <w:szCs w:val="16"/>
              </w:rPr>
            </w:pPr>
            <w:r w:rsidRPr="00F83898">
              <w:rPr>
                <w:rFonts w:cs="Arial"/>
                <w:b/>
                <w:bCs/>
                <w:sz w:val="16"/>
                <w:szCs w:val="16"/>
              </w:rPr>
              <w:t>2012</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center"/>
              <w:rPr>
                <w:rFonts w:cs="Arial"/>
                <w:b/>
                <w:bCs/>
                <w:sz w:val="16"/>
                <w:szCs w:val="16"/>
              </w:rPr>
            </w:pPr>
            <w:r w:rsidRPr="00F83898">
              <w:rPr>
                <w:rFonts w:cs="Arial"/>
                <w:b/>
                <w:bCs/>
                <w:sz w:val="16"/>
                <w:szCs w:val="16"/>
              </w:rPr>
              <w:t>2013</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center"/>
              <w:rPr>
                <w:rFonts w:cs="Arial"/>
                <w:b/>
                <w:bCs/>
                <w:sz w:val="16"/>
                <w:szCs w:val="16"/>
              </w:rPr>
            </w:pPr>
            <w:r w:rsidRPr="00F83898">
              <w:rPr>
                <w:rFonts w:cs="Arial"/>
                <w:b/>
                <w:bCs/>
                <w:sz w:val="16"/>
                <w:szCs w:val="16"/>
              </w:rPr>
              <w:t>2014</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center"/>
              <w:rPr>
                <w:rFonts w:cs="Arial"/>
                <w:b/>
                <w:bCs/>
                <w:sz w:val="16"/>
                <w:szCs w:val="16"/>
              </w:rPr>
            </w:pPr>
            <w:r w:rsidRPr="00F83898">
              <w:rPr>
                <w:rFonts w:cs="Arial"/>
                <w:b/>
                <w:bCs/>
                <w:sz w:val="16"/>
                <w:szCs w:val="16"/>
              </w:rPr>
              <w:t>2015</w:t>
            </w:r>
          </w:p>
        </w:tc>
        <w:tc>
          <w:tcPr>
            <w:tcW w:w="580" w:type="dxa"/>
            <w:tcBorders>
              <w:top w:val="single" w:sz="4" w:space="0" w:color="808080"/>
              <w:left w:val="nil"/>
              <w:bottom w:val="single" w:sz="4" w:space="0" w:color="808080"/>
              <w:right w:val="nil"/>
            </w:tcBorders>
            <w:shd w:val="clear" w:color="000000" w:fill="DAEEF3"/>
            <w:noWrap/>
            <w:vAlign w:val="center"/>
            <w:hideMark/>
          </w:tcPr>
          <w:p w:rsidR="00F83898" w:rsidRPr="00F83898" w:rsidRDefault="00F83898" w:rsidP="00E754E3">
            <w:pPr>
              <w:spacing w:line="240" w:lineRule="auto"/>
              <w:jc w:val="center"/>
              <w:rPr>
                <w:rFonts w:cs="Arial"/>
                <w:b/>
                <w:bCs/>
                <w:sz w:val="16"/>
                <w:szCs w:val="16"/>
              </w:rPr>
            </w:pPr>
            <w:r w:rsidRPr="00F83898">
              <w:rPr>
                <w:rFonts w:cs="Arial"/>
                <w:b/>
                <w:bCs/>
                <w:sz w:val="16"/>
                <w:szCs w:val="16"/>
              </w:rPr>
              <w:t>2016</w:t>
            </w:r>
          </w:p>
        </w:tc>
      </w:tr>
      <w:tr w:rsidR="00F83898" w:rsidRPr="00F83898" w:rsidTr="00E754E3">
        <w:trPr>
          <w:trHeight w:val="255"/>
        </w:trPr>
        <w:tc>
          <w:tcPr>
            <w:tcW w:w="252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rPr>
                <w:rFonts w:cs="Arial"/>
                <w:sz w:val="16"/>
                <w:szCs w:val="16"/>
              </w:rPr>
            </w:pPr>
            <w:r w:rsidRPr="00F83898">
              <w:rPr>
                <w:rFonts w:cs="Arial"/>
                <w:sz w:val="16"/>
                <w:szCs w:val="16"/>
              </w:rPr>
              <w:t>Schválené výdaje</w:t>
            </w:r>
          </w:p>
        </w:tc>
        <w:tc>
          <w:tcPr>
            <w:tcW w:w="580" w:type="dxa"/>
            <w:tcBorders>
              <w:top w:val="nil"/>
              <w:left w:val="single" w:sz="4" w:space="0" w:color="808080"/>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12,0</w:t>
            </w:r>
          </w:p>
        </w:tc>
        <w:tc>
          <w:tcPr>
            <w:tcW w:w="580" w:type="dxa"/>
            <w:tcBorders>
              <w:top w:val="nil"/>
              <w:left w:val="nil"/>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16,5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21,5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23,0</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24,1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25,4</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25,9</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26,6</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26,1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26,6</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26,9</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sz w:val="16"/>
                <w:szCs w:val="16"/>
              </w:rPr>
            </w:pPr>
            <w:r w:rsidRPr="00F83898">
              <w:rPr>
                <w:rFonts w:cs="Arial"/>
                <w:sz w:val="16"/>
                <w:szCs w:val="16"/>
              </w:rPr>
              <w:t>29,1</w:t>
            </w:r>
          </w:p>
        </w:tc>
      </w:tr>
      <w:tr w:rsidR="00F83898" w:rsidRPr="00F83898" w:rsidTr="00E754E3">
        <w:trPr>
          <w:trHeight w:val="255"/>
        </w:trPr>
        <w:tc>
          <w:tcPr>
            <w:tcW w:w="252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rPr>
                <w:rFonts w:cs="Arial"/>
                <w:b/>
                <w:bCs/>
                <w:sz w:val="16"/>
                <w:szCs w:val="16"/>
              </w:rPr>
            </w:pPr>
            <w:r w:rsidRPr="00F83898">
              <w:rPr>
                <w:rFonts w:cs="Arial"/>
                <w:b/>
                <w:bCs/>
                <w:sz w:val="16"/>
                <w:szCs w:val="16"/>
              </w:rPr>
              <w:t>Skutečné výdaje – MF ČR</w:t>
            </w:r>
          </w:p>
        </w:tc>
        <w:tc>
          <w:tcPr>
            <w:tcW w:w="580" w:type="dxa"/>
            <w:tcBorders>
              <w:top w:val="nil"/>
              <w:left w:val="single" w:sz="4" w:space="0" w:color="808080"/>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11,9</w:t>
            </w:r>
          </w:p>
        </w:tc>
        <w:tc>
          <w:tcPr>
            <w:tcW w:w="580" w:type="dxa"/>
            <w:tcBorders>
              <w:top w:val="nil"/>
              <w:left w:val="nil"/>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16,4</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20,5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23,0</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22,6</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25,8</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26,2</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26,7</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27,3</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27,9</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sz w:val="16"/>
                <w:szCs w:val="16"/>
              </w:rPr>
            </w:pPr>
            <w:r w:rsidRPr="00F83898">
              <w:rPr>
                <w:rFonts w:cs="Arial"/>
                <w:b/>
                <w:bCs/>
                <w:sz w:val="16"/>
                <w:szCs w:val="16"/>
              </w:rPr>
              <w:t>28,0</w:t>
            </w:r>
          </w:p>
        </w:tc>
      </w:tr>
      <w:tr w:rsidR="00F83898" w:rsidRPr="00F83898" w:rsidTr="00E754E3">
        <w:trPr>
          <w:trHeight w:val="501"/>
        </w:trPr>
        <w:tc>
          <w:tcPr>
            <w:tcW w:w="2520" w:type="dxa"/>
            <w:tcBorders>
              <w:top w:val="nil"/>
              <w:left w:val="nil"/>
              <w:bottom w:val="nil"/>
              <w:right w:val="nil"/>
            </w:tcBorders>
            <w:shd w:val="clear" w:color="auto" w:fill="auto"/>
            <w:vAlign w:val="center"/>
            <w:hideMark/>
          </w:tcPr>
          <w:p w:rsidR="00F83898" w:rsidRPr="00F83898" w:rsidRDefault="00F83898" w:rsidP="00E754E3">
            <w:pPr>
              <w:spacing w:line="240" w:lineRule="auto"/>
              <w:rPr>
                <w:rFonts w:cs="Arial"/>
                <w:i/>
                <w:iCs/>
                <w:sz w:val="16"/>
                <w:szCs w:val="16"/>
              </w:rPr>
            </w:pPr>
            <w:r w:rsidRPr="00F83898">
              <w:rPr>
                <w:rFonts w:cs="Arial"/>
                <w:i/>
                <w:iCs/>
                <w:sz w:val="16"/>
                <w:szCs w:val="16"/>
              </w:rPr>
              <w:t>Rozdíl mezi skutečnými a schválenými výdaji</w:t>
            </w:r>
          </w:p>
        </w:tc>
        <w:tc>
          <w:tcPr>
            <w:tcW w:w="580" w:type="dxa"/>
            <w:tcBorders>
              <w:top w:val="nil"/>
              <w:left w:val="single" w:sz="4" w:space="0" w:color="808080"/>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0,1</w:t>
            </w:r>
          </w:p>
        </w:tc>
        <w:tc>
          <w:tcPr>
            <w:tcW w:w="580" w:type="dxa"/>
            <w:tcBorders>
              <w:top w:val="nil"/>
              <w:left w:val="nil"/>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-0,1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-1,0</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-2,5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-1,1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-2,8</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-0,1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-0,5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0,6</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0,7</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1,0</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-1,1</w:t>
            </w:r>
          </w:p>
        </w:tc>
      </w:tr>
      <w:tr w:rsidR="00F83898" w:rsidRPr="00F83898" w:rsidTr="00E754E3">
        <w:trPr>
          <w:trHeight w:val="255"/>
        </w:trPr>
        <w:tc>
          <w:tcPr>
            <w:tcW w:w="252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rPr>
                <w:rFonts w:cs="Arial"/>
                <w:sz w:val="16"/>
                <w:szCs w:val="16"/>
              </w:rPr>
            </w:pPr>
            <w:r w:rsidRPr="00F83898">
              <w:rPr>
                <w:rFonts w:cs="Arial"/>
                <w:sz w:val="16"/>
                <w:szCs w:val="16"/>
              </w:rPr>
              <w:t>Schválené výdaje*</w:t>
            </w:r>
          </w:p>
        </w:tc>
        <w:tc>
          <w:tcPr>
            <w:tcW w:w="580" w:type="dxa"/>
            <w:tcBorders>
              <w:top w:val="nil"/>
              <w:left w:val="single" w:sz="4" w:space="0" w:color="808080"/>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w:t>
            </w:r>
          </w:p>
        </w:tc>
        <w:tc>
          <w:tcPr>
            <w:tcW w:w="580" w:type="dxa"/>
            <w:tcBorders>
              <w:top w:val="nil"/>
              <w:left w:val="nil"/>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25,1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23,1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32,4</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29,4</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28,9</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38,7</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40,1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34,6</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34,9</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35,7</w:t>
            </w:r>
          </w:p>
        </w:tc>
      </w:tr>
      <w:tr w:rsidR="00F83898" w:rsidRPr="00F83898" w:rsidTr="00E754E3">
        <w:trPr>
          <w:trHeight w:val="255"/>
        </w:trPr>
        <w:tc>
          <w:tcPr>
            <w:tcW w:w="252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rPr>
                <w:rFonts w:cs="Arial"/>
                <w:b/>
                <w:bCs/>
                <w:sz w:val="16"/>
                <w:szCs w:val="16"/>
              </w:rPr>
            </w:pPr>
            <w:r w:rsidRPr="00F83898">
              <w:rPr>
                <w:rFonts w:cs="Arial"/>
                <w:b/>
                <w:bCs/>
                <w:sz w:val="16"/>
                <w:szCs w:val="16"/>
              </w:rPr>
              <w:t>Skutečné výdaje – MF ČR*</w:t>
            </w:r>
          </w:p>
        </w:tc>
        <w:tc>
          <w:tcPr>
            <w:tcW w:w="580" w:type="dxa"/>
            <w:tcBorders>
              <w:top w:val="nil"/>
              <w:left w:val="single" w:sz="4" w:space="0" w:color="808080"/>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w:t>
            </w:r>
          </w:p>
        </w:tc>
        <w:tc>
          <w:tcPr>
            <w:tcW w:w="580" w:type="dxa"/>
            <w:tcBorders>
              <w:top w:val="nil"/>
              <w:left w:val="nil"/>
              <w:bottom w:val="nil"/>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color w:val="000000"/>
                <w:sz w:val="16"/>
                <w:szCs w:val="16"/>
              </w:rPr>
            </w:pPr>
            <w:r w:rsidRPr="00F83898">
              <w:rPr>
                <w:rFonts w:cs="Arial"/>
                <w:b/>
                <w:bCs/>
                <w:color w:val="000000"/>
                <w:sz w:val="16"/>
                <w:szCs w:val="16"/>
              </w:rPr>
              <w:t>20,5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color w:val="000000"/>
                <w:sz w:val="16"/>
                <w:szCs w:val="16"/>
              </w:rPr>
            </w:pPr>
            <w:r w:rsidRPr="00F83898">
              <w:rPr>
                <w:rFonts w:cs="Arial"/>
                <w:b/>
                <w:bCs/>
                <w:color w:val="000000"/>
                <w:sz w:val="16"/>
                <w:szCs w:val="16"/>
              </w:rPr>
              <w:t>20,5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color w:val="000000"/>
                <w:sz w:val="16"/>
                <w:szCs w:val="16"/>
              </w:rPr>
            </w:pPr>
            <w:r w:rsidRPr="00F83898">
              <w:rPr>
                <w:rFonts w:cs="Arial"/>
                <w:b/>
                <w:bCs/>
                <w:color w:val="000000"/>
                <w:sz w:val="16"/>
                <w:szCs w:val="16"/>
              </w:rPr>
              <w:t>24,1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color w:val="000000"/>
                <w:sz w:val="16"/>
                <w:szCs w:val="16"/>
              </w:rPr>
            </w:pPr>
            <w:r w:rsidRPr="00F83898">
              <w:rPr>
                <w:rFonts w:cs="Arial"/>
                <w:b/>
                <w:bCs/>
                <w:color w:val="000000"/>
                <w:sz w:val="16"/>
                <w:szCs w:val="16"/>
              </w:rPr>
              <w:t>24,9</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color w:val="000000"/>
                <w:sz w:val="16"/>
                <w:szCs w:val="16"/>
              </w:rPr>
            </w:pPr>
            <w:r w:rsidRPr="00F83898">
              <w:rPr>
                <w:rFonts w:cs="Arial"/>
                <w:b/>
                <w:bCs/>
                <w:color w:val="000000"/>
                <w:sz w:val="16"/>
                <w:szCs w:val="16"/>
              </w:rPr>
              <w:t>37,5</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i/>
                <w:iCs/>
                <w:sz w:val="16"/>
                <w:szCs w:val="16"/>
              </w:rPr>
            </w:pPr>
            <w:r w:rsidRPr="00F83898">
              <w:rPr>
                <w:rFonts w:cs="Arial"/>
                <w:b/>
                <w:bCs/>
                <w:i/>
                <w:iCs/>
                <w:sz w:val="16"/>
                <w:szCs w:val="16"/>
              </w:rPr>
              <w:t>39,1</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i/>
                <w:iCs/>
                <w:sz w:val="16"/>
                <w:szCs w:val="16"/>
              </w:rPr>
            </w:pPr>
            <w:r w:rsidRPr="00F83898">
              <w:rPr>
                <w:rFonts w:cs="Arial"/>
                <w:b/>
                <w:bCs/>
                <w:i/>
                <w:iCs/>
                <w:sz w:val="16"/>
                <w:szCs w:val="16"/>
              </w:rPr>
              <w:t>39,8</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i/>
                <w:iCs/>
                <w:sz w:val="16"/>
                <w:szCs w:val="16"/>
              </w:rPr>
            </w:pPr>
            <w:r w:rsidRPr="00F83898">
              <w:rPr>
                <w:rFonts w:cs="Arial"/>
                <w:b/>
                <w:bCs/>
                <w:i/>
                <w:iCs/>
                <w:sz w:val="16"/>
                <w:szCs w:val="16"/>
              </w:rPr>
              <w:t>40,6</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i/>
                <w:iCs/>
                <w:sz w:val="16"/>
                <w:szCs w:val="16"/>
              </w:rPr>
            </w:pPr>
            <w:r w:rsidRPr="00F83898">
              <w:rPr>
                <w:rFonts w:cs="Arial"/>
                <w:b/>
                <w:bCs/>
                <w:i/>
                <w:iCs/>
                <w:sz w:val="16"/>
                <w:szCs w:val="16"/>
              </w:rPr>
              <w:t>42,0</w:t>
            </w:r>
          </w:p>
        </w:tc>
        <w:tc>
          <w:tcPr>
            <w:tcW w:w="580" w:type="dxa"/>
            <w:tcBorders>
              <w:top w:val="nil"/>
              <w:left w:val="nil"/>
              <w:bottom w:val="nil"/>
              <w:right w:val="nil"/>
            </w:tcBorders>
            <w:shd w:val="clear" w:color="auto" w:fill="auto"/>
            <w:noWrap/>
            <w:vAlign w:val="center"/>
            <w:hideMark/>
          </w:tcPr>
          <w:p w:rsidR="00F83898" w:rsidRPr="00F83898" w:rsidRDefault="00F83898" w:rsidP="00E754E3">
            <w:pPr>
              <w:spacing w:line="240" w:lineRule="auto"/>
              <w:jc w:val="right"/>
              <w:rPr>
                <w:rFonts w:cs="Arial"/>
                <w:b/>
                <w:bCs/>
                <w:i/>
                <w:iCs/>
                <w:sz w:val="16"/>
                <w:szCs w:val="16"/>
              </w:rPr>
            </w:pPr>
            <w:r w:rsidRPr="00F83898">
              <w:rPr>
                <w:rFonts w:cs="Arial"/>
                <w:b/>
                <w:bCs/>
                <w:i/>
                <w:iCs/>
                <w:sz w:val="16"/>
                <w:szCs w:val="16"/>
              </w:rPr>
              <w:t>30,7</w:t>
            </w:r>
          </w:p>
        </w:tc>
      </w:tr>
      <w:tr w:rsidR="00F83898" w:rsidRPr="00F83898" w:rsidTr="00E754E3">
        <w:trPr>
          <w:trHeight w:val="501"/>
        </w:trPr>
        <w:tc>
          <w:tcPr>
            <w:tcW w:w="2520" w:type="dxa"/>
            <w:tcBorders>
              <w:top w:val="nil"/>
              <w:left w:val="nil"/>
              <w:bottom w:val="single" w:sz="4" w:space="0" w:color="808080"/>
              <w:right w:val="nil"/>
            </w:tcBorders>
            <w:shd w:val="clear" w:color="auto" w:fill="auto"/>
            <w:vAlign w:val="center"/>
            <w:hideMark/>
          </w:tcPr>
          <w:p w:rsidR="00F83898" w:rsidRPr="00F83898" w:rsidRDefault="00F83898" w:rsidP="00E754E3">
            <w:pPr>
              <w:spacing w:line="240" w:lineRule="auto"/>
              <w:rPr>
                <w:rFonts w:cs="Arial"/>
                <w:i/>
                <w:iCs/>
                <w:sz w:val="16"/>
                <w:szCs w:val="16"/>
              </w:rPr>
            </w:pPr>
            <w:r w:rsidRPr="00F83898">
              <w:rPr>
                <w:rFonts w:cs="Arial"/>
                <w:i/>
                <w:iCs/>
                <w:sz w:val="16"/>
                <w:szCs w:val="16"/>
              </w:rPr>
              <w:t>Rozdíl mezi skutečnými a schválenými výdaji*</w:t>
            </w:r>
          </w:p>
        </w:tc>
        <w:tc>
          <w:tcPr>
            <w:tcW w:w="580" w:type="dxa"/>
            <w:tcBorders>
              <w:top w:val="nil"/>
              <w:left w:val="single" w:sz="4" w:space="0" w:color="808080"/>
              <w:bottom w:val="single" w:sz="4" w:space="0" w:color="808080"/>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w:t>
            </w:r>
          </w:p>
        </w:tc>
        <w:tc>
          <w:tcPr>
            <w:tcW w:w="580" w:type="dxa"/>
            <w:tcBorders>
              <w:top w:val="nil"/>
              <w:left w:val="nil"/>
              <w:bottom w:val="single" w:sz="4" w:space="0" w:color="808080"/>
              <w:right w:val="single" w:sz="4" w:space="0" w:color="808080"/>
            </w:tcBorders>
            <w:shd w:val="clear" w:color="auto" w:fill="auto"/>
            <w:noWrap/>
            <w:vAlign w:val="center"/>
            <w:hideMark/>
          </w:tcPr>
          <w:p w:rsidR="00F83898" w:rsidRPr="00F83898" w:rsidRDefault="00F83898" w:rsidP="00E754E3">
            <w:pPr>
              <w:spacing w:line="240" w:lineRule="auto"/>
              <w:jc w:val="right"/>
              <w:rPr>
                <w:rFonts w:cs="Arial"/>
                <w:i/>
                <w:iCs/>
                <w:sz w:val="16"/>
                <w:szCs w:val="16"/>
              </w:rPr>
            </w:pPr>
            <w:r w:rsidRPr="00F83898">
              <w:rPr>
                <w:rFonts w:cs="Arial"/>
                <w:i/>
                <w:iCs/>
                <w:sz w:val="16"/>
                <w:szCs w:val="16"/>
              </w:rPr>
              <w:t>-</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-4,6</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-2,6</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-8,3</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-4,5</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8,6</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0,4</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-0,3</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6,0</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7,1</w:t>
            </w:r>
          </w:p>
        </w:tc>
        <w:tc>
          <w:tcPr>
            <w:tcW w:w="580" w:type="dxa"/>
            <w:tcBorders>
              <w:top w:val="nil"/>
              <w:left w:val="nil"/>
              <w:bottom w:val="single" w:sz="4" w:space="0" w:color="808080"/>
              <w:right w:val="nil"/>
            </w:tcBorders>
            <w:shd w:val="clear" w:color="auto" w:fill="auto"/>
            <w:noWrap/>
            <w:vAlign w:val="center"/>
            <w:hideMark/>
          </w:tcPr>
          <w:p w:rsidR="00F83898" w:rsidRPr="00F83898" w:rsidRDefault="00F83898" w:rsidP="00E754E3">
            <w:pPr>
              <w:spacing w:line="240" w:lineRule="auto"/>
              <w:jc w:val="right"/>
              <w:rPr>
                <w:rFonts w:cs="Arial"/>
                <w:color w:val="000000"/>
                <w:sz w:val="16"/>
                <w:szCs w:val="16"/>
              </w:rPr>
            </w:pPr>
            <w:r w:rsidRPr="00F83898">
              <w:rPr>
                <w:rFonts w:cs="Arial"/>
                <w:color w:val="000000"/>
                <w:sz w:val="16"/>
                <w:szCs w:val="16"/>
              </w:rPr>
              <w:t>-5,0</w:t>
            </w:r>
          </w:p>
        </w:tc>
      </w:tr>
      <w:tr w:rsidR="00F83898" w:rsidRPr="00F83898" w:rsidTr="00E754E3">
        <w:trPr>
          <w:trHeight w:val="255"/>
        </w:trPr>
        <w:tc>
          <w:tcPr>
            <w:tcW w:w="8900" w:type="dxa"/>
            <w:gridSpan w:val="12"/>
            <w:tcBorders>
              <w:top w:val="nil"/>
              <w:left w:val="nil"/>
              <w:bottom w:val="nil"/>
              <w:right w:val="nil"/>
            </w:tcBorders>
            <w:shd w:val="clear" w:color="auto" w:fill="auto"/>
            <w:noWrap/>
            <w:vAlign w:val="bottom"/>
            <w:hideMark/>
          </w:tcPr>
          <w:p w:rsidR="00F83898" w:rsidRPr="00F83898" w:rsidRDefault="00F83898" w:rsidP="00E754E3">
            <w:pPr>
              <w:spacing w:line="240" w:lineRule="auto"/>
              <w:rPr>
                <w:rFonts w:cs="Arial"/>
                <w:sz w:val="16"/>
                <w:szCs w:val="16"/>
              </w:rPr>
            </w:pPr>
            <w:r w:rsidRPr="00F83898">
              <w:rPr>
                <w:rFonts w:cs="Arial"/>
                <w:sz w:val="16"/>
                <w:szCs w:val="16"/>
              </w:rPr>
              <w:t>* zahrnují výdaje na předfinancování zahraničních programů, krytých příjmy z EU a finančního mechanismu EHP/ Norsko</w:t>
            </w:r>
          </w:p>
        </w:tc>
        <w:tc>
          <w:tcPr>
            <w:tcW w:w="580" w:type="dxa"/>
            <w:tcBorders>
              <w:top w:val="nil"/>
              <w:left w:val="nil"/>
              <w:bottom w:val="nil"/>
              <w:right w:val="nil"/>
            </w:tcBorders>
            <w:shd w:val="clear" w:color="auto" w:fill="auto"/>
            <w:noWrap/>
            <w:vAlign w:val="bottom"/>
            <w:hideMark/>
          </w:tcPr>
          <w:p w:rsidR="00F83898" w:rsidRPr="00F83898" w:rsidRDefault="00F83898" w:rsidP="00E754E3">
            <w:pPr>
              <w:spacing w:line="240" w:lineRule="auto"/>
              <w:rPr>
                <w:rFonts w:cs="Arial"/>
                <w:sz w:val="16"/>
                <w:szCs w:val="16"/>
              </w:rPr>
            </w:pPr>
          </w:p>
        </w:tc>
      </w:tr>
    </w:tbl>
    <w:p w:rsidR="00F83898" w:rsidRDefault="002C30CA" w:rsidP="00604542">
      <w:pPr>
        <w:spacing w:before="120"/>
        <w:jc w:val="both"/>
      </w:pPr>
      <w:r w:rsidRPr="002C30CA">
        <w:t xml:space="preserve">Výdaje na VaV ze státního rozpočtu vyjádřené v běžných cenách byly v roce </w:t>
      </w:r>
      <w:r w:rsidR="00946240">
        <w:t>201</w:t>
      </w:r>
      <w:r w:rsidR="00813D05">
        <w:t>6</w:t>
      </w:r>
      <w:r w:rsidR="00946240">
        <w:t xml:space="preserve"> o více jak třetin</w:t>
      </w:r>
      <w:r w:rsidR="00813D05">
        <w:t>u</w:t>
      </w:r>
      <w:r w:rsidR="00946240">
        <w:t xml:space="preserve"> (</w:t>
      </w:r>
      <w:r w:rsidR="00813D05">
        <w:t>37</w:t>
      </w:r>
      <w:r w:rsidR="00946240">
        <w:t> </w:t>
      </w:r>
      <w:r w:rsidRPr="002C30CA">
        <w:t>%) vyšší než před deseti lety. V roce 200</w:t>
      </w:r>
      <w:r w:rsidR="00813D05">
        <w:t>7</w:t>
      </w:r>
      <w:r w:rsidRPr="002C30CA">
        <w:t xml:space="preserve"> činily </w:t>
      </w:r>
      <w:r w:rsidR="00343938">
        <w:t xml:space="preserve">státní rozpočtové </w:t>
      </w:r>
      <w:r w:rsidRPr="002C30CA">
        <w:t xml:space="preserve">výdaje na VaV </w:t>
      </w:r>
      <w:r w:rsidR="00813D05">
        <w:t>20</w:t>
      </w:r>
      <w:r w:rsidRPr="002C30CA">
        <w:t>,</w:t>
      </w:r>
      <w:r w:rsidR="00813D05">
        <w:t>5 </w:t>
      </w:r>
      <w:r w:rsidRPr="002C30CA">
        <w:t>mld.</w:t>
      </w:r>
      <w:r w:rsidR="00813D05">
        <w:t> </w:t>
      </w:r>
      <w:r w:rsidRPr="002C30CA">
        <w:t>Kč. V letech 200</w:t>
      </w:r>
      <w:r w:rsidR="00813D05">
        <w:t>7</w:t>
      </w:r>
      <w:r w:rsidRPr="002C30CA">
        <w:t xml:space="preserve"> až 201</w:t>
      </w:r>
      <w:r w:rsidR="00813D05">
        <w:t>6</w:t>
      </w:r>
      <w:r w:rsidRPr="002C30CA">
        <w:t xml:space="preserve"> bylo ze státního rozpočtu </w:t>
      </w:r>
      <w:r w:rsidR="00343938">
        <w:t xml:space="preserve">ČR </w:t>
      </w:r>
      <w:r w:rsidRPr="002C30CA">
        <w:t>čerpáno na VaV prováděný ve vládním, vysokoškolském, podnikatelském a soukromém neziskovém sektoru celkem 2</w:t>
      </w:r>
      <w:r w:rsidR="00813D05">
        <w:t>48</w:t>
      </w:r>
      <w:r w:rsidRPr="002C30CA">
        <w:t xml:space="preserve"> mld. Kč, přičemž v posledních pěti letech (201</w:t>
      </w:r>
      <w:r w:rsidR="00813D05">
        <w:t>2</w:t>
      </w:r>
      <w:r w:rsidRPr="002C30CA">
        <w:t xml:space="preserve"> až 201</w:t>
      </w:r>
      <w:r w:rsidR="00813D05">
        <w:t>6</w:t>
      </w:r>
      <w:r w:rsidRPr="002C30CA">
        <w:t>) to bylo 13</w:t>
      </w:r>
      <w:r w:rsidR="00813D05">
        <w:t>6</w:t>
      </w:r>
      <w:r w:rsidRPr="002C30CA">
        <w:t xml:space="preserve"> miliard.</w:t>
      </w:r>
      <w:r w:rsidR="000509B6">
        <w:t xml:space="preserve"> </w:t>
      </w:r>
    </w:p>
    <w:p w:rsidR="00B40138" w:rsidRDefault="00B40138" w:rsidP="00604542">
      <w:pPr>
        <w:spacing w:before="120"/>
        <w:jc w:val="both"/>
        <w:rPr>
          <w:b/>
        </w:rPr>
      </w:pPr>
      <w:r w:rsidRPr="00B40138">
        <w:rPr>
          <w:b/>
        </w:rPr>
        <w:t xml:space="preserve">GRAF 1-1: </w:t>
      </w:r>
      <w:r w:rsidR="007E575C">
        <w:rPr>
          <w:b/>
        </w:rPr>
        <w:t>Státní</w:t>
      </w:r>
      <w:r w:rsidR="007E575C" w:rsidRPr="00142861">
        <w:rPr>
          <w:b/>
        </w:rPr>
        <w:t xml:space="preserve"> </w:t>
      </w:r>
      <w:r w:rsidR="007E575C">
        <w:rPr>
          <w:b/>
        </w:rPr>
        <w:t xml:space="preserve">rozpočtové výdaje na VaV </w:t>
      </w:r>
      <w:r w:rsidR="00446A05">
        <w:rPr>
          <w:b/>
        </w:rPr>
        <w:t xml:space="preserve">v ČR; </w:t>
      </w:r>
      <w:r w:rsidR="00446A05" w:rsidRPr="00FC33C0">
        <w:rPr>
          <w:b/>
        </w:rPr>
        <w:t>2000–201</w:t>
      </w:r>
      <w:r w:rsidR="00890779">
        <w:rPr>
          <w:b/>
        </w:rPr>
        <w:t>6</w:t>
      </w:r>
    </w:p>
    <w:p w:rsidR="00B40138" w:rsidRDefault="00273F9D" w:rsidP="00604542">
      <w:pPr>
        <w:spacing w:before="120"/>
        <w:jc w:val="both"/>
        <w:rPr>
          <w:b/>
        </w:rPr>
      </w:pPr>
      <w:r>
        <w:rPr>
          <w:noProof/>
        </w:rPr>
        <w:drawing>
          <wp:inline distT="0" distB="0" distL="0" distR="0" wp14:anchorId="7CC520B5" wp14:editId="4D0FA863">
            <wp:extent cx="6120130" cy="2635885"/>
            <wp:effectExtent l="0" t="0" r="0" b="0"/>
            <wp:docPr id="3" name="Graf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5F81" w:rsidRPr="00065F81" w:rsidRDefault="00065F81" w:rsidP="00604542">
      <w:pPr>
        <w:spacing w:before="120"/>
        <w:jc w:val="both"/>
      </w:pPr>
      <w:r w:rsidRPr="00D83E8E">
        <w:lastRenderedPageBreak/>
        <w:t>Uvedená částka výdajů v roce 201</w:t>
      </w:r>
      <w:r w:rsidR="00C50AD4">
        <w:t>6</w:t>
      </w:r>
      <w:r w:rsidRPr="00D83E8E">
        <w:t xml:space="preserve"> ve vztahu k</w:t>
      </w:r>
      <w:r w:rsidR="00662351">
        <w:t> </w:t>
      </w:r>
      <w:r w:rsidR="00662351">
        <w:rPr>
          <w:b/>
        </w:rPr>
        <w:t>hrubému domácímu produktu (HDP)</w:t>
      </w:r>
      <w:r w:rsidRPr="00D83E8E">
        <w:rPr>
          <w:b/>
        </w:rPr>
        <w:t xml:space="preserve"> odpovídala 0,</w:t>
      </w:r>
      <w:r w:rsidR="00C50AD4">
        <w:rPr>
          <w:b/>
        </w:rPr>
        <w:t>59</w:t>
      </w:r>
      <w:r w:rsidRPr="00D83E8E">
        <w:rPr>
          <w:b/>
        </w:rPr>
        <w:t xml:space="preserve"> %</w:t>
      </w:r>
      <w:r w:rsidR="004F2DFF">
        <w:rPr>
          <w:b/>
        </w:rPr>
        <w:t>.</w:t>
      </w:r>
      <w:r>
        <w:rPr>
          <w:b/>
        </w:rPr>
        <w:t xml:space="preserve"> </w:t>
      </w:r>
      <w:r w:rsidR="004F2DFF">
        <w:t>V</w:t>
      </w:r>
      <w:r w:rsidRPr="00946240">
        <w:t xml:space="preserve"> roce 201</w:t>
      </w:r>
      <w:r w:rsidR="00C50AD4">
        <w:t>5</w:t>
      </w:r>
      <w:r w:rsidRPr="00946240">
        <w:t xml:space="preserve"> byl podíl GBARD na HDP 0,6</w:t>
      </w:r>
      <w:r w:rsidR="00C50AD4">
        <w:t>1</w:t>
      </w:r>
      <w:r w:rsidR="004F2DFF">
        <w:t xml:space="preserve"> %</w:t>
      </w:r>
      <w:r>
        <w:t>.</w:t>
      </w:r>
      <w:r w:rsidRPr="00D83E8E">
        <w:t xml:space="preserve"> Na celkových výdajích státního rozpočtu se GBARD v roce 201</w:t>
      </w:r>
      <w:r w:rsidR="00C50AD4">
        <w:t>6</w:t>
      </w:r>
      <w:r w:rsidRPr="00D83E8E">
        <w:t xml:space="preserve"> podílely 2,</w:t>
      </w:r>
      <w:r w:rsidR="00C50AD4">
        <w:t>29</w:t>
      </w:r>
      <w:r w:rsidRPr="00D83E8E">
        <w:t xml:space="preserve"> % (2,</w:t>
      </w:r>
      <w:r w:rsidR="00C50AD4">
        <w:t>1</w:t>
      </w:r>
      <w:r w:rsidRPr="00D83E8E">
        <w:t>5 % v roce 201</w:t>
      </w:r>
      <w:r w:rsidR="00C50AD4">
        <w:t>5</w:t>
      </w:r>
      <w:r w:rsidRPr="00D83E8E">
        <w:t>). Na celkových veřejných rozpočtech se GBARD v roce 201</w:t>
      </w:r>
      <w:r w:rsidR="00C50AD4">
        <w:t>6</w:t>
      </w:r>
      <w:r w:rsidRPr="00D83E8E">
        <w:t xml:space="preserve"> podílely 1,4</w:t>
      </w:r>
      <w:r w:rsidR="00C50AD4">
        <w:t>9</w:t>
      </w:r>
      <w:r w:rsidRPr="00D83E8E">
        <w:t xml:space="preserve"> %. Ve schválené verzi státního rozpočtu </w:t>
      </w:r>
      <w:r w:rsidR="002145E1">
        <w:t xml:space="preserve">ČR </w:t>
      </w:r>
      <w:r w:rsidRPr="00D83E8E">
        <w:t>na rok 201</w:t>
      </w:r>
      <w:r w:rsidR="00C50AD4">
        <w:t>6</w:t>
      </w:r>
      <w:r w:rsidRPr="00D83E8E">
        <w:t xml:space="preserve"> se počítalo s částkou státní rozpočtové podpory na VaV ve výši 2</w:t>
      </w:r>
      <w:r w:rsidR="00E62D51">
        <w:t>9</w:t>
      </w:r>
      <w:r w:rsidRPr="00D83E8E">
        <w:t> </w:t>
      </w:r>
      <w:r w:rsidR="00E62D51">
        <w:t>092</w:t>
      </w:r>
      <w:r w:rsidRPr="00D83E8E">
        <w:t xml:space="preserve"> mil. Kč. Skutečné čerpání bylo </w:t>
      </w:r>
      <w:r w:rsidR="00E62D51">
        <w:t>nižší</w:t>
      </w:r>
      <w:r w:rsidRPr="00D83E8E">
        <w:t xml:space="preserve"> než </w:t>
      </w:r>
      <w:r w:rsidR="00B0768F">
        <w:t>sválené zákonem o státním rozpočtu</w:t>
      </w:r>
      <w:r w:rsidRPr="00D83E8E">
        <w:t>, a to o</w:t>
      </w:r>
      <w:r w:rsidR="00E62D51">
        <w:t xml:space="preserve"> 1 108</w:t>
      </w:r>
      <w:r w:rsidRPr="00D83E8E">
        <w:t xml:space="preserve"> mil. Kč</w:t>
      </w:r>
      <w:r>
        <w:t xml:space="preserve"> </w:t>
      </w:r>
      <w:r w:rsidRPr="00946240">
        <w:t>(3,</w:t>
      </w:r>
      <w:r w:rsidR="00E62D51">
        <w:t>8</w:t>
      </w:r>
      <w:r w:rsidRPr="00946240">
        <w:t xml:space="preserve"> %)</w:t>
      </w:r>
      <w:r w:rsidRPr="00D83E8E">
        <w:t>.</w:t>
      </w:r>
      <w:r w:rsidR="00CF502D">
        <w:t xml:space="preserve"> Hlavním důvodem bylo nižší spolufinancování projektů </w:t>
      </w:r>
      <w:r w:rsidR="004663E3">
        <w:t>VaV z</w:t>
      </w:r>
      <w:r w:rsidR="00CF502D">
        <w:t xml:space="preserve"> </w:t>
      </w:r>
      <w:r w:rsidR="00B0768F">
        <w:t>o</w:t>
      </w:r>
      <w:r w:rsidR="00CF502D">
        <w:t xml:space="preserve">peračních programů </w:t>
      </w:r>
      <w:r w:rsidR="00C10A5A">
        <w:t>pro období 2014 až 2020</w:t>
      </w:r>
      <w:r w:rsidR="004663E3">
        <w:t>,</w:t>
      </w:r>
      <w:r w:rsidR="00CF502D">
        <w:t xml:space="preserve"> </w:t>
      </w:r>
      <w:r w:rsidR="004663E3">
        <w:t>z</w:t>
      </w:r>
      <w:r w:rsidR="002145E1">
        <w:t>ejména pak těch v gesci M</w:t>
      </w:r>
      <w:r w:rsidR="00CF502D">
        <w:t>inisterstva průmyslu a obchodu</w:t>
      </w:r>
      <w:r w:rsidR="004663E3">
        <w:t xml:space="preserve"> (</w:t>
      </w:r>
      <w:r w:rsidR="005D4FFA">
        <w:t xml:space="preserve">dále </w:t>
      </w:r>
      <w:r w:rsidR="004663E3">
        <w:t>MPO)</w:t>
      </w:r>
      <w:r w:rsidR="00CF502D">
        <w:t>. V roce 2016 nebyly vyhlášeny žádné výzvy pro projekty VaV</w:t>
      </w:r>
      <w:r w:rsidR="004663E3">
        <w:t xml:space="preserve"> v rámci </w:t>
      </w:r>
      <w:r w:rsidR="005D4FFA" w:rsidRPr="005D4FFA">
        <w:t>Operační</w:t>
      </w:r>
      <w:r w:rsidR="005D4FFA">
        <w:t>ho</w:t>
      </w:r>
      <w:r w:rsidR="005D4FFA" w:rsidRPr="005D4FFA">
        <w:t xml:space="preserve"> program</w:t>
      </w:r>
      <w:r w:rsidR="005D4FFA">
        <w:t>u</w:t>
      </w:r>
      <w:r w:rsidR="005D4FFA" w:rsidRPr="005D4FFA">
        <w:t xml:space="preserve"> Podnikání a inovace pro konkurenceschopnost </w:t>
      </w:r>
      <w:r w:rsidR="005D4FFA">
        <w:t>(</w:t>
      </w:r>
      <w:r w:rsidR="004663E3">
        <w:t>OP PIK</w:t>
      </w:r>
      <w:r w:rsidR="005D4FFA">
        <w:t>)</w:t>
      </w:r>
      <w:r w:rsidR="00CF502D">
        <w:t>.</w:t>
      </w:r>
      <w:r w:rsidR="007828B0">
        <w:t xml:space="preserve"> </w:t>
      </w:r>
      <w:r w:rsidR="00CF502D">
        <w:t xml:space="preserve"> </w:t>
      </w:r>
    </w:p>
    <w:p w:rsidR="002F2B9F" w:rsidRDefault="002F2B9F" w:rsidP="00604542">
      <w:pPr>
        <w:spacing w:before="120"/>
        <w:jc w:val="both"/>
        <w:rPr>
          <w:b/>
        </w:rPr>
      </w:pPr>
      <w:r w:rsidRPr="002F2B9F">
        <w:rPr>
          <w:b/>
        </w:rPr>
        <w:t xml:space="preserve">TAB 1-2: </w:t>
      </w:r>
      <w:r w:rsidR="002C7784">
        <w:rPr>
          <w:b/>
        </w:rPr>
        <w:t>Přehled s</w:t>
      </w:r>
      <w:r w:rsidR="007E575C">
        <w:rPr>
          <w:b/>
        </w:rPr>
        <w:t>tátní</w:t>
      </w:r>
      <w:r w:rsidR="002C7784">
        <w:rPr>
          <w:b/>
        </w:rPr>
        <w:t>ch</w:t>
      </w:r>
      <w:r w:rsidR="00FE32DB">
        <w:rPr>
          <w:b/>
        </w:rPr>
        <w:t xml:space="preserve"> r</w:t>
      </w:r>
      <w:r w:rsidR="002C7784">
        <w:rPr>
          <w:b/>
        </w:rPr>
        <w:t>ozpočtových</w:t>
      </w:r>
      <w:r w:rsidR="007E575C">
        <w:rPr>
          <w:b/>
        </w:rPr>
        <w:t xml:space="preserve"> výdaj</w:t>
      </w:r>
      <w:r w:rsidR="002C7784">
        <w:rPr>
          <w:b/>
        </w:rPr>
        <w:t>ů</w:t>
      </w:r>
      <w:r w:rsidR="007E575C">
        <w:rPr>
          <w:b/>
        </w:rPr>
        <w:t xml:space="preserve"> na VaV </w:t>
      </w:r>
      <w:r>
        <w:rPr>
          <w:b/>
        </w:rPr>
        <w:t>v</w:t>
      </w:r>
      <w:r w:rsidR="0074315B">
        <w:rPr>
          <w:b/>
        </w:rPr>
        <w:t> </w:t>
      </w:r>
      <w:r>
        <w:rPr>
          <w:b/>
        </w:rPr>
        <w:t>ČR</w:t>
      </w:r>
      <w:r w:rsidR="0074315B">
        <w:rPr>
          <w:b/>
        </w:rPr>
        <w:t xml:space="preserve"> – základní ukazatele</w:t>
      </w:r>
    </w:p>
    <w:tbl>
      <w:tblPr>
        <w:tblW w:w="9680" w:type="dxa"/>
        <w:tblInd w:w="70" w:type="dxa"/>
        <w:tblCellMar>
          <w:left w:w="70" w:type="dxa"/>
          <w:right w:w="70" w:type="dxa"/>
        </w:tblCellMar>
        <w:tblLook w:val="04A0" w:firstRow="1" w:lastRow="0" w:firstColumn="1" w:lastColumn="0" w:noHBand="0" w:noVBand="1"/>
      </w:tblPr>
      <w:tblGrid>
        <w:gridCol w:w="2552"/>
        <w:gridCol w:w="594"/>
        <w:gridCol w:w="594"/>
        <w:gridCol w:w="594"/>
        <w:gridCol w:w="594"/>
        <w:gridCol w:w="594"/>
        <w:gridCol w:w="594"/>
        <w:gridCol w:w="594"/>
        <w:gridCol w:w="594"/>
        <w:gridCol w:w="594"/>
        <w:gridCol w:w="594"/>
        <w:gridCol w:w="594"/>
        <w:gridCol w:w="594"/>
      </w:tblGrid>
      <w:tr w:rsidR="00AE7CE0" w:rsidRPr="00AE7CE0" w:rsidTr="00173078">
        <w:trPr>
          <w:trHeight w:val="288"/>
        </w:trPr>
        <w:tc>
          <w:tcPr>
            <w:tcW w:w="2552"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center"/>
              <w:rPr>
                <w:rFonts w:cs="Arial"/>
                <w:b/>
                <w:bCs/>
                <w:sz w:val="16"/>
                <w:szCs w:val="16"/>
              </w:rPr>
            </w:pPr>
            <w:r w:rsidRPr="00AE7CE0">
              <w:rPr>
                <w:rFonts w:cs="Arial"/>
                <w:b/>
                <w:bCs/>
                <w:sz w:val="16"/>
                <w:szCs w:val="16"/>
              </w:rPr>
              <w:t>Základní ukazatele</w:t>
            </w:r>
          </w:p>
        </w:tc>
        <w:tc>
          <w:tcPr>
            <w:tcW w:w="594" w:type="dxa"/>
            <w:tcBorders>
              <w:top w:val="single" w:sz="4" w:space="0" w:color="808080"/>
              <w:left w:val="single" w:sz="4" w:space="0" w:color="808080"/>
              <w:bottom w:val="single" w:sz="4" w:space="0" w:color="808080"/>
              <w:right w:val="single" w:sz="4" w:space="0" w:color="808080"/>
            </w:tcBorders>
            <w:shd w:val="clear" w:color="000000" w:fill="DAEEF3"/>
            <w:noWrap/>
            <w:vAlign w:val="center"/>
            <w:hideMark/>
          </w:tcPr>
          <w:p w:rsidR="00AE7CE0" w:rsidRPr="00AE7CE0" w:rsidRDefault="00AE7CE0" w:rsidP="00AE7CE0">
            <w:pPr>
              <w:spacing w:line="240" w:lineRule="auto"/>
              <w:jc w:val="right"/>
              <w:rPr>
                <w:rFonts w:cs="Arial"/>
                <w:b/>
                <w:bCs/>
                <w:sz w:val="16"/>
                <w:szCs w:val="16"/>
              </w:rPr>
            </w:pPr>
            <w:r w:rsidRPr="00AE7CE0">
              <w:rPr>
                <w:rFonts w:cs="Arial"/>
                <w:b/>
                <w:bCs/>
                <w:sz w:val="16"/>
                <w:szCs w:val="16"/>
              </w:rPr>
              <w:t>2000</w:t>
            </w:r>
          </w:p>
        </w:tc>
        <w:tc>
          <w:tcPr>
            <w:tcW w:w="594" w:type="dxa"/>
            <w:tcBorders>
              <w:top w:val="single" w:sz="4" w:space="0" w:color="808080"/>
              <w:left w:val="nil"/>
              <w:bottom w:val="single" w:sz="4" w:space="0" w:color="808080"/>
              <w:right w:val="single" w:sz="4" w:space="0" w:color="808080"/>
            </w:tcBorders>
            <w:shd w:val="clear" w:color="000000" w:fill="DAEEF3"/>
            <w:noWrap/>
            <w:vAlign w:val="center"/>
            <w:hideMark/>
          </w:tcPr>
          <w:p w:rsidR="00AE7CE0" w:rsidRPr="00AE7CE0" w:rsidRDefault="00AE7CE0" w:rsidP="00AE7CE0">
            <w:pPr>
              <w:spacing w:line="240" w:lineRule="auto"/>
              <w:jc w:val="right"/>
              <w:rPr>
                <w:rFonts w:cs="Arial"/>
                <w:b/>
                <w:bCs/>
                <w:sz w:val="16"/>
                <w:szCs w:val="16"/>
              </w:rPr>
            </w:pPr>
            <w:r w:rsidRPr="00AE7CE0">
              <w:rPr>
                <w:rFonts w:cs="Arial"/>
                <w:b/>
                <w:bCs/>
                <w:sz w:val="16"/>
                <w:szCs w:val="16"/>
              </w:rPr>
              <w:t>2005</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right"/>
              <w:rPr>
                <w:rFonts w:cs="Arial"/>
                <w:b/>
                <w:bCs/>
                <w:sz w:val="16"/>
                <w:szCs w:val="16"/>
              </w:rPr>
            </w:pPr>
            <w:r w:rsidRPr="00AE7CE0">
              <w:rPr>
                <w:rFonts w:cs="Arial"/>
                <w:b/>
                <w:bCs/>
                <w:sz w:val="16"/>
                <w:szCs w:val="16"/>
              </w:rPr>
              <w:t>2007</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right"/>
              <w:rPr>
                <w:rFonts w:cs="Arial"/>
                <w:b/>
                <w:bCs/>
                <w:sz w:val="16"/>
                <w:szCs w:val="16"/>
              </w:rPr>
            </w:pPr>
            <w:r w:rsidRPr="00AE7CE0">
              <w:rPr>
                <w:rFonts w:cs="Arial"/>
                <w:b/>
                <w:bCs/>
                <w:sz w:val="16"/>
                <w:szCs w:val="16"/>
              </w:rPr>
              <w:t>2008</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right"/>
              <w:rPr>
                <w:rFonts w:cs="Arial"/>
                <w:b/>
                <w:bCs/>
                <w:sz w:val="16"/>
                <w:szCs w:val="16"/>
              </w:rPr>
            </w:pPr>
            <w:r w:rsidRPr="00AE7CE0">
              <w:rPr>
                <w:rFonts w:cs="Arial"/>
                <w:b/>
                <w:bCs/>
                <w:sz w:val="16"/>
                <w:szCs w:val="16"/>
              </w:rPr>
              <w:t>2009</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right"/>
              <w:rPr>
                <w:rFonts w:cs="Arial"/>
                <w:b/>
                <w:bCs/>
                <w:sz w:val="16"/>
                <w:szCs w:val="16"/>
              </w:rPr>
            </w:pPr>
            <w:r w:rsidRPr="00AE7CE0">
              <w:rPr>
                <w:rFonts w:cs="Arial"/>
                <w:b/>
                <w:bCs/>
                <w:sz w:val="16"/>
                <w:szCs w:val="16"/>
              </w:rPr>
              <w:t>2010</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center"/>
              <w:rPr>
                <w:rFonts w:cs="Arial"/>
                <w:b/>
                <w:bCs/>
                <w:sz w:val="16"/>
                <w:szCs w:val="16"/>
              </w:rPr>
            </w:pPr>
            <w:r w:rsidRPr="00AE7CE0">
              <w:rPr>
                <w:rFonts w:cs="Arial"/>
                <w:b/>
                <w:bCs/>
                <w:sz w:val="16"/>
                <w:szCs w:val="16"/>
              </w:rPr>
              <w:t>2011</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center"/>
              <w:rPr>
                <w:rFonts w:cs="Arial"/>
                <w:b/>
                <w:bCs/>
                <w:sz w:val="16"/>
                <w:szCs w:val="16"/>
              </w:rPr>
            </w:pPr>
            <w:r w:rsidRPr="00AE7CE0">
              <w:rPr>
                <w:rFonts w:cs="Arial"/>
                <w:b/>
                <w:bCs/>
                <w:sz w:val="16"/>
                <w:szCs w:val="16"/>
              </w:rPr>
              <w:t>2012</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center"/>
              <w:rPr>
                <w:rFonts w:cs="Arial"/>
                <w:b/>
                <w:bCs/>
                <w:sz w:val="16"/>
                <w:szCs w:val="16"/>
              </w:rPr>
            </w:pPr>
            <w:r w:rsidRPr="00AE7CE0">
              <w:rPr>
                <w:rFonts w:cs="Arial"/>
                <w:b/>
                <w:bCs/>
                <w:sz w:val="16"/>
                <w:szCs w:val="16"/>
              </w:rPr>
              <w:t>2013</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center"/>
              <w:rPr>
                <w:rFonts w:cs="Arial"/>
                <w:b/>
                <w:bCs/>
                <w:sz w:val="16"/>
                <w:szCs w:val="16"/>
              </w:rPr>
            </w:pPr>
            <w:r w:rsidRPr="00AE7CE0">
              <w:rPr>
                <w:rFonts w:cs="Arial"/>
                <w:b/>
                <w:bCs/>
                <w:sz w:val="16"/>
                <w:szCs w:val="16"/>
              </w:rPr>
              <w:t>2014</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center"/>
              <w:rPr>
                <w:rFonts w:cs="Arial"/>
                <w:b/>
                <w:bCs/>
                <w:sz w:val="16"/>
                <w:szCs w:val="16"/>
              </w:rPr>
            </w:pPr>
            <w:r w:rsidRPr="00AE7CE0">
              <w:rPr>
                <w:rFonts w:cs="Arial"/>
                <w:b/>
                <w:bCs/>
                <w:sz w:val="16"/>
                <w:szCs w:val="16"/>
              </w:rPr>
              <w:t>2015</w:t>
            </w:r>
          </w:p>
        </w:tc>
        <w:tc>
          <w:tcPr>
            <w:tcW w:w="594" w:type="dxa"/>
            <w:tcBorders>
              <w:top w:val="single" w:sz="4" w:space="0" w:color="808080"/>
              <w:left w:val="nil"/>
              <w:bottom w:val="single" w:sz="4" w:space="0" w:color="808080"/>
              <w:right w:val="nil"/>
            </w:tcBorders>
            <w:shd w:val="clear" w:color="000000" w:fill="DAEEF3"/>
            <w:noWrap/>
            <w:vAlign w:val="center"/>
            <w:hideMark/>
          </w:tcPr>
          <w:p w:rsidR="00AE7CE0" w:rsidRPr="00AE7CE0" w:rsidRDefault="00AE7CE0" w:rsidP="00AE7CE0">
            <w:pPr>
              <w:spacing w:line="240" w:lineRule="auto"/>
              <w:jc w:val="center"/>
              <w:rPr>
                <w:rFonts w:cs="Arial"/>
                <w:b/>
                <w:bCs/>
                <w:sz w:val="16"/>
                <w:szCs w:val="16"/>
              </w:rPr>
            </w:pPr>
            <w:r w:rsidRPr="00AE7CE0">
              <w:rPr>
                <w:rFonts w:cs="Arial"/>
                <w:b/>
                <w:bCs/>
                <w:sz w:val="16"/>
                <w:szCs w:val="16"/>
              </w:rPr>
              <w:t>2016</w:t>
            </w:r>
          </w:p>
        </w:tc>
      </w:tr>
      <w:tr w:rsidR="00AE7CE0" w:rsidRPr="00AE7CE0" w:rsidTr="00173078">
        <w:trPr>
          <w:trHeight w:val="288"/>
        </w:trPr>
        <w:tc>
          <w:tcPr>
            <w:tcW w:w="2552" w:type="dxa"/>
            <w:tcBorders>
              <w:top w:val="nil"/>
              <w:left w:val="nil"/>
              <w:bottom w:val="nil"/>
              <w:right w:val="nil"/>
            </w:tcBorders>
            <w:shd w:val="clear" w:color="auto" w:fill="auto"/>
            <w:noWrap/>
            <w:vAlign w:val="center"/>
            <w:hideMark/>
          </w:tcPr>
          <w:p w:rsidR="00AE7CE0" w:rsidRPr="00AE7CE0" w:rsidRDefault="00AE7CE0" w:rsidP="00AE7CE0">
            <w:pPr>
              <w:spacing w:line="240" w:lineRule="auto"/>
              <w:rPr>
                <w:rFonts w:cs="Arial"/>
                <w:color w:val="000000"/>
                <w:sz w:val="16"/>
                <w:szCs w:val="16"/>
              </w:rPr>
            </w:pPr>
            <w:r w:rsidRPr="00AE7CE0">
              <w:rPr>
                <w:rFonts w:cs="Arial"/>
                <w:color w:val="000000"/>
                <w:sz w:val="16"/>
                <w:szCs w:val="16"/>
              </w:rPr>
              <w:t>Celková částka v mld. Kč</w:t>
            </w:r>
          </w:p>
        </w:tc>
        <w:tc>
          <w:tcPr>
            <w:tcW w:w="594" w:type="dxa"/>
            <w:tcBorders>
              <w:top w:val="nil"/>
              <w:left w:val="single" w:sz="4" w:space="0" w:color="808080"/>
              <w:bottom w:val="nil"/>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11,9</w:t>
            </w:r>
          </w:p>
        </w:tc>
        <w:tc>
          <w:tcPr>
            <w:tcW w:w="594" w:type="dxa"/>
            <w:tcBorders>
              <w:top w:val="nil"/>
              <w:left w:val="nil"/>
              <w:bottom w:val="nil"/>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16,4</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20,5</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20,5</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23,0</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22,6</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25,8</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26,2</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26,7</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27,3</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27,9</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28,0</w:t>
            </w:r>
          </w:p>
        </w:tc>
      </w:tr>
      <w:tr w:rsidR="00AE7CE0" w:rsidRPr="00AE7CE0" w:rsidTr="00173078">
        <w:trPr>
          <w:trHeight w:val="288"/>
        </w:trPr>
        <w:tc>
          <w:tcPr>
            <w:tcW w:w="2552" w:type="dxa"/>
            <w:tcBorders>
              <w:top w:val="nil"/>
              <w:left w:val="nil"/>
              <w:bottom w:val="nil"/>
              <w:right w:val="nil"/>
            </w:tcBorders>
            <w:shd w:val="clear" w:color="auto" w:fill="auto"/>
            <w:noWrap/>
            <w:vAlign w:val="center"/>
            <w:hideMark/>
          </w:tcPr>
          <w:p w:rsidR="00AE7CE0" w:rsidRPr="00AE7CE0" w:rsidRDefault="00AE7CE0" w:rsidP="00AE7CE0">
            <w:pPr>
              <w:spacing w:line="240" w:lineRule="auto"/>
              <w:rPr>
                <w:rFonts w:cs="Arial"/>
                <w:color w:val="000000"/>
                <w:sz w:val="16"/>
                <w:szCs w:val="16"/>
              </w:rPr>
            </w:pPr>
            <w:r w:rsidRPr="00AE7CE0">
              <w:rPr>
                <w:rFonts w:cs="Arial"/>
                <w:color w:val="000000"/>
                <w:sz w:val="16"/>
                <w:szCs w:val="16"/>
              </w:rPr>
              <w:t>podíl na HDP</w:t>
            </w:r>
          </w:p>
        </w:tc>
        <w:tc>
          <w:tcPr>
            <w:tcW w:w="594" w:type="dxa"/>
            <w:tcBorders>
              <w:top w:val="nil"/>
              <w:left w:val="single" w:sz="4" w:space="0" w:color="808080"/>
              <w:bottom w:val="nil"/>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0,50%</w:t>
            </w:r>
          </w:p>
        </w:tc>
        <w:tc>
          <w:tcPr>
            <w:tcW w:w="594" w:type="dxa"/>
            <w:tcBorders>
              <w:top w:val="nil"/>
              <w:left w:val="nil"/>
              <w:bottom w:val="nil"/>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0,50%</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0,53%</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0,51%</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0,59%</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0,57%</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0,64%</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0,64%</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0,65%</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0,63%</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0,61%</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0,59%</w:t>
            </w:r>
          </w:p>
        </w:tc>
      </w:tr>
      <w:tr w:rsidR="00AE7CE0" w:rsidRPr="00AE7CE0" w:rsidTr="00173078">
        <w:trPr>
          <w:trHeight w:val="288"/>
        </w:trPr>
        <w:tc>
          <w:tcPr>
            <w:tcW w:w="2552" w:type="dxa"/>
            <w:tcBorders>
              <w:top w:val="nil"/>
              <w:left w:val="nil"/>
              <w:bottom w:val="nil"/>
              <w:right w:val="nil"/>
            </w:tcBorders>
            <w:shd w:val="clear" w:color="auto" w:fill="auto"/>
            <w:noWrap/>
            <w:vAlign w:val="center"/>
            <w:hideMark/>
          </w:tcPr>
          <w:p w:rsidR="00AE7CE0" w:rsidRPr="00AE7CE0" w:rsidRDefault="00AE7CE0" w:rsidP="00AE7CE0">
            <w:pPr>
              <w:spacing w:line="240" w:lineRule="auto"/>
              <w:rPr>
                <w:rFonts w:cs="Arial"/>
                <w:color w:val="000000"/>
                <w:sz w:val="16"/>
                <w:szCs w:val="16"/>
              </w:rPr>
            </w:pPr>
            <w:r w:rsidRPr="00AE7CE0">
              <w:rPr>
                <w:rFonts w:cs="Arial"/>
                <w:color w:val="000000"/>
                <w:sz w:val="16"/>
                <w:szCs w:val="16"/>
              </w:rPr>
              <w:t>Podíl na státním rozpočtu ČR</w:t>
            </w:r>
          </w:p>
        </w:tc>
        <w:tc>
          <w:tcPr>
            <w:tcW w:w="594" w:type="dxa"/>
            <w:tcBorders>
              <w:top w:val="nil"/>
              <w:left w:val="single" w:sz="4" w:space="0" w:color="808080"/>
              <w:bottom w:val="nil"/>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1,88%</w:t>
            </w:r>
          </w:p>
        </w:tc>
        <w:tc>
          <w:tcPr>
            <w:tcW w:w="594" w:type="dxa"/>
            <w:tcBorders>
              <w:top w:val="nil"/>
              <w:left w:val="nil"/>
              <w:bottom w:val="nil"/>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1,78%</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1,87%</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1,89%</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1,97%</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1,95%</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2,24%</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2,27%</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2,28%</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2,25%</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2,15%</w:t>
            </w:r>
          </w:p>
        </w:tc>
        <w:tc>
          <w:tcPr>
            <w:tcW w:w="594" w:type="dxa"/>
            <w:tcBorders>
              <w:top w:val="nil"/>
              <w:left w:val="nil"/>
              <w:bottom w:val="nil"/>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2,29%</w:t>
            </w:r>
          </w:p>
        </w:tc>
      </w:tr>
      <w:tr w:rsidR="00AE7CE0" w:rsidRPr="00AE7CE0" w:rsidTr="00173078">
        <w:trPr>
          <w:trHeight w:val="288"/>
        </w:trPr>
        <w:tc>
          <w:tcPr>
            <w:tcW w:w="2552"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rPr>
                <w:rFonts w:cs="Arial"/>
                <w:color w:val="000000"/>
                <w:sz w:val="16"/>
                <w:szCs w:val="16"/>
              </w:rPr>
            </w:pPr>
            <w:r w:rsidRPr="00AE7CE0">
              <w:rPr>
                <w:rFonts w:cs="Arial"/>
                <w:color w:val="000000"/>
                <w:sz w:val="16"/>
                <w:szCs w:val="16"/>
              </w:rPr>
              <w:t>Podíl na veřejných rozpočtech</w:t>
            </w:r>
            <w:r w:rsidR="00FB5664">
              <w:rPr>
                <w:rFonts w:cs="Arial"/>
                <w:color w:val="000000"/>
                <w:sz w:val="16"/>
                <w:szCs w:val="16"/>
              </w:rPr>
              <w:t xml:space="preserve"> </w:t>
            </w:r>
            <w:r w:rsidRPr="00AE7CE0">
              <w:rPr>
                <w:rFonts w:cs="Arial"/>
                <w:color w:val="000000"/>
                <w:sz w:val="16"/>
                <w:szCs w:val="16"/>
              </w:rPr>
              <w:t>ČR</w:t>
            </w:r>
          </w:p>
        </w:tc>
        <w:tc>
          <w:tcPr>
            <w:tcW w:w="594" w:type="dxa"/>
            <w:tcBorders>
              <w:top w:val="nil"/>
              <w:left w:val="single" w:sz="4" w:space="0" w:color="808080"/>
              <w:bottom w:val="single" w:sz="4" w:space="0" w:color="808080"/>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1,22%</w:t>
            </w:r>
          </w:p>
        </w:tc>
        <w:tc>
          <w:tcPr>
            <w:tcW w:w="594" w:type="dxa"/>
            <w:tcBorders>
              <w:top w:val="nil"/>
              <w:left w:val="nil"/>
              <w:bottom w:val="single" w:sz="4" w:space="0" w:color="808080"/>
              <w:right w:val="single" w:sz="4" w:space="0" w:color="808080"/>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1,19%</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1,32%</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1,25%</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1,32%</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1,31%</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1,49%</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1,45%</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1,53%</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1,50%</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1,45%</w:t>
            </w:r>
          </w:p>
        </w:tc>
        <w:tc>
          <w:tcPr>
            <w:tcW w:w="594" w:type="dxa"/>
            <w:tcBorders>
              <w:top w:val="nil"/>
              <w:left w:val="nil"/>
              <w:bottom w:val="single" w:sz="4" w:space="0" w:color="808080"/>
              <w:right w:val="nil"/>
            </w:tcBorders>
            <w:shd w:val="clear" w:color="auto" w:fill="auto"/>
            <w:noWrap/>
            <w:vAlign w:val="center"/>
            <w:hideMark/>
          </w:tcPr>
          <w:p w:rsidR="00AE7CE0" w:rsidRPr="00AE7CE0" w:rsidRDefault="00AE7CE0" w:rsidP="00AE7CE0">
            <w:pPr>
              <w:spacing w:line="240" w:lineRule="auto"/>
              <w:jc w:val="right"/>
              <w:rPr>
                <w:rFonts w:cs="Arial"/>
                <w:color w:val="000000"/>
                <w:sz w:val="16"/>
                <w:szCs w:val="16"/>
              </w:rPr>
            </w:pPr>
            <w:r w:rsidRPr="00AE7CE0">
              <w:rPr>
                <w:rFonts w:cs="Arial"/>
                <w:color w:val="000000"/>
                <w:sz w:val="16"/>
                <w:szCs w:val="16"/>
              </w:rPr>
              <w:t>1,49%</w:t>
            </w:r>
          </w:p>
        </w:tc>
      </w:tr>
    </w:tbl>
    <w:p w:rsidR="006E3865" w:rsidRPr="00FB5664" w:rsidRDefault="0021207D" w:rsidP="000319F1">
      <w:pPr>
        <w:pStyle w:val="Nadpis3"/>
        <w:spacing w:before="240"/>
      </w:pPr>
      <w:r>
        <w:t>Státní rozpočtové výdaje na VaV</w:t>
      </w:r>
      <w:r w:rsidR="006E3865" w:rsidRPr="006E3865">
        <w:t xml:space="preserve"> podle typu financování</w:t>
      </w:r>
    </w:p>
    <w:p w:rsidR="00D87C76" w:rsidRDefault="00FB5664" w:rsidP="00D55EA3">
      <w:pPr>
        <w:spacing w:before="120" w:after="120"/>
        <w:jc w:val="both"/>
      </w:pPr>
      <w:r>
        <w:t>I když v</w:t>
      </w:r>
      <w:r w:rsidRPr="002964D0">
        <w:t xml:space="preserve"> posledních </w:t>
      </w:r>
      <w:r>
        <w:t xml:space="preserve">pěti </w:t>
      </w:r>
      <w:r w:rsidRPr="002964D0">
        <w:t>letech</w:t>
      </w:r>
      <w:r w:rsidR="000B0280">
        <w:t xml:space="preserve"> díky</w:t>
      </w:r>
      <w:r w:rsidR="006A6EDE">
        <w:t xml:space="preserve"> projektům z o</w:t>
      </w:r>
      <w:r w:rsidR="00AE4989">
        <w:t>peračních programů</w:t>
      </w:r>
      <w:r>
        <w:t xml:space="preserve"> </w:t>
      </w:r>
      <w:r w:rsidR="005916AD">
        <w:t>vz</w:t>
      </w:r>
      <w:r>
        <w:t xml:space="preserve">rostl </w:t>
      </w:r>
      <w:r w:rsidRPr="002964D0">
        <w:t>podíl účelové podpory</w:t>
      </w:r>
      <w:r w:rsidRPr="002964D0">
        <w:rPr>
          <w:rStyle w:val="Znakapoznpodarou"/>
        </w:rPr>
        <w:footnoteReference w:id="4"/>
      </w:r>
      <w:r w:rsidRPr="002964D0">
        <w:t xml:space="preserve"> na úkor institucionálního financování</w:t>
      </w:r>
      <w:r w:rsidRPr="002964D0">
        <w:rPr>
          <w:rStyle w:val="Znakapoznpodarou"/>
        </w:rPr>
        <w:footnoteReference w:id="5"/>
      </w:r>
      <w:r>
        <w:t>, v roce 2016</w:t>
      </w:r>
      <w:r w:rsidR="00BE7319">
        <w:t xml:space="preserve"> po skončení čerpání prostředků z </w:t>
      </w:r>
      <w:r w:rsidR="000B0280">
        <w:t>Operačních programů</w:t>
      </w:r>
      <w:r w:rsidR="00BE7319">
        <w:t xml:space="preserve"> pro období 2007 až 2014</w:t>
      </w:r>
      <w:r w:rsidR="00D744BC">
        <w:rPr>
          <w:rStyle w:val="Znakapoznpodarou"/>
        </w:rPr>
        <w:footnoteReference w:id="6"/>
      </w:r>
      <w:r w:rsidR="00BE7319">
        <w:t xml:space="preserve"> </w:t>
      </w:r>
      <w:r>
        <w:t xml:space="preserve">došlo k vyrovnání </w:t>
      </w:r>
      <w:r w:rsidR="000B0280">
        <w:t>podílu</w:t>
      </w:r>
      <w:r>
        <w:t xml:space="preserve"> účelového a institucionálního financování</w:t>
      </w:r>
      <w:r w:rsidR="006C1136">
        <w:t>, a to díky poklesu účelového financování</w:t>
      </w:r>
      <w:r>
        <w:t xml:space="preserve">. Na obě formy financování VaV bylo </w:t>
      </w:r>
      <w:r w:rsidR="00675136">
        <w:t xml:space="preserve">v roce 2016 </w:t>
      </w:r>
      <w:r>
        <w:t>rozděleno shodně 14</w:t>
      </w:r>
      <w:r w:rsidR="000B0280">
        <w:t> </w:t>
      </w:r>
      <w:r>
        <w:t xml:space="preserve">mld. Kč. </w:t>
      </w:r>
      <w:r w:rsidR="00D87C76" w:rsidRPr="00D87C76">
        <w:t>Za posledních deset let se účelová podpora VaV ze s</w:t>
      </w:r>
      <w:r w:rsidR="00D87C76">
        <w:t xml:space="preserve">tátního rozpočtu </w:t>
      </w:r>
      <w:r w:rsidR="00D55EA3">
        <w:t>zvýšila téměř o dvě třetiny.</w:t>
      </w:r>
    </w:p>
    <w:p w:rsidR="002F2B9F" w:rsidRDefault="006E3865" w:rsidP="00335304">
      <w:pPr>
        <w:spacing w:before="120" w:after="60"/>
        <w:rPr>
          <w:b/>
        </w:rPr>
      </w:pPr>
      <w:r w:rsidRPr="006E3865">
        <w:rPr>
          <w:b/>
        </w:rPr>
        <w:t xml:space="preserve">GRAF 1-2: </w:t>
      </w:r>
      <w:r w:rsidR="007E575C">
        <w:rPr>
          <w:b/>
        </w:rPr>
        <w:t>Státní</w:t>
      </w:r>
      <w:r w:rsidR="007E575C" w:rsidRPr="00142861">
        <w:rPr>
          <w:b/>
        </w:rPr>
        <w:t xml:space="preserve"> </w:t>
      </w:r>
      <w:r w:rsidR="007E575C">
        <w:rPr>
          <w:b/>
        </w:rPr>
        <w:t xml:space="preserve">rozpočtové výdaje na VaV </w:t>
      </w:r>
      <w:r w:rsidRPr="006E3865">
        <w:rPr>
          <w:b/>
        </w:rPr>
        <w:t>p</w:t>
      </w:r>
      <w:r w:rsidR="00446A05">
        <w:rPr>
          <w:b/>
        </w:rPr>
        <w:t>odle typu financování</w:t>
      </w:r>
      <w:r w:rsidR="005568FC">
        <w:rPr>
          <w:b/>
        </w:rPr>
        <w:t xml:space="preserve"> (mld. Kč)</w:t>
      </w:r>
      <w:r w:rsidR="00446A05">
        <w:rPr>
          <w:b/>
        </w:rPr>
        <w:t xml:space="preserve">; </w:t>
      </w:r>
      <w:r w:rsidR="00446A05" w:rsidRPr="00703FAA">
        <w:rPr>
          <w:b/>
        </w:rPr>
        <w:t>2000–201</w:t>
      </w:r>
      <w:r w:rsidR="005568FC">
        <w:rPr>
          <w:b/>
        </w:rPr>
        <w:t>6</w:t>
      </w:r>
    </w:p>
    <w:p w:rsidR="004670EF" w:rsidRDefault="00043079" w:rsidP="006E3865">
      <w:r>
        <w:rPr>
          <w:noProof/>
        </w:rPr>
        <w:drawing>
          <wp:inline distT="0" distB="0" distL="0" distR="0" wp14:anchorId="5B8AC080" wp14:editId="7507DBD1">
            <wp:extent cx="5867400" cy="2743200"/>
            <wp:effectExtent l="0" t="0" r="0" b="0"/>
            <wp:docPr id="1" name="Graf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641425-1D05-4D60-AE3B-214CCCFE9D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197B" w:rsidRPr="00085CBD" w:rsidRDefault="00AC197B" w:rsidP="00AC197B">
      <w:pPr>
        <w:spacing w:before="120" w:after="60"/>
        <w:jc w:val="both"/>
      </w:pPr>
      <w:r w:rsidRPr="00D87C76">
        <w:t>V roce 201</w:t>
      </w:r>
      <w:r w:rsidR="00C27244">
        <w:t>6</w:t>
      </w:r>
      <w:r w:rsidRPr="00D87C76">
        <w:t xml:space="preserve"> dosáhlo spolufinancování </w:t>
      </w:r>
      <w:r w:rsidR="00093F9D">
        <w:t xml:space="preserve">projektů hrazených ze </w:t>
      </w:r>
      <w:r w:rsidRPr="00D87C76">
        <w:t xml:space="preserve">strukturálních fondů EU určených na </w:t>
      </w:r>
      <w:r w:rsidR="009E6321">
        <w:t>výzkum a vývoj</w:t>
      </w:r>
      <w:r w:rsidRPr="00D87C76">
        <w:t xml:space="preserve"> ze státního rozpočtu </w:t>
      </w:r>
      <w:r w:rsidR="00670A01">
        <w:t xml:space="preserve">438 mil. Kč </w:t>
      </w:r>
      <w:r w:rsidRPr="00D87C76">
        <w:t xml:space="preserve">a podílelo se tak </w:t>
      </w:r>
      <w:r w:rsidR="00670A01">
        <w:t>2 %</w:t>
      </w:r>
      <w:r w:rsidRPr="00D87C76">
        <w:t xml:space="preserve"> na GBARD.</w:t>
      </w:r>
      <w:r w:rsidR="00670A01">
        <w:t xml:space="preserve"> Oproti roku 2015 pokleslo spolufinancování projektů VaV o </w:t>
      </w:r>
      <w:r w:rsidR="00093F9D">
        <w:t>74 % (ze 1,7</w:t>
      </w:r>
      <w:r w:rsidR="00E344AB" w:rsidRPr="00D87C76">
        <w:t xml:space="preserve"> mld. Kč</w:t>
      </w:r>
      <w:r w:rsidR="00E344AB">
        <w:t>)</w:t>
      </w:r>
      <w:r w:rsidR="00670A01">
        <w:t xml:space="preserve">. </w:t>
      </w:r>
      <w:r w:rsidRPr="00D87C76">
        <w:t xml:space="preserve"> </w:t>
      </w:r>
      <w:r w:rsidRPr="00085CBD">
        <w:t xml:space="preserve">Poplatky a příspěvky na mezinárodní spolupráci ve </w:t>
      </w:r>
      <w:r w:rsidRPr="00085CBD">
        <w:lastRenderedPageBreak/>
        <w:t xml:space="preserve">VaV jsou hrazeny formou institucionální podpory z rozpočtu </w:t>
      </w:r>
      <w:r w:rsidR="005A7DA5">
        <w:t>M</w:t>
      </w:r>
      <w:r w:rsidR="000239C2">
        <w:t>inisterstva školství, mládeže a tělovýchovy</w:t>
      </w:r>
      <w:r w:rsidRPr="00085CBD">
        <w:t>. V roce 201</w:t>
      </w:r>
      <w:r w:rsidR="00085CBD" w:rsidRPr="00085CBD">
        <w:t>6</w:t>
      </w:r>
      <w:r w:rsidRPr="00085CBD">
        <w:t xml:space="preserve"> dosáhly </w:t>
      </w:r>
      <w:r w:rsidR="006B2EFB">
        <w:t>840</w:t>
      </w:r>
      <w:r w:rsidR="0016661D">
        <w:t> </w:t>
      </w:r>
      <w:r w:rsidRPr="00085CBD">
        <w:t>mil.</w:t>
      </w:r>
      <w:r w:rsidR="00DE4256">
        <w:t> </w:t>
      </w:r>
      <w:r w:rsidRPr="00085CBD">
        <w:t>Kč.</w:t>
      </w:r>
    </w:p>
    <w:p w:rsidR="009230B4" w:rsidRPr="009230B4" w:rsidRDefault="009230B4" w:rsidP="00761AB3">
      <w:pPr>
        <w:spacing w:before="120" w:after="120"/>
        <w:jc w:val="both"/>
        <w:rPr>
          <w:color w:val="C00000"/>
        </w:rPr>
      </w:pPr>
      <w:r w:rsidRPr="000F4B6B">
        <w:t xml:space="preserve">V České republice </w:t>
      </w:r>
      <w:r w:rsidR="005F5DA3" w:rsidRPr="000F4B6B">
        <w:t xml:space="preserve">patří </w:t>
      </w:r>
      <w:r w:rsidRPr="000F4B6B">
        <w:t>mezi největší poskytovatele institucionální podpory Ministerstvo školství, mládeže a tělovýchovy (MŠMT) a Akademie věd České republiky (AV ČR).</w:t>
      </w:r>
      <w:r w:rsidR="00910A05" w:rsidRPr="000F4B6B">
        <w:t xml:space="preserve"> </w:t>
      </w:r>
      <w:r w:rsidR="00C76116" w:rsidRPr="000F4B6B">
        <w:t>V roce 201</w:t>
      </w:r>
      <w:r w:rsidR="002720C3">
        <w:t>6</w:t>
      </w:r>
      <w:r w:rsidRPr="000F4B6B">
        <w:t xml:space="preserve"> </w:t>
      </w:r>
      <w:r w:rsidR="00625CD9" w:rsidRPr="000F4B6B">
        <w:t xml:space="preserve">pocházelo </w:t>
      </w:r>
      <w:r w:rsidR="00761AB3" w:rsidRPr="000F4B6B">
        <w:t>z</w:t>
      </w:r>
      <w:r w:rsidR="00625CD9" w:rsidRPr="000F4B6B">
        <w:t xml:space="preserve">e </w:t>
      </w:r>
      <w:r w:rsidR="00761AB3" w:rsidRPr="000F4B6B">
        <w:t>z</w:t>
      </w:r>
      <w:r w:rsidR="00625CD9" w:rsidRPr="000F4B6B">
        <w:t>droj</w:t>
      </w:r>
      <w:r w:rsidR="00761AB3" w:rsidRPr="000F4B6B">
        <w:t>ů</w:t>
      </w:r>
      <w:r w:rsidR="00C76116" w:rsidRPr="000F4B6B">
        <w:t xml:space="preserve"> obou institucí </w:t>
      </w:r>
      <w:r w:rsidR="008A1102" w:rsidRPr="00140FE1">
        <w:t>88,5</w:t>
      </w:r>
      <w:r w:rsidR="008A1102">
        <w:t> </w:t>
      </w:r>
      <w:r w:rsidR="00625CD9" w:rsidRPr="000F4B6B">
        <w:rPr>
          <w:lang w:val="en-US"/>
        </w:rPr>
        <w:t xml:space="preserve">% </w:t>
      </w:r>
      <w:r w:rsidR="00761AB3" w:rsidRPr="000F4B6B">
        <w:t>in</w:t>
      </w:r>
      <w:r w:rsidRPr="000F4B6B">
        <w:t>stitucionální</w:t>
      </w:r>
      <w:r w:rsidR="00625CD9" w:rsidRPr="000F4B6B">
        <w:t>ch</w:t>
      </w:r>
      <w:r w:rsidRPr="000F4B6B">
        <w:t xml:space="preserve"> </w:t>
      </w:r>
      <w:r w:rsidR="00625CD9" w:rsidRPr="000F4B6B">
        <w:t>výdajů na</w:t>
      </w:r>
      <w:r w:rsidRPr="000F4B6B">
        <w:t xml:space="preserve"> VaV v České republice. MŠMT podporuje v rámci svého institucionálního f</w:t>
      </w:r>
      <w:r w:rsidR="00FF41B5">
        <w:t xml:space="preserve">inancování především </w:t>
      </w:r>
      <w:r w:rsidRPr="000F4B6B">
        <w:t>veřejné vysoké školy (6</w:t>
      </w:r>
      <w:r w:rsidR="00C76116" w:rsidRPr="000F4B6B">
        <w:t>,</w:t>
      </w:r>
      <w:r w:rsidR="008A1102">
        <w:t>7</w:t>
      </w:r>
      <w:r w:rsidR="00C76116" w:rsidRPr="000F4B6B">
        <w:t xml:space="preserve"> mld. Kč v roce 201</w:t>
      </w:r>
      <w:r w:rsidR="008A1102">
        <w:t>6</w:t>
      </w:r>
      <w:r w:rsidR="00E50026">
        <w:t>).</w:t>
      </w:r>
      <w:r w:rsidRPr="000F4B6B">
        <w:t xml:space="preserve"> AV ČR </w:t>
      </w:r>
      <w:r w:rsidR="00434B73" w:rsidRPr="000F4B6B">
        <w:t xml:space="preserve">rozdělila mezi </w:t>
      </w:r>
      <w:r w:rsidRPr="000F4B6B">
        <w:t xml:space="preserve">své </w:t>
      </w:r>
      <w:r w:rsidR="00E50026">
        <w:t xml:space="preserve">výzkumné </w:t>
      </w:r>
      <w:r w:rsidRPr="000F4B6B">
        <w:t>ústavy</w:t>
      </w:r>
      <w:r w:rsidR="00354B78" w:rsidRPr="000F4B6B">
        <w:t xml:space="preserve"> 3</w:t>
      </w:r>
      <w:r w:rsidR="000F4B6B" w:rsidRPr="000F4B6B">
        <w:t>,</w:t>
      </w:r>
      <w:r w:rsidR="008A1102">
        <w:t>4</w:t>
      </w:r>
      <w:r w:rsidRPr="000F4B6B">
        <w:t xml:space="preserve"> mld. Kč</w:t>
      </w:r>
      <w:r w:rsidR="00A53AC9">
        <w:t xml:space="preserve"> (4,</w:t>
      </w:r>
      <w:r w:rsidR="008A1102">
        <w:t>8</w:t>
      </w:r>
      <w:r w:rsidR="007B5BAF">
        <w:t xml:space="preserve"> mld. Kč</w:t>
      </w:r>
      <w:r w:rsidR="00A53AC9">
        <w:t xml:space="preserve"> včetně infrastruktury AV ČR)</w:t>
      </w:r>
      <w:r w:rsidRPr="000F4B6B">
        <w:t>. Kromě dvou výše zmíněných subjektů</w:t>
      </w:r>
      <w:r w:rsidR="002A46FF" w:rsidRPr="000F4B6B">
        <w:t xml:space="preserve"> (rozpočtových kapitol)</w:t>
      </w:r>
      <w:r w:rsidRPr="000F4B6B">
        <w:t xml:space="preserve"> poskytuje institucionální </w:t>
      </w:r>
      <w:r w:rsidR="00334AF9" w:rsidRPr="000F4B6B">
        <w:t xml:space="preserve">podporu vlastním </w:t>
      </w:r>
      <w:r w:rsidRPr="000F4B6B">
        <w:t>resortní</w:t>
      </w:r>
      <w:r w:rsidR="006B1DE7" w:rsidRPr="000F4B6B">
        <w:t>m</w:t>
      </w:r>
      <w:r w:rsidRPr="00354B78">
        <w:t xml:space="preserve"> výzkumn</w:t>
      </w:r>
      <w:r w:rsidR="006B1DE7">
        <w:t>ým</w:t>
      </w:r>
      <w:r w:rsidRPr="00354B78">
        <w:t xml:space="preserve"> organizac</w:t>
      </w:r>
      <w:r w:rsidR="006B1DE7">
        <w:t>ím</w:t>
      </w:r>
      <w:r w:rsidRPr="00354B78">
        <w:t xml:space="preserve"> (většina z nich má dnes statut veřejných výzkumných institucí) </w:t>
      </w:r>
      <w:r w:rsidR="00920FA8">
        <w:t>také</w:t>
      </w:r>
      <w:r w:rsidRPr="00354B78">
        <w:t xml:space="preserve"> </w:t>
      </w:r>
      <w:r w:rsidR="00927C8B">
        <w:t xml:space="preserve">Ministerstvo průmyslu a obchodu (MPO), </w:t>
      </w:r>
      <w:r w:rsidRPr="00354B78">
        <w:t>Ministerstvo zemědělství (MZe), Ministerstvo vnitra (MV) a Ministerstvo obrany (MO). Pro příspěvkové výzkumné organizace dále Min</w:t>
      </w:r>
      <w:r w:rsidR="00721D01">
        <w:t xml:space="preserve">isterstvo zdravotnictví (MZd), </w:t>
      </w:r>
      <w:r w:rsidRPr="00354B78">
        <w:t>Ministerstvo kultury (MK)</w:t>
      </w:r>
      <w:r w:rsidR="00721D01">
        <w:t xml:space="preserve"> a také Úřad vlády ČR (rozvoj Informačního systému výzkumu, vývoje a inovací)</w:t>
      </w:r>
      <w:r w:rsidRPr="00354B78">
        <w:t xml:space="preserve">. </w:t>
      </w:r>
    </w:p>
    <w:p w:rsidR="00857CF9" w:rsidRDefault="009230B4" w:rsidP="00761AB3">
      <w:pPr>
        <w:spacing w:before="120" w:after="120"/>
        <w:jc w:val="both"/>
      </w:pPr>
      <w:r w:rsidRPr="00910A05">
        <w:t>Účelová (projekto</w:t>
      </w:r>
      <w:r w:rsidR="00AD262F">
        <w:t>vá) podpora VaV byla v roce 201</w:t>
      </w:r>
      <w:r w:rsidR="008A1102">
        <w:t>6</w:t>
      </w:r>
      <w:r w:rsidRPr="00910A05">
        <w:t xml:space="preserve"> financov</w:t>
      </w:r>
      <w:r w:rsidR="00321C29">
        <w:t>ána na území České republiky</w:t>
      </w:r>
      <w:r w:rsidRPr="00910A05">
        <w:t xml:space="preserve"> </w:t>
      </w:r>
      <w:r w:rsidRPr="004618CF">
        <w:t xml:space="preserve">prostřednictvím </w:t>
      </w:r>
      <w:r w:rsidR="004618CF" w:rsidRPr="004618CF">
        <w:t>9</w:t>
      </w:r>
      <w:r w:rsidRPr="00910A05">
        <w:t xml:space="preserve"> rozpočtových kapitol</w:t>
      </w:r>
      <w:r w:rsidR="00321C29">
        <w:t xml:space="preserve">. V minulosti bylo rozpočtových kapitol </w:t>
      </w:r>
      <w:r w:rsidRPr="00910A05">
        <w:t>až 22.</w:t>
      </w:r>
    </w:p>
    <w:p w:rsidR="00F80AD6" w:rsidRDefault="00AD262F" w:rsidP="00761AB3">
      <w:pPr>
        <w:spacing w:before="120" w:after="120"/>
        <w:jc w:val="both"/>
      </w:pPr>
      <w:r w:rsidRPr="00372E02">
        <w:t>V roce 201</w:t>
      </w:r>
      <w:r w:rsidR="008A1102">
        <w:t>6</w:t>
      </w:r>
      <w:r w:rsidR="00A6499A" w:rsidRPr="00372E02">
        <w:t xml:space="preserve"> bylo</w:t>
      </w:r>
      <w:r w:rsidR="00857CF9" w:rsidRPr="00372E02">
        <w:t xml:space="preserve"> </w:t>
      </w:r>
      <w:r w:rsidR="00A6499A" w:rsidRPr="00372E02">
        <w:t>nejvýznamnějším poskytovatelem účelové podpory VaV MŠMT</w:t>
      </w:r>
      <w:r w:rsidR="007E115D" w:rsidRPr="00372E02">
        <w:t>, jež rozdělilo</w:t>
      </w:r>
      <w:r w:rsidR="00A6499A" w:rsidRPr="00372E02">
        <w:t xml:space="preserve"> účelov</w:t>
      </w:r>
      <w:r w:rsidR="007E115D" w:rsidRPr="00372E02">
        <w:t>é</w:t>
      </w:r>
      <w:r w:rsidR="00A6499A" w:rsidRPr="00372E02">
        <w:t xml:space="preserve"> prostředky ve výši </w:t>
      </w:r>
      <w:r w:rsidR="00F80AD6">
        <w:t>rovných 5</w:t>
      </w:r>
      <w:r w:rsidR="00A6499A" w:rsidRPr="00372E02">
        <w:t xml:space="preserve"> mld. Kč</w:t>
      </w:r>
      <w:r w:rsidR="00357632" w:rsidRPr="00372E02">
        <w:t>. Jednalo se o</w:t>
      </w:r>
      <w:r w:rsidR="00372E02" w:rsidRPr="00372E02">
        <w:t xml:space="preserve"> 3</w:t>
      </w:r>
      <w:r w:rsidR="00F80AD6">
        <w:t>6</w:t>
      </w:r>
      <w:r w:rsidR="00A6499A" w:rsidRPr="00372E02">
        <w:t xml:space="preserve"> % celkových účelových </w:t>
      </w:r>
      <w:r w:rsidR="00543761" w:rsidRPr="00372E02">
        <w:t>státních rozpočtových výdajů</w:t>
      </w:r>
      <w:r w:rsidR="00A6499A" w:rsidRPr="00372E02">
        <w:t xml:space="preserve"> na VaV v ČR. MŠMT poskytuje podporu na </w:t>
      </w:r>
      <w:r w:rsidR="00AA177A" w:rsidRPr="00372E02">
        <w:t>základní a</w:t>
      </w:r>
      <w:r w:rsidR="00A6499A" w:rsidRPr="00372E02">
        <w:t xml:space="preserve"> aplikovaný VaV prováděný především na veřejných vysokých školách. Patří sem i </w:t>
      </w:r>
      <w:r w:rsidR="00761AB3" w:rsidRPr="00372E02">
        <w:t>spolu</w:t>
      </w:r>
      <w:r w:rsidR="00A6499A" w:rsidRPr="00372E02">
        <w:t>financování projektů hrazených ze strukturálních fondů</w:t>
      </w:r>
      <w:r w:rsidR="00E50D6C">
        <w:t xml:space="preserve"> EU</w:t>
      </w:r>
      <w:r w:rsidR="00A6499A" w:rsidRPr="00372E02">
        <w:t xml:space="preserve"> (dle metodiky OECD). </w:t>
      </w:r>
    </w:p>
    <w:p w:rsidR="00857CF9" w:rsidRPr="00372E02" w:rsidRDefault="00A6499A" w:rsidP="00761AB3">
      <w:pPr>
        <w:spacing w:before="120" w:after="120"/>
        <w:jc w:val="both"/>
      </w:pPr>
      <w:r w:rsidRPr="00372E02">
        <w:t xml:space="preserve">Druhým </w:t>
      </w:r>
      <w:r w:rsidR="00857CF9" w:rsidRPr="00372E02">
        <w:t>nejvýznamnějším poskytovatelem účelové podpory</w:t>
      </w:r>
      <w:r w:rsidR="001D7AC8" w:rsidRPr="00372E02">
        <w:t xml:space="preserve"> byla</w:t>
      </w:r>
      <w:r w:rsidR="00857CF9" w:rsidRPr="00372E02">
        <w:t xml:space="preserve"> Grantová agentura ČR</w:t>
      </w:r>
      <w:r w:rsidR="00D2666B" w:rsidRPr="00372E02">
        <w:rPr>
          <w:rStyle w:val="Znakapoznpodarou"/>
        </w:rPr>
        <w:footnoteReference w:id="7"/>
      </w:r>
      <w:r w:rsidR="00857CF9" w:rsidRPr="00372E02">
        <w:t xml:space="preserve"> (GA ČR), která podporuje každor</w:t>
      </w:r>
      <w:r w:rsidR="001B4D02">
        <w:t xml:space="preserve">očně granty na základní </w:t>
      </w:r>
      <w:r w:rsidR="00857CF9" w:rsidRPr="00372E02">
        <w:t xml:space="preserve">výzkum. Finance </w:t>
      </w:r>
      <w:r w:rsidR="0077546E" w:rsidRPr="00372E02">
        <w:t xml:space="preserve">jsou </w:t>
      </w:r>
      <w:r w:rsidR="00857CF9" w:rsidRPr="00372E02">
        <w:t>poskyt</w:t>
      </w:r>
      <w:r w:rsidR="0077546E" w:rsidRPr="00372E02">
        <w:t>ovány</w:t>
      </w:r>
      <w:r w:rsidR="00857CF9" w:rsidRPr="00372E02">
        <w:t xml:space="preserve"> nejlepším projektům ze všech oborů vědy na základě veřejné soutěže </w:t>
      </w:r>
      <w:r w:rsidRPr="00372E02">
        <w:t xml:space="preserve">ve výzkumu a vývoji. </w:t>
      </w:r>
      <w:r w:rsidR="00372E02" w:rsidRPr="00372E02">
        <w:t>V roce 201</w:t>
      </w:r>
      <w:r w:rsidR="00F80AD6">
        <w:t>6</w:t>
      </w:r>
      <w:r w:rsidR="00857CF9" w:rsidRPr="00372E02">
        <w:t xml:space="preserve"> </w:t>
      </w:r>
      <w:r w:rsidRPr="00372E02">
        <w:t xml:space="preserve">GA ČR </w:t>
      </w:r>
      <w:r w:rsidR="00372E02" w:rsidRPr="00372E02">
        <w:t>rozdělila na grantové projekty částku 3,</w:t>
      </w:r>
      <w:r w:rsidR="00F80AD6">
        <w:t>8</w:t>
      </w:r>
      <w:r w:rsidR="00857CF9" w:rsidRPr="00372E02">
        <w:t> mld</w:t>
      </w:r>
      <w:r w:rsidRPr="00372E02">
        <w:t>. Kč, což o</w:t>
      </w:r>
      <w:r w:rsidR="00372E02" w:rsidRPr="00372E02">
        <w:t>dpovídalo 2</w:t>
      </w:r>
      <w:r w:rsidR="00F80AD6">
        <w:t>7</w:t>
      </w:r>
      <w:r w:rsidR="00857CF9" w:rsidRPr="00372E02">
        <w:t xml:space="preserve"> % podílu na účelovém </w:t>
      </w:r>
      <w:r w:rsidR="001D7AC8" w:rsidRPr="00372E02">
        <w:t xml:space="preserve">veřejném </w:t>
      </w:r>
      <w:r w:rsidR="00857CF9" w:rsidRPr="00372E02">
        <w:t xml:space="preserve">financování VaV v České republice.   </w:t>
      </w:r>
    </w:p>
    <w:p w:rsidR="00857CF9" w:rsidRPr="00372E02" w:rsidRDefault="00857CF9" w:rsidP="00761AB3">
      <w:pPr>
        <w:spacing w:before="120" w:after="120"/>
        <w:jc w:val="both"/>
      </w:pPr>
      <w:r w:rsidRPr="00372E02">
        <w:t>Význam Technologické agentury ČR (TA ČR)</w:t>
      </w:r>
      <w:r w:rsidR="00346895" w:rsidRPr="00372E02">
        <w:rPr>
          <w:rStyle w:val="Znakapoznpodarou"/>
        </w:rPr>
        <w:footnoteReference w:id="8"/>
      </w:r>
      <w:r w:rsidR="009717A8" w:rsidRPr="00372E02">
        <w:t>,</w:t>
      </w:r>
      <w:r w:rsidRPr="00372E02">
        <w:t xml:space="preserve"> jako rozpočtové kapitoly financující VaV</w:t>
      </w:r>
      <w:r w:rsidR="009717A8" w:rsidRPr="00372E02">
        <w:t>,</w:t>
      </w:r>
      <w:r w:rsidRPr="00372E02">
        <w:t xml:space="preserve"> </w:t>
      </w:r>
      <w:r w:rsidR="00717608">
        <w:t>od roku 2010 výrazně</w:t>
      </w:r>
      <w:r w:rsidRPr="00372E02">
        <w:t xml:space="preserve"> </w:t>
      </w:r>
      <w:r w:rsidR="00717608">
        <w:t>vzrostl</w:t>
      </w:r>
      <w:r w:rsidRPr="00372E02">
        <w:t xml:space="preserve">. Agentura byla založena primárně na podporu aplikovaného výzkumu s důrazem na spolupráci mezi podniky, vysokými školami a veřejnými výzkumnými organizacemi. Financování projektů </w:t>
      </w:r>
      <w:r w:rsidR="00AA177A" w:rsidRPr="00372E02">
        <w:t xml:space="preserve">například </w:t>
      </w:r>
      <w:r w:rsidRPr="00372E02">
        <w:t>v programech „ALFA</w:t>
      </w:r>
      <w:r w:rsidR="00AA177A" w:rsidRPr="00372E02">
        <w:rPr>
          <w:rStyle w:val="Znakapoznpodarou"/>
        </w:rPr>
        <w:footnoteReference w:id="9"/>
      </w:r>
      <w:r w:rsidRPr="00372E02">
        <w:t>“, „</w:t>
      </w:r>
      <w:r w:rsidR="00F656A6">
        <w:t>BETA</w:t>
      </w:r>
      <w:r w:rsidR="00AA177A" w:rsidRPr="00372E02">
        <w:rPr>
          <w:rStyle w:val="Znakapoznpodarou"/>
        </w:rPr>
        <w:footnoteReference w:id="10"/>
      </w:r>
      <w:r w:rsidRPr="00372E02">
        <w:t xml:space="preserve">“, „Centra </w:t>
      </w:r>
      <w:r w:rsidR="00792D65" w:rsidRPr="00372E02">
        <w:t>kompetence“ je realizováno výhradně</w:t>
      </w:r>
      <w:r w:rsidRPr="00372E02">
        <w:t xml:space="preserve"> účel</w:t>
      </w:r>
      <w:r w:rsidR="009717A8" w:rsidRPr="00372E02">
        <w:t xml:space="preserve">ovou formou podpory. </w:t>
      </w:r>
      <w:r w:rsidR="00372E02" w:rsidRPr="00372E02">
        <w:t>V roce 201</w:t>
      </w:r>
      <w:r w:rsidR="00265D1A">
        <w:t>6</w:t>
      </w:r>
      <w:r w:rsidRPr="00372E02">
        <w:t xml:space="preserve"> TA ČR posky</w:t>
      </w:r>
      <w:r w:rsidR="00372E02" w:rsidRPr="00372E02">
        <w:t xml:space="preserve">tla účelovou podporu ve výši </w:t>
      </w:r>
      <w:r w:rsidR="00265D1A">
        <w:t>2,7</w:t>
      </w:r>
      <w:r w:rsidR="00372E02" w:rsidRPr="00372E02">
        <w:t xml:space="preserve"> mld. Kč, což odpovídá 2</w:t>
      </w:r>
      <w:r w:rsidR="00265D1A">
        <w:t>0</w:t>
      </w:r>
      <w:r w:rsidRPr="00372E02">
        <w:t> %</w:t>
      </w:r>
      <w:r w:rsidR="00792D65" w:rsidRPr="00372E02">
        <w:t> </w:t>
      </w:r>
      <w:r w:rsidRPr="00372E02">
        <w:t>celkové účelové podpory poskytnuté na VaV v ČR v</w:t>
      </w:r>
      <w:r w:rsidR="00521533" w:rsidRPr="00372E02">
        <w:t xml:space="preserve"> daném</w:t>
      </w:r>
      <w:r w:rsidR="007A6182" w:rsidRPr="00372E02">
        <w:t xml:space="preserve"> </w:t>
      </w:r>
      <w:r w:rsidRPr="00372E02">
        <w:t xml:space="preserve">roce. </w:t>
      </w:r>
      <w:r w:rsidR="00150A46" w:rsidRPr="00150A46">
        <w:t>Hlavními příjemci účelové podpory TA ČR jsou</w:t>
      </w:r>
      <w:r w:rsidR="00150A46">
        <w:t xml:space="preserve"> </w:t>
      </w:r>
      <w:r w:rsidR="00D87C76">
        <w:t xml:space="preserve">soukromé </w:t>
      </w:r>
      <w:r w:rsidR="00150A46">
        <w:t>podniky</w:t>
      </w:r>
      <w:r w:rsidR="00D87C76">
        <w:t xml:space="preserve"> a dále veřejné vysoké školy</w:t>
      </w:r>
      <w:r w:rsidR="00150A46">
        <w:t>.</w:t>
      </w:r>
      <w:r w:rsidRPr="00372E02">
        <w:t xml:space="preserve"> </w:t>
      </w:r>
    </w:p>
    <w:p w:rsidR="007C0251" w:rsidRDefault="00176360" w:rsidP="00AC197B">
      <w:pPr>
        <w:spacing w:before="120" w:after="120"/>
        <w:jc w:val="both"/>
      </w:pPr>
      <w:r w:rsidRPr="009600FD">
        <w:t>V období</w:t>
      </w:r>
      <w:r>
        <w:t xml:space="preserve"> 2000 až 2011</w:t>
      </w:r>
      <w:r w:rsidR="00857CF9" w:rsidRPr="003E22E9">
        <w:t xml:space="preserve"> bylo Ministerstvo průmyslu a obchodu (MPO) nejvýznamnějším poskytovatelem účel</w:t>
      </w:r>
      <w:r>
        <w:t>ové podpory. V roce 201</w:t>
      </w:r>
      <w:r w:rsidR="006B6589">
        <w:t>6</w:t>
      </w:r>
      <w:r w:rsidR="00CB1D3F">
        <w:t xml:space="preserve"> se </w:t>
      </w:r>
      <w:r w:rsidR="00801E54">
        <w:t>z</w:t>
      </w:r>
      <w:r w:rsidR="00594A1D">
        <w:t> </w:t>
      </w:r>
      <w:r w:rsidR="00801E54">
        <w:t>hlediska</w:t>
      </w:r>
      <w:r w:rsidR="00594A1D">
        <w:t xml:space="preserve"> výše</w:t>
      </w:r>
      <w:r w:rsidR="00801E54">
        <w:t xml:space="preserve"> poskytované účelové podpory </w:t>
      </w:r>
      <w:r>
        <w:t xml:space="preserve">propadlo až na </w:t>
      </w:r>
      <w:r w:rsidR="006B6589">
        <w:t>sedmé</w:t>
      </w:r>
      <w:r w:rsidR="00857CF9" w:rsidRPr="003E22E9">
        <w:t xml:space="preserve"> místo. </w:t>
      </w:r>
      <w:r w:rsidR="00CB1D3F">
        <w:t>Část aplikovaného výzkumu je nyní hrazen</w:t>
      </w:r>
      <w:r w:rsidR="00F70D82">
        <w:t>a</w:t>
      </w:r>
      <w:r w:rsidR="00CB1D3F">
        <w:t xml:space="preserve"> z rozpočtové kapitoly TA ČR.</w:t>
      </w:r>
      <w:r w:rsidR="00857CF9" w:rsidRPr="003E22E9">
        <w:t xml:space="preserve"> MPO podporuje především aplikovaný výzkum a </w:t>
      </w:r>
      <w:r w:rsidR="00FD2708">
        <w:t xml:space="preserve">experimentální </w:t>
      </w:r>
      <w:r w:rsidR="00857CF9" w:rsidRPr="003E22E9">
        <w:t xml:space="preserve">vývoj. Hlavními příjemci účelové podpory MPO jsou soukromé </w:t>
      </w:r>
      <w:r w:rsidR="00383DD8">
        <w:t>národní</w:t>
      </w:r>
      <w:r w:rsidR="00857CF9" w:rsidRPr="003E22E9">
        <w:t xml:space="preserve"> podniky.</w:t>
      </w:r>
      <w:r w:rsidR="00BA1953" w:rsidRPr="003E22E9">
        <w:t xml:space="preserve"> V roce 201</w:t>
      </w:r>
      <w:r w:rsidR="006B6589">
        <w:t>6</w:t>
      </w:r>
      <w:r w:rsidR="00857CF9" w:rsidRPr="003E22E9">
        <w:t xml:space="preserve"> činil podíl MPO na celkovém účelovém financování VaV</w:t>
      </w:r>
      <w:r w:rsidR="00BA1953" w:rsidRPr="003E22E9">
        <w:t xml:space="preserve"> </w:t>
      </w:r>
      <w:r w:rsidR="000B703D">
        <w:t>pouze 2</w:t>
      </w:r>
      <w:r w:rsidR="00BA1953" w:rsidRPr="003E22E9">
        <w:t xml:space="preserve"> % (</w:t>
      </w:r>
      <w:r w:rsidR="000B703D">
        <w:t>313</w:t>
      </w:r>
      <w:r w:rsidR="00857CF9" w:rsidRPr="003E22E9">
        <w:t xml:space="preserve"> </w:t>
      </w:r>
      <w:r w:rsidR="000B703D">
        <w:t>mil</w:t>
      </w:r>
      <w:r w:rsidR="00857CF9" w:rsidRPr="003E22E9">
        <w:t>. Kč).</w:t>
      </w:r>
      <w:r>
        <w:t xml:space="preserve"> </w:t>
      </w:r>
      <w:r w:rsidR="000B703D">
        <w:t xml:space="preserve">Oproti roku 2010 </w:t>
      </w:r>
      <w:r w:rsidR="00BA1953" w:rsidRPr="003E22E9">
        <w:t xml:space="preserve">klesly účelové prostředky na VaV v této rozpočtové </w:t>
      </w:r>
      <w:r w:rsidR="00BA1953" w:rsidRPr="002C3C8D">
        <w:t>kapitole o</w:t>
      </w:r>
      <w:r w:rsidR="000B703D" w:rsidRPr="002C3C8D">
        <w:t xml:space="preserve"> více než</w:t>
      </w:r>
      <w:r w:rsidR="00BA1953" w:rsidRPr="002C3C8D">
        <w:t xml:space="preserve"> </w:t>
      </w:r>
      <w:r w:rsidR="00594A1D">
        <w:t>čtyři pětiny (84 %)</w:t>
      </w:r>
      <w:r w:rsidR="00BA1953" w:rsidRPr="002C3C8D">
        <w:t>.</w:t>
      </w:r>
      <w:r w:rsidR="00594A1D">
        <w:t xml:space="preserve"> </w:t>
      </w:r>
      <w:r w:rsidR="009600FD">
        <w:t>Svou roli zde hraje pokles v položce spolufinancování projektů hrazených ze Strukturálních fondů EU.</w:t>
      </w:r>
      <w:r w:rsidR="004A735E">
        <w:t xml:space="preserve"> </w:t>
      </w:r>
      <w:r w:rsidR="00857CF9" w:rsidRPr="00857CF9">
        <w:tab/>
      </w:r>
    </w:p>
    <w:p w:rsidR="00DB6EE8" w:rsidRDefault="00DB6EE8" w:rsidP="00AC197B">
      <w:pPr>
        <w:spacing w:before="120" w:after="120"/>
        <w:jc w:val="both"/>
      </w:pPr>
    </w:p>
    <w:p w:rsidR="00DB6EE8" w:rsidRDefault="00DB6EE8" w:rsidP="00AC197B">
      <w:pPr>
        <w:spacing w:before="120" w:after="120"/>
        <w:jc w:val="both"/>
      </w:pPr>
    </w:p>
    <w:p w:rsidR="00DB6EE8" w:rsidRDefault="00DB6EE8" w:rsidP="00AC197B">
      <w:pPr>
        <w:spacing w:before="120" w:after="120"/>
        <w:jc w:val="both"/>
      </w:pPr>
    </w:p>
    <w:p w:rsidR="00857CF9" w:rsidRPr="00857CF9" w:rsidRDefault="004F4D12" w:rsidP="00376D7A">
      <w:pPr>
        <w:pStyle w:val="Nadpis3"/>
        <w:spacing w:before="240"/>
        <w:rPr>
          <w:b w:val="0"/>
          <w:bCs w:val="0"/>
        </w:rPr>
      </w:pPr>
      <w:r>
        <w:lastRenderedPageBreak/>
        <w:t>Státní rozpočtové výdaje na VaV</w:t>
      </w:r>
      <w:r w:rsidR="00857CF9" w:rsidRPr="00857CF9">
        <w:t xml:space="preserve"> podle poskytovatelů</w:t>
      </w:r>
    </w:p>
    <w:p w:rsidR="00FD2708" w:rsidRPr="00AE6425" w:rsidRDefault="00857CF9" w:rsidP="00AA177A">
      <w:pPr>
        <w:spacing w:before="120" w:after="120"/>
        <w:jc w:val="both"/>
      </w:pPr>
      <w:r w:rsidRPr="00AE6425">
        <w:t xml:space="preserve">Nejvýznamnějším </w:t>
      </w:r>
      <w:r w:rsidR="00314A3C" w:rsidRPr="00AE6425">
        <w:t>zdrojem – poskytovatelem</w:t>
      </w:r>
      <w:r w:rsidR="002B30B3" w:rsidRPr="00AE6425">
        <w:t xml:space="preserve"> </w:t>
      </w:r>
      <w:r w:rsidRPr="00AE6425">
        <w:t xml:space="preserve">přímé veřejné podpory </w:t>
      </w:r>
      <w:r w:rsidR="00F04371" w:rsidRPr="00AE6425">
        <w:t>VaV</w:t>
      </w:r>
      <w:r w:rsidRPr="00AE6425">
        <w:t>, z jehož rozpočtové kapitoly byla uvolněna n</w:t>
      </w:r>
      <w:r w:rsidR="00F04371" w:rsidRPr="00AE6425">
        <w:t xml:space="preserve">ejvyšší </w:t>
      </w:r>
      <w:r w:rsidR="00AD262F" w:rsidRPr="00AE6425">
        <w:t xml:space="preserve">částka, </w:t>
      </w:r>
      <w:r w:rsidR="00BB5B7F" w:rsidRPr="00AE6425">
        <w:t xml:space="preserve">je dlouhodobě </w:t>
      </w:r>
      <w:r w:rsidRPr="00AE6425">
        <w:t xml:space="preserve">Ministerstvo školství, mládeže a tělovýchovy. Prostřednictvím dané rozpočtové kapitoly bylo </w:t>
      </w:r>
      <w:r w:rsidR="00314A3C" w:rsidRPr="00AE6425">
        <w:t xml:space="preserve">v roce 2016 </w:t>
      </w:r>
      <w:r w:rsidRPr="00AE6425">
        <w:t xml:space="preserve">do výzkumných </w:t>
      </w:r>
      <w:r w:rsidR="00F04371" w:rsidRPr="00AE6425">
        <w:t xml:space="preserve">a </w:t>
      </w:r>
      <w:r w:rsidR="00AD262F" w:rsidRPr="00AE6425">
        <w:t>vývojových aktivit alokováno 1</w:t>
      </w:r>
      <w:r w:rsidR="00F04371" w:rsidRPr="00AE6425">
        <w:t>2</w:t>
      </w:r>
      <w:r w:rsidR="009F4F6A" w:rsidRPr="00AE6425">
        <w:t>,7</w:t>
      </w:r>
      <w:r w:rsidRPr="00AE6425">
        <w:t> mld. Kč, což odpovídá podíl</w:t>
      </w:r>
      <w:r w:rsidR="006A5CB1" w:rsidRPr="00AE6425">
        <w:t>u 4</w:t>
      </w:r>
      <w:r w:rsidR="009F4F6A" w:rsidRPr="00AE6425">
        <w:t>5</w:t>
      </w:r>
      <w:r w:rsidR="00F04371" w:rsidRPr="00AE6425">
        <w:t xml:space="preserve"> % z celkového objemu státních rozpočtových výdajů na VaV</w:t>
      </w:r>
      <w:r w:rsidR="00526DF5" w:rsidRPr="00AE6425">
        <w:t xml:space="preserve"> – v roce 2005 se MŠMT podílelo na GBARD 34 %</w:t>
      </w:r>
      <w:r w:rsidRPr="00AE6425">
        <w:t>.</w:t>
      </w:r>
      <w:r w:rsidR="004D059E" w:rsidRPr="00AE6425">
        <w:t xml:space="preserve"> </w:t>
      </w:r>
      <w:r w:rsidR="00AE6425" w:rsidRPr="00AE6425">
        <w:t xml:space="preserve">Více než polovina (54 %) </w:t>
      </w:r>
      <w:r w:rsidRPr="00AE6425">
        <w:t xml:space="preserve">těchto </w:t>
      </w:r>
      <w:r w:rsidR="00FB12F8" w:rsidRPr="00AE6425">
        <w:t>finančních prostředků byl</w:t>
      </w:r>
      <w:r w:rsidR="00AE6425" w:rsidRPr="00AE6425">
        <w:t>a</w:t>
      </w:r>
      <w:r w:rsidR="00FB12F8" w:rsidRPr="00AE6425">
        <w:t xml:space="preserve"> </w:t>
      </w:r>
      <w:r w:rsidR="00526DF5" w:rsidRPr="00AE6425">
        <w:t>v roce 201</w:t>
      </w:r>
      <w:r w:rsidR="00AE6425" w:rsidRPr="00AE6425">
        <w:t>6</w:t>
      </w:r>
      <w:r w:rsidR="00526DF5" w:rsidRPr="00AE6425">
        <w:t xml:space="preserve"> </w:t>
      </w:r>
      <w:r w:rsidR="00FB12F8" w:rsidRPr="00AE6425">
        <w:t>poskytnut</w:t>
      </w:r>
      <w:r w:rsidR="00AE6425" w:rsidRPr="00AE6425">
        <w:t>a</w:t>
      </w:r>
      <w:r w:rsidRPr="00AE6425">
        <w:t xml:space="preserve"> formou institucionální podpory. Největší část z rozpo</w:t>
      </w:r>
      <w:r w:rsidR="00EE1B4A" w:rsidRPr="00AE6425">
        <w:t>čtu MŠMT na VaV (8,</w:t>
      </w:r>
      <w:r w:rsidR="00AE6425" w:rsidRPr="00AE6425">
        <w:t>6</w:t>
      </w:r>
      <w:r w:rsidR="00EE1B4A" w:rsidRPr="00AE6425">
        <w:t xml:space="preserve"> mld. Kč, </w:t>
      </w:r>
      <w:r w:rsidR="00AE6425" w:rsidRPr="00AE6425">
        <w:t>68</w:t>
      </w:r>
      <w:r w:rsidRPr="00AE6425">
        <w:t xml:space="preserve"> %) byla určena na financování VaV prováděného na veřejných vysokých školách. </w:t>
      </w:r>
    </w:p>
    <w:p w:rsidR="00857CF9" w:rsidRPr="001960C2" w:rsidRDefault="00857CF9" w:rsidP="00AA177A">
      <w:pPr>
        <w:spacing w:before="120" w:after="120"/>
        <w:jc w:val="both"/>
      </w:pPr>
      <w:r w:rsidRPr="001960C2">
        <w:t>M</w:t>
      </w:r>
      <w:r w:rsidR="001960C2">
        <w:t>ŠMT spolufina</w:t>
      </w:r>
      <w:r w:rsidR="00EE1B4A">
        <w:t>nc</w:t>
      </w:r>
      <w:r w:rsidR="000E2207">
        <w:t>uje</w:t>
      </w:r>
      <w:r w:rsidR="00417ECE">
        <w:t xml:space="preserve"> a předfina</w:t>
      </w:r>
      <w:r w:rsidR="00A95120">
        <w:t>n</w:t>
      </w:r>
      <w:r w:rsidR="00417ECE">
        <w:t>c</w:t>
      </w:r>
      <w:r w:rsidR="000E2207">
        <w:t>uje</w:t>
      </w:r>
      <w:r w:rsidR="00EE1B4A">
        <w:t xml:space="preserve"> </w:t>
      </w:r>
      <w:r w:rsidR="00417ECE" w:rsidRPr="00417ECE">
        <w:t>čerp</w:t>
      </w:r>
      <w:r w:rsidR="00417ECE">
        <w:t>ání</w:t>
      </w:r>
      <w:r w:rsidR="00417ECE" w:rsidRPr="00417ECE">
        <w:t xml:space="preserve"> finanční</w:t>
      </w:r>
      <w:r w:rsidR="00417ECE">
        <w:t>ch</w:t>
      </w:r>
      <w:r w:rsidR="00417ECE" w:rsidRPr="00417ECE">
        <w:t xml:space="preserve"> prostředk</w:t>
      </w:r>
      <w:r w:rsidR="00417ECE">
        <w:t>ů</w:t>
      </w:r>
      <w:r w:rsidR="00417ECE" w:rsidRPr="00417ECE">
        <w:t xml:space="preserve"> z evropských strukturálních a investičních fondů (ESIF)</w:t>
      </w:r>
      <w:r w:rsidR="00A95120">
        <w:t xml:space="preserve"> pro období 2014 až 2020</w:t>
      </w:r>
      <w:r w:rsidR="00417ECE">
        <w:t>. V roce 2016 se jednalo o</w:t>
      </w:r>
      <w:r w:rsidR="00417ECE" w:rsidRPr="00417ECE">
        <w:t xml:space="preserve"> Operační program výzkum, vývoj, vzdělávání</w:t>
      </w:r>
      <w:r w:rsidR="00417ECE">
        <w:t xml:space="preserve"> (OP VVV)</w:t>
      </w:r>
      <w:r w:rsidR="008C07F6">
        <w:rPr>
          <w:rStyle w:val="Znakapoznpodarou"/>
        </w:rPr>
        <w:footnoteReference w:id="11"/>
      </w:r>
      <w:r w:rsidR="00A95120">
        <w:t xml:space="preserve">, jehož cílem </w:t>
      </w:r>
      <w:r w:rsidR="00A95120" w:rsidRPr="00A95120">
        <w:t>je přispět k posunu ČR směrem k ekonomice založené na vzdělané, motivované a kreativní pracovní síle, na produkci kvalitních výsledků výzkumu a jejich využití pro zvýšení konkurenceschopnosti ČR.</w:t>
      </w:r>
    </w:p>
    <w:p w:rsidR="00C84D63" w:rsidRPr="00C84D63" w:rsidRDefault="00857CF9" w:rsidP="00AA177A">
      <w:pPr>
        <w:spacing w:before="120" w:after="120"/>
        <w:jc w:val="both"/>
      </w:pPr>
      <w:r w:rsidRPr="00C84D63">
        <w:t>Druhým ne</w:t>
      </w:r>
      <w:r w:rsidR="004A1A0B">
        <w:t>jvýznamnějším poskytovatelem podpory</w:t>
      </w:r>
      <w:r w:rsidRPr="00C84D63">
        <w:t xml:space="preserve"> VaV ve výši </w:t>
      </w:r>
      <w:r w:rsidR="003B3E11">
        <w:t>4,</w:t>
      </w:r>
      <w:r w:rsidR="00C52DBC">
        <w:t>8</w:t>
      </w:r>
      <w:r w:rsidRPr="00C84D63">
        <w:t xml:space="preserve"> mld. Kč byla Akademie věd ČR. </w:t>
      </w:r>
      <w:r w:rsidR="00AC1013">
        <w:t>C</w:t>
      </w:r>
      <w:r w:rsidR="00C84D63" w:rsidRPr="00C84D63">
        <w:t>elá tato částka byla formou institucionální podpory alokována výhradně v rámci ústavů AV</w:t>
      </w:r>
      <w:r w:rsidR="006704A4">
        <w:t xml:space="preserve"> ČR</w:t>
      </w:r>
      <w:r w:rsidR="00C84D63" w:rsidRPr="00C84D63">
        <w:t xml:space="preserve"> (veřejných výzkumných institucí).</w:t>
      </w:r>
      <w:r w:rsidR="00066F49">
        <w:t xml:space="preserve"> Podíl na celkových státních rozpočtových výdajích</w:t>
      </w:r>
      <w:r w:rsidR="00E80995">
        <w:t xml:space="preserve"> na VaV</w:t>
      </w:r>
      <w:r w:rsidR="00066F49">
        <w:t xml:space="preserve"> činil 1</w:t>
      </w:r>
      <w:r w:rsidR="007E7B1C">
        <w:t>7</w:t>
      </w:r>
      <w:r w:rsidR="00066F49">
        <w:t xml:space="preserve"> %.</w:t>
      </w:r>
      <w:r w:rsidR="00C84D63" w:rsidRPr="00C84D63">
        <w:t xml:space="preserve">  </w:t>
      </w:r>
    </w:p>
    <w:p w:rsidR="00857CF9" w:rsidRPr="008A1882" w:rsidRDefault="00857CF9" w:rsidP="00AA177A">
      <w:pPr>
        <w:spacing w:before="120" w:after="120"/>
        <w:jc w:val="both"/>
      </w:pPr>
      <w:r w:rsidRPr="008A1882">
        <w:t xml:space="preserve">V pořadí třetí nejvýznamnější rozpočtovou kapitolou, z níž byl </w:t>
      </w:r>
      <w:r w:rsidR="00E778E0">
        <w:t xml:space="preserve">v ČR </w:t>
      </w:r>
      <w:r w:rsidRPr="008A1882">
        <w:t>financován výzkum a vývoj</w:t>
      </w:r>
      <w:r w:rsidR="00E778E0">
        <w:t xml:space="preserve"> ze státního rozpočtu</w:t>
      </w:r>
      <w:r w:rsidRPr="008A1882">
        <w:t>, byla Grantov</w:t>
      </w:r>
      <w:r w:rsidR="008A1882" w:rsidRPr="008A1882">
        <w:t xml:space="preserve">á agentura ČR, </w:t>
      </w:r>
      <w:r w:rsidR="003B3E11">
        <w:t>která v roce 201</w:t>
      </w:r>
      <w:r w:rsidR="007E7B1C">
        <w:t>6</w:t>
      </w:r>
      <w:r w:rsidRPr="008A1882">
        <w:t xml:space="preserve"> poskytla účelovou podporu g</w:t>
      </w:r>
      <w:r w:rsidR="003B3E11">
        <w:t>rantovým projektům v hodnotě 3,</w:t>
      </w:r>
      <w:r w:rsidR="00A67FFE">
        <w:t>8</w:t>
      </w:r>
      <w:r w:rsidRPr="008A1882">
        <w:t xml:space="preserve"> mld. Kč. Včetně nákladů na vl</w:t>
      </w:r>
      <w:r w:rsidR="00C3585F">
        <w:t xml:space="preserve">astní činnost </w:t>
      </w:r>
      <w:r w:rsidR="002F453F">
        <w:t>vydala na VaV</w:t>
      </w:r>
      <w:r w:rsidR="003B3E11">
        <w:t xml:space="preserve"> celkem 3,</w:t>
      </w:r>
      <w:r w:rsidR="00A67FFE">
        <w:t>9</w:t>
      </w:r>
      <w:r w:rsidRPr="008A1882">
        <w:t xml:space="preserve"> mld. Kč.</w:t>
      </w:r>
      <w:r w:rsidR="007C0251">
        <w:t xml:space="preserve"> </w:t>
      </w:r>
      <w:r w:rsidR="007C0251" w:rsidRPr="007C0251">
        <w:t>Tato částka představovala 1</w:t>
      </w:r>
      <w:r w:rsidR="007E7B1C">
        <w:t>4 </w:t>
      </w:r>
      <w:r w:rsidR="007C0251" w:rsidRPr="007C0251">
        <w:t>% podíl na celkových výdajích na VaV financovaných ze státního rozpočtu.</w:t>
      </w:r>
    </w:p>
    <w:p w:rsidR="00857CF9" w:rsidRDefault="002A20BA" w:rsidP="00D21B84">
      <w:pPr>
        <w:spacing w:after="120"/>
        <w:jc w:val="both"/>
        <w:rPr>
          <w:b/>
        </w:rPr>
      </w:pPr>
      <w:r>
        <w:rPr>
          <w:b/>
        </w:rPr>
        <w:t xml:space="preserve">GRAF 1-3: </w:t>
      </w:r>
      <w:r w:rsidR="008B7497">
        <w:rPr>
          <w:b/>
        </w:rPr>
        <w:t>Státní</w:t>
      </w:r>
      <w:r w:rsidR="008B7497" w:rsidRPr="00142861">
        <w:rPr>
          <w:b/>
        </w:rPr>
        <w:t xml:space="preserve"> </w:t>
      </w:r>
      <w:r w:rsidR="008B7497">
        <w:rPr>
          <w:b/>
        </w:rPr>
        <w:t xml:space="preserve">rozpočtové výdaje na VaV </w:t>
      </w:r>
      <w:r>
        <w:rPr>
          <w:b/>
        </w:rPr>
        <w:t xml:space="preserve">podle poskytovatelů </w:t>
      </w:r>
      <w:r w:rsidR="003A2000">
        <w:rPr>
          <w:b/>
        </w:rPr>
        <w:t xml:space="preserve">a formy </w:t>
      </w:r>
      <w:r>
        <w:rPr>
          <w:b/>
        </w:rPr>
        <w:t>podpory</w:t>
      </w:r>
      <w:r w:rsidR="00857CF9" w:rsidRPr="00857CF9">
        <w:rPr>
          <w:b/>
        </w:rPr>
        <w:t xml:space="preserve"> (m</w:t>
      </w:r>
      <w:r w:rsidR="00297EEE">
        <w:rPr>
          <w:b/>
        </w:rPr>
        <w:t>ld.</w:t>
      </w:r>
      <w:r w:rsidR="00857CF9" w:rsidRPr="00857CF9">
        <w:rPr>
          <w:b/>
        </w:rPr>
        <w:t xml:space="preserve"> Kč</w:t>
      </w:r>
      <w:r w:rsidR="00446A05">
        <w:rPr>
          <w:b/>
        </w:rPr>
        <w:t xml:space="preserve">); </w:t>
      </w:r>
      <w:r w:rsidR="00446A05" w:rsidRPr="004418B6">
        <w:rPr>
          <w:b/>
        </w:rPr>
        <w:t>201</w:t>
      </w:r>
      <w:r w:rsidR="00297EEE">
        <w:rPr>
          <w:b/>
        </w:rPr>
        <w:t>6</w:t>
      </w:r>
    </w:p>
    <w:p w:rsidR="00FA6478" w:rsidRDefault="00452E0F" w:rsidP="00857CF9">
      <w:pPr>
        <w:jc w:val="both"/>
        <w:rPr>
          <w:b/>
        </w:rPr>
      </w:pPr>
      <w:r>
        <w:rPr>
          <w:noProof/>
        </w:rPr>
        <w:drawing>
          <wp:inline distT="0" distB="0" distL="0" distR="0" wp14:anchorId="6AF182D5" wp14:editId="4E351A44">
            <wp:extent cx="6120000" cy="2880000"/>
            <wp:effectExtent l="0" t="0" r="0" b="0"/>
            <wp:docPr id="54" name="Graf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93FFAAE-C149-46B0-9CC9-DB3A4D71B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0251" w:rsidRPr="00857CF9" w:rsidRDefault="007C0251" w:rsidP="007C0251">
      <w:pPr>
        <w:spacing w:before="240" w:after="120"/>
        <w:jc w:val="both"/>
      </w:pPr>
      <w:r w:rsidRPr="008A1882">
        <w:t xml:space="preserve">Technologická agentura ČR se v posledních letech stává významným poskytovatelem státní </w:t>
      </w:r>
      <w:r>
        <w:t>rozpočtové podpory na VaV. V roce 201</w:t>
      </w:r>
      <w:r w:rsidR="007E7B1C">
        <w:t>6</w:t>
      </w:r>
      <w:r w:rsidRPr="008A1882">
        <w:t xml:space="preserve"> a</w:t>
      </w:r>
      <w:r>
        <w:t>gentura hospodařila s</w:t>
      </w:r>
      <w:r w:rsidR="007E7B1C">
        <w:t> 2,8</w:t>
      </w:r>
      <w:r w:rsidRPr="008A1882">
        <w:t xml:space="preserve"> mld. Kč (včetně nákladů na vlastní činnost). Na p</w:t>
      </w:r>
      <w:r>
        <w:t xml:space="preserve">rojekty VaV rozdělila </w:t>
      </w:r>
      <w:r w:rsidR="007E7B1C">
        <w:t>2,7</w:t>
      </w:r>
      <w:r w:rsidRPr="008A1882">
        <w:t xml:space="preserve"> mld. Kč, přičemž </w:t>
      </w:r>
      <w:r>
        <w:t>dominantní</w:t>
      </w:r>
      <w:r w:rsidRPr="008A1882">
        <w:t xml:space="preserve"> část finančních prostředků směřovala na projekty aplikovaného výzkumu a také experimentálního vývoje</w:t>
      </w:r>
      <w:r>
        <w:t>. V rámci nejvýznamnějšího programu ALFA byly</w:t>
      </w:r>
      <w:r w:rsidRPr="008A1882">
        <w:t xml:space="preserve"> </w:t>
      </w:r>
      <w:r>
        <w:t>rozděleny</w:t>
      </w:r>
      <w:r w:rsidRPr="008A1882">
        <w:t xml:space="preserve"> </w:t>
      </w:r>
      <w:r>
        <w:t xml:space="preserve">veřejné finanční prostředky ve výši </w:t>
      </w:r>
      <w:r w:rsidR="007E7B1C">
        <w:t>rovné jedné</w:t>
      </w:r>
      <w:r w:rsidRPr="008A1882">
        <w:t xml:space="preserve"> m</w:t>
      </w:r>
      <w:r w:rsidR="007E7B1C">
        <w:t>iliardy</w:t>
      </w:r>
      <w:r w:rsidRPr="008A1882">
        <w:t xml:space="preserve"> </w:t>
      </w:r>
      <w:r w:rsidR="007E7B1C">
        <w:t>korun</w:t>
      </w:r>
      <w:r w:rsidRPr="008A1882">
        <w:t>.</w:t>
      </w:r>
    </w:p>
    <w:p w:rsidR="00AC197B" w:rsidRPr="00DB6EE8" w:rsidRDefault="007C0251" w:rsidP="007C0251">
      <w:pPr>
        <w:spacing w:before="120" w:after="120"/>
        <w:jc w:val="both"/>
        <w:rPr>
          <w:color w:val="C00000"/>
        </w:rPr>
      </w:pPr>
      <w:r w:rsidRPr="00E02A33">
        <w:t>Ministerstvo průmyslu</w:t>
      </w:r>
      <w:r>
        <w:t xml:space="preserve"> a obchodu (MPO), v pořadí </w:t>
      </w:r>
      <w:r w:rsidR="00C75CE7">
        <w:t>sedmá</w:t>
      </w:r>
      <w:r w:rsidRPr="00405CD5">
        <w:t xml:space="preserve"> nejvýznamnější </w:t>
      </w:r>
      <w:r>
        <w:t>rozpočtová kapitola</w:t>
      </w:r>
      <w:r w:rsidRPr="00405CD5">
        <w:t xml:space="preserve"> </w:t>
      </w:r>
      <w:r>
        <w:t xml:space="preserve">co do objemu rozdělovaných finančních prostředků na VaV, podpořilo celkovou </w:t>
      </w:r>
      <w:r w:rsidRPr="00405CD5">
        <w:t>částkou</w:t>
      </w:r>
      <w:r w:rsidR="00590782">
        <w:t xml:space="preserve"> 528</w:t>
      </w:r>
      <w:r w:rsidRPr="00C75CE7">
        <w:rPr>
          <w:color w:val="C00000"/>
        </w:rPr>
        <w:t xml:space="preserve"> </w:t>
      </w:r>
      <w:r w:rsidRPr="00590782">
        <w:t>mil. Kč</w:t>
      </w:r>
      <w:r>
        <w:t xml:space="preserve"> převážně </w:t>
      </w:r>
      <w:r w:rsidR="00590782">
        <w:t xml:space="preserve">národní </w:t>
      </w:r>
      <w:r w:rsidRPr="00405CD5">
        <w:lastRenderedPageBreak/>
        <w:t>podnikatelské subjekty</w:t>
      </w:r>
      <w:r>
        <w:t xml:space="preserve"> z řad malých</w:t>
      </w:r>
      <w:r w:rsidRPr="00405CD5">
        <w:t xml:space="preserve"> a střední</w:t>
      </w:r>
      <w:r>
        <w:t>ch podniků</w:t>
      </w:r>
      <w:r w:rsidRPr="00405CD5">
        <w:t>.</w:t>
      </w:r>
      <w:r>
        <w:t xml:space="preserve"> Oproti roku 201</w:t>
      </w:r>
      <w:r w:rsidR="00C75CE7">
        <w:t>5</w:t>
      </w:r>
      <w:r w:rsidRPr="00405CD5">
        <w:t xml:space="preserve"> došlo k</w:t>
      </w:r>
      <w:r>
        <w:t xml:space="preserve"> dalšímu </w:t>
      </w:r>
      <w:r w:rsidRPr="00405CD5">
        <w:t>razantnímu </w:t>
      </w:r>
      <w:r w:rsidR="00C75CE7">
        <w:t>propadu</w:t>
      </w:r>
      <w:r w:rsidRPr="00405CD5">
        <w:t xml:space="preserve"> </w:t>
      </w:r>
      <w:r>
        <w:t>alokované podpory VaV téměř o</w:t>
      </w:r>
      <w:r w:rsidR="00E02A33">
        <w:t xml:space="preserve"> téměř dvě třetiny</w:t>
      </w:r>
      <w:r w:rsidRPr="00405CD5">
        <w:t>.</w:t>
      </w:r>
      <w:r>
        <w:t xml:space="preserve"> Důvodem je ukončení spolufinancování Operačního programu Podnikání a inovace předchozího programovacího období</w:t>
      </w:r>
      <w:r w:rsidR="004E2E2C">
        <w:t>,</w:t>
      </w:r>
      <w:r>
        <w:t xml:space="preserve"> </w:t>
      </w:r>
      <w:r w:rsidR="004E2E2C">
        <w:t>p</w:t>
      </w:r>
      <w:r>
        <w:t xml:space="preserve">řičemž </w:t>
      </w:r>
      <w:r w:rsidR="00E80995">
        <w:t>zahájení spolufinancování n</w:t>
      </w:r>
      <w:r w:rsidR="00052B04">
        <w:t>ového operačního programu OP PIK</w:t>
      </w:r>
      <w:bookmarkStart w:id="0" w:name="_GoBack"/>
      <w:bookmarkEnd w:id="0"/>
      <w:r>
        <w:t xml:space="preserve"> </w:t>
      </w:r>
      <w:r w:rsidR="00E02A33">
        <w:t>bylo</w:t>
      </w:r>
      <w:r w:rsidR="00590782">
        <w:t xml:space="preserve"> opožděno</w:t>
      </w:r>
      <w:r>
        <w:t xml:space="preserve">. Lze tedy očekávat postupný nárůst rozpočtových prostředků určených na podporu podnikového VaV v rámci této kapitoly. </w:t>
      </w:r>
      <w:r w:rsidRPr="00405CD5">
        <w:t xml:space="preserve">Z hlediska dalšího členění těchto výdajů se jednalo zejména o účelovou podporu, která institucionální </w:t>
      </w:r>
      <w:r>
        <w:t xml:space="preserve">převyšovala ve složení </w:t>
      </w:r>
      <w:r w:rsidR="00BF1262">
        <w:t>60</w:t>
      </w:r>
      <w:r>
        <w:t xml:space="preserve"> % ku </w:t>
      </w:r>
      <w:r w:rsidR="00BF1262">
        <w:t>40</w:t>
      </w:r>
      <w:r w:rsidRPr="00405CD5">
        <w:t xml:space="preserve"> %. </w:t>
      </w:r>
    </w:p>
    <w:p w:rsidR="00CC6043" w:rsidRPr="00376D7A" w:rsidRDefault="00CC6043" w:rsidP="00376D7A">
      <w:pPr>
        <w:pStyle w:val="Nadpis3"/>
        <w:spacing w:before="240"/>
      </w:pPr>
      <w:r w:rsidRPr="00376D7A">
        <w:t>Státní rozpočtové výdaje na VaV podle příjemců</w:t>
      </w:r>
    </w:p>
    <w:p w:rsidR="00BD43E0" w:rsidRPr="00BD43E0" w:rsidRDefault="00BD43E0" w:rsidP="00AA177A">
      <w:pPr>
        <w:spacing w:before="120" w:after="120"/>
        <w:jc w:val="both"/>
      </w:pPr>
      <w:r w:rsidRPr="00BD43E0">
        <w:t xml:space="preserve">Nejvýznamnějšími příjemci státní podpory výzkumu a vývoje </w:t>
      </w:r>
      <w:r w:rsidR="00E02A33">
        <w:t>jsou dlouhodobě</w:t>
      </w:r>
      <w:r w:rsidRPr="00BD43E0">
        <w:t xml:space="preserve"> veřejné a státní </w:t>
      </w:r>
      <w:r w:rsidR="00107471">
        <w:t>vysoké školy. V roce 201</w:t>
      </w:r>
      <w:r w:rsidR="00E02A33">
        <w:t>6</w:t>
      </w:r>
      <w:r w:rsidRPr="00BD43E0">
        <w:t xml:space="preserve"> se jim podařilo získat veřejnou podporu na provádění svých výzkumných aktivit ve výši </w:t>
      </w:r>
      <w:r w:rsidR="00FE00BC">
        <w:t>12,</w:t>
      </w:r>
      <w:r w:rsidR="00E02A33">
        <w:t>3 </w:t>
      </w:r>
      <w:r w:rsidRPr="00BD43E0">
        <w:t>mld. Kč. Z této částky šl</w:t>
      </w:r>
      <w:r w:rsidR="00E02A33">
        <w:t xml:space="preserve">a více jak polovina </w:t>
      </w:r>
      <w:r w:rsidRPr="00BD43E0">
        <w:t xml:space="preserve">formou institucionální podpory </w:t>
      </w:r>
      <w:r w:rsidR="006F3D79">
        <w:t>(</w:t>
      </w:r>
      <w:r w:rsidRPr="00BD43E0">
        <w:t>6</w:t>
      </w:r>
      <w:r>
        <w:t>,</w:t>
      </w:r>
      <w:r w:rsidR="00E02A33">
        <w:t>8</w:t>
      </w:r>
      <w:r w:rsidRPr="00BD43E0">
        <w:t xml:space="preserve"> mld</w:t>
      </w:r>
      <w:r w:rsidR="001C2071">
        <w:t>. Kč</w:t>
      </w:r>
      <w:r w:rsidR="006F3D79">
        <w:t>)</w:t>
      </w:r>
      <w:r w:rsidRPr="00BD43E0">
        <w:t xml:space="preserve">, zejména pak prostřednictvím podpory rozvoje výzkumných organizací a specifického výzkumu na vysokých školách. </w:t>
      </w:r>
    </w:p>
    <w:p w:rsidR="00BD43E0" w:rsidRPr="00BD43E0" w:rsidRDefault="00BD43E0" w:rsidP="00AA177A">
      <w:pPr>
        <w:spacing w:before="120" w:after="120"/>
        <w:jc w:val="both"/>
      </w:pPr>
      <w:r w:rsidRPr="00BD43E0">
        <w:t>Další významnou skupinou příjemců státní podpory VaV byly veřejné výzkumné instituce</w:t>
      </w:r>
      <w:r w:rsidR="007C0837">
        <w:rPr>
          <w:rStyle w:val="Znakapoznpodarou"/>
        </w:rPr>
        <w:footnoteReference w:id="12"/>
      </w:r>
      <w:r w:rsidR="007225E2">
        <w:t>, které v roce 201</w:t>
      </w:r>
      <w:r w:rsidR="003543F2">
        <w:t>6</w:t>
      </w:r>
      <w:r w:rsidRPr="00BD43E0">
        <w:t xml:space="preserve"> obdržely </w:t>
      </w:r>
      <w:r w:rsidR="00E16F73" w:rsidRPr="00E16F73">
        <w:t>9,1</w:t>
      </w:r>
      <w:r w:rsidRPr="00BD43E0">
        <w:t xml:space="preserve"> mld. Kč. V tomto případě hraje inst</w:t>
      </w:r>
      <w:r w:rsidR="007225E2">
        <w:t>itucionální forma financování (5,1</w:t>
      </w:r>
      <w:r w:rsidRPr="00BD43E0">
        <w:t xml:space="preserve"> mld</w:t>
      </w:r>
      <w:r w:rsidR="00516A92">
        <w:t>. Kč, 5</w:t>
      </w:r>
      <w:r w:rsidR="00746E46">
        <w:t>5</w:t>
      </w:r>
      <w:r w:rsidRPr="00BD43E0">
        <w:t xml:space="preserve"> %) </w:t>
      </w:r>
      <w:r w:rsidR="00FF041F">
        <w:t>stejnou</w:t>
      </w:r>
      <w:r w:rsidRPr="00BD43E0">
        <w:t xml:space="preserve"> roli </w:t>
      </w:r>
      <w:r w:rsidR="00FF041F">
        <w:t>jako</w:t>
      </w:r>
      <w:r w:rsidRPr="00BD43E0">
        <w:t xml:space="preserve"> u </w:t>
      </w:r>
      <w:r w:rsidR="00774040">
        <w:t xml:space="preserve">veřejných a státních </w:t>
      </w:r>
      <w:r w:rsidRPr="00BD43E0">
        <w:t>vysokých škol.</w:t>
      </w:r>
    </w:p>
    <w:p w:rsidR="00F53D1B" w:rsidRDefault="00BD43E0" w:rsidP="00AA177A">
      <w:pPr>
        <w:spacing w:before="120" w:after="120"/>
        <w:jc w:val="both"/>
      </w:pPr>
      <w:r w:rsidRPr="004D6E66">
        <w:t>Podnikům se podařilo na své výzkumné a vývojové aktivity</w:t>
      </w:r>
      <w:r w:rsidR="00A2466D">
        <w:t xml:space="preserve"> získat státní podporu ve výši 3,</w:t>
      </w:r>
      <w:r w:rsidR="0040280F">
        <w:t>3</w:t>
      </w:r>
      <w:r w:rsidRPr="004D6E66">
        <w:t xml:space="preserve"> mld. Kč. V tomto případě zcela dominuje účelová</w:t>
      </w:r>
      <w:r w:rsidR="00A2466D">
        <w:t xml:space="preserve"> podpora (3</w:t>
      </w:r>
      <w:r w:rsidRPr="004D6E66">
        <w:t xml:space="preserve"> mld</w:t>
      </w:r>
      <w:r w:rsidR="00A2466D">
        <w:t>. Kč, 9</w:t>
      </w:r>
      <w:r w:rsidR="0040280F">
        <w:t>1</w:t>
      </w:r>
      <w:r w:rsidR="00F53D1B">
        <w:t xml:space="preserve"> %). </w:t>
      </w:r>
      <w:r w:rsidRPr="004D6E66">
        <w:t xml:space="preserve">Převážnou část celkové výše podpory obdržely soukromé </w:t>
      </w:r>
      <w:r w:rsidR="0040280F">
        <w:t>národní</w:t>
      </w:r>
      <w:r w:rsidRPr="004D6E66">
        <w:t xml:space="preserve"> podniky, a to</w:t>
      </w:r>
      <w:r w:rsidR="00F53D1B">
        <w:t xml:space="preserve"> 2,</w:t>
      </w:r>
      <w:r w:rsidR="0040280F">
        <w:t>1</w:t>
      </w:r>
      <w:r w:rsidRPr="004D6E66">
        <w:t xml:space="preserve"> mld. Kč. Soukromé zahraniční podniky pak obdržely veřejnou </w:t>
      </w:r>
      <w:r w:rsidR="004D6E66" w:rsidRPr="004D6E66">
        <w:t xml:space="preserve">podporu ve výši </w:t>
      </w:r>
      <w:r w:rsidR="00F53D1B">
        <w:t>4</w:t>
      </w:r>
      <w:r w:rsidR="0040280F">
        <w:t>18</w:t>
      </w:r>
      <w:r w:rsidRPr="004D6E66">
        <w:t> mil. Kč. Veřejné podniky získaly na své výzkumné a vývojové činnosti státní podporu v objemu</w:t>
      </w:r>
      <w:r w:rsidR="004D6E66" w:rsidRPr="004D6E66">
        <w:t xml:space="preserve"> </w:t>
      </w:r>
      <w:r w:rsidR="0040280F">
        <w:t>780</w:t>
      </w:r>
      <w:r w:rsidR="00F53D1B">
        <w:t xml:space="preserve"> mil</w:t>
      </w:r>
      <w:r w:rsidR="004D6E66" w:rsidRPr="004D6E66">
        <w:t>.</w:t>
      </w:r>
      <w:r w:rsidRPr="004D6E66">
        <w:t xml:space="preserve"> Kč</w:t>
      </w:r>
      <w:r w:rsidR="00F53D1B">
        <w:t>.</w:t>
      </w:r>
      <w:r w:rsidR="00327A2B">
        <w:t xml:space="preserve"> </w:t>
      </w:r>
    </w:p>
    <w:p w:rsidR="00BD43E0" w:rsidRPr="00BD43E0" w:rsidRDefault="00BD43E0" w:rsidP="00AA177A">
      <w:pPr>
        <w:spacing w:before="120" w:after="120"/>
        <w:jc w:val="both"/>
      </w:pPr>
      <w:r w:rsidRPr="00327A2B">
        <w:t>Lékařský výzkum prováděný na půdě fakultních ne</w:t>
      </w:r>
      <w:r w:rsidR="00F53D1B">
        <w:t>mocnic podpořil stát v roce 201</w:t>
      </w:r>
      <w:r w:rsidR="00A11A90">
        <w:t>6</w:t>
      </w:r>
      <w:r w:rsidR="00327A2B" w:rsidRPr="00327A2B">
        <w:t xml:space="preserve"> částkou</w:t>
      </w:r>
      <w:r w:rsidR="00F53D1B">
        <w:t xml:space="preserve"> </w:t>
      </w:r>
      <w:r w:rsidR="00A11A90">
        <w:t>667</w:t>
      </w:r>
      <w:r w:rsidRPr="00327A2B">
        <w:t xml:space="preserve"> mil. Kč, </w:t>
      </w:r>
      <w:r w:rsidR="006C7A7F">
        <w:t>z toho 44</w:t>
      </w:r>
      <w:r w:rsidR="006D2594">
        <w:t xml:space="preserve"> % bylo financováno formou </w:t>
      </w:r>
      <w:r w:rsidRPr="00327A2B">
        <w:t>institucionální podpor</w:t>
      </w:r>
      <w:r w:rsidR="006D2594">
        <w:t>y</w:t>
      </w:r>
      <w:r w:rsidRPr="00327A2B">
        <w:t>.</w:t>
      </w:r>
    </w:p>
    <w:p w:rsidR="00BD43E0" w:rsidRPr="00BD43E0" w:rsidRDefault="00BD43E0" w:rsidP="000925C7">
      <w:pPr>
        <w:spacing w:after="60"/>
        <w:jc w:val="both"/>
        <w:rPr>
          <w:b/>
        </w:rPr>
      </w:pPr>
      <w:r w:rsidRPr="00BD43E0">
        <w:rPr>
          <w:b/>
        </w:rPr>
        <w:t>GRAF 1-</w:t>
      </w:r>
      <w:r w:rsidR="00462172">
        <w:rPr>
          <w:b/>
        </w:rPr>
        <w:t>4</w:t>
      </w:r>
      <w:r w:rsidRPr="00BD43E0">
        <w:rPr>
          <w:b/>
        </w:rPr>
        <w:t xml:space="preserve">: </w:t>
      </w:r>
      <w:r w:rsidR="008B7497">
        <w:rPr>
          <w:b/>
        </w:rPr>
        <w:t>Státní</w:t>
      </w:r>
      <w:r w:rsidR="008B7497" w:rsidRPr="00142861">
        <w:rPr>
          <w:b/>
        </w:rPr>
        <w:t xml:space="preserve"> </w:t>
      </w:r>
      <w:r w:rsidR="008B7497">
        <w:rPr>
          <w:b/>
        </w:rPr>
        <w:t xml:space="preserve">rozpočtové výdaje na VaV </w:t>
      </w:r>
      <w:r w:rsidRPr="00BD43E0">
        <w:rPr>
          <w:b/>
        </w:rPr>
        <w:t xml:space="preserve">podle </w:t>
      </w:r>
      <w:r w:rsidR="004D6E66">
        <w:rPr>
          <w:b/>
        </w:rPr>
        <w:t xml:space="preserve">vybraných </w:t>
      </w:r>
      <w:r w:rsidRPr="00BD43E0">
        <w:rPr>
          <w:b/>
        </w:rPr>
        <w:t>příjemců podpory</w:t>
      </w:r>
      <w:r w:rsidR="00CE5905">
        <w:rPr>
          <w:b/>
        </w:rPr>
        <w:t xml:space="preserve"> a formy podpory </w:t>
      </w:r>
      <w:r w:rsidR="006F3D79">
        <w:rPr>
          <w:b/>
        </w:rPr>
        <w:t>(mld</w:t>
      </w:r>
      <w:r w:rsidRPr="00BD43E0">
        <w:rPr>
          <w:b/>
        </w:rPr>
        <w:t xml:space="preserve">. Kč, podíl na celkových GBARD v %); </w:t>
      </w:r>
      <w:r w:rsidR="00526709" w:rsidRPr="00E152EC">
        <w:rPr>
          <w:b/>
        </w:rPr>
        <w:t>201</w:t>
      </w:r>
      <w:r w:rsidR="00A11A90">
        <w:rPr>
          <w:b/>
        </w:rPr>
        <w:t>6</w:t>
      </w:r>
    </w:p>
    <w:p w:rsidR="00880A24" w:rsidRDefault="00452E0F" w:rsidP="008C07F6">
      <w:pPr>
        <w:jc w:val="both"/>
      </w:pPr>
      <w:r>
        <w:rPr>
          <w:noProof/>
        </w:rPr>
        <w:drawing>
          <wp:inline distT="0" distB="0" distL="0" distR="0" wp14:anchorId="6817E79F" wp14:editId="26B86C7A">
            <wp:extent cx="6120130" cy="2822575"/>
            <wp:effectExtent l="0" t="0" r="0" b="0"/>
            <wp:docPr id="55" name="Graf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1DE3E61-6DA3-491D-ABD3-03CBED90D7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225C" w:rsidRDefault="00D73DB5" w:rsidP="00451CBF">
      <w:pPr>
        <w:spacing w:before="120" w:after="120"/>
        <w:jc w:val="both"/>
      </w:pPr>
      <w:r w:rsidRPr="00647A9C">
        <w:t xml:space="preserve">Přímou </w:t>
      </w:r>
      <w:r w:rsidR="001F50E8" w:rsidRPr="00647A9C">
        <w:t>veřejnou podporu VaV v roce</w:t>
      </w:r>
      <w:r w:rsidR="00703FAA" w:rsidRPr="00647A9C">
        <w:t xml:space="preserve"> 201</w:t>
      </w:r>
      <w:r w:rsidR="00462172">
        <w:t>6</w:t>
      </w:r>
      <w:r w:rsidR="0070199D" w:rsidRPr="00647A9C">
        <w:t xml:space="preserve"> získalo</w:t>
      </w:r>
      <w:r w:rsidR="00647A9C" w:rsidRPr="00647A9C">
        <w:t xml:space="preserve"> </w:t>
      </w:r>
      <w:r w:rsidR="00C270F1" w:rsidRPr="00C270F1">
        <w:t>946</w:t>
      </w:r>
      <w:r w:rsidRPr="00647A9C">
        <w:t xml:space="preserve"> podniků, z nich bylo</w:t>
      </w:r>
      <w:r w:rsidR="00647A9C" w:rsidRPr="00647A9C">
        <w:t xml:space="preserve"> </w:t>
      </w:r>
      <w:r w:rsidR="00576906">
        <w:t>748</w:t>
      </w:r>
      <w:r w:rsidR="00151F64">
        <w:t xml:space="preserve"> </w:t>
      </w:r>
      <w:r w:rsidR="00647A9C" w:rsidRPr="00647A9C">
        <w:t>s</w:t>
      </w:r>
      <w:r w:rsidR="00151F64">
        <w:t xml:space="preserve">oukromých </w:t>
      </w:r>
      <w:r w:rsidR="00236D1F">
        <w:t>národních</w:t>
      </w:r>
      <w:r w:rsidR="00151F64">
        <w:t xml:space="preserve"> podniků </w:t>
      </w:r>
      <w:r w:rsidRPr="00647A9C">
        <w:t xml:space="preserve">a </w:t>
      </w:r>
      <w:r w:rsidR="00576906" w:rsidRPr="00576906">
        <w:t>167</w:t>
      </w:r>
      <w:r w:rsidR="00151F64">
        <w:t xml:space="preserve"> </w:t>
      </w:r>
      <w:r w:rsidRPr="00647A9C">
        <w:t>soukrom</w:t>
      </w:r>
      <w:r w:rsidR="00151F64">
        <w:t>ých zahraničních podniků</w:t>
      </w:r>
      <w:r w:rsidR="00451CBF" w:rsidRPr="00647A9C">
        <w:t xml:space="preserve">, zbytek </w:t>
      </w:r>
      <w:r w:rsidR="00151F64">
        <w:t>pak veřejné podniky</w:t>
      </w:r>
      <w:r w:rsidRPr="00647A9C">
        <w:t>. Podporu instituci</w:t>
      </w:r>
      <w:r w:rsidR="007866DC" w:rsidRPr="00647A9C">
        <w:t>onální nebo účelovou obdrželo 28</w:t>
      </w:r>
      <w:r w:rsidRPr="00647A9C">
        <w:t xml:space="preserve"> veřejných a státních vysokých škol</w:t>
      </w:r>
      <w:r w:rsidR="00647A9C" w:rsidRPr="00647A9C">
        <w:t xml:space="preserve"> a 74</w:t>
      </w:r>
      <w:r w:rsidRPr="00647A9C">
        <w:t xml:space="preserve"> veřejných výzkumných </w:t>
      </w:r>
      <w:r w:rsidR="0034579B">
        <w:t>institucí</w:t>
      </w:r>
      <w:r w:rsidR="00647A9C" w:rsidRPr="00647A9C">
        <w:t>. Všechny fakultní nemocnice (10</w:t>
      </w:r>
      <w:r w:rsidRPr="00647A9C">
        <w:t>) obdržely na své výzkumné činnosti veřejnou podporu</w:t>
      </w:r>
      <w:r w:rsidR="009A13D3" w:rsidRPr="00647A9C">
        <w:t xml:space="preserve">, </w:t>
      </w:r>
      <w:r w:rsidR="005F4810">
        <w:t xml:space="preserve">jak </w:t>
      </w:r>
      <w:r w:rsidR="00462172" w:rsidRPr="00647A9C">
        <w:t>institucionální,</w:t>
      </w:r>
      <w:r w:rsidR="009A13D3" w:rsidRPr="00647A9C">
        <w:t xml:space="preserve"> </w:t>
      </w:r>
      <w:r w:rsidR="005F4810">
        <w:t>tak účelovou</w:t>
      </w:r>
      <w:r w:rsidRPr="00647A9C">
        <w:t>.</w:t>
      </w:r>
      <w:r w:rsidR="005F4810">
        <w:t xml:space="preserve"> Celkem </w:t>
      </w:r>
      <w:r w:rsidR="00576906" w:rsidRPr="00576906">
        <w:t>23</w:t>
      </w:r>
      <w:r w:rsidR="005F4810" w:rsidRPr="00462172">
        <w:rPr>
          <w:color w:val="C00000"/>
        </w:rPr>
        <w:t xml:space="preserve"> </w:t>
      </w:r>
      <w:r w:rsidR="005F4810">
        <w:t xml:space="preserve">zahraničních subjektů obdrželo účelovou formu podpory. </w:t>
      </w:r>
      <w:r w:rsidRPr="00647A9C">
        <w:t xml:space="preserve"> </w:t>
      </w:r>
    </w:p>
    <w:p w:rsidR="0032208D" w:rsidRPr="00376D7A" w:rsidRDefault="00AD4691" w:rsidP="00376D7A">
      <w:pPr>
        <w:pStyle w:val="Nadpis3"/>
        <w:spacing w:before="240"/>
      </w:pPr>
      <w:r>
        <w:lastRenderedPageBreak/>
        <w:t>Státní rozpočtové výdaje na VaV</w:t>
      </w:r>
      <w:r w:rsidRPr="006E3865">
        <w:t xml:space="preserve"> </w:t>
      </w:r>
      <w:r w:rsidR="0032208D" w:rsidRPr="0032208D">
        <w:t>podle krajů</w:t>
      </w:r>
    </w:p>
    <w:p w:rsidR="00153228" w:rsidRDefault="0032208D" w:rsidP="004868AB">
      <w:pPr>
        <w:spacing w:before="120" w:after="120"/>
        <w:jc w:val="both"/>
      </w:pPr>
      <w:r>
        <w:t xml:space="preserve">Z krajského pohledu </w:t>
      </w:r>
      <w:r w:rsidR="00644F5A">
        <w:t>patří mezi</w:t>
      </w:r>
      <w:r>
        <w:t xml:space="preserve"> nejdůležitější destinace statní podpory výzkumu a vývoje kraje s vysokou koncentrací vysokých škol a v</w:t>
      </w:r>
      <w:r w:rsidR="00562E49">
        <w:t xml:space="preserve">eřejných výzkumných institucí. </w:t>
      </w:r>
    </w:p>
    <w:p w:rsidR="00F62595" w:rsidRDefault="0032208D" w:rsidP="004868AB">
      <w:pPr>
        <w:spacing w:before="120" w:after="120"/>
        <w:jc w:val="both"/>
      </w:pPr>
      <w:r>
        <w:t>Pomyslnou roli krajského centra českého výzkumu (měřeno alokací finančních prostředků státní podpory VaV) hraje hlavní město Praha, kde subjekty provádějící vý</w:t>
      </w:r>
      <w:r w:rsidR="00562E49">
        <w:t xml:space="preserve">zkum a vývoj získaly </w:t>
      </w:r>
      <w:r w:rsidR="006959FA">
        <w:t>v roce 201</w:t>
      </w:r>
      <w:r w:rsidR="00012145">
        <w:t>6</w:t>
      </w:r>
      <w:r w:rsidR="006959FA">
        <w:t xml:space="preserve"> </w:t>
      </w:r>
      <w:r w:rsidR="00562E49">
        <w:t>celkem 1</w:t>
      </w:r>
      <w:r w:rsidR="00893F91">
        <w:t>4,</w:t>
      </w:r>
      <w:r w:rsidR="00CB3FD4">
        <w:t>8</w:t>
      </w:r>
      <w:r w:rsidR="00587951">
        <w:t> </w:t>
      </w:r>
      <w:r>
        <w:t>mld.</w:t>
      </w:r>
      <w:r w:rsidR="00893F91">
        <w:t xml:space="preserve"> Kč. Částka odpovídá podílu 53</w:t>
      </w:r>
      <w:r w:rsidR="00562E49">
        <w:t xml:space="preserve"> % celkových státních rozpočtových výdajů na VaV</w:t>
      </w:r>
      <w:r>
        <w:t>. Z hlediska složení zde převažov</w:t>
      </w:r>
      <w:r w:rsidR="00562E49">
        <w:t>ala institucionální podpora (</w:t>
      </w:r>
      <w:r w:rsidR="00CB3FD4">
        <w:t>8,1</w:t>
      </w:r>
      <w:r w:rsidR="00893F91">
        <w:t xml:space="preserve"> mld. Kč; 5</w:t>
      </w:r>
      <w:r w:rsidR="00CB3FD4">
        <w:t>4</w:t>
      </w:r>
      <w:r>
        <w:t xml:space="preserve"> %) nad účelovou </w:t>
      </w:r>
      <w:r w:rsidR="00893F91">
        <w:t>(</w:t>
      </w:r>
      <w:r w:rsidR="00CB3FD4">
        <w:t>6,8</w:t>
      </w:r>
      <w:r w:rsidR="00893F91">
        <w:t xml:space="preserve"> mld. Kč; 46</w:t>
      </w:r>
      <w:r w:rsidR="00587951">
        <w:t> </w:t>
      </w:r>
      <w:r>
        <w:t>%)</w:t>
      </w:r>
      <w:r w:rsidR="004D68B3">
        <w:t xml:space="preserve">, což je dáno </w:t>
      </w:r>
      <w:r w:rsidR="00D23EF7">
        <w:t xml:space="preserve">koncentrací </w:t>
      </w:r>
      <w:r w:rsidR="004D68B3">
        <w:t>vysokých škol (získaly 5,4 mld. Kč) a ústav</w:t>
      </w:r>
      <w:r w:rsidR="00D23EF7">
        <w:t>ů</w:t>
      </w:r>
      <w:r w:rsidR="004D68B3">
        <w:t xml:space="preserve"> Akademie věd ČR (5,1 mld. Kč)</w:t>
      </w:r>
      <w:r>
        <w:t xml:space="preserve">. </w:t>
      </w:r>
    </w:p>
    <w:p w:rsidR="00203D12" w:rsidRDefault="00203D12" w:rsidP="002D362F">
      <w:pPr>
        <w:spacing w:before="120" w:after="120"/>
        <w:jc w:val="both"/>
        <w:rPr>
          <w:b/>
        </w:rPr>
      </w:pPr>
      <w:r>
        <w:rPr>
          <w:b/>
        </w:rPr>
        <w:t>GRAF 1.</w:t>
      </w:r>
      <w:r w:rsidR="00E16E53">
        <w:rPr>
          <w:b/>
        </w:rPr>
        <w:t>5</w:t>
      </w:r>
      <w:r>
        <w:rPr>
          <w:b/>
        </w:rPr>
        <w:t xml:space="preserve">: </w:t>
      </w:r>
      <w:r w:rsidR="008B7497">
        <w:rPr>
          <w:b/>
        </w:rPr>
        <w:t>Státní</w:t>
      </w:r>
      <w:r w:rsidR="008B7497" w:rsidRPr="00142861">
        <w:rPr>
          <w:b/>
        </w:rPr>
        <w:t xml:space="preserve"> </w:t>
      </w:r>
      <w:r w:rsidR="008B7497">
        <w:rPr>
          <w:b/>
        </w:rPr>
        <w:t xml:space="preserve">rozpočtové výdaje na VaV </w:t>
      </w:r>
      <w:r w:rsidRPr="00203D12">
        <w:rPr>
          <w:b/>
        </w:rPr>
        <w:t>podle krajů (mil. Kč, podí</w:t>
      </w:r>
      <w:r w:rsidR="005D2342">
        <w:rPr>
          <w:b/>
        </w:rPr>
        <w:t xml:space="preserve">l na celkových GBARD v %); </w:t>
      </w:r>
      <w:r w:rsidR="005D2342" w:rsidRPr="00811C55">
        <w:rPr>
          <w:b/>
        </w:rPr>
        <w:t>201</w:t>
      </w:r>
      <w:r w:rsidR="00574E20">
        <w:rPr>
          <w:b/>
        </w:rPr>
        <w:t>6</w:t>
      </w:r>
    </w:p>
    <w:p w:rsidR="005460E9" w:rsidRDefault="003B1F4B" w:rsidP="008C07F6">
      <w:pPr>
        <w:jc w:val="both"/>
        <w:rPr>
          <w:b/>
        </w:rPr>
      </w:pPr>
      <w:r>
        <w:rPr>
          <w:noProof/>
        </w:rPr>
        <w:drawing>
          <wp:inline distT="0" distB="0" distL="0" distR="0" wp14:anchorId="40B8D4C1" wp14:editId="10985B1B">
            <wp:extent cx="6120130" cy="3673475"/>
            <wp:effectExtent l="0" t="0" r="0" b="0"/>
            <wp:docPr id="7" name="Graf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25C7" w:rsidRPr="00026961" w:rsidRDefault="000925C7" w:rsidP="000925C7">
      <w:pPr>
        <w:spacing w:before="120" w:after="120"/>
        <w:jc w:val="both"/>
      </w:pPr>
      <w:r w:rsidRPr="00026961">
        <w:t xml:space="preserve">Subjekty provádějící VaV v Jihomoravském kraji obdržely ze státního rozpočtu celkem </w:t>
      </w:r>
      <w:r w:rsidR="005877D7">
        <w:t>5,1</w:t>
      </w:r>
      <w:r w:rsidRPr="00026961">
        <w:t xml:space="preserve"> mld. Kč</w:t>
      </w:r>
      <w:r w:rsidR="005877D7">
        <w:t xml:space="preserve"> (18 % z celkových státních rozpočtových výdajů na VaV)</w:t>
      </w:r>
      <w:r w:rsidRPr="00026961">
        <w:t xml:space="preserve">. V porovnání s Prahu se jedná o třetinu objemu získaných prostředků. </w:t>
      </w:r>
    </w:p>
    <w:p w:rsidR="000925C7" w:rsidRDefault="000925C7" w:rsidP="000925C7">
      <w:pPr>
        <w:spacing w:before="120" w:after="120"/>
        <w:jc w:val="both"/>
      </w:pPr>
      <w:r w:rsidRPr="00026961">
        <w:t>Zajímavá je třetí pozice Středočeského kraje s alokovanou částkou 1,</w:t>
      </w:r>
      <w:r w:rsidR="005877D7">
        <w:t>6</w:t>
      </w:r>
      <w:r w:rsidRPr="00026961">
        <w:t xml:space="preserve"> mld. Kč. V tomto kraji sice nepůsobí žádná veřejná vysoká škola, ale adresně zde provádí výzkum a vývoj několik veřejných výzkumných institucí</w:t>
      </w:r>
      <w:r w:rsidR="009F1D4A">
        <w:t xml:space="preserve"> a center výzkumu a vývoje postavených </w:t>
      </w:r>
      <w:r w:rsidR="009F1D4A" w:rsidRPr="009F1D4A">
        <w:t>z evropských strukturálních a investičních fondů (ESIF)</w:t>
      </w:r>
      <w:r w:rsidRPr="00026961">
        <w:t xml:space="preserve">, do nichž směřovala polovina (konkrétně </w:t>
      </w:r>
      <w:r w:rsidR="005877D7">
        <w:t>834</w:t>
      </w:r>
      <w:r w:rsidRPr="00026961">
        <w:t xml:space="preserve"> mil. Kč) </w:t>
      </w:r>
      <w:r w:rsidR="005877D7">
        <w:t>státních rozpočtových výdajů na VaV</w:t>
      </w:r>
      <w:r w:rsidRPr="00026961">
        <w:t xml:space="preserve"> v tomto kraji. </w:t>
      </w:r>
    </w:p>
    <w:p w:rsidR="00772A22" w:rsidRPr="00026961" w:rsidRDefault="00772A22" w:rsidP="000925C7">
      <w:pPr>
        <w:spacing w:before="120" w:after="120"/>
        <w:jc w:val="both"/>
      </w:pPr>
      <w:r>
        <w:t xml:space="preserve">Pouze ve dvou dalších krajích (Moravskoslezský a Olomoucký) převýšila státní </w:t>
      </w:r>
      <w:r w:rsidR="00172573">
        <w:t>rozpočtová</w:t>
      </w:r>
      <w:r>
        <w:t xml:space="preserve"> podpora VaV hranici jedné miliardy Kč. </w:t>
      </w:r>
    </w:p>
    <w:p w:rsidR="000925C7" w:rsidRDefault="000925C7" w:rsidP="000925C7">
      <w:pPr>
        <w:spacing w:before="120" w:after="120"/>
        <w:jc w:val="both"/>
      </w:pPr>
      <w:r>
        <w:t xml:space="preserve">Vůbec nejméně obdržely subjekty provádějící VaV v Karlovarském kraji (pouze </w:t>
      </w:r>
      <w:r w:rsidR="009F1D4A">
        <w:t>2,8</w:t>
      </w:r>
      <w:r>
        <w:t xml:space="preserve"> mil. Kč), což je dáno především okolností, že zde nepůsobí žádná veřejná vysoká škola ani veřejná výzkumná instituce. </w:t>
      </w:r>
    </w:p>
    <w:p w:rsidR="000925C7" w:rsidRPr="000925C7" w:rsidRDefault="000925C7" w:rsidP="000925C7">
      <w:pPr>
        <w:spacing w:before="120" w:after="120"/>
        <w:jc w:val="both"/>
      </w:pPr>
      <w:r>
        <w:t>V položce „Neurčeno“</w:t>
      </w:r>
      <w:r>
        <w:rPr>
          <w:rStyle w:val="Znakapoznpodarou"/>
        </w:rPr>
        <w:footnoteReference w:id="13"/>
      </w:r>
      <w:r>
        <w:t xml:space="preserve"> jsou uvedeny částky, jimž nebylo možné přiřadit konkrétní subjekt dle klasifikace krajů (NUTS3) z důvodu, že příjemce byl ze zahraničí nebo jím byla soukromá fyzická osoba.</w:t>
      </w:r>
    </w:p>
    <w:p w:rsidR="00B940FD" w:rsidRPr="00376D7A" w:rsidRDefault="00AD4691" w:rsidP="00376D7A">
      <w:pPr>
        <w:pStyle w:val="Nadpis3"/>
        <w:spacing w:before="240"/>
      </w:pPr>
      <w:r>
        <w:lastRenderedPageBreak/>
        <w:t>Státní rozpočtové výdaje na VaV</w:t>
      </w:r>
      <w:r w:rsidR="00B940FD" w:rsidRPr="00B940FD">
        <w:t xml:space="preserve"> podle socioekonomických cílů NABS 1992</w:t>
      </w:r>
    </w:p>
    <w:p w:rsidR="00B940FD" w:rsidRDefault="00B940FD" w:rsidP="00B940FD">
      <w:pPr>
        <w:spacing w:before="120" w:after="120"/>
        <w:jc w:val="both"/>
      </w:pPr>
      <w:r>
        <w:t xml:space="preserve">Jak bylo již uvedeno, celková částka státem rozpočtovaných výdajů na výzkum a </w:t>
      </w:r>
      <w:r w:rsidR="00811C55">
        <w:t>vývoj, představovala v roce 201</w:t>
      </w:r>
      <w:r w:rsidR="00D430E6">
        <w:t>6</w:t>
      </w:r>
      <w:r>
        <w:t xml:space="preserve"> </w:t>
      </w:r>
      <w:r w:rsidR="00D430E6" w:rsidRPr="00D430E6">
        <w:rPr>
          <w:b/>
        </w:rPr>
        <w:t>27</w:t>
      </w:r>
      <w:r w:rsidR="00D430E6">
        <w:rPr>
          <w:b/>
        </w:rPr>
        <w:t> </w:t>
      </w:r>
      <w:r w:rsidR="00D430E6" w:rsidRPr="00D430E6">
        <w:rPr>
          <w:b/>
        </w:rPr>
        <w:t>984</w:t>
      </w:r>
      <w:r w:rsidR="00D430E6">
        <w:rPr>
          <w:b/>
        </w:rPr>
        <w:t xml:space="preserve"> </w:t>
      </w:r>
      <w:r w:rsidRPr="00515B56">
        <w:rPr>
          <w:b/>
        </w:rPr>
        <w:t>mil. Kč</w:t>
      </w:r>
      <w:r w:rsidRPr="00515B56">
        <w:t>.</w:t>
      </w:r>
      <w:r>
        <w:t xml:space="preserve"> V této </w:t>
      </w:r>
      <w:r w:rsidR="0074024F">
        <w:t>části</w:t>
      </w:r>
      <w:r>
        <w:t xml:space="preserve"> bude popsáno směřování těchto prostředků z hlediska socioekonomických cílů rozlišených dle </w:t>
      </w:r>
      <w:r w:rsidRPr="007A2F09">
        <w:rPr>
          <w:b/>
        </w:rPr>
        <w:t>klasifikace NABS</w:t>
      </w:r>
      <w:r w:rsidRPr="007A2F09">
        <w:rPr>
          <w:rStyle w:val="Znakapoznpodarou"/>
          <w:b/>
        </w:rPr>
        <w:footnoteReference w:id="14"/>
      </w:r>
      <w:r w:rsidRPr="007A2F09">
        <w:rPr>
          <w:b/>
        </w:rPr>
        <w:t xml:space="preserve"> 1992</w:t>
      </w:r>
      <w:r w:rsidR="0000087C">
        <w:t>. G</w:t>
      </w:r>
      <w:r w:rsidR="00D62325">
        <w:t>rafické znázornění (Graf 1-</w:t>
      </w:r>
      <w:r w:rsidR="000E3FAA">
        <w:t>6</w:t>
      </w:r>
      <w:r>
        <w:t>), které následuje, poskytuje přehled základních 13 cílů této klasifikace. Graf zahrnuje také informaci o vývoji alokovaných pros</w:t>
      </w:r>
      <w:r w:rsidR="00247178">
        <w:t xml:space="preserve">tředků v letech </w:t>
      </w:r>
      <w:r w:rsidR="0097180D">
        <w:t>2015</w:t>
      </w:r>
      <w:r>
        <w:t xml:space="preserve"> a </w:t>
      </w:r>
      <w:r w:rsidR="00811C55">
        <w:t>201</w:t>
      </w:r>
      <w:r w:rsidR="000E3FAA">
        <w:t>6</w:t>
      </w:r>
      <w:r>
        <w:t xml:space="preserve">. </w:t>
      </w:r>
    </w:p>
    <w:p w:rsidR="00B940FD" w:rsidRDefault="00B940FD" w:rsidP="00B940FD">
      <w:pPr>
        <w:spacing w:before="120" w:after="120"/>
        <w:jc w:val="both"/>
      </w:pPr>
      <w:r>
        <w:t xml:space="preserve">Drtivá většina těchto prostředků </w:t>
      </w:r>
      <w:r w:rsidRPr="00515B56">
        <w:rPr>
          <w:b/>
        </w:rPr>
        <w:t xml:space="preserve">směřovala </w:t>
      </w:r>
      <w:r w:rsidR="00A33A6A">
        <w:rPr>
          <w:b/>
        </w:rPr>
        <w:t>v roce 201</w:t>
      </w:r>
      <w:r w:rsidR="00B745DC">
        <w:rPr>
          <w:b/>
        </w:rPr>
        <w:t>6</w:t>
      </w:r>
      <w:r w:rsidR="00A33A6A">
        <w:rPr>
          <w:b/>
        </w:rPr>
        <w:t xml:space="preserve"> </w:t>
      </w:r>
      <w:r w:rsidRPr="00515B56">
        <w:rPr>
          <w:b/>
        </w:rPr>
        <w:t>do c</w:t>
      </w:r>
      <w:r w:rsidR="00811C55">
        <w:rPr>
          <w:b/>
        </w:rPr>
        <w:t>ivilního výzkumu a vývoje (98,</w:t>
      </w:r>
      <w:r w:rsidR="007F77F4">
        <w:rPr>
          <w:b/>
        </w:rPr>
        <w:t>8</w:t>
      </w:r>
      <w:r>
        <w:rPr>
          <w:b/>
        </w:rPr>
        <w:t> </w:t>
      </w:r>
      <w:r w:rsidRPr="00515B56">
        <w:rPr>
          <w:b/>
        </w:rPr>
        <w:t>%)</w:t>
      </w:r>
      <w:r>
        <w:t xml:space="preserve">. Na </w:t>
      </w:r>
      <w:r w:rsidRPr="00C05A6E">
        <w:rPr>
          <w:b/>
        </w:rPr>
        <w:t>obranný (vojenský) výzkum a vývoj</w:t>
      </w:r>
      <w:r>
        <w:t>, který je financován výhradně z rozpočtové kapitoly Minister</w:t>
      </w:r>
      <w:r w:rsidR="00AC715F">
        <w:t>stva obrany, stát vyčlenil pouze</w:t>
      </w:r>
      <w:r>
        <w:t xml:space="preserve"> </w:t>
      </w:r>
      <w:r w:rsidR="00811C55">
        <w:rPr>
          <w:b/>
        </w:rPr>
        <w:t>1,</w:t>
      </w:r>
      <w:r w:rsidR="007F77F4">
        <w:rPr>
          <w:b/>
        </w:rPr>
        <w:t>2</w:t>
      </w:r>
      <w:r w:rsidRPr="00C05A6E">
        <w:rPr>
          <w:b/>
        </w:rPr>
        <w:t xml:space="preserve"> % výdajů</w:t>
      </w:r>
      <w:r>
        <w:t>.</w:t>
      </w:r>
    </w:p>
    <w:p w:rsidR="00B940FD" w:rsidRPr="00CB6838" w:rsidRDefault="00B351AF" w:rsidP="00B940FD">
      <w:pPr>
        <w:spacing w:before="120"/>
        <w:jc w:val="both"/>
        <w:rPr>
          <w:b/>
        </w:rPr>
      </w:pPr>
      <w:r>
        <w:rPr>
          <w:b/>
        </w:rPr>
        <w:t>GRAF 1-</w:t>
      </w:r>
      <w:r w:rsidR="000E3FAA">
        <w:rPr>
          <w:b/>
        </w:rPr>
        <w:t>6</w:t>
      </w:r>
      <w:r w:rsidR="00B940FD">
        <w:rPr>
          <w:b/>
        </w:rPr>
        <w:t>: GBA</w:t>
      </w:r>
      <w:r w:rsidR="00B940FD" w:rsidRPr="00CB6838">
        <w:rPr>
          <w:b/>
        </w:rPr>
        <w:t xml:space="preserve">RD podle hlavních socioekonomických cílů v letech </w:t>
      </w:r>
      <w:r w:rsidR="00446A05" w:rsidRPr="00A47D05">
        <w:rPr>
          <w:b/>
        </w:rPr>
        <w:t>2015</w:t>
      </w:r>
      <w:r w:rsidR="000D48A0">
        <w:rPr>
          <w:b/>
        </w:rPr>
        <w:t xml:space="preserve"> a 2016</w:t>
      </w:r>
      <w:r w:rsidR="00B940FD" w:rsidRPr="00CB6838">
        <w:rPr>
          <w:b/>
        </w:rPr>
        <w:t xml:space="preserve"> (mi</w:t>
      </w:r>
      <w:r w:rsidR="00B940FD">
        <w:rPr>
          <w:b/>
        </w:rPr>
        <w:t>l. Kč; procento</w:t>
      </w:r>
      <w:r w:rsidR="00446A05">
        <w:rPr>
          <w:b/>
        </w:rPr>
        <w:t xml:space="preserve"> z celkových GBARD v roce 201</w:t>
      </w:r>
      <w:r w:rsidR="000D48A0">
        <w:rPr>
          <w:b/>
        </w:rPr>
        <w:t>6</w:t>
      </w:r>
      <w:r w:rsidR="00B940FD" w:rsidRPr="00CB6838">
        <w:rPr>
          <w:b/>
        </w:rPr>
        <w:t>)</w:t>
      </w:r>
    </w:p>
    <w:p w:rsidR="00B940FD" w:rsidRDefault="004366E7" w:rsidP="00B940FD">
      <w:pPr>
        <w:spacing w:before="120"/>
        <w:jc w:val="both"/>
      </w:pPr>
      <w:r>
        <w:rPr>
          <w:noProof/>
        </w:rPr>
        <w:drawing>
          <wp:inline distT="0" distB="0" distL="0" distR="0" wp14:anchorId="7765A717" wp14:editId="42096C64">
            <wp:extent cx="6120130" cy="3017520"/>
            <wp:effectExtent l="0" t="0" r="0" b="0"/>
            <wp:docPr id="42" name="Graf 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E488D08-9366-4822-AEFB-B1BCAD592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925C7" w:rsidRDefault="000925C7" w:rsidP="000925C7">
      <w:pPr>
        <w:spacing w:before="120"/>
        <w:jc w:val="both"/>
      </w:pPr>
      <w:r>
        <w:t>T</w:t>
      </w:r>
      <w:r w:rsidRPr="00A13FB1">
        <w:t xml:space="preserve">éměř třetina finančních prostředků vyčleněných ze státního rozpočtu na podporu výzkumu a vývoje byla určena </w:t>
      </w:r>
      <w:r w:rsidRPr="008705D5">
        <w:rPr>
          <w:b/>
        </w:rPr>
        <w:t>neorientovanému výzkumu</w:t>
      </w:r>
      <w:r w:rsidRPr="00A13FB1">
        <w:t xml:space="preserve"> </w:t>
      </w:r>
      <w:r w:rsidRPr="008705D5">
        <w:rPr>
          <w:b/>
        </w:rPr>
        <w:t>(SEO 11)</w:t>
      </w:r>
      <w:r w:rsidRPr="00A13FB1">
        <w:t xml:space="preserve">. Částka </w:t>
      </w:r>
      <w:r w:rsidR="007D4F0E" w:rsidRPr="007D4F0E">
        <w:rPr>
          <w:b/>
        </w:rPr>
        <w:t>10</w:t>
      </w:r>
      <w:r w:rsidR="007D4F0E">
        <w:rPr>
          <w:b/>
        </w:rPr>
        <w:t> </w:t>
      </w:r>
      <w:r w:rsidR="007D4F0E" w:rsidRPr="007D4F0E">
        <w:rPr>
          <w:b/>
        </w:rPr>
        <w:t>455</w:t>
      </w:r>
      <w:r w:rsidR="007D4F0E">
        <w:rPr>
          <w:b/>
        </w:rPr>
        <w:t xml:space="preserve"> </w:t>
      </w:r>
      <w:r w:rsidRPr="008C2B90">
        <w:rPr>
          <w:b/>
        </w:rPr>
        <w:t>mil. Kč</w:t>
      </w:r>
      <w:r w:rsidRPr="00A13FB1">
        <w:t xml:space="preserve">, která byla za tímto účelem rozdělena, představuje </w:t>
      </w:r>
      <w:r>
        <w:rPr>
          <w:b/>
        </w:rPr>
        <w:t>3</w:t>
      </w:r>
      <w:r w:rsidR="007D4F0E">
        <w:rPr>
          <w:b/>
        </w:rPr>
        <w:t>7,4</w:t>
      </w:r>
      <w:r w:rsidRPr="008C2B90">
        <w:rPr>
          <w:b/>
        </w:rPr>
        <w:t xml:space="preserve"> %</w:t>
      </w:r>
      <w:r>
        <w:t xml:space="preserve"> GBA</w:t>
      </w:r>
      <w:r w:rsidRPr="00A13FB1">
        <w:t xml:space="preserve">RD. Pro výzkumné činnosti klasifikované </w:t>
      </w:r>
      <w:r w:rsidR="004A2FD3">
        <w:t>v rámci neorientovaného výzkumu</w:t>
      </w:r>
      <w:r w:rsidRPr="00A13FB1">
        <w:t xml:space="preserve"> je charakteristické, že nemají jednoznačně stanovené oblasti výzkumu (nejsou u nich určeny cíle a priority). Tím se zásadně odlišují např. od oblasti průmyslové výroby a technologií podpořené MPO. </w:t>
      </w:r>
    </w:p>
    <w:p w:rsidR="000925C7" w:rsidRDefault="000925C7" w:rsidP="000925C7">
      <w:pPr>
        <w:spacing w:before="120" w:after="120"/>
        <w:jc w:val="both"/>
      </w:pPr>
      <w:r>
        <w:rPr>
          <w:b/>
        </w:rPr>
        <w:t>D</w:t>
      </w:r>
      <w:r w:rsidRPr="008705D5">
        <w:rPr>
          <w:b/>
        </w:rPr>
        <w:t>ruhým nepodporovanějším cílem</w:t>
      </w:r>
      <w:r>
        <w:t xml:space="preserve"> byl z hlediska alokované částky ve výši </w:t>
      </w:r>
      <w:r w:rsidR="00330D12" w:rsidRPr="00330D12">
        <w:rPr>
          <w:b/>
        </w:rPr>
        <w:t>6 815</w:t>
      </w:r>
      <w:r w:rsidRPr="00330D12">
        <w:rPr>
          <w:b/>
        </w:rPr>
        <w:t xml:space="preserve"> mil. Kč</w:t>
      </w:r>
      <w:r>
        <w:t xml:space="preserve"> </w:t>
      </w:r>
      <w:r w:rsidRPr="008705D5">
        <w:rPr>
          <w:b/>
        </w:rPr>
        <w:t>všeobecný výzkum na vysokých školách (SEO 10)</w:t>
      </w:r>
      <w:r>
        <w:t>. Podíl této částky na celkových státních rozpočtových výdajích na VaV dosáhl 2</w:t>
      </w:r>
      <w:r w:rsidR="00330D12">
        <w:t>4,4</w:t>
      </w:r>
      <w:r>
        <w:t xml:space="preserve"> %. </w:t>
      </w:r>
    </w:p>
    <w:p w:rsidR="00A149F3" w:rsidRDefault="000925C7" w:rsidP="00B940FD">
      <w:pPr>
        <w:spacing w:before="120" w:after="120"/>
        <w:jc w:val="both"/>
      </w:pPr>
      <w:r>
        <w:t xml:space="preserve">Jedná se o socioekonomický cíl sdružující dle metodiky klasifikace NABS pouze institucionální prostředky směřující na podporu výzkumu na vysokých školách (specifický výzkum na vysokých školách a </w:t>
      </w:r>
      <w:r w:rsidR="00B70075">
        <w:t xml:space="preserve">dlouhodobý koncepční </w:t>
      </w:r>
      <w:r>
        <w:t>rozvoj výzkumných organizací). Podobně jako u neorientovaného výzkumu se ve většině případů jedná o podporu aktivit spadajících pod základní výzkum</w:t>
      </w:r>
      <w:r>
        <w:rPr>
          <w:rStyle w:val="Znakapoznpodarou"/>
        </w:rPr>
        <w:footnoteReference w:id="15"/>
      </w:r>
      <w:r>
        <w:t>.</w:t>
      </w:r>
    </w:p>
    <w:p w:rsidR="00B940FD" w:rsidRDefault="00B940FD" w:rsidP="00B940FD">
      <w:pPr>
        <w:spacing w:before="120" w:after="120"/>
        <w:jc w:val="both"/>
      </w:pPr>
      <w:r>
        <w:lastRenderedPageBreak/>
        <w:t xml:space="preserve">Z jednoznačně specifikovaných cílů směřovala nejvyšší část státní podpory </w:t>
      </w:r>
      <w:r w:rsidR="007B19B6">
        <w:t xml:space="preserve">VaV </w:t>
      </w:r>
      <w:r>
        <w:t xml:space="preserve">do oblasti </w:t>
      </w:r>
      <w:r w:rsidRPr="008A2E30">
        <w:rPr>
          <w:b/>
        </w:rPr>
        <w:t>průmyslové výroby a technologie (SEO 07)</w:t>
      </w:r>
      <w:r>
        <w:t xml:space="preserve">. Celkem byl výzkum a vývoj v oblasti průmyslové výroby podpořen souhrnnou částkou </w:t>
      </w:r>
      <w:r w:rsidR="001348DA" w:rsidRPr="001348DA">
        <w:rPr>
          <w:b/>
        </w:rPr>
        <w:t>2 323</w:t>
      </w:r>
      <w:r w:rsidRPr="008A2E30">
        <w:rPr>
          <w:b/>
        </w:rPr>
        <w:t xml:space="preserve"> mil. Kč</w:t>
      </w:r>
      <w:r>
        <w:rPr>
          <w:rStyle w:val="Znakapoznpodarou"/>
        </w:rPr>
        <w:footnoteReference w:id="16"/>
      </w:r>
      <w:r>
        <w:t xml:space="preserve">, odpovídající </w:t>
      </w:r>
      <w:r w:rsidR="001348DA">
        <w:rPr>
          <w:b/>
        </w:rPr>
        <w:t>8,3</w:t>
      </w:r>
      <w:r>
        <w:rPr>
          <w:b/>
        </w:rPr>
        <w:t> % celkových GBA</w:t>
      </w:r>
      <w:r w:rsidRPr="008A2E30">
        <w:rPr>
          <w:b/>
        </w:rPr>
        <w:t>RD</w:t>
      </w:r>
      <w:r>
        <w:t>. Jak již bylo řečeno, z hlediska formy financování zde jednoznačně pře</w:t>
      </w:r>
      <w:r w:rsidR="00844405">
        <w:t>važovalo účelové financování (9</w:t>
      </w:r>
      <w:r w:rsidR="00B278A0">
        <w:t>1</w:t>
      </w:r>
      <w:r w:rsidR="0072031C">
        <w:t> </w:t>
      </w:r>
      <w:r>
        <w:t xml:space="preserve">%). </w:t>
      </w:r>
      <w:r w:rsidR="00B278A0">
        <w:t xml:space="preserve">Oproti roku 2015 došlo k znatelnému poklesu zastoupení tohoto cíle na celkových GBARD o </w:t>
      </w:r>
      <w:r w:rsidR="00B465A4">
        <w:t>2,4procentního</w:t>
      </w:r>
      <w:r w:rsidR="00A17122">
        <w:t xml:space="preserve"> bodu.</w:t>
      </w:r>
    </w:p>
    <w:p w:rsidR="00B940FD" w:rsidRDefault="00B940FD" w:rsidP="00B940FD">
      <w:pPr>
        <w:spacing w:before="120" w:after="120"/>
        <w:jc w:val="both"/>
      </w:pPr>
      <w:r>
        <w:t>Pro daný socioekonomický cíl jsou charakteristické činnosti spojené s aplikovaným výzkumem a experimentálním vývojem v oblasti průmyslové výroby a technologií. Sledujeme-li výzkumné činnosti na nižším stupni třídění z hlediska dílčích cílů, jsou zde rozlišena jednotlivá odvětví zpracovatelského průmyslu.</w:t>
      </w:r>
      <w:r w:rsidR="00AE66B6">
        <w:t xml:space="preserve"> Blíže viz graf 1-8.</w:t>
      </w:r>
      <w:r>
        <w:t xml:space="preserve"> </w:t>
      </w:r>
    </w:p>
    <w:p w:rsidR="00B940FD" w:rsidRDefault="00B940FD" w:rsidP="00B940FD">
      <w:pPr>
        <w:spacing w:before="120" w:after="120"/>
        <w:jc w:val="both"/>
      </w:pPr>
      <w:r>
        <w:t xml:space="preserve">Finanční prostředky v oblasti průmyslové výroby a technologií (SEO 07) jsou nejčastěji adresovány soukromým podnikům na podporu jejich výzkumných a vývojových aktivit. V podpoře průmyslového VaV </w:t>
      </w:r>
      <w:r w:rsidR="000217E8">
        <w:t xml:space="preserve">hraje významnou roli </w:t>
      </w:r>
      <w:r>
        <w:t>Technologick</w:t>
      </w:r>
      <w:r w:rsidR="000217E8">
        <w:t>á agentura</w:t>
      </w:r>
      <w:r w:rsidR="008C0742">
        <w:t xml:space="preserve"> ČR, která v roce 201</w:t>
      </w:r>
      <w:r w:rsidR="0068705D">
        <w:t xml:space="preserve">6 </w:t>
      </w:r>
      <w:r>
        <w:t>financovala projekty VaV spojené s průmyslovou výrobou technologií</w:t>
      </w:r>
      <w:r w:rsidR="008C0742">
        <w:t xml:space="preserve"> souhrnnou částkou ve výši </w:t>
      </w:r>
      <w:r w:rsidR="0068705D" w:rsidRPr="0068705D">
        <w:t>1</w:t>
      </w:r>
      <w:r w:rsidR="0068705D">
        <w:t> </w:t>
      </w:r>
      <w:r w:rsidR="0068705D" w:rsidRPr="0068705D">
        <w:t>25</w:t>
      </w:r>
      <w:r w:rsidR="0068705D">
        <w:t xml:space="preserve">7 </w:t>
      </w:r>
      <w:r>
        <w:t xml:space="preserve">mil. Kč. V uvedeném roce tato agentura financovala průmyslový VaV </w:t>
      </w:r>
      <w:r w:rsidR="00581C5D">
        <w:t>3krát</w:t>
      </w:r>
      <w:r w:rsidR="00982A83">
        <w:t xml:space="preserve"> </w:t>
      </w:r>
      <w:r>
        <w:t>vyšší částkou než MPO</w:t>
      </w:r>
      <w:r>
        <w:rPr>
          <w:rStyle w:val="Znakapoznpodarou"/>
        </w:rPr>
        <w:footnoteReference w:id="17"/>
      </w:r>
      <w:r w:rsidR="002B3194">
        <w:t xml:space="preserve"> (</w:t>
      </w:r>
      <w:r w:rsidR="00581C5D">
        <w:t>441</w:t>
      </w:r>
      <w:r w:rsidR="002B3194">
        <w:t xml:space="preserve"> mil. Kč)</w:t>
      </w:r>
      <w:r>
        <w:t>.</w:t>
      </w:r>
    </w:p>
    <w:p w:rsidR="009C6FC8" w:rsidRPr="00CB6838" w:rsidRDefault="009C6FC8" w:rsidP="009C6FC8">
      <w:pPr>
        <w:spacing w:before="120"/>
        <w:jc w:val="both"/>
        <w:rPr>
          <w:b/>
        </w:rPr>
      </w:pPr>
      <w:r>
        <w:rPr>
          <w:b/>
        </w:rPr>
        <w:t>GRAF 1-7: Struktura GBA</w:t>
      </w:r>
      <w:r w:rsidRPr="00CB6838">
        <w:rPr>
          <w:b/>
        </w:rPr>
        <w:t>RD podle hlavních socioekonomických cílů</w:t>
      </w:r>
      <w:r>
        <w:rPr>
          <w:b/>
        </w:rPr>
        <w:t xml:space="preserve"> a for</w:t>
      </w:r>
      <w:r w:rsidR="00B95DB0">
        <w:rPr>
          <w:b/>
        </w:rPr>
        <w:t>my</w:t>
      </w:r>
      <w:r>
        <w:rPr>
          <w:b/>
        </w:rPr>
        <w:t xml:space="preserve"> podpory</w:t>
      </w:r>
      <w:r w:rsidR="00B95DB0">
        <w:rPr>
          <w:b/>
        </w:rPr>
        <w:t>;</w:t>
      </w:r>
      <w:r>
        <w:rPr>
          <w:b/>
        </w:rPr>
        <w:t xml:space="preserve"> 2016</w:t>
      </w:r>
      <w:r w:rsidRPr="00CB6838">
        <w:rPr>
          <w:b/>
        </w:rPr>
        <w:t xml:space="preserve"> </w:t>
      </w:r>
    </w:p>
    <w:p w:rsidR="009C6FC8" w:rsidRDefault="00B95DB0" w:rsidP="005C5DD9">
      <w:pPr>
        <w:spacing w:before="120" w:after="120"/>
        <w:jc w:val="both"/>
      </w:pPr>
      <w:r>
        <w:rPr>
          <w:noProof/>
        </w:rPr>
        <w:drawing>
          <wp:inline distT="0" distB="0" distL="0" distR="0" wp14:anchorId="48A0FEC0" wp14:editId="33FD30B9">
            <wp:extent cx="6120130" cy="2889250"/>
            <wp:effectExtent l="0" t="0" r="0" b="0"/>
            <wp:docPr id="44" name="Graf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5DB0" w:rsidRDefault="00B95DB0" w:rsidP="005C5DD9">
      <w:pPr>
        <w:jc w:val="both"/>
      </w:pPr>
    </w:p>
    <w:p w:rsidR="005C5DD9" w:rsidRDefault="005C5DD9" w:rsidP="005C5DD9">
      <w:pPr>
        <w:jc w:val="both"/>
      </w:pPr>
      <w:r>
        <w:t xml:space="preserve">Významný objem </w:t>
      </w:r>
      <w:r w:rsidR="00213BB3">
        <w:t>veřejné podpory VaV pro rok 201</w:t>
      </w:r>
      <w:r w:rsidR="002C430B">
        <w:t>6</w:t>
      </w:r>
      <w:r>
        <w:t xml:space="preserve"> plynul do oblasti </w:t>
      </w:r>
      <w:r w:rsidRPr="00A06C1F">
        <w:rPr>
          <w:b/>
        </w:rPr>
        <w:t>ochrany a zlepšování lidského zdraví</w:t>
      </w:r>
      <w:r>
        <w:t xml:space="preserve"> </w:t>
      </w:r>
      <w:r w:rsidRPr="004A2E6F">
        <w:rPr>
          <w:b/>
        </w:rPr>
        <w:t>(SEO 04)</w:t>
      </w:r>
      <w:r>
        <w:t xml:space="preserve">. Jednalo se zejména o finanční prostředky z rozpočtu Ministerstva zdravotnictví. V souhrnu byly v oblasti související s výzkumem lidského zdraví rozděleny finance v celkové výši </w:t>
      </w:r>
      <w:r w:rsidR="002C430B" w:rsidRPr="002C430B">
        <w:rPr>
          <w:b/>
        </w:rPr>
        <w:t>1</w:t>
      </w:r>
      <w:r w:rsidR="002C430B">
        <w:rPr>
          <w:b/>
        </w:rPr>
        <w:t> </w:t>
      </w:r>
      <w:r w:rsidR="002C430B" w:rsidRPr="002C430B">
        <w:rPr>
          <w:b/>
        </w:rPr>
        <w:t>95</w:t>
      </w:r>
      <w:r w:rsidR="002C430B">
        <w:rPr>
          <w:b/>
        </w:rPr>
        <w:t xml:space="preserve">4 </w:t>
      </w:r>
      <w:r w:rsidRPr="00A06C1F">
        <w:rPr>
          <w:b/>
        </w:rPr>
        <w:t>mil. Kč</w:t>
      </w:r>
      <w:r>
        <w:t xml:space="preserve">., což odpovídá </w:t>
      </w:r>
      <w:r w:rsidR="002C430B">
        <w:rPr>
          <w:b/>
        </w:rPr>
        <w:t>7</w:t>
      </w:r>
      <w:r w:rsidR="00213BB3">
        <w:rPr>
          <w:b/>
        </w:rPr>
        <w:t> </w:t>
      </w:r>
      <w:r w:rsidRPr="00A06C1F">
        <w:rPr>
          <w:b/>
        </w:rPr>
        <w:t>%</w:t>
      </w:r>
      <w:r>
        <w:t xml:space="preserve"> celkových GBARD. Příjemci těchto prostředků byly převážně nemocnice, zejména pak fakultní </w:t>
      </w:r>
      <w:r w:rsidR="00213BB3">
        <w:t>nemocnice, přičemž 7</w:t>
      </w:r>
      <w:r w:rsidR="00551E93">
        <w:t>4</w:t>
      </w:r>
      <w:r w:rsidR="00213BB3">
        <w:t xml:space="preserve"> % (</w:t>
      </w:r>
      <w:r w:rsidR="00551E93" w:rsidRPr="00551E93">
        <w:t>1 45</w:t>
      </w:r>
      <w:r w:rsidR="00551E93">
        <w:t>1</w:t>
      </w:r>
      <w:r>
        <w:t xml:space="preserve"> mil. Kč) podpory VaV ve zdravotní oblasti bylo čerpáno formou účelové podpory. Formou institucionální podpo</w:t>
      </w:r>
      <w:r w:rsidR="00213BB3">
        <w:t>ry bylo přijato zbývajících 2</w:t>
      </w:r>
      <w:r w:rsidR="00551E93">
        <w:t>6</w:t>
      </w:r>
      <w:r w:rsidR="00213BB3">
        <w:t xml:space="preserve"> % prostředků (</w:t>
      </w:r>
      <w:r w:rsidR="00551E93" w:rsidRPr="00551E93">
        <w:t>50</w:t>
      </w:r>
      <w:r w:rsidR="00551E93">
        <w:t>3</w:t>
      </w:r>
      <w:r>
        <w:t xml:space="preserve"> mil. Kč). Jak již bylo řečeno, lékařský výzkum je také klasifikován v rámci dříve jmenovaných socioekonomických cílů</w:t>
      </w:r>
      <w:r>
        <w:rPr>
          <w:rStyle w:val="Znakapoznpodarou"/>
        </w:rPr>
        <w:footnoteReference w:id="18"/>
      </w:r>
      <w:r>
        <w:t xml:space="preserve">.  </w:t>
      </w:r>
    </w:p>
    <w:p w:rsidR="005C5DD9" w:rsidRDefault="005C5DD9" w:rsidP="005C5DD9">
      <w:pPr>
        <w:spacing w:before="120" w:after="120"/>
        <w:jc w:val="both"/>
      </w:pPr>
      <w:r>
        <w:t xml:space="preserve">Se souhrnnou přidělenou veřejnou podporou VaV ve výši </w:t>
      </w:r>
      <w:r w:rsidR="00AE12DC">
        <w:rPr>
          <w:b/>
        </w:rPr>
        <w:t>1 1</w:t>
      </w:r>
      <w:r w:rsidR="00AB0477">
        <w:rPr>
          <w:b/>
        </w:rPr>
        <w:t>00</w:t>
      </w:r>
      <w:r w:rsidRPr="00D147B3">
        <w:rPr>
          <w:b/>
        </w:rPr>
        <w:t xml:space="preserve"> mil. Kč</w:t>
      </w:r>
      <w:r>
        <w:t xml:space="preserve"> byla oblast </w:t>
      </w:r>
      <w:r>
        <w:rPr>
          <w:b/>
        </w:rPr>
        <w:t>z</w:t>
      </w:r>
      <w:r w:rsidRPr="00A83B8B">
        <w:rPr>
          <w:b/>
        </w:rPr>
        <w:t>eměd</w:t>
      </w:r>
      <w:r>
        <w:rPr>
          <w:b/>
        </w:rPr>
        <w:t>ělské výroby a technologie (SEO </w:t>
      </w:r>
      <w:r w:rsidRPr="00A83B8B">
        <w:rPr>
          <w:b/>
        </w:rPr>
        <w:t>06)</w:t>
      </w:r>
      <w:r>
        <w:t xml:space="preserve"> v roce 201</w:t>
      </w:r>
      <w:r w:rsidR="00AB0477">
        <w:t>6</w:t>
      </w:r>
      <w:r>
        <w:t xml:space="preserve"> šestým </w:t>
      </w:r>
      <w:r w:rsidR="00AE12DC">
        <w:t>nepodporovanějším</w:t>
      </w:r>
      <w:r>
        <w:t xml:space="preserve"> cílem. Z hlediska celkových GBARD směřovalo do oblasti zemědělství </w:t>
      </w:r>
      <w:r w:rsidR="00AB0477" w:rsidRPr="00055C01">
        <w:rPr>
          <w:b/>
        </w:rPr>
        <w:t>3,9</w:t>
      </w:r>
      <w:r w:rsidRPr="00055C01">
        <w:rPr>
          <w:b/>
        </w:rPr>
        <w:t xml:space="preserve"> %</w:t>
      </w:r>
      <w:r>
        <w:t xml:space="preserve"> prostředků. </w:t>
      </w:r>
    </w:p>
    <w:p w:rsidR="005C5DD9" w:rsidRDefault="005C5DD9" w:rsidP="005C5DD9">
      <w:pPr>
        <w:spacing w:before="120" w:after="120"/>
        <w:jc w:val="both"/>
      </w:pPr>
      <w:r>
        <w:lastRenderedPageBreak/>
        <w:t>Do oblasti zemědělské výroby a technologie je zařazen veškerý výzkum v oblasti zemědělství, lesnictví, rybářství a produkce potravin. Finanční prostředky jsou využívány k podpoře výzkumu umělých hnojiv, prostředků k hubení škůdců či pesticidů, veterinární medicíny, mechanizace zemědělství či jiných postupů zvyšování produktivity v zemědělství, lesnictví či rybářství. O podporu VaV v této oblasti se stará zejmé</w:t>
      </w:r>
      <w:r w:rsidR="008136CB">
        <w:t>na Ministerstvo zemědělství (</w:t>
      </w:r>
      <w:r w:rsidR="001B4A9D">
        <w:t>800</w:t>
      </w:r>
      <w:r>
        <w:t xml:space="preserve"> mil. Kč). Hlavními příjemci těchto prostředků byly veřejné výzkumné instituce (včetn</w:t>
      </w:r>
      <w:r w:rsidR="008136CB">
        <w:t>ě AV ČR), do nichž směřovalo 5</w:t>
      </w:r>
      <w:r w:rsidR="00450CA5">
        <w:t>35</w:t>
      </w:r>
      <w:r>
        <w:t xml:space="preserve"> mil. Kč. Dále podniky, které z těchto p</w:t>
      </w:r>
      <w:r w:rsidR="008136CB">
        <w:t>rostředků získaly 3</w:t>
      </w:r>
      <w:r w:rsidR="00450CA5">
        <w:t>30</w:t>
      </w:r>
      <w:r>
        <w:t xml:space="preserve"> mil. Kč a veřejné vyso</w:t>
      </w:r>
      <w:r w:rsidR="008136CB">
        <w:t>ké školy, které si rozdělily 2</w:t>
      </w:r>
      <w:r w:rsidR="00450CA5">
        <w:t>05</w:t>
      </w:r>
      <w:r>
        <w:t xml:space="preserve"> mil. Kč.</w:t>
      </w:r>
    </w:p>
    <w:p w:rsidR="00A7694F" w:rsidRPr="00CB6838" w:rsidRDefault="00A7694F" w:rsidP="00A7694F">
      <w:pPr>
        <w:spacing w:before="120"/>
        <w:jc w:val="both"/>
        <w:rPr>
          <w:b/>
        </w:rPr>
      </w:pPr>
      <w:r>
        <w:rPr>
          <w:b/>
        </w:rPr>
        <w:t xml:space="preserve">GRAF 1-8: Průmyslová výroba a technologie (SEO 07) podle dílčích </w:t>
      </w:r>
      <w:r w:rsidRPr="00CB6838">
        <w:rPr>
          <w:b/>
        </w:rPr>
        <w:t xml:space="preserve">socioekonomických cílů v letech </w:t>
      </w:r>
      <w:r>
        <w:rPr>
          <w:b/>
        </w:rPr>
        <w:t xml:space="preserve">2010, </w:t>
      </w:r>
      <w:r w:rsidRPr="00A47D05">
        <w:rPr>
          <w:b/>
        </w:rPr>
        <w:t>2015</w:t>
      </w:r>
      <w:r>
        <w:rPr>
          <w:b/>
        </w:rPr>
        <w:t xml:space="preserve"> a 2016</w:t>
      </w:r>
      <w:r w:rsidRPr="00CB6838">
        <w:rPr>
          <w:b/>
        </w:rPr>
        <w:t xml:space="preserve"> (mi</w:t>
      </w:r>
      <w:r>
        <w:rPr>
          <w:b/>
        </w:rPr>
        <w:t>l. Kč</w:t>
      </w:r>
      <w:r w:rsidRPr="00CB6838">
        <w:rPr>
          <w:b/>
        </w:rPr>
        <w:t>)</w:t>
      </w:r>
    </w:p>
    <w:p w:rsidR="00A7694F" w:rsidRDefault="00A7694F" w:rsidP="005C5DD9">
      <w:pPr>
        <w:spacing w:before="120" w:after="120"/>
        <w:jc w:val="both"/>
      </w:pPr>
      <w:r>
        <w:rPr>
          <w:noProof/>
        </w:rPr>
        <w:drawing>
          <wp:inline distT="0" distB="0" distL="0" distR="0" wp14:anchorId="7DB43E2E" wp14:editId="6ABD6E10">
            <wp:extent cx="6120130" cy="4311650"/>
            <wp:effectExtent l="0" t="0" r="0" b="0"/>
            <wp:docPr id="48" name="Graf 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BA3FFF4-385A-4F97-A409-5122F47CF8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5DD9" w:rsidRDefault="005C5DD9" w:rsidP="005C5DD9">
      <w:pPr>
        <w:spacing w:before="120" w:after="120"/>
        <w:jc w:val="both"/>
      </w:pPr>
      <w:r>
        <w:t>Další</w:t>
      </w:r>
      <w:r w:rsidR="009A42BA">
        <w:t xml:space="preserve"> oblastí VaV, do níž v roce 201</w:t>
      </w:r>
      <w:r w:rsidR="0089478A">
        <w:t>6</w:t>
      </w:r>
      <w:r>
        <w:t xml:space="preserve"> směřovala státní finanční podpora přesahující 1 mld. Kč. (přesně se jednalo o </w:t>
      </w:r>
      <w:r w:rsidR="009A42BA">
        <w:rPr>
          <w:b/>
        </w:rPr>
        <w:t>1 0</w:t>
      </w:r>
      <w:r w:rsidR="00284544">
        <w:rPr>
          <w:b/>
        </w:rPr>
        <w:t>02</w:t>
      </w:r>
      <w:r w:rsidRPr="00AF6E7B">
        <w:rPr>
          <w:b/>
        </w:rPr>
        <w:t xml:space="preserve"> mil. Kč</w:t>
      </w:r>
      <w:r>
        <w:t xml:space="preserve">), byla oblast </w:t>
      </w:r>
      <w:r w:rsidRPr="00AF6E7B">
        <w:rPr>
          <w:b/>
        </w:rPr>
        <w:t>infrastruktury a územního plánování (SEO 02)</w:t>
      </w:r>
      <w:r>
        <w:t>. Tento socioekonomický cíl sdružuje VaV v oblasti územního plánování, plánování a stavby budov, inženýrských a vodohospodářských staveb, telekomunikací, dopravy apod. Podíl tohoto cíle na</w:t>
      </w:r>
      <w:r w:rsidR="000217E8">
        <w:t xml:space="preserve"> celkových GBARD činil</w:t>
      </w:r>
      <w:r w:rsidR="009A42BA">
        <w:t xml:space="preserve"> </w:t>
      </w:r>
      <w:r w:rsidR="009A42BA" w:rsidRPr="000478A7">
        <w:rPr>
          <w:b/>
        </w:rPr>
        <w:t>3,</w:t>
      </w:r>
      <w:r w:rsidR="00284544" w:rsidRPr="000478A7">
        <w:rPr>
          <w:b/>
        </w:rPr>
        <w:t>6</w:t>
      </w:r>
      <w:r w:rsidR="000217E8" w:rsidRPr="000478A7">
        <w:rPr>
          <w:b/>
        </w:rPr>
        <w:t> </w:t>
      </w:r>
      <w:r w:rsidRPr="000478A7">
        <w:rPr>
          <w:b/>
        </w:rPr>
        <w:t>%</w:t>
      </w:r>
      <w:r>
        <w:t>. Příjemci podpor</w:t>
      </w:r>
      <w:r w:rsidR="009A42BA">
        <w:t>y byly veřejné vysoké školy (385</w:t>
      </w:r>
      <w:r>
        <w:t xml:space="preserve"> mil. Kč),</w:t>
      </w:r>
      <w:r w:rsidR="009A42BA">
        <w:t xml:space="preserve"> veřejné výzkumné instituce (1</w:t>
      </w:r>
      <w:r w:rsidR="0072015F">
        <w:t>28</w:t>
      </w:r>
      <w:r w:rsidR="009A42BA">
        <w:t> mil. Kč) a podniky (</w:t>
      </w:r>
      <w:r w:rsidR="0072015F">
        <w:t>475</w:t>
      </w:r>
      <w:r>
        <w:t xml:space="preserve"> mil. Kč)</w:t>
      </w:r>
      <w:r w:rsidR="009A42BA">
        <w:t xml:space="preserve"> včetně sdružení starající se o páteřní sít českého internetu</w:t>
      </w:r>
      <w:r>
        <w:t>.</w:t>
      </w:r>
    </w:p>
    <w:p w:rsidR="00B95DB0" w:rsidRDefault="00B95DB0" w:rsidP="005C5DD9">
      <w:pPr>
        <w:spacing w:before="120" w:after="120"/>
        <w:jc w:val="both"/>
      </w:pPr>
      <w:r>
        <w:t xml:space="preserve">Výzkumní pracovníci směřující své výzkumné úsilí do sociální oblasti vyčleněné pod jednotným socioekonomickým cílem s označením </w:t>
      </w:r>
      <w:r w:rsidRPr="002E0C7F">
        <w:rPr>
          <w:b/>
        </w:rPr>
        <w:t>společenské struktury a vztahy (SEO 08)</w:t>
      </w:r>
      <w:r>
        <w:t xml:space="preserve"> mohli pro svou výzkumnou činnost využít </w:t>
      </w:r>
      <w:r w:rsidRPr="002C430B">
        <w:rPr>
          <w:b/>
        </w:rPr>
        <w:t xml:space="preserve">850 </w:t>
      </w:r>
      <w:r w:rsidRPr="0032168E">
        <w:rPr>
          <w:b/>
        </w:rPr>
        <w:t xml:space="preserve">mil. Kč </w:t>
      </w:r>
      <w:r>
        <w:t>z veřejných prostředků (</w:t>
      </w:r>
      <w:r w:rsidRPr="000478A7">
        <w:rPr>
          <w:b/>
        </w:rPr>
        <w:t>3 %</w:t>
      </w:r>
      <w:r>
        <w:t xml:space="preserve"> z celkových GBARD). Oproti roku 2015 došlo k výraznému poklesu veřejné podpory výzkumu v tomto cíli o 59 %. </w:t>
      </w:r>
      <w:r w:rsidR="000478A7">
        <w:t xml:space="preserve">Tento fakt souvisí s ukončením Operačního programu </w:t>
      </w:r>
      <w:r w:rsidRPr="00440AB9">
        <w:t>Vzdělávání pro konkurenceschopnost</w:t>
      </w:r>
      <w:r>
        <w:t>.</w:t>
      </w:r>
    </w:p>
    <w:p w:rsidR="00B95DB0" w:rsidRDefault="00B95DB0" w:rsidP="005C5DD9">
      <w:pPr>
        <w:spacing w:before="120" w:after="120"/>
        <w:jc w:val="both"/>
      </w:pPr>
      <w:r>
        <w:t>Jednalo se zejména o výzkumné činnosti probíhající v úzkém kontaktu s poznatky v oblasti společenských a humanitních věd. Oblasti, které mohly být v rámci daného cíle rozvíjeny, zahrnovaly např. kulturní aktivity, vzdělávání a rekvalifikace, řízení, sociální zabezpečení apod.</w:t>
      </w:r>
    </w:p>
    <w:p w:rsidR="005C5DD9" w:rsidRPr="0027191E" w:rsidRDefault="005C5DD9" w:rsidP="005C5DD9">
      <w:pPr>
        <w:spacing w:before="120" w:after="120"/>
        <w:jc w:val="both"/>
      </w:pPr>
      <w:r w:rsidRPr="0027191E">
        <w:lastRenderedPageBreak/>
        <w:t xml:space="preserve">Zajímavou výzkumnou a vývojovou oblastí je </w:t>
      </w:r>
      <w:r w:rsidRPr="0027191E">
        <w:rPr>
          <w:b/>
        </w:rPr>
        <w:t>výroba, distribuce a racionální využití energie (SEO 05)</w:t>
      </w:r>
      <w:r w:rsidRPr="0027191E">
        <w:t>. Tato kategorie sdružuje VaV zaměřený na výrobu, distribuci, uchovávání a racionální či efektivní využití veškerých forem energie. Výzkum spadající d</w:t>
      </w:r>
      <w:r w:rsidR="007C20B9">
        <w:t>o tohoto cíle získal v roce 201</w:t>
      </w:r>
      <w:r w:rsidR="00771B63">
        <w:t>6</w:t>
      </w:r>
      <w:r w:rsidRPr="0027191E">
        <w:t xml:space="preserve"> </w:t>
      </w:r>
      <w:r>
        <w:t>veřejnou</w:t>
      </w:r>
      <w:r w:rsidR="007C20B9">
        <w:t xml:space="preserve"> podporu v celkové výši </w:t>
      </w:r>
      <w:r w:rsidR="00771B63" w:rsidRPr="00493A82">
        <w:rPr>
          <w:b/>
        </w:rPr>
        <w:t>886</w:t>
      </w:r>
      <w:r w:rsidR="007C20B9" w:rsidRPr="00493A82">
        <w:rPr>
          <w:b/>
        </w:rPr>
        <w:t xml:space="preserve"> mil. Kč</w:t>
      </w:r>
      <w:r w:rsidR="007C20B9">
        <w:t xml:space="preserve"> (</w:t>
      </w:r>
      <w:r w:rsidR="00771B63" w:rsidRPr="00493A82">
        <w:rPr>
          <w:b/>
        </w:rPr>
        <w:t>3,2</w:t>
      </w:r>
      <w:r w:rsidRPr="00493A82">
        <w:rPr>
          <w:b/>
        </w:rPr>
        <w:t xml:space="preserve"> %</w:t>
      </w:r>
      <w:r w:rsidRPr="0027191E">
        <w:t xml:space="preserve"> z celkových GBARD). Úč</w:t>
      </w:r>
      <w:r w:rsidR="007C20B9">
        <w:t>elovou formou byl</w:t>
      </w:r>
      <w:r w:rsidR="00B057FE">
        <w:t>a</w:t>
      </w:r>
      <w:r w:rsidR="007C20B9">
        <w:t xml:space="preserve"> alokován</w:t>
      </w:r>
      <w:r w:rsidR="00B057FE">
        <w:t>a většina prostředků (</w:t>
      </w:r>
      <w:r w:rsidR="00B057FE" w:rsidRPr="00B057FE">
        <w:t>849</w:t>
      </w:r>
      <w:r w:rsidR="00292F47">
        <w:t> </w:t>
      </w:r>
      <w:r w:rsidR="007C20B9">
        <w:t>mil.</w:t>
      </w:r>
      <w:r w:rsidR="00292F47">
        <w:t> </w:t>
      </w:r>
      <w:r w:rsidR="007C20B9">
        <w:t>Kč</w:t>
      </w:r>
      <w:r w:rsidR="00B057FE">
        <w:t xml:space="preserve">; </w:t>
      </w:r>
      <w:r w:rsidR="007C20B9">
        <w:t>95</w:t>
      </w:r>
      <w:r w:rsidR="00B057FE">
        <w:t>,8</w:t>
      </w:r>
      <w:r w:rsidRPr="0027191E">
        <w:t xml:space="preserve"> %), </w:t>
      </w:r>
      <w:r w:rsidR="007C20B9">
        <w:t>zatímco institucionální pouze 3</w:t>
      </w:r>
      <w:r w:rsidR="00B057FE">
        <w:t>7</w:t>
      </w:r>
      <w:r w:rsidRPr="0027191E">
        <w:t xml:space="preserve"> mil. Kč. Podstatná čá</w:t>
      </w:r>
      <w:r w:rsidR="00B736A2">
        <w:t xml:space="preserve">st těchto prostředků (celkem </w:t>
      </w:r>
      <w:r w:rsidR="00292F47">
        <w:t>601</w:t>
      </w:r>
      <w:r w:rsidRPr="0027191E">
        <w:t xml:space="preserve"> mil. Kč) mířila</w:t>
      </w:r>
      <w:r w:rsidR="00B736A2">
        <w:t xml:space="preserve"> do podnikové sféry. Dalších 2</w:t>
      </w:r>
      <w:r w:rsidR="00292F47">
        <w:t>06</w:t>
      </w:r>
      <w:r w:rsidRPr="0027191E">
        <w:t xml:space="preserve"> mil. Kč bylo rozděleno mezi veřejné vysoké školy.</w:t>
      </w:r>
      <w:r w:rsidR="00986ADD">
        <w:t xml:space="preserve"> Výzkumné projekty v oblasti obnovitelných zdrojů energie získaly podporu ve výši </w:t>
      </w:r>
      <w:r w:rsidR="00292F47">
        <w:t>64</w:t>
      </w:r>
      <w:r w:rsidR="00986ADD">
        <w:t xml:space="preserve"> mil. Kč </w:t>
      </w:r>
    </w:p>
    <w:p w:rsidR="009254CF" w:rsidRDefault="009254CF" w:rsidP="009254CF">
      <w:pPr>
        <w:spacing w:before="120" w:after="120"/>
        <w:jc w:val="both"/>
      </w:pPr>
      <w:r w:rsidRPr="00A235EF">
        <w:t xml:space="preserve">Výzkum v oblasti </w:t>
      </w:r>
      <w:r w:rsidRPr="00A235EF">
        <w:rPr>
          <w:b/>
        </w:rPr>
        <w:t>ochrany životního prostředí (SEO 03)</w:t>
      </w:r>
      <w:r w:rsidRPr="00A235EF">
        <w:t xml:space="preserve"> byl v roce 2</w:t>
      </w:r>
      <w:r w:rsidR="00CC5EC7">
        <w:t>01</w:t>
      </w:r>
      <w:r w:rsidR="005F0B96">
        <w:t>6</w:t>
      </w:r>
      <w:r w:rsidRPr="00A235EF">
        <w:t xml:space="preserve"> podpořen souhrnnou částkou ve výši </w:t>
      </w:r>
      <w:r w:rsidR="005F0B96" w:rsidRPr="005F0B96">
        <w:rPr>
          <w:b/>
        </w:rPr>
        <w:t>565</w:t>
      </w:r>
      <w:r w:rsidRPr="00A235EF">
        <w:rPr>
          <w:b/>
        </w:rPr>
        <w:t xml:space="preserve"> mil. Kč</w:t>
      </w:r>
      <w:r>
        <w:rPr>
          <w:rStyle w:val="Znakapoznpodarou"/>
          <w:b/>
        </w:rPr>
        <w:footnoteReference w:id="19"/>
      </w:r>
      <w:r w:rsidRPr="00A235EF">
        <w:t xml:space="preserve"> odpovídaj</w:t>
      </w:r>
      <w:r>
        <w:t>ícím podílu</w:t>
      </w:r>
      <w:r w:rsidR="005F0B96">
        <w:t xml:space="preserve"> rovných</w:t>
      </w:r>
      <w:r>
        <w:t xml:space="preserve"> </w:t>
      </w:r>
      <w:r w:rsidRPr="00A235EF">
        <w:rPr>
          <w:b/>
        </w:rPr>
        <w:t>2</w:t>
      </w:r>
      <w:r w:rsidR="005F0B96">
        <w:rPr>
          <w:b/>
        </w:rPr>
        <w:t xml:space="preserve"> </w:t>
      </w:r>
      <w:r w:rsidRPr="00A235EF">
        <w:rPr>
          <w:b/>
        </w:rPr>
        <w:t>% z celkových GBARD</w:t>
      </w:r>
      <w:r w:rsidRPr="00A235EF">
        <w:t xml:space="preserve">. </w:t>
      </w:r>
    </w:p>
    <w:p w:rsidR="009254CF" w:rsidRDefault="009254CF" w:rsidP="009254CF">
      <w:pPr>
        <w:spacing w:before="120" w:after="120"/>
        <w:jc w:val="both"/>
        <w:rPr>
          <w:color w:val="C00000"/>
        </w:rPr>
      </w:pPr>
      <w:r w:rsidRPr="00A235EF">
        <w:t>VaV zaměřený na ochranu životního prostředí zahrnuje dle klasifikace NABS identifikaci a analýzu zdrojů a příčin znečišťování, analýzu znečišťujících látek a jejich dopadů na člověka, přírodu a životní prostředí, rozvoj měřících zařízení a monitorovacích systémů.</w:t>
      </w:r>
    </w:p>
    <w:p w:rsidR="005C5DD9" w:rsidRDefault="00916804" w:rsidP="009254CF">
      <w:pPr>
        <w:spacing w:before="120" w:after="120"/>
        <w:jc w:val="both"/>
      </w:pPr>
      <w:r>
        <w:t>Celkem 95,</w:t>
      </w:r>
      <w:r w:rsidR="00E877A4">
        <w:t>3</w:t>
      </w:r>
      <w:r>
        <w:t xml:space="preserve"> % (</w:t>
      </w:r>
      <w:r w:rsidR="00E877A4" w:rsidRPr="00E877A4">
        <w:t>53</w:t>
      </w:r>
      <w:r w:rsidR="00E877A4">
        <w:t>9</w:t>
      </w:r>
      <w:r w:rsidR="009254CF" w:rsidRPr="00971C2D">
        <w:t xml:space="preserve"> mil. Kč) této podpory bylo poskytnuto formou účelové podpory.</w:t>
      </w:r>
    </w:p>
    <w:p w:rsidR="0057175E" w:rsidRDefault="0057175E" w:rsidP="0057175E">
      <w:pPr>
        <w:spacing w:before="120" w:after="120"/>
        <w:jc w:val="both"/>
      </w:pPr>
      <w:r>
        <w:t xml:space="preserve">Na výzkumné aktivity související s </w:t>
      </w:r>
      <w:r w:rsidRPr="007504B3">
        <w:rPr>
          <w:b/>
        </w:rPr>
        <w:t>průzkumem a využitím zdrojů Země (SEO</w:t>
      </w:r>
      <w:r w:rsidR="00B351AF">
        <w:rPr>
          <w:b/>
        </w:rPr>
        <w:t> </w:t>
      </w:r>
      <w:r w:rsidRPr="007504B3">
        <w:rPr>
          <w:b/>
        </w:rPr>
        <w:t>01</w:t>
      </w:r>
      <w:r w:rsidR="00916804">
        <w:t>) stát v roce 201</w:t>
      </w:r>
      <w:r w:rsidR="001B6EE0">
        <w:t>6</w:t>
      </w:r>
      <w:r>
        <w:t xml:space="preserve"> vyčlenil </w:t>
      </w:r>
      <w:r w:rsidR="001B6EE0" w:rsidRPr="001B6EE0">
        <w:rPr>
          <w:b/>
        </w:rPr>
        <w:t>362,4</w:t>
      </w:r>
      <w:r w:rsidRPr="00033D24">
        <w:rPr>
          <w:b/>
        </w:rPr>
        <w:t xml:space="preserve"> mil. Kč</w:t>
      </w:r>
      <w:r>
        <w:rPr>
          <w:rStyle w:val="Znakapoznpodarou"/>
          <w:b/>
        </w:rPr>
        <w:footnoteReference w:id="20"/>
      </w:r>
      <w:r w:rsidR="00916804">
        <w:rPr>
          <w:b/>
        </w:rPr>
        <w:t xml:space="preserve"> (1,</w:t>
      </w:r>
      <w:r w:rsidR="001B6EE0">
        <w:rPr>
          <w:b/>
        </w:rPr>
        <w:t>3</w:t>
      </w:r>
      <w:r>
        <w:rPr>
          <w:b/>
        </w:rPr>
        <w:t xml:space="preserve"> % z celkových GBA</w:t>
      </w:r>
      <w:r w:rsidRPr="00033D24">
        <w:rPr>
          <w:b/>
        </w:rPr>
        <w:t>RD)</w:t>
      </w:r>
      <w:r>
        <w:t xml:space="preserve">. </w:t>
      </w:r>
    </w:p>
    <w:p w:rsidR="0057175E" w:rsidRDefault="0057175E" w:rsidP="0057175E">
      <w:pPr>
        <w:spacing w:before="120" w:after="120"/>
        <w:jc w:val="both"/>
      </w:pPr>
      <w:r>
        <w:t xml:space="preserve">Jde o oblast seskupující výzkum kůry a pláště, oceánů, atmosféry a jejich využití, meteorologický průzkum, hydrologii či výzkum klimatu. </w:t>
      </w:r>
    </w:p>
    <w:p w:rsidR="0057175E" w:rsidRDefault="0057175E" w:rsidP="0057175E">
      <w:pPr>
        <w:spacing w:before="120" w:after="120"/>
        <w:jc w:val="both"/>
      </w:pPr>
      <w:r w:rsidRPr="00E23F25">
        <w:rPr>
          <w:b/>
        </w:rPr>
        <w:t>Průzkum a využití vesmíru (SEO 09)</w:t>
      </w:r>
      <w:r>
        <w:t xml:space="preserve"> sdružující vesmírný výzkum a technologie pro civilní účely představoval z hlediska struk</w:t>
      </w:r>
      <w:r w:rsidR="00726B87">
        <w:t>tury státních výdajů v roce 201</w:t>
      </w:r>
      <w:r w:rsidR="008D0319">
        <w:t>6</w:t>
      </w:r>
      <w:r>
        <w:t xml:space="preserve"> relativně marginální cíl. V daném období v něm bylo na výzkumné činnosti rozděleno </w:t>
      </w:r>
      <w:r w:rsidR="008D0319" w:rsidRPr="008D0319">
        <w:rPr>
          <w:b/>
        </w:rPr>
        <w:t>18</w:t>
      </w:r>
      <w:r w:rsidR="008D0319">
        <w:rPr>
          <w:b/>
        </w:rPr>
        <w:t>8</w:t>
      </w:r>
      <w:r w:rsidRPr="00E23F25">
        <w:rPr>
          <w:b/>
        </w:rPr>
        <w:t xml:space="preserve"> mil. Kč</w:t>
      </w:r>
      <w:r>
        <w:t xml:space="preserve">, což odpovídá </w:t>
      </w:r>
      <w:r w:rsidR="00726B87">
        <w:rPr>
          <w:b/>
        </w:rPr>
        <w:t>0,</w:t>
      </w:r>
      <w:r w:rsidR="008D0319">
        <w:rPr>
          <w:b/>
        </w:rPr>
        <w:t>7</w:t>
      </w:r>
      <w:r>
        <w:rPr>
          <w:b/>
        </w:rPr>
        <w:t xml:space="preserve"> % celkových GBA</w:t>
      </w:r>
      <w:r w:rsidRPr="00E23F25">
        <w:rPr>
          <w:b/>
        </w:rPr>
        <w:t>RD</w:t>
      </w:r>
      <w:r>
        <w:rPr>
          <w:rStyle w:val="Znakapoznpodarou"/>
          <w:b/>
        </w:rPr>
        <w:footnoteReference w:id="21"/>
      </w:r>
      <w:r>
        <w:t xml:space="preserve">. </w:t>
      </w:r>
    </w:p>
    <w:p w:rsidR="0057175E" w:rsidRPr="007F3CBA" w:rsidRDefault="0057175E" w:rsidP="0057175E">
      <w:pPr>
        <w:spacing w:before="120" w:after="120"/>
        <w:jc w:val="both"/>
        <w:rPr>
          <w:b/>
          <w:i/>
        </w:rPr>
      </w:pPr>
      <w:r w:rsidRPr="007F3CBA">
        <w:rPr>
          <w:i/>
        </w:rPr>
        <w:t>Finanční příspěvky směřující do zahraničí, ať už do Evropské kosmické agentury (ESA) či do Evropské organizace pro astronomický výzkum na jižní polokouli (ESO), byly klasifikovány jako nespecifikovaný výzkum (SEO 12). Příspěvek do Evropské kosmické agentury hrazený Ministerstvem školství, mládeže a tělo</w:t>
      </w:r>
      <w:r w:rsidR="00726B87" w:rsidRPr="007F3CBA">
        <w:rPr>
          <w:i/>
        </w:rPr>
        <w:t>výchovy představoval v roce 201</w:t>
      </w:r>
      <w:r w:rsidR="00995CA1" w:rsidRPr="007F3CBA">
        <w:rPr>
          <w:i/>
        </w:rPr>
        <w:t>6</w:t>
      </w:r>
      <w:r w:rsidRPr="007F3CBA">
        <w:rPr>
          <w:i/>
        </w:rPr>
        <w:t xml:space="preserve"> </w:t>
      </w:r>
      <w:r w:rsidR="00234AC0" w:rsidRPr="007F3CBA">
        <w:rPr>
          <w:i/>
        </w:rPr>
        <w:t xml:space="preserve">souhrnnou částku </w:t>
      </w:r>
      <w:r w:rsidR="007F3CBA" w:rsidRPr="007F3CBA">
        <w:rPr>
          <w:i/>
        </w:rPr>
        <w:t>299</w:t>
      </w:r>
      <w:r w:rsidRPr="007F3CBA">
        <w:rPr>
          <w:i/>
        </w:rPr>
        <w:t xml:space="preserve"> mil. Kč. Příspěvek do Evropské organizace pro astronomický výzkum na jižní polokouli, jenž byl hrazen také z rozpočtu MŠMT (dříve z rozpočtu MZV)</w:t>
      </w:r>
      <w:r w:rsidR="00234AC0" w:rsidRPr="007F3CBA">
        <w:rPr>
          <w:i/>
        </w:rPr>
        <w:t xml:space="preserve">, představoval </w:t>
      </w:r>
      <w:r w:rsidR="007F3CBA" w:rsidRPr="007F3CBA">
        <w:rPr>
          <w:i/>
        </w:rPr>
        <w:t>41</w:t>
      </w:r>
      <w:r w:rsidRPr="007F3CBA">
        <w:rPr>
          <w:i/>
        </w:rPr>
        <w:t xml:space="preserve"> mil. Kč. V obou případech se jedná o institucionální formu podpory.</w:t>
      </w:r>
    </w:p>
    <w:p w:rsidR="0057175E" w:rsidRPr="00E15D60" w:rsidRDefault="0057175E" w:rsidP="0057175E">
      <w:pPr>
        <w:spacing w:before="120" w:after="120"/>
        <w:jc w:val="both"/>
      </w:pPr>
      <w:r w:rsidRPr="00156866">
        <w:t xml:space="preserve">Do </w:t>
      </w:r>
      <w:r w:rsidRPr="00156866">
        <w:rPr>
          <w:b/>
        </w:rPr>
        <w:t>vojenského (obraného) výzkumu</w:t>
      </w:r>
      <w:r w:rsidR="00726B87">
        <w:t xml:space="preserve"> (SEO 13) směřovala v roce 201</w:t>
      </w:r>
      <w:r w:rsidR="005119CB">
        <w:t>6</w:t>
      </w:r>
      <w:r w:rsidR="00726B87">
        <w:t xml:space="preserve"> finanční podpora ve výši </w:t>
      </w:r>
      <w:r w:rsidR="005119CB" w:rsidRPr="005119CB">
        <w:t>32</w:t>
      </w:r>
      <w:r w:rsidR="005119CB">
        <w:t>9</w:t>
      </w:r>
      <w:r>
        <w:t> mil. </w:t>
      </w:r>
      <w:r w:rsidRPr="00156866">
        <w:t>Kč</w:t>
      </w:r>
      <w:r w:rsidR="00726B87">
        <w:t xml:space="preserve"> (1,</w:t>
      </w:r>
      <w:r w:rsidR="005119CB">
        <w:t>2</w:t>
      </w:r>
      <w:r w:rsidR="00726B87">
        <w:t> % z celkových GBARD)</w:t>
      </w:r>
      <w:r w:rsidRPr="00156866">
        <w:t xml:space="preserve"> alokovaná téměř v celé své výši prostřednictvím rozpočtu Ministerstva obrany. </w:t>
      </w:r>
      <w:r>
        <w:t>Více jak p</w:t>
      </w:r>
      <w:r w:rsidRPr="00156866">
        <w:t>olovinu t</w:t>
      </w:r>
      <w:r w:rsidR="00726B87">
        <w:t>ěchto finančních prostředků (2</w:t>
      </w:r>
      <w:r w:rsidR="005119CB">
        <w:t>91</w:t>
      </w:r>
      <w:r w:rsidRPr="00156866">
        <w:t xml:space="preserve"> mil. Kč) získaly</w:t>
      </w:r>
      <w:r w:rsidR="00DE5858">
        <w:t xml:space="preserve"> veřejné podniky. V posledních 7</w:t>
      </w:r>
      <w:r w:rsidRPr="00156866">
        <w:t xml:space="preserve"> letech výše veřejné podpory vojenského výzkumu setrvale klesá</w:t>
      </w:r>
      <w:r w:rsidR="009A3E2E">
        <w:t>.</w:t>
      </w:r>
    </w:p>
    <w:p w:rsidR="0057175E" w:rsidRDefault="0057175E"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p w:rsidR="002737B6" w:rsidRDefault="002737B6" w:rsidP="009254CF">
      <w:pPr>
        <w:spacing w:before="120" w:after="120"/>
        <w:jc w:val="both"/>
      </w:pPr>
    </w:p>
    <w:sectPr w:rsidR="002737B6" w:rsidSect="00894405">
      <w:headerReference w:type="even" r:id="rId17"/>
      <w:headerReference w:type="default" r:id="rId18"/>
      <w:footerReference w:type="even" r:id="rId19"/>
      <w:footerReference w:type="default" r:id="rId20"/>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3F" w:rsidRDefault="00C37D3F" w:rsidP="00E71A58">
      <w:r>
        <w:separator/>
      </w:r>
    </w:p>
  </w:endnote>
  <w:endnote w:type="continuationSeparator" w:id="0">
    <w:p w:rsidR="00C37D3F" w:rsidRDefault="00C37D3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44" w:rsidRDefault="00B16F44"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8240" behindDoc="0" locked="0" layoutInCell="1" allowOverlap="1" wp14:anchorId="77BB01B7" wp14:editId="5C3DB3F4">
          <wp:simplePos x="0" y="0"/>
          <wp:positionH relativeFrom="column">
            <wp:posOffset>5660390</wp:posOffset>
          </wp:positionH>
          <wp:positionV relativeFrom="paragraph">
            <wp:posOffset>-52070</wp:posOffset>
          </wp:positionV>
          <wp:extent cx="466725" cy="219075"/>
          <wp:effectExtent l="0" t="0" r="9525" b="9525"/>
          <wp:wrapNone/>
          <wp:docPr id="16"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052B04">
      <w:rPr>
        <w:rFonts w:ascii="Arial" w:hAnsi="Arial" w:cs="Arial"/>
        <w:noProof/>
        <w:sz w:val="16"/>
        <w:szCs w:val="16"/>
      </w:rPr>
      <w:t>4</w:t>
    </w:r>
    <w:r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44" w:rsidRDefault="00B16F44"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62D75D3" wp14:editId="590E05DA">
          <wp:simplePos x="0" y="0"/>
          <wp:positionH relativeFrom="column">
            <wp:posOffset>3810</wp:posOffset>
          </wp:positionH>
          <wp:positionV relativeFrom="paragraph">
            <wp:posOffset>90170</wp:posOffset>
          </wp:positionV>
          <wp:extent cx="495300" cy="266700"/>
          <wp:effectExtent l="0" t="0" r="0" b="0"/>
          <wp:wrapNone/>
          <wp:docPr id="17"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16F44" w:rsidRDefault="00B16F44"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tab/>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052B04">
      <w:rPr>
        <w:rFonts w:ascii="Arial" w:hAnsi="Arial" w:cs="Arial"/>
        <w:noProof/>
        <w:sz w:val="16"/>
        <w:szCs w:val="16"/>
      </w:rPr>
      <w:t>5</w:t>
    </w:r>
    <w:r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3F" w:rsidRDefault="00C37D3F" w:rsidP="00E71A58">
      <w:r>
        <w:separator/>
      </w:r>
    </w:p>
  </w:footnote>
  <w:footnote w:type="continuationSeparator" w:id="0">
    <w:p w:rsidR="00C37D3F" w:rsidRDefault="00C37D3F" w:rsidP="00E71A58">
      <w:r>
        <w:continuationSeparator/>
      </w:r>
    </w:p>
  </w:footnote>
  <w:footnote w:id="1">
    <w:p w:rsidR="00B16F44" w:rsidRPr="009E431C" w:rsidRDefault="00B16F44">
      <w:pPr>
        <w:pStyle w:val="Textpoznpodarou"/>
        <w:rPr>
          <w:rFonts w:cs="Arial"/>
          <w:sz w:val="18"/>
          <w:szCs w:val="18"/>
        </w:rPr>
      </w:pPr>
      <w:r w:rsidRPr="00B40138">
        <w:rPr>
          <w:rStyle w:val="Znakapoznpodarou"/>
          <w:rFonts w:cs="Arial"/>
          <w:sz w:val="18"/>
          <w:szCs w:val="18"/>
        </w:rPr>
        <w:footnoteRef/>
      </w:r>
      <w:r w:rsidRPr="00B40138">
        <w:rPr>
          <w:rFonts w:cs="Arial"/>
          <w:sz w:val="18"/>
          <w:szCs w:val="18"/>
        </w:rPr>
        <w:t xml:space="preserve"> </w:t>
      </w:r>
      <w:r>
        <w:rPr>
          <w:rFonts w:cs="Arial"/>
          <w:sz w:val="18"/>
          <w:szCs w:val="18"/>
        </w:rPr>
        <w:t>Veškeré údaje týkající se GBA</w:t>
      </w:r>
      <w:r w:rsidRPr="00B40138">
        <w:rPr>
          <w:rFonts w:cs="Arial"/>
          <w:sz w:val="18"/>
          <w:szCs w:val="18"/>
        </w:rPr>
        <w:t>RD a výdajů státního rozpočtu vyjadřují stav k 31. 12. </w:t>
      </w:r>
      <w:r>
        <w:rPr>
          <w:rFonts w:cs="Arial"/>
          <w:sz w:val="18"/>
          <w:szCs w:val="18"/>
        </w:rPr>
        <w:t>2016</w:t>
      </w:r>
      <w:r w:rsidRPr="00B40138">
        <w:rPr>
          <w:rFonts w:cs="Arial"/>
          <w:sz w:val="18"/>
          <w:szCs w:val="18"/>
        </w:rPr>
        <w:t xml:space="preserve">. </w:t>
      </w:r>
      <w:r>
        <w:rPr>
          <w:rFonts w:cs="Arial"/>
          <w:sz w:val="18"/>
          <w:szCs w:val="18"/>
          <w:u w:val="single"/>
        </w:rPr>
        <w:t>GBA</w:t>
      </w:r>
      <w:r w:rsidRPr="00B40138">
        <w:rPr>
          <w:rFonts w:cs="Arial"/>
          <w:sz w:val="18"/>
          <w:szCs w:val="18"/>
          <w:u w:val="single"/>
        </w:rPr>
        <w:t xml:space="preserve">RD zahrnují pouze </w:t>
      </w:r>
      <w:r w:rsidRPr="009E431C">
        <w:rPr>
          <w:rFonts w:cs="Arial"/>
          <w:sz w:val="18"/>
          <w:szCs w:val="18"/>
          <w:u w:val="single"/>
        </w:rPr>
        <w:t>spolufinancování strukturálních fondů EU, nikoliv jejich předfinancování.</w:t>
      </w:r>
    </w:p>
  </w:footnote>
  <w:footnote w:id="2">
    <w:p w:rsidR="00B16F44" w:rsidRPr="009A4BB3" w:rsidRDefault="00B16F44">
      <w:pPr>
        <w:pStyle w:val="Textpoznpodarou"/>
        <w:rPr>
          <w:sz w:val="18"/>
        </w:rPr>
      </w:pPr>
      <w:r>
        <w:rPr>
          <w:rStyle w:val="Znakapoznpodarou"/>
        </w:rPr>
        <w:footnoteRef/>
      </w:r>
      <w:r>
        <w:t xml:space="preserve"> </w:t>
      </w:r>
      <w:r w:rsidRPr="009A4BB3">
        <w:rPr>
          <w:sz w:val="18"/>
        </w:rPr>
        <w:t xml:space="preserve">Podrobnější údaje o financování výzkumu a vývoje z jednotlivých zdrojů získané v rámci Ročního šetření o výzkumu a vývoji VTR 5-01 získáte na následujícím odkazu: </w:t>
      </w:r>
      <w:hyperlink r:id="rId1" w:history="1">
        <w:r w:rsidRPr="00E56C62">
          <w:rPr>
            <w:rStyle w:val="Hypertextovodkaz"/>
            <w:sz w:val="18"/>
          </w:rPr>
          <w:t>https://www.czso.cz/csu/czso/statistika_vyzkumu_a_vyvoje</w:t>
        </w:r>
      </w:hyperlink>
      <w:r>
        <w:rPr>
          <w:sz w:val="18"/>
        </w:rPr>
        <w:t xml:space="preserve"> </w:t>
      </w:r>
      <w:r w:rsidRPr="009A4BB3">
        <w:rPr>
          <w:sz w:val="18"/>
        </w:rPr>
        <w:t xml:space="preserve">  </w:t>
      </w:r>
    </w:p>
  </w:footnote>
  <w:footnote w:id="3">
    <w:p w:rsidR="00B16F44" w:rsidRPr="00B80559" w:rsidRDefault="00B16F44" w:rsidP="002D007E">
      <w:pPr>
        <w:pStyle w:val="Textpoznpodarou"/>
        <w:rPr>
          <w:rFonts w:cs="Arial"/>
          <w:sz w:val="18"/>
          <w:szCs w:val="18"/>
        </w:rPr>
      </w:pPr>
      <w:r w:rsidRPr="009E431C">
        <w:rPr>
          <w:rStyle w:val="Znakapoznpodarou"/>
          <w:rFonts w:cs="Arial"/>
          <w:sz w:val="18"/>
          <w:szCs w:val="18"/>
        </w:rPr>
        <w:footnoteRef/>
      </w:r>
      <w:r w:rsidRPr="009E431C">
        <w:rPr>
          <w:rFonts w:cs="Arial"/>
          <w:sz w:val="18"/>
          <w:szCs w:val="18"/>
        </w:rPr>
        <w:t xml:space="preserve"> </w:t>
      </w:r>
      <w:r w:rsidRPr="00B80559">
        <w:rPr>
          <w:rFonts w:cs="Arial"/>
          <w:sz w:val="18"/>
          <w:szCs w:val="18"/>
        </w:rPr>
        <w:t>V roce 2016 byly čerpány nespotřebované nároky ve výši 2,3 </w:t>
      </w:r>
      <w:r w:rsidRPr="00B80559">
        <w:t>mld. Kč</w:t>
      </w:r>
      <w:r w:rsidRPr="00B80559">
        <w:rPr>
          <w:rFonts w:cs="Arial"/>
          <w:sz w:val="18"/>
          <w:szCs w:val="18"/>
        </w:rPr>
        <w:t xml:space="preserve">. Souhrnná částka nevyužitých finančních prostředků z roku 2016 a z předchozích let dosáhla k 1. 1. 2017 hodnoty 4,8 mld. Kč. Tyto finanční prostředky jsou pak k dispozici pro využití v dalších letech. </w:t>
      </w:r>
      <w:r>
        <w:rPr>
          <w:rFonts w:cs="Arial"/>
          <w:sz w:val="18"/>
          <w:szCs w:val="18"/>
        </w:rPr>
        <w:t>Nespotřebované nároky v souvislosti s předfinancováním projektů VaV hrazených z evropských fondů dosáhly k 1.1.2017 výše 6,1 mld. Kč.</w:t>
      </w:r>
    </w:p>
  </w:footnote>
  <w:footnote w:id="4">
    <w:p w:rsidR="00B16F44" w:rsidRPr="00761AB3" w:rsidRDefault="00B16F44" w:rsidP="00FB5664">
      <w:pPr>
        <w:pStyle w:val="Textpoznpodarou"/>
        <w:rPr>
          <w:sz w:val="18"/>
        </w:rPr>
      </w:pPr>
      <w:r w:rsidRPr="00761AB3">
        <w:rPr>
          <w:rStyle w:val="Znakapoznpodarou"/>
          <w:sz w:val="18"/>
        </w:rPr>
        <w:footnoteRef/>
      </w:r>
      <w:r w:rsidRPr="00761AB3">
        <w:rPr>
          <w:sz w:val="18"/>
        </w:rPr>
        <w:t xml:space="preserve"> </w:t>
      </w:r>
      <w:r w:rsidRPr="00543213">
        <w:rPr>
          <w:sz w:val="18"/>
          <w:u w:val="single"/>
        </w:rPr>
        <w:t>Účelová podpora VaV</w:t>
      </w:r>
      <w:r>
        <w:rPr>
          <w:sz w:val="18"/>
        </w:rPr>
        <w:t xml:space="preserve"> jsou státní rozpočtové prostředky na VaV, které jsou v souladu </w:t>
      </w:r>
      <w:r>
        <w:rPr>
          <w:sz w:val="18"/>
          <w:szCs w:val="18"/>
        </w:rPr>
        <w:t xml:space="preserve">s metodikou OECD </w:t>
      </w:r>
      <w:r>
        <w:rPr>
          <w:sz w:val="18"/>
        </w:rPr>
        <w:t xml:space="preserve">poskytnuty zejména na grantový projekt, programový projekt (včetně hrazených z fondů EU) nebo financování velké výzkumné infrastruktury. </w:t>
      </w:r>
    </w:p>
  </w:footnote>
  <w:footnote w:id="5">
    <w:p w:rsidR="00B16F44" w:rsidRPr="00761AB3" w:rsidRDefault="00B16F44" w:rsidP="00FB5664">
      <w:pPr>
        <w:pStyle w:val="Textpoznpodarou"/>
        <w:rPr>
          <w:sz w:val="18"/>
          <w:szCs w:val="18"/>
        </w:rPr>
      </w:pPr>
      <w:r w:rsidRPr="00761AB3">
        <w:rPr>
          <w:rStyle w:val="Znakapoznpodarou"/>
          <w:sz w:val="18"/>
          <w:szCs w:val="18"/>
        </w:rPr>
        <w:footnoteRef/>
      </w:r>
      <w:r w:rsidRPr="00761AB3">
        <w:rPr>
          <w:sz w:val="18"/>
          <w:szCs w:val="18"/>
        </w:rPr>
        <w:t xml:space="preserve"> </w:t>
      </w:r>
      <w:r w:rsidRPr="00543213">
        <w:rPr>
          <w:sz w:val="18"/>
          <w:szCs w:val="18"/>
          <w:u w:val="single"/>
        </w:rPr>
        <w:t>Institucionální podpora VaV</w:t>
      </w:r>
      <w:r w:rsidRPr="00761AB3">
        <w:rPr>
          <w:sz w:val="18"/>
          <w:szCs w:val="18"/>
        </w:rPr>
        <w:t xml:space="preserve"> jsou státní rozpočtové prostředky na VaV, které jsou v souladu </w:t>
      </w:r>
      <w:r>
        <w:rPr>
          <w:sz w:val="18"/>
          <w:szCs w:val="18"/>
        </w:rPr>
        <w:t xml:space="preserve">s metodikou OECD poskytnuty zejména na </w:t>
      </w:r>
      <w:r w:rsidRPr="00761AB3">
        <w:rPr>
          <w:sz w:val="18"/>
          <w:szCs w:val="18"/>
        </w:rPr>
        <w:t>dlouhodobý konce</w:t>
      </w:r>
      <w:r>
        <w:rPr>
          <w:sz w:val="18"/>
          <w:szCs w:val="18"/>
        </w:rPr>
        <w:t>pční rozvoj výzkumné organizace, specifický výzkum na vysokých školách a mezinárodní spolupráci ve VaV.</w:t>
      </w:r>
    </w:p>
  </w:footnote>
  <w:footnote w:id="6">
    <w:p w:rsidR="00D744BC" w:rsidRDefault="00D744BC">
      <w:pPr>
        <w:pStyle w:val="Textpoznpodarou"/>
      </w:pPr>
      <w:r w:rsidRPr="00D744BC">
        <w:rPr>
          <w:rStyle w:val="Znakapoznpodarou"/>
          <w:sz w:val="18"/>
        </w:rPr>
        <w:footnoteRef/>
      </w:r>
      <w:r w:rsidRPr="00D744BC">
        <w:rPr>
          <w:sz w:val="18"/>
        </w:rPr>
        <w:t xml:space="preserve"> Blíže viz </w:t>
      </w:r>
      <w:hyperlink r:id="rId2" w:history="1">
        <w:r w:rsidRPr="00D744BC">
          <w:rPr>
            <w:rStyle w:val="Hypertextovodkaz"/>
            <w:sz w:val="18"/>
          </w:rPr>
          <w:t>http://www.dotaceeu.cz/cs/Fondy-EU</w:t>
        </w:r>
      </w:hyperlink>
      <w:r w:rsidRPr="00D744BC">
        <w:rPr>
          <w:sz w:val="18"/>
        </w:rPr>
        <w:t xml:space="preserve"> </w:t>
      </w:r>
    </w:p>
  </w:footnote>
  <w:footnote w:id="7">
    <w:p w:rsidR="00B16F44" w:rsidRPr="0014473F" w:rsidRDefault="00B16F44">
      <w:pPr>
        <w:pStyle w:val="Textpoznpodarou"/>
        <w:rPr>
          <w:sz w:val="18"/>
          <w:szCs w:val="18"/>
        </w:rPr>
      </w:pPr>
      <w:r w:rsidRPr="0014473F">
        <w:rPr>
          <w:rStyle w:val="Znakapoznpodarou"/>
          <w:sz w:val="18"/>
          <w:szCs w:val="18"/>
        </w:rPr>
        <w:footnoteRef/>
      </w:r>
      <w:r w:rsidRPr="0014473F">
        <w:rPr>
          <w:sz w:val="18"/>
          <w:szCs w:val="18"/>
        </w:rPr>
        <w:t xml:space="preserve"> Blíže o Grantové agentuře viz: </w:t>
      </w:r>
      <w:hyperlink r:id="rId3" w:history="1">
        <w:r w:rsidRPr="0014473F">
          <w:rPr>
            <w:rStyle w:val="Hypertextovodkaz"/>
            <w:sz w:val="18"/>
            <w:szCs w:val="18"/>
          </w:rPr>
          <w:t>http://gacr.cz/</w:t>
        </w:r>
      </w:hyperlink>
      <w:r w:rsidRPr="0014473F">
        <w:rPr>
          <w:sz w:val="18"/>
          <w:szCs w:val="18"/>
        </w:rPr>
        <w:t xml:space="preserve"> </w:t>
      </w:r>
    </w:p>
  </w:footnote>
  <w:footnote w:id="8">
    <w:p w:rsidR="00B16F44" w:rsidRPr="0014473F" w:rsidRDefault="00B16F44">
      <w:pPr>
        <w:pStyle w:val="Textpoznpodarou"/>
        <w:rPr>
          <w:sz w:val="18"/>
          <w:szCs w:val="18"/>
        </w:rPr>
      </w:pPr>
      <w:r w:rsidRPr="0014473F">
        <w:rPr>
          <w:rStyle w:val="Znakapoznpodarou"/>
          <w:sz w:val="18"/>
          <w:szCs w:val="18"/>
        </w:rPr>
        <w:footnoteRef/>
      </w:r>
      <w:r w:rsidRPr="0014473F">
        <w:rPr>
          <w:sz w:val="18"/>
          <w:szCs w:val="18"/>
        </w:rPr>
        <w:t xml:space="preserve">Technologická agentura byla založena v roce 2009. Blíže o Technologické agentuře viz: </w:t>
      </w:r>
      <w:hyperlink r:id="rId4" w:history="1">
        <w:r w:rsidRPr="0014473F">
          <w:rPr>
            <w:rStyle w:val="Hypertextovodkaz"/>
            <w:sz w:val="18"/>
            <w:szCs w:val="18"/>
          </w:rPr>
          <w:t>https://www.tacr.cz/index.php/cz/o-ta-cr.html</w:t>
        </w:r>
      </w:hyperlink>
      <w:r w:rsidRPr="0014473F">
        <w:rPr>
          <w:sz w:val="18"/>
          <w:szCs w:val="18"/>
        </w:rPr>
        <w:t xml:space="preserve">  </w:t>
      </w:r>
    </w:p>
  </w:footnote>
  <w:footnote w:id="9">
    <w:p w:rsidR="00B16F44" w:rsidRPr="0014473F" w:rsidRDefault="00B16F44">
      <w:pPr>
        <w:pStyle w:val="Textpoznpodarou"/>
        <w:rPr>
          <w:sz w:val="18"/>
          <w:szCs w:val="18"/>
        </w:rPr>
      </w:pPr>
      <w:r w:rsidRPr="0014473F">
        <w:rPr>
          <w:rStyle w:val="Znakapoznpodarou"/>
          <w:sz w:val="18"/>
          <w:szCs w:val="18"/>
        </w:rPr>
        <w:footnoteRef/>
      </w:r>
      <w:r w:rsidRPr="0014473F">
        <w:rPr>
          <w:sz w:val="18"/>
          <w:szCs w:val="18"/>
        </w:rPr>
        <w:t xml:space="preserve"> Program ALFA se zaměřuje na podporu aplikovaného výzkumu a experimentálního vývoje zejména v oblasti progresivních technologií, materiálů a systémů, energetických zdrojů a ochrany a tvorby životního prostředí a dále v oblasti udržitelného rozvoje dopravy.</w:t>
      </w:r>
    </w:p>
  </w:footnote>
  <w:footnote w:id="10">
    <w:p w:rsidR="00B16F44" w:rsidRDefault="00B16F44">
      <w:pPr>
        <w:pStyle w:val="Textpoznpodarou"/>
      </w:pPr>
      <w:r w:rsidRPr="0014473F">
        <w:rPr>
          <w:rStyle w:val="Znakapoznpodarou"/>
          <w:sz w:val="18"/>
          <w:szCs w:val="18"/>
        </w:rPr>
        <w:footnoteRef/>
      </w:r>
      <w:r w:rsidRPr="0014473F">
        <w:rPr>
          <w:sz w:val="18"/>
          <w:szCs w:val="18"/>
        </w:rPr>
        <w:t xml:space="preserve"> Program </w:t>
      </w:r>
      <w:r>
        <w:rPr>
          <w:sz w:val="18"/>
          <w:szCs w:val="18"/>
        </w:rPr>
        <w:t>BETA</w:t>
      </w:r>
      <w:r w:rsidRPr="0014473F">
        <w:rPr>
          <w:sz w:val="18"/>
          <w:szCs w:val="18"/>
        </w:rPr>
        <w:t xml:space="preserve"> </w:t>
      </w:r>
      <w:r w:rsidRPr="006B6589">
        <w:rPr>
          <w:sz w:val="18"/>
          <w:szCs w:val="18"/>
        </w:rPr>
        <w:t>je zaměřen na podporu projektů Program veřejných zakázek ve výzkumu, experimentálním vývoji a inovacích pro potřeby státní správy.</w:t>
      </w:r>
    </w:p>
  </w:footnote>
  <w:footnote w:id="11">
    <w:p w:rsidR="00B16F44" w:rsidRPr="0014473F" w:rsidRDefault="00B16F44">
      <w:pPr>
        <w:pStyle w:val="Textpoznpodarou"/>
        <w:rPr>
          <w:sz w:val="18"/>
          <w:szCs w:val="18"/>
        </w:rPr>
      </w:pPr>
      <w:r w:rsidRPr="0014473F">
        <w:rPr>
          <w:rStyle w:val="Znakapoznpodarou"/>
          <w:sz w:val="18"/>
          <w:szCs w:val="18"/>
        </w:rPr>
        <w:footnoteRef/>
      </w:r>
      <w:r w:rsidRPr="0014473F">
        <w:rPr>
          <w:sz w:val="18"/>
          <w:szCs w:val="18"/>
        </w:rPr>
        <w:t xml:space="preserve"> </w:t>
      </w:r>
      <w:r>
        <w:rPr>
          <w:rFonts w:cs="Arial"/>
          <w:sz w:val="18"/>
          <w:szCs w:val="18"/>
        </w:rPr>
        <w:t>K dalším informacím</w:t>
      </w:r>
      <w:r w:rsidRPr="0014473F">
        <w:rPr>
          <w:rFonts w:cs="Arial"/>
          <w:sz w:val="18"/>
          <w:szCs w:val="18"/>
        </w:rPr>
        <w:t xml:space="preserve"> o Operačních programech v gesci MŠMT viz následující odkaz: </w:t>
      </w:r>
      <w:hyperlink r:id="rId5" w:history="1">
        <w:r w:rsidRPr="00DC15C4">
          <w:rPr>
            <w:rStyle w:val="Hypertextovodkaz"/>
            <w:rFonts w:cs="Arial"/>
            <w:sz w:val="18"/>
            <w:szCs w:val="18"/>
          </w:rPr>
          <w:t>http://www.msmt.cz/strukturalni-fondy-1</w:t>
        </w:r>
      </w:hyperlink>
      <w:r>
        <w:rPr>
          <w:rFonts w:cs="Arial"/>
          <w:sz w:val="18"/>
          <w:szCs w:val="18"/>
        </w:rPr>
        <w:t xml:space="preserve"> </w:t>
      </w:r>
    </w:p>
  </w:footnote>
  <w:footnote w:id="12">
    <w:p w:rsidR="00B16F44" w:rsidRPr="0014473F" w:rsidRDefault="00B16F44">
      <w:pPr>
        <w:pStyle w:val="Textpoznpodarou"/>
        <w:rPr>
          <w:rFonts w:cs="Arial"/>
          <w:sz w:val="18"/>
          <w:szCs w:val="18"/>
        </w:rPr>
      </w:pPr>
      <w:r w:rsidRPr="0014473F">
        <w:rPr>
          <w:rStyle w:val="Znakapoznpodarou"/>
          <w:rFonts w:cs="Arial"/>
          <w:sz w:val="18"/>
          <w:szCs w:val="18"/>
        </w:rPr>
        <w:footnoteRef/>
      </w:r>
      <w:r w:rsidRPr="0014473F">
        <w:rPr>
          <w:rFonts w:cs="Arial"/>
          <w:sz w:val="18"/>
          <w:szCs w:val="18"/>
        </w:rPr>
        <w:t xml:space="preserve"> Včetně ústředí Akademie věd ČR, která má v Registru ekonomických subjektů atribut organizační složky státu.</w:t>
      </w:r>
    </w:p>
  </w:footnote>
  <w:footnote w:id="13">
    <w:p w:rsidR="00B16F44" w:rsidRPr="0049796C" w:rsidRDefault="00B16F44" w:rsidP="000925C7">
      <w:pPr>
        <w:pStyle w:val="Textpoznpodarou"/>
        <w:rPr>
          <w:sz w:val="18"/>
        </w:rPr>
      </w:pPr>
      <w:r w:rsidRPr="001D7FBC">
        <w:rPr>
          <w:rStyle w:val="Znakapoznpodarou"/>
          <w:sz w:val="18"/>
        </w:rPr>
        <w:footnoteRef/>
      </w:r>
      <w:r w:rsidRPr="001D7FBC">
        <w:rPr>
          <w:sz w:val="18"/>
        </w:rPr>
        <w:t xml:space="preserve"> </w:t>
      </w:r>
      <w:r w:rsidRPr="0049796C">
        <w:rPr>
          <w:sz w:val="18"/>
        </w:rPr>
        <w:t xml:space="preserve">V roce 2016 Ministerstvo školství, mládeže a tělovýchovy vydalo na podporu zapojení ČR do mezinárodního výzkumu celkem 840 mil. Kč ve formě příspěvků a poplatků. </w:t>
      </w:r>
    </w:p>
  </w:footnote>
  <w:footnote w:id="14">
    <w:p w:rsidR="00B16F44" w:rsidRDefault="00B16F44" w:rsidP="00B940FD">
      <w:pPr>
        <w:pStyle w:val="Textpoznpodarou"/>
        <w:rPr>
          <w:rFonts w:cs="Arial"/>
          <w:sz w:val="18"/>
          <w:szCs w:val="18"/>
        </w:rPr>
      </w:pPr>
      <w:r w:rsidRPr="007A2F09">
        <w:rPr>
          <w:rStyle w:val="Znakapoznpodarou"/>
          <w:rFonts w:cs="Arial"/>
          <w:sz w:val="18"/>
          <w:szCs w:val="18"/>
        </w:rPr>
        <w:footnoteRef/>
      </w:r>
      <w:r w:rsidRPr="007A2F09">
        <w:rPr>
          <w:rFonts w:cs="Arial"/>
          <w:sz w:val="18"/>
          <w:szCs w:val="18"/>
        </w:rPr>
        <w:t xml:space="preserve"> Klasifikace NABS: Nomenklatura pro analýzu a srovnání vědeckých programů a rozpočtů</w:t>
      </w:r>
      <w:r>
        <w:rPr>
          <w:rFonts w:cs="Arial"/>
          <w:sz w:val="18"/>
          <w:szCs w:val="18"/>
        </w:rPr>
        <w:t xml:space="preserve"> (Eurostat). Kompletní</w:t>
      </w:r>
      <w:r w:rsidRPr="007A2F09">
        <w:rPr>
          <w:rFonts w:cs="Arial"/>
          <w:sz w:val="18"/>
          <w:szCs w:val="18"/>
        </w:rPr>
        <w:t xml:space="preserve"> výčet všech socioekonomických cílů je uveden v příloze č. 1 a 2.</w:t>
      </w:r>
      <w:r>
        <w:rPr>
          <w:rFonts w:cs="Arial"/>
          <w:sz w:val="18"/>
          <w:szCs w:val="18"/>
        </w:rPr>
        <w:t xml:space="preserve"> </w:t>
      </w:r>
      <w:r w:rsidRPr="00EA7D42">
        <w:rPr>
          <w:rFonts w:cs="Arial"/>
          <w:sz w:val="18"/>
          <w:szCs w:val="18"/>
        </w:rPr>
        <w:t xml:space="preserve">Nomenklatura byla původně </w:t>
      </w:r>
      <w:r>
        <w:rPr>
          <w:rFonts w:cs="Arial"/>
          <w:sz w:val="18"/>
          <w:szCs w:val="18"/>
        </w:rPr>
        <w:t xml:space="preserve">Eurostatem </w:t>
      </w:r>
      <w:r w:rsidRPr="00EA7D42">
        <w:rPr>
          <w:rFonts w:cs="Arial"/>
          <w:sz w:val="18"/>
          <w:szCs w:val="18"/>
        </w:rPr>
        <w:t>vypraco</w:t>
      </w:r>
      <w:r>
        <w:rPr>
          <w:rFonts w:cs="Arial"/>
          <w:sz w:val="18"/>
          <w:szCs w:val="18"/>
        </w:rPr>
        <w:t>vána již v roce 1969 a její pozdější</w:t>
      </w:r>
      <w:r w:rsidRPr="00EA7D42">
        <w:rPr>
          <w:rFonts w:cs="Arial"/>
          <w:sz w:val="18"/>
          <w:szCs w:val="18"/>
        </w:rPr>
        <w:t xml:space="preserve"> verze byly </w:t>
      </w:r>
      <w:r>
        <w:rPr>
          <w:rFonts w:cs="Arial"/>
          <w:sz w:val="18"/>
          <w:szCs w:val="18"/>
        </w:rPr>
        <w:t xml:space="preserve">několikrát </w:t>
      </w:r>
      <w:r w:rsidRPr="00EA7D42">
        <w:rPr>
          <w:rFonts w:cs="Arial"/>
          <w:sz w:val="18"/>
          <w:szCs w:val="18"/>
        </w:rPr>
        <w:t xml:space="preserve">revidovány </w:t>
      </w:r>
      <w:r>
        <w:rPr>
          <w:rFonts w:cs="Arial"/>
          <w:sz w:val="18"/>
          <w:szCs w:val="18"/>
        </w:rPr>
        <w:t>(</w:t>
      </w:r>
      <w:r w:rsidRPr="00EA7D42">
        <w:rPr>
          <w:rFonts w:cs="Arial"/>
          <w:sz w:val="18"/>
          <w:szCs w:val="18"/>
        </w:rPr>
        <w:t>v letech 1975</w:t>
      </w:r>
      <w:r>
        <w:rPr>
          <w:rFonts w:cs="Arial"/>
          <w:sz w:val="18"/>
          <w:szCs w:val="18"/>
        </w:rPr>
        <w:t>,</w:t>
      </w:r>
      <w:r w:rsidR="004A2FD3">
        <w:rPr>
          <w:rFonts w:cs="Arial"/>
          <w:sz w:val="18"/>
          <w:szCs w:val="18"/>
        </w:rPr>
        <w:t xml:space="preserve"> </w:t>
      </w:r>
      <w:r w:rsidRPr="00EA7D42">
        <w:rPr>
          <w:rFonts w:cs="Arial"/>
          <w:sz w:val="18"/>
          <w:szCs w:val="18"/>
        </w:rPr>
        <w:t>1983</w:t>
      </w:r>
      <w:r>
        <w:rPr>
          <w:rFonts w:cs="Arial"/>
          <w:sz w:val="18"/>
          <w:szCs w:val="18"/>
        </w:rPr>
        <w:t>, 1992 a 2007)</w:t>
      </w:r>
      <w:r w:rsidRPr="00EA7D42">
        <w:rPr>
          <w:rFonts w:cs="Arial"/>
          <w:sz w:val="18"/>
          <w:szCs w:val="18"/>
        </w:rPr>
        <w:t>.</w:t>
      </w:r>
    </w:p>
    <w:p w:rsidR="00B16F44" w:rsidRPr="007A2F09" w:rsidRDefault="00B16F44" w:rsidP="00B940FD">
      <w:pPr>
        <w:pStyle w:val="Textpoznpodarou"/>
        <w:rPr>
          <w:rFonts w:cs="Arial"/>
          <w:sz w:val="18"/>
          <w:szCs w:val="18"/>
        </w:rPr>
      </w:pPr>
      <w:r w:rsidRPr="008F0BC7">
        <w:rPr>
          <w:rFonts w:cs="Arial"/>
          <w:sz w:val="18"/>
          <w:szCs w:val="18"/>
          <w:u w:val="single"/>
        </w:rPr>
        <w:t>Socioekonomickým cílem</w:t>
      </w:r>
      <w:r>
        <w:rPr>
          <w:rFonts w:cs="Arial"/>
          <w:sz w:val="18"/>
          <w:szCs w:val="18"/>
        </w:rPr>
        <w:t xml:space="preserve"> se rozumí předem vymezená oblast výzkumu a vývoje, která se používá pro analytické účely při klasifikaci státních rozpočtových výdajů na VaV.  </w:t>
      </w:r>
    </w:p>
  </w:footnote>
  <w:footnote w:id="15">
    <w:p w:rsidR="00B16F44" w:rsidRPr="00C74B4D" w:rsidRDefault="00B16F44" w:rsidP="000925C7">
      <w:pPr>
        <w:pStyle w:val="Textpoznpodarou"/>
        <w:rPr>
          <w:rFonts w:cs="Arial"/>
          <w:sz w:val="18"/>
          <w:szCs w:val="18"/>
        </w:rPr>
      </w:pPr>
      <w:r w:rsidRPr="00C74B4D">
        <w:rPr>
          <w:rStyle w:val="Znakapoznpodarou"/>
          <w:rFonts w:cs="Arial"/>
          <w:sz w:val="18"/>
          <w:szCs w:val="18"/>
        </w:rPr>
        <w:footnoteRef/>
      </w:r>
      <w:r w:rsidRPr="00C74B4D">
        <w:rPr>
          <w:rFonts w:cs="Arial"/>
          <w:sz w:val="18"/>
          <w:szCs w:val="18"/>
        </w:rPr>
        <w:t xml:space="preserve"> U dvou výše uvedených cílů bez konkrétního zaměření jde ve většině případů</w:t>
      </w:r>
      <w:r>
        <w:rPr>
          <w:rFonts w:cs="Arial"/>
          <w:sz w:val="18"/>
          <w:szCs w:val="18"/>
        </w:rPr>
        <w:t xml:space="preserve"> o základní výzkum.  V roce 2016</w:t>
      </w:r>
      <w:r w:rsidRPr="00C74B4D">
        <w:rPr>
          <w:rFonts w:cs="Arial"/>
          <w:sz w:val="18"/>
          <w:szCs w:val="18"/>
        </w:rPr>
        <w:t xml:space="preserve"> se tyto cíle podílely v s</w:t>
      </w:r>
      <w:r>
        <w:rPr>
          <w:rFonts w:cs="Arial"/>
          <w:sz w:val="18"/>
          <w:szCs w:val="18"/>
        </w:rPr>
        <w:t>ouhrnu z téměř dvou třetin (62</w:t>
      </w:r>
      <w:r w:rsidR="00B70075">
        <w:rPr>
          <w:rFonts w:cs="Arial"/>
          <w:sz w:val="18"/>
          <w:szCs w:val="18"/>
        </w:rPr>
        <w:t> </w:t>
      </w:r>
      <w:r w:rsidRPr="00C74B4D">
        <w:rPr>
          <w:rFonts w:cs="Arial"/>
          <w:sz w:val="18"/>
          <w:szCs w:val="18"/>
        </w:rPr>
        <w:t>%) na využitých finančních prostředcích pocházejících ze státního rozpočtu ČR na výzkum a v</w:t>
      </w:r>
      <w:r>
        <w:rPr>
          <w:rFonts w:cs="Arial"/>
          <w:sz w:val="18"/>
          <w:szCs w:val="18"/>
        </w:rPr>
        <w:t>ývoj, což odpovídá částce 17 270</w:t>
      </w:r>
      <w:r w:rsidRPr="00C74B4D">
        <w:rPr>
          <w:rFonts w:cs="Arial"/>
          <w:sz w:val="18"/>
          <w:szCs w:val="18"/>
        </w:rPr>
        <w:t xml:space="preserve"> mil. Kč.</w:t>
      </w:r>
    </w:p>
  </w:footnote>
  <w:footnote w:id="16">
    <w:p w:rsidR="00B16F44" w:rsidRPr="00314145" w:rsidRDefault="00B16F44" w:rsidP="00B940FD">
      <w:pPr>
        <w:pStyle w:val="Textpoznpodarou"/>
        <w:rPr>
          <w:rFonts w:cs="Arial"/>
          <w:sz w:val="18"/>
          <w:szCs w:val="18"/>
        </w:rPr>
      </w:pPr>
      <w:r w:rsidRPr="00314145">
        <w:rPr>
          <w:rStyle w:val="Znakapoznpodarou"/>
          <w:rFonts w:cs="Arial"/>
          <w:sz w:val="18"/>
          <w:szCs w:val="18"/>
        </w:rPr>
        <w:footnoteRef/>
      </w:r>
      <w:r w:rsidRPr="00314145">
        <w:rPr>
          <w:rFonts w:cs="Arial"/>
          <w:sz w:val="18"/>
          <w:szCs w:val="18"/>
        </w:rPr>
        <w:t xml:space="preserve"> Započteme-li do veřejného financování VaV v této oblasti také investice do VaV v oblasti technických věd, které jsou podcílem „Všeobecného výzkumu na vysokých školách“ (SEO 1</w:t>
      </w:r>
      <w:r>
        <w:rPr>
          <w:rFonts w:cs="Arial"/>
          <w:sz w:val="18"/>
          <w:szCs w:val="18"/>
        </w:rPr>
        <w:t>0) a „Neorientovaný výzkum“ (SE</w:t>
      </w:r>
      <w:r w:rsidRPr="00314145">
        <w:rPr>
          <w:rFonts w:cs="Arial"/>
          <w:sz w:val="18"/>
          <w:szCs w:val="18"/>
        </w:rPr>
        <w:t>O</w:t>
      </w:r>
      <w:r>
        <w:rPr>
          <w:rFonts w:cs="Arial"/>
          <w:sz w:val="18"/>
          <w:szCs w:val="18"/>
        </w:rPr>
        <w:t xml:space="preserve"> </w:t>
      </w:r>
      <w:r w:rsidRPr="00314145">
        <w:rPr>
          <w:rFonts w:cs="Arial"/>
          <w:sz w:val="18"/>
          <w:szCs w:val="18"/>
        </w:rPr>
        <w:t>11), vzrostou celkové výdaj</w:t>
      </w:r>
      <w:r>
        <w:rPr>
          <w:rFonts w:cs="Arial"/>
          <w:sz w:val="18"/>
          <w:szCs w:val="18"/>
        </w:rPr>
        <w:t xml:space="preserve">e na VaV v oblasti průmyslové výroby a technologie na částku </w:t>
      </w:r>
      <w:r w:rsidRPr="00581C5D">
        <w:rPr>
          <w:rFonts w:cs="Arial"/>
          <w:sz w:val="18"/>
          <w:szCs w:val="18"/>
        </w:rPr>
        <w:t>4</w:t>
      </w:r>
      <w:r>
        <w:rPr>
          <w:rFonts w:cs="Arial"/>
          <w:sz w:val="18"/>
          <w:szCs w:val="18"/>
        </w:rPr>
        <w:t> </w:t>
      </w:r>
      <w:r w:rsidRPr="00581C5D">
        <w:rPr>
          <w:rFonts w:cs="Arial"/>
          <w:sz w:val="18"/>
          <w:szCs w:val="18"/>
        </w:rPr>
        <w:t>225</w:t>
      </w:r>
      <w:r>
        <w:rPr>
          <w:rFonts w:cs="Arial"/>
          <w:sz w:val="18"/>
          <w:szCs w:val="18"/>
        </w:rPr>
        <w:t xml:space="preserve"> </w:t>
      </w:r>
      <w:r w:rsidRPr="00314145">
        <w:rPr>
          <w:rFonts w:cs="Arial"/>
          <w:sz w:val="18"/>
          <w:szCs w:val="18"/>
        </w:rPr>
        <w:t>mil. Kč.</w:t>
      </w:r>
    </w:p>
  </w:footnote>
  <w:footnote w:id="17">
    <w:p w:rsidR="00B16F44" w:rsidRDefault="00B16F44" w:rsidP="00B940FD">
      <w:pPr>
        <w:pStyle w:val="Textpoznpodarou"/>
      </w:pPr>
      <w:r w:rsidRPr="00B529B6">
        <w:rPr>
          <w:rStyle w:val="Znakapoznpodarou"/>
          <w:sz w:val="18"/>
        </w:rPr>
        <w:footnoteRef/>
      </w:r>
      <w:r w:rsidRPr="00B529B6">
        <w:rPr>
          <w:sz w:val="18"/>
        </w:rPr>
        <w:t xml:space="preserve"> </w:t>
      </w:r>
      <w:r>
        <w:rPr>
          <w:sz w:val="18"/>
        </w:rPr>
        <w:t>Jak již bylo uvedeno v první části, v případě MPO došlo meziročně ke razantnímu snížení výše rozdělované veřejné podpory na VaV o téměř dvě třetiny.</w:t>
      </w:r>
    </w:p>
  </w:footnote>
  <w:footnote w:id="18">
    <w:p w:rsidR="00B16F44" w:rsidRPr="00A06C1F" w:rsidRDefault="00B16F44" w:rsidP="005C5DD9">
      <w:pPr>
        <w:pStyle w:val="Textpoznpodarou"/>
        <w:rPr>
          <w:rFonts w:cs="Arial"/>
          <w:sz w:val="18"/>
          <w:szCs w:val="18"/>
        </w:rPr>
      </w:pPr>
      <w:r w:rsidRPr="00A06C1F">
        <w:rPr>
          <w:rStyle w:val="Znakapoznpodarou"/>
          <w:rFonts w:cs="Arial"/>
          <w:sz w:val="18"/>
          <w:szCs w:val="18"/>
        </w:rPr>
        <w:footnoteRef/>
      </w:r>
      <w:r w:rsidRPr="00A06C1F">
        <w:rPr>
          <w:rFonts w:cs="Arial"/>
          <w:sz w:val="18"/>
          <w:szCs w:val="18"/>
        </w:rPr>
        <w:t xml:space="preserve"> Započteme-li také lékařské vědy spadající do cílů „Všeobecný výzkum na VŠ“ (SEO10) a „Neorientovaný výzkum“ (SEO11), potom do výzkumu ochrany a zlepšování lidského zdraví směřovalo v souhrnu </w:t>
      </w:r>
      <w:r>
        <w:rPr>
          <w:rFonts w:cs="Arial"/>
          <w:sz w:val="18"/>
          <w:szCs w:val="18"/>
        </w:rPr>
        <w:t>3 433</w:t>
      </w:r>
      <w:r w:rsidRPr="00490069">
        <w:rPr>
          <w:rFonts w:cs="Arial"/>
          <w:sz w:val="18"/>
          <w:szCs w:val="18"/>
        </w:rPr>
        <w:t xml:space="preserve"> mil. Kč.</w:t>
      </w:r>
    </w:p>
  </w:footnote>
  <w:footnote w:id="19">
    <w:p w:rsidR="00B16F44" w:rsidRPr="001E0912" w:rsidRDefault="00B16F44" w:rsidP="009254CF">
      <w:pPr>
        <w:pStyle w:val="Textpoznpodarou"/>
        <w:rPr>
          <w:sz w:val="18"/>
        </w:rPr>
      </w:pPr>
      <w:r w:rsidRPr="001E0912">
        <w:rPr>
          <w:rStyle w:val="Znakapoznpodarou"/>
          <w:sz w:val="18"/>
        </w:rPr>
        <w:footnoteRef/>
      </w:r>
      <w:r w:rsidRPr="001E0912">
        <w:rPr>
          <w:sz w:val="18"/>
        </w:rPr>
        <w:t xml:space="preserve"> </w:t>
      </w:r>
      <w:r>
        <w:rPr>
          <w:sz w:val="18"/>
        </w:rPr>
        <w:t xml:space="preserve">V případě vysokých škol může být část institucionálních finančních prostředků plynoucích na výzkum v oblasti životního prostředí částečně klasifikována pod položkou </w:t>
      </w:r>
      <w:r w:rsidRPr="0085659D">
        <w:rPr>
          <w:rFonts w:cs="Arial"/>
          <w:sz w:val="18"/>
          <w:szCs w:val="18"/>
        </w:rPr>
        <w:t>„Vědy o Zemi a jim příbuzné (ekologické) vědy“</w:t>
      </w:r>
      <w:r>
        <w:rPr>
          <w:rFonts w:cs="Arial"/>
          <w:sz w:val="18"/>
          <w:szCs w:val="18"/>
        </w:rPr>
        <w:t>. Tento dílčí cíl se ale spojuje se socioekonomickým cílem SEO 01 – Průzkum a využití zdrojů Země.</w:t>
      </w:r>
    </w:p>
  </w:footnote>
  <w:footnote w:id="20">
    <w:p w:rsidR="00B16F44" w:rsidRPr="0085659D" w:rsidRDefault="00B16F44" w:rsidP="0057175E">
      <w:pPr>
        <w:pStyle w:val="Textpoznpodarou"/>
        <w:rPr>
          <w:rFonts w:cs="Arial"/>
          <w:sz w:val="18"/>
          <w:szCs w:val="18"/>
        </w:rPr>
      </w:pPr>
      <w:r w:rsidRPr="0085659D">
        <w:rPr>
          <w:rStyle w:val="Znakapoznpodarou"/>
          <w:rFonts w:cs="Arial"/>
          <w:sz w:val="18"/>
          <w:szCs w:val="18"/>
        </w:rPr>
        <w:footnoteRef/>
      </w:r>
      <w:r w:rsidRPr="0085659D">
        <w:rPr>
          <w:rFonts w:cs="Arial"/>
          <w:sz w:val="18"/>
          <w:szCs w:val="18"/>
        </w:rPr>
        <w:t xml:space="preserve"> Stejně jako v případě ochrany a zlepšování zdraví a zemědělské výroby a techniky je možné také státní prostředky investované do průzkumu a využití zdrojů Země rozšířit o finanční částky zařazené pod cíli „Všeobecný výzkum na VŠ (SEO10)“ a „Neorientovaný výzkum“ (SEO11) pod položkou „Vědy o Zemi a jim příbuzné (ekologické) vědy“. Celkově by pak do výzkumu spojeného se Zemí bylo alokováno rovných </w:t>
      </w:r>
      <w:r>
        <w:rPr>
          <w:rFonts w:cs="Arial"/>
          <w:sz w:val="18"/>
          <w:szCs w:val="18"/>
        </w:rPr>
        <w:t>767</w:t>
      </w:r>
      <w:r w:rsidRPr="0024713F">
        <w:rPr>
          <w:rFonts w:cs="Arial"/>
          <w:sz w:val="18"/>
          <w:szCs w:val="18"/>
        </w:rPr>
        <w:t xml:space="preserve"> mil. Kč</w:t>
      </w:r>
      <w:r>
        <w:rPr>
          <w:rFonts w:cs="Arial"/>
          <w:sz w:val="18"/>
          <w:szCs w:val="18"/>
        </w:rPr>
        <w:t>.</w:t>
      </w:r>
    </w:p>
  </w:footnote>
  <w:footnote w:id="21">
    <w:p w:rsidR="00B16F44" w:rsidRPr="00E23F25" w:rsidRDefault="00B16F44" w:rsidP="0057175E">
      <w:pPr>
        <w:pStyle w:val="Textpoznpodarou"/>
        <w:rPr>
          <w:rFonts w:cs="Arial"/>
          <w:sz w:val="18"/>
          <w:szCs w:val="18"/>
        </w:rPr>
      </w:pPr>
      <w:r w:rsidRPr="00E23F25">
        <w:rPr>
          <w:rStyle w:val="Znakapoznpodarou"/>
          <w:rFonts w:cs="Arial"/>
          <w:sz w:val="18"/>
          <w:szCs w:val="18"/>
        </w:rPr>
        <w:footnoteRef/>
      </w:r>
      <w:r w:rsidRPr="00E23F25">
        <w:rPr>
          <w:rFonts w:cs="Arial"/>
          <w:sz w:val="18"/>
          <w:szCs w:val="18"/>
        </w:rPr>
        <w:t xml:space="preserve"> Kosmický výzkum je lépe a kompletněji zachycen v klasifikaci NABS 2007 – SEO 03 (Průzkum a využití kosmu)</w:t>
      </w:r>
      <w:r>
        <w:rPr>
          <w:rFonts w:cs="Arial"/>
          <w:sz w:val="18"/>
          <w:szCs w:val="18"/>
        </w:rPr>
        <w:t xml:space="preserve">. Podíl tohoto cíle na celkových GBARD zde dosáhl 1,9 % (viz tabulka A19).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44" w:rsidRPr="001F708A" w:rsidRDefault="00B16F44" w:rsidP="001F708A">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 xml:space="preserve">PŘÍMÁ VEŘEJNÁ PODPORA VÝZKUMU A VÝVOJE / </w:t>
    </w:r>
    <w:r>
      <w:rPr>
        <w:rFonts w:ascii="Arial" w:hAnsi="Arial" w:cs="Arial"/>
        <w:i/>
        <w:sz w:val="16"/>
        <w:szCs w:val="16"/>
      </w:rPr>
      <w:t>DIRECT PUBLIC SUPPORT OF RESEARCH AND DEVELOPMENT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44" w:rsidRPr="00DC5B3B" w:rsidRDefault="00B16F44" w:rsidP="001F708A">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 xml:space="preserve">PŘÍMÁ VEŘEJNÁ PODPORA VÝZKUMU A VÝVOJE / </w:t>
    </w:r>
    <w:r>
      <w:rPr>
        <w:rFonts w:ascii="Arial" w:hAnsi="Arial" w:cs="Arial"/>
        <w:i/>
        <w:sz w:val="16"/>
        <w:szCs w:val="16"/>
      </w:rPr>
      <w:t>DIRECT PUBLIC SUPPORT OF RESEARCH AND DEVELOPMENT</w:t>
    </w:r>
  </w:p>
  <w:p w:rsidR="00B16F44" w:rsidRPr="00DC5B3B" w:rsidRDefault="00B16F44"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10D5F"/>
    <w:rsid w:val="0000087C"/>
    <w:rsid w:val="00000A97"/>
    <w:rsid w:val="0000316C"/>
    <w:rsid w:val="00004431"/>
    <w:rsid w:val="0000487C"/>
    <w:rsid w:val="0000517D"/>
    <w:rsid w:val="00006457"/>
    <w:rsid w:val="00006FA4"/>
    <w:rsid w:val="0000767A"/>
    <w:rsid w:val="000077E7"/>
    <w:rsid w:val="000100CF"/>
    <w:rsid w:val="000103AE"/>
    <w:rsid w:val="00010702"/>
    <w:rsid w:val="00010728"/>
    <w:rsid w:val="00011090"/>
    <w:rsid w:val="000119C9"/>
    <w:rsid w:val="00011AD9"/>
    <w:rsid w:val="00012145"/>
    <w:rsid w:val="000133D7"/>
    <w:rsid w:val="00014FA5"/>
    <w:rsid w:val="000158B9"/>
    <w:rsid w:val="00016CCE"/>
    <w:rsid w:val="00017F12"/>
    <w:rsid w:val="00020A5D"/>
    <w:rsid w:val="00020DDB"/>
    <w:rsid w:val="000217E8"/>
    <w:rsid w:val="00023413"/>
    <w:rsid w:val="000239C2"/>
    <w:rsid w:val="00024C3A"/>
    <w:rsid w:val="000262A4"/>
    <w:rsid w:val="00026961"/>
    <w:rsid w:val="00027052"/>
    <w:rsid w:val="000313F1"/>
    <w:rsid w:val="000318CE"/>
    <w:rsid w:val="000319F1"/>
    <w:rsid w:val="00031D06"/>
    <w:rsid w:val="00034163"/>
    <w:rsid w:val="0003523C"/>
    <w:rsid w:val="00035E0B"/>
    <w:rsid w:val="000368A7"/>
    <w:rsid w:val="00036CDB"/>
    <w:rsid w:val="00036F9D"/>
    <w:rsid w:val="000372D7"/>
    <w:rsid w:val="00037A9F"/>
    <w:rsid w:val="00040041"/>
    <w:rsid w:val="00043079"/>
    <w:rsid w:val="00043A7E"/>
    <w:rsid w:val="0004694F"/>
    <w:rsid w:val="000472C0"/>
    <w:rsid w:val="000472ED"/>
    <w:rsid w:val="000478A7"/>
    <w:rsid w:val="000509B6"/>
    <w:rsid w:val="00050F9D"/>
    <w:rsid w:val="000517B0"/>
    <w:rsid w:val="00051C4D"/>
    <w:rsid w:val="00052B04"/>
    <w:rsid w:val="000556B7"/>
    <w:rsid w:val="00055C01"/>
    <w:rsid w:val="00056385"/>
    <w:rsid w:val="0005739C"/>
    <w:rsid w:val="000576D7"/>
    <w:rsid w:val="000603F3"/>
    <w:rsid w:val="00060D0B"/>
    <w:rsid w:val="00062EC5"/>
    <w:rsid w:val="00064171"/>
    <w:rsid w:val="00065675"/>
    <w:rsid w:val="00065E55"/>
    <w:rsid w:val="00065F81"/>
    <w:rsid w:val="00065F83"/>
    <w:rsid w:val="00066B31"/>
    <w:rsid w:val="00066B5A"/>
    <w:rsid w:val="00066F49"/>
    <w:rsid w:val="00067EB6"/>
    <w:rsid w:val="000728FD"/>
    <w:rsid w:val="00072EB4"/>
    <w:rsid w:val="00073592"/>
    <w:rsid w:val="0007414B"/>
    <w:rsid w:val="000741A9"/>
    <w:rsid w:val="00080E37"/>
    <w:rsid w:val="000812FD"/>
    <w:rsid w:val="00081AAC"/>
    <w:rsid w:val="00081AB2"/>
    <w:rsid w:val="00082F96"/>
    <w:rsid w:val="00085870"/>
    <w:rsid w:val="00085C2F"/>
    <w:rsid w:val="00085CBD"/>
    <w:rsid w:val="000867D1"/>
    <w:rsid w:val="00087634"/>
    <w:rsid w:val="00087A0A"/>
    <w:rsid w:val="00090449"/>
    <w:rsid w:val="00090E52"/>
    <w:rsid w:val="00091E44"/>
    <w:rsid w:val="000925C7"/>
    <w:rsid w:val="00092C9A"/>
    <w:rsid w:val="00093C42"/>
    <w:rsid w:val="00093D46"/>
    <w:rsid w:val="00093F9D"/>
    <w:rsid w:val="00094263"/>
    <w:rsid w:val="00094FFB"/>
    <w:rsid w:val="000957AA"/>
    <w:rsid w:val="000A05A7"/>
    <w:rsid w:val="000A0CD3"/>
    <w:rsid w:val="000A1183"/>
    <w:rsid w:val="000A1EC6"/>
    <w:rsid w:val="000A2D07"/>
    <w:rsid w:val="000A403D"/>
    <w:rsid w:val="000A46E5"/>
    <w:rsid w:val="000A4977"/>
    <w:rsid w:val="000A5B13"/>
    <w:rsid w:val="000A5CF5"/>
    <w:rsid w:val="000A76ED"/>
    <w:rsid w:val="000A7E0B"/>
    <w:rsid w:val="000B0280"/>
    <w:rsid w:val="000B05FC"/>
    <w:rsid w:val="000B0735"/>
    <w:rsid w:val="000B0777"/>
    <w:rsid w:val="000B3D2A"/>
    <w:rsid w:val="000B409F"/>
    <w:rsid w:val="000B46B1"/>
    <w:rsid w:val="000B67B8"/>
    <w:rsid w:val="000B703D"/>
    <w:rsid w:val="000C06D6"/>
    <w:rsid w:val="000C0AF8"/>
    <w:rsid w:val="000C1883"/>
    <w:rsid w:val="000C1CE8"/>
    <w:rsid w:val="000C3408"/>
    <w:rsid w:val="000C4625"/>
    <w:rsid w:val="000C4ABE"/>
    <w:rsid w:val="000C4C58"/>
    <w:rsid w:val="000C5C5D"/>
    <w:rsid w:val="000C5EE6"/>
    <w:rsid w:val="000C663D"/>
    <w:rsid w:val="000C69C0"/>
    <w:rsid w:val="000C7A37"/>
    <w:rsid w:val="000C7C55"/>
    <w:rsid w:val="000D009C"/>
    <w:rsid w:val="000D00A0"/>
    <w:rsid w:val="000D0EAF"/>
    <w:rsid w:val="000D2A47"/>
    <w:rsid w:val="000D33A9"/>
    <w:rsid w:val="000D34DA"/>
    <w:rsid w:val="000D48A0"/>
    <w:rsid w:val="000E0C52"/>
    <w:rsid w:val="000E2043"/>
    <w:rsid w:val="000E2207"/>
    <w:rsid w:val="000E36B0"/>
    <w:rsid w:val="000E3FAA"/>
    <w:rsid w:val="000E42CB"/>
    <w:rsid w:val="000E4300"/>
    <w:rsid w:val="000E69B6"/>
    <w:rsid w:val="000F02C5"/>
    <w:rsid w:val="000F0B7C"/>
    <w:rsid w:val="000F1F88"/>
    <w:rsid w:val="000F34FD"/>
    <w:rsid w:val="000F393A"/>
    <w:rsid w:val="000F41F1"/>
    <w:rsid w:val="000F46BF"/>
    <w:rsid w:val="000F4B6B"/>
    <w:rsid w:val="000F525F"/>
    <w:rsid w:val="000F5C63"/>
    <w:rsid w:val="000F5D9B"/>
    <w:rsid w:val="000F6A39"/>
    <w:rsid w:val="001057F6"/>
    <w:rsid w:val="00105AEC"/>
    <w:rsid w:val="00106DA0"/>
    <w:rsid w:val="00107471"/>
    <w:rsid w:val="001101D5"/>
    <w:rsid w:val="001103C6"/>
    <w:rsid w:val="00110CA8"/>
    <w:rsid w:val="0011197B"/>
    <w:rsid w:val="00112972"/>
    <w:rsid w:val="00112DEE"/>
    <w:rsid w:val="00114D74"/>
    <w:rsid w:val="001153FB"/>
    <w:rsid w:val="00117EB4"/>
    <w:rsid w:val="00121CFA"/>
    <w:rsid w:val="00122D2E"/>
    <w:rsid w:val="00124784"/>
    <w:rsid w:val="00126337"/>
    <w:rsid w:val="00127CDF"/>
    <w:rsid w:val="00130C70"/>
    <w:rsid w:val="00130D16"/>
    <w:rsid w:val="00131CFB"/>
    <w:rsid w:val="00134390"/>
    <w:rsid w:val="001348DA"/>
    <w:rsid w:val="00135C14"/>
    <w:rsid w:val="0013656F"/>
    <w:rsid w:val="00136C92"/>
    <w:rsid w:val="00137A58"/>
    <w:rsid w:val="0014020B"/>
    <w:rsid w:val="001405FA"/>
    <w:rsid w:val="00140A1B"/>
    <w:rsid w:val="00140B28"/>
    <w:rsid w:val="001410BB"/>
    <w:rsid w:val="001425C3"/>
    <w:rsid w:val="00142861"/>
    <w:rsid w:val="00143453"/>
    <w:rsid w:val="0014473F"/>
    <w:rsid w:val="00144E72"/>
    <w:rsid w:val="00145800"/>
    <w:rsid w:val="00146553"/>
    <w:rsid w:val="001475F6"/>
    <w:rsid w:val="00150A46"/>
    <w:rsid w:val="00151F64"/>
    <w:rsid w:val="001528D0"/>
    <w:rsid w:val="00153228"/>
    <w:rsid w:val="001544C2"/>
    <w:rsid w:val="00154AC5"/>
    <w:rsid w:val="00155181"/>
    <w:rsid w:val="00155AEC"/>
    <w:rsid w:val="00156A62"/>
    <w:rsid w:val="00156C72"/>
    <w:rsid w:val="00156F9A"/>
    <w:rsid w:val="00157324"/>
    <w:rsid w:val="001604A9"/>
    <w:rsid w:val="001608FF"/>
    <w:rsid w:val="00160BB7"/>
    <w:rsid w:val="00162076"/>
    <w:rsid w:val="00163793"/>
    <w:rsid w:val="0016425E"/>
    <w:rsid w:val="0016610C"/>
    <w:rsid w:val="0016661D"/>
    <w:rsid w:val="00166CFA"/>
    <w:rsid w:val="001673AF"/>
    <w:rsid w:val="00167F92"/>
    <w:rsid w:val="00170BC0"/>
    <w:rsid w:val="001714F2"/>
    <w:rsid w:val="00171CD8"/>
    <w:rsid w:val="00172573"/>
    <w:rsid w:val="00172871"/>
    <w:rsid w:val="00172948"/>
    <w:rsid w:val="00173078"/>
    <w:rsid w:val="00174067"/>
    <w:rsid w:val="00175980"/>
    <w:rsid w:val="00175A98"/>
    <w:rsid w:val="00176360"/>
    <w:rsid w:val="00176B3E"/>
    <w:rsid w:val="001775E7"/>
    <w:rsid w:val="00177999"/>
    <w:rsid w:val="00180381"/>
    <w:rsid w:val="00181A8D"/>
    <w:rsid w:val="00181D98"/>
    <w:rsid w:val="00182307"/>
    <w:rsid w:val="00182C43"/>
    <w:rsid w:val="0018408A"/>
    <w:rsid w:val="00185010"/>
    <w:rsid w:val="001876D6"/>
    <w:rsid w:val="0018773B"/>
    <w:rsid w:val="00190BF6"/>
    <w:rsid w:val="00191E4B"/>
    <w:rsid w:val="00191F3E"/>
    <w:rsid w:val="0019317E"/>
    <w:rsid w:val="0019470B"/>
    <w:rsid w:val="00195C8C"/>
    <w:rsid w:val="00195D5A"/>
    <w:rsid w:val="00195FB6"/>
    <w:rsid w:val="001960C2"/>
    <w:rsid w:val="00196897"/>
    <w:rsid w:val="001969C9"/>
    <w:rsid w:val="001972E3"/>
    <w:rsid w:val="001A364E"/>
    <w:rsid w:val="001A3B6E"/>
    <w:rsid w:val="001A3F7F"/>
    <w:rsid w:val="001A4051"/>
    <w:rsid w:val="001A42D3"/>
    <w:rsid w:val="001A4F0B"/>
    <w:rsid w:val="001A51D6"/>
    <w:rsid w:val="001A552F"/>
    <w:rsid w:val="001A5BBB"/>
    <w:rsid w:val="001A6513"/>
    <w:rsid w:val="001B0260"/>
    <w:rsid w:val="001B0CFD"/>
    <w:rsid w:val="001B26AC"/>
    <w:rsid w:val="001B2E25"/>
    <w:rsid w:val="001B3110"/>
    <w:rsid w:val="001B4A9D"/>
    <w:rsid w:val="001B4D02"/>
    <w:rsid w:val="001B6EE0"/>
    <w:rsid w:val="001B75ED"/>
    <w:rsid w:val="001B7941"/>
    <w:rsid w:val="001B7C2E"/>
    <w:rsid w:val="001C2071"/>
    <w:rsid w:val="001C2B90"/>
    <w:rsid w:val="001C30F8"/>
    <w:rsid w:val="001C3BB4"/>
    <w:rsid w:val="001C4C36"/>
    <w:rsid w:val="001C51A8"/>
    <w:rsid w:val="001C628C"/>
    <w:rsid w:val="001C65E0"/>
    <w:rsid w:val="001C6D21"/>
    <w:rsid w:val="001C7670"/>
    <w:rsid w:val="001D03CD"/>
    <w:rsid w:val="001D39EA"/>
    <w:rsid w:val="001D3DFA"/>
    <w:rsid w:val="001D406B"/>
    <w:rsid w:val="001D5183"/>
    <w:rsid w:val="001D622E"/>
    <w:rsid w:val="001D73FD"/>
    <w:rsid w:val="001D7670"/>
    <w:rsid w:val="001D7A62"/>
    <w:rsid w:val="001D7AC8"/>
    <w:rsid w:val="001D7FBC"/>
    <w:rsid w:val="001E0831"/>
    <w:rsid w:val="001E0904"/>
    <w:rsid w:val="001E2E1C"/>
    <w:rsid w:val="001E42DA"/>
    <w:rsid w:val="001E5CBD"/>
    <w:rsid w:val="001E74D7"/>
    <w:rsid w:val="001F0082"/>
    <w:rsid w:val="001F199C"/>
    <w:rsid w:val="001F28A3"/>
    <w:rsid w:val="001F36C7"/>
    <w:rsid w:val="001F3E03"/>
    <w:rsid w:val="001F4597"/>
    <w:rsid w:val="001F46EA"/>
    <w:rsid w:val="001F4C47"/>
    <w:rsid w:val="001F50E8"/>
    <w:rsid w:val="001F52C4"/>
    <w:rsid w:val="001F647A"/>
    <w:rsid w:val="001F68A0"/>
    <w:rsid w:val="001F708A"/>
    <w:rsid w:val="001F7541"/>
    <w:rsid w:val="001F7FF3"/>
    <w:rsid w:val="00201371"/>
    <w:rsid w:val="00201641"/>
    <w:rsid w:val="00201A1B"/>
    <w:rsid w:val="0020344B"/>
    <w:rsid w:val="00203AC6"/>
    <w:rsid w:val="00203D12"/>
    <w:rsid w:val="0020498B"/>
    <w:rsid w:val="0020650B"/>
    <w:rsid w:val="00206C36"/>
    <w:rsid w:val="002073DB"/>
    <w:rsid w:val="00207A19"/>
    <w:rsid w:val="00210505"/>
    <w:rsid w:val="00211943"/>
    <w:rsid w:val="00211C1E"/>
    <w:rsid w:val="0021207D"/>
    <w:rsid w:val="002122DC"/>
    <w:rsid w:val="0021282D"/>
    <w:rsid w:val="00213BB3"/>
    <w:rsid w:val="002145E1"/>
    <w:rsid w:val="00215943"/>
    <w:rsid w:val="00215E0F"/>
    <w:rsid w:val="00216EB6"/>
    <w:rsid w:val="002201D9"/>
    <w:rsid w:val="002202D4"/>
    <w:rsid w:val="002204C3"/>
    <w:rsid w:val="00220822"/>
    <w:rsid w:val="0022139E"/>
    <w:rsid w:val="002216A8"/>
    <w:rsid w:val="002216F1"/>
    <w:rsid w:val="00221957"/>
    <w:rsid w:val="00222322"/>
    <w:rsid w:val="00222D55"/>
    <w:rsid w:val="002233FF"/>
    <w:rsid w:val="0022439C"/>
    <w:rsid w:val="002248D4"/>
    <w:rsid w:val="002252E0"/>
    <w:rsid w:val="002255F6"/>
    <w:rsid w:val="00225C66"/>
    <w:rsid w:val="00225EE9"/>
    <w:rsid w:val="0022691D"/>
    <w:rsid w:val="00226D6E"/>
    <w:rsid w:val="00230FA2"/>
    <w:rsid w:val="00234209"/>
    <w:rsid w:val="00234AC0"/>
    <w:rsid w:val="0023512E"/>
    <w:rsid w:val="00236333"/>
    <w:rsid w:val="00236443"/>
    <w:rsid w:val="00236D1F"/>
    <w:rsid w:val="0024129B"/>
    <w:rsid w:val="002436BA"/>
    <w:rsid w:val="0024379D"/>
    <w:rsid w:val="002439D6"/>
    <w:rsid w:val="002443A5"/>
    <w:rsid w:val="00244A15"/>
    <w:rsid w:val="00244F0F"/>
    <w:rsid w:val="002451FF"/>
    <w:rsid w:val="00246294"/>
    <w:rsid w:val="00246C23"/>
    <w:rsid w:val="00247178"/>
    <w:rsid w:val="002478CD"/>
    <w:rsid w:val="0024799E"/>
    <w:rsid w:val="00247ED1"/>
    <w:rsid w:val="002516CC"/>
    <w:rsid w:val="00254352"/>
    <w:rsid w:val="00260046"/>
    <w:rsid w:val="002601F6"/>
    <w:rsid w:val="00264463"/>
    <w:rsid w:val="00265D1A"/>
    <w:rsid w:val="00267C5E"/>
    <w:rsid w:val="002704E6"/>
    <w:rsid w:val="00270567"/>
    <w:rsid w:val="002720C3"/>
    <w:rsid w:val="002729FF"/>
    <w:rsid w:val="002737B6"/>
    <w:rsid w:val="00273BD1"/>
    <w:rsid w:val="00273F9D"/>
    <w:rsid w:val="00276B63"/>
    <w:rsid w:val="002771CE"/>
    <w:rsid w:val="00277478"/>
    <w:rsid w:val="00277AA3"/>
    <w:rsid w:val="002810FD"/>
    <w:rsid w:val="00281435"/>
    <w:rsid w:val="00283284"/>
    <w:rsid w:val="002835A8"/>
    <w:rsid w:val="0028363A"/>
    <w:rsid w:val="00284544"/>
    <w:rsid w:val="002872C2"/>
    <w:rsid w:val="00290C0F"/>
    <w:rsid w:val="00292845"/>
    <w:rsid w:val="00292F47"/>
    <w:rsid w:val="00293CEF"/>
    <w:rsid w:val="00293F7A"/>
    <w:rsid w:val="00295694"/>
    <w:rsid w:val="00295B27"/>
    <w:rsid w:val="0029633E"/>
    <w:rsid w:val="002964D0"/>
    <w:rsid w:val="002976B9"/>
    <w:rsid w:val="00297EEE"/>
    <w:rsid w:val="00297FBA"/>
    <w:rsid w:val="002A0702"/>
    <w:rsid w:val="002A07F7"/>
    <w:rsid w:val="002A1933"/>
    <w:rsid w:val="002A20BA"/>
    <w:rsid w:val="002A2148"/>
    <w:rsid w:val="002A21A2"/>
    <w:rsid w:val="002A2CF9"/>
    <w:rsid w:val="002A46FF"/>
    <w:rsid w:val="002A4F13"/>
    <w:rsid w:val="002A5BAA"/>
    <w:rsid w:val="002A67A5"/>
    <w:rsid w:val="002B1DF8"/>
    <w:rsid w:val="002B2848"/>
    <w:rsid w:val="002B30B3"/>
    <w:rsid w:val="002B3194"/>
    <w:rsid w:val="002B3B30"/>
    <w:rsid w:val="002B439B"/>
    <w:rsid w:val="002B6CDB"/>
    <w:rsid w:val="002B782B"/>
    <w:rsid w:val="002C0D94"/>
    <w:rsid w:val="002C0FFC"/>
    <w:rsid w:val="002C1CCB"/>
    <w:rsid w:val="002C2278"/>
    <w:rsid w:val="002C30CA"/>
    <w:rsid w:val="002C31C4"/>
    <w:rsid w:val="002C31D3"/>
    <w:rsid w:val="002C3C8D"/>
    <w:rsid w:val="002C430B"/>
    <w:rsid w:val="002C43BD"/>
    <w:rsid w:val="002C4EB9"/>
    <w:rsid w:val="002C63C8"/>
    <w:rsid w:val="002C7784"/>
    <w:rsid w:val="002D007E"/>
    <w:rsid w:val="002D0D0A"/>
    <w:rsid w:val="002D13DD"/>
    <w:rsid w:val="002D3010"/>
    <w:rsid w:val="002D362F"/>
    <w:rsid w:val="002D3869"/>
    <w:rsid w:val="002D3DF2"/>
    <w:rsid w:val="002D3EAF"/>
    <w:rsid w:val="002D3F0F"/>
    <w:rsid w:val="002D4104"/>
    <w:rsid w:val="002D47D8"/>
    <w:rsid w:val="002D487C"/>
    <w:rsid w:val="002D6AFD"/>
    <w:rsid w:val="002D73A9"/>
    <w:rsid w:val="002D7465"/>
    <w:rsid w:val="002D7A34"/>
    <w:rsid w:val="002E0064"/>
    <w:rsid w:val="002E02A1"/>
    <w:rsid w:val="002E0AD7"/>
    <w:rsid w:val="002E19C4"/>
    <w:rsid w:val="002E4155"/>
    <w:rsid w:val="002E53EB"/>
    <w:rsid w:val="002E7ACB"/>
    <w:rsid w:val="002E7D89"/>
    <w:rsid w:val="002F1C06"/>
    <w:rsid w:val="002F23F1"/>
    <w:rsid w:val="002F2B9F"/>
    <w:rsid w:val="002F3032"/>
    <w:rsid w:val="002F313B"/>
    <w:rsid w:val="002F3249"/>
    <w:rsid w:val="002F453F"/>
    <w:rsid w:val="002F455B"/>
    <w:rsid w:val="002F473A"/>
    <w:rsid w:val="002F4840"/>
    <w:rsid w:val="002F53A6"/>
    <w:rsid w:val="002F6B60"/>
    <w:rsid w:val="002F7080"/>
    <w:rsid w:val="002F7590"/>
    <w:rsid w:val="0030115C"/>
    <w:rsid w:val="00301A1D"/>
    <w:rsid w:val="00301C0F"/>
    <w:rsid w:val="003040D3"/>
    <w:rsid w:val="00304147"/>
    <w:rsid w:val="0030424D"/>
    <w:rsid w:val="00304771"/>
    <w:rsid w:val="00305F36"/>
    <w:rsid w:val="003061B7"/>
    <w:rsid w:val="00306C5B"/>
    <w:rsid w:val="00307719"/>
    <w:rsid w:val="00311453"/>
    <w:rsid w:val="00311963"/>
    <w:rsid w:val="00311D3E"/>
    <w:rsid w:val="00313553"/>
    <w:rsid w:val="00314A3C"/>
    <w:rsid w:val="00314AAB"/>
    <w:rsid w:val="00314EE7"/>
    <w:rsid w:val="003155FB"/>
    <w:rsid w:val="003156E7"/>
    <w:rsid w:val="0031638D"/>
    <w:rsid w:val="003209D6"/>
    <w:rsid w:val="00320DA4"/>
    <w:rsid w:val="0032123E"/>
    <w:rsid w:val="00321C29"/>
    <w:rsid w:val="00321F4E"/>
    <w:rsid w:val="0032208D"/>
    <w:rsid w:val="003225B0"/>
    <w:rsid w:val="00322A85"/>
    <w:rsid w:val="00322B58"/>
    <w:rsid w:val="003257F5"/>
    <w:rsid w:val="0032669A"/>
    <w:rsid w:val="00327A2B"/>
    <w:rsid w:val="00327C7C"/>
    <w:rsid w:val="00330D12"/>
    <w:rsid w:val="00331292"/>
    <w:rsid w:val="00331641"/>
    <w:rsid w:val="00331663"/>
    <w:rsid w:val="00332DE4"/>
    <w:rsid w:val="0033380D"/>
    <w:rsid w:val="00334AF9"/>
    <w:rsid w:val="00335304"/>
    <w:rsid w:val="003357F1"/>
    <w:rsid w:val="00336576"/>
    <w:rsid w:val="00337AE4"/>
    <w:rsid w:val="00341E45"/>
    <w:rsid w:val="003429AA"/>
    <w:rsid w:val="00342A7A"/>
    <w:rsid w:val="00343938"/>
    <w:rsid w:val="0034579B"/>
    <w:rsid w:val="00346045"/>
    <w:rsid w:val="00346895"/>
    <w:rsid w:val="00347A9E"/>
    <w:rsid w:val="003507F7"/>
    <w:rsid w:val="003543F2"/>
    <w:rsid w:val="00354634"/>
    <w:rsid w:val="00354986"/>
    <w:rsid w:val="00354B78"/>
    <w:rsid w:val="003559DE"/>
    <w:rsid w:val="00356039"/>
    <w:rsid w:val="003562CA"/>
    <w:rsid w:val="00356A61"/>
    <w:rsid w:val="00356ABD"/>
    <w:rsid w:val="00357632"/>
    <w:rsid w:val="00357CC8"/>
    <w:rsid w:val="003603CE"/>
    <w:rsid w:val="00361F49"/>
    <w:rsid w:val="003657F3"/>
    <w:rsid w:val="00366251"/>
    <w:rsid w:val="003665AB"/>
    <w:rsid w:val="00370721"/>
    <w:rsid w:val="003715C8"/>
    <w:rsid w:val="00371906"/>
    <w:rsid w:val="00372E02"/>
    <w:rsid w:val="00372ECF"/>
    <w:rsid w:val="003738F1"/>
    <w:rsid w:val="003748FE"/>
    <w:rsid w:val="00374920"/>
    <w:rsid w:val="003756DC"/>
    <w:rsid w:val="0037582D"/>
    <w:rsid w:val="00376D7A"/>
    <w:rsid w:val="00377B43"/>
    <w:rsid w:val="00381287"/>
    <w:rsid w:val="00381B38"/>
    <w:rsid w:val="00383531"/>
    <w:rsid w:val="00383C4C"/>
    <w:rsid w:val="00383DD8"/>
    <w:rsid w:val="003855FD"/>
    <w:rsid w:val="00385D98"/>
    <w:rsid w:val="003864AE"/>
    <w:rsid w:val="003869AD"/>
    <w:rsid w:val="00386CFD"/>
    <w:rsid w:val="003909D7"/>
    <w:rsid w:val="0039159A"/>
    <w:rsid w:val="00391639"/>
    <w:rsid w:val="00391B49"/>
    <w:rsid w:val="0039328F"/>
    <w:rsid w:val="00394398"/>
    <w:rsid w:val="00394756"/>
    <w:rsid w:val="00395EBF"/>
    <w:rsid w:val="003A071A"/>
    <w:rsid w:val="003A139A"/>
    <w:rsid w:val="003A2000"/>
    <w:rsid w:val="003A2B4D"/>
    <w:rsid w:val="003A3DC5"/>
    <w:rsid w:val="003A4766"/>
    <w:rsid w:val="003A478C"/>
    <w:rsid w:val="003A5169"/>
    <w:rsid w:val="003A5525"/>
    <w:rsid w:val="003A6B38"/>
    <w:rsid w:val="003A7D04"/>
    <w:rsid w:val="003A7EF5"/>
    <w:rsid w:val="003B07C1"/>
    <w:rsid w:val="003B07D7"/>
    <w:rsid w:val="003B1F4B"/>
    <w:rsid w:val="003B2C29"/>
    <w:rsid w:val="003B3719"/>
    <w:rsid w:val="003B3854"/>
    <w:rsid w:val="003B3E11"/>
    <w:rsid w:val="003B43F5"/>
    <w:rsid w:val="003B57B7"/>
    <w:rsid w:val="003B5A32"/>
    <w:rsid w:val="003B75E7"/>
    <w:rsid w:val="003C1606"/>
    <w:rsid w:val="003C2B86"/>
    <w:rsid w:val="003C3177"/>
    <w:rsid w:val="003C4755"/>
    <w:rsid w:val="003C48BB"/>
    <w:rsid w:val="003C508F"/>
    <w:rsid w:val="003C54D3"/>
    <w:rsid w:val="003C5BAF"/>
    <w:rsid w:val="003C5BE5"/>
    <w:rsid w:val="003C5FB3"/>
    <w:rsid w:val="003C77D1"/>
    <w:rsid w:val="003C7B97"/>
    <w:rsid w:val="003D20B9"/>
    <w:rsid w:val="003D3D33"/>
    <w:rsid w:val="003D4D7C"/>
    <w:rsid w:val="003D5042"/>
    <w:rsid w:val="003D53AA"/>
    <w:rsid w:val="003D7CF3"/>
    <w:rsid w:val="003E081A"/>
    <w:rsid w:val="003E22E9"/>
    <w:rsid w:val="003E2BEE"/>
    <w:rsid w:val="003E4697"/>
    <w:rsid w:val="003E6D10"/>
    <w:rsid w:val="003E7003"/>
    <w:rsid w:val="003E71A3"/>
    <w:rsid w:val="003E796F"/>
    <w:rsid w:val="003E7A25"/>
    <w:rsid w:val="003F0699"/>
    <w:rsid w:val="003F0E25"/>
    <w:rsid w:val="003F0FD3"/>
    <w:rsid w:val="003F1F84"/>
    <w:rsid w:val="003F313C"/>
    <w:rsid w:val="003F52E9"/>
    <w:rsid w:val="003F5792"/>
    <w:rsid w:val="003F586E"/>
    <w:rsid w:val="003F62AA"/>
    <w:rsid w:val="00400636"/>
    <w:rsid w:val="00402062"/>
    <w:rsid w:val="0040280F"/>
    <w:rsid w:val="004039E7"/>
    <w:rsid w:val="00403ED7"/>
    <w:rsid w:val="00405CD5"/>
    <w:rsid w:val="00405D48"/>
    <w:rsid w:val="00406C11"/>
    <w:rsid w:val="004073A2"/>
    <w:rsid w:val="00407605"/>
    <w:rsid w:val="00410D5F"/>
    <w:rsid w:val="00412F1A"/>
    <w:rsid w:val="0041398E"/>
    <w:rsid w:val="00414240"/>
    <w:rsid w:val="00414F8F"/>
    <w:rsid w:val="00415FAD"/>
    <w:rsid w:val="004166B2"/>
    <w:rsid w:val="0041734A"/>
    <w:rsid w:val="00417424"/>
    <w:rsid w:val="00417ECE"/>
    <w:rsid w:val="00420985"/>
    <w:rsid w:val="00421359"/>
    <w:rsid w:val="00422315"/>
    <w:rsid w:val="004236B3"/>
    <w:rsid w:val="00423910"/>
    <w:rsid w:val="00423BBA"/>
    <w:rsid w:val="00424AB7"/>
    <w:rsid w:val="00426330"/>
    <w:rsid w:val="00426422"/>
    <w:rsid w:val="00427185"/>
    <w:rsid w:val="00427765"/>
    <w:rsid w:val="00430090"/>
    <w:rsid w:val="00430CE0"/>
    <w:rsid w:val="004313F0"/>
    <w:rsid w:val="0043194A"/>
    <w:rsid w:val="004322C6"/>
    <w:rsid w:val="0043232A"/>
    <w:rsid w:val="004341DF"/>
    <w:rsid w:val="00434B73"/>
    <w:rsid w:val="00434E4A"/>
    <w:rsid w:val="00434EA2"/>
    <w:rsid w:val="00435439"/>
    <w:rsid w:val="00436048"/>
    <w:rsid w:val="004362C7"/>
    <w:rsid w:val="004366E7"/>
    <w:rsid w:val="00440863"/>
    <w:rsid w:val="0044161B"/>
    <w:rsid w:val="004418B6"/>
    <w:rsid w:val="004423DA"/>
    <w:rsid w:val="00443FBC"/>
    <w:rsid w:val="00445AF9"/>
    <w:rsid w:val="00446A05"/>
    <w:rsid w:val="00446C05"/>
    <w:rsid w:val="0044781D"/>
    <w:rsid w:val="004479AD"/>
    <w:rsid w:val="00450CA5"/>
    <w:rsid w:val="00451CBF"/>
    <w:rsid w:val="00452E0F"/>
    <w:rsid w:val="00454B4B"/>
    <w:rsid w:val="00455781"/>
    <w:rsid w:val="004560BE"/>
    <w:rsid w:val="00460DFF"/>
    <w:rsid w:val="004618CF"/>
    <w:rsid w:val="004619D9"/>
    <w:rsid w:val="00462172"/>
    <w:rsid w:val="00463277"/>
    <w:rsid w:val="004644D9"/>
    <w:rsid w:val="004663E3"/>
    <w:rsid w:val="00466611"/>
    <w:rsid w:val="004670EF"/>
    <w:rsid w:val="0047159E"/>
    <w:rsid w:val="00471D56"/>
    <w:rsid w:val="00472688"/>
    <w:rsid w:val="00473149"/>
    <w:rsid w:val="00473708"/>
    <w:rsid w:val="00473C4D"/>
    <w:rsid w:val="00473EC5"/>
    <w:rsid w:val="00475D13"/>
    <w:rsid w:val="00475FE9"/>
    <w:rsid w:val="00480043"/>
    <w:rsid w:val="00480A0A"/>
    <w:rsid w:val="0048139F"/>
    <w:rsid w:val="00481B3C"/>
    <w:rsid w:val="00483CCC"/>
    <w:rsid w:val="00484781"/>
    <w:rsid w:val="00485EF6"/>
    <w:rsid w:val="0048673C"/>
    <w:rsid w:val="004868AB"/>
    <w:rsid w:val="00486D50"/>
    <w:rsid w:val="00486EDF"/>
    <w:rsid w:val="0048734B"/>
    <w:rsid w:val="0049040D"/>
    <w:rsid w:val="004918CF"/>
    <w:rsid w:val="00492782"/>
    <w:rsid w:val="00493A82"/>
    <w:rsid w:val="00494BB0"/>
    <w:rsid w:val="00497328"/>
    <w:rsid w:val="004976DF"/>
    <w:rsid w:val="0049796C"/>
    <w:rsid w:val="00497E1B"/>
    <w:rsid w:val="004A0961"/>
    <w:rsid w:val="004A0C12"/>
    <w:rsid w:val="004A0ED7"/>
    <w:rsid w:val="004A1A0B"/>
    <w:rsid w:val="004A2ED0"/>
    <w:rsid w:val="004A2FD3"/>
    <w:rsid w:val="004A3B8F"/>
    <w:rsid w:val="004A4D9F"/>
    <w:rsid w:val="004A735E"/>
    <w:rsid w:val="004A774A"/>
    <w:rsid w:val="004A77DF"/>
    <w:rsid w:val="004A7C15"/>
    <w:rsid w:val="004A7F6D"/>
    <w:rsid w:val="004B0CF8"/>
    <w:rsid w:val="004B0EFC"/>
    <w:rsid w:val="004B1EFD"/>
    <w:rsid w:val="004B2ECC"/>
    <w:rsid w:val="004B38CF"/>
    <w:rsid w:val="004B55B7"/>
    <w:rsid w:val="004C152D"/>
    <w:rsid w:val="004C1966"/>
    <w:rsid w:val="004C2E6C"/>
    <w:rsid w:val="004C3867"/>
    <w:rsid w:val="004C4121"/>
    <w:rsid w:val="004C43FF"/>
    <w:rsid w:val="004C4CD0"/>
    <w:rsid w:val="004C5960"/>
    <w:rsid w:val="004C6F38"/>
    <w:rsid w:val="004C70DC"/>
    <w:rsid w:val="004D0211"/>
    <w:rsid w:val="004D059E"/>
    <w:rsid w:val="004D3AA6"/>
    <w:rsid w:val="004D4ED3"/>
    <w:rsid w:val="004D68B3"/>
    <w:rsid w:val="004D6E66"/>
    <w:rsid w:val="004D70A1"/>
    <w:rsid w:val="004D7622"/>
    <w:rsid w:val="004E0DA0"/>
    <w:rsid w:val="004E2E2C"/>
    <w:rsid w:val="004E3005"/>
    <w:rsid w:val="004E3936"/>
    <w:rsid w:val="004E3D6B"/>
    <w:rsid w:val="004E3E7B"/>
    <w:rsid w:val="004E44F4"/>
    <w:rsid w:val="004E46DF"/>
    <w:rsid w:val="004E4AF3"/>
    <w:rsid w:val="004E57C7"/>
    <w:rsid w:val="004E5C31"/>
    <w:rsid w:val="004E6919"/>
    <w:rsid w:val="004E6BC8"/>
    <w:rsid w:val="004E74C2"/>
    <w:rsid w:val="004E7551"/>
    <w:rsid w:val="004E789E"/>
    <w:rsid w:val="004E7A13"/>
    <w:rsid w:val="004E7D3D"/>
    <w:rsid w:val="004F06F5"/>
    <w:rsid w:val="004F0BD9"/>
    <w:rsid w:val="004F0F92"/>
    <w:rsid w:val="004F1915"/>
    <w:rsid w:val="004F25E7"/>
    <w:rsid w:val="004F2DFF"/>
    <w:rsid w:val="004F33A0"/>
    <w:rsid w:val="004F411B"/>
    <w:rsid w:val="004F4D12"/>
    <w:rsid w:val="004F4FE7"/>
    <w:rsid w:val="004F5578"/>
    <w:rsid w:val="004F6BBE"/>
    <w:rsid w:val="004F7BC4"/>
    <w:rsid w:val="00500B29"/>
    <w:rsid w:val="00500D87"/>
    <w:rsid w:val="0050264F"/>
    <w:rsid w:val="00502D0B"/>
    <w:rsid w:val="00502D0E"/>
    <w:rsid w:val="00503A24"/>
    <w:rsid w:val="00505692"/>
    <w:rsid w:val="005072D0"/>
    <w:rsid w:val="00507F95"/>
    <w:rsid w:val="005108C0"/>
    <w:rsid w:val="00510A30"/>
    <w:rsid w:val="00510C06"/>
    <w:rsid w:val="00510CB2"/>
    <w:rsid w:val="005110A5"/>
    <w:rsid w:val="005116AE"/>
    <w:rsid w:val="00511873"/>
    <w:rsid w:val="005119CB"/>
    <w:rsid w:val="00512441"/>
    <w:rsid w:val="005130E9"/>
    <w:rsid w:val="00513433"/>
    <w:rsid w:val="00513B7E"/>
    <w:rsid w:val="00513C82"/>
    <w:rsid w:val="00514924"/>
    <w:rsid w:val="005161B9"/>
    <w:rsid w:val="00516807"/>
    <w:rsid w:val="00516A92"/>
    <w:rsid w:val="00516C32"/>
    <w:rsid w:val="00516CC3"/>
    <w:rsid w:val="005171EB"/>
    <w:rsid w:val="00517B67"/>
    <w:rsid w:val="00521533"/>
    <w:rsid w:val="00525137"/>
    <w:rsid w:val="005251DD"/>
    <w:rsid w:val="005253B1"/>
    <w:rsid w:val="00526709"/>
    <w:rsid w:val="00526DF5"/>
    <w:rsid w:val="00527020"/>
    <w:rsid w:val="0052748E"/>
    <w:rsid w:val="0052775C"/>
    <w:rsid w:val="00527BD3"/>
    <w:rsid w:val="00527E4A"/>
    <w:rsid w:val="00530BFD"/>
    <w:rsid w:val="0053208A"/>
    <w:rsid w:val="005323FC"/>
    <w:rsid w:val="0053254A"/>
    <w:rsid w:val="00533F4C"/>
    <w:rsid w:val="00534195"/>
    <w:rsid w:val="00535248"/>
    <w:rsid w:val="00535DB6"/>
    <w:rsid w:val="005361D3"/>
    <w:rsid w:val="005363FE"/>
    <w:rsid w:val="00536462"/>
    <w:rsid w:val="005405D4"/>
    <w:rsid w:val="00540CEC"/>
    <w:rsid w:val="00540F29"/>
    <w:rsid w:val="005419BA"/>
    <w:rsid w:val="00543213"/>
    <w:rsid w:val="00543761"/>
    <w:rsid w:val="005438A7"/>
    <w:rsid w:val="005438DE"/>
    <w:rsid w:val="0054507F"/>
    <w:rsid w:val="00545ADF"/>
    <w:rsid w:val="00545AFD"/>
    <w:rsid w:val="005460E9"/>
    <w:rsid w:val="00551E93"/>
    <w:rsid w:val="005529F6"/>
    <w:rsid w:val="00552F1A"/>
    <w:rsid w:val="0055358A"/>
    <w:rsid w:val="0055454F"/>
    <w:rsid w:val="005547E7"/>
    <w:rsid w:val="005565F3"/>
    <w:rsid w:val="005568FC"/>
    <w:rsid w:val="00560C17"/>
    <w:rsid w:val="00560FB2"/>
    <w:rsid w:val="005629BB"/>
    <w:rsid w:val="00562E49"/>
    <w:rsid w:val="00562F22"/>
    <w:rsid w:val="00563888"/>
    <w:rsid w:val="00563D83"/>
    <w:rsid w:val="0056597A"/>
    <w:rsid w:val="00565A4E"/>
    <w:rsid w:val="005679C5"/>
    <w:rsid w:val="005706B1"/>
    <w:rsid w:val="005709D3"/>
    <w:rsid w:val="00570CD6"/>
    <w:rsid w:val="0057175E"/>
    <w:rsid w:val="00571D93"/>
    <w:rsid w:val="005729F5"/>
    <w:rsid w:val="00573FFF"/>
    <w:rsid w:val="00574490"/>
    <w:rsid w:val="00574547"/>
    <w:rsid w:val="00574590"/>
    <w:rsid w:val="00574E20"/>
    <w:rsid w:val="00575AFF"/>
    <w:rsid w:val="00576906"/>
    <w:rsid w:val="00576FE4"/>
    <w:rsid w:val="00577790"/>
    <w:rsid w:val="00577F03"/>
    <w:rsid w:val="00581B79"/>
    <w:rsid w:val="00581C5D"/>
    <w:rsid w:val="00583CBA"/>
    <w:rsid w:val="00583F8C"/>
    <w:rsid w:val="00583FFD"/>
    <w:rsid w:val="0058628D"/>
    <w:rsid w:val="0058644C"/>
    <w:rsid w:val="005866E9"/>
    <w:rsid w:val="00586E76"/>
    <w:rsid w:val="005872D8"/>
    <w:rsid w:val="005874A9"/>
    <w:rsid w:val="005877D7"/>
    <w:rsid w:val="00587951"/>
    <w:rsid w:val="00590645"/>
    <w:rsid w:val="00590782"/>
    <w:rsid w:val="005916AD"/>
    <w:rsid w:val="00593152"/>
    <w:rsid w:val="00593415"/>
    <w:rsid w:val="00593616"/>
    <w:rsid w:val="005938F5"/>
    <w:rsid w:val="005940A0"/>
    <w:rsid w:val="0059475B"/>
    <w:rsid w:val="00594A1D"/>
    <w:rsid w:val="0059538A"/>
    <w:rsid w:val="00595B7A"/>
    <w:rsid w:val="00595DF4"/>
    <w:rsid w:val="005962A0"/>
    <w:rsid w:val="005A0714"/>
    <w:rsid w:val="005A0F15"/>
    <w:rsid w:val="005A21E0"/>
    <w:rsid w:val="005A28B5"/>
    <w:rsid w:val="005A2ADA"/>
    <w:rsid w:val="005A35C9"/>
    <w:rsid w:val="005A390B"/>
    <w:rsid w:val="005A3CEB"/>
    <w:rsid w:val="005A4539"/>
    <w:rsid w:val="005A5FA9"/>
    <w:rsid w:val="005A7D8C"/>
    <w:rsid w:val="005A7DA5"/>
    <w:rsid w:val="005B259E"/>
    <w:rsid w:val="005B3E33"/>
    <w:rsid w:val="005B4204"/>
    <w:rsid w:val="005B4A27"/>
    <w:rsid w:val="005B52EE"/>
    <w:rsid w:val="005B5E34"/>
    <w:rsid w:val="005B609E"/>
    <w:rsid w:val="005B6B27"/>
    <w:rsid w:val="005B7AFC"/>
    <w:rsid w:val="005C0BF9"/>
    <w:rsid w:val="005C11AC"/>
    <w:rsid w:val="005C2E31"/>
    <w:rsid w:val="005C2F7B"/>
    <w:rsid w:val="005C4202"/>
    <w:rsid w:val="005C5DD9"/>
    <w:rsid w:val="005C6194"/>
    <w:rsid w:val="005C665F"/>
    <w:rsid w:val="005C66E8"/>
    <w:rsid w:val="005D22D1"/>
    <w:rsid w:val="005D2342"/>
    <w:rsid w:val="005D2755"/>
    <w:rsid w:val="005D353F"/>
    <w:rsid w:val="005D3651"/>
    <w:rsid w:val="005D37AA"/>
    <w:rsid w:val="005D3A8D"/>
    <w:rsid w:val="005D44A6"/>
    <w:rsid w:val="005D4FFA"/>
    <w:rsid w:val="005D5733"/>
    <w:rsid w:val="005D5802"/>
    <w:rsid w:val="005D5C82"/>
    <w:rsid w:val="005D5E5F"/>
    <w:rsid w:val="005E1FDE"/>
    <w:rsid w:val="005E2022"/>
    <w:rsid w:val="005E2DDB"/>
    <w:rsid w:val="005E2E0B"/>
    <w:rsid w:val="005E33B5"/>
    <w:rsid w:val="005E3A2D"/>
    <w:rsid w:val="005E3FBD"/>
    <w:rsid w:val="005E505B"/>
    <w:rsid w:val="005E507B"/>
    <w:rsid w:val="005E5795"/>
    <w:rsid w:val="005E5841"/>
    <w:rsid w:val="005E68B8"/>
    <w:rsid w:val="005E763D"/>
    <w:rsid w:val="005F0B96"/>
    <w:rsid w:val="005F0BD1"/>
    <w:rsid w:val="005F2478"/>
    <w:rsid w:val="005F260F"/>
    <w:rsid w:val="005F3C22"/>
    <w:rsid w:val="005F4810"/>
    <w:rsid w:val="005F5097"/>
    <w:rsid w:val="005F5310"/>
    <w:rsid w:val="005F5DA3"/>
    <w:rsid w:val="005F6461"/>
    <w:rsid w:val="005F6F84"/>
    <w:rsid w:val="006010B5"/>
    <w:rsid w:val="00601C10"/>
    <w:rsid w:val="00602941"/>
    <w:rsid w:val="0060342E"/>
    <w:rsid w:val="00603BF6"/>
    <w:rsid w:val="00604307"/>
    <w:rsid w:val="00604542"/>
    <w:rsid w:val="0060487F"/>
    <w:rsid w:val="00607283"/>
    <w:rsid w:val="006078AD"/>
    <w:rsid w:val="00610EDF"/>
    <w:rsid w:val="006119BF"/>
    <w:rsid w:val="006137B9"/>
    <w:rsid w:val="00613EFD"/>
    <w:rsid w:val="006148A5"/>
    <w:rsid w:val="00615C91"/>
    <w:rsid w:val="00616B00"/>
    <w:rsid w:val="00616B56"/>
    <w:rsid w:val="006179E9"/>
    <w:rsid w:val="00620044"/>
    <w:rsid w:val="00620179"/>
    <w:rsid w:val="00623456"/>
    <w:rsid w:val="00624093"/>
    <w:rsid w:val="006257D8"/>
    <w:rsid w:val="00625CD9"/>
    <w:rsid w:val="0062654A"/>
    <w:rsid w:val="006269EA"/>
    <w:rsid w:val="00626F55"/>
    <w:rsid w:val="0063056C"/>
    <w:rsid w:val="00630EFD"/>
    <w:rsid w:val="00632D0E"/>
    <w:rsid w:val="0063382F"/>
    <w:rsid w:val="0063437C"/>
    <w:rsid w:val="006343AA"/>
    <w:rsid w:val="00635C2B"/>
    <w:rsid w:val="0063630B"/>
    <w:rsid w:val="006400ED"/>
    <w:rsid w:val="00640294"/>
    <w:rsid w:val="006404A7"/>
    <w:rsid w:val="0064152C"/>
    <w:rsid w:val="00641532"/>
    <w:rsid w:val="006437D6"/>
    <w:rsid w:val="00643C82"/>
    <w:rsid w:val="00644401"/>
    <w:rsid w:val="00644C9D"/>
    <w:rsid w:val="00644F5A"/>
    <w:rsid w:val="006451E4"/>
    <w:rsid w:val="006451F0"/>
    <w:rsid w:val="00645B93"/>
    <w:rsid w:val="00647A9C"/>
    <w:rsid w:val="00650E29"/>
    <w:rsid w:val="00652AFC"/>
    <w:rsid w:val="006532F0"/>
    <w:rsid w:val="00654593"/>
    <w:rsid w:val="00656BF8"/>
    <w:rsid w:val="006577E2"/>
    <w:rsid w:val="00657E87"/>
    <w:rsid w:val="00660575"/>
    <w:rsid w:val="00662212"/>
    <w:rsid w:val="00662351"/>
    <w:rsid w:val="00662635"/>
    <w:rsid w:val="00662A19"/>
    <w:rsid w:val="00663D1D"/>
    <w:rsid w:val="00663E02"/>
    <w:rsid w:val="006646F2"/>
    <w:rsid w:val="006652C4"/>
    <w:rsid w:val="006655D8"/>
    <w:rsid w:val="006664F5"/>
    <w:rsid w:val="00666A0B"/>
    <w:rsid w:val="006704A4"/>
    <w:rsid w:val="00670A01"/>
    <w:rsid w:val="006710C9"/>
    <w:rsid w:val="0067118A"/>
    <w:rsid w:val="00671F0C"/>
    <w:rsid w:val="00673310"/>
    <w:rsid w:val="00673CD6"/>
    <w:rsid w:val="00675136"/>
    <w:rsid w:val="00675ACF"/>
    <w:rsid w:val="00675E37"/>
    <w:rsid w:val="00681EC9"/>
    <w:rsid w:val="0068221E"/>
    <w:rsid w:val="0068260E"/>
    <w:rsid w:val="00682E35"/>
    <w:rsid w:val="00683E98"/>
    <w:rsid w:val="0068705D"/>
    <w:rsid w:val="00687495"/>
    <w:rsid w:val="006902F9"/>
    <w:rsid w:val="00690FC3"/>
    <w:rsid w:val="00692262"/>
    <w:rsid w:val="006930E2"/>
    <w:rsid w:val="0069355F"/>
    <w:rsid w:val="006938CA"/>
    <w:rsid w:val="00693C50"/>
    <w:rsid w:val="00693D68"/>
    <w:rsid w:val="006954F9"/>
    <w:rsid w:val="006959FA"/>
    <w:rsid w:val="00695BEF"/>
    <w:rsid w:val="006977F6"/>
    <w:rsid w:val="00697A13"/>
    <w:rsid w:val="00697C74"/>
    <w:rsid w:val="006A109C"/>
    <w:rsid w:val="006A281E"/>
    <w:rsid w:val="006A2DAC"/>
    <w:rsid w:val="006A3AB0"/>
    <w:rsid w:val="006A41F7"/>
    <w:rsid w:val="006A4FCA"/>
    <w:rsid w:val="006A5CB1"/>
    <w:rsid w:val="006A5DA3"/>
    <w:rsid w:val="006A68FD"/>
    <w:rsid w:val="006A6EDE"/>
    <w:rsid w:val="006B084D"/>
    <w:rsid w:val="006B1DE7"/>
    <w:rsid w:val="006B2637"/>
    <w:rsid w:val="006B2EFB"/>
    <w:rsid w:val="006B44EB"/>
    <w:rsid w:val="006B6589"/>
    <w:rsid w:val="006B666B"/>
    <w:rsid w:val="006B6C1B"/>
    <w:rsid w:val="006B78D8"/>
    <w:rsid w:val="006B79DE"/>
    <w:rsid w:val="006B7AF3"/>
    <w:rsid w:val="006C1136"/>
    <w:rsid w:val="006C113F"/>
    <w:rsid w:val="006C1F4A"/>
    <w:rsid w:val="006C2600"/>
    <w:rsid w:val="006C27E6"/>
    <w:rsid w:val="006C3601"/>
    <w:rsid w:val="006C3C9F"/>
    <w:rsid w:val="006C446E"/>
    <w:rsid w:val="006C4F1F"/>
    <w:rsid w:val="006C7525"/>
    <w:rsid w:val="006C7A7F"/>
    <w:rsid w:val="006C7EA7"/>
    <w:rsid w:val="006D0D80"/>
    <w:rsid w:val="006D1CB5"/>
    <w:rsid w:val="006D24BB"/>
    <w:rsid w:val="006D2559"/>
    <w:rsid w:val="006D2594"/>
    <w:rsid w:val="006D2BB0"/>
    <w:rsid w:val="006D2BDA"/>
    <w:rsid w:val="006D34C1"/>
    <w:rsid w:val="006D4821"/>
    <w:rsid w:val="006D566D"/>
    <w:rsid w:val="006D61F6"/>
    <w:rsid w:val="006D7F8A"/>
    <w:rsid w:val="006E022D"/>
    <w:rsid w:val="006E0C18"/>
    <w:rsid w:val="006E0C59"/>
    <w:rsid w:val="006E20A5"/>
    <w:rsid w:val="006E279A"/>
    <w:rsid w:val="006E30C5"/>
    <w:rsid w:val="006E313B"/>
    <w:rsid w:val="006E3865"/>
    <w:rsid w:val="006E4920"/>
    <w:rsid w:val="006E4DBB"/>
    <w:rsid w:val="006E5CD2"/>
    <w:rsid w:val="006E76EF"/>
    <w:rsid w:val="006E77B8"/>
    <w:rsid w:val="006E7C47"/>
    <w:rsid w:val="006F1594"/>
    <w:rsid w:val="006F1979"/>
    <w:rsid w:val="006F1D47"/>
    <w:rsid w:val="006F3933"/>
    <w:rsid w:val="006F3D79"/>
    <w:rsid w:val="006F44F9"/>
    <w:rsid w:val="006F51D5"/>
    <w:rsid w:val="006F5D28"/>
    <w:rsid w:val="006F5D5F"/>
    <w:rsid w:val="006F62F4"/>
    <w:rsid w:val="006F6A6F"/>
    <w:rsid w:val="006F6BF4"/>
    <w:rsid w:val="006F7318"/>
    <w:rsid w:val="006F7D6F"/>
    <w:rsid w:val="007003A4"/>
    <w:rsid w:val="0070046A"/>
    <w:rsid w:val="007011A3"/>
    <w:rsid w:val="0070199D"/>
    <w:rsid w:val="00701DE3"/>
    <w:rsid w:val="00702312"/>
    <w:rsid w:val="00702D4C"/>
    <w:rsid w:val="0070315E"/>
    <w:rsid w:val="00703A95"/>
    <w:rsid w:val="00703FAA"/>
    <w:rsid w:val="00704E80"/>
    <w:rsid w:val="00706947"/>
    <w:rsid w:val="00707ACC"/>
    <w:rsid w:val="00710016"/>
    <w:rsid w:val="00710A84"/>
    <w:rsid w:val="00710C31"/>
    <w:rsid w:val="00711334"/>
    <w:rsid w:val="00711A84"/>
    <w:rsid w:val="00714A89"/>
    <w:rsid w:val="007158BD"/>
    <w:rsid w:val="00715C3C"/>
    <w:rsid w:val="00717608"/>
    <w:rsid w:val="0072015F"/>
    <w:rsid w:val="0072031C"/>
    <w:rsid w:val="007211F5"/>
    <w:rsid w:val="00721870"/>
    <w:rsid w:val="00721D01"/>
    <w:rsid w:val="007220AB"/>
    <w:rsid w:val="007225E2"/>
    <w:rsid w:val="00726B87"/>
    <w:rsid w:val="00730645"/>
    <w:rsid w:val="00730AE8"/>
    <w:rsid w:val="00730E5F"/>
    <w:rsid w:val="007312CD"/>
    <w:rsid w:val="00731782"/>
    <w:rsid w:val="007325E4"/>
    <w:rsid w:val="00732A80"/>
    <w:rsid w:val="00733287"/>
    <w:rsid w:val="00733953"/>
    <w:rsid w:val="007357DE"/>
    <w:rsid w:val="007361DE"/>
    <w:rsid w:val="00737392"/>
    <w:rsid w:val="00737F64"/>
    <w:rsid w:val="00740247"/>
    <w:rsid w:val="0074024F"/>
    <w:rsid w:val="00741493"/>
    <w:rsid w:val="0074315B"/>
    <w:rsid w:val="00744210"/>
    <w:rsid w:val="0074449E"/>
    <w:rsid w:val="0074502D"/>
    <w:rsid w:val="00746E46"/>
    <w:rsid w:val="0075203E"/>
    <w:rsid w:val="00752180"/>
    <w:rsid w:val="00753D5E"/>
    <w:rsid w:val="0075538A"/>
    <w:rsid w:val="00755703"/>
    <w:rsid w:val="00755AFC"/>
    <w:rsid w:val="00755D3A"/>
    <w:rsid w:val="007578DF"/>
    <w:rsid w:val="00757E60"/>
    <w:rsid w:val="0076034C"/>
    <w:rsid w:val="007609C6"/>
    <w:rsid w:val="0076194D"/>
    <w:rsid w:val="00761AB3"/>
    <w:rsid w:val="00761B3D"/>
    <w:rsid w:val="00763242"/>
    <w:rsid w:val="007640EA"/>
    <w:rsid w:val="00764739"/>
    <w:rsid w:val="00764CB6"/>
    <w:rsid w:val="0076531B"/>
    <w:rsid w:val="0076676A"/>
    <w:rsid w:val="00770172"/>
    <w:rsid w:val="007701FB"/>
    <w:rsid w:val="00771B63"/>
    <w:rsid w:val="00772A22"/>
    <w:rsid w:val="00772FD6"/>
    <w:rsid w:val="00774040"/>
    <w:rsid w:val="0077528D"/>
    <w:rsid w:val="0077546E"/>
    <w:rsid w:val="00776527"/>
    <w:rsid w:val="00776925"/>
    <w:rsid w:val="00776E52"/>
    <w:rsid w:val="00777A7F"/>
    <w:rsid w:val="0078001E"/>
    <w:rsid w:val="00782419"/>
    <w:rsid w:val="007828B0"/>
    <w:rsid w:val="00782C2D"/>
    <w:rsid w:val="00784FF8"/>
    <w:rsid w:val="00785F01"/>
    <w:rsid w:val="0078609D"/>
    <w:rsid w:val="007862F6"/>
    <w:rsid w:val="007866DC"/>
    <w:rsid w:val="007902DA"/>
    <w:rsid w:val="00790A88"/>
    <w:rsid w:val="00790BA8"/>
    <w:rsid w:val="00791489"/>
    <w:rsid w:val="00792D65"/>
    <w:rsid w:val="00792E1B"/>
    <w:rsid w:val="0079384B"/>
    <w:rsid w:val="00797B10"/>
    <w:rsid w:val="00797F5F"/>
    <w:rsid w:val="007A04CE"/>
    <w:rsid w:val="007A1D16"/>
    <w:rsid w:val="007A33E4"/>
    <w:rsid w:val="007A3CED"/>
    <w:rsid w:val="007A5252"/>
    <w:rsid w:val="007A5794"/>
    <w:rsid w:val="007A6182"/>
    <w:rsid w:val="007B05E9"/>
    <w:rsid w:val="007B06B2"/>
    <w:rsid w:val="007B06EC"/>
    <w:rsid w:val="007B077B"/>
    <w:rsid w:val="007B19B6"/>
    <w:rsid w:val="007B27B9"/>
    <w:rsid w:val="007B31E6"/>
    <w:rsid w:val="007B39E8"/>
    <w:rsid w:val="007B5BAF"/>
    <w:rsid w:val="007B6B44"/>
    <w:rsid w:val="007C0251"/>
    <w:rsid w:val="007C0837"/>
    <w:rsid w:val="007C0839"/>
    <w:rsid w:val="007C1FCD"/>
    <w:rsid w:val="007C20B9"/>
    <w:rsid w:val="007C295A"/>
    <w:rsid w:val="007C2A31"/>
    <w:rsid w:val="007C3B94"/>
    <w:rsid w:val="007C3F6A"/>
    <w:rsid w:val="007C4C1A"/>
    <w:rsid w:val="007C626D"/>
    <w:rsid w:val="007C632B"/>
    <w:rsid w:val="007D0303"/>
    <w:rsid w:val="007D0714"/>
    <w:rsid w:val="007D0CCD"/>
    <w:rsid w:val="007D1FB5"/>
    <w:rsid w:val="007D2C7A"/>
    <w:rsid w:val="007D4055"/>
    <w:rsid w:val="007D41D7"/>
    <w:rsid w:val="007D4863"/>
    <w:rsid w:val="007D4F0E"/>
    <w:rsid w:val="007D66A3"/>
    <w:rsid w:val="007E115D"/>
    <w:rsid w:val="007E2B9E"/>
    <w:rsid w:val="007E2CCC"/>
    <w:rsid w:val="007E3FA2"/>
    <w:rsid w:val="007E41A1"/>
    <w:rsid w:val="007E44B3"/>
    <w:rsid w:val="007E575C"/>
    <w:rsid w:val="007E7B1C"/>
    <w:rsid w:val="007E7E61"/>
    <w:rsid w:val="007F0845"/>
    <w:rsid w:val="007F146E"/>
    <w:rsid w:val="007F1DB7"/>
    <w:rsid w:val="007F21F2"/>
    <w:rsid w:val="007F234B"/>
    <w:rsid w:val="007F2C20"/>
    <w:rsid w:val="007F3CBA"/>
    <w:rsid w:val="007F3DCD"/>
    <w:rsid w:val="007F43BF"/>
    <w:rsid w:val="007F54C9"/>
    <w:rsid w:val="007F5A1B"/>
    <w:rsid w:val="007F6055"/>
    <w:rsid w:val="007F7649"/>
    <w:rsid w:val="007F77F4"/>
    <w:rsid w:val="007F7B14"/>
    <w:rsid w:val="007F7CD2"/>
    <w:rsid w:val="0080002C"/>
    <w:rsid w:val="0080103E"/>
    <w:rsid w:val="00801042"/>
    <w:rsid w:val="00801128"/>
    <w:rsid w:val="00801E54"/>
    <w:rsid w:val="008046CE"/>
    <w:rsid w:val="0080498A"/>
    <w:rsid w:val="00804F81"/>
    <w:rsid w:val="0080500B"/>
    <w:rsid w:val="0080521C"/>
    <w:rsid w:val="00805E10"/>
    <w:rsid w:val="0080613B"/>
    <w:rsid w:val="00807C33"/>
    <w:rsid w:val="008101D1"/>
    <w:rsid w:val="00810E9D"/>
    <w:rsid w:val="00811C55"/>
    <w:rsid w:val="00811FBB"/>
    <w:rsid w:val="00811FFE"/>
    <w:rsid w:val="008124BB"/>
    <w:rsid w:val="0081287F"/>
    <w:rsid w:val="008132DA"/>
    <w:rsid w:val="008136CB"/>
    <w:rsid w:val="00813D05"/>
    <w:rsid w:val="008144AC"/>
    <w:rsid w:val="00817A19"/>
    <w:rsid w:val="00820B41"/>
    <w:rsid w:val="00821847"/>
    <w:rsid w:val="00821FF6"/>
    <w:rsid w:val="00822FAF"/>
    <w:rsid w:val="008239D7"/>
    <w:rsid w:val="00825F7B"/>
    <w:rsid w:val="0083143E"/>
    <w:rsid w:val="0083159F"/>
    <w:rsid w:val="00832251"/>
    <w:rsid w:val="00832F47"/>
    <w:rsid w:val="0083479A"/>
    <w:rsid w:val="00834FAA"/>
    <w:rsid w:val="00836086"/>
    <w:rsid w:val="00840136"/>
    <w:rsid w:val="00840C7B"/>
    <w:rsid w:val="00840E30"/>
    <w:rsid w:val="00841063"/>
    <w:rsid w:val="00842E41"/>
    <w:rsid w:val="00844405"/>
    <w:rsid w:val="00844545"/>
    <w:rsid w:val="00844734"/>
    <w:rsid w:val="008458BA"/>
    <w:rsid w:val="00847509"/>
    <w:rsid w:val="00847B1D"/>
    <w:rsid w:val="00847E75"/>
    <w:rsid w:val="0085164D"/>
    <w:rsid w:val="008530CD"/>
    <w:rsid w:val="00856E6C"/>
    <w:rsid w:val="00857CF9"/>
    <w:rsid w:val="0086188F"/>
    <w:rsid w:val="008623C5"/>
    <w:rsid w:val="00862F08"/>
    <w:rsid w:val="00863620"/>
    <w:rsid w:val="00863D57"/>
    <w:rsid w:val="00864CB8"/>
    <w:rsid w:val="00866C5B"/>
    <w:rsid w:val="00866D1D"/>
    <w:rsid w:val="00867F87"/>
    <w:rsid w:val="00870BD2"/>
    <w:rsid w:val="0087136A"/>
    <w:rsid w:val="00874347"/>
    <w:rsid w:val="00874492"/>
    <w:rsid w:val="0087478F"/>
    <w:rsid w:val="00875ACA"/>
    <w:rsid w:val="00875DD5"/>
    <w:rsid w:val="00876086"/>
    <w:rsid w:val="00876CA7"/>
    <w:rsid w:val="00876ED6"/>
    <w:rsid w:val="00877369"/>
    <w:rsid w:val="00877587"/>
    <w:rsid w:val="00877B42"/>
    <w:rsid w:val="00880A24"/>
    <w:rsid w:val="008821EB"/>
    <w:rsid w:val="00882361"/>
    <w:rsid w:val="008829B8"/>
    <w:rsid w:val="00882CA7"/>
    <w:rsid w:val="008839A7"/>
    <w:rsid w:val="00883EF6"/>
    <w:rsid w:val="00885F25"/>
    <w:rsid w:val="0088724D"/>
    <w:rsid w:val="0088749F"/>
    <w:rsid w:val="008877F9"/>
    <w:rsid w:val="00887973"/>
    <w:rsid w:val="00887BDA"/>
    <w:rsid w:val="00890779"/>
    <w:rsid w:val="00891172"/>
    <w:rsid w:val="00892C22"/>
    <w:rsid w:val="008937CB"/>
    <w:rsid w:val="00893C93"/>
    <w:rsid w:val="00893EC7"/>
    <w:rsid w:val="00893F91"/>
    <w:rsid w:val="00894405"/>
    <w:rsid w:val="0089478A"/>
    <w:rsid w:val="008A1102"/>
    <w:rsid w:val="008A1882"/>
    <w:rsid w:val="008A1F0F"/>
    <w:rsid w:val="008A23EC"/>
    <w:rsid w:val="008A2CD5"/>
    <w:rsid w:val="008A31DC"/>
    <w:rsid w:val="008A5856"/>
    <w:rsid w:val="008A5FFF"/>
    <w:rsid w:val="008A69D9"/>
    <w:rsid w:val="008A6C6F"/>
    <w:rsid w:val="008A7D69"/>
    <w:rsid w:val="008B24B4"/>
    <w:rsid w:val="008B272B"/>
    <w:rsid w:val="008B2742"/>
    <w:rsid w:val="008B2B07"/>
    <w:rsid w:val="008B4E2F"/>
    <w:rsid w:val="008B5BB8"/>
    <w:rsid w:val="008B5E16"/>
    <w:rsid w:val="008B6E1F"/>
    <w:rsid w:val="008B7497"/>
    <w:rsid w:val="008B7A7D"/>
    <w:rsid w:val="008B7C02"/>
    <w:rsid w:val="008C0003"/>
    <w:rsid w:val="008C0742"/>
    <w:rsid w:val="008C07F6"/>
    <w:rsid w:val="008C082F"/>
    <w:rsid w:val="008C0B92"/>
    <w:rsid w:val="008C0E88"/>
    <w:rsid w:val="008C1A57"/>
    <w:rsid w:val="008C3631"/>
    <w:rsid w:val="008C3A0F"/>
    <w:rsid w:val="008C608F"/>
    <w:rsid w:val="008C7E53"/>
    <w:rsid w:val="008D0319"/>
    <w:rsid w:val="008D0BD0"/>
    <w:rsid w:val="008D1336"/>
    <w:rsid w:val="008D2A16"/>
    <w:rsid w:val="008D3CBD"/>
    <w:rsid w:val="008D6563"/>
    <w:rsid w:val="008D68F3"/>
    <w:rsid w:val="008E0B7B"/>
    <w:rsid w:val="008E183C"/>
    <w:rsid w:val="008E31FF"/>
    <w:rsid w:val="008E3F5C"/>
    <w:rsid w:val="008E4065"/>
    <w:rsid w:val="008E6520"/>
    <w:rsid w:val="008F0178"/>
    <w:rsid w:val="008F0538"/>
    <w:rsid w:val="008F1814"/>
    <w:rsid w:val="008F196F"/>
    <w:rsid w:val="008F1F72"/>
    <w:rsid w:val="008F371B"/>
    <w:rsid w:val="008F5169"/>
    <w:rsid w:val="008F5329"/>
    <w:rsid w:val="009003A8"/>
    <w:rsid w:val="00901510"/>
    <w:rsid w:val="00902EFF"/>
    <w:rsid w:val="00903707"/>
    <w:rsid w:val="009037D1"/>
    <w:rsid w:val="009059F0"/>
    <w:rsid w:val="009064E1"/>
    <w:rsid w:val="00906960"/>
    <w:rsid w:val="00910405"/>
    <w:rsid w:val="00910A05"/>
    <w:rsid w:val="00912CAA"/>
    <w:rsid w:val="00914A9A"/>
    <w:rsid w:val="00915C41"/>
    <w:rsid w:val="00916458"/>
    <w:rsid w:val="00916650"/>
    <w:rsid w:val="00916804"/>
    <w:rsid w:val="00917541"/>
    <w:rsid w:val="00920FA8"/>
    <w:rsid w:val="00920FDF"/>
    <w:rsid w:val="00921108"/>
    <w:rsid w:val="00921695"/>
    <w:rsid w:val="0092187B"/>
    <w:rsid w:val="00921F14"/>
    <w:rsid w:val="00922BAC"/>
    <w:rsid w:val="00922BE8"/>
    <w:rsid w:val="009230B4"/>
    <w:rsid w:val="00924E49"/>
    <w:rsid w:val="009254CF"/>
    <w:rsid w:val="00925994"/>
    <w:rsid w:val="009259D3"/>
    <w:rsid w:val="00925CA7"/>
    <w:rsid w:val="00927A01"/>
    <w:rsid w:val="00927C8B"/>
    <w:rsid w:val="009311FE"/>
    <w:rsid w:val="00932499"/>
    <w:rsid w:val="00933073"/>
    <w:rsid w:val="009338E5"/>
    <w:rsid w:val="009338EC"/>
    <w:rsid w:val="0093390B"/>
    <w:rsid w:val="00933D08"/>
    <w:rsid w:val="00935B0F"/>
    <w:rsid w:val="00935DC3"/>
    <w:rsid w:val="00941519"/>
    <w:rsid w:val="00941A36"/>
    <w:rsid w:val="009427E0"/>
    <w:rsid w:val="00942A69"/>
    <w:rsid w:val="00942F4E"/>
    <w:rsid w:val="0094427A"/>
    <w:rsid w:val="0094535A"/>
    <w:rsid w:val="00946240"/>
    <w:rsid w:val="00946733"/>
    <w:rsid w:val="00947596"/>
    <w:rsid w:val="00950886"/>
    <w:rsid w:val="0095097A"/>
    <w:rsid w:val="00951172"/>
    <w:rsid w:val="009511FD"/>
    <w:rsid w:val="00952983"/>
    <w:rsid w:val="009542CD"/>
    <w:rsid w:val="009558BD"/>
    <w:rsid w:val="00955B8B"/>
    <w:rsid w:val="00956737"/>
    <w:rsid w:val="009571CF"/>
    <w:rsid w:val="00957211"/>
    <w:rsid w:val="00957B33"/>
    <w:rsid w:val="009600FD"/>
    <w:rsid w:val="00960870"/>
    <w:rsid w:val="00960C15"/>
    <w:rsid w:val="00961E31"/>
    <w:rsid w:val="00962A7A"/>
    <w:rsid w:val="00963F00"/>
    <w:rsid w:val="00965629"/>
    <w:rsid w:val="00966372"/>
    <w:rsid w:val="0096694B"/>
    <w:rsid w:val="00970275"/>
    <w:rsid w:val="00970D6B"/>
    <w:rsid w:val="009711D5"/>
    <w:rsid w:val="0097142A"/>
    <w:rsid w:val="00971699"/>
    <w:rsid w:val="009717A8"/>
    <w:rsid w:val="0097180D"/>
    <w:rsid w:val="00971E56"/>
    <w:rsid w:val="00971FA1"/>
    <w:rsid w:val="00974923"/>
    <w:rsid w:val="009757A9"/>
    <w:rsid w:val="00976B35"/>
    <w:rsid w:val="00977E3B"/>
    <w:rsid w:val="009804D9"/>
    <w:rsid w:val="009804EE"/>
    <w:rsid w:val="0098213E"/>
    <w:rsid w:val="00982A83"/>
    <w:rsid w:val="00984A3F"/>
    <w:rsid w:val="00984E5A"/>
    <w:rsid w:val="00984E99"/>
    <w:rsid w:val="00985A59"/>
    <w:rsid w:val="00986188"/>
    <w:rsid w:val="00986ADD"/>
    <w:rsid w:val="00987713"/>
    <w:rsid w:val="00987E97"/>
    <w:rsid w:val="009932AF"/>
    <w:rsid w:val="009932EC"/>
    <w:rsid w:val="00994A4E"/>
    <w:rsid w:val="00995A29"/>
    <w:rsid w:val="00995C04"/>
    <w:rsid w:val="00995CA1"/>
    <w:rsid w:val="009A13D3"/>
    <w:rsid w:val="009A1C6B"/>
    <w:rsid w:val="009A30E6"/>
    <w:rsid w:val="009A3AED"/>
    <w:rsid w:val="009A3E2E"/>
    <w:rsid w:val="009A42BA"/>
    <w:rsid w:val="009A4BB3"/>
    <w:rsid w:val="009A5806"/>
    <w:rsid w:val="009A7070"/>
    <w:rsid w:val="009A7503"/>
    <w:rsid w:val="009B0673"/>
    <w:rsid w:val="009B429E"/>
    <w:rsid w:val="009B6FD3"/>
    <w:rsid w:val="009B76CE"/>
    <w:rsid w:val="009B7811"/>
    <w:rsid w:val="009B7F74"/>
    <w:rsid w:val="009C084A"/>
    <w:rsid w:val="009C3246"/>
    <w:rsid w:val="009C340A"/>
    <w:rsid w:val="009C3B7E"/>
    <w:rsid w:val="009C5416"/>
    <w:rsid w:val="009C5518"/>
    <w:rsid w:val="009C6FC8"/>
    <w:rsid w:val="009D029E"/>
    <w:rsid w:val="009D2407"/>
    <w:rsid w:val="009D2BBA"/>
    <w:rsid w:val="009D2EFB"/>
    <w:rsid w:val="009D31C9"/>
    <w:rsid w:val="009D493D"/>
    <w:rsid w:val="009D5058"/>
    <w:rsid w:val="009D53E3"/>
    <w:rsid w:val="009D549B"/>
    <w:rsid w:val="009D7A68"/>
    <w:rsid w:val="009E07D9"/>
    <w:rsid w:val="009E1A45"/>
    <w:rsid w:val="009E20CC"/>
    <w:rsid w:val="009E3B01"/>
    <w:rsid w:val="009E431C"/>
    <w:rsid w:val="009E5537"/>
    <w:rsid w:val="009E5D62"/>
    <w:rsid w:val="009E6321"/>
    <w:rsid w:val="009E65B8"/>
    <w:rsid w:val="009E7CBA"/>
    <w:rsid w:val="009E7D09"/>
    <w:rsid w:val="009F0FDD"/>
    <w:rsid w:val="009F1D4A"/>
    <w:rsid w:val="009F2015"/>
    <w:rsid w:val="009F25B3"/>
    <w:rsid w:val="009F29BB"/>
    <w:rsid w:val="009F374A"/>
    <w:rsid w:val="009F4C2C"/>
    <w:rsid w:val="009F4F6A"/>
    <w:rsid w:val="009F73C2"/>
    <w:rsid w:val="009F78A6"/>
    <w:rsid w:val="00A00D69"/>
    <w:rsid w:val="00A01CE6"/>
    <w:rsid w:val="00A031E5"/>
    <w:rsid w:val="00A033E7"/>
    <w:rsid w:val="00A04299"/>
    <w:rsid w:val="00A05934"/>
    <w:rsid w:val="00A05C52"/>
    <w:rsid w:val="00A05E18"/>
    <w:rsid w:val="00A0746B"/>
    <w:rsid w:val="00A07932"/>
    <w:rsid w:val="00A10A16"/>
    <w:rsid w:val="00A10D66"/>
    <w:rsid w:val="00A11505"/>
    <w:rsid w:val="00A11A90"/>
    <w:rsid w:val="00A1203B"/>
    <w:rsid w:val="00A149F3"/>
    <w:rsid w:val="00A1562B"/>
    <w:rsid w:val="00A16023"/>
    <w:rsid w:val="00A166E0"/>
    <w:rsid w:val="00A17122"/>
    <w:rsid w:val="00A17ECA"/>
    <w:rsid w:val="00A21A2E"/>
    <w:rsid w:val="00A22DA0"/>
    <w:rsid w:val="00A231CB"/>
    <w:rsid w:val="00A23E43"/>
    <w:rsid w:val="00A2466D"/>
    <w:rsid w:val="00A24F42"/>
    <w:rsid w:val="00A25902"/>
    <w:rsid w:val="00A259C1"/>
    <w:rsid w:val="00A32F3F"/>
    <w:rsid w:val="00A33820"/>
    <w:rsid w:val="00A33A6A"/>
    <w:rsid w:val="00A33BB6"/>
    <w:rsid w:val="00A3413D"/>
    <w:rsid w:val="00A346BD"/>
    <w:rsid w:val="00A367FC"/>
    <w:rsid w:val="00A4170C"/>
    <w:rsid w:val="00A41C6D"/>
    <w:rsid w:val="00A439C2"/>
    <w:rsid w:val="00A43DD3"/>
    <w:rsid w:val="00A44775"/>
    <w:rsid w:val="00A459EC"/>
    <w:rsid w:val="00A46DE0"/>
    <w:rsid w:val="00A47D05"/>
    <w:rsid w:val="00A5354B"/>
    <w:rsid w:val="00A53AC9"/>
    <w:rsid w:val="00A53F26"/>
    <w:rsid w:val="00A542FC"/>
    <w:rsid w:val="00A565CA"/>
    <w:rsid w:val="00A56914"/>
    <w:rsid w:val="00A56D87"/>
    <w:rsid w:val="00A5724F"/>
    <w:rsid w:val="00A57A3A"/>
    <w:rsid w:val="00A605DD"/>
    <w:rsid w:val="00A60E56"/>
    <w:rsid w:val="00A62CE1"/>
    <w:rsid w:val="00A62D42"/>
    <w:rsid w:val="00A63804"/>
    <w:rsid w:val="00A63C51"/>
    <w:rsid w:val="00A6499A"/>
    <w:rsid w:val="00A650A8"/>
    <w:rsid w:val="00A65F61"/>
    <w:rsid w:val="00A67FDB"/>
    <w:rsid w:val="00A67FFE"/>
    <w:rsid w:val="00A70410"/>
    <w:rsid w:val="00A70A04"/>
    <w:rsid w:val="00A70E08"/>
    <w:rsid w:val="00A72F8C"/>
    <w:rsid w:val="00A7383D"/>
    <w:rsid w:val="00A75964"/>
    <w:rsid w:val="00A75E40"/>
    <w:rsid w:val="00A7694F"/>
    <w:rsid w:val="00A76B96"/>
    <w:rsid w:val="00A77CC5"/>
    <w:rsid w:val="00A808E6"/>
    <w:rsid w:val="00A81C4D"/>
    <w:rsid w:val="00A85057"/>
    <w:rsid w:val="00A857C0"/>
    <w:rsid w:val="00A87389"/>
    <w:rsid w:val="00A87C69"/>
    <w:rsid w:val="00A9156C"/>
    <w:rsid w:val="00A91F3E"/>
    <w:rsid w:val="00A92478"/>
    <w:rsid w:val="00A92FE8"/>
    <w:rsid w:val="00A93911"/>
    <w:rsid w:val="00A9460A"/>
    <w:rsid w:val="00A94A15"/>
    <w:rsid w:val="00A94E20"/>
    <w:rsid w:val="00A95120"/>
    <w:rsid w:val="00A95A16"/>
    <w:rsid w:val="00A95E74"/>
    <w:rsid w:val="00AA177A"/>
    <w:rsid w:val="00AA28CB"/>
    <w:rsid w:val="00AA294B"/>
    <w:rsid w:val="00AA2DF1"/>
    <w:rsid w:val="00AA421E"/>
    <w:rsid w:val="00AA442F"/>
    <w:rsid w:val="00AA4791"/>
    <w:rsid w:val="00AA5473"/>
    <w:rsid w:val="00AA559A"/>
    <w:rsid w:val="00AA672D"/>
    <w:rsid w:val="00AA6C83"/>
    <w:rsid w:val="00AA77CA"/>
    <w:rsid w:val="00AB0477"/>
    <w:rsid w:val="00AB10C4"/>
    <w:rsid w:val="00AB1E85"/>
    <w:rsid w:val="00AB25BC"/>
    <w:rsid w:val="00AB2AF1"/>
    <w:rsid w:val="00AB67CD"/>
    <w:rsid w:val="00AB6DA6"/>
    <w:rsid w:val="00AB70B0"/>
    <w:rsid w:val="00AC1013"/>
    <w:rsid w:val="00AC126E"/>
    <w:rsid w:val="00AC197B"/>
    <w:rsid w:val="00AC1AEC"/>
    <w:rsid w:val="00AC2066"/>
    <w:rsid w:val="00AC222C"/>
    <w:rsid w:val="00AC2691"/>
    <w:rsid w:val="00AC2B58"/>
    <w:rsid w:val="00AC3332"/>
    <w:rsid w:val="00AC3597"/>
    <w:rsid w:val="00AC3697"/>
    <w:rsid w:val="00AC392B"/>
    <w:rsid w:val="00AC47BD"/>
    <w:rsid w:val="00AC48C9"/>
    <w:rsid w:val="00AC57CA"/>
    <w:rsid w:val="00AC5832"/>
    <w:rsid w:val="00AC62CF"/>
    <w:rsid w:val="00AC67EB"/>
    <w:rsid w:val="00AC69BC"/>
    <w:rsid w:val="00AC715F"/>
    <w:rsid w:val="00AC73E8"/>
    <w:rsid w:val="00AD0520"/>
    <w:rsid w:val="00AD056B"/>
    <w:rsid w:val="00AD07A1"/>
    <w:rsid w:val="00AD0B82"/>
    <w:rsid w:val="00AD233C"/>
    <w:rsid w:val="00AD262F"/>
    <w:rsid w:val="00AD306C"/>
    <w:rsid w:val="00AD3CE8"/>
    <w:rsid w:val="00AD4220"/>
    <w:rsid w:val="00AD4691"/>
    <w:rsid w:val="00AD50ED"/>
    <w:rsid w:val="00AD5637"/>
    <w:rsid w:val="00AE0ECC"/>
    <w:rsid w:val="00AE12DC"/>
    <w:rsid w:val="00AE20C4"/>
    <w:rsid w:val="00AE302E"/>
    <w:rsid w:val="00AE3995"/>
    <w:rsid w:val="00AE3BAB"/>
    <w:rsid w:val="00AE4011"/>
    <w:rsid w:val="00AE44B5"/>
    <w:rsid w:val="00AE4989"/>
    <w:rsid w:val="00AE501C"/>
    <w:rsid w:val="00AE5259"/>
    <w:rsid w:val="00AE6425"/>
    <w:rsid w:val="00AE66B6"/>
    <w:rsid w:val="00AE7361"/>
    <w:rsid w:val="00AE7CE0"/>
    <w:rsid w:val="00AF290F"/>
    <w:rsid w:val="00AF3EF6"/>
    <w:rsid w:val="00AF543B"/>
    <w:rsid w:val="00AF6897"/>
    <w:rsid w:val="00AF71E4"/>
    <w:rsid w:val="00AF750B"/>
    <w:rsid w:val="00AF77F0"/>
    <w:rsid w:val="00B00C7B"/>
    <w:rsid w:val="00B00DEC"/>
    <w:rsid w:val="00B00E2A"/>
    <w:rsid w:val="00B021DC"/>
    <w:rsid w:val="00B031D4"/>
    <w:rsid w:val="00B03333"/>
    <w:rsid w:val="00B050E2"/>
    <w:rsid w:val="00B0569B"/>
    <w:rsid w:val="00B057FE"/>
    <w:rsid w:val="00B05D3F"/>
    <w:rsid w:val="00B062B3"/>
    <w:rsid w:val="00B06698"/>
    <w:rsid w:val="00B06DA9"/>
    <w:rsid w:val="00B0768F"/>
    <w:rsid w:val="00B07DD5"/>
    <w:rsid w:val="00B10F37"/>
    <w:rsid w:val="00B11B89"/>
    <w:rsid w:val="00B136B7"/>
    <w:rsid w:val="00B13FFF"/>
    <w:rsid w:val="00B14834"/>
    <w:rsid w:val="00B15254"/>
    <w:rsid w:val="00B16BD5"/>
    <w:rsid w:val="00B16F44"/>
    <w:rsid w:val="00B178A2"/>
    <w:rsid w:val="00B17E71"/>
    <w:rsid w:val="00B17FDE"/>
    <w:rsid w:val="00B2077E"/>
    <w:rsid w:val="00B214B0"/>
    <w:rsid w:val="00B233C9"/>
    <w:rsid w:val="00B23985"/>
    <w:rsid w:val="00B2443A"/>
    <w:rsid w:val="00B24A27"/>
    <w:rsid w:val="00B278A0"/>
    <w:rsid w:val="00B27E1F"/>
    <w:rsid w:val="00B30BF1"/>
    <w:rsid w:val="00B32114"/>
    <w:rsid w:val="00B32283"/>
    <w:rsid w:val="00B325AF"/>
    <w:rsid w:val="00B32DDB"/>
    <w:rsid w:val="00B3335A"/>
    <w:rsid w:val="00B33686"/>
    <w:rsid w:val="00B33C76"/>
    <w:rsid w:val="00B351AF"/>
    <w:rsid w:val="00B360DE"/>
    <w:rsid w:val="00B40138"/>
    <w:rsid w:val="00B4079B"/>
    <w:rsid w:val="00B42399"/>
    <w:rsid w:val="00B42A43"/>
    <w:rsid w:val="00B4423C"/>
    <w:rsid w:val="00B45180"/>
    <w:rsid w:val="00B45197"/>
    <w:rsid w:val="00B456FE"/>
    <w:rsid w:val="00B45F1C"/>
    <w:rsid w:val="00B465A4"/>
    <w:rsid w:val="00B46AE7"/>
    <w:rsid w:val="00B51679"/>
    <w:rsid w:val="00B51B74"/>
    <w:rsid w:val="00B522F9"/>
    <w:rsid w:val="00B5555B"/>
    <w:rsid w:val="00B56796"/>
    <w:rsid w:val="00B62DF4"/>
    <w:rsid w:val="00B6503F"/>
    <w:rsid w:val="00B6551F"/>
    <w:rsid w:val="00B658C4"/>
    <w:rsid w:val="00B6608F"/>
    <w:rsid w:val="00B66298"/>
    <w:rsid w:val="00B664E4"/>
    <w:rsid w:val="00B67CC5"/>
    <w:rsid w:val="00B70075"/>
    <w:rsid w:val="00B7031C"/>
    <w:rsid w:val="00B70FDF"/>
    <w:rsid w:val="00B718E1"/>
    <w:rsid w:val="00B72FED"/>
    <w:rsid w:val="00B736A2"/>
    <w:rsid w:val="00B745DC"/>
    <w:rsid w:val="00B765A7"/>
    <w:rsid w:val="00B76D1E"/>
    <w:rsid w:val="00B8021B"/>
    <w:rsid w:val="00B80559"/>
    <w:rsid w:val="00B82A76"/>
    <w:rsid w:val="00B849FD"/>
    <w:rsid w:val="00B858DD"/>
    <w:rsid w:val="00B86C5E"/>
    <w:rsid w:val="00B86FC5"/>
    <w:rsid w:val="00B912EA"/>
    <w:rsid w:val="00B93D28"/>
    <w:rsid w:val="00B940FD"/>
    <w:rsid w:val="00B95940"/>
    <w:rsid w:val="00B95DB0"/>
    <w:rsid w:val="00B967BC"/>
    <w:rsid w:val="00B96C64"/>
    <w:rsid w:val="00BA0022"/>
    <w:rsid w:val="00BA0F35"/>
    <w:rsid w:val="00BA1953"/>
    <w:rsid w:val="00BA2839"/>
    <w:rsid w:val="00BA2D52"/>
    <w:rsid w:val="00BA3F65"/>
    <w:rsid w:val="00BA4E76"/>
    <w:rsid w:val="00BA4ED1"/>
    <w:rsid w:val="00BA5E51"/>
    <w:rsid w:val="00BA7D31"/>
    <w:rsid w:val="00BA7FF5"/>
    <w:rsid w:val="00BB0DDC"/>
    <w:rsid w:val="00BB1863"/>
    <w:rsid w:val="00BB26C2"/>
    <w:rsid w:val="00BB2BB3"/>
    <w:rsid w:val="00BB5B7F"/>
    <w:rsid w:val="00BB6799"/>
    <w:rsid w:val="00BB6921"/>
    <w:rsid w:val="00BB748A"/>
    <w:rsid w:val="00BB764B"/>
    <w:rsid w:val="00BB76FE"/>
    <w:rsid w:val="00BB7952"/>
    <w:rsid w:val="00BC18F4"/>
    <w:rsid w:val="00BC3805"/>
    <w:rsid w:val="00BC39D0"/>
    <w:rsid w:val="00BC3E99"/>
    <w:rsid w:val="00BC46B1"/>
    <w:rsid w:val="00BC5110"/>
    <w:rsid w:val="00BC57A9"/>
    <w:rsid w:val="00BC6AC1"/>
    <w:rsid w:val="00BC6DAF"/>
    <w:rsid w:val="00BC79BD"/>
    <w:rsid w:val="00BC7A46"/>
    <w:rsid w:val="00BC7B9A"/>
    <w:rsid w:val="00BD0E3B"/>
    <w:rsid w:val="00BD35AB"/>
    <w:rsid w:val="00BD366B"/>
    <w:rsid w:val="00BD3835"/>
    <w:rsid w:val="00BD43E0"/>
    <w:rsid w:val="00BD44BA"/>
    <w:rsid w:val="00BD4C1C"/>
    <w:rsid w:val="00BD6537"/>
    <w:rsid w:val="00BD6CC1"/>
    <w:rsid w:val="00BD6D50"/>
    <w:rsid w:val="00BE0470"/>
    <w:rsid w:val="00BE0EF9"/>
    <w:rsid w:val="00BE1794"/>
    <w:rsid w:val="00BE1BBB"/>
    <w:rsid w:val="00BE1BFE"/>
    <w:rsid w:val="00BE33B7"/>
    <w:rsid w:val="00BE36E1"/>
    <w:rsid w:val="00BE4FA5"/>
    <w:rsid w:val="00BE53CE"/>
    <w:rsid w:val="00BE607F"/>
    <w:rsid w:val="00BE63D0"/>
    <w:rsid w:val="00BE6F43"/>
    <w:rsid w:val="00BE7319"/>
    <w:rsid w:val="00BE76F6"/>
    <w:rsid w:val="00BF03A5"/>
    <w:rsid w:val="00BF0713"/>
    <w:rsid w:val="00BF09A3"/>
    <w:rsid w:val="00BF1262"/>
    <w:rsid w:val="00BF14D3"/>
    <w:rsid w:val="00BF1812"/>
    <w:rsid w:val="00BF1815"/>
    <w:rsid w:val="00BF1FFC"/>
    <w:rsid w:val="00BF5E16"/>
    <w:rsid w:val="00BF6243"/>
    <w:rsid w:val="00BF6BE5"/>
    <w:rsid w:val="00BF6FC7"/>
    <w:rsid w:val="00C018F4"/>
    <w:rsid w:val="00C01BB8"/>
    <w:rsid w:val="00C04FD8"/>
    <w:rsid w:val="00C05523"/>
    <w:rsid w:val="00C058F6"/>
    <w:rsid w:val="00C05A64"/>
    <w:rsid w:val="00C06CC8"/>
    <w:rsid w:val="00C07970"/>
    <w:rsid w:val="00C1059A"/>
    <w:rsid w:val="00C10A5A"/>
    <w:rsid w:val="00C10FB2"/>
    <w:rsid w:val="00C1208D"/>
    <w:rsid w:val="00C131F6"/>
    <w:rsid w:val="00C13EF3"/>
    <w:rsid w:val="00C140D5"/>
    <w:rsid w:val="00C14A58"/>
    <w:rsid w:val="00C14ECE"/>
    <w:rsid w:val="00C1712C"/>
    <w:rsid w:val="00C17654"/>
    <w:rsid w:val="00C20F45"/>
    <w:rsid w:val="00C21D10"/>
    <w:rsid w:val="00C21DE9"/>
    <w:rsid w:val="00C21F94"/>
    <w:rsid w:val="00C24DA9"/>
    <w:rsid w:val="00C26A32"/>
    <w:rsid w:val="00C270F1"/>
    <w:rsid w:val="00C27244"/>
    <w:rsid w:val="00C31655"/>
    <w:rsid w:val="00C32F2D"/>
    <w:rsid w:val="00C3585F"/>
    <w:rsid w:val="00C3589C"/>
    <w:rsid w:val="00C360B4"/>
    <w:rsid w:val="00C370B8"/>
    <w:rsid w:val="00C37767"/>
    <w:rsid w:val="00C37D3F"/>
    <w:rsid w:val="00C41A67"/>
    <w:rsid w:val="00C42179"/>
    <w:rsid w:val="00C4352B"/>
    <w:rsid w:val="00C43BDF"/>
    <w:rsid w:val="00C449F8"/>
    <w:rsid w:val="00C45446"/>
    <w:rsid w:val="00C4570D"/>
    <w:rsid w:val="00C470F8"/>
    <w:rsid w:val="00C5090D"/>
    <w:rsid w:val="00C50A5E"/>
    <w:rsid w:val="00C50AD4"/>
    <w:rsid w:val="00C50FDC"/>
    <w:rsid w:val="00C512E7"/>
    <w:rsid w:val="00C52628"/>
    <w:rsid w:val="00C52DBC"/>
    <w:rsid w:val="00C53308"/>
    <w:rsid w:val="00C53CF4"/>
    <w:rsid w:val="00C542DA"/>
    <w:rsid w:val="00C55C3C"/>
    <w:rsid w:val="00C56FAC"/>
    <w:rsid w:val="00C57270"/>
    <w:rsid w:val="00C57C97"/>
    <w:rsid w:val="00C64C19"/>
    <w:rsid w:val="00C6646D"/>
    <w:rsid w:val="00C67F19"/>
    <w:rsid w:val="00C67F66"/>
    <w:rsid w:val="00C719D9"/>
    <w:rsid w:val="00C723FE"/>
    <w:rsid w:val="00C735EE"/>
    <w:rsid w:val="00C73F4C"/>
    <w:rsid w:val="00C74158"/>
    <w:rsid w:val="00C742FF"/>
    <w:rsid w:val="00C74512"/>
    <w:rsid w:val="00C746C2"/>
    <w:rsid w:val="00C75024"/>
    <w:rsid w:val="00C75CE7"/>
    <w:rsid w:val="00C76116"/>
    <w:rsid w:val="00C76B38"/>
    <w:rsid w:val="00C774BB"/>
    <w:rsid w:val="00C80ED6"/>
    <w:rsid w:val="00C81902"/>
    <w:rsid w:val="00C81F0E"/>
    <w:rsid w:val="00C81F8D"/>
    <w:rsid w:val="00C82052"/>
    <w:rsid w:val="00C820B0"/>
    <w:rsid w:val="00C82CE9"/>
    <w:rsid w:val="00C84D63"/>
    <w:rsid w:val="00C8553F"/>
    <w:rsid w:val="00C866FE"/>
    <w:rsid w:val="00C86C49"/>
    <w:rsid w:val="00C87251"/>
    <w:rsid w:val="00C9027C"/>
    <w:rsid w:val="00C903FE"/>
    <w:rsid w:val="00C90CD0"/>
    <w:rsid w:val="00C90CF4"/>
    <w:rsid w:val="00C92FA6"/>
    <w:rsid w:val="00C93389"/>
    <w:rsid w:val="00C94E77"/>
    <w:rsid w:val="00C9506B"/>
    <w:rsid w:val="00C958DA"/>
    <w:rsid w:val="00C95E3D"/>
    <w:rsid w:val="00C9639D"/>
    <w:rsid w:val="00C968A8"/>
    <w:rsid w:val="00C97150"/>
    <w:rsid w:val="00CA0C7F"/>
    <w:rsid w:val="00CA0F40"/>
    <w:rsid w:val="00CA27F3"/>
    <w:rsid w:val="00CA35BA"/>
    <w:rsid w:val="00CA441C"/>
    <w:rsid w:val="00CA4946"/>
    <w:rsid w:val="00CA4D03"/>
    <w:rsid w:val="00CA4D94"/>
    <w:rsid w:val="00CA59EE"/>
    <w:rsid w:val="00CA760D"/>
    <w:rsid w:val="00CA7A3A"/>
    <w:rsid w:val="00CA7F2B"/>
    <w:rsid w:val="00CB00A8"/>
    <w:rsid w:val="00CB0BB6"/>
    <w:rsid w:val="00CB119D"/>
    <w:rsid w:val="00CB1250"/>
    <w:rsid w:val="00CB17B1"/>
    <w:rsid w:val="00CB1D3F"/>
    <w:rsid w:val="00CB23A0"/>
    <w:rsid w:val="00CB32EC"/>
    <w:rsid w:val="00CB36E1"/>
    <w:rsid w:val="00CB3964"/>
    <w:rsid w:val="00CB3EB5"/>
    <w:rsid w:val="00CB3F4C"/>
    <w:rsid w:val="00CB3FD4"/>
    <w:rsid w:val="00CB41CA"/>
    <w:rsid w:val="00CB4365"/>
    <w:rsid w:val="00CB558B"/>
    <w:rsid w:val="00CB62F8"/>
    <w:rsid w:val="00CB6BED"/>
    <w:rsid w:val="00CB72EF"/>
    <w:rsid w:val="00CC08C4"/>
    <w:rsid w:val="00CC0FC5"/>
    <w:rsid w:val="00CC113E"/>
    <w:rsid w:val="00CC1887"/>
    <w:rsid w:val="00CC53D5"/>
    <w:rsid w:val="00CC54AC"/>
    <w:rsid w:val="00CC5EC7"/>
    <w:rsid w:val="00CC6043"/>
    <w:rsid w:val="00CC7383"/>
    <w:rsid w:val="00CD2501"/>
    <w:rsid w:val="00CD2841"/>
    <w:rsid w:val="00CD3B46"/>
    <w:rsid w:val="00CD5F03"/>
    <w:rsid w:val="00CE00F3"/>
    <w:rsid w:val="00CE08D6"/>
    <w:rsid w:val="00CE14CF"/>
    <w:rsid w:val="00CE176C"/>
    <w:rsid w:val="00CE2846"/>
    <w:rsid w:val="00CE56E4"/>
    <w:rsid w:val="00CE5905"/>
    <w:rsid w:val="00CE598F"/>
    <w:rsid w:val="00CE7EF8"/>
    <w:rsid w:val="00CF18E7"/>
    <w:rsid w:val="00CF224A"/>
    <w:rsid w:val="00CF2971"/>
    <w:rsid w:val="00CF2DA7"/>
    <w:rsid w:val="00CF390A"/>
    <w:rsid w:val="00CF462A"/>
    <w:rsid w:val="00CF47FD"/>
    <w:rsid w:val="00CF502D"/>
    <w:rsid w:val="00CF51EC"/>
    <w:rsid w:val="00CF5D65"/>
    <w:rsid w:val="00CF718B"/>
    <w:rsid w:val="00D00F19"/>
    <w:rsid w:val="00D02C4B"/>
    <w:rsid w:val="00D02E65"/>
    <w:rsid w:val="00D040DD"/>
    <w:rsid w:val="00D045D0"/>
    <w:rsid w:val="00D04839"/>
    <w:rsid w:val="00D06ABA"/>
    <w:rsid w:val="00D110FD"/>
    <w:rsid w:val="00D1146A"/>
    <w:rsid w:val="00D13305"/>
    <w:rsid w:val="00D13417"/>
    <w:rsid w:val="00D146E8"/>
    <w:rsid w:val="00D20B8E"/>
    <w:rsid w:val="00D21B84"/>
    <w:rsid w:val="00D21FC1"/>
    <w:rsid w:val="00D234F5"/>
    <w:rsid w:val="00D23EF7"/>
    <w:rsid w:val="00D2666B"/>
    <w:rsid w:val="00D267E2"/>
    <w:rsid w:val="00D269E0"/>
    <w:rsid w:val="00D26F9E"/>
    <w:rsid w:val="00D27D15"/>
    <w:rsid w:val="00D31B66"/>
    <w:rsid w:val="00D31E66"/>
    <w:rsid w:val="00D32157"/>
    <w:rsid w:val="00D32602"/>
    <w:rsid w:val="00D3282C"/>
    <w:rsid w:val="00D358C6"/>
    <w:rsid w:val="00D36362"/>
    <w:rsid w:val="00D36AF6"/>
    <w:rsid w:val="00D41AF1"/>
    <w:rsid w:val="00D42693"/>
    <w:rsid w:val="00D430E6"/>
    <w:rsid w:val="00D45574"/>
    <w:rsid w:val="00D45F16"/>
    <w:rsid w:val="00D50475"/>
    <w:rsid w:val="00D51E6B"/>
    <w:rsid w:val="00D52355"/>
    <w:rsid w:val="00D546E4"/>
    <w:rsid w:val="00D55EA3"/>
    <w:rsid w:val="00D56A23"/>
    <w:rsid w:val="00D56DE9"/>
    <w:rsid w:val="00D57021"/>
    <w:rsid w:val="00D6000F"/>
    <w:rsid w:val="00D60E57"/>
    <w:rsid w:val="00D613B7"/>
    <w:rsid w:val="00D613CB"/>
    <w:rsid w:val="00D62325"/>
    <w:rsid w:val="00D644E2"/>
    <w:rsid w:val="00D653E5"/>
    <w:rsid w:val="00D654DC"/>
    <w:rsid w:val="00D65603"/>
    <w:rsid w:val="00D66739"/>
    <w:rsid w:val="00D66CCF"/>
    <w:rsid w:val="00D672A9"/>
    <w:rsid w:val="00D67910"/>
    <w:rsid w:val="00D67F43"/>
    <w:rsid w:val="00D7025D"/>
    <w:rsid w:val="00D7198E"/>
    <w:rsid w:val="00D72C5F"/>
    <w:rsid w:val="00D72E21"/>
    <w:rsid w:val="00D73DB5"/>
    <w:rsid w:val="00D7448A"/>
    <w:rsid w:val="00D744BC"/>
    <w:rsid w:val="00D74C64"/>
    <w:rsid w:val="00D74F7F"/>
    <w:rsid w:val="00D75128"/>
    <w:rsid w:val="00D7517A"/>
    <w:rsid w:val="00D76098"/>
    <w:rsid w:val="00D81FA6"/>
    <w:rsid w:val="00D83753"/>
    <w:rsid w:val="00D83E8E"/>
    <w:rsid w:val="00D87A8C"/>
    <w:rsid w:val="00D87C76"/>
    <w:rsid w:val="00D90BEC"/>
    <w:rsid w:val="00D91C28"/>
    <w:rsid w:val="00D91C65"/>
    <w:rsid w:val="00D91E49"/>
    <w:rsid w:val="00D92675"/>
    <w:rsid w:val="00D92A2F"/>
    <w:rsid w:val="00D9313A"/>
    <w:rsid w:val="00D9320F"/>
    <w:rsid w:val="00D94B8F"/>
    <w:rsid w:val="00D94DE1"/>
    <w:rsid w:val="00D95439"/>
    <w:rsid w:val="00D9797A"/>
    <w:rsid w:val="00DA2666"/>
    <w:rsid w:val="00DA343E"/>
    <w:rsid w:val="00DA3C1D"/>
    <w:rsid w:val="00DA4844"/>
    <w:rsid w:val="00DA6EF6"/>
    <w:rsid w:val="00DA7501"/>
    <w:rsid w:val="00DB121B"/>
    <w:rsid w:val="00DB192A"/>
    <w:rsid w:val="00DB3CE2"/>
    <w:rsid w:val="00DB6990"/>
    <w:rsid w:val="00DB6EE8"/>
    <w:rsid w:val="00DB7BC7"/>
    <w:rsid w:val="00DC0206"/>
    <w:rsid w:val="00DC02CB"/>
    <w:rsid w:val="00DC4A24"/>
    <w:rsid w:val="00DC5B3B"/>
    <w:rsid w:val="00DC784D"/>
    <w:rsid w:val="00DD0290"/>
    <w:rsid w:val="00DD1820"/>
    <w:rsid w:val="00DD49EA"/>
    <w:rsid w:val="00DD76D9"/>
    <w:rsid w:val="00DE0583"/>
    <w:rsid w:val="00DE0CF4"/>
    <w:rsid w:val="00DE25A4"/>
    <w:rsid w:val="00DE3B2E"/>
    <w:rsid w:val="00DE3B56"/>
    <w:rsid w:val="00DE4256"/>
    <w:rsid w:val="00DE5858"/>
    <w:rsid w:val="00DE5E80"/>
    <w:rsid w:val="00DE6696"/>
    <w:rsid w:val="00DF10E8"/>
    <w:rsid w:val="00DF1398"/>
    <w:rsid w:val="00DF213B"/>
    <w:rsid w:val="00DF29A0"/>
    <w:rsid w:val="00DF2F8C"/>
    <w:rsid w:val="00DF372F"/>
    <w:rsid w:val="00DF3F1A"/>
    <w:rsid w:val="00DF4CB8"/>
    <w:rsid w:val="00DF53E1"/>
    <w:rsid w:val="00DF6D95"/>
    <w:rsid w:val="00E006FC"/>
    <w:rsid w:val="00E01C0E"/>
    <w:rsid w:val="00E02A33"/>
    <w:rsid w:val="00E02E42"/>
    <w:rsid w:val="00E03631"/>
    <w:rsid w:val="00E04694"/>
    <w:rsid w:val="00E04E69"/>
    <w:rsid w:val="00E05C11"/>
    <w:rsid w:val="00E06BAF"/>
    <w:rsid w:val="00E07C43"/>
    <w:rsid w:val="00E07E5C"/>
    <w:rsid w:val="00E07EEF"/>
    <w:rsid w:val="00E106F6"/>
    <w:rsid w:val="00E1187E"/>
    <w:rsid w:val="00E11A6B"/>
    <w:rsid w:val="00E12D30"/>
    <w:rsid w:val="00E1419F"/>
    <w:rsid w:val="00E14242"/>
    <w:rsid w:val="00E14EF5"/>
    <w:rsid w:val="00E152EC"/>
    <w:rsid w:val="00E158E3"/>
    <w:rsid w:val="00E161F0"/>
    <w:rsid w:val="00E16E53"/>
    <w:rsid w:val="00E16F73"/>
    <w:rsid w:val="00E177BB"/>
    <w:rsid w:val="00E2006C"/>
    <w:rsid w:val="00E21405"/>
    <w:rsid w:val="00E22100"/>
    <w:rsid w:val="00E23138"/>
    <w:rsid w:val="00E27CCB"/>
    <w:rsid w:val="00E30576"/>
    <w:rsid w:val="00E30C67"/>
    <w:rsid w:val="00E30F7E"/>
    <w:rsid w:val="00E319A7"/>
    <w:rsid w:val="00E3226E"/>
    <w:rsid w:val="00E32358"/>
    <w:rsid w:val="00E33EAE"/>
    <w:rsid w:val="00E340F9"/>
    <w:rsid w:val="00E344AB"/>
    <w:rsid w:val="00E356DC"/>
    <w:rsid w:val="00E36668"/>
    <w:rsid w:val="00E37E22"/>
    <w:rsid w:val="00E41ADA"/>
    <w:rsid w:val="00E4343A"/>
    <w:rsid w:val="00E448D6"/>
    <w:rsid w:val="00E448FE"/>
    <w:rsid w:val="00E45019"/>
    <w:rsid w:val="00E452C6"/>
    <w:rsid w:val="00E46CA4"/>
    <w:rsid w:val="00E4796A"/>
    <w:rsid w:val="00E47F4A"/>
    <w:rsid w:val="00E50026"/>
    <w:rsid w:val="00E5027D"/>
    <w:rsid w:val="00E504C3"/>
    <w:rsid w:val="00E50CCB"/>
    <w:rsid w:val="00E50D6C"/>
    <w:rsid w:val="00E51F58"/>
    <w:rsid w:val="00E55662"/>
    <w:rsid w:val="00E57599"/>
    <w:rsid w:val="00E605BF"/>
    <w:rsid w:val="00E6084F"/>
    <w:rsid w:val="00E6176C"/>
    <w:rsid w:val="00E6225C"/>
    <w:rsid w:val="00E62D51"/>
    <w:rsid w:val="00E645F1"/>
    <w:rsid w:val="00E670F2"/>
    <w:rsid w:val="00E67DC3"/>
    <w:rsid w:val="00E70E16"/>
    <w:rsid w:val="00E70F90"/>
    <w:rsid w:val="00E71A58"/>
    <w:rsid w:val="00E72459"/>
    <w:rsid w:val="00E7371B"/>
    <w:rsid w:val="00E743CE"/>
    <w:rsid w:val="00E74F8C"/>
    <w:rsid w:val="00E7515E"/>
    <w:rsid w:val="00E754E3"/>
    <w:rsid w:val="00E774CD"/>
    <w:rsid w:val="00E778E0"/>
    <w:rsid w:val="00E8090A"/>
    <w:rsid w:val="00E80995"/>
    <w:rsid w:val="00E81E1F"/>
    <w:rsid w:val="00E82D69"/>
    <w:rsid w:val="00E83F41"/>
    <w:rsid w:val="00E85053"/>
    <w:rsid w:val="00E86361"/>
    <w:rsid w:val="00E86604"/>
    <w:rsid w:val="00E868DA"/>
    <w:rsid w:val="00E877A4"/>
    <w:rsid w:val="00E90A26"/>
    <w:rsid w:val="00E91A44"/>
    <w:rsid w:val="00E924CA"/>
    <w:rsid w:val="00E93909"/>
    <w:rsid w:val="00E943A7"/>
    <w:rsid w:val="00E9466F"/>
    <w:rsid w:val="00E94B96"/>
    <w:rsid w:val="00E978DD"/>
    <w:rsid w:val="00EA0C68"/>
    <w:rsid w:val="00EA1270"/>
    <w:rsid w:val="00EA42CF"/>
    <w:rsid w:val="00EA59D1"/>
    <w:rsid w:val="00EA682A"/>
    <w:rsid w:val="00EA6B7C"/>
    <w:rsid w:val="00EA72E6"/>
    <w:rsid w:val="00EA781F"/>
    <w:rsid w:val="00EA78A5"/>
    <w:rsid w:val="00EB0339"/>
    <w:rsid w:val="00EB0F76"/>
    <w:rsid w:val="00EB5A3F"/>
    <w:rsid w:val="00EB61E0"/>
    <w:rsid w:val="00EB74A4"/>
    <w:rsid w:val="00EB7F5D"/>
    <w:rsid w:val="00EC3A88"/>
    <w:rsid w:val="00EC4790"/>
    <w:rsid w:val="00EC4CEE"/>
    <w:rsid w:val="00EC51F6"/>
    <w:rsid w:val="00ED0D88"/>
    <w:rsid w:val="00ED1A01"/>
    <w:rsid w:val="00ED1E5D"/>
    <w:rsid w:val="00ED2197"/>
    <w:rsid w:val="00ED47AF"/>
    <w:rsid w:val="00ED47CE"/>
    <w:rsid w:val="00ED48F5"/>
    <w:rsid w:val="00ED7B6C"/>
    <w:rsid w:val="00ED7D19"/>
    <w:rsid w:val="00EE01F9"/>
    <w:rsid w:val="00EE0758"/>
    <w:rsid w:val="00EE15DA"/>
    <w:rsid w:val="00EE18C8"/>
    <w:rsid w:val="00EE19D4"/>
    <w:rsid w:val="00EE1B4A"/>
    <w:rsid w:val="00EE277F"/>
    <w:rsid w:val="00EE2CAB"/>
    <w:rsid w:val="00EE329F"/>
    <w:rsid w:val="00EE3E78"/>
    <w:rsid w:val="00EE46B8"/>
    <w:rsid w:val="00EE52FC"/>
    <w:rsid w:val="00EE5A03"/>
    <w:rsid w:val="00EF1F5A"/>
    <w:rsid w:val="00EF2105"/>
    <w:rsid w:val="00EF242C"/>
    <w:rsid w:val="00EF472B"/>
    <w:rsid w:val="00EF4A1C"/>
    <w:rsid w:val="00EF5356"/>
    <w:rsid w:val="00EF66EC"/>
    <w:rsid w:val="00EF67EC"/>
    <w:rsid w:val="00F00B46"/>
    <w:rsid w:val="00F013DC"/>
    <w:rsid w:val="00F041E6"/>
    <w:rsid w:val="00F04227"/>
    <w:rsid w:val="00F0434B"/>
    <w:rsid w:val="00F04371"/>
    <w:rsid w:val="00F04811"/>
    <w:rsid w:val="00F0488C"/>
    <w:rsid w:val="00F04FA9"/>
    <w:rsid w:val="00F0534F"/>
    <w:rsid w:val="00F0541B"/>
    <w:rsid w:val="00F10454"/>
    <w:rsid w:val="00F10BC7"/>
    <w:rsid w:val="00F111AC"/>
    <w:rsid w:val="00F11CF4"/>
    <w:rsid w:val="00F1224F"/>
    <w:rsid w:val="00F12B55"/>
    <w:rsid w:val="00F12B9A"/>
    <w:rsid w:val="00F13E2C"/>
    <w:rsid w:val="00F14C04"/>
    <w:rsid w:val="00F15118"/>
    <w:rsid w:val="00F15BEF"/>
    <w:rsid w:val="00F20468"/>
    <w:rsid w:val="00F20947"/>
    <w:rsid w:val="00F22E88"/>
    <w:rsid w:val="00F22E95"/>
    <w:rsid w:val="00F23B29"/>
    <w:rsid w:val="00F24FAA"/>
    <w:rsid w:val="00F26446"/>
    <w:rsid w:val="00F27648"/>
    <w:rsid w:val="00F30D8A"/>
    <w:rsid w:val="00F30DDC"/>
    <w:rsid w:val="00F326AB"/>
    <w:rsid w:val="00F3364D"/>
    <w:rsid w:val="00F3539C"/>
    <w:rsid w:val="00F35998"/>
    <w:rsid w:val="00F36022"/>
    <w:rsid w:val="00F3634D"/>
    <w:rsid w:val="00F40065"/>
    <w:rsid w:val="00F408FA"/>
    <w:rsid w:val="00F40DE5"/>
    <w:rsid w:val="00F421F8"/>
    <w:rsid w:val="00F4270C"/>
    <w:rsid w:val="00F437B7"/>
    <w:rsid w:val="00F43EEB"/>
    <w:rsid w:val="00F44931"/>
    <w:rsid w:val="00F44FC6"/>
    <w:rsid w:val="00F463E6"/>
    <w:rsid w:val="00F4728B"/>
    <w:rsid w:val="00F47EE9"/>
    <w:rsid w:val="00F500C4"/>
    <w:rsid w:val="00F52FA3"/>
    <w:rsid w:val="00F531AC"/>
    <w:rsid w:val="00F53A43"/>
    <w:rsid w:val="00F53D1B"/>
    <w:rsid w:val="00F540E4"/>
    <w:rsid w:val="00F553C2"/>
    <w:rsid w:val="00F56365"/>
    <w:rsid w:val="00F5744D"/>
    <w:rsid w:val="00F578EF"/>
    <w:rsid w:val="00F602B9"/>
    <w:rsid w:val="00F60D2B"/>
    <w:rsid w:val="00F61BF6"/>
    <w:rsid w:val="00F624DF"/>
    <w:rsid w:val="00F62595"/>
    <w:rsid w:val="00F63783"/>
    <w:rsid w:val="00F638C8"/>
    <w:rsid w:val="00F63CE5"/>
    <w:rsid w:val="00F63DDE"/>
    <w:rsid w:val="00F63FB7"/>
    <w:rsid w:val="00F647F4"/>
    <w:rsid w:val="00F64CCD"/>
    <w:rsid w:val="00F656A6"/>
    <w:rsid w:val="00F65CF4"/>
    <w:rsid w:val="00F6693A"/>
    <w:rsid w:val="00F67CA3"/>
    <w:rsid w:val="00F70D82"/>
    <w:rsid w:val="00F71114"/>
    <w:rsid w:val="00F72394"/>
    <w:rsid w:val="00F728A1"/>
    <w:rsid w:val="00F72D1B"/>
    <w:rsid w:val="00F72D92"/>
    <w:rsid w:val="00F72EE1"/>
    <w:rsid w:val="00F73825"/>
    <w:rsid w:val="00F73A0C"/>
    <w:rsid w:val="00F772E1"/>
    <w:rsid w:val="00F77436"/>
    <w:rsid w:val="00F801C6"/>
    <w:rsid w:val="00F80AD6"/>
    <w:rsid w:val="00F81435"/>
    <w:rsid w:val="00F81A5C"/>
    <w:rsid w:val="00F81CB0"/>
    <w:rsid w:val="00F831FB"/>
    <w:rsid w:val="00F83898"/>
    <w:rsid w:val="00F83C23"/>
    <w:rsid w:val="00F85719"/>
    <w:rsid w:val="00F8791C"/>
    <w:rsid w:val="00F87CE8"/>
    <w:rsid w:val="00F9134F"/>
    <w:rsid w:val="00F91B9A"/>
    <w:rsid w:val="00F922A4"/>
    <w:rsid w:val="00F94952"/>
    <w:rsid w:val="00F9605B"/>
    <w:rsid w:val="00F96B12"/>
    <w:rsid w:val="00FA3A02"/>
    <w:rsid w:val="00FA409B"/>
    <w:rsid w:val="00FA4137"/>
    <w:rsid w:val="00FA457D"/>
    <w:rsid w:val="00FA4C51"/>
    <w:rsid w:val="00FA4D1E"/>
    <w:rsid w:val="00FA6478"/>
    <w:rsid w:val="00FB0324"/>
    <w:rsid w:val="00FB1007"/>
    <w:rsid w:val="00FB12F8"/>
    <w:rsid w:val="00FB1379"/>
    <w:rsid w:val="00FB259D"/>
    <w:rsid w:val="00FB3236"/>
    <w:rsid w:val="00FB45E6"/>
    <w:rsid w:val="00FB479D"/>
    <w:rsid w:val="00FB5664"/>
    <w:rsid w:val="00FB57C8"/>
    <w:rsid w:val="00FB5C16"/>
    <w:rsid w:val="00FB5DEA"/>
    <w:rsid w:val="00FB76B1"/>
    <w:rsid w:val="00FC075C"/>
    <w:rsid w:val="00FC0E5F"/>
    <w:rsid w:val="00FC15DA"/>
    <w:rsid w:val="00FC1800"/>
    <w:rsid w:val="00FC2981"/>
    <w:rsid w:val="00FC33C0"/>
    <w:rsid w:val="00FC3922"/>
    <w:rsid w:val="00FC47B4"/>
    <w:rsid w:val="00FC56DE"/>
    <w:rsid w:val="00FC58DB"/>
    <w:rsid w:val="00FD0F83"/>
    <w:rsid w:val="00FD141D"/>
    <w:rsid w:val="00FD1492"/>
    <w:rsid w:val="00FD2708"/>
    <w:rsid w:val="00FD2941"/>
    <w:rsid w:val="00FD3859"/>
    <w:rsid w:val="00FD4884"/>
    <w:rsid w:val="00FD72B0"/>
    <w:rsid w:val="00FD73C6"/>
    <w:rsid w:val="00FE00BC"/>
    <w:rsid w:val="00FE026D"/>
    <w:rsid w:val="00FE14FD"/>
    <w:rsid w:val="00FE2310"/>
    <w:rsid w:val="00FE2398"/>
    <w:rsid w:val="00FE2612"/>
    <w:rsid w:val="00FE2F78"/>
    <w:rsid w:val="00FE32DB"/>
    <w:rsid w:val="00FE3AC9"/>
    <w:rsid w:val="00FE452F"/>
    <w:rsid w:val="00FE47AD"/>
    <w:rsid w:val="00FE6728"/>
    <w:rsid w:val="00FE7501"/>
    <w:rsid w:val="00FF041F"/>
    <w:rsid w:val="00FF074A"/>
    <w:rsid w:val="00FF21E9"/>
    <w:rsid w:val="00FF2B86"/>
    <w:rsid w:val="00FF3BF1"/>
    <w:rsid w:val="00FF3D2A"/>
    <w:rsid w:val="00FF41B5"/>
    <w:rsid w:val="00FF4878"/>
    <w:rsid w:val="00FF5580"/>
    <w:rsid w:val="00FF5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2A67A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40E30"/>
    <w:rPr>
      <w:sz w:val="16"/>
      <w:szCs w:val="16"/>
    </w:rPr>
  </w:style>
  <w:style w:type="paragraph" w:styleId="Textkomente">
    <w:name w:val="annotation text"/>
    <w:basedOn w:val="Normln"/>
    <w:link w:val="TextkomenteChar"/>
    <w:uiPriority w:val="99"/>
    <w:semiHidden/>
    <w:unhideWhenUsed/>
    <w:rsid w:val="00840E30"/>
    <w:rPr>
      <w:szCs w:val="20"/>
    </w:rPr>
  </w:style>
  <w:style w:type="character" w:customStyle="1" w:styleId="TextkomenteChar">
    <w:name w:val="Text komentáře Char"/>
    <w:link w:val="Textkomente"/>
    <w:uiPriority w:val="99"/>
    <w:semiHidden/>
    <w:rsid w:val="00840E30"/>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40E30"/>
    <w:rPr>
      <w:b/>
      <w:bCs/>
    </w:rPr>
  </w:style>
  <w:style w:type="character" w:customStyle="1" w:styleId="PedmtkomenteChar">
    <w:name w:val="Předmět komentáře Char"/>
    <w:link w:val="Pedmtkomente"/>
    <w:uiPriority w:val="99"/>
    <w:semiHidden/>
    <w:rsid w:val="00840E30"/>
    <w:rPr>
      <w:rFonts w:ascii="Arial" w:eastAsia="Times New Roman" w:hAnsi="Arial"/>
      <w:b/>
      <w:bCs/>
    </w:rPr>
  </w:style>
  <w:style w:type="character" w:styleId="Sledovanodkaz">
    <w:name w:val="FollowedHyperlink"/>
    <w:basedOn w:val="Standardnpsmoodstavce"/>
    <w:uiPriority w:val="99"/>
    <w:semiHidden/>
    <w:unhideWhenUsed/>
    <w:rsid w:val="005C0BF9"/>
    <w:rPr>
      <w:color w:val="800080" w:themeColor="followedHyperlink"/>
      <w:u w:val="single"/>
    </w:rPr>
  </w:style>
  <w:style w:type="paragraph" w:styleId="Zkladntext2">
    <w:name w:val="Body Text 2"/>
    <w:basedOn w:val="Normln"/>
    <w:link w:val="Zkladntext2Char"/>
    <w:rsid w:val="00857CF9"/>
    <w:pPr>
      <w:spacing w:line="240" w:lineRule="auto"/>
      <w:jc w:val="both"/>
    </w:pPr>
    <w:rPr>
      <w:rFonts w:ascii="Garamond" w:hAnsi="Garamond"/>
      <w:sz w:val="24"/>
    </w:rPr>
  </w:style>
  <w:style w:type="character" w:customStyle="1" w:styleId="Zkladntext2Char">
    <w:name w:val="Základní text 2 Char"/>
    <w:basedOn w:val="Standardnpsmoodstavce"/>
    <w:link w:val="Zkladntext2"/>
    <w:rsid w:val="00857CF9"/>
    <w:rPr>
      <w:rFonts w:ascii="Garamond" w:eastAsia="Times New Roman" w:hAnsi="Garamond"/>
      <w:sz w:val="24"/>
      <w:szCs w:val="24"/>
    </w:rPr>
  </w:style>
  <w:style w:type="paragraph" w:styleId="Titulek">
    <w:name w:val="caption"/>
    <w:basedOn w:val="Normln"/>
    <w:next w:val="Normln"/>
    <w:qFormat/>
    <w:rsid w:val="00857CF9"/>
    <w:pPr>
      <w:pBdr>
        <w:bottom w:val="single" w:sz="4" w:space="1" w:color="808080"/>
      </w:pBdr>
      <w:spacing w:line="240" w:lineRule="auto"/>
    </w:pPr>
    <w:rPr>
      <w:rFonts w:ascii="Calibri" w:hAnsi="Calibri"/>
      <w:b/>
      <w:bCs/>
      <w:sz w:val="18"/>
      <w:szCs w:val="18"/>
    </w:rPr>
  </w:style>
  <w:style w:type="paragraph" w:styleId="Rozloendokumentu">
    <w:name w:val="Document Map"/>
    <w:basedOn w:val="Normln"/>
    <w:link w:val="RozloendokumentuChar"/>
    <w:uiPriority w:val="99"/>
    <w:semiHidden/>
    <w:unhideWhenUsed/>
    <w:rsid w:val="00B516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16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3411705">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175727819">
      <w:bodyDiv w:val="1"/>
      <w:marLeft w:val="0"/>
      <w:marRight w:val="0"/>
      <w:marTop w:val="0"/>
      <w:marBottom w:val="0"/>
      <w:divBdr>
        <w:top w:val="none" w:sz="0" w:space="0" w:color="auto"/>
        <w:left w:val="none" w:sz="0" w:space="0" w:color="auto"/>
        <w:bottom w:val="none" w:sz="0" w:space="0" w:color="auto"/>
        <w:right w:val="none" w:sz="0" w:space="0" w:color="auto"/>
      </w:divBdr>
    </w:div>
    <w:div w:id="367872209">
      <w:bodyDiv w:val="1"/>
      <w:marLeft w:val="0"/>
      <w:marRight w:val="0"/>
      <w:marTop w:val="0"/>
      <w:marBottom w:val="0"/>
      <w:divBdr>
        <w:top w:val="none" w:sz="0" w:space="0" w:color="auto"/>
        <w:left w:val="none" w:sz="0" w:space="0" w:color="auto"/>
        <w:bottom w:val="none" w:sz="0" w:space="0" w:color="auto"/>
        <w:right w:val="none" w:sz="0" w:space="0" w:color="auto"/>
      </w:divBdr>
    </w:div>
    <w:div w:id="374815208">
      <w:bodyDiv w:val="1"/>
      <w:marLeft w:val="0"/>
      <w:marRight w:val="0"/>
      <w:marTop w:val="0"/>
      <w:marBottom w:val="0"/>
      <w:divBdr>
        <w:top w:val="none" w:sz="0" w:space="0" w:color="auto"/>
        <w:left w:val="none" w:sz="0" w:space="0" w:color="auto"/>
        <w:bottom w:val="none" w:sz="0" w:space="0" w:color="auto"/>
        <w:right w:val="none" w:sz="0" w:space="0" w:color="auto"/>
      </w:divBdr>
    </w:div>
    <w:div w:id="48971350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393714">
      <w:bodyDiv w:val="1"/>
      <w:marLeft w:val="0"/>
      <w:marRight w:val="0"/>
      <w:marTop w:val="0"/>
      <w:marBottom w:val="0"/>
      <w:divBdr>
        <w:top w:val="none" w:sz="0" w:space="0" w:color="auto"/>
        <w:left w:val="none" w:sz="0" w:space="0" w:color="auto"/>
        <w:bottom w:val="none" w:sz="0" w:space="0" w:color="auto"/>
        <w:right w:val="none" w:sz="0" w:space="0" w:color="auto"/>
      </w:divBdr>
    </w:div>
    <w:div w:id="577134093">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0176151">
      <w:bodyDiv w:val="1"/>
      <w:marLeft w:val="0"/>
      <w:marRight w:val="0"/>
      <w:marTop w:val="0"/>
      <w:marBottom w:val="0"/>
      <w:divBdr>
        <w:top w:val="none" w:sz="0" w:space="0" w:color="auto"/>
        <w:left w:val="none" w:sz="0" w:space="0" w:color="auto"/>
        <w:bottom w:val="none" w:sz="0" w:space="0" w:color="auto"/>
        <w:right w:val="none" w:sz="0" w:space="0" w:color="auto"/>
      </w:divBdr>
    </w:div>
    <w:div w:id="829567424">
      <w:bodyDiv w:val="1"/>
      <w:marLeft w:val="0"/>
      <w:marRight w:val="0"/>
      <w:marTop w:val="0"/>
      <w:marBottom w:val="0"/>
      <w:divBdr>
        <w:top w:val="none" w:sz="0" w:space="0" w:color="auto"/>
        <w:left w:val="none" w:sz="0" w:space="0" w:color="auto"/>
        <w:bottom w:val="none" w:sz="0" w:space="0" w:color="auto"/>
        <w:right w:val="none" w:sz="0" w:space="0" w:color="auto"/>
      </w:divBdr>
    </w:div>
    <w:div w:id="1167862942">
      <w:bodyDiv w:val="1"/>
      <w:marLeft w:val="0"/>
      <w:marRight w:val="0"/>
      <w:marTop w:val="0"/>
      <w:marBottom w:val="0"/>
      <w:divBdr>
        <w:top w:val="none" w:sz="0" w:space="0" w:color="auto"/>
        <w:left w:val="none" w:sz="0" w:space="0" w:color="auto"/>
        <w:bottom w:val="none" w:sz="0" w:space="0" w:color="auto"/>
        <w:right w:val="none" w:sz="0" w:space="0" w:color="auto"/>
      </w:divBdr>
    </w:div>
    <w:div w:id="1173645135">
      <w:bodyDiv w:val="1"/>
      <w:marLeft w:val="0"/>
      <w:marRight w:val="0"/>
      <w:marTop w:val="0"/>
      <w:marBottom w:val="0"/>
      <w:divBdr>
        <w:top w:val="none" w:sz="0" w:space="0" w:color="auto"/>
        <w:left w:val="none" w:sz="0" w:space="0" w:color="auto"/>
        <w:bottom w:val="none" w:sz="0" w:space="0" w:color="auto"/>
        <w:right w:val="none" w:sz="0" w:space="0" w:color="auto"/>
      </w:divBdr>
    </w:div>
    <w:div w:id="117715957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3306900">
      <w:bodyDiv w:val="1"/>
      <w:marLeft w:val="0"/>
      <w:marRight w:val="0"/>
      <w:marTop w:val="0"/>
      <w:marBottom w:val="0"/>
      <w:divBdr>
        <w:top w:val="none" w:sz="0" w:space="0" w:color="auto"/>
        <w:left w:val="none" w:sz="0" w:space="0" w:color="auto"/>
        <w:bottom w:val="none" w:sz="0" w:space="0" w:color="auto"/>
        <w:right w:val="none" w:sz="0" w:space="0" w:color="auto"/>
      </w:divBdr>
    </w:div>
    <w:div w:id="140328671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5903559">
      <w:bodyDiv w:val="1"/>
      <w:marLeft w:val="0"/>
      <w:marRight w:val="0"/>
      <w:marTop w:val="0"/>
      <w:marBottom w:val="0"/>
      <w:divBdr>
        <w:top w:val="none" w:sz="0" w:space="0" w:color="auto"/>
        <w:left w:val="none" w:sz="0" w:space="0" w:color="auto"/>
        <w:bottom w:val="none" w:sz="0" w:space="0" w:color="auto"/>
        <w:right w:val="none" w:sz="0" w:space="0" w:color="auto"/>
      </w:divBdr>
    </w:div>
    <w:div w:id="147062864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4708964">
      <w:bodyDiv w:val="1"/>
      <w:marLeft w:val="0"/>
      <w:marRight w:val="0"/>
      <w:marTop w:val="0"/>
      <w:marBottom w:val="0"/>
      <w:divBdr>
        <w:top w:val="none" w:sz="0" w:space="0" w:color="auto"/>
        <w:left w:val="none" w:sz="0" w:space="0" w:color="auto"/>
        <w:bottom w:val="none" w:sz="0" w:space="0" w:color="auto"/>
        <w:right w:val="none" w:sz="0" w:space="0" w:color="auto"/>
      </w:divBdr>
    </w:div>
    <w:div w:id="182636094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00229737">
      <w:bodyDiv w:val="1"/>
      <w:marLeft w:val="0"/>
      <w:marRight w:val="0"/>
      <w:marTop w:val="0"/>
      <w:marBottom w:val="0"/>
      <w:divBdr>
        <w:top w:val="none" w:sz="0" w:space="0" w:color="auto"/>
        <w:left w:val="none" w:sz="0" w:space="0" w:color="auto"/>
        <w:bottom w:val="none" w:sz="0" w:space="0" w:color="auto"/>
        <w:right w:val="none" w:sz="0" w:space="0" w:color="auto"/>
      </w:divBdr>
    </w:div>
    <w:div w:id="2069958323">
      <w:bodyDiv w:val="1"/>
      <w:marLeft w:val="0"/>
      <w:marRight w:val="0"/>
      <w:marTop w:val="0"/>
      <w:marBottom w:val="0"/>
      <w:divBdr>
        <w:top w:val="none" w:sz="0" w:space="0" w:color="auto"/>
        <w:left w:val="none" w:sz="0" w:space="0" w:color="auto"/>
        <w:bottom w:val="none" w:sz="0" w:space="0" w:color="auto"/>
        <w:right w:val="none" w:sz="0" w:space="0" w:color="auto"/>
      </w:divBdr>
    </w:div>
    <w:div w:id="208490720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gacr.cz/" TargetMode="External"/><Relationship Id="rId2" Type="http://schemas.openxmlformats.org/officeDocument/2006/relationships/hyperlink" Target="http://www.dotaceeu.cz/cs/Fondy-EU" TargetMode="External"/><Relationship Id="rId1" Type="http://schemas.openxmlformats.org/officeDocument/2006/relationships/hyperlink" Target="https://www.czso.cz/csu/czso/statistika_vyzkumu_a_vyvoje" TargetMode="External"/><Relationship Id="rId5" Type="http://schemas.openxmlformats.org/officeDocument/2006/relationships/hyperlink" Target="http://www.msmt.cz/strukturalni-fondy-1" TargetMode="External"/><Relationship Id="rId4" Type="http://schemas.openxmlformats.org/officeDocument/2006/relationships/hyperlink" Target="https://www.tacr.cz/index.php/cz/o-ta-c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Work\_GBARD16\_PUBLIKACE\GBARD%202016\01_TEXTY_171117\GBARD16_ANALYZA_2017-1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529638981389967E-2"/>
          <c:y val="0.22308070866141733"/>
          <c:w val="0.87301870758671762"/>
          <c:h val="0.6609394138232747"/>
        </c:manualLayout>
      </c:layout>
      <c:barChart>
        <c:barDir val="col"/>
        <c:grouping val="clustered"/>
        <c:varyColors val="0"/>
        <c:ser>
          <c:idx val="0"/>
          <c:order val="0"/>
          <c:tx>
            <c:strRef>
              <c:f>'GRAF1-1'!$A$4</c:f>
              <c:strCache>
                <c:ptCount val="1"/>
                <c:pt idx="0">
                  <c:v>mld. Kč</c:v>
                </c:pt>
              </c:strCache>
            </c:strRef>
          </c:tx>
          <c:spPr>
            <a:solidFill>
              <a:schemeClr val="accent5"/>
            </a:solidFill>
          </c:spPr>
          <c:invertIfNegative val="0"/>
          <c:cat>
            <c:strRef>
              <c:f>'GRAF1-1'!$B$3:$R$3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'GRAF1-1'!$B$4:$R$4</c:f>
              <c:numCache>
                <c:formatCode>0.0</c:formatCode>
                <c:ptCount val="17"/>
                <c:pt idx="0">
                  <c:v>11.895704</c:v>
                </c:pt>
                <c:pt idx="1">
                  <c:v>12.609980929999999</c:v>
                </c:pt>
                <c:pt idx="2">
                  <c:v>12.276076160000001</c:v>
                </c:pt>
                <c:pt idx="3">
                  <c:v>13.424991749999998</c:v>
                </c:pt>
                <c:pt idx="4">
                  <c:v>14.174552649999999</c:v>
                </c:pt>
                <c:pt idx="5">
                  <c:v>16.442694750000001</c:v>
                </c:pt>
                <c:pt idx="6">
                  <c:v>18.307698160000001</c:v>
                </c:pt>
                <c:pt idx="7">
                  <c:v>20.475804380000003</c:v>
                </c:pt>
                <c:pt idx="8">
                  <c:v>20.489574149999996</c:v>
                </c:pt>
                <c:pt idx="9">
                  <c:v>23.005164500000006</c:v>
                </c:pt>
                <c:pt idx="10">
                  <c:v>22.602125440000009</c:v>
                </c:pt>
                <c:pt idx="11">
                  <c:v>25.77805846</c:v>
                </c:pt>
                <c:pt idx="12">
                  <c:v>26.153504999999999</c:v>
                </c:pt>
                <c:pt idx="13">
                  <c:v>26.7</c:v>
                </c:pt>
                <c:pt idx="14">
                  <c:v>27.283999999999999</c:v>
                </c:pt>
                <c:pt idx="15">
                  <c:v>27.9</c:v>
                </c:pt>
                <c:pt idx="16">
                  <c:v>27.984400000000001</c:v>
                </c:pt>
              </c:numCache>
            </c:numRef>
          </c:val>
          <c:extLst xmlns:c16r2="http://schemas.microsoft.com/office/drawing/2015/06/chart">
            <c:ext xmlns:c16="http://schemas.microsoft.com/office/drawing/2014/chart" uri="{C3380CC4-5D6E-409C-BE32-E72D297353CC}">
              <c16:uniqueId val="{00000000-7B05-485D-9B2B-B1CA630B880E}"/>
            </c:ext>
          </c:extLst>
        </c:ser>
        <c:dLbls>
          <c:showLegendKey val="0"/>
          <c:showVal val="0"/>
          <c:showCatName val="0"/>
          <c:showSerName val="0"/>
          <c:showPercent val="0"/>
          <c:showBubbleSize val="0"/>
        </c:dLbls>
        <c:gapWidth val="150"/>
        <c:axId val="141646080"/>
        <c:axId val="141651968"/>
      </c:barChart>
      <c:lineChart>
        <c:grouping val="standard"/>
        <c:varyColors val="0"/>
        <c:ser>
          <c:idx val="1"/>
          <c:order val="1"/>
          <c:tx>
            <c:strRef>
              <c:f>'GRAF1-1'!$A$5</c:f>
              <c:strCache>
                <c:ptCount val="1"/>
                <c:pt idx="0">
                  <c:v>podíl na HDP</c:v>
                </c:pt>
              </c:strCache>
            </c:strRef>
          </c:tx>
          <c:spPr>
            <a:ln>
              <a:solidFill>
                <a:schemeClr val="accent6"/>
              </a:solidFill>
            </a:ln>
          </c:spPr>
          <c:marker>
            <c:spPr>
              <a:solidFill>
                <a:schemeClr val="accent6"/>
              </a:solidFill>
              <a:ln>
                <a:solidFill>
                  <a:schemeClr val="accent6"/>
                </a:solidFill>
              </a:ln>
            </c:spPr>
          </c:marker>
          <c:cat>
            <c:strRef>
              <c:f>'GRAF1-1'!$B$3:$R$3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'GRAF1-1'!$B$5:$R$5</c:f>
              <c:numCache>
                <c:formatCode>0.00%</c:formatCode>
                <c:ptCount val="17"/>
                <c:pt idx="0">
                  <c:v>5.0137206391219873E-3</c:v>
                </c:pt>
                <c:pt idx="1">
                  <c:v>4.9206244441851663E-3</c:v>
                </c:pt>
                <c:pt idx="2">
                  <c:v>4.5898153392202445E-3</c:v>
                </c:pt>
                <c:pt idx="3">
                  <c:v>4.7926492496152481E-3</c:v>
                </c:pt>
                <c:pt idx="4">
                  <c:v>4.6357517349868852E-3</c:v>
                </c:pt>
                <c:pt idx="5">
                  <c:v>5.0469110078294101E-3</c:v>
                </c:pt>
                <c:pt idx="6">
                  <c:v>5.2201352501517629E-3</c:v>
                </c:pt>
                <c:pt idx="7">
                  <c:v>5.3436251503528754E-3</c:v>
                </c:pt>
                <c:pt idx="8">
                  <c:v>5.1028165816843669E-3</c:v>
                </c:pt>
                <c:pt idx="9">
                  <c:v>5.8659304706709416E-3</c:v>
                </c:pt>
                <c:pt idx="10">
                  <c:v>5.7167730383890763E-3</c:v>
                </c:pt>
                <c:pt idx="11">
                  <c:v>6.4045883451027625E-3</c:v>
                </c:pt>
                <c:pt idx="12">
                  <c:v>6.4412486164971061E-3</c:v>
                </c:pt>
                <c:pt idx="13">
                  <c:v>6.5164236927275085E-3</c:v>
                </c:pt>
                <c:pt idx="14">
                  <c:v>6.3248578245250278E-3</c:v>
                </c:pt>
                <c:pt idx="15">
                  <c:v>6.1102372785976416E-3</c:v>
                </c:pt>
                <c:pt idx="16">
                  <c:v>5.8627682664186172E-3</c:v>
                </c:pt>
              </c:numCache>
            </c:numRef>
          </c:val>
          <c:smooth val="0"/>
          <c:extLst xmlns:c16r2="http://schemas.microsoft.com/office/drawing/2015/06/chart">
            <c:ext xmlns:c16="http://schemas.microsoft.com/office/drawing/2014/chart" uri="{C3380CC4-5D6E-409C-BE32-E72D297353CC}">
              <c16:uniqueId val="{00000001-7B05-485D-9B2B-B1CA630B880E}"/>
            </c:ext>
          </c:extLst>
        </c:ser>
        <c:ser>
          <c:idx val="2"/>
          <c:order val="2"/>
          <c:tx>
            <c:strRef>
              <c:f>'GRAF1-1'!$A$6</c:f>
              <c:strCache>
                <c:ptCount val="1"/>
                <c:pt idx="0">
                  <c:v>podíl na státním rozpočtu ČR</c:v>
                </c:pt>
              </c:strCache>
            </c:strRef>
          </c:tx>
          <c:cat>
            <c:strRef>
              <c:f>'GRAF1-1'!$B$3:$R$3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'GRAF1-1'!$B$6:$R$6</c:f>
              <c:numCache>
                <c:formatCode>0.00%</c:formatCode>
                <c:ptCount val="17"/>
                <c:pt idx="0">
                  <c:v>1.8814338223664649E-2</c:v>
                </c:pt>
                <c:pt idx="1">
                  <c:v>1.8172069918621858E-2</c:v>
                </c:pt>
                <c:pt idx="2">
                  <c:v>1.6351575554306448E-2</c:v>
                </c:pt>
                <c:pt idx="3">
                  <c:v>1.6600337509490328E-2</c:v>
                </c:pt>
                <c:pt idx="4">
                  <c:v>1.6426798081335785E-2</c:v>
                </c:pt>
                <c:pt idx="5">
                  <c:v>1.781633410987106E-2</c:v>
                </c:pt>
                <c:pt idx="6">
                  <c:v>1.7937644552874207E-2</c:v>
                </c:pt>
                <c:pt idx="7">
                  <c:v>1.8746101586604048E-2</c:v>
                </c:pt>
                <c:pt idx="8">
                  <c:v>1.8902797699881173E-2</c:v>
                </c:pt>
                <c:pt idx="9">
                  <c:v>1.9712928092242652E-2</c:v>
                </c:pt>
                <c:pt idx="10">
                  <c:v>1.9538600253334943E-2</c:v>
                </c:pt>
                <c:pt idx="11">
                  <c:v>2.2357381558460496E-2</c:v>
                </c:pt>
                <c:pt idx="12">
                  <c:v>2.2692819229827729E-2</c:v>
                </c:pt>
                <c:pt idx="13">
                  <c:v>2.2764048274584312E-2</c:v>
                </c:pt>
                <c:pt idx="14">
                  <c:v>2.2518915904321229E-2</c:v>
                </c:pt>
                <c:pt idx="15">
                  <c:v>2.145174541567231E-2</c:v>
                </c:pt>
                <c:pt idx="16">
                  <c:v>2.2940975279639824E-2</c:v>
                </c:pt>
              </c:numCache>
            </c:numRef>
          </c:val>
          <c:smooth val="0"/>
          <c:extLst xmlns:c16r2="http://schemas.microsoft.com/office/drawing/2015/06/chart">
            <c:ext xmlns:c16="http://schemas.microsoft.com/office/drawing/2014/chart" uri="{C3380CC4-5D6E-409C-BE32-E72D297353CC}">
              <c16:uniqueId val="{00000002-7B05-485D-9B2B-B1CA630B880E}"/>
            </c:ext>
          </c:extLst>
        </c:ser>
        <c:ser>
          <c:idx val="3"/>
          <c:order val="3"/>
          <c:tx>
            <c:strRef>
              <c:f>'GRAF1-1'!$A$7</c:f>
              <c:strCache>
                <c:ptCount val="1"/>
                <c:pt idx="0">
                  <c:v>podíl na veřejných rozpočtech ČR</c:v>
                </c:pt>
              </c:strCache>
            </c:strRef>
          </c:tx>
          <c:cat>
            <c:strRef>
              <c:f>'GRAF1-1'!$B$3:$R$3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'GRAF1-1'!$B$7:$R$7</c:f>
              <c:numCache>
                <c:formatCode>0.00%</c:formatCode>
                <c:ptCount val="17"/>
                <c:pt idx="0">
                  <c:v>1.2168443947430514E-2</c:v>
                </c:pt>
                <c:pt idx="1">
                  <c:v>1.1332854784229322E-2</c:v>
                </c:pt>
                <c:pt idx="2">
                  <c:v>1.0207939626485061E-2</c:v>
                </c:pt>
                <c:pt idx="3">
                  <c:v>9.6799064022180803E-3</c:v>
                </c:pt>
                <c:pt idx="4">
                  <c:v>1.086650153734478E-2</c:v>
                </c:pt>
                <c:pt idx="5">
                  <c:v>1.1912214864931445E-2</c:v>
                </c:pt>
                <c:pt idx="6">
                  <c:v>1.2601907257298461E-2</c:v>
                </c:pt>
                <c:pt idx="7">
                  <c:v>1.3206607753635954E-2</c:v>
                </c:pt>
                <c:pt idx="8">
                  <c:v>1.2529711443735296E-2</c:v>
                </c:pt>
                <c:pt idx="9">
                  <c:v>1.3242418835009467E-2</c:v>
                </c:pt>
                <c:pt idx="10">
                  <c:v>1.3108448876926138E-2</c:v>
                </c:pt>
                <c:pt idx="11">
                  <c:v>1.4882367729774939E-2</c:v>
                </c:pt>
                <c:pt idx="12">
                  <c:v>1.448132751429255E-2</c:v>
                </c:pt>
                <c:pt idx="13">
                  <c:v>1.5295845139050855E-2</c:v>
                </c:pt>
                <c:pt idx="14">
                  <c:v>1.4974940564790908E-2</c:v>
                </c:pt>
                <c:pt idx="15">
                  <c:v>1.4521980579454077E-2</c:v>
                </c:pt>
                <c:pt idx="16">
                  <c:v>1.4880016164452031E-2</c:v>
                </c:pt>
              </c:numCache>
            </c:numRef>
          </c:val>
          <c:smooth val="0"/>
          <c:extLst xmlns:c16r2="http://schemas.microsoft.com/office/drawing/2015/06/chart">
            <c:ext xmlns:c16="http://schemas.microsoft.com/office/drawing/2014/chart" uri="{C3380CC4-5D6E-409C-BE32-E72D297353CC}">
              <c16:uniqueId val="{00000003-7B05-485D-9B2B-B1CA630B880E}"/>
            </c:ext>
          </c:extLst>
        </c:ser>
        <c:dLbls>
          <c:showLegendKey val="0"/>
          <c:showVal val="0"/>
          <c:showCatName val="0"/>
          <c:showSerName val="0"/>
          <c:showPercent val="0"/>
          <c:showBubbleSize val="0"/>
        </c:dLbls>
        <c:marker val="1"/>
        <c:smooth val="0"/>
        <c:axId val="141655040"/>
        <c:axId val="141653504"/>
      </c:lineChart>
      <c:catAx>
        <c:axId val="141646080"/>
        <c:scaling>
          <c:orientation val="minMax"/>
        </c:scaling>
        <c:delete val="0"/>
        <c:axPos val="b"/>
        <c:minorGridlines>
          <c:spPr>
            <a:ln>
              <a:solidFill>
                <a:schemeClr val="bg1">
                  <a:lumMod val="85000"/>
                </a:schemeClr>
              </a:solidFill>
            </a:ln>
          </c:spPr>
        </c:minorGridlines>
        <c:numFmt formatCode="General" sourceLinked="0"/>
        <c:majorTickMark val="out"/>
        <c:minorTickMark val="none"/>
        <c:tickLblPos val="nextTo"/>
        <c:crossAx val="141651968"/>
        <c:crosses val="autoZero"/>
        <c:auto val="1"/>
        <c:lblAlgn val="ctr"/>
        <c:lblOffset val="100"/>
        <c:noMultiLvlLbl val="0"/>
      </c:catAx>
      <c:valAx>
        <c:axId val="141651968"/>
        <c:scaling>
          <c:orientation val="minMax"/>
        </c:scaling>
        <c:delete val="0"/>
        <c:axPos val="l"/>
        <c:majorGridlines>
          <c:spPr>
            <a:ln>
              <a:solidFill>
                <a:schemeClr val="bg1">
                  <a:lumMod val="85000"/>
                </a:schemeClr>
              </a:solidFill>
              <a:prstDash val="solid"/>
            </a:ln>
          </c:spPr>
        </c:majorGridlines>
        <c:numFmt formatCode="0" sourceLinked="0"/>
        <c:majorTickMark val="out"/>
        <c:minorTickMark val="none"/>
        <c:tickLblPos val="nextTo"/>
        <c:crossAx val="141646080"/>
        <c:crosses val="autoZero"/>
        <c:crossBetween val="between"/>
      </c:valAx>
      <c:valAx>
        <c:axId val="141653504"/>
        <c:scaling>
          <c:orientation val="minMax"/>
        </c:scaling>
        <c:delete val="0"/>
        <c:axPos val="r"/>
        <c:numFmt formatCode="0.0%" sourceLinked="0"/>
        <c:majorTickMark val="out"/>
        <c:minorTickMark val="none"/>
        <c:tickLblPos val="nextTo"/>
        <c:crossAx val="141655040"/>
        <c:crosses val="max"/>
        <c:crossBetween val="between"/>
      </c:valAx>
      <c:catAx>
        <c:axId val="141655040"/>
        <c:scaling>
          <c:orientation val="minMax"/>
        </c:scaling>
        <c:delete val="1"/>
        <c:axPos val="b"/>
        <c:numFmt formatCode="General" sourceLinked="1"/>
        <c:majorTickMark val="out"/>
        <c:minorTickMark val="none"/>
        <c:tickLblPos val="none"/>
        <c:crossAx val="141653504"/>
        <c:crosses val="autoZero"/>
        <c:auto val="1"/>
        <c:lblAlgn val="ctr"/>
        <c:lblOffset val="100"/>
        <c:noMultiLvlLbl val="0"/>
      </c:catAx>
      <c:spPr>
        <a:noFill/>
      </c:spPr>
    </c:plotArea>
    <c:legend>
      <c:legendPos val="t"/>
      <c:layout>
        <c:manualLayout>
          <c:xMode val="edge"/>
          <c:yMode val="edge"/>
          <c:x val="9.5441464079075236E-2"/>
          <c:y val="2.7777777777777891E-2"/>
          <c:w val="0.81324811033450994"/>
          <c:h val="0.14390237678623549"/>
        </c:manualLayout>
      </c:layout>
      <c:overlay val="0"/>
      <c:spPr>
        <a:noFill/>
      </c:spPr>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'GRAF1-2'!$A$8</c:f>
              <c:strCache>
                <c:ptCount val="1"/>
                <c:pt idx="0">
                  <c:v>Institucionální</c:v>
                </c:pt>
              </c:strCache>
            </c:strRef>
          </c:tx>
          <c:spPr>
            <a:solidFill>
              <a:schemeClr val="accent5">
                <a:lumMod val="40000"/>
                <a:lumOff val="60000"/>
              </a:schemeClr>
            </a:solidFill>
            <a:ln>
              <a:noFill/>
            </a:ln>
            <a:effectLst/>
          </c:spPr>
          <c:invertIfNegative val="0"/>
          <c:cat>
            <c:strRef>
              <c:f>'GRAF1-2'!$B$7:$R$7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'GRAF1-2'!$B$8:$R$8</c:f>
              <c:numCache>
                <c:formatCode>#,##0.0</c:formatCode>
                <c:ptCount val="17"/>
                <c:pt idx="0">
                  <c:v>6.4558239999999971</c:v>
                </c:pt>
                <c:pt idx="1">
                  <c:v>6.9897310000000115</c:v>
                </c:pt>
                <c:pt idx="2">
                  <c:v>7.1280489999999963</c:v>
                </c:pt>
                <c:pt idx="3">
                  <c:v>7.6714340000000005</c:v>
                </c:pt>
                <c:pt idx="4">
                  <c:v>7.7702130000000054</c:v>
                </c:pt>
                <c:pt idx="5">
                  <c:v>9.3470840099999926</c:v>
                </c:pt>
                <c:pt idx="6">
                  <c:v>9.8633000100000103</c:v>
                </c:pt>
                <c:pt idx="7">
                  <c:v>11.321539000000005</c:v>
                </c:pt>
                <c:pt idx="8">
                  <c:v>11.041636000000009</c:v>
                </c:pt>
                <c:pt idx="9">
                  <c:v>11.815813</c:v>
                </c:pt>
                <c:pt idx="10">
                  <c:v>11.588380000000004</c:v>
                </c:pt>
                <c:pt idx="11">
                  <c:v>11.672818259999996</c:v>
                </c:pt>
                <c:pt idx="12">
                  <c:v>12.449922553099999</c:v>
                </c:pt>
                <c:pt idx="13">
                  <c:v>13.143822395030012</c:v>
                </c:pt>
                <c:pt idx="14">
                  <c:v>13.101334169199999</c:v>
                </c:pt>
                <c:pt idx="15">
                  <c:v>13.46626582753</c:v>
                </c:pt>
                <c:pt idx="16">
                  <c:v>13.987215606471185</c:v>
                </c:pt>
              </c:numCache>
            </c:numRef>
          </c:val>
          <c:extLst xmlns:c16r2="http://schemas.microsoft.com/office/drawing/2015/06/chart">
            <c:ext xmlns:c16="http://schemas.microsoft.com/office/drawing/2014/chart" uri="{C3380CC4-5D6E-409C-BE32-E72D297353CC}">
              <c16:uniqueId val="{00000000-8E3B-42A3-8286-8D80F34EF7BC}"/>
            </c:ext>
          </c:extLst>
        </c:ser>
        <c:dLbls>
          <c:showLegendKey val="0"/>
          <c:showVal val="0"/>
          <c:showCatName val="0"/>
          <c:showSerName val="0"/>
          <c:showPercent val="0"/>
          <c:showBubbleSize val="0"/>
        </c:dLbls>
        <c:gapWidth val="114"/>
        <c:overlap val="39"/>
        <c:axId val="141686272"/>
        <c:axId val="141687808"/>
      </c:barChart>
      <c:barChart>
        <c:barDir val="col"/>
        <c:grouping val="clustered"/>
        <c:varyColors val="0"/>
        <c:ser>
          <c:idx val="1"/>
          <c:order val="1"/>
          <c:tx>
            <c:strRef>
              <c:f>'GRAF1-2'!$A$9</c:f>
              <c:strCache>
                <c:ptCount val="1"/>
                <c:pt idx="0">
                  <c:v>Účelové</c:v>
                </c:pt>
              </c:strCache>
            </c:strRef>
          </c:tx>
          <c:spPr>
            <a:solidFill>
              <a:schemeClr val="accent5">
                <a:lumMod val="50000"/>
              </a:schemeClr>
            </a:solidFill>
            <a:ln>
              <a:noFill/>
            </a:ln>
            <a:effectLst/>
          </c:spPr>
          <c:invertIfNegative val="0"/>
          <c:cat>
            <c:strRef>
              <c:f>'GRAF1-2'!$B$7:$R$7</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'GRAF1-2'!$B$9:$R$9</c:f>
              <c:numCache>
                <c:formatCode>#,##0.0</c:formatCode>
                <c:ptCount val="17"/>
                <c:pt idx="0">
                  <c:v>5.4048799999999844</c:v>
                </c:pt>
                <c:pt idx="1">
                  <c:v>5.5852500000000465</c:v>
                </c:pt>
                <c:pt idx="2">
                  <c:v>5.1390260000000101</c:v>
                </c:pt>
                <c:pt idx="3">
                  <c:v>5.7525149999999812</c:v>
                </c:pt>
                <c:pt idx="4">
                  <c:v>6.3912399999999803</c:v>
                </c:pt>
                <c:pt idx="5">
                  <c:v>7.09401200000001</c:v>
                </c:pt>
                <c:pt idx="6">
                  <c:v>8.4443979999999836</c:v>
                </c:pt>
                <c:pt idx="7">
                  <c:v>9.1542630000000056</c:v>
                </c:pt>
                <c:pt idx="8">
                  <c:v>9.4479379999999491</c:v>
                </c:pt>
                <c:pt idx="9">
                  <c:v>11.189353999999978</c:v>
                </c:pt>
                <c:pt idx="10">
                  <c:v>11.013745000000064</c:v>
                </c:pt>
                <c:pt idx="11">
                  <c:v>14.161721999999992</c:v>
                </c:pt>
                <c:pt idx="12">
                  <c:v>13.700979999999948</c:v>
                </c:pt>
                <c:pt idx="13">
                  <c:v>13.561315999999993</c:v>
                </c:pt>
                <c:pt idx="14">
                  <c:v>14.1827679408</c:v>
                </c:pt>
                <c:pt idx="15">
                  <c:v>14.363512535130001</c:v>
                </c:pt>
                <c:pt idx="16">
                  <c:v>13.997135633511695</c:v>
                </c:pt>
              </c:numCache>
            </c:numRef>
          </c:val>
          <c:extLst xmlns:c16r2="http://schemas.microsoft.com/office/drawing/2015/06/chart">
            <c:ext xmlns:c16="http://schemas.microsoft.com/office/drawing/2014/chart" uri="{C3380CC4-5D6E-409C-BE32-E72D297353CC}">
              <c16:uniqueId val="{00000001-8E3B-42A3-8286-8D80F34EF7BC}"/>
            </c:ext>
          </c:extLst>
        </c:ser>
        <c:dLbls>
          <c:showLegendKey val="0"/>
          <c:showVal val="0"/>
          <c:showCatName val="0"/>
          <c:showSerName val="0"/>
          <c:showPercent val="0"/>
          <c:showBubbleSize val="0"/>
        </c:dLbls>
        <c:gapWidth val="314"/>
        <c:overlap val="39"/>
        <c:axId val="141957376"/>
        <c:axId val="141955840"/>
      </c:barChart>
      <c:catAx>
        <c:axId val="14168627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1687808"/>
        <c:crosses val="autoZero"/>
        <c:auto val="1"/>
        <c:lblAlgn val="ctr"/>
        <c:lblOffset val="100"/>
        <c:noMultiLvlLbl val="0"/>
      </c:catAx>
      <c:valAx>
        <c:axId val="141687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1686272"/>
        <c:crosses val="autoZero"/>
        <c:crossBetween val="between"/>
      </c:valAx>
      <c:valAx>
        <c:axId val="141955840"/>
        <c:scaling>
          <c:orientation val="minMax"/>
        </c:scaling>
        <c:delete val="1"/>
        <c:axPos val="r"/>
        <c:numFmt formatCode="#,##0.0" sourceLinked="1"/>
        <c:majorTickMark val="out"/>
        <c:minorTickMark val="none"/>
        <c:tickLblPos val="nextTo"/>
        <c:crossAx val="141957376"/>
        <c:crosses val="max"/>
        <c:crossBetween val="between"/>
      </c:valAx>
      <c:catAx>
        <c:axId val="141957376"/>
        <c:scaling>
          <c:orientation val="minMax"/>
        </c:scaling>
        <c:delete val="1"/>
        <c:axPos val="b"/>
        <c:numFmt formatCode="General" sourceLinked="1"/>
        <c:majorTickMark val="out"/>
        <c:minorTickMark val="none"/>
        <c:tickLblPos val="nextTo"/>
        <c:crossAx val="1419558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'GRAF1-3'!$E$74</c:f>
              <c:strCache>
                <c:ptCount val="1"/>
                <c:pt idx="0">
                  <c:v>Institucionální</c:v>
                </c:pt>
              </c:strCache>
            </c:strRef>
          </c:tx>
          <c:spPr>
            <a:solidFill>
              <a:schemeClr val="accent5">
                <a:lumMod val="50000"/>
              </a:schemeClr>
            </a:solidFill>
            <a:ln>
              <a:noFill/>
            </a:ln>
            <a:effectLst/>
          </c:spPr>
          <c:invertIfNegative val="0"/>
          <c:cat>
            <c:strRef>
              <c:f>'GRAF1-3'!$D$75:$D$85</c:f>
              <c:strCache>
                <c:ptCount val="11"/>
                <c:pt idx="0">
                  <c:v>Úřad vlády ČR</c:v>
                </c:pt>
                <c:pt idx="1">
                  <c:v>Ministerstvo vnitra</c:v>
                </c:pt>
                <c:pt idx="2">
                  <c:v>Ministerstvo kultury</c:v>
                </c:pt>
                <c:pt idx="3">
                  <c:v>Ministerstvo obrany</c:v>
                </c:pt>
                <c:pt idx="4">
                  <c:v>Ministerstvo průmyslu a obchodu</c:v>
                </c:pt>
                <c:pt idx="5">
                  <c:v>Ministerstvo zemědělství</c:v>
                </c:pt>
                <c:pt idx="6">
                  <c:v>Ministerstvo zdravotnictví</c:v>
                </c:pt>
                <c:pt idx="7">
                  <c:v>Technologická agentura</c:v>
                </c:pt>
                <c:pt idx="8">
                  <c:v>Grantová agentura ČR</c:v>
                </c:pt>
                <c:pt idx="9">
                  <c:v>Akademie věd ČR</c:v>
                </c:pt>
                <c:pt idx="10">
                  <c:v>Ministerstvo školství, mládeže a tělovýchovy</c:v>
                </c:pt>
              </c:strCache>
            </c:strRef>
          </c:cat>
          <c:val>
            <c:numRef>
              <c:f>'GRAF1-3'!$E$75:$E$85</c:f>
              <c:numCache>
                <c:formatCode>#,##0.0</c:formatCode>
                <c:ptCount val="11"/>
                <c:pt idx="0">
                  <c:v>6.2486E-2</c:v>
                </c:pt>
                <c:pt idx="1">
                  <c:v>5.401214338118001E-2</c:v>
                </c:pt>
                <c:pt idx="2">
                  <c:v>9.8885000000000001E-2</c:v>
                </c:pt>
                <c:pt idx="3">
                  <c:v>9.884399999999996E-2</c:v>
                </c:pt>
                <c:pt idx="4">
                  <c:v>0.21473999999999999</c:v>
                </c:pt>
                <c:pt idx="5">
                  <c:v>0.39404799999999995</c:v>
                </c:pt>
                <c:pt idx="6">
                  <c:v>0.49033700000000002</c:v>
                </c:pt>
                <c:pt idx="7">
                  <c:v>0.11196025999999999</c:v>
                </c:pt>
                <c:pt idx="8">
                  <c:v>8.5581739999999989E-2</c:v>
                </c:pt>
                <c:pt idx="9">
                  <c:v>4.7736140199999983</c:v>
                </c:pt>
                <c:pt idx="10">
                  <c:v>7.6027074430900008</c:v>
                </c:pt>
              </c:numCache>
            </c:numRef>
          </c:val>
          <c:extLst xmlns:c16r2="http://schemas.microsoft.com/office/drawing/2015/06/chart">
            <c:ext xmlns:c16="http://schemas.microsoft.com/office/drawing/2014/chart" uri="{C3380CC4-5D6E-409C-BE32-E72D297353CC}">
              <c16:uniqueId val="{00000000-9DD6-480A-9D31-38C201B6010E}"/>
            </c:ext>
          </c:extLst>
        </c:ser>
        <c:ser>
          <c:idx val="1"/>
          <c:order val="1"/>
          <c:tx>
            <c:strRef>
              <c:f>'GRAF1-3'!$F$74</c:f>
              <c:strCache>
                <c:ptCount val="1"/>
                <c:pt idx="0">
                  <c:v>Účelová</c:v>
                </c:pt>
              </c:strCache>
            </c:strRef>
          </c:tx>
          <c:spPr>
            <a:solidFill>
              <a:schemeClr val="accent5"/>
            </a:solidFill>
            <a:ln>
              <a:noFill/>
            </a:ln>
            <a:effectLst/>
          </c:spPr>
          <c:invertIfNegative val="0"/>
          <c:cat>
            <c:strRef>
              <c:f>'GRAF1-3'!$D$75:$D$85</c:f>
              <c:strCache>
                <c:ptCount val="11"/>
                <c:pt idx="0">
                  <c:v>Úřad vlády ČR</c:v>
                </c:pt>
                <c:pt idx="1">
                  <c:v>Ministerstvo vnitra</c:v>
                </c:pt>
                <c:pt idx="2">
                  <c:v>Ministerstvo kultury</c:v>
                </c:pt>
                <c:pt idx="3">
                  <c:v>Ministerstvo obrany</c:v>
                </c:pt>
                <c:pt idx="4">
                  <c:v>Ministerstvo průmyslu a obchodu</c:v>
                </c:pt>
                <c:pt idx="5">
                  <c:v>Ministerstvo zemědělství</c:v>
                </c:pt>
                <c:pt idx="6">
                  <c:v>Ministerstvo zdravotnictví</c:v>
                </c:pt>
                <c:pt idx="7">
                  <c:v>Technologická agentura</c:v>
                </c:pt>
                <c:pt idx="8">
                  <c:v>Grantová agentura ČR</c:v>
                </c:pt>
                <c:pt idx="9">
                  <c:v>Akademie věd ČR</c:v>
                </c:pt>
                <c:pt idx="10">
                  <c:v>Ministerstvo školství, mládeže a tělovýchovy</c:v>
                </c:pt>
              </c:strCache>
            </c:strRef>
          </c:cat>
          <c:val>
            <c:numRef>
              <c:f>'GRAF1-3'!$F$75:$F$85</c:f>
              <c:numCache>
                <c:formatCode>#,##0.0</c:formatCode>
                <c:ptCount val="11"/>
                <c:pt idx="0">
                  <c:v>0</c:v>
                </c:pt>
                <c:pt idx="1">
                  <c:v>0.31223885661881989</c:v>
                </c:pt>
                <c:pt idx="2">
                  <c:v>0.27580700000000008</c:v>
                </c:pt>
                <c:pt idx="3">
                  <c:v>0.29820800000000003</c:v>
                </c:pt>
                <c:pt idx="4">
                  <c:v>0.31340792625000008</c:v>
                </c:pt>
                <c:pt idx="5">
                  <c:v>0.46396599999999988</c:v>
                </c:pt>
                <c:pt idx="6">
                  <c:v>0.70008800000000015</c:v>
                </c:pt>
                <c:pt idx="7">
                  <c:v>2.7296649999999998</c:v>
                </c:pt>
                <c:pt idx="8">
                  <c:v>3.8406160000028722</c:v>
                </c:pt>
                <c:pt idx="9">
                  <c:v>0</c:v>
                </c:pt>
                <c:pt idx="10">
                  <c:v>5.0631388506400006</c:v>
                </c:pt>
              </c:numCache>
            </c:numRef>
          </c:val>
          <c:extLst xmlns:c16r2="http://schemas.microsoft.com/office/drawing/2015/06/chart">
            <c:ext xmlns:c16="http://schemas.microsoft.com/office/drawing/2014/chart" uri="{C3380CC4-5D6E-409C-BE32-E72D297353CC}">
              <c16:uniqueId val="{00000001-9DD6-480A-9D31-38C201B6010E}"/>
            </c:ext>
          </c:extLst>
        </c:ser>
        <c:dLbls>
          <c:showLegendKey val="0"/>
          <c:showVal val="0"/>
          <c:showCatName val="0"/>
          <c:showSerName val="0"/>
          <c:showPercent val="0"/>
          <c:showBubbleSize val="0"/>
        </c:dLbls>
        <c:gapWidth val="151"/>
        <c:overlap val="100"/>
        <c:axId val="141991296"/>
        <c:axId val="141997184"/>
      </c:barChart>
      <c:catAx>
        <c:axId val="14199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1997184"/>
        <c:crosses val="autoZero"/>
        <c:auto val="1"/>
        <c:lblAlgn val="ctr"/>
        <c:lblOffset val="100"/>
        <c:noMultiLvlLbl val="0"/>
      </c:catAx>
      <c:valAx>
        <c:axId val="141997184"/>
        <c:scaling>
          <c:orientation val="minMax"/>
          <c:max val="13"/>
        </c:scaling>
        <c:delete val="0"/>
        <c:axPos val="b"/>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41991296"/>
        <c:crosses val="autoZero"/>
        <c:crossBetween val="between"/>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5604901960785"/>
          <c:y val="0.10452383812447359"/>
          <c:w val="0.56502321268415734"/>
          <c:h val="0.8015356275165898"/>
        </c:manualLayout>
      </c:layout>
      <c:barChart>
        <c:barDir val="bar"/>
        <c:grouping val="stacked"/>
        <c:varyColors val="0"/>
        <c:ser>
          <c:idx val="0"/>
          <c:order val="0"/>
          <c:tx>
            <c:strRef>
              <c:f>'GRAF1-4'!$I$63</c:f>
              <c:strCache>
                <c:ptCount val="1"/>
                <c:pt idx="0">
                  <c:v>Institucionální</c:v>
                </c:pt>
              </c:strCache>
            </c:strRef>
          </c:tx>
          <c:spPr>
            <a:solidFill>
              <a:schemeClr val="accent5">
                <a:lumMod val="50000"/>
              </a:schemeClr>
            </a:solidFill>
          </c:spPr>
          <c:invertIfNegative val="0"/>
          <c:cat>
            <c:strRef>
              <c:f>'GRAF1-4'!$H$64:$H$71</c:f>
              <c:strCache>
                <c:ptCount val="8"/>
                <c:pt idx="0">
                  <c:v>Ostatní (0,6%)</c:v>
                </c:pt>
                <c:pt idx="1">
                  <c:v>Veřejné podniky (2,8%)</c:v>
                </c:pt>
                <c:pt idx="2">
                  <c:v>Zahraniční subjekty (3,3%)</c:v>
                </c:pt>
                <c:pt idx="3">
                  <c:v>Ostatní vládní a veřejné organizace (3,6%)</c:v>
                </c:pt>
                <c:pt idx="4">
                  <c:v>Fakultní nemocnice a ostatní veřejná zdravotnická zařízení (3,7%)</c:v>
                </c:pt>
                <c:pt idx="5">
                  <c:v>Soukromé podniky (9,2%)</c:v>
                </c:pt>
                <c:pt idx="6">
                  <c:v>Veřejné výzkumné instituce (32,9%)</c:v>
                </c:pt>
                <c:pt idx="7">
                  <c:v>Veřejné a státní vysoké školy (44%)</c:v>
                </c:pt>
              </c:strCache>
            </c:strRef>
          </c:cat>
          <c:val>
            <c:numRef>
              <c:f>'GRAF1-4'!$I$64:$I$71</c:f>
              <c:numCache>
                <c:formatCode>#,##0</c:formatCode>
                <c:ptCount val="8"/>
                <c:pt idx="0">
                  <c:v>2.1197000000000115E-2</c:v>
                </c:pt>
                <c:pt idx="1">
                  <c:v>8.3782999999999996E-2</c:v>
                </c:pt>
                <c:pt idx="2">
                  <c:v>0.83010490356000011</c:v>
                </c:pt>
                <c:pt idx="3">
                  <c:v>0.48191714338117997</c:v>
                </c:pt>
                <c:pt idx="4">
                  <c:v>0.46206399999999997</c:v>
                </c:pt>
                <c:pt idx="5">
                  <c:v>0.21989299999999998</c:v>
                </c:pt>
                <c:pt idx="6">
                  <c:v>5.08697702</c:v>
                </c:pt>
                <c:pt idx="7">
                  <c:v>6.8012795395300003</c:v>
                </c:pt>
              </c:numCache>
            </c:numRef>
          </c:val>
          <c:extLst xmlns:c16r2="http://schemas.microsoft.com/office/drawing/2015/06/chart">
            <c:ext xmlns:c16="http://schemas.microsoft.com/office/drawing/2014/chart" uri="{C3380CC4-5D6E-409C-BE32-E72D297353CC}">
              <c16:uniqueId val="{00000000-7BC4-4255-96C3-589A0613EDA4}"/>
            </c:ext>
          </c:extLst>
        </c:ser>
        <c:ser>
          <c:idx val="1"/>
          <c:order val="1"/>
          <c:tx>
            <c:strRef>
              <c:f>'GRAF1-4'!$J$63</c:f>
              <c:strCache>
                <c:ptCount val="1"/>
                <c:pt idx="0">
                  <c:v>Účelová</c:v>
                </c:pt>
              </c:strCache>
            </c:strRef>
          </c:tx>
          <c:spPr>
            <a:solidFill>
              <a:schemeClr val="accent5"/>
            </a:solidFill>
          </c:spPr>
          <c:invertIfNegative val="0"/>
          <c:cat>
            <c:strRef>
              <c:f>'GRAF1-4'!$H$64:$H$71</c:f>
              <c:strCache>
                <c:ptCount val="8"/>
                <c:pt idx="0">
                  <c:v>Ostatní (0,6%)</c:v>
                </c:pt>
                <c:pt idx="1">
                  <c:v>Veřejné podniky (2,8%)</c:v>
                </c:pt>
                <c:pt idx="2">
                  <c:v>Zahraniční subjekty (3,3%)</c:v>
                </c:pt>
                <c:pt idx="3">
                  <c:v>Ostatní vládní a veřejné organizace (3,6%)</c:v>
                </c:pt>
                <c:pt idx="4">
                  <c:v>Fakultní nemocnice a ostatní veřejná zdravotnická zařízení (3,7%)</c:v>
                </c:pt>
                <c:pt idx="5">
                  <c:v>Soukromé podniky (9,2%)</c:v>
                </c:pt>
                <c:pt idx="6">
                  <c:v>Veřejné výzkumné instituce (32,9%)</c:v>
                </c:pt>
                <c:pt idx="7">
                  <c:v>Veřejné a státní vysoké školy (44%)</c:v>
                </c:pt>
              </c:strCache>
            </c:strRef>
          </c:cat>
          <c:val>
            <c:numRef>
              <c:f>'GRAF1-4'!$J$64:$J$71</c:f>
              <c:numCache>
                <c:formatCode>#,##0</c:formatCode>
                <c:ptCount val="8"/>
                <c:pt idx="0">
                  <c:v>0.14226338370597386</c:v>
                </c:pt>
                <c:pt idx="1">
                  <c:v>0.69584163566410207</c:v>
                </c:pt>
                <c:pt idx="2">
                  <c:v>0.100046</c:v>
                </c:pt>
                <c:pt idx="3">
                  <c:v>0.5207877853008015</c:v>
                </c:pt>
                <c:pt idx="4">
                  <c:v>0.57482131124898173</c:v>
                </c:pt>
                <c:pt idx="5">
                  <c:v>2.3457188871684149</c:v>
                </c:pt>
                <c:pt idx="6">
                  <c:v>4.1059911795755326</c:v>
                </c:pt>
                <c:pt idx="7">
                  <c:v>5.5116654508478886</c:v>
                </c:pt>
              </c:numCache>
            </c:numRef>
          </c:val>
          <c:extLst xmlns:c16r2="http://schemas.microsoft.com/office/drawing/2015/06/chart">
            <c:ext xmlns:c16="http://schemas.microsoft.com/office/drawing/2014/chart" uri="{C3380CC4-5D6E-409C-BE32-E72D297353CC}">
              <c16:uniqueId val="{00000001-7BC4-4255-96C3-589A0613EDA4}"/>
            </c:ext>
          </c:extLst>
        </c:ser>
        <c:dLbls>
          <c:showLegendKey val="0"/>
          <c:showVal val="0"/>
          <c:showCatName val="0"/>
          <c:showSerName val="0"/>
          <c:showPercent val="0"/>
          <c:showBubbleSize val="0"/>
        </c:dLbls>
        <c:gapWidth val="100"/>
        <c:overlap val="100"/>
        <c:axId val="142010624"/>
        <c:axId val="142151680"/>
      </c:barChart>
      <c:catAx>
        <c:axId val="142010624"/>
        <c:scaling>
          <c:orientation val="minMax"/>
        </c:scaling>
        <c:delete val="0"/>
        <c:axPos val="l"/>
        <c:majorGridlines>
          <c:spPr>
            <a:ln>
              <a:solidFill>
                <a:schemeClr val="bg1">
                  <a:lumMod val="85000"/>
                </a:schemeClr>
              </a:solidFill>
            </a:ln>
          </c:spPr>
        </c:majorGridlines>
        <c:minorGridlines>
          <c:spPr>
            <a:ln>
              <a:solidFill>
                <a:schemeClr val="bg1"/>
              </a:solidFill>
            </a:ln>
          </c:spPr>
        </c:minorGridlines>
        <c:numFmt formatCode="General" sourceLinked="0"/>
        <c:majorTickMark val="out"/>
        <c:minorTickMark val="none"/>
        <c:tickLblPos val="nextTo"/>
        <c:crossAx val="142151680"/>
        <c:crosses val="autoZero"/>
        <c:auto val="1"/>
        <c:lblAlgn val="ctr"/>
        <c:lblOffset val="100"/>
        <c:noMultiLvlLbl val="0"/>
      </c:catAx>
      <c:valAx>
        <c:axId val="142151680"/>
        <c:scaling>
          <c:orientation val="minMax"/>
          <c:max val="14"/>
          <c:min val="0"/>
        </c:scaling>
        <c:delete val="0"/>
        <c:axPos val="b"/>
        <c:majorGridlines>
          <c:spPr>
            <a:ln>
              <a:solidFill>
                <a:schemeClr val="bg1">
                  <a:lumMod val="85000"/>
                </a:schemeClr>
              </a:solidFill>
            </a:ln>
          </c:spPr>
        </c:majorGridlines>
        <c:numFmt formatCode="#,##0" sourceLinked="0"/>
        <c:majorTickMark val="out"/>
        <c:minorTickMark val="none"/>
        <c:tickLblPos val="nextTo"/>
        <c:crossAx val="142010624"/>
        <c:crosses val="autoZero"/>
        <c:crossBetween val="between"/>
        <c:majorUnit val="1"/>
      </c:valAx>
      <c:spPr>
        <a:solidFill>
          <a:schemeClr val="bg1"/>
        </a:solidFill>
      </c:spPr>
    </c:plotArea>
    <c:legend>
      <c:legendPos val="t"/>
      <c:overlay val="0"/>
      <c:spPr>
        <a:noFill/>
      </c:spPr>
    </c:legend>
    <c:plotVisOnly val="1"/>
    <c:dispBlanksAs val="zero"/>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280312091503268"/>
          <c:y val="2.5950051698083194E-2"/>
          <c:w val="0.57272794117647063"/>
          <c:h val="0.93900128555359141"/>
        </c:manualLayout>
      </c:layout>
      <c:barChart>
        <c:barDir val="bar"/>
        <c:grouping val="clustered"/>
        <c:varyColors val="0"/>
        <c:ser>
          <c:idx val="0"/>
          <c:order val="0"/>
          <c:spPr>
            <a:solidFill>
              <a:schemeClr val="accent5">
                <a:lumMod val="75000"/>
              </a:schemeClr>
            </a:solidFill>
          </c:spPr>
          <c:invertIfNegative val="0"/>
          <c:dPt>
            <c:idx val="0"/>
            <c:invertIfNegative val="0"/>
            <c:bubble3D val="0"/>
            <c:spPr>
              <a:solidFill>
                <a:schemeClr val="accent5">
                  <a:lumMod val="40000"/>
                  <a:lumOff val="60000"/>
                </a:schemeClr>
              </a:solidFill>
            </c:spPr>
            <c:extLst xmlns:c16r2="http://schemas.microsoft.com/office/drawing/2015/06/chart">
              <c:ext xmlns:c16="http://schemas.microsoft.com/office/drawing/2014/chart" uri="{C3380CC4-5D6E-409C-BE32-E72D297353CC}">
                <c16:uniqueId val="{00000001-A881-44F1-B02A-F4D754ABD514}"/>
              </c:ext>
            </c:extLst>
          </c:dPt>
          <c:dLbls>
            <c:dLbl>
              <c:idx val="14"/>
              <c:layout>
                <c:manualLayout>
                  <c:x val="-7.0973044049967127E-2"/>
                  <c:y val="0"/>
                </c:manualLayout>
              </c:layout>
              <c:spPr/>
              <c:txPr>
                <a:bodyPr/>
                <a:lstStyle/>
                <a:p>
                  <a:pPr>
                    <a:defRPr>
                      <a:solidFill>
                        <a:schemeClr val="bg1"/>
                      </a:solidFill>
                    </a:defRPr>
                  </a:pPr>
                  <a:endParaRPr lang="cs-CZ"/>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881-44F1-B02A-F4D754ABD51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'GRAF1-5'!$A$21:$A$35</c:f>
              <c:strCache>
                <c:ptCount val="15"/>
                <c:pt idx="0">
                  <c:v>Neurčeno (3,3%)</c:v>
                </c:pt>
                <c:pt idx="1">
                  <c:v>Karlovarský kraj (0,01%)</c:v>
                </c:pt>
                <c:pt idx="2">
                  <c:v>Kraj Vysočina (0,4%)</c:v>
                </c:pt>
                <c:pt idx="3">
                  <c:v>Ústecký kraj (0,7%)</c:v>
                </c:pt>
                <c:pt idx="4">
                  <c:v>Královéhradecký kraj (1%)</c:v>
                </c:pt>
                <c:pt idx="5">
                  <c:v>Zlínský kraj (1,1%)</c:v>
                </c:pt>
                <c:pt idx="6">
                  <c:v>Pardubický kraj (1,5%)</c:v>
                </c:pt>
                <c:pt idx="7">
                  <c:v>Liberecký kraj (1,6%)</c:v>
                </c:pt>
                <c:pt idx="8">
                  <c:v>Plzeňský kraj (2,7%)</c:v>
                </c:pt>
                <c:pt idx="9">
                  <c:v>Jihočeský kraj (2,8%)</c:v>
                </c:pt>
                <c:pt idx="10">
                  <c:v>Moravskoslezský kraj (3,8%)</c:v>
                </c:pt>
                <c:pt idx="11">
                  <c:v>Olomoucký kraj (4%)</c:v>
                </c:pt>
                <c:pt idx="12">
                  <c:v>Středočeský kraj (5,8%)</c:v>
                </c:pt>
                <c:pt idx="13">
                  <c:v>Jihomoravský kraj (18,1%)</c:v>
                </c:pt>
                <c:pt idx="14">
                  <c:v>Praha (53%)</c:v>
                </c:pt>
              </c:strCache>
            </c:strRef>
          </c:cat>
          <c:val>
            <c:numRef>
              <c:f>'GRAF1-5'!$D$21:$D$35</c:f>
              <c:numCache>
                <c:formatCode>#,##0</c:formatCode>
                <c:ptCount val="15"/>
                <c:pt idx="0">
                  <c:v>930.75890356000014</c:v>
                </c:pt>
                <c:pt idx="1">
                  <c:v>2.831</c:v>
                </c:pt>
                <c:pt idx="2">
                  <c:v>101.2476402831403</c:v>
                </c:pt>
                <c:pt idx="3">
                  <c:v>199.22165025467837</c:v>
                </c:pt>
                <c:pt idx="4">
                  <c:v>276.90962970742686</c:v>
                </c:pt>
                <c:pt idx="5">
                  <c:v>320.71967843964148</c:v>
                </c:pt>
                <c:pt idx="6">
                  <c:v>431.22852429559566</c:v>
                </c:pt>
                <c:pt idx="7">
                  <c:v>459.56683909146096</c:v>
                </c:pt>
                <c:pt idx="8">
                  <c:v>764.87916361234579</c:v>
                </c:pt>
                <c:pt idx="9">
                  <c:v>784.00487813138295</c:v>
                </c:pt>
                <c:pt idx="10">
                  <c:v>1062.2555921781504</c:v>
                </c:pt>
                <c:pt idx="11">
                  <c:v>1130.3242051612071</c:v>
                </c:pt>
                <c:pt idx="12">
                  <c:v>1617.0378234290117</c:v>
                </c:pt>
                <c:pt idx="13">
                  <c:v>5061.1797274072887</c:v>
                </c:pt>
                <c:pt idx="14">
                  <c:v>14842.18598443152</c:v>
                </c:pt>
              </c:numCache>
            </c:numRef>
          </c:val>
          <c:extLst xmlns:c16r2="http://schemas.microsoft.com/office/drawing/2015/06/chart">
            <c:ext xmlns:c16="http://schemas.microsoft.com/office/drawing/2014/chart" uri="{C3380CC4-5D6E-409C-BE32-E72D297353CC}">
              <c16:uniqueId val="{00000003-A881-44F1-B02A-F4D754ABD514}"/>
            </c:ext>
          </c:extLst>
        </c:ser>
        <c:dLbls>
          <c:showLegendKey val="0"/>
          <c:showVal val="0"/>
          <c:showCatName val="0"/>
          <c:showSerName val="0"/>
          <c:showPercent val="0"/>
          <c:showBubbleSize val="0"/>
        </c:dLbls>
        <c:gapWidth val="60"/>
        <c:axId val="142169984"/>
        <c:axId val="142171520"/>
      </c:barChart>
      <c:catAx>
        <c:axId val="142169984"/>
        <c:scaling>
          <c:orientation val="minMax"/>
        </c:scaling>
        <c:delete val="0"/>
        <c:axPos val="l"/>
        <c:minorGridlines>
          <c:spPr>
            <a:ln>
              <a:solidFill>
                <a:schemeClr val="bg1"/>
              </a:solidFill>
            </a:ln>
          </c:spPr>
        </c:minorGridlines>
        <c:numFmt formatCode="General" sourceLinked="0"/>
        <c:majorTickMark val="out"/>
        <c:minorTickMark val="none"/>
        <c:tickLblPos val="nextTo"/>
        <c:crossAx val="142171520"/>
        <c:crosses val="autoZero"/>
        <c:auto val="1"/>
        <c:lblAlgn val="ctr"/>
        <c:lblOffset val="100"/>
        <c:noMultiLvlLbl val="0"/>
      </c:catAx>
      <c:valAx>
        <c:axId val="142171520"/>
        <c:scaling>
          <c:orientation val="minMax"/>
          <c:max val="15000"/>
          <c:min val="0"/>
        </c:scaling>
        <c:delete val="1"/>
        <c:axPos val="b"/>
        <c:majorGridlines>
          <c:spPr>
            <a:ln>
              <a:solidFill>
                <a:schemeClr val="bg1"/>
              </a:solidFill>
            </a:ln>
          </c:spPr>
        </c:majorGridlines>
        <c:numFmt formatCode="#,##0" sourceLinked="0"/>
        <c:majorTickMark val="out"/>
        <c:minorTickMark val="none"/>
        <c:tickLblPos val="nextTo"/>
        <c:crossAx val="142169984"/>
        <c:crosses val="autoZero"/>
        <c:crossBetween val="between"/>
        <c:majorUnit val="2000"/>
        <c:minorUnit val="1000"/>
      </c:valAx>
      <c:spPr>
        <a:solidFill>
          <a:schemeClr val="bg1"/>
        </a:solidFill>
      </c:spPr>
    </c:plotArea>
    <c:plotVisOnly val="1"/>
    <c:dispBlanksAs val="zero"/>
    <c:showDLblsOverMax val="0"/>
  </c:chart>
  <c:spPr>
    <a:ln>
      <a:noFill/>
    </a:ln>
  </c:spPr>
  <c:txPr>
    <a:bodyPr/>
    <a:lstStyle/>
    <a:p>
      <a:pPr>
        <a:defRPr sz="9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47951813725490317"/>
          <c:y val="4.5111943838345533E-2"/>
          <c:w val="0.49179656862745186"/>
          <c:h val="0.89676216677734344"/>
        </c:manualLayout>
      </c:layout>
      <c:barChart>
        <c:barDir val="bar"/>
        <c:grouping val="clustered"/>
        <c:varyColors val="0"/>
        <c:ser>
          <c:idx val="0"/>
          <c:order val="0"/>
          <c:tx>
            <c:strRef>
              <c:f>'GRF1-6'!$B$107</c:f>
              <c:strCache>
                <c:ptCount val="1"/>
                <c:pt idx="0">
                  <c:v>2015</c:v>
                </c:pt>
              </c:strCache>
            </c:strRef>
          </c:tx>
          <c:spPr>
            <a:solidFill>
              <a:schemeClr val="accent5">
                <a:lumMod val="40000"/>
                <a:lumOff val="60000"/>
              </a:schemeClr>
            </a:solidFill>
          </c:spPr>
          <c:invertIfNegative val="0"/>
          <c:cat>
            <c:strRef>
              <c:f>'GRF1-6'!$A$108:$A$120</c:f>
              <c:strCache>
                <c:ptCount val="13"/>
                <c:pt idx="0">
                  <c:v>Průzkum a využití vesmíru (0,7%)</c:v>
                </c:pt>
                <c:pt idx="1">
                  <c:v>Obrana (1,2%)</c:v>
                </c:pt>
                <c:pt idx="2">
                  <c:v>Průzkum a využití zdrojů Země (1,3%)</c:v>
                </c:pt>
                <c:pt idx="3">
                  <c:v>Ochrana životního prostředí  (2%)</c:v>
                </c:pt>
                <c:pt idx="4">
                  <c:v>Společenské struktury a vztahy (3%)</c:v>
                </c:pt>
                <c:pt idx="5">
                  <c:v>Výroba, distribuce a racionální využití energie (3,2%)</c:v>
                </c:pt>
                <c:pt idx="6">
                  <c:v>Infrastruktura a územní plánování (3,6%)</c:v>
                </c:pt>
                <c:pt idx="7">
                  <c:v>Zemědělská výroba a technologie (3,9%)</c:v>
                </c:pt>
                <c:pt idx="8">
                  <c:v>Ostatní civilní výzkum (4,1%)</c:v>
                </c:pt>
                <c:pt idx="9">
                  <c:v>Ochrana a zlepšování lidského zdraví (7%)</c:v>
                </c:pt>
                <c:pt idx="10">
                  <c:v>Průmyslová výroba a technologie (8,3%)</c:v>
                </c:pt>
                <c:pt idx="11">
                  <c:v>Všeobecný výzkum na vysokých školách (24,4%)</c:v>
                </c:pt>
                <c:pt idx="12">
                  <c:v>Neorientovaný výzkum (37,4%)</c:v>
                </c:pt>
              </c:strCache>
            </c:strRef>
          </c:cat>
          <c:val>
            <c:numRef>
              <c:f>'GRF1-6'!$B$108:$B$120</c:f>
              <c:numCache>
                <c:formatCode>#,##0</c:formatCode>
                <c:ptCount val="13"/>
                <c:pt idx="0">
                  <c:v>152.57099999999997</c:v>
                </c:pt>
                <c:pt idx="1">
                  <c:v>360.17142644617292</c:v>
                </c:pt>
                <c:pt idx="2">
                  <c:v>429.05470999999994</c:v>
                </c:pt>
                <c:pt idx="3">
                  <c:v>605.95361435941766</c:v>
                </c:pt>
                <c:pt idx="4">
                  <c:v>2094.645456249807</c:v>
                </c:pt>
                <c:pt idx="5">
                  <c:v>709.70058333030124</c:v>
                </c:pt>
                <c:pt idx="6">
                  <c:v>1046.2601208477054</c:v>
                </c:pt>
                <c:pt idx="7">
                  <c:v>1139.1158405334393</c:v>
                </c:pt>
                <c:pt idx="8">
                  <c:v>1150.3462900000002</c:v>
                </c:pt>
                <c:pt idx="9">
                  <c:v>1854.834123900074</c:v>
                </c:pt>
                <c:pt idx="10">
                  <c:v>2974.7855904701864</c:v>
                </c:pt>
                <c:pt idx="11">
                  <c:v>6296.0607895499988</c:v>
                </c:pt>
                <c:pt idx="12">
                  <c:v>9016.278816972932</c:v>
                </c:pt>
              </c:numCache>
            </c:numRef>
          </c:val>
          <c:extLst xmlns:c16r2="http://schemas.microsoft.com/office/drawing/2015/06/chart">
            <c:ext xmlns:c16="http://schemas.microsoft.com/office/drawing/2014/chart" uri="{C3380CC4-5D6E-409C-BE32-E72D297353CC}">
              <c16:uniqueId val="{00000000-F144-4BD0-B64D-B2C0E88C117F}"/>
            </c:ext>
          </c:extLst>
        </c:ser>
        <c:ser>
          <c:idx val="1"/>
          <c:order val="1"/>
          <c:tx>
            <c:strRef>
              <c:f>'GRF1-6'!$C$107</c:f>
              <c:strCache>
                <c:ptCount val="1"/>
                <c:pt idx="0">
                  <c:v>2016</c:v>
                </c:pt>
              </c:strCache>
            </c:strRef>
          </c:tx>
          <c:spPr>
            <a:solidFill>
              <a:schemeClr val="accent5">
                <a:lumMod val="75000"/>
              </a:schemeClr>
            </a:solidFill>
          </c:spPr>
          <c:invertIfNegative val="0"/>
          <c:cat>
            <c:strRef>
              <c:f>'GRF1-6'!$A$108:$A$120</c:f>
              <c:strCache>
                <c:ptCount val="13"/>
                <c:pt idx="0">
                  <c:v>Průzkum a využití vesmíru (0,7%)</c:v>
                </c:pt>
                <c:pt idx="1">
                  <c:v>Obrana (1,2%)</c:v>
                </c:pt>
                <c:pt idx="2">
                  <c:v>Průzkum a využití zdrojů Země (1,3%)</c:v>
                </c:pt>
                <c:pt idx="3">
                  <c:v>Ochrana životního prostředí  (2%)</c:v>
                </c:pt>
                <c:pt idx="4">
                  <c:v>Společenské struktury a vztahy (3%)</c:v>
                </c:pt>
                <c:pt idx="5">
                  <c:v>Výroba, distribuce a racionální využití energie (3,2%)</c:v>
                </c:pt>
                <c:pt idx="6">
                  <c:v>Infrastruktura a územní plánování (3,6%)</c:v>
                </c:pt>
                <c:pt idx="7">
                  <c:v>Zemědělská výroba a technologie (3,9%)</c:v>
                </c:pt>
                <c:pt idx="8">
                  <c:v>Ostatní civilní výzkum (4,1%)</c:v>
                </c:pt>
                <c:pt idx="9">
                  <c:v>Ochrana a zlepšování lidského zdraví (7%)</c:v>
                </c:pt>
                <c:pt idx="10">
                  <c:v>Průmyslová výroba a technologie (8,3%)</c:v>
                </c:pt>
                <c:pt idx="11">
                  <c:v>Všeobecný výzkum na vysokých školách (24,4%)</c:v>
                </c:pt>
                <c:pt idx="12">
                  <c:v>Neorientovaný výzkum (37,4%)</c:v>
                </c:pt>
              </c:strCache>
            </c:strRef>
          </c:cat>
          <c:val>
            <c:numRef>
              <c:f>'GRF1-6'!$C$108:$C$120</c:f>
              <c:numCache>
                <c:formatCode>#,##0</c:formatCode>
                <c:ptCount val="13"/>
                <c:pt idx="0">
                  <c:v>187.56594078536332</c:v>
                </c:pt>
                <c:pt idx="1">
                  <c:v>328.88975000000016</c:v>
                </c:pt>
                <c:pt idx="2">
                  <c:v>362.40634</c:v>
                </c:pt>
                <c:pt idx="3">
                  <c:v>565.13344574993585</c:v>
                </c:pt>
                <c:pt idx="4">
                  <c:v>850.21799999999962</c:v>
                </c:pt>
                <c:pt idx="5">
                  <c:v>886.24106697986952</c:v>
                </c:pt>
                <c:pt idx="6">
                  <c:v>1002.4573800000001</c:v>
                </c:pt>
                <c:pt idx="7">
                  <c:v>1100.4983299999994</c:v>
                </c:pt>
                <c:pt idx="8">
                  <c:v>1153.81390356</c:v>
                </c:pt>
                <c:pt idx="9">
                  <c:v>1953.6207408759756</c:v>
                </c:pt>
                <c:pt idx="10">
                  <c:v>2323.2895599598701</c:v>
                </c:pt>
                <c:pt idx="11">
                  <c:v>6814.9865395300003</c:v>
                </c:pt>
                <c:pt idx="12">
                  <c:v>10455.230242541862</c:v>
                </c:pt>
              </c:numCache>
            </c:numRef>
          </c:val>
          <c:extLst xmlns:c16r2="http://schemas.microsoft.com/office/drawing/2015/06/chart">
            <c:ext xmlns:c16="http://schemas.microsoft.com/office/drawing/2014/chart" uri="{C3380CC4-5D6E-409C-BE32-E72D297353CC}">
              <c16:uniqueId val="{00000001-F144-4BD0-B64D-B2C0E88C117F}"/>
            </c:ext>
          </c:extLst>
        </c:ser>
        <c:dLbls>
          <c:showLegendKey val="0"/>
          <c:showVal val="0"/>
          <c:showCatName val="0"/>
          <c:showSerName val="0"/>
          <c:showPercent val="0"/>
          <c:showBubbleSize val="0"/>
        </c:dLbls>
        <c:gapWidth val="100"/>
        <c:axId val="142193024"/>
        <c:axId val="142194560"/>
      </c:barChart>
      <c:catAx>
        <c:axId val="14219302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42194560"/>
        <c:crosses val="autoZero"/>
        <c:auto val="1"/>
        <c:lblAlgn val="ctr"/>
        <c:lblOffset val="100"/>
        <c:noMultiLvlLbl val="0"/>
      </c:catAx>
      <c:valAx>
        <c:axId val="14219456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42193024"/>
        <c:crosses val="autoZero"/>
        <c:crossBetween val="between"/>
      </c:valAx>
      <c:spPr>
        <a:solidFill>
          <a:schemeClr val="bg1"/>
        </a:solidFill>
        <a:ln>
          <a:solidFill>
            <a:schemeClr val="bg1">
              <a:lumMod val="85000"/>
            </a:schemeClr>
          </a:solidFill>
        </a:ln>
      </c:spPr>
    </c:plotArea>
    <c:legend>
      <c:legendPos val="r"/>
      <c:layout>
        <c:manualLayout>
          <c:xMode val="edge"/>
          <c:yMode val="edge"/>
          <c:x val="0.87315245098039262"/>
          <c:y val="0.68862420304444805"/>
          <c:w val="7.2489904827760687E-2"/>
          <c:h val="0.16594885676108118"/>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4408921568627452"/>
          <c:y val="0.10894128540763501"/>
          <c:w val="0.51966601553772296"/>
          <c:h val="0.87297276821415037"/>
        </c:manualLayout>
      </c:layout>
      <c:barChart>
        <c:barDir val="bar"/>
        <c:grouping val="percentStacked"/>
        <c:varyColors val="0"/>
        <c:ser>
          <c:idx val="0"/>
          <c:order val="0"/>
          <c:tx>
            <c:strRef>
              <c:f>'GRAF1-7'!$K$20</c:f>
              <c:strCache>
                <c:ptCount val="1"/>
                <c:pt idx="0">
                  <c:v>Institucionální</c:v>
                </c:pt>
              </c:strCache>
            </c:strRef>
          </c:tx>
          <c:spPr>
            <a:solidFill>
              <a:schemeClr val="accent5">
                <a:lumMod val="50000"/>
              </a:schemeClr>
            </a:solidFill>
          </c:spPr>
          <c:invertIfNegative val="0"/>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B0-4BBF-A90C-932F374D5BA4}"/>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B0-4BBF-A90C-932F374D5BA4}"/>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6B0-4BBF-A90C-932F374D5BA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6B0-4BBF-A90C-932F374D5BA4}"/>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6B0-4BBF-A90C-932F374D5BA4}"/>
                </c:ext>
              </c:extLst>
            </c:dLbl>
            <c:numFmt formatCode="0.0%" sourceLinked="0"/>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'GRAF1-7'!$J$21:$J$33</c:f>
              <c:strCache>
                <c:ptCount val="13"/>
                <c:pt idx="0">
                  <c:v>Obrana </c:v>
                </c:pt>
                <c:pt idx="1">
                  <c:v>Infrastruktura a územní plánování</c:v>
                </c:pt>
                <c:pt idx="2">
                  <c:v>Výroba, distribuce a racionální využití energie</c:v>
                </c:pt>
                <c:pt idx="3">
                  <c:v>Ochrana životního prostředí  </c:v>
                </c:pt>
                <c:pt idx="4">
                  <c:v>Průmyslová výroba a technologie</c:v>
                </c:pt>
                <c:pt idx="5">
                  <c:v>Společenské struktury a vztahy</c:v>
                </c:pt>
                <c:pt idx="6">
                  <c:v>Ochrana a zlepšování lidského zdraví </c:v>
                </c:pt>
                <c:pt idx="7">
                  <c:v>Zemědělská výroba a technologie</c:v>
                </c:pt>
                <c:pt idx="8">
                  <c:v>Průzkum a využití vesmíru</c:v>
                </c:pt>
                <c:pt idx="9">
                  <c:v>Průzkum a využití zdrojů Země</c:v>
                </c:pt>
                <c:pt idx="10">
                  <c:v>Neorientovaný výzkum</c:v>
                </c:pt>
                <c:pt idx="11">
                  <c:v>Ostatní civilní výzkum</c:v>
                </c:pt>
                <c:pt idx="12">
                  <c:v>Všeobecný výzkum na vysokých školách</c:v>
                </c:pt>
              </c:strCache>
            </c:strRef>
          </c:cat>
          <c:val>
            <c:numRef>
              <c:f>'GRAF1-7'!$K$21:$K$33</c:f>
              <c:numCache>
                <c:formatCode>0.0%</c:formatCode>
                <c:ptCount val="13"/>
                <c:pt idx="0">
                  <c:v>1.020022667170381E-2</c:v>
                </c:pt>
                <c:pt idx="1">
                  <c:v>1.2307136688444549E-2</c:v>
                </c:pt>
                <c:pt idx="2">
                  <c:v>4.1643421158273068E-2</c:v>
                </c:pt>
                <c:pt idx="3">
                  <c:v>4.6568700185628656E-2</c:v>
                </c:pt>
                <c:pt idx="4">
                  <c:v>8.9449164487094585E-2</c:v>
                </c:pt>
                <c:pt idx="5">
                  <c:v>0.25019482459931458</c:v>
                </c:pt>
                <c:pt idx="6">
                  <c:v>0.25732788328945927</c:v>
                </c:pt>
                <c:pt idx="7">
                  <c:v>0.35924845974096131</c:v>
                </c:pt>
                <c:pt idx="8">
                  <c:v>0.40656635037628736</c:v>
                </c:pt>
                <c:pt idx="9">
                  <c:v>0.41734187100589909</c:v>
                </c:pt>
                <c:pt idx="10">
                  <c:v>0.42478004567791022</c:v>
                </c:pt>
                <c:pt idx="11">
                  <c:v>0.95858170901516193</c:v>
                </c:pt>
                <c:pt idx="12">
                  <c:v>1</c:v>
                </c:pt>
              </c:numCache>
            </c:numRef>
          </c:val>
          <c:extLst xmlns:c16r2="http://schemas.microsoft.com/office/drawing/2015/06/chart">
            <c:ext xmlns:c16="http://schemas.microsoft.com/office/drawing/2014/chart" uri="{C3380CC4-5D6E-409C-BE32-E72D297353CC}">
              <c16:uniqueId val="{00000005-66B0-4BBF-A90C-932F374D5BA4}"/>
            </c:ext>
          </c:extLst>
        </c:ser>
        <c:ser>
          <c:idx val="1"/>
          <c:order val="1"/>
          <c:tx>
            <c:strRef>
              <c:f>'GRAF1-7'!$L$20</c:f>
              <c:strCache>
                <c:ptCount val="1"/>
                <c:pt idx="0">
                  <c:v>Účelová</c:v>
                </c:pt>
              </c:strCache>
            </c:strRef>
          </c:tx>
          <c:spPr>
            <a:solidFill>
              <a:schemeClr val="accent5">
                <a:lumMod val="60000"/>
                <a:lumOff val="40000"/>
              </a:schemeClr>
            </a:solidFill>
          </c:spPr>
          <c:invertIfNegative val="0"/>
          <c:dLbls>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6B0-4BBF-A90C-932F374D5BA4}"/>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6B0-4BBF-A90C-932F374D5BA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'GRAF1-7'!$J$21:$J$33</c:f>
              <c:strCache>
                <c:ptCount val="13"/>
                <c:pt idx="0">
                  <c:v>Obrana </c:v>
                </c:pt>
                <c:pt idx="1">
                  <c:v>Infrastruktura a územní plánování</c:v>
                </c:pt>
                <c:pt idx="2">
                  <c:v>Výroba, distribuce a racionální využití energie</c:v>
                </c:pt>
                <c:pt idx="3">
                  <c:v>Ochrana životního prostředí  </c:v>
                </c:pt>
                <c:pt idx="4">
                  <c:v>Průmyslová výroba a technologie</c:v>
                </c:pt>
                <c:pt idx="5">
                  <c:v>Společenské struktury a vztahy</c:v>
                </c:pt>
                <c:pt idx="6">
                  <c:v>Ochrana a zlepšování lidského zdraví </c:v>
                </c:pt>
                <c:pt idx="7">
                  <c:v>Zemědělská výroba a technologie</c:v>
                </c:pt>
                <c:pt idx="8">
                  <c:v>Průzkum a využití vesmíru</c:v>
                </c:pt>
                <c:pt idx="9">
                  <c:v>Průzkum a využití zdrojů Země</c:v>
                </c:pt>
                <c:pt idx="10">
                  <c:v>Neorientovaný výzkum</c:v>
                </c:pt>
                <c:pt idx="11">
                  <c:v>Ostatní civilní výzkum</c:v>
                </c:pt>
                <c:pt idx="12">
                  <c:v>Všeobecný výzkum na vysokých školách</c:v>
                </c:pt>
              </c:strCache>
            </c:strRef>
          </c:cat>
          <c:val>
            <c:numRef>
              <c:f>'GRAF1-7'!$L$21:$L$33</c:f>
              <c:numCache>
                <c:formatCode>0.0%</c:formatCode>
                <c:ptCount val="13"/>
                <c:pt idx="0">
                  <c:v>0.98979977332829616</c:v>
                </c:pt>
                <c:pt idx="1">
                  <c:v>0.98769286331155537</c:v>
                </c:pt>
                <c:pt idx="2">
                  <c:v>0.95835657884172687</c:v>
                </c:pt>
                <c:pt idx="3">
                  <c:v>0.95343129981437125</c:v>
                </c:pt>
                <c:pt idx="4">
                  <c:v>0.91055083551290539</c:v>
                </c:pt>
                <c:pt idx="5">
                  <c:v>0.74980517540068548</c:v>
                </c:pt>
                <c:pt idx="6">
                  <c:v>0.74267211671054068</c:v>
                </c:pt>
                <c:pt idx="7">
                  <c:v>0.64075154025903869</c:v>
                </c:pt>
                <c:pt idx="8">
                  <c:v>0.59343364962371259</c:v>
                </c:pt>
                <c:pt idx="9">
                  <c:v>0.58265812899410085</c:v>
                </c:pt>
                <c:pt idx="10">
                  <c:v>0.57521995432208972</c:v>
                </c:pt>
                <c:pt idx="11">
                  <c:v>4.1418290984838096E-2</c:v>
                </c:pt>
                <c:pt idx="12">
                  <c:v>0</c:v>
                </c:pt>
              </c:numCache>
            </c:numRef>
          </c:val>
          <c:extLst xmlns:c16r2="http://schemas.microsoft.com/office/drawing/2015/06/chart">
            <c:ext xmlns:c16="http://schemas.microsoft.com/office/drawing/2014/chart" uri="{C3380CC4-5D6E-409C-BE32-E72D297353CC}">
              <c16:uniqueId val="{00000008-66B0-4BBF-A90C-932F374D5BA4}"/>
            </c:ext>
          </c:extLst>
        </c:ser>
        <c:dLbls>
          <c:showLegendKey val="0"/>
          <c:showVal val="1"/>
          <c:showCatName val="0"/>
          <c:showSerName val="0"/>
          <c:showPercent val="0"/>
          <c:showBubbleSize val="0"/>
        </c:dLbls>
        <c:gapWidth val="51"/>
        <c:overlap val="100"/>
        <c:axId val="142236288"/>
        <c:axId val="142823808"/>
      </c:barChart>
      <c:catAx>
        <c:axId val="142236288"/>
        <c:scaling>
          <c:orientation val="minMax"/>
        </c:scaling>
        <c:delete val="0"/>
        <c:axPos val="l"/>
        <c:numFmt formatCode="General" sourceLinked="0"/>
        <c:majorTickMark val="none"/>
        <c:minorTickMark val="none"/>
        <c:tickLblPos val="nextTo"/>
        <c:crossAx val="142823808"/>
        <c:crosses val="autoZero"/>
        <c:auto val="1"/>
        <c:lblAlgn val="ctr"/>
        <c:lblOffset val="100"/>
        <c:noMultiLvlLbl val="0"/>
      </c:catAx>
      <c:valAx>
        <c:axId val="142823808"/>
        <c:scaling>
          <c:orientation val="minMax"/>
        </c:scaling>
        <c:delete val="1"/>
        <c:axPos val="b"/>
        <c:majorGridlines/>
        <c:numFmt formatCode="0%" sourceLinked="0"/>
        <c:majorTickMark val="out"/>
        <c:minorTickMark val="none"/>
        <c:tickLblPos val="none"/>
        <c:crossAx val="142236288"/>
        <c:crosses val="autoZero"/>
        <c:crossBetween val="between"/>
      </c:valAx>
      <c:spPr>
        <a:noFill/>
      </c:spPr>
    </c:plotArea>
    <c:legend>
      <c:legendPos val="t"/>
      <c:overlay val="0"/>
    </c:legend>
    <c:plotVisOnly val="1"/>
    <c:dispBlanksAs val="gap"/>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0091115776369088"/>
          <c:y val="4.5111943838345533E-2"/>
          <c:w val="0.49183783328881392"/>
          <c:h val="0.89676216677734255"/>
        </c:manualLayout>
      </c:layout>
      <c:barChart>
        <c:barDir val="bar"/>
        <c:grouping val="clustered"/>
        <c:varyColors val="0"/>
        <c:ser>
          <c:idx val="0"/>
          <c:order val="0"/>
          <c:tx>
            <c:strRef>
              <c:f>'GRAF1-8'!$C$56</c:f>
              <c:strCache>
                <c:ptCount val="1"/>
                <c:pt idx="0">
                  <c:v>2010</c:v>
                </c:pt>
              </c:strCache>
            </c:strRef>
          </c:tx>
          <c:spPr>
            <a:solidFill>
              <a:schemeClr val="accent5">
                <a:lumMod val="40000"/>
                <a:lumOff val="60000"/>
              </a:schemeClr>
            </a:solidFill>
          </c:spPr>
          <c:invertIfNegative val="0"/>
          <c:cat>
            <c:strRef>
              <c:f>'GRAF1-8'!$B$57:$B$69</c:f>
              <c:strCache>
                <c:ptCount val="13"/>
                <c:pt idx="0">
                  <c:v>Výroba ostatních produktů</c:v>
                </c:pt>
                <c:pt idx="1">
                  <c:v>Výroba potravinářských výrobků a nápojů</c:v>
                </c:pt>
                <c:pt idx="2">
                  <c:v>Recyklace odpadu</c:v>
                </c:pt>
                <c:pt idx="3">
                  <c:v>Výroba textilního, oděvního a koženého zboží</c:v>
                </c:pt>
                <c:pt idx="4">
                  <c:v>Výroba elektrických strojů a přístrojů</c:v>
                </c:pt>
                <c:pt idx="5">
                  <c:v>Výroba přístrojů a nástrojů</c:v>
                </c:pt>
                <c:pt idx="6">
                  <c:v>Zvyšování ekonomické efektivnosti a konkurenceschopnosti</c:v>
                </c:pt>
                <c:pt idx="7">
                  <c:v>Výroba strojů a zařízení jiných než elektrických a elektronických</c:v>
                </c:pt>
                <c:pt idx="8">
                  <c:v>Produkty chemického průmyslu </c:v>
                </c:pt>
                <c:pt idx="9">
                  <c:v>Výroba motorových vozidel a jiných dopravních prostředků</c:v>
                </c:pt>
                <c:pt idx="10">
                  <c:v>Výroba a výrobní technologie </c:v>
                </c:pt>
                <c:pt idx="11">
                  <c:v>Odvětví elektroniky a příbuzná odvětví </c:v>
                </c:pt>
                <c:pt idx="12">
                  <c:v>Těžba a zpracování ne-energetických nerostných látek a odvozených produktů</c:v>
                </c:pt>
              </c:strCache>
            </c:strRef>
          </c:cat>
          <c:val>
            <c:numRef>
              <c:f>'GRAF1-8'!$C$57:$C$69</c:f>
              <c:numCache>
                <c:formatCode>#,##0</c:formatCode>
                <c:ptCount val="13"/>
                <c:pt idx="0">
                  <c:v>120.82499999999993</c:v>
                </c:pt>
                <c:pt idx="1">
                  <c:v>6.661999999999999</c:v>
                </c:pt>
                <c:pt idx="2">
                  <c:v>86.272000000000034</c:v>
                </c:pt>
                <c:pt idx="3">
                  <c:v>77.72399999999999</c:v>
                </c:pt>
                <c:pt idx="4">
                  <c:v>229.60900000000004</c:v>
                </c:pt>
                <c:pt idx="5">
                  <c:v>248.3599999999999</c:v>
                </c:pt>
                <c:pt idx="6">
                  <c:v>30.234999999999996</c:v>
                </c:pt>
                <c:pt idx="7">
                  <c:v>270.18399999999997</c:v>
                </c:pt>
                <c:pt idx="8">
                  <c:v>368.87799999999993</c:v>
                </c:pt>
                <c:pt idx="9">
                  <c:v>644.81400000000008</c:v>
                </c:pt>
                <c:pt idx="10">
                  <c:v>376.04000000000013</c:v>
                </c:pt>
                <c:pt idx="11">
                  <c:v>421.1459999999999</c:v>
                </c:pt>
                <c:pt idx="12">
                  <c:v>445.69999999999976</c:v>
                </c:pt>
              </c:numCache>
            </c:numRef>
          </c:val>
          <c:extLst xmlns:c16r2="http://schemas.microsoft.com/office/drawing/2015/06/chart">
            <c:ext xmlns:c16="http://schemas.microsoft.com/office/drawing/2014/chart" uri="{C3380CC4-5D6E-409C-BE32-E72D297353CC}">
              <c16:uniqueId val="{00000000-7312-4DA6-BBBE-8835501ECFDF}"/>
            </c:ext>
          </c:extLst>
        </c:ser>
        <c:ser>
          <c:idx val="1"/>
          <c:order val="1"/>
          <c:tx>
            <c:strRef>
              <c:f>'GRAF1-8'!$D$56</c:f>
              <c:strCache>
                <c:ptCount val="1"/>
                <c:pt idx="0">
                  <c:v>2015</c:v>
                </c:pt>
              </c:strCache>
            </c:strRef>
          </c:tx>
          <c:spPr>
            <a:solidFill>
              <a:schemeClr val="accent5"/>
            </a:solidFill>
          </c:spPr>
          <c:invertIfNegative val="0"/>
          <c:cat>
            <c:strRef>
              <c:f>'GRAF1-8'!$B$57:$B$69</c:f>
              <c:strCache>
                <c:ptCount val="13"/>
                <c:pt idx="0">
                  <c:v>Výroba ostatních produktů</c:v>
                </c:pt>
                <c:pt idx="1">
                  <c:v>Výroba potravinářských výrobků a nápojů</c:v>
                </c:pt>
                <c:pt idx="2">
                  <c:v>Recyklace odpadu</c:v>
                </c:pt>
                <c:pt idx="3">
                  <c:v>Výroba textilního, oděvního a koženého zboží</c:v>
                </c:pt>
                <c:pt idx="4">
                  <c:v>Výroba elektrických strojů a přístrojů</c:v>
                </c:pt>
                <c:pt idx="5">
                  <c:v>Výroba přístrojů a nástrojů</c:v>
                </c:pt>
                <c:pt idx="6">
                  <c:v>Zvyšování ekonomické efektivnosti a konkurenceschopnosti</c:v>
                </c:pt>
                <c:pt idx="7">
                  <c:v>Výroba strojů a zařízení jiných než elektrických a elektronických</c:v>
                </c:pt>
                <c:pt idx="8">
                  <c:v>Produkty chemického průmyslu </c:v>
                </c:pt>
                <c:pt idx="9">
                  <c:v>Výroba motorových vozidel a jiných dopravních prostředků</c:v>
                </c:pt>
                <c:pt idx="10">
                  <c:v>Výroba a výrobní technologie </c:v>
                </c:pt>
                <c:pt idx="11">
                  <c:v>Odvětví elektroniky a příbuzná odvětví </c:v>
                </c:pt>
                <c:pt idx="12">
                  <c:v>Těžba a zpracování ne-energetických nerostných látek a odvozených produktů</c:v>
                </c:pt>
              </c:strCache>
            </c:strRef>
          </c:cat>
          <c:val>
            <c:numRef>
              <c:f>'GRAF1-8'!$D$57:$D$69</c:f>
              <c:numCache>
                <c:formatCode>#,##0</c:formatCode>
                <c:ptCount val="13"/>
                <c:pt idx="0">
                  <c:v>23.039000000000001</c:v>
                </c:pt>
                <c:pt idx="1">
                  <c:v>15.520999999999999</c:v>
                </c:pt>
                <c:pt idx="2">
                  <c:v>22.637</c:v>
                </c:pt>
                <c:pt idx="3">
                  <c:v>33.105000000000004</c:v>
                </c:pt>
                <c:pt idx="4">
                  <c:v>171.79000000000005</c:v>
                </c:pt>
                <c:pt idx="5">
                  <c:v>194.03958</c:v>
                </c:pt>
                <c:pt idx="6">
                  <c:v>516.39437351628942</c:v>
                </c:pt>
                <c:pt idx="7">
                  <c:v>210.68544387958312</c:v>
                </c:pt>
                <c:pt idx="8">
                  <c:v>328.64489305156695</c:v>
                </c:pt>
                <c:pt idx="9">
                  <c:v>314.54500000000019</c:v>
                </c:pt>
                <c:pt idx="10">
                  <c:v>328.01904277829476</c:v>
                </c:pt>
                <c:pt idx="11">
                  <c:v>398.24300000000005</c:v>
                </c:pt>
                <c:pt idx="12">
                  <c:v>418.12225724444949</c:v>
                </c:pt>
              </c:numCache>
            </c:numRef>
          </c:val>
          <c:extLst xmlns:c16r2="http://schemas.microsoft.com/office/drawing/2015/06/chart">
            <c:ext xmlns:c16="http://schemas.microsoft.com/office/drawing/2014/chart" uri="{C3380CC4-5D6E-409C-BE32-E72D297353CC}">
              <c16:uniqueId val="{00000001-7312-4DA6-BBBE-8835501ECFDF}"/>
            </c:ext>
          </c:extLst>
        </c:ser>
        <c:ser>
          <c:idx val="2"/>
          <c:order val="2"/>
          <c:tx>
            <c:strRef>
              <c:f>'GRAF1-8'!$E$56</c:f>
              <c:strCache>
                <c:ptCount val="1"/>
                <c:pt idx="0">
                  <c:v>2016</c:v>
                </c:pt>
              </c:strCache>
            </c:strRef>
          </c:tx>
          <c:spPr>
            <a:solidFill>
              <a:schemeClr val="accent5">
                <a:lumMod val="75000"/>
              </a:schemeClr>
            </a:solidFill>
          </c:spPr>
          <c:invertIfNegative val="0"/>
          <c:cat>
            <c:strRef>
              <c:f>'GRAF1-8'!$B$57:$B$69</c:f>
              <c:strCache>
                <c:ptCount val="13"/>
                <c:pt idx="0">
                  <c:v>Výroba ostatních produktů</c:v>
                </c:pt>
                <c:pt idx="1">
                  <c:v>Výroba potravinářských výrobků a nápojů</c:v>
                </c:pt>
                <c:pt idx="2">
                  <c:v>Recyklace odpadu</c:v>
                </c:pt>
                <c:pt idx="3">
                  <c:v>Výroba textilního, oděvního a koženého zboží</c:v>
                </c:pt>
                <c:pt idx="4">
                  <c:v>Výroba elektrických strojů a přístrojů</c:v>
                </c:pt>
                <c:pt idx="5">
                  <c:v>Výroba přístrojů a nástrojů</c:v>
                </c:pt>
                <c:pt idx="6">
                  <c:v>Zvyšování ekonomické efektivnosti a konkurenceschopnosti</c:v>
                </c:pt>
                <c:pt idx="7">
                  <c:v>Výroba strojů a zařízení jiných než elektrických a elektronických</c:v>
                </c:pt>
                <c:pt idx="8">
                  <c:v>Produkty chemického průmyslu </c:v>
                </c:pt>
                <c:pt idx="9">
                  <c:v>Výroba motorových vozidel a jiných dopravních prostředků</c:v>
                </c:pt>
                <c:pt idx="10">
                  <c:v>Výroba a výrobní technologie </c:v>
                </c:pt>
                <c:pt idx="11">
                  <c:v>Odvětví elektroniky a příbuzná odvětví </c:v>
                </c:pt>
                <c:pt idx="12">
                  <c:v>Těžba a zpracování ne-energetických nerostných látek a odvozených produktů</c:v>
                </c:pt>
              </c:strCache>
            </c:strRef>
          </c:cat>
          <c:val>
            <c:numRef>
              <c:f>'GRAF1-8'!$E$57:$E$69</c:f>
              <c:numCache>
                <c:formatCode>#,##0</c:formatCode>
                <c:ptCount val="13"/>
                <c:pt idx="0">
                  <c:v>8.6280000000000001</c:v>
                </c:pt>
                <c:pt idx="1">
                  <c:v>12.605999999999998</c:v>
                </c:pt>
                <c:pt idx="2">
                  <c:v>24.553999999999998</c:v>
                </c:pt>
                <c:pt idx="3">
                  <c:v>34.26</c:v>
                </c:pt>
                <c:pt idx="4">
                  <c:v>156.36399999999995</c:v>
                </c:pt>
                <c:pt idx="5">
                  <c:v>158.88298999999998</c:v>
                </c:pt>
                <c:pt idx="6">
                  <c:v>180.93624995987165</c:v>
                </c:pt>
                <c:pt idx="7">
                  <c:v>222.66148000000004</c:v>
                </c:pt>
                <c:pt idx="8">
                  <c:v>247.69100000000006</c:v>
                </c:pt>
                <c:pt idx="9">
                  <c:v>263.03899999999993</c:v>
                </c:pt>
                <c:pt idx="10">
                  <c:v>276.74500000000006</c:v>
                </c:pt>
                <c:pt idx="11">
                  <c:v>325.62899999999985</c:v>
                </c:pt>
                <c:pt idx="12">
                  <c:v>411.29284000000001</c:v>
                </c:pt>
              </c:numCache>
            </c:numRef>
          </c:val>
          <c:extLst xmlns:c16r2="http://schemas.microsoft.com/office/drawing/2015/06/chart">
            <c:ext xmlns:c16="http://schemas.microsoft.com/office/drawing/2014/chart" uri="{C3380CC4-5D6E-409C-BE32-E72D297353CC}">
              <c16:uniqueId val="{00000002-7312-4DA6-BBBE-8835501ECFDF}"/>
            </c:ext>
          </c:extLst>
        </c:ser>
        <c:dLbls>
          <c:showLegendKey val="0"/>
          <c:showVal val="0"/>
          <c:showCatName val="0"/>
          <c:showSerName val="0"/>
          <c:showPercent val="0"/>
          <c:showBubbleSize val="0"/>
        </c:dLbls>
        <c:gapWidth val="100"/>
        <c:axId val="142846976"/>
        <c:axId val="142848768"/>
      </c:barChart>
      <c:catAx>
        <c:axId val="142846976"/>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42848768"/>
        <c:crosses val="autoZero"/>
        <c:auto val="1"/>
        <c:lblAlgn val="ctr"/>
        <c:lblOffset val="100"/>
        <c:noMultiLvlLbl val="0"/>
      </c:catAx>
      <c:valAx>
        <c:axId val="14284876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crossAx val="142846976"/>
        <c:crosses val="autoZero"/>
        <c:crossBetween val="between"/>
      </c:valAx>
      <c:spPr>
        <a:noFill/>
        <a:ln>
          <a:solidFill>
            <a:schemeClr val="bg1">
              <a:lumMod val="85000"/>
            </a:schemeClr>
          </a:solidFill>
        </a:ln>
      </c:spPr>
    </c:plotArea>
    <c:legend>
      <c:legendPos val="r"/>
      <c:layout>
        <c:manualLayout>
          <c:xMode val="edge"/>
          <c:yMode val="edge"/>
          <c:x val="0.89589279868760729"/>
          <c:y val="0.71061381956662573"/>
          <c:w val="7.2489904827760854E-2"/>
          <c:h val="0.1921629826392183"/>
        </c:manualLayout>
      </c:layout>
      <c:overlay val="1"/>
      <c:spPr>
        <a:solidFill>
          <a:schemeClr val="bg1"/>
        </a:solidFill>
      </c:spPr>
    </c:legend>
    <c:plotVisOnly val="1"/>
    <c:dispBlanksAs val="zero"/>
    <c:showDLblsOverMax val="0"/>
  </c:chart>
  <c:spPr>
    <a:ln>
      <a:noFill/>
    </a:ln>
  </c:spPr>
  <c:txPr>
    <a:bodyPr/>
    <a:lstStyle/>
    <a:p>
      <a:pPr>
        <a:defRPr sz="900">
          <a:latin typeface="Arial" pitchFamily="34" charset="0"/>
          <a:cs typeface="Arial"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5B90-B149-4C5B-ADB9-72CD134D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4</TotalTime>
  <Pages>10</Pages>
  <Words>3501</Words>
  <Characters>20659</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4</cp:revision>
  <cp:lastPrinted>2017-12-20T07:22:00Z</cp:lastPrinted>
  <dcterms:created xsi:type="dcterms:W3CDTF">2017-12-20T09:38:00Z</dcterms:created>
  <dcterms:modified xsi:type="dcterms:W3CDTF">2017-12-20T11:09:00Z</dcterms:modified>
</cp:coreProperties>
</file>