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B" w:rsidRPr="00D57B0B" w:rsidRDefault="002522D5" w:rsidP="00D57B0B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6</w:t>
      </w:r>
      <w:r w:rsidR="00D57B0B" w:rsidRPr="00D57B0B">
        <w:rPr>
          <w:sz w:val="30"/>
          <w:szCs w:val="30"/>
        </w:rPr>
        <w:t>.</w:t>
      </w:r>
      <w:r w:rsidR="00D57B0B" w:rsidRPr="00D57B0B">
        <w:rPr>
          <w:sz w:val="30"/>
          <w:szCs w:val="30"/>
        </w:rPr>
        <w:tab/>
      </w:r>
      <w:r w:rsidR="009879AA">
        <w:rPr>
          <w:sz w:val="30"/>
          <w:szCs w:val="30"/>
        </w:rPr>
        <w:t xml:space="preserve">Využívání vybraných </w:t>
      </w:r>
      <w:r w:rsidR="008F2046">
        <w:rPr>
          <w:sz w:val="30"/>
          <w:szCs w:val="30"/>
        </w:rPr>
        <w:t xml:space="preserve">manažerských </w:t>
      </w:r>
      <w:r w:rsidR="009879AA">
        <w:rPr>
          <w:sz w:val="30"/>
          <w:szCs w:val="30"/>
        </w:rPr>
        <w:t>informačních systémů</w:t>
      </w:r>
      <w:r w:rsidR="007739E2">
        <w:rPr>
          <w:sz w:val="30"/>
          <w:szCs w:val="30"/>
        </w:rPr>
        <w:t xml:space="preserve"> </w:t>
      </w:r>
    </w:p>
    <w:p w:rsidR="009E2B98" w:rsidRDefault="00C02ACD" w:rsidP="00FF2E69">
      <w:pPr>
        <w:spacing w:after="80" w:line="264" w:lineRule="auto"/>
        <w:ind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ERP </w:t>
      </w:r>
      <w:r w:rsidRPr="00C02ACD">
        <w:rPr>
          <w:rFonts w:ascii="Arial" w:hAnsi="Arial" w:cs="Arial"/>
          <w:bCs/>
          <w:sz w:val="20"/>
          <w:szCs w:val="20"/>
          <w:lang w:eastAsia="cs-CZ"/>
        </w:rPr>
        <w:t>(</w:t>
      </w:r>
      <w:proofErr w:type="spellStart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>Enterprise</w:t>
      </w:r>
      <w:proofErr w:type="spellEnd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>Resource</w:t>
      </w:r>
      <w:proofErr w:type="spellEnd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>Planning</w:t>
      </w:r>
      <w:proofErr w:type="spellEnd"/>
      <w:r w:rsidRPr="00C02ACD">
        <w:rPr>
          <w:rFonts w:ascii="Arial" w:hAnsi="Arial" w:cs="Arial"/>
          <w:bCs/>
          <w:sz w:val="20"/>
          <w:szCs w:val="20"/>
          <w:lang w:eastAsia="cs-CZ"/>
        </w:rPr>
        <w:t>)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57B0B" w:rsidRPr="00974FBE">
        <w:rPr>
          <w:rFonts w:ascii="Arial" w:hAnsi="Arial" w:cs="Arial"/>
          <w:bCs/>
          <w:sz w:val="20"/>
          <w:szCs w:val="20"/>
          <w:lang w:eastAsia="cs-CZ"/>
        </w:rPr>
        <w:t>je</w:t>
      </w:r>
      <w:r w:rsidR="001F53D8">
        <w:rPr>
          <w:rFonts w:ascii="Arial" w:hAnsi="Arial" w:cs="Arial"/>
          <w:bCs/>
          <w:sz w:val="20"/>
          <w:szCs w:val="20"/>
          <w:lang w:eastAsia="cs-CZ"/>
        </w:rPr>
        <w:t xml:space="preserve"> manažerský informační systém/aplikace</w:t>
      </w:r>
      <w:r w:rsidR="00D57B0B" w:rsidRPr="00974FBE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="001F53D8">
        <w:rPr>
          <w:rFonts w:ascii="Arial" w:hAnsi="Arial" w:cs="Arial"/>
          <w:bCs/>
          <w:sz w:val="20"/>
          <w:szCs w:val="20"/>
          <w:lang w:eastAsia="cs-CZ"/>
        </w:rPr>
        <w:t>jež</w:t>
      </w:r>
      <w:r w:rsidR="009E2B98">
        <w:rPr>
          <w:rFonts w:ascii="Arial" w:hAnsi="Arial" w:cs="Arial"/>
          <w:sz w:val="20"/>
          <w:szCs w:val="20"/>
        </w:rPr>
        <w:t xml:space="preserve"> integruje a</w:t>
      </w:r>
      <w:r w:rsidR="004661C4">
        <w:rPr>
          <w:rFonts w:ascii="Arial" w:hAnsi="Arial" w:cs="Arial"/>
          <w:sz w:val="20"/>
          <w:szCs w:val="20"/>
        </w:rPr>
        <w:t> </w:t>
      </w:r>
      <w:r w:rsidR="009E2B98">
        <w:rPr>
          <w:rFonts w:ascii="Arial" w:hAnsi="Arial" w:cs="Arial"/>
          <w:sz w:val="20"/>
          <w:szCs w:val="20"/>
        </w:rPr>
        <w:t xml:space="preserve">automatizuje velké množství procesů souvisejících s produkčními činnostmi </w:t>
      </w:r>
      <w:r w:rsidR="004661C4">
        <w:rPr>
          <w:rFonts w:ascii="Arial" w:hAnsi="Arial" w:cs="Arial"/>
          <w:sz w:val="20"/>
          <w:szCs w:val="20"/>
        </w:rPr>
        <w:t>firmy</w:t>
      </w:r>
      <w:r w:rsidR="009E2B98">
        <w:rPr>
          <w:rFonts w:ascii="Arial" w:hAnsi="Arial" w:cs="Arial"/>
          <w:sz w:val="20"/>
          <w:szCs w:val="20"/>
        </w:rPr>
        <w:t xml:space="preserve"> </w:t>
      </w:r>
      <w:r w:rsidR="004661C4">
        <w:rPr>
          <w:rFonts w:ascii="Arial" w:hAnsi="Arial" w:cs="Arial"/>
          <w:sz w:val="20"/>
          <w:szCs w:val="20"/>
        </w:rPr>
        <w:t>(typicky výrobu, logistiku, skladování, prodeje, fakturac</w:t>
      </w:r>
      <w:r w:rsidR="001F53D8">
        <w:rPr>
          <w:rFonts w:ascii="Arial" w:hAnsi="Arial" w:cs="Arial"/>
          <w:sz w:val="20"/>
          <w:szCs w:val="20"/>
        </w:rPr>
        <w:t>i</w:t>
      </w:r>
      <w:r w:rsidR="004661C4">
        <w:rPr>
          <w:rFonts w:ascii="Arial" w:hAnsi="Arial" w:cs="Arial"/>
          <w:sz w:val="20"/>
          <w:szCs w:val="20"/>
        </w:rPr>
        <w:t>, účetnictví apod.)</w:t>
      </w:r>
      <w:r w:rsidR="001F53D8">
        <w:rPr>
          <w:rFonts w:ascii="Arial" w:hAnsi="Arial" w:cs="Arial"/>
          <w:sz w:val="20"/>
          <w:szCs w:val="20"/>
        </w:rPr>
        <w:t>.</w:t>
      </w:r>
      <w:r w:rsidR="004661C4">
        <w:rPr>
          <w:rFonts w:ascii="Arial" w:hAnsi="Arial" w:cs="Arial"/>
          <w:sz w:val="20"/>
          <w:szCs w:val="20"/>
        </w:rPr>
        <w:t xml:space="preserve"> ERP tak</w:t>
      </w:r>
      <w:r w:rsidR="009E2B98">
        <w:rPr>
          <w:rFonts w:ascii="Arial" w:hAnsi="Arial" w:cs="Arial"/>
          <w:sz w:val="20"/>
          <w:szCs w:val="20"/>
        </w:rPr>
        <w:t xml:space="preserve"> umožňuje přístup k</w:t>
      </w:r>
      <w:r w:rsidR="004661C4">
        <w:rPr>
          <w:rFonts w:ascii="Arial" w:hAnsi="Arial" w:cs="Arial"/>
          <w:sz w:val="20"/>
          <w:szCs w:val="20"/>
        </w:rPr>
        <w:t> </w:t>
      </w:r>
      <w:r w:rsidR="009E2B98">
        <w:rPr>
          <w:rFonts w:ascii="Arial" w:hAnsi="Arial" w:cs="Arial"/>
          <w:sz w:val="20"/>
          <w:szCs w:val="20"/>
        </w:rPr>
        <w:t>aktualizovaným údajům pomocí jednotné</w:t>
      </w:r>
      <w:r w:rsidR="004661C4">
        <w:rPr>
          <w:rFonts w:ascii="Arial" w:hAnsi="Arial" w:cs="Arial"/>
          <w:sz w:val="20"/>
          <w:szCs w:val="20"/>
        </w:rPr>
        <w:t xml:space="preserve"> provázané</w:t>
      </w:r>
      <w:r w:rsidR="009E2B98">
        <w:rPr>
          <w:rFonts w:ascii="Arial" w:hAnsi="Arial" w:cs="Arial"/>
          <w:sz w:val="20"/>
          <w:szCs w:val="20"/>
        </w:rPr>
        <w:t xml:space="preserve"> databáze.</w:t>
      </w:r>
    </w:p>
    <w:p w:rsidR="00D57B0B" w:rsidRDefault="009E2B98" w:rsidP="00FF2E69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CRM 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(</w:t>
      </w:r>
      <w:proofErr w:type="spellStart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>Customer</w:t>
      </w:r>
      <w:proofErr w:type="spellEnd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>Relationship</w:t>
      </w:r>
      <w:proofErr w:type="spellEnd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 xml:space="preserve"> Management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)</w:t>
      </w:r>
      <w:r w:rsidR="00D57B0B" w:rsidRPr="00192D81">
        <w:rPr>
          <w:rFonts w:ascii="Arial" w:hAnsi="Arial" w:cs="Arial"/>
          <w:bCs/>
          <w:sz w:val="20"/>
          <w:szCs w:val="20"/>
          <w:lang w:eastAsia="cs-CZ"/>
        </w:rPr>
        <w:t xml:space="preserve"> je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 xml:space="preserve"> manažerský systém používaný</w:t>
      </w:r>
      <w:r w:rsidR="00D57B0B" w:rsidRPr="00192D81">
        <w:rPr>
          <w:rFonts w:ascii="Arial" w:hAnsi="Arial" w:cs="Arial"/>
          <w:bCs/>
          <w:sz w:val="20"/>
          <w:szCs w:val="20"/>
          <w:lang w:eastAsia="cs-CZ"/>
        </w:rPr>
        <w:t xml:space="preserve"> pro správu a využití informací o zákaznících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9F6919">
        <w:rPr>
          <w:rFonts w:ascii="Arial" w:hAnsi="Arial" w:cs="Arial"/>
          <w:bCs/>
          <w:color w:val="000000"/>
          <w:sz w:val="20"/>
          <w:szCs w:val="20"/>
        </w:rPr>
        <w:t xml:space="preserve">(koordinaci vztahu </w:t>
      </w:r>
      <w:r w:rsidR="004661C4">
        <w:rPr>
          <w:rFonts w:ascii="Arial" w:hAnsi="Arial" w:cs="Arial"/>
          <w:bCs/>
          <w:color w:val="000000"/>
          <w:sz w:val="20"/>
          <w:szCs w:val="20"/>
        </w:rPr>
        <w:t>firmy</w:t>
      </w:r>
      <w:r w:rsidRPr="009F6919">
        <w:rPr>
          <w:rFonts w:ascii="Arial" w:hAnsi="Arial" w:cs="Arial"/>
          <w:bCs/>
          <w:color w:val="000000"/>
          <w:sz w:val="20"/>
          <w:szCs w:val="20"/>
        </w:rPr>
        <w:t xml:space="preserve"> se zákazníky)</w:t>
      </w:r>
      <w:r w:rsidR="00D57B0B" w:rsidRPr="00192D81">
        <w:rPr>
          <w:rFonts w:ascii="Arial" w:hAnsi="Arial" w:cs="Arial"/>
          <w:bCs/>
          <w:sz w:val="20"/>
          <w:szCs w:val="20"/>
          <w:lang w:eastAsia="cs-CZ"/>
        </w:rPr>
        <w:t>.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 xml:space="preserve"> Tento systém umožňuje sběr, integraci, zpracování a analýzu informací o zákaznících.</w:t>
      </w:r>
    </w:p>
    <w:p w:rsidR="002522D5" w:rsidRPr="00AF77DD" w:rsidRDefault="002522D5" w:rsidP="002522D5">
      <w:pPr>
        <w:spacing w:before="80" w:after="80"/>
        <w:ind w:right="-13"/>
        <w:jc w:val="both"/>
        <w:rPr>
          <w:rFonts w:ascii="Arial" w:hAnsi="Arial" w:cs="Arial"/>
          <w:b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SCM </w:t>
      </w:r>
      <w:r w:rsidRPr="00AF77DD">
        <w:rPr>
          <w:rFonts w:ascii="Arial" w:hAnsi="Arial" w:cs="Arial"/>
          <w:bCs/>
          <w:sz w:val="20"/>
          <w:szCs w:val="20"/>
        </w:rPr>
        <w:t xml:space="preserve">(Supply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Chain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Management)</w:t>
      </w:r>
      <w:r>
        <w:rPr>
          <w:rFonts w:ascii="Arial" w:hAnsi="Arial" w:cs="Arial"/>
          <w:bCs/>
          <w:sz w:val="20"/>
          <w:szCs w:val="20"/>
        </w:rPr>
        <w:t xml:space="preserve"> je</w:t>
      </w:r>
      <w:r w:rsidRPr="00AF77D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informační systém firmy nebo </w:t>
      </w:r>
      <w:r w:rsidRPr="00AF77DD">
        <w:rPr>
          <w:rFonts w:ascii="Arial" w:hAnsi="Arial" w:cs="Arial"/>
          <w:bCs/>
          <w:sz w:val="20"/>
          <w:szCs w:val="20"/>
        </w:rPr>
        <w:t>aplikace umožňující řízení</w:t>
      </w:r>
      <w:r>
        <w:rPr>
          <w:rFonts w:ascii="Arial" w:hAnsi="Arial" w:cs="Arial"/>
          <w:bCs/>
          <w:sz w:val="20"/>
          <w:szCs w:val="20"/>
        </w:rPr>
        <w:t xml:space="preserve"> celého</w:t>
      </w:r>
      <w:r w:rsidRPr="00AF77DD">
        <w:rPr>
          <w:rFonts w:ascii="Arial" w:hAnsi="Arial" w:cs="Arial"/>
          <w:bCs/>
          <w:sz w:val="20"/>
          <w:szCs w:val="20"/>
        </w:rPr>
        <w:t xml:space="preserve"> dodavatelsko-odběratelského řetězce v reálném čase.</w:t>
      </w:r>
    </w:p>
    <w:p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EF574F" w:rsidRDefault="00D57B0B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F574F">
        <w:rPr>
          <w:rFonts w:ascii="Arial" w:hAnsi="Arial" w:cs="Arial"/>
          <w:sz w:val="20"/>
        </w:rPr>
        <w:t xml:space="preserve">Softwarovou aplikaci </w:t>
      </w:r>
      <w:r w:rsidRPr="00B85CE2">
        <w:rPr>
          <w:rFonts w:ascii="Arial" w:hAnsi="Arial" w:cs="Arial"/>
          <w:b/>
          <w:sz w:val="20"/>
        </w:rPr>
        <w:t>ERP</w:t>
      </w:r>
      <w:r w:rsidRPr="00EF574F">
        <w:rPr>
          <w:rFonts w:ascii="Arial" w:hAnsi="Arial" w:cs="Arial"/>
          <w:sz w:val="20"/>
        </w:rPr>
        <w:t xml:space="preserve"> </w:t>
      </w:r>
      <w:r w:rsidR="00D47A45" w:rsidRPr="00EF574F">
        <w:rPr>
          <w:rFonts w:ascii="Arial" w:hAnsi="Arial" w:cs="Arial"/>
          <w:sz w:val="20"/>
        </w:rPr>
        <w:t>určenou ke</w:t>
      </w:r>
      <w:r w:rsidRPr="00EF574F">
        <w:rPr>
          <w:rFonts w:ascii="Arial" w:hAnsi="Arial" w:cs="Arial"/>
          <w:sz w:val="20"/>
        </w:rPr>
        <w:t xml:space="preserve"> sdílení informací mezi různými </w:t>
      </w:r>
      <w:r w:rsidR="00C63577" w:rsidRPr="00EF574F">
        <w:rPr>
          <w:rFonts w:ascii="Arial" w:hAnsi="Arial" w:cs="Arial"/>
          <w:sz w:val="20"/>
        </w:rPr>
        <w:t>produkčními</w:t>
      </w:r>
      <w:r w:rsidRPr="00EF574F">
        <w:rPr>
          <w:rFonts w:ascii="Arial" w:hAnsi="Arial" w:cs="Arial"/>
          <w:sz w:val="20"/>
        </w:rPr>
        <w:t xml:space="preserve"> oblastmi</w:t>
      </w:r>
      <w:r w:rsidR="00D47A45" w:rsidRPr="00EF574F">
        <w:rPr>
          <w:rFonts w:ascii="Arial" w:hAnsi="Arial" w:cs="Arial"/>
          <w:sz w:val="20"/>
        </w:rPr>
        <w:t xml:space="preserve"> </w:t>
      </w:r>
      <w:r w:rsidRPr="00EF574F">
        <w:rPr>
          <w:rFonts w:ascii="Arial" w:hAnsi="Arial" w:cs="Arial"/>
          <w:sz w:val="20"/>
        </w:rPr>
        <w:t>používalo v lednu 20</w:t>
      </w:r>
      <w:r w:rsidR="00C63577" w:rsidRPr="00EF574F">
        <w:rPr>
          <w:rFonts w:ascii="Arial" w:hAnsi="Arial" w:cs="Arial"/>
          <w:sz w:val="20"/>
        </w:rPr>
        <w:t>17</w:t>
      </w:r>
      <w:r w:rsidRPr="00EF574F">
        <w:rPr>
          <w:rFonts w:ascii="Arial" w:hAnsi="Arial" w:cs="Arial"/>
          <w:sz w:val="20"/>
        </w:rPr>
        <w:t xml:space="preserve"> v České republice </w:t>
      </w:r>
      <w:r w:rsidR="008B0D70" w:rsidRPr="00EF574F">
        <w:rPr>
          <w:rFonts w:ascii="Arial" w:hAnsi="Arial" w:cs="Arial"/>
          <w:sz w:val="20"/>
        </w:rPr>
        <w:t>28</w:t>
      </w:r>
      <w:r w:rsidRPr="00EF574F">
        <w:rPr>
          <w:rFonts w:ascii="Arial" w:hAnsi="Arial" w:cs="Arial"/>
          <w:sz w:val="20"/>
        </w:rPr>
        <w:t xml:space="preserve"> % </w:t>
      </w:r>
      <w:r w:rsidR="001F53D8" w:rsidRPr="00EF574F">
        <w:rPr>
          <w:rFonts w:ascii="Arial" w:hAnsi="Arial" w:cs="Arial"/>
          <w:sz w:val="20"/>
        </w:rPr>
        <w:t>ekonomických subjektů s více než 10 zaměstnanci.</w:t>
      </w:r>
      <w:r w:rsidR="00EF574F" w:rsidRPr="00EF574F">
        <w:rPr>
          <w:rFonts w:ascii="Arial" w:hAnsi="Arial" w:cs="Arial"/>
          <w:sz w:val="20"/>
        </w:rPr>
        <w:t xml:space="preserve"> Tento informační systém</w:t>
      </w:r>
      <w:r w:rsidRPr="00EF574F">
        <w:rPr>
          <w:rFonts w:ascii="Arial" w:hAnsi="Arial" w:cs="Arial"/>
          <w:sz w:val="20"/>
        </w:rPr>
        <w:t xml:space="preserve"> </w:t>
      </w:r>
      <w:r w:rsidR="00EF574F" w:rsidRPr="00EF574F">
        <w:rPr>
          <w:rFonts w:ascii="Arial" w:hAnsi="Arial" w:cs="Arial"/>
          <w:sz w:val="20"/>
        </w:rPr>
        <w:t>využíva</w:t>
      </w:r>
      <w:r w:rsidR="009978D6">
        <w:rPr>
          <w:rFonts w:ascii="Arial" w:hAnsi="Arial" w:cs="Arial"/>
          <w:sz w:val="20"/>
        </w:rPr>
        <w:t>jí</w:t>
      </w:r>
      <w:r w:rsidR="00EF574F" w:rsidRPr="00EF574F">
        <w:rPr>
          <w:rFonts w:ascii="Arial" w:hAnsi="Arial" w:cs="Arial"/>
          <w:sz w:val="20"/>
        </w:rPr>
        <w:t xml:space="preserve"> výrazně častěji velké firmy</w:t>
      </w:r>
      <w:r w:rsidR="00EF574F">
        <w:rPr>
          <w:rFonts w:ascii="Arial" w:hAnsi="Arial" w:cs="Arial"/>
          <w:sz w:val="20"/>
        </w:rPr>
        <w:t xml:space="preserve"> než malé </w:t>
      </w:r>
      <w:r w:rsidR="00EF574F" w:rsidRPr="00EF574F">
        <w:rPr>
          <w:rFonts w:ascii="Arial" w:hAnsi="Arial" w:cs="Arial"/>
          <w:sz w:val="20"/>
        </w:rPr>
        <w:t xml:space="preserve">(více než </w:t>
      </w:r>
      <w:r w:rsidR="00EF574F">
        <w:rPr>
          <w:rFonts w:ascii="Arial" w:hAnsi="Arial" w:cs="Arial"/>
          <w:sz w:val="20"/>
        </w:rPr>
        <w:t xml:space="preserve">77 % velkých, pětina malých). </w:t>
      </w:r>
      <w:r w:rsidR="007D0FE1">
        <w:rPr>
          <w:rFonts w:ascii="Arial" w:hAnsi="Arial" w:cs="Arial"/>
          <w:sz w:val="20"/>
        </w:rPr>
        <w:t>Z odvětví používají ERP především firmy působící v IT (45 %) a také ve velkoobchodě (44 %).</w:t>
      </w:r>
    </w:p>
    <w:p w:rsidR="00FF2E69" w:rsidRDefault="00785876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4F3DC3">
        <w:rPr>
          <w:rFonts w:ascii="Arial" w:hAnsi="Arial" w:cs="Arial"/>
          <w:b/>
          <w:sz w:val="20"/>
        </w:rPr>
        <w:t>CRM</w:t>
      </w:r>
      <w:r w:rsidR="001F53D8" w:rsidRPr="00EF574F">
        <w:rPr>
          <w:rFonts w:ascii="Arial" w:hAnsi="Arial" w:cs="Arial"/>
          <w:sz w:val="20"/>
        </w:rPr>
        <w:t>,</w:t>
      </w:r>
      <w:r w:rsidR="00D47A45" w:rsidRPr="00EF574F">
        <w:rPr>
          <w:rFonts w:ascii="Arial" w:hAnsi="Arial" w:cs="Arial"/>
          <w:sz w:val="20"/>
        </w:rPr>
        <w:t xml:space="preserve"> </w:t>
      </w:r>
      <w:r w:rsidR="001F53D8" w:rsidRPr="00EF574F">
        <w:rPr>
          <w:rFonts w:ascii="Arial" w:hAnsi="Arial" w:cs="Arial"/>
          <w:sz w:val="20"/>
        </w:rPr>
        <w:t>informační systém</w:t>
      </w:r>
      <w:r w:rsidR="00D57B0B" w:rsidRPr="00EF574F">
        <w:rPr>
          <w:rFonts w:ascii="Arial" w:hAnsi="Arial" w:cs="Arial"/>
          <w:sz w:val="20"/>
        </w:rPr>
        <w:t xml:space="preserve"> určen</w:t>
      </w:r>
      <w:r w:rsidR="001F53D8" w:rsidRPr="00EF574F">
        <w:rPr>
          <w:rFonts w:ascii="Arial" w:hAnsi="Arial" w:cs="Arial"/>
          <w:sz w:val="20"/>
        </w:rPr>
        <w:t>ý primárně vedení firmy</w:t>
      </w:r>
      <w:r w:rsidR="007D0FE1">
        <w:rPr>
          <w:rFonts w:ascii="Arial" w:hAnsi="Arial" w:cs="Arial"/>
          <w:sz w:val="20"/>
        </w:rPr>
        <w:t>,</w:t>
      </w:r>
      <w:r w:rsidR="001F53D8" w:rsidRPr="00EF574F">
        <w:rPr>
          <w:rFonts w:ascii="Arial" w:hAnsi="Arial" w:cs="Arial"/>
          <w:sz w:val="20"/>
        </w:rPr>
        <w:t xml:space="preserve"> sloužící především</w:t>
      </w:r>
      <w:r w:rsidR="00D57B0B" w:rsidRPr="00EF574F">
        <w:rPr>
          <w:rFonts w:ascii="Arial" w:hAnsi="Arial" w:cs="Arial"/>
          <w:sz w:val="20"/>
        </w:rPr>
        <w:t xml:space="preserve"> pro </w:t>
      </w:r>
      <w:r w:rsidR="001F53D8" w:rsidRPr="00B85CE2">
        <w:rPr>
          <w:rFonts w:ascii="Arial" w:hAnsi="Arial" w:cs="Arial"/>
          <w:b/>
          <w:sz w:val="20"/>
        </w:rPr>
        <w:t xml:space="preserve">sběr a vyhodnocování </w:t>
      </w:r>
      <w:r w:rsidR="00D57B0B" w:rsidRPr="00B85CE2">
        <w:rPr>
          <w:rFonts w:ascii="Arial" w:hAnsi="Arial" w:cs="Arial"/>
          <w:b/>
          <w:sz w:val="20"/>
        </w:rPr>
        <w:t>informací o</w:t>
      </w:r>
      <w:r w:rsidR="001F53D8" w:rsidRPr="00B85CE2">
        <w:rPr>
          <w:rFonts w:ascii="Arial" w:hAnsi="Arial" w:cs="Arial"/>
          <w:b/>
          <w:sz w:val="20"/>
        </w:rPr>
        <w:t xml:space="preserve"> </w:t>
      </w:r>
      <w:r w:rsidR="00D57B0B" w:rsidRPr="00B85CE2">
        <w:rPr>
          <w:rFonts w:ascii="Arial" w:hAnsi="Arial" w:cs="Arial"/>
          <w:b/>
          <w:sz w:val="20"/>
        </w:rPr>
        <w:t>zákaznících</w:t>
      </w:r>
      <w:r w:rsidR="001F53D8" w:rsidRPr="00EF574F">
        <w:rPr>
          <w:rFonts w:ascii="Arial" w:hAnsi="Arial" w:cs="Arial"/>
          <w:sz w:val="20"/>
        </w:rPr>
        <w:t xml:space="preserve">, </w:t>
      </w:r>
      <w:r w:rsidR="00E76C47" w:rsidRPr="00EF574F">
        <w:rPr>
          <w:rFonts w:ascii="Arial" w:hAnsi="Arial" w:cs="Arial"/>
          <w:sz w:val="20"/>
        </w:rPr>
        <w:t>využívalo</w:t>
      </w:r>
      <w:r w:rsidR="00D57B0B" w:rsidRPr="00EF574F">
        <w:rPr>
          <w:rFonts w:ascii="Arial" w:hAnsi="Arial" w:cs="Arial"/>
          <w:sz w:val="20"/>
        </w:rPr>
        <w:t xml:space="preserve"> ve stejném roce</w:t>
      </w:r>
      <w:r w:rsidR="00E76C47" w:rsidRPr="00EF574F">
        <w:rPr>
          <w:rFonts w:ascii="Arial" w:hAnsi="Arial" w:cs="Arial"/>
          <w:sz w:val="20"/>
        </w:rPr>
        <w:t xml:space="preserve"> </w:t>
      </w:r>
      <w:r w:rsidR="001F53D8" w:rsidRPr="00EF574F">
        <w:rPr>
          <w:rFonts w:ascii="Arial" w:hAnsi="Arial" w:cs="Arial"/>
          <w:sz w:val="20"/>
        </w:rPr>
        <w:t>21</w:t>
      </w:r>
      <w:r w:rsidR="00D57B0B" w:rsidRPr="00EF574F">
        <w:rPr>
          <w:rFonts w:ascii="Arial" w:hAnsi="Arial" w:cs="Arial"/>
          <w:sz w:val="20"/>
        </w:rPr>
        <w:t> % podniků.</w:t>
      </w:r>
      <w:r w:rsidR="00B574B1" w:rsidRPr="00EF574F">
        <w:rPr>
          <w:rFonts w:ascii="Arial" w:hAnsi="Arial" w:cs="Arial"/>
          <w:sz w:val="20"/>
        </w:rPr>
        <w:t xml:space="preserve"> </w:t>
      </w:r>
      <w:r w:rsidR="00EF574F">
        <w:rPr>
          <w:rFonts w:ascii="Arial" w:hAnsi="Arial" w:cs="Arial"/>
          <w:sz w:val="20"/>
        </w:rPr>
        <w:t xml:space="preserve">Stejně jako v případě systému ERP </w:t>
      </w:r>
      <w:r w:rsidR="00B574B1" w:rsidRPr="00EF574F">
        <w:rPr>
          <w:rFonts w:ascii="Arial" w:hAnsi="Arial" w:cs="Arial"/>
          <w:sz w:val="20"/>
        </w:rPr>
        <w:t>využívají</w:t>
      </w:r>
      <w:r w:rsidR="00EF574F">
        <w:rPr>
          <w:rFonts w:ascii="Arial" w:hAnsi="Arial" w:cs="Arial"/>
          <w:sz w:val="20"/>
        </w:rPr>
        <w:t xml:space="preserve"> i CRM</w:t>
      </w:r>
      <w:r w:rsidR="00B574B1" w:rsidRPr="00EF574F">
        <w:rPr>
          <w:rFonts w:ascii="Arial" w:hAnsi="Arial" w:cs="Arial"/>
          <w:sz w:val="20"/>
        </w:rPr>
        <w:t xml:space="preserve"> výrazně častěji velké </w:t>
      </w:r>
      <w:r w:rsidR="001F53D8" w:rsidRPr="00EF574F">
        <w:rPr>
          <w:rFonts w:ascii="Arial" w:hAnsi="Arial" w:cs="Arial"/>
          <w:sz w:val="20"/>
        </w:rPr>
        <w:t>firmy</w:t>
      </w:r>
      <w:r w:rsidR="00EF574F">
        <w:rPr>
          <w:rFonts w:ascii="Arial" w:hAnsi="Arial" w:cs="Arial"/>
          <w:sz w:val="20"/>
        </w:rPr>
        <w:t xml:space="preserve"> než malé</w:t>
      </w:r>
      <w:r w:rsidR="00B574B1" w:rsidRPr="00EF574F">
        <w:rPr>
          <w:rFonts w:ascii="Arial" w:hAnsi="Arial" w:cs="Arial"/>
          <w:sz w:val="20"/>
        </w:rPr>
        <w:t xml:space="preserve"> (</w:t>
      </w:r>
      <w:r w:rsidR="001F53D8" w:rsidRPr="00EF574F">
        <w:rPr>
          <w:rFonts w:ascii="Arial" w:hAnsi="Arial" w:cs="Arial"/>
          <w:sz w:val="20"/>
        </w:rPr>
        <w:t xml:space="preserve">více než </w:t>
      </w:r>
      <w:r w:rsidR="00B574B1" w:rsidRPr="00EF574F">
        <w:rPr>
          <w:rFonts w:ascii="Arial" w:hAnsi="Arial" w:cs="Arial"/>
          <w:sz w:val="20"/>
        </w:rPr>
        <w:t>4</w:t>
      </w:r>
      <w:r w:rsidR="001F53D8" w:rsidRPr="00EF574F">
        <w:rPr>
          <w:rFonts w:ascii="Arial" w:hAnsi="Arial" w:cs="Arial"/>
          <w:sz w:val="20"/>
        </w:rPr>
        <w:t>6</w:t>
      </w:r>
      <w:r w:rsidR="00B574B1" w:rsidRPr="00EF574F">
        <w:rPr>
          <w:rFonts w:ascii="Arial" w:hAnsi="Arial" w:cs="Arial"/>
          <w:sz w:val="20"/>
        </w:rPr>
        <w:t xml:space="preserve"> % </w:t>
      </w:r>
      <w:r w:rsidR="00EF574F">
        <w:rPr>
          <w:rFonts w:ascii="Arial" w:hAnsi="Arial" w:cs="Arial"/>
          <w:sz w:val="20"/>
        </w:rPr>
        <w:t>velkých, 17 % malých)</w:t>
      </w:r>
      <w:r w:rsidR="00E76C47" w:rsidRPr="00EF574F">
        <w:rPr>
          <w:rFonts w:ascii="Arial" w:hAnsi="Arial" w:cs="Arial"/>
          <w:sz w:val="20"/>
        </w:rPr>
        <w:t>.</w:t>
      </w:r>
      <w:r w:rsidR="007D0FE1">
        <w:rPr>
          <w:rFonts w:ascii="Arial" w:hAnsi="Arial" w:cs="Arial"/>
          <w:sz w:val="20"/>
        </w:rPr>
        <w:t xml:space="preserve"> Systém pro správu a využití informací o zákaznících používá více než polovina IT firem a telekomunikačních společností.</w:t>
      </w:r>
    </w:p>
    <w:p w:rsidR="00171FB6" w:rsidRDefault="00171FB6" w:rsidP="00171FB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71FB6">
        <w:rPr>
          <w:rFonts w:ascii="Arial" w:hAnsi="Arial" w:cs="Arial"/>
          <w:sz w:val="20"/>
        </w:rPr>
        <w:t xml:space="preserve">Bezmála pětina firem (18 %) využívá systém CRM k získávání, </w:t>
      </w:r>
      <w:r w:rsidRPr="00B85CE2">
        <w:rPr>
          <w:rFonts w:ascii="Arial" w:hAnsi="Arial" w:cs="Arial"/>
          <w:b/>
          <w:sz w:val="20"/>
        </w:rPr>
        <w:t>ukládání a zpřístupňování informací</w:t>
      </w:r>
      <w:r w:rsidRPr="00171FB6">
        <w:rPr>
          <w:rFonts w:ascii="Arial" w:hAnsi="Arial" w:cs="Arial"/>
          <w:sz w:val="20"/>
        </w:rPr>
        <w:t xml:space="preserve"> o zákaznících pro ostatní funkční oblasti firmy. Dalších 16 % subjektů využívá tento systém k </w:t>
      </w:r>
      <w:r w:rsidRPr="00B85CE2">
        <w:rPr>
          <w:rFonts w:ascii="Arial" w:hAnsi="Arial" w:cs="Arial"/>
          <w:b/>
          <w:sz w:val="20"/>
        </w:rPr>
        <w:t>analyzování dat o zákaznících</w:t>
      </w:r>
      <w:r w:rsidRPr="00171FB6">
        <w:rPr>
          <w:rFonts w:ascii="Arial" w:hAnsi="Arial" w:cs="Arial"/>
          <w:sz w:val="20"/>
        </w:rPr>
        <w:t xml:space="preserve">, např. pro stanovení cenové politiky a slev nebo pro určení vhodného způsobu komunikace a propagace pro určité skupiny zákazníků. Analyzování dat o zákaznících využívaly v lednu 2017 nejčastěji telekomunikační firmy a subjekty působící v IT sektoru, v obou zmíněných odvětvích téměř 45 %. </w:t>
      </w:r>
    </w:p>
    <w:p w:rsidR="00171FB6" w:rsidRPr="00171FB6" w:rsidRDefault="00171FB6" w:rsidP="00171FB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71FB6">
        <w:rPr>
          <w:rFonts w:ascii="Arial" w:hAnsi="Arial" w:cs="Arial"/>
          <w:sz w:val="20"/>
        </w:rPr>
        <w:t>Téměř 70 % firem nevyužív</w:t>
      </w:r>
      <w:r w:rsidR="00B85CE2">
        <w:rPr>
          <w:rFonts w:ascii="Arial" w:hAnsi="Arial" w:cs="Arial"/>
          <w:sz w:val="20"/>
        </w:rPr>
        <w:t>alo v lednu 2017</w:t>
      </w:r>
      <w:r w:rsidRPr="00171FB6">
        <w:rPr>
          <w:rFonts w:ascii="Arial" w:hAnsi="Arial" w:cs="Arial"/>
          <w:sz w:val="20"/>
        </w:rPr>
        <w:t xml:space="preserve"> ani systém ERP ani CRM. Jsou to především malé subjekty a firmy působící ve </w:t>
      </w:r>
      <w:r w:rsidR="00E57125" w:rsidRPr="00171FB6">
        <w:rPr>
          <w:rFonts w:ascii="Arial" w:hAnsi="Arial" w:cs="Arial"/>
          <w:sz w:val="20"/>
        </w:rPr>
        <w:t>stravování a pohostinství</w:t>
      </w:r>
      <w:r w:rsidR="00E57125">
        <w:rPr>
          <w:rFonts w:ascii="Arial" w:hAnsi="Arial" w:cs="Arial"/>
          <w:sz w:val="20"/>
        </w:rPr>
        <w:t>,</w:t>
      </w:r>
      <w:r w:rsidR="00E57125" w:rsidRPr="00171FB6">
        <w:rPr>
          <w:rFonts w:ascii="Arial" w:hAnsi="Arial" w:cs="Arial"/>
          <w:sz w:val="20"/>
        </w:rPr>
        <w:t xml:space="preserve"> </w:t>
      </w:r>
      <w:r w:rsidRPr="00171FB6">
        <w:rPr>
          <w:rFonts w:ascii="Arial" w:hAnsi="Arial" w:cs="Arial"/>
          <w:sz w:val="20"/>
        </w:rPr>
        <w:t xml:space="preserve">stavebnictví, dopravě a skladování, </w:t>
      </w:r>
      <w:r w:rsidR="00895AA3">
        <w:rPr>
          <w:rFonts w:ascii="Arial" w:hAnsi="Arial" w:cs="Arial"/>
          <w:sz w:val="20"/>
        </w:rPr>
        <w:t xml:space="preserve">maloobchodě, </w:t>
      </w:r>
      <w:r w:rsidRPr="00171FB6">
        <w:rPr>
          <w:rFonts w:ascii="Arial" w:hAnsi="Arial" w:cs="Arial"/>
          <w:sz w:val="20"/>
        </w:rPr>
        <w:t xml:space="preserve">ubytování, činnostech v oblasti nemovitostí a v ostatních administrativních činnostech. Důvodem mohou být velmi vysoké pořizovací náklady na tyto systémy.  </w:t>
      </w:r>
    </w:p>
    <w:p w:rsidR="00EF574F" w:rsidRDefault="00EF574F" w:rsidP="00EF574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85CE2">
        <w:rPr>
          <w:rFonts w:ascii="Arial" w:hAnsi="Arial" w:cs="Arial"/>
          <w:b/>
          <w:sz w:val="20"/>
        </w:rPr>
        <w:t>Aplikaci</w:t>
      </w:r>
      <w:r w:rsidR="00B85CE2">
        <w:rPr>
          <w:rFonts w:ascii="Arial" w:hAnsi="Arial" w:cs="Arial"/>
          <w:b/>
          <w:sz w:val="20"/>
        </w:rPr>
        <w:t xml:space="preserve"> resp. systém</w:t>
      </w:r>
      <w:r w:rsidRPr="00B85CE2">
        <w:rPr>
          <w:rFonts w:ascii="Arial" w:hAnsi="Arial" w:cs="Arial"/>
          <w:b/>
          <w:sz w:val="20"/>
        </w:rPr>
        <w:t xml:space="preserve"> SCM</w:t>
      </w:r>
      <w:r>
        <w:rPr>
          <w:rFonts w:ascii="Arial" w:hAnsi="Arial" w:cs="Arial"/>
          <w:sz w:val="20"/>
        </w:rPr>
        <w:t xml:space="preserve"> využíval na začátku letošního roku jen zlomek podniků (2,4 %), více opět velké subjekty (v</w:t>
      </w:r>
      <w:r w:rsidR="007D0FE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lednu 2017 desetina velkých, necelá 2 % malých firem). Nejčastěji tento integrovaný informační systém </w:t>
      </w:r>
      <w:r w:rsidRPr="00B85CE2">
        <w:rPr>
          <w:rFonts w:ascii="Arial" w:hAnsi="Arial" w:cs="Arial"/>
          <w:b/>
          <w:sz w:val="20"/>
        </w:rPr>
        <w:t>k řízení dodavatelsko-odběratelských řetězců</w:t>
      </w:r>
      <w:r>
        <w:rPr>
          <w:rFonts w:ascii="Arial" w:hAnsi="Arial" w:cs="Arial"/>
          <w:sz w:val="20"/>
        </w:rPr>
        <w:t xml:space="preserve"> využívaly v lednu 2017 firmy působící v</w:t>
      </w:r>
      <w:r w:rsidR="007D0FE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obchodě</w:t>
      </w:r>
      <w:r w:rsidR="007D0FE1">
        <w:rPr>
          <w:rFonts w:ascii="Arial" w:hAnsi="Arial" w:cs="Arial"/>
          <w:sz w:val="20"/>
        </w:rPr>
        <w:t xml:space="preserve"> (10 %)</w:t>
      </w:r>
      <w:r>
        <w:rPr>
          <w:rFonts w:ascii="Arial" w:hAnsi="Arial" w:cs="Arial"/>
          <w:sz w:val="20"/>
        </w:rPr>
        <w:t xml:space="preserve"> a</w:t>
      </w:r>
      <w:r w:rsidR="00B85CE2">
        <w:rPr>
          <w:rFonts w:ascii="Arial" w:hAnsi="Arial" w:cs="Arial"/>
          <w:sz w:val="20"/>
        </w:rPr>
        <w:t xml:space="preserve"> dále</w:t>
      </w:r>
      <w:r>
        <w:rPr>
          <w:rFonts w:ascii="Arial" w:hAnsi="Arial" w:cs="Arial"/>
          <w:sz w:val="20"/>
        </w:rPr>
        <w:t xml:space="preserve"> ve vybraných odvětvích zpracovatelského průmyslu, </w:t>
      </w:r>
      <w:r w:rsidR="007D0FE1">
        <w:rPr>
          <w:rFonts w:ascii="Arial" w:hAnsi="Arial" w:cs="Arial"/>
          <w:sz w:val="20"/>
        </w:rPr>
        <w:t>především</w:t>
      </w:r>
      <w:r>
        <w:rPr>
          <w:rFonts w:ascii="Arial" w:hAnsi="Arial" w:cs="Arial"/>
          <w:sz w:val="20"/>
        </w:rPr>
        <w:t xml:space="preserve"> ve výrobě automobilů, počítačů, elektronických a optických přístrojů a také elektrických zařízení a strojů.</w:t>
      </w:r>
    </w:p>
    <w:p w:rsidR="00171FB6" w:rsidRDefault="00171FB6" w:rsidP="00171FB6">
      <w:pPr>
        <w:autoSpaceDE w:val="0"/>
        <w:autoSpaceDN w:val="0"/>
        <w:adjustRightInd w:val="0"/>
        <w:spacing w:before="3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6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Používání aplikací ERP, CRM a SCM firmami v ČR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171FB6" w:rsidRDefault="00895AA3" w:rsidP="00171FB6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77A49674" wp14:editId="002CD40F">
            <wp:extent cx="5972175" cy="1581150"/>
            <wp:effectExtent l="19050" t="0" r="9525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B6" w:rsidRDefault="00171FB6" w:rsidP="00171FB6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firem v daných letech </w:t>
      </w:r>
    </w:p>
    <w:p w:rsidR="00A27BED" w:rsidRDefault="00171FB6" w:rsidP="00C835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A27BED" w:rsidRPr="00A27BED">
        <w:rPr>
          <w:rFonts w:ascii="Arial" w:hAnsi="Arial" w:cs="Arial"/>
          <w:b/>
          <w:sz w:val="20"/>
        </w:rPr>
        <w:lastRenderedPageBreak/>
        <w:t xml:space="preserve">Tab. </w:t>
      </w:r>
      <w:r w:rsidR="00EF574F">
        <w:rPr>
          <w:rFonts w:ascii="Arial" w:hAnsi="Arial" w:cs="Arial"/>
          <w:b/>
          <w:sz w:val="20"/>
        </w:rPr>
        <w:t>6</w:t>
      </w:r>
      <w:r w:rsidR="00A27BED" w:rsidRPr="00A27BED">
        <w:rPr>
          <w:rFonts w:ascii="Arial" w:hAnsi="Arial" w:cs="Arial"/>
          <w:b/>
          <w:sz w:val="20"/>
        </w:rPr>
        <w:t xml:space="preserve">.1: Firmy v ČR používající </w:t>
      </w:r>
      <w:r w:rsidR="00EF574F">
        <w:rPr>
          <w:rFonts w:ascii="Arial" w:hAnsi="Arial" w:cs="Arial"/>
          <w:b/>
          <w:sz w:val="20"/>
        </w:rPr>
        <w:t>vybrané manažerské informační systémy</w:t>
      </w:r>
      <w:r w:rsidR="00A27BED" w:rsidRPr="00A27BED">
        <w:rPr>
          <w:rFonts w:ascii="Arial" w:hAnsi="Arial" w:cs="Arial"/>
          <w:b/>
          <w:sz w:val="20"/>
        </w:rPr>
        <w:t>, leden 2017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05"/>
        <w:gridCol w:w="854"/>
        <w:gridCol w:w="1643"/>
        <w:gridCol w:w="1418"/>
        <w:gridCol w:w="905"/>
      </w:tblGrid>
      <w:tr w:rsidR="007D0FE1" w:rsidRPr="007D0FE1" w:rsidTr="007D0FE1">
        <w:trPr>
          <w:trHeight w:val="255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používající ERP </w:t>
            </w:r>
          </w:p>
        </w:tc>
        <w:tc>
          <w:tcPr>
            <w:tcW w:w="3915" w:type="dxa"/>
            <w:gridSpan w:val="3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používající CRM </w:t>
            </w:r>
          </w:p>
        </w:tc>
        <w:tc>
          <w:tcPr>
            <w:tcW w:w="905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používající SCM</w:t>
            </w:r>
          </w:p>
        </w:tc>
      </w:tr>
      <w:tr w:rsidR="007D0FE1" w:rsidRPr="007D0FE1" w:rsidTr="00C83529">
        <w:trPr>
          <w:trHeight w:val="584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5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 získání a dalšímu zpřístupnění informací </w:t>
            </w:r>
          </w:p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 zákaznících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 analyzování dat o zákaznících </w:t>
            </w:r>
          </w:p>
        </w:tc>
        <w:tc>
          <w:tcPr>
            <w:tcW w:w="905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45,6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7D0FE1" w:rsidRPr="007D0FE1" w:rsidTr="007D0FE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0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D0FE1" w:rsidRPr="007D0FE1" w:rsidRDefault="007D0FE1" w:rsidP="007D0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D0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</w:tbl>
    <w:p w:rsidR="00C83529" w:rsidRPr="00C83529" w:rsidRDefault="00C83529" w:rsidP="00C83529">
      <w:pPr>
        <w:autoSpaceDE w:val="0"/>
        <w:autoSpaceDN w:val="0"/>
        <w:adjustRightInd w:val="0"/>
        <w:spacing w:before="60" w:after="4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C83529">
        <w:rPr>
          <w:rFonts w:ascii="Arial" w:hAnsi="Arial" w:cs="Arial"/>
          <w:i/>
          <w:sz w:val="18"/>
          <w:szCs w:val="18"/>
        </w:rPr>
        <w:t>Pozn.: tečky v tabulce značí nespolehlivé údaje (velmi malý počet firem v daných odvětvích)</w:t>
      </w:r>
    </w:p>
    <w:p w:rsidR="00A27BED" w:rsidRDefault="00A27BED" w:rsidP="00C83529">
      <w:p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27BED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0F51A9" w:rsidRPr="00634D6A" w:rsidRDefault="00F77254" w:rsidP="00F77254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0F51A9" w:rsidRPr="00634D6A">
        <w:rPr>
          <w:rFonts w:ascii="Arial" w:hAnsi="Arial" w:cs="Arial"/>
          <w:b/>
          <w:sz w:val="20"/>
        </w:rPr>
        <w:t xml:space="preserve">Graf </w:t>
      </w:r>
      <w:r w:rsidR="00EF574F">
        <w:rPr>
          <w:rFonts w:ascii="Arial" w:hAnsi="Arial" w:cs="Arial"/>
          <w:b/>
          <w:sz w:val="20"/>
        </w:rPr>
        <w:t>6</w:t>
      </w:r>
      <w:r w:rsidR="000F51A9" w:rsidRPr="00634D6A">
        <w:rPr>
          <w:rFonts w:ascii="Arial" w:hAnsi="Arial" w:cs="Arial"/>
          <w:b/>
          <w:sz w:val="20"/>
        </w:rPr>
        <w:t>.</w:t>
      </w:r>
      <w:r w:rsidR="00EF574F">
        <w:rPr>
          <w:rFonts w:ascii="Arial" w:hAnsi="Arial" w:cs="Arial"/>
          <w:b/>
          <w:sz w:val="20"/>
        </w:rPr>
        <w:t>2</w:t>
      </w:r>
      <w:r w:rsidR="00AE02D7">
        <w:rPr>
          <w:rFonts w:ascii="Arial" w:hAnsi="Arial" w:cs="Arial"/>
          <w:b/>
          <w:sz w:val="20"/>
        </w:rPr>
        <w:t>:</w:t>
      </w:r>
      <w:r w:rsidR="000F51A9" w:rsidRPr="00634D6A">
        <w:rPr>
          <w:rFonts w:ascii="Arial" w:hAnsi="Arial" w:cs="Arial"/>
          <w:b/>
          <w:sz w:val="20"/>
        </w:rPr>
        <w:t xml:space="preserve"> </w:t>
      </w:r>
      <w:r w:rsidR="000F51A9">
        <w:rPr>
          <w:rFonts w:ascii="Arial" w:hAnsi="Arial" w:cs="Arial"/>
          <w:b/>
          <w:sz w:val="20"/>
        </w:rPr>
        <w:t>Použí</w:t>
      </w:r>
      <w:r w:rsidR="00EF574F">
        <w:rPr>
          <w:rFonts w:ascii="Arial" w:hAnsi="Arial" w:cs="Arial"/>
          <w:b/>
          <w:sz w:val="20"/>
        </w:rPr>
        <w:t xml:space="preserve">vání </w:t>
      </w:r>
      <w:r w:rsidR="00E57125">
        <w:rPr>
          <w:rFonts w:ascii="Arial" w:hAnsi="Arial" w:cs="Arial"/>
          <w:b/>
          <w:sz w:val="20"/>
        </w:rPr>
        <w:t>systémů</w:t>
      </w:r>
      <w:r w:rsidR="00EF574F">
        <w:rPr>
          <w:rFonts w:ascii="Arial" w:hAnsi="Arial" w:cs="Arial"/>
          <w:b/>
          <w:sz w:val="20"/>
        </w:rPr>
        <w:t xml:space="preserve"> ERP a CRM firmami</w:t>
      </w:r>
      <w:r w:rsidR="000F51A9">
        <w:rPr>
          <w:rFonts w:ascii="Arial" w:hAnsi="Arial" w:cs="Arial"/>
          <w:b/>
          <w:sz w:val="20"/>
        </w:rPr>
        <w:t xml:space="preserve"> v ČR podle odvětví, leden 2017</w:t>
      </w:r>
    </w:p>
    <w:p w:rsidR="00A27BED" w:rsidRDefault="004F3DC3" w:rsidP="00A27BED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AC2D3E0" wp14:editId="4AA7046F">
            <wp:extent cx="5972175" cy="3429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51A9" w:rsidRDefault="000F51A9" w:rsidP="000F51A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firem </w:t>
      </w:r>
      <w:r w:rsidRPr="00634D6A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 xml:space="preserve">velikostní a odvětvové skupině </w:t>
      </w:r>
    </w:p>
    <w:p w:rsidR="00846D4B" w:rsidRDefault="00846D4B" w:rsidP="00EF574F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642B">
        <w:rPr>
          <w:rFonts w:ascii="Arial" w:hAnsi="Arial" w:cs="Arial"/>
          <w:sz w:val="18"/>
          <w:szCs w:val="18"/>
        </w:rPr>
        <w:t>Zdroj: Český statistický úřad 2017</w:t>
      </w:r>
      <w:r w:rsidRPr="0088642B">
        <w:t xml:space="preserve"> </w:t>
      </w:r>
      <w:bookmarkStart w:id="0" w:name="_GoBack"/>
      <w:bookmarkEnd w:id="0"/>
    </w:p>
    <w:sectPr w:rsidR="00846D4B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A4" w:rsidRDefault="00047FA4" w:rsidP="00E71A58">
      <w:r>
        <w:separator/>
      </w:r>
    </w:p>
  </w:endnote>
  <w:endnote w:type="continuationSeparator" w:id="0">
    <w:p w:rsidR="00047FA4" w:rsidRDefault="00047FA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A4" w:rsidRDefault="00047FA4" w:rsidP="00E71A58">
      <w:r>
        <w:separator/>
      </w:r>
    </w:p>
  </w:footnote>
  <w:footnote w:type="continuationSeparator" w:id="0">
    <w:p w:rsidR="00047FA4" w:rsidRDefault="00047FA4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26A39"/>
    <w:rsid w:val="0004140D"/>
    <w:rsid w:val="0004694F"/>
    <w:rsid w:val="00047FA4"/>
    <w:rsid w:val="00057F08"/>
    <w:rsid w:val="00062EC5"/>
    <w:rsid w:val="00087634"/>
    <w:rsid w:val="00092A92"/>
    <w:rsid w:val="000A1183"/>
    <w:rsid w:val="000C3408"/>
    <w:rsid w:val="000D512E"/>
    <w:rsid w:val="000F51A9"/>
    <w:rsid w:val="001405FA"/>
    <w:rsid w:val="001425C3"/>
    <w:rsid w:val="00143453"/>
    <w:rsid w:val="0016258B"/>
    <w:rsid w:val="00163793"/>
    <w:rsid w:val="0016380A"/>
    <w:rsid w:val="001714F2"/>
    <w:rsid w:val="00171FB6"/>
    <w:rsid w:val="00177489"/>
    <w:rsid w:val="00185010"/>
    <w:rsid w:val="00194F66"/>
    <w:rsid w:val="00194F9E"/>
    <w:rsid w:val="001A552F"/>
    <w:rsid w:val="001A7EEB"/>
    <w:rsid w:val="001B3110"/>
    <w:rsid w:val="001F3765"/>
    <w:rsid w:val="001F4597"/>
    <w:rsid w:val="001F53D8"/>
    <w:rsid w:val="001F5C37"/>
    <w:rsid w:val="00207E8A"/>
    <w:rsid w:val="0022139E"/>
    <w:rsid w:val="002252E0"/>
    <w:rsid w:val="002255F6"/>
    <w:rsid w:val="00236443"/>
    <w:rsid w:val="002436BA"/>
    <w:rsid w:val="00244A15"/>
    <w:rsid w:val="0024799E"/>
    <w:rsid w:val="002522D5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F313C"/>
    <w:rsid w:val="00404F0C"/>
    <w:rsid w:val="00413550"/>
    <w:rsid w:val="00414240"/>
    <w:rsid w:val="0043194A"/>
    <w:rsid w:val="004631AB"/>
    <w:rsid w:val="004661C4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3DC3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4D13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048DB"/>
    <w:rsid w:val="006123F0"/>
    <w:rsid w:val="00624093"/>
    <w:rsid w:val="0064036A"/>
    <w:rsid w:val="006404A7"/>
    <w:rsid w:val="006451E4"/>
    <w:rsid w:val="00657968"/>
    <w:rsid w:val="00657E87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B3844"/>
    <w:rsid w:val="006B78D8"/>
    <w:rsid w:val="006C113F"/>
    <w:rsid w:val="006D61F6"/>
    <w:rsid w:val="006D6FEA"/>
    <w:rsid w:val="006E2361"/>
    <w:rsid w:val="006E279A"/>
    <w:rsid w:val="006E313B"/>
    <w:rsid w:val="006E7DE3"/>
    <w:rsid w:val="007211F5"/>
    <w:rsid w:val="007214C5"/>
    <w:rsid w:val="007279A0"/>
    <w:rsid w:val="00730AE8"/>
    <w:rsid w:val="00741493"/>
    <w:rsid w:val="0074519F"/>
    <w:rsid w:val="00752180"/>
    <w:rsid w:val="00755D3A"/>
    <w:rsid w:val="007609C6"/>
    <w:rsid w:val="00761B3D"/>
    <w:rsid w:val="007739E2"/>
    <w:rsid w:val="00776527"/>
    <w:rsid w:val="00785876"/>
    <w:rsid w:val="00785B2D"/>
    <w:rsid w:val="00795D49"/>
    <w:rsid w:val="007A5C36"/>
    <w:rsid w:val="007C3F6A"/>
    <w:rsid w:val="007D0FE1"/>
    <w:rsid w:val="007D7174"/>
    <w:rsid w:val="007E3D24"/>
    <w:rsid w:val="007E7E61"/>
    <w:rsid w:val="007F0845"/>
    <w:rsid w:val="00821FF6"/>
    <w:rsid w:val="0083143E"/>
    <w:rsid w:val="00834FAA"/>
    <w:rsid w:val="00836086"/>
    <w:rsid w:val="00846D4B"/>
    <w:rsid w:val="00876086"/>
    <w:rsid w:val="00895AA3"/>
    <w:rsid w:val="008B0D70"/>
    <w:rsid w:val="008B7C02"/>
    <w:rsid w:val="008C0E88"/>
    <w:rsid w:val="008D2A16"/>
    <w:rsid w:val="008E31FF"/>
    <w:rsid w:val="008F2046"/>
    <w:rsid w:val="008F41A9"/>
    <w:rsid w:val="009003A8"/>
    <w:rsid w:val="00902EFF"/>
    <w:rsid w:val="00915547"/>
    <w:rsid w:val="00921F14"/>
    <w:rsid w:val="0094427A"/>
    <w:rsid w:val="0095150F"/>
    <w:rsid w:val="00974923"/>
    <w:rsid w:val="0098620F"/>
    <w:rsid w:val="009879AA"/>
    <w:rsid w:val="00987E97"/>
    <w:rsid w:val="009978D6"/>
    <w:rsid w:val="009B6FD3"/>
    <w:rsid w:val="009E2B98"/>
    <w:rsid w:val="00A10D66"/>
    <w:rsid w:val="00A23E43"/>
    <w:rsid w:val="00A27BED"/>
    <w:rsid w:val="00A42547"/>
    <w:rsid w:val="00A46DE0"/>
    <w:rsid w:val="00A62CE1"/>
    <w:rsid w:val="00A75E40"/>
    <w:rsid w:val="00A857C0"/>
    <w:rsid w:val="00A87732"/>
    <w:rsid w:val="00AA559A"/>
    <w:rsid w:val="00AB2AF1"/>
    <w:rsid w:val="00AB76F3"/>
    <w:rsid w:val="00AC77ED"/>
    <w:rsid w:val="00AD306C"/>
    <w:rsid w:val="00AE02D7"/>
    <w:rsid w:val="00AF2A1B"/>
    <w:rsid w:val="00B112AC"/>
    <w:rsid w:val="00B14740"/>
    <w:rsid w:val="00B17E71"/>
    <w:rsid w:val="00B17FDE"/>
    <w:rsid w:val="00B21D75"/>
    <w:rsid w:val="00B32DDB"/>
    <w:rsid w:val="00B574B1"/>
    <w:rsid w:val="00B6608F"/>
    <w:rsid w:val="00B76D1E"/>
    <w:rsid w:val="00B85CE2"/>
    <w:rsid w:val="00B95940"/>
    <w:rsid w:val="00BD258B"/>
    <w:rsid w:val="00BD366B"/>
    <w:rsid w:val="00BD6D50"/>
    <w:rsid w:val="00BF01AA"/>
    <w:rsid w:val="00C02ACD"/>
    <w:rsid w:val="00C0475C"/>
    <w:rsid w:val="00C05083"/>
    <w:rsid w:val="00C21F94"/>
    <w:rsid w:val="00C63577"/>
    <w:rsid w:val="00C83529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47A45"/>
    <w:rsid w:val="00D579F7"/>
    <w:rsid w:val="00D57B0B"/>
    <w:rsid w:val="00D81F9B"/>
    <w:rsid w:val="00DB6B38"/>
    <w:rsid w:val="00DC1442"/>
    <w:rsid w:val="00DC5B3B"/>
    <w:rsid w:val="00E01C0E"/>
    <w:rsid w:val="00E04694"/>
    <w:rsid w:val="00E123C0"/>
    <w:rsid w:val="00E20E07"/>
    <w:rsid w:val="00E52B7D"/>
    <w:rsid w:val="00E57125"/>
    <w:rsid w:val="00E71A58"/>
    <w:rsid w:val="00E76C47"/>
    <w:rsid w:val="00E91BC2"/>
    <w:rsid w:val="00EA0C68"/>
    <w:rsid w:val="00EC1F1C"/>
    <w:rsid w:val="00EC7132"/>
    <w:rsid w:val="00ED3107"/>
    <w:rsid w:val="00EE01F9"/>
    <w:rsid w:val="00EE3E78"/>
    <w:rsid w:val="00EE63D3"/>
    <w:rsid w:val="00EF1F5A"/>
    <w:rsid w:val="00EF574F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77254"/>
    <w:rsid w:val="00F907CE"/>
    <w:rsid w:val="00FC0E5F"/>
    <w:rsid w:val="00FC56DE"/>
    <w:rsid w:val="00FE2F78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478953885922444"/>
          <c:y val="7.3841777061938285E-2"/>
          <c:w val="0.62053829241083514"/>
          <c:h val="0.900196395655308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K6_IS!$I$37</c:f>
              <c:strCache>
                <c:ptCount val="1"/>
                <c:pt idx="0">
                  <c:v>mají jen ERP nebo jen CRM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75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K6_IS!$H$38:$H$54</c:f>
              <c:strCache>
                <c:ptCount val="17"/>
                <c:pt idx="0">
                  <c:v>  Stravování a pohostinství</c:v>
                </c:pt>
                <c:pt idx="1">
                  <c:v>  Stavebnictví</c:v>
                </c:pt>
                <c:pt idx="2">
                  <c:v>  Doprava a skladování</c:v>
                </c:pt>
                <c:pt idx="3">
                  <c:v>  Ostatní administrativní a podpůrné činnosti</c:v>
                </c:pt>
                <c:pt idx="4">
                  <c:v>  Činnosti v oblasti nemovitostí</c:v>
                </c:pt>
                <c:pt idx="5">
                  <c:v>  Maloobchod</c:v>
                </c:pt>
                <c:pt idx="6">
                  <c:v>  Ubytování</c:v>
                </c:pt>
                <c:pt idx="7">
                  <c:v>  Profesní, vědecké a technické činnosti</c:v>
                </c:pt>
                <c:pt idx="8">
                  <c:v>CELKEM</c:v>
                </c:pt>
                <c:pt idx="9">
                  <c:v>  Výroba a rozvod energie, plynu, tepla</c:v>
                </c:pt>
                <c:pt idx="10">
                  <c:v>  Činnosti cestovních agentur a kanceláří</c:v>
                </c:pt>
                <c:pt idx="11">
                  <c:v>  Zpracovatelský průmysl</c:v>
                </c:pt>
                <c:pt idx="12">
                  <c:v>  Obchod a opravy motorových vozidel</c:v>
                </c:pt>
                <c:pt idx="13">
                  <c:v>  Velkoobchod</c:v>
                </c:pt>
                <c:pt idx="14">
                  <c:v>  Audiovizuální činnosti; vydavatelství</c:v>
                </c:pt>
                <c:pt idx="15">
                  <c:v>  Telekomunikační činnosti</c:v>
                </c:pt>
                <c:pt idx="16">
                  <c:v>  Činnosti v oblasti IT</c:v>
                </c:pt>
              </c:strCache>
            </c:strRef>
          </c:cat>
          <c:val>
            <c:numRef>
              <c:f>K6_IS!$I$38:$I$54</c:f>
              <c:numCache>
                <c:formatCode>0%</c:formatCode>
                <c:ptCount val="17"/>
                <c:pt idx="0">
                  <c:v>6.8000000000000005E-2</c:v>
                </c:pt>
                <c:pt idx="1">
                  <c:v>9.7000000000000003E-2</c:v>
                </c:pt>
                <c:pt idx="2">
                  <c:v>0.10999999999999999</c:v>
                </c:pt>
                <c:pt idx="3">
                  <c:v>0.129</c:v>
                </c:pt>
                <c:pt idx="4">
                  <c:v>0.14799999999999999</c:v>
                </c:pt>
                <c:pt idx="5">
                  <c:v>0.14499999999999999</c:v>
                </c:pt>
                <c:pt idx="6">
                  <c:v>0.185</c:v>
                </c:pt>
                <c:pt idx="7">
                  <c:v>0.13800000000000001</c:v>
                </c:pt>
                <c:pt idx="8">
                  <c:v>0.17899999999999999</c:v>
                </c:pt>
                <c:pt idx="9">
                  <c:v>0.19700000000000001</c:v>
                </c:pt>
                <c:pt idx="10">
                  <c:v>0.26600000000000001</c:v>
                </c:pt>
                <c:pt idx="11">
                  <c:v>0.223</c:v>
                </c:pt>
                <c:pt idx="12">
                  <c:v>0.252</c:v>
                </c:pt>
                <c:pt idx="13">
                  <c:v>0.245</c:v>
                </c:pt>
                <c:pt idx="14">
                  <c:v>0.28700000000000003</c:v>
                </c:pt>
                <c:pt idx="15">
                  <c:v>0.22599999999999998</c:v>
                </c:pt>
                <c:pt idx="16">
                  <c:v>0.32300000000000001</c:v>
                </c:pt>
              </c:numCache>
            </c:numRef>
          </c:val>
        </c:ser>
        <c:ser>
          <c:idx val="1"/>
          <c:order val="1"/>
          <c:tx>
            <c:strRef>
              <c:f>K6_IS!$J$37</c:f>
              <c:strCache>
                <c:ptCount val="1"/>
                <c:pt idx="0">
                  <c:v> mají ERP i CRM</c:v>
                </c:pt>
              </c:strCache>
            </c:strRef>
          </c:tx>
          <c:spPr>
            <a:solidFill>
              <a:srgbClr val="1CABDE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rgbClr val="1CABDE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750"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K6_IS!$H$38:$H$54</c:f>
              <c:strCache>
                <c:ptCount val="17"/>
                <c:pt idx="0">
                  <c:v>  Stravování a pohostinství</c:v>
                </c:pt>
                <c:pt idx="1">
                  <c:v>  Stavebnictví</c:v>
                </c:pt>
                <c:pt idx="2">
                  <c:v>  Doprava a skladování</c:v>
                </c:pt>
                <c:pt idx="3">
                  <c:v>  Ostatní administrativní a podpůrné činnosti</c:v>
                </c:pt>
                <c:pt idx="4">
                  <c:v>  Činnosti v oblasti nemovitostí</c:v>
                </c:pt>
                <c:pt idx="5">
                  <c:v>  Maloobchod</c:v>
                </c:pt>
                <c:pt idx="6">
                  <c:v>  Ubytování</c:v>
                </c:pt>
                <c:pt idx="7">
                  <c:v>  Profesní, vědecké a technické činnosti</c:v>
                </c:pt>
                <c:pt idx="8">
                  <c:v>CELKEM</c:v>
                </c:pt>
                <c:pt idx="9">
                  <c:v>  Výroba a rozvod energie, plynu, tepla</c:v>
                </c:pt>
                <c:pt idx="10">
                  <c:v>  Činnosti cestovních agentur a kanceláří</c:v>
                </c:pt>
                <c:pt idx="11">
                  <c:v>  Zpracovatelský průmysl</c:v>
                </c:pt>
                <c:pt idx="12">
                  <c:v>  Obchod a opravy motorových vozidel</c:v>
                </c:pt>
                <c:pt idx="13">
                  <c:v>  Velkoobchod</c:v>
                </c:pt>
                <c:pt idx="14">
                  <c:v>  Audiovizuální činnosti; vydavatelství</c:v>
                </c:pt>
                <c:pt idx="15">
                  <c:v>  Telekomunikační činnosti</c:v>
                </c:pt>
                <c:pt idx="16">
                  <c:v>  Činnosti v oblasti IT</c:v>
                </c:pt>
              </c:strCache>
            </c:strRef>
          </c:cat>
          <c:val>
            <c:numRef>
              <c:f>K6_IS!$J$38:$J$54</c:f>
              <c:numCache>
                <c:formatCode>0%</c:formatCode>
                <c:ptCount val="17"/>
                <c:pt idx="0">
                  <c:v>1.4E-2</c:v>
                </c:pt>
                <c:pt idx="1">
                  <c:v>6.9000000000000006E-2</c:v>
                </c:pt>
                <c:pt idx="2">
                  <c:v>6.9000000000000006E-2</c:v>
                </c:pt>
                <c:pt idx="3">
                  <c:v>9.6000000000000002E-2</c:v>
                </c:pt>
                <c:pt idx="4">
                  <c:v>8.4000000000000005E-2</c:v>
                </c:pt>
                <c:pt idx="5">
                  <c:v>0.109</c:v>
                </c:pt>
                <c:pt idx="6">
                  <c:v>0.10100000000000001</c:v>
                </c:pt>
                <c:pt idx="7">
                  <c:v>0.17300000000000001</c:v>
                </c:pt>
                <c:pt idx="8">
                  <c:v>0.154</c:v>
                </c:pt>
                <c:pt idx="9">
                  <c:v>0.13600000000000001</c:v>
                </c:pt>
                <c:pt idx="10">
                  <c:v>0.12</c:v>
                </c:pt>
                <c:pt idx="11">
                  <c:v>0.182</c:v>
                </c:pt>
                <c:pt idx="12">
                  <c:v>0.21099999999999999</c:v>
                </c:pt>
                <c:pt idx="13">
                  <c:v>0.26900000000000002</c:v>
                </c:pt>
                <c:pt idx="14">
                  <c:v>0.245</c:v>
                </c:pt>
                <c:pt idx="15">
                  <c:v>0.35499999999999998</c:v>
                </c:pt>
                <c:pt idx="16">
                  <c:v>0.35599999999999998</c:v>
                </c:pt>
              </c:numCache>
            </c:numRef>
          </c:val>
        </c:ser>
        <c:ser>
          <c:idx val="2"/>
          <c:order val="2"/>
          <c:tx>
            <c:strRef>
              <c:f>K6_IS!$K$37</c:f>
              <c:strCache>
                <c:ptCount val="1"/>
                <c:pt idx="0">
                  <c:v> nemají ani ERP ani CRM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750"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K6_IS!$H$38:$H$54</c:f>
              <c:strCache>
                <c:ptCount val="17"/>
                <c:pt idx="0">
                  <c:v>  Stravování a pohostinství</c:v>
                </c:pt>
                <c:pt idx="1">
                  <c:v>  Stavebnictví</c:v>
                </c:pt>
                <c:pt idx="2">
                  <c:v>  Doprava a skladování</c:v>
                </c:pt>
                <c:pt idx="3">
                  <c:v>  Ostatní administrativní a podpůrné činnosti</c:v>
                </c:pt>
                <c:pt idx="4">
                  <c:v>  Činnosti v oblasti nemovitostí</c:v>
                </c:pt>
                <c:pt idx="5">
                  <c:v>  Maloobchod</c:v>
                </c:pt>
                <c:pt idx="6">
                  <c:v>  Ubytování</c:v>
                </c:pt>
                <c:pt idx="7">
                  <c:v>  Profesní, vědecké a technické činnosti</c:v>
                </c:pt>
                <c:pt idx="8">
                  <c:v>CELKEM</c:v>
                </c:pt>
                <c:pt idx="9">
                  <c:v>  Výroba a rozvod energie, plynu, tepla</c:v>
                </c:pt>
                <c:pt idx="10">
                  <c:v>  Činnosti cestovních agentur a kanceláří</c:v>
                </c:pt>
                <c:pt idx="11">
                  <c:v>  Zpracovatelský průmysl</c:v>
                </c:pt>
                <c:pt idx="12">
                  <c:v>  Obchod a opravy motorových vozidel</c:v>
                </c:pt>
                <c:pt idx="13">
                  <c:v>  Velkoobchod</c:v>
                </c:pt>
                <c:pt idx="14">
                  <c:v>  Audiovizuální činnosti; vydavatelství</c:v>
                </c:pt>
                <c:pt idx="15">
                  <c:v>  Telekomunikační činnosti</c:v>
                </c:pt>
                <c:pt idx="16">
                  <c:v>  Činnosti v oblasti IT</c:v>
                </c:pt>
              </c:strCache>
            </c:strRef>
          </c:cat>
          <c:val>
            <c:numRef>
              <c:f>K6_IS!$K$38:$K$54</c:f>
              <c:numCache>
                <c:formatCode>0%</c:formatCode>
                <c:ptCount val="17"/>
                <c:pt idx="0">
                  <c:v>0.91800000000000004</c:v>
                </c:pt>
                <c:pt idx="1">
                  <c:v>0.83399999999999996</c:v>
                </c:pt>
                <c:pt idx="2">
                  <c:v>0.82099999999999995</c:v>
                </c:pt>
                <c:pt idx="3">
                  <c:v>0.77500000000000002</c:v>
                </c:pt>
                <c:pt idx="4">
                  <c:v>0.76800000000000002</c:v>
                </c:pt>
                <c:pt idx="5">
                  <c:v>0.747</c:v>
                </c:pt>
                <c:pt idx="6">
                  <c:v>0.71499999999999997</c:v>
                </c:pt>
                <c:pt idx="7">
                  <c:v>0.68900000000000006</c:v>
                </c:pt>
                <c:pt idx="8">
                  <c:v>0.66800000000000004</c:v>
                </c:pt>
                <c:pt idx="9">
                  <c:v>0.66700000000000004</c:v>
                </c:pt>
                <c:pt idx="10">
                  <c:v>0.61399999999999999</c:v>
                </c:pt>
                <c:pt idx="11">
                  <c:v>0.59499999999999997</c:v>
                </c:pt>
                <c:pt idx="12">
                  <c:v>0.53600000000000003</c:v>
                </c:pt>
                <c:pt idx="13">
                  <c:v>0.48599999999999999</c:v>
                </c:pt>
                <c:pt idx="14">
                  <c:v>0.46799999999999997</c:v>
                </c:pt>
                <c:pt idx="15">
                  <c:v>0.41899999999999998</c:v>
                </c:pt>
                <c:pt idx="16">
                  <c:v>0.32100000000000001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overlap val="100"/>
        <c:axId val="122299136"/>
        <c:axId val="122300672"/>
      </c:barChart>
      <c:catAx>
        <c:axId val="122299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22300672"/>
        <c:crosses val="autoZero"/>
        <c:auto val="1"/>
        <c:lblAlgn val="ctr"/>
        <c:lblOffset val="100"/>
        <c:noMultiLvlLbl val="0"/>
      </c:catAx>
      <c:valAx>
        <c:axId val="122300672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22299136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19362063923577641"/>
          <c:y val="1.5213009870565434E-2"/>
          <c:w val="0.72337474321899586"/>
          <c:h val="4.2107293327157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AA03-CC19-4F78-974F-5A69C47D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10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5</cp:revision>
  <cp:lastPrinted>2015-11-16T08:07:00Z</cp:lastPrinted>
  <dcterms:created xsi:type="dcterms:W3CDTF">2017-11-16T11:27:00Z</dcterms:created>
  <dcterms:modified xsi:type="dcterms:W3CDTF">2017-11-20T13:26:00Z</dcterms:modified>
</cp:coreProperties>
</file>