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3A" w:rsidRPr="005F153A" w:rsidRDefault="005F153A" w:rsidP="00356E1F">
      <w:pPr>
        <w:pStyle w:val="Nadpis2"/>
      </w:pPr>
      <w:bookmarkStart w:id="0" w:name="_Toc481748798"/>
      <w:r w:rsidRPr="005F153A">
        <w:t>3.4 Výdaje za léky</w:t>
      </w:r>
      <w:bookmarkEnd w:id="0"/>
    </w:p>
    <w:p w:rsidR="00403484" w:rsidRDefault="005F153A" w:rsidP="005F153A">
      <w:pPr>
        <w:keepNext/>
        <w:spacing w:before="120"/>
        <w:jc w:val="both"/>
        <w:rPr>
          <w:bCs/>
        </w:rPr>
      </w:pPr>
      <w:r w:rsidRPr="005F153A">
        <w:rPr>
          <w:bCs/>
        </w:rPr>
        <w:t>Tato kapitola podává přehled základních údajů o celkových výdajích na léky od roku 2010. Poskytuje</w:t>
      </w:r>
      <w:r w:rsidR="00403484">
        <w:rPr>
          <w:bCs/>
        </w:rPr>
        <w:t> </w:t>
      </w:r>
      <w:r w:rsidRPr="005F153A">
        <w:rPr>
          <w:bCs/>
        </w:rPr>
        <w:t xml:space="preserve">především podrobné údaje o výdajích na léky </w:t>
      </w:r>
      <w:r w:rsidRPr="005F153A">
        <w:rPr>
          <w:b/>
          <w:bCs/>
        </w:rPr>
        <w:t>dle místa spotřeby a zdroje financování</w:t>
      </w:r>
      <w:r w:rsidRPr="005F153A">
        <w:rPr>
          <w:bCs/>
        </w:rPr>
        <w:t>. Místem</w:t>
      </w:r>
      <w:r w:rsidR="00403484">
        <w:rPr>
          <w:bCs/>
        </w:rPr>
        <w:t> </w:t>
      </w:r>
      <w:r w:rsidRPr="005F153A">
        <w:rPr>
          <w:bCs/>
        </w:rPr>
        <w:t xml:space="preserve">spotřeby jsou v této souvislosti myšleny </w:t>
      </w:r>
      <w:r w:rsidRPr="005F153A">
        <w:rPr>
          <w:b/>
          <w:bCs/>
        </w:rPr>
        <w:t>ambulantně vydávané léky</w:t>
      </w:r>
      <w:r w:rsidRPr="005F153A">
        <w:rPr>
          <w:bCs/>
        </w:rPr>
        <w:t>, tedy ty, které jsou buď vydávány pacientům na lékařský předpis, nebo jsou nakupovány v rámci volného prodeje léků</w:t>
      </w:r>
      <w:r w:rsidR="00B81475">
        <w:rPr>
          <w:rStyle w:val="Znakapoznpodarou"/>
          <w:bCs/>
        </w:rPr>
        <w:footnoteReference w:id="1"/>
      </w:r>
      <w:r w:rsidR="00B81475">
        <w:rPr>
          <w:bCs/>
        </w:rPr>
        <w:t>.</w:t>
      </w:r>
      <w:r w:rsidRPr="005F153A">
        <w:rPr>
          <w:bCs/>
        </w:rPr>
        <w:t xml:space="preserve"> Výdaje na ambulantně vydávané léky jsou doplněny o informace o lécích spotřebovávaných v rámci léčby přímo </w:t>
      </w:r>
      <w:r w:rsidRPr="005F153A">
        <w:rPr>
          <w:b/>
          <w:bCs/>
        </w:rPr>
        <w:t>ve</w:t>
      </w:r>
      <w:r w:rsidR="00403484">
        <w:rPr>
          <w:b/>
          <w:bCs/>
        </w:rPr>
        <w:t> </w:t>
      </w:r>
      <w:r w:rsidRPr="005F153A">
        <w:rPr>
          <w:b/>
          <w:bCs/>
        </w:rPr>
        <w:t>zdravotnických zařízeních</w:t>
      </w:r>
      <w:r w:rsidRPr="005F153A">
        <w:rPr>
          <w:bCs/>
        </w:rPr>
        <w:t xml:space="preserve"> (obvykle v rámci hospitalizací). </w:t>
      </w:r>
    </w:p>
    <w:p w:rsidR="005F153A" w:rsidRDefault="005F153A" w:rsidP="00403484">
      <w:pPr>
        <w:keepNext/>
        <w:jc w:val="both"/>
      </w:pPr>
      <w:r w:rsidRPr="005F153A">
        <w:rPr>
          <w:bCs/>
        </w:rPr>
        <w:t xml:space="preserve">Pozornost je zaměřena rovněž na výdaje na léky </w:t>
      </w:r>
      <w:r w:rsidRPr="005F153A">
        <w:rPr>
          <w:b/>
          <w:bCs/>
        </w:rPr>
        <w:t>z hlediska jejich financování.</w:t>
      </w:r>
      <w:r w:rsidRPr="005F153A">
        <w:rPr>
          <w:bCs/>
        </w:rPr>
        <w:t xml:space="preserve"> </w:t>
      </w:r>
      <w:r w:rsidRPr="005F153A">
        <w:t>V České republice mají v tomto směru klíčové postavení zdravotní pojišťovny, které hradí až 71 % veškerých výdajů na léky. Zbývající část výdajů na léky si lidé platí z vlastních kapes.</w:t>
      </w:r>
    </w:p>
    <w:p w:rsidR="005F153A" w:rsidRPr="00403484" w:rsidRDefault="005F153A" w:rsidP="00403484">
      <w:pPr>
        <w:pStyle w:val="Nadpis3"/>
      </w:pPr>
      <w:bookmarkStart w:id="1" w:name="_Toc481748799"/>
      <w:r w:rsidRPr="00403484">
        <w:t>3.4.1 Základní údaje</w:t>
      </w:r>
      <w:bookmarkEnd w:id="1"/>
    </w:p>
    <w:p w:rsidR="005F153A" w:rsidRPr="005F153A" w:rsidRDefault="005F153A" w:rsidP="005F153A">
      <w:pPr>
        <w:keepNext/>
        <w:spacing w:before="120"/>
        <w:jc w:val="both"/>
        <w:rPr>
          <w:bCs/>
        </w:rPr>
      </w:pPr>
      <w:r w:rsidRPr="005F153A">
        <w:rPr>
          <w:bCs/>
        </w:rPr>
        <w:t xml:space="preserve">V České republice bylo v roce 2015 vydáno </w:t>
      </w:r>
      <w:r w:rsidRPr="005F153A">
        <w:rPr>
          <w:b/>
          <w:bCs/>
        </w:rPr>
        <w:t>za léky</w:t>
      </w:r>
      <w:r w:rsidR="00403484">
        <w:rPr>
          <w:b/>
          <w:bCs/>
        </w:rPr>
        <w:t xml:space="preserve"> celkem</w:t>
      </w:r>
      <w:r w:rsidRPr="005F153A">
        <w:rPr>
          <w:bCs/>
        </w:rPr>
        <w:t xml:space="preserve"> 75,8 mld. Kč</w:t>
      </w:r>
      <w:r w:rsidR="00D30233">
        <w:rPr>
          <w:rStyle w:val="Znakapoznpodarou"/>
          <w:bCs/>
        </w:rPr>
        <w:footnoteReference w:id="2"/>
      </w:r>
      <w:r w:rsidRPr="005F153A">
        <w:rPr>
          <w:bCs/>
        </w:rPr>
        <w:t>, což představovalo 21,4 % veškerých výdajů na zdravotní péči. Na jednoho obyvatele ČR bylo v průměru utraceno v roce 2015 za léky 7 187 Kč. Léky na předpis hrazené z veřejného pojištění tvoří dlouhodobě více než 40 % celkových výdajů na léky (42 % v roce 2015 v porovnání s 48 % v roce 2010). Výdaje za léky spotřebované přímo v lůžkových zdravotnických zařízeních dosáhly v roce 2015 až 29 % (22,3 mld. Kč) z celkových výdajů na léky, což je nejvíce od roku 2010. Zbývajících 31 % v roce 2015 zahrnovaly přímé výdaje domácností na doplatky na léky na předpis (9,5 mld. Kč) a volně prodejné léky (12,3 mld. Kč).</w:t>
      </w:r>
    </w:p>
    <w:p w:rsidR="005F153A" w:rsidRPr="005F153A" w:rsidRDefault="005F153A" w:rsidP="005F153A">
      <w:pPr>
        <w:keepNext/>
        <w:spacing w:before="120"/>
        <w:jc w:val="both"/>
        <w:rPr>
          <w:bCs/>
        </w:rPr>
      </w:pPr>
      <w:r w:rsidRPr="005F153A">
        <w:rPr>
          <w:bCs/>
        </w:rPr>
        <w:t>Od roku 2010 včetně, tj. v uplynulých šesti letech bylo za léky v České republice utraceno 440 mld. Kč, z nich 312 miliard připadlo na léky placené z veřejného zdravotního pojištění a zbylých 128 miliard na léky placené přímo domácnostmi.</w:t>
      </w:r>
    </w:p>
    <w:p w:rsidR="005F153A" w:rsidRPr="005F153A" w:rsidRDefault="005F153A" w:rsidP="005F153A">
      <w:pPr>
        <w:keepNext/>
        <w:spacing w:before="240" w:after="120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3.4.1 Celkové výdaje za léky v České republice, 2010-2015 (mld. Kč; na 1 obyv., %)</w:t>
      </w:r>
    </w:p>
    <w:p w:rsidR="005F153A" w:rsidRPr="005F153A" w:rsidRDefault="005F153A" w:rsidP="005F153A">
      <w:pPr>
        <w:keepNext/>
        <w:spacing w:before="240" w:after="120"/>
        <w:rPr>
          <w:rFonts w:cs="Arial"/>
          <w:b/>
          <w:sz w:val="18"/>
          <w:szCs w:val="18"/>
        </w:rPr>
      </w:pPr>
      <w:r w:rsidRPr="005F153A">
        <w:rPr>
          <w:noProof/>
        </w:rPr>
        <w:drawing>
          <wp:inline distT="0" distB="0" distL="0" distR="0">
            <wp:extent cx="6153150" cy="2790825"/>
            <wp:effectExtent l="0" t="0" r="0" b="0"/>
            <wp:docPr id="53" name="Graf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F153A" w:rsidRPr="005F153A" w:rsidRDefault="005F153A" w:rsidP="005F153A">
      <w:pPr>
        <w:keepNext/>
        <w:spacing w:before="240" w:after="120"/>
        <w:jc w:val="right"/>
        <w:rPr>
          <w:bCs/>
        </w:rPr>
      </w:pPr>
      <w:r w:rsidRPr="005F153A">
        <w:rPr>
          <w:b/>
          <w:i/>
          <w:sz w:val="16"/>
          <w:szCs w:val="16"/>
        </w:rPr>
        <w:t>Zdroj: ČSÚ 2017, Zdravotnické účty ČR 2010 - 2015</w:t>
      </w:r>
    </w:p>
    <w:p w:rsidR="00B81475" w:rsidRPr="005F153A" w:rsidRDefault="00B81475" w:rsidP="00B81475">
      <w:pPr>
        <w:keepNext/>
        <w:spacing w:before="120"/>
        <w:jc w:val="both"/>
        <w:rPr>
          <w:bCs/>
        </w:rPr>
      </w:pPr>
      <w:r w:rsidRPr="005F153A">
        <w:rPr>
          <w:bCs/>
        </w:rPr>
        <w:t>Jak je patrné z</w:t>
      </w:r>
      <w:r>
        <w:rPr>
          <w:bCs/>
        </w:rPr>
        <w:t> </w:t>
      </w:r>
      <w:r w:rsidRPr="005F153A">
        <w:rPr>
          <w:bCs/>
        </w:rPr>
        <w:t>grafu</w:t>
      </w:r>
      <w:r>
        <w:rPr>
          <w:bCs/>
        </w:rPr>
        <w:t xml:space="preserve"> č. 3.4.1</w:t>
      </w:r>
      <w:r w:rsidRPr="005F153A">
        <w:rPr>
          <w:bCs/>
        </w:rPr>
        <w:t xml:space="preserve">, vývoj celkových výdajů za léky nevykazuje za období 2010 – 2015 jednoznačný trend. Celkové výdaje za léky postupně rostly mezi roky 2010 až 2012 až na částku </w:t>
      </w:r>
      <w:r w:rsidRPr="005F153A">
        <w:rPr>
          <w:bCs/>
        </w:rPr>
        <w:lastRenderedPageBreak/>
        <w:t>75,9</w:t>
      </w:r>
      <w:r>
        <w:rPr>
          <w:bCs/>
        </w:rPr>
        <w:t> </w:t>
      </w:r>
      <w:r w:rsidRPr="005F153A">
        <w:rPr>
          <w:bCs/>
        </w:rPr>
        <w:t>mld.</w:t>
      </w:r>
      <w:r>
        <w:rPr>
          <w:bCs/>
        </w:rPr>
        <w:t> </w:t>
      </w:r>
      <w:r w:rsidRPr="005F153A">
        <w:rPr>
          <w:bCs/>
        </w:rPr>
        <w:t xml:space="preserve">Kč, poté byl zaznamenán jejich pokles na 71,9 mld. Kč, </w:t>
      </w:r>
      <w:r w:rsidRPr="005F153A">
        <w:rPr>
          <w:szCs w:val="20"/>
        </w:rPr>
        <w:t>což bylo dáno nižšími výdaji na léky na předpis. Ve výročních zprávách SÚKL se uvádí</w:t>
      </w:r>
      <w:r>
        <w:rPr>
          <w:szCs w:val="20"/>
        </w:rPr>
        <w:t>,</w:t>
      </w:r>
      <w:r w:rsidRPr="005F153A">
        <w:rPr>
          <w:szCs w:val="20"/>
        </w:rPr>
        <w:t xml:space="preserve"> že při relativně stálém objemu léků na předpis byly patrné mírně klesající úhrady zdravotních pojišťoven za léky. V </w:t>
      </w:r>
      <w:r w:rsidRPr="005F153A">
        <w:rPr>
          <w:bCs/>
          <w:szCs w:val="20"/>
        </w:rPr>
        <w:t>roce 2014 dosahovaly výdaje</w:t>
      </w:r>
      <w:r w:rsidRPr="005F153A">
        <w:rPr>
          <w:bCs/>
        </w:rPr>
        <w:t xml:space="preserve"> na léky téměř k hranici 74 mld. Kč. Celkové výdaje na léky v roce 2015 opět vzrostly na výše uvedených 75,8 mld. Kč a</w:t>
      </w:r>
      <w:r>
        <w:rPr>
          <w:bCs/>
        </w:rPr>
        <w:t> </w:t>
      </w:r>
      <w:r w:rsidRPr="005F153A">
        <w:rPr>
          <w:bCs/>
        </w:rPr>
        <w:t xml:space="preserve">odpovídají úrovni roku 2012. </w:t>
      </w:r>
    </w:p>
    <w:p w:rsidR="00B81475" w:rsidRPr="004F78C3" w:rsidRDefault="00B81475" w:rsidP="00B81475">
      <w:pPr>
        <w:keepNext/>
        <w:spacing w:before="120"/>
        <w:jc w:val="both"/>
      </w:pPr>
      <w:r w:rsidRPr="005F153A">
        <w:t>V </w:t>
      </w:r>
      <w:r w:rsidRPr="005F153A">
        <w:rPr>
          <w:b/>
        </w:rPr>
        <w:t>mezinárodním srovnání</w:t>
      </w:r>
      <w:r w:rsidRPr="005F153A">
        <w:t xml:space="preserve"> jsou dostupné pouze výdaje ambulantně podávané léky včetně zdravotnického materiálu, ať už na předpis nebo volně prodejné za rok 2014. Výdaje na ambulantně podávané léky a</w:t>
      </w:r>
      <w:r>
        <w:t> </w:t>
      </w:r>
      <w:r w:rsidRPr="005F153A">
        <w:t>zdravotnický materiál v České republice ve vztahu k celkovým výdajům na zdravotní péči odpovídají průměru zemí EU (19 %) Nejvyšší výdaje v této skupině vykazuje Bulharsko (43 %) a Rumunsko (37 %).  Naopak nejnižší Lucembursko (11 %). Ze sousedních zemí zaznamenává vyšší výdaje na léky Slovensko (35 %). Bližší podrobnosti jsou uvedeny v </w:t>
      </w:r>
      <w:r w:rsidRPr="00E13A3C">
        <w:t>kapitole s mezinárodním srovnáním</w:t>
      </w:r>
      <w:r w:rsidRPr="004F78C3">
        <w:t>.</w:t>
      </w:r>
    </w:p>
    <w:p w:rsidR="005F153A" w:rsidRPr="004F78C3" w:rsidRDefault="005F153A" w:rsidP="005F153A">
      <w:pPr>
        <w:keepNext/>
        <w:spacing w:before="120"/>
        <w:jc w:val="both"/>
        <w:rPr>
          <w:b/>
          <w:bCs/>
          <w:i/>
        </w:rPr>
      </w:pPr>
      <w:r w:rsidRPr="004F78C3">
        <w:rPr>
          <w:b/>
          <w:bCs/>
          <w:i/>
        </w:rPr>
        <w:t>Rostou především výdaje za léky spotřebované přímo ve zdravotnických zařízeních</w:t>
      </w:r>
    </w:p>
    <w:p w:rsidR="005F153A" w:rsidRPr="004F78C3" w:rsidRDefault="005F153A" w:rsidP="005F153A">
      <w:pPr>
        <w:keepNext/>
        <w:spacing w:before="120"/>
        <w:jc w:val="both"/>
        <w:rPr>
          <w:bCs/>
        </w:rPr>
      </w:pPr>
      <w:r w:rsidRPr="004F78C3">
        <w:rPr>
          <w:bCs/>
        </w:rPr>
        <w:t xml:space="preserve">V roce 2015 </w:t>
      </w:r>
      <w:r w:rsidRPr="004F78C3">
        <w:rPr>
          <w:b/>
          <w:bCs/>
        </w:rPr>
        <w:t>meziročně</w:t>
      </w:r>
      <w:r w:rsidRPr="004F78C3">
        <w:rPr>
          <w:bCs/>
        </w:rPr>
        <w:t xml:space="preserve"> vzrostly výdaje na léky o 2,7 % (2 mld. Kč), a to především díky výdajům za léky spotřebovaných přímo ve zdravotnických zařízeních, které se v porovnání s rokem 2014 zvýšily o desetinu (2,1 mld. Kč). V roce 2015 nepatrně vzrostly (o 1,6 %; 0,2 mld. Kč) přímé výdaje domácností (jednotlivců) na volně prodejné léky. Podobněji viz </w:t>
      </w:r>
      <w:r w:rsidRPr="00E13A3C">
        <w:rPr>
          <w:bCs/>
        </w:rPr>
        <w:t>podkapitola č.</w:t>
      </w:r>
      <w:r w:rsidR="00B81475" w:rsidRPr="00E13A3C">
        <w:rPr>
          <w:bCs/>
        </w:rPr>
        <w:t xml:space="preserve"> </w:t>
      </w:r>
      <w:r w:rsidRPr="00E13A3C">
        <w:rPr>
          <w:bCs/>
        </w:rPr>
        <w:t>3.4.3</w:t>
      </w:r>
      <w:r w:rsidRPr="004F78C3">
        <w:rPr>
          <w:bCs/>
        </w:rPr>
        <w:t>.</w:t>
      </w:r>
    </w:p>
    <w:p w:rsidR="005F153A" w:rsidRPr="005F153A" w:rsidRDefault="005F153A" w:rsidP="005F153A">
      <w:pPr>
        <w:keepNext/>
        <w:spacing w:before="120"/>
        <w:jc w:val="both"/>
        <w:rPr>
          <w:b/>
          <w:bCs/>
        </w:rPr>
      </w:pPr>
      <w:r w:rsidRPr="004F78C3">
        <w:t>Vývoj jednotlivých skupin výdajů za léky se ve</w:t>
      </w:r>
      <w:r w:rsidRPr="005F153A">
        <w:t xml:space="preserve"> sledovaném období lišil (viz graf č. </w:t>
      </w:r>
      <w:r w:rsidR="00B81475" w:rsidRPr="00B81475">
        <w:t>3.4.</w:t>
      </w:r>
      <w:r w:rsidRPr="00B81475">
        <w:t>2).</w:t>
      </w:r>
      <w:r w:rsidRPr="005F153A">
        <w:t xml:space="preserve"> </w:t>
      </w:r>
      <w:r w:rsidRPr="005F153A">
        <w:rPr>
          <w:b/>
        </w:rPr>
        <w:t>U</w:t>
      </w:r>
      <w:r w:rsidR="00B81475">
        <w:rPr>
          <w:b/>
        </w:rPr>
        <w:t> </w:t>
      </w:r>
      <w:r w:rsidRPr="005F153A">
        <w:rPr>
          <w:b/>
        </w:rPr>
        <w:t>léků</w:t>
      </w:r>
      <w:r w:rsidR="00B81475">
        <w:rPr>
          <w:b/>
        </w:rPr>
        <w:t> </w:t>
      </w:r>
      <w:r w:rsidRPr="005F153A">
        <w:rPr>
          <w:b/>
        </w:rPr>
        <w:t>spotřebovaných ve zdravotnických zařízeních</w:t>
      </w:r>
      <w:r w:rsidRPr="005F153A">
        <w:t xml:space="preserve"> lze sledovat postupný nárůst, který činil v roce 2015 1,3násobek hodnoty z roku 2010. </w:t>
      </w:r>
      <w:r w:rsidRPr="005F153A">
        <w:rPr>
          <w:b/>
        </w:rPr>
        <w:t>U léků na předpis z veřejného zdravotního pojištění</w:t>
      </w:r>
      <w:r w:rsidRPr="005F153A">
        <w:t xml:space="preserve"> index výdajů ve sledovaném období průběžně kolísal s maximem v roce 2012 (110 % hodnoty roku 2010) a v dalších letech měl spíše sestupnou tendenci. </w:t>
      </w:r>
      <w:r w:rsidRPr="005F153A">
        <w:rPr>
          <w:b/>
        </w:rPr>
        <w:t>Doplatky na předepsané léky</w:t>
      </w:r>
      <w:r w:rsidRPr="005F153A">
        <w:t>, které hradí domácnosti, ve</w:t>
      </w:r>
      <w:r w:rsidR="00FE04DC">
        <w:t> </w:t>
      </w:r>
      <w:r w:rsidRPr="005F153A">
        <w:t xml:space="preserve">sledovaném období stagnovaly.  </w:t>
      </w:r>
      <w:r w:rsidRPr="005F153A">
        <w:rPr>
          <w:b/>
        </w:rPr>
        <w:t xml:space="preserve">U volně prodejných léků </w:t>
      </w:r>
      <w:r w:rsidRPr="005F153A">
        <w:t>index výdajů ve sledovaném období průběžně mírně kolísal s minimem v roce 2013 (95 % hodnoty roku 2010).</w:t>
      </w:r>
    </w:p>
    <w:p w:rsidR="005F153A" w:rsidRPr="005F153A" w:rsidRDefault="005F153A" w:rsidP="005F153A">
      <w:pPr>
        <w:keepNext/>
        <w:spacing w:before="120"/>
        <w:jc w:val="both"/>
        <w:rPr>
          <w:b/>
          <w:bCs/>
          <w:sz w:val="18"/>
          <w:szCs w:val="18"/>
        </w:rPr>
      </w:pPr>
      <w:r w:rsidRPr="005F153A">
        <w:rPr>
          <w:b/>
          <w:bCs/>
          <w:sz w:val="18"/>
          <w:szCs w:val="18"/>
        </w:rPr>
        <w:t>Graf 3.4.2 Vývoj výdajů za léky v letech 2010 - 2015 (index, 2010 = 100)</w:t>
      </w:r>
    </w:p>
    <w:p w:rsidR="005F153A" w:rsidRPr="005F153A" w:rsidRDefault="005F153A" w:rsidP="005F153A">
      <w:pPr>
        <w:keepNext/>
        <w:spacing w:before="120"/>
        <w:jc w:val="both"/>
        <w:rPr>
          <w:b/>
          <w:szCs w:val="22"/>
        </w:rPr>
      </w:pPr>
      <w:r w:rsidRPr="005F153A">
        <w:rPr>
          <w:noProof/>
        </w:rPr>
        <w:drawing>
          <wp:inline distT="0" distB="0" distL="0" distR="0">
            <wp:extent cx="6124575" cy="2457450"/>
            <wp:effectExtent l="19050" t="0" r="0" b="0"/>
            <wp:docPr id="54" name="Graf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F153A" w:rsidRPr="005F153A" w:rsidRDefault="005F153A" w:rsidP="005F153A">
      <w:pPr>
        <w:keepNext/>
        <w:spacing w:before="120"/>
        <w:jc w:val="right"/>
        <w:rPr>
          <w:bCs/>
        </w:rPr>
      </w:pPr>
      <w:r w:rsidRPr="005F153A">
        <w:rPr>
          <w:b/>
          <w:i/>
          <w:sz w:val="16"/>
          <w:szCs w:val="16"/>
        </w:rPr>
        <w:t>Zdroj: ČSÚ 2017, Zdravotnické účty ČR 2010 - 2015</w:t>
      </w:r>
    </w:p>
    <w:p w:rsidR="005F153A" w:rsidRPr="005F153A" w:rsidRDefault="005F153A" w:rsidP="005F153A">
      <w:pPr>
        <w:keepNext/>
        <w:jc w:val="both"/>
      </w:pPr>
    </w:p>
    <w:p w:rsidR="005F153A" w:rsidRPr="005F153A" w:rsidRDefault="005F153A" w:rsidP="005F153A">
      <w:pPr>
        <w:keepNext/>
        <w:jc w:val="both"/>
      </w:pPr>
      <w:r w:rsidRPr="005F153A">
        <w:t>Následujících několik údajů o spotřebě léčiv je čerpáno ze zdrojů Státního ústavu pro kontrolu léčiv (SÚKL). V roce 2015 bylo</w:t>
      </w:r>
      <w:r w:rsidR="00BA4D62">
        <w:t xml:space="preserve"> </w:t>
      </w:r>
      <w:r w:rsidR="00BA4D62" w:rsidRPr="00E22935">
        <w:t>do</w:t>
      </w:r>
      <w:r w:rsidRPr="005F153A">
        <w:t xml:space="preserve"> sítě zdravotnických zařízení v České republice dodáno 267,2 milionů balení léčivých přípravků, což ve srovnání s rokem 2005 znamená pokles o 38,1 %. Počet definovaných denních dávek</w:t>
      </w:r>
      <w:r w:rsidR="00B81475">
        <w:rPr>
          <w:rStyle w:val="Znakapoznpodarou"/>
        </w:rPr>
        <w:footnoteReference w:id="3"/>
      </w:r>
      <w:r w:rsidR="00B81475">
        <w:t xml:space="preserve"> </w:t>
      </w:r>
      <w:r w:rsidRPr="005F153A">
        <w:t>celkem v</w:t>
      </w:r>
      <w:r w:rsidR="00B81475">
        <w:t xml:space="preserve"> roce 2015 dosáhl 6 480,98 mil.,</w:t>
      </w:r>
      <w:r w:rsidRPr="005F153A">
        <w:t xml:space="preserve"> od roku 2005 vzrostl o 2,8%.  Finanční hodnota distribuovaných léčivých přípravků byla 61,98 miliard Kč (v cenách výrobce bez obchodní přirážky a DPH), oproti roku 2005 jejich cena se snížila o 4,2%.</w:t>
      </w:r>
    </w:p>
    <w:p w:rsidR="005F153A" w:rsidRPr="005F153A" w:rsidRDefault="005F153A" w:rsidP="00BA4D62">
      <w:pPr>
        <w:pStyle w:val="Nadpis3"/>
      </w:pPr>
      <w:bookmarkStart w:id="2" w:name="_Toc481748800"/>
      <w:r w:rsidRPr="005F153A">
        <w:lastRenderedPageBreak/>
        <w:t>3.4.2 Výdaje za léky podle místa jejich spotřeby</w:t>
      </w:r>
      <w:bookmarkEnd w:id="2"/>
      <w:r w:rsidRPr="005F153A">
        <w:t xml:space="preserve"> </w:t>
      </w:r>
    </w:p>
    <w:p w:rsidR="00BA4D62" w:rsidRDefault="005F153A" w:rsidP="00BA4D62">
      <w:pPr>
        <w:spacing w:before="120"/>
        <w:jc w:val="both"/>
        <w:rPr>
          <w:bCs/>
        </w:rPr>
      </w:pPr>
      <w:r w:rsidRPr="005F153A">
        <w:rPr>
          <w:bCs/>
        </w:rPr>
        <w:t xml:space="preserve">Za </w:t>
      </w:r>
      <w:r w:rsidRPr="005F153A">
        <w:rPr>
          <w:b/>
          <w:bCs/>
        </w:rPr>
        <w:t>ambulantně vydávané léky</w:t>
      </w:r>
      <w:r w:rsidRPr="005F153A">
        <w:rPr>
          <w:bCs/>
        </w:rPr>
        <w:t xml:space="preserve"> bylo v roce 2015 vynaloženo více než 53 mld. Kč, přičemž za léky vydané na předpis to bylo 41,2 mld. Kč a za volně prodejné léky 12,3 mld. Kč. Výdaje na ambulantně vydávané léky</w:t>
      </w:r>
      <w:r w:rsidR="00BA4D62">
        <w:rPr>
          <w:bCs/>
        </w:rPr>
        <w:t xml:space="preserve"> </w:t>
      </w:r>
      <w:r w:rsidRPr="005F153A">
        <w:rPr>
          <w:bCs/>
        </w:rPr>
        <w:t xml:space="preserve">tak tvořily 15 % celkových výdajů na zdravotní péči, které v roce 2015 dosáhly výše 353,7 mld. Kč. Na </w:t>
      </w:r>
      <w:r w:rsidRPr="005F153A">
        <w:rPr>
          <w:b/>
          <w:bCs/>
        </w:rPr>
        <w:t>léky spotřebované ve zdravotnických zařízeních</w:t>
      </w:r>
      <w:r w:rsidRPr="005F153A">
        <w:rPr>
          <w:bCs/>
        </w:rPr>
        <w:t xml:space="preserve"> bylo v roce 2015 vydáno o třetinu více korun než v roce 2010 (22,3 mld. Kč oproti 16,5 mld. Kč). V roce 2015 léky spotřebované ve zdravotnických zařízeních představovaly 6,3 % z celkových výdajů na zdravotní péči oproti 4,8 % v roce 2010.</w:t>
      </w:r>
    </w:p>
    <w:p w:rsidR="00BA4D62" w:rsidRDefault="005F153A" w:rsidP="00BA4D62">
      <w:pPr>
        <w:spacing w:before="24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3.4.3 Výdaje za léky v České republice podle místa spotřeby, 2010-2015 (mld. Kč; %)</w:t>
      </w:r>
      <w:r w:rsidR="00BA4D62">
        <w:rPr>
          <w:rFonts w:cs="Arial"/>
          <w:b/>
          <w:sz w:val="18"/>
          <w:szCs w:val="18"/>
        </w:rPr>
        <w:t xml:space="preserve"> </w:t>
      </w:r>
    </w:p>
    <w:p w:rsidR="00BA4D62" w:rsidRPr="00BA4D62" w:rsidRDefault="005F153A" w:rsidP="00BA4D62">
      <w:pPr>
        <w:pStyle w:val="Odstavecseseznamem"/>
        <w:numPr>
          <w:ilvl w:val="0"/>
          <w:numId w:val="32"/>
        </w:numPr>
        <w:ind w:left="714" w:hanging="357"/>
        <w:rPr>
          <w:rFonts w:cs="Arial"/>
          <w:b/>
          <w:sz w:val="18"/>
          <w:szCs w:val="18"/>
        </w:rPr>
      </w:pPr>
      <w:r w:rsidRPr="00BA4D62">
        <w:rPr>
          <w:rFonts w:cs="Arial"/>
          <w:b/>
          <w:sz w:val="18"/>
          <w:szCs w:val="18"/>
        </w:rPr>
        <w:t>v mld. Kč</w:t>
      </w:r>
    </w:p>
    <w:p w:rsidR="00BA4D62" w:rsidRDefault="005F153A" w:rsidP="00BA4D62">
      <w:pPr>
        <w:spacing w:before="120"/>
        <w:jc w:val="both"/>
        <w:rPr>
          <w:rFonts w:cs="Arial"/>
          <w:b/>
          <w:sz w:val="18"/>
          <w:szCs w:val="18"/>
        </w:rPr>
      </w:pPr>
      <w:r w:rsidRPr="005F153A">
        <w:rPr>
          <w:noProof/>
        </w:rPr>
        <w:drawing>
          <wp:inline distT="0" distB="0" distL="0" distR="0">
            <wp:extent cx="6191250" cy="3371850"/>
            <wp:effectExtent l="0" t="0" r="0" b="0"/>
            <wp:docPr id="55" name="Graf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F153A" w:rsidRPr="00AA3BA1" w:rsidRDefault="00BA4D62" w:rsidP="00BD2BDC">
      <w:pPr>
        <w:pStyle w:val="Odstavecseseznamem"/>
        <w:numPr>
          <w:ilvl w:val="0"/>
          <w:numId w:val="32"/>
        </w:numPr>
        <w:spacing w:before="240" w:after="0"/>
        <w:ind w:left="142" w:firstLine="0"/>
        <w:jc w:val="left"/>
        <w:rPr>
          <w:rFonts w:cs="Arial"/>
          <w:b/>
          <w:sz w:val="18"/>
          <w:szCs w:val="18"/>
        </w:rPr>
      </w:pPr>
      <w:r w:rsidRPr="00AA3BA1">
        <w:rPr>
          <w:rFonts w:cs="Arial"/>
          <w:b/>
          <w:sz w:val="18"/>
          <w:szCs w:val="18"/>
        </w:rPr>
        <w:t>s</w:t>
      </w:r>
      <w:r w:rsidR="005F153A" w:rsidRPr="00AA3BA1">
        <w:rPr>
          <w:rFonts w:cs="Arial"/>
          <w:b/>
          <w:sz w:val="18"/>
          <w:szCs w:val="18"/>
        </w:rPr>
        <w:t>truktura</w:t>
      </w:r>
      <w:r w:rsidRPr="00AA3BA1">
        <w:rPr>
          <w:rFonts w:cs="Arial"/>
          <w:b/>
          <w:sz w:val="18"/>
          <w:szCs w:val="18"/>
        </w:rPr>
        <w:t xml:space="preserve"> </w:t>
      </w:r>
      <w:r w:rsidR="005F153A" w:rsidRPr="00AA3BA1">
        <w:rPr>
          <w:rFonts w:cs="Arial"/>
          <w:b/>
          <w:sz w:val="18"/>
          <w:szCs w:val="18"/>
        </w:rPr>
        <w:t>(%)</w:t>
      </w:r>
      <w:r w:rsidR="005F153A" w:rsidRPr="005F153A">
        <w:rPr>
          <w:noProof/>
        </w:rPr>
        <w:drawing>
          <wp:inline distT="0" distB="0" distL="0" distR="0">
            <wp:extent cx="6105525" cy="2895600"/>
            <wp:effectExtent l="0" t="0" r="0" b="0"/>
            <wp:docPr id="56" name="Graf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75B3D">
        <w:rPr>
          <w:rFonts w:cs="Arial"/>
          <w:b/>
          <w:sz w:val="18"/>
          <w:szCs w:val="18"/>
        </w:rPr>
        <w:t xml:space="preserve">  </w:t>
      </w:r>
      <w:r w:rsidR="005F153A" w:rsidRPr="00AA3BA1">
        <w:rPr>
          <w:b/>
          <w:i/>
          <w:sz w:val="16"/>
          <w:szCs w:val="16"/>
        </w:rPr>
        <w:t>Zdroj: ČSÚ 2017, Zdravotnické účty ČR 2010 - 2015</w:t>
      </w:r>
    </w:p>
    <w:p w:rsidR="005F153A" w:rsidRPr="005F153A" w:rsidRDefault="005F153A" w:rsidP="00BA4D62">
      <w:pPr>
        <w:keepNext/>
        <w:tabs>
          <w:tab w:val="left" w:pos="945"/>
        </w:tabs>
        <w:spacing w:before="120"/>
        <w:jc w:val="both"/>
        <w:rPr>
          <w:szCs w:val="20"/>
        </w:rPr>
      </w:pPr>
      <w:r w:rsidRPr="005F153A">
        <w:rPr>
          <w:szCs w:val="20"/>
        </w:rPr>
        <w:lastRenderedPageBreak/>
        <w:t>Jak je patrné z grafu č.</w:t>
      </w:r>
      <w:r w:rsidR="00BA4D62">
        <w:rPr>
          <w:szCs w:val="20"/>
        </w:rPr>
        <w:t xml:space="preserve"> </w:t>
      </w:r>
      <w:r w:rsidRPr="005F153A">
        <w:rPr>
          <w:szCs w:val="20"/>
        </w:rPr>
        <w:t>3.4.3</w:t>
      </w:r>
      <w:r w:rsidR="00BA4D62">
        <w:rPr>
          <w:szCs w:val="20"/>
        </w:rPr>
        <w:t>,</w:t>
      </w:r>
      <w:r w:rsidRPr="005F153A">
        <w:rPr>
          <w:szCs w:val="20"/>
        </w:rPr>
        <w:t xml:space="preserve"> v letech 2010 – 2012 vzrostly výdaje na </w:t>
      </w:r>
      <w:r w:rsidRPr="005F153A">
        <w:rPr>
          <w:b/>
          <w:szCs w:val="20"/>
        </w:rPr>
        <w:t>léky na předpis hrazené z veřejného zdravotního pojištění</w:t>
      </w:r>
      <w:r w:rsidRPr="005F153A">
        <w:rPr>
          <w:szCs w:val="20"/>
        </w:rPr>
        <w:t xml:space="preserve"> o 3 mld. Kč a v roce 2012 dosáhly zatím svého maxima ve výši 36,7 mld. Kč. V dalších letech se výdaje na předepsané léky postupně snižovaly až na 31,7 mld. Kč v roce 2015. </w:t>
      </w:r>
    </w:p>
    <w:p w:rsidR="005F153A" w:rsidRPr="005F153A" w:rsidRDefault="005F153A" w:rsidP="005F153A">
      <w:pPr>
        <w:spacing w:before="120"/>
        <w:jc w:val="both"/>
        <w:rPr>
          <w:b/>
          <w:bCs/>
          <w:i/>
        </w:rPr>
      </w:pPr>
      <w:r w:rsidRPr="005F153A">
        <w:rPr>
          <w:b/>
          <w:bCs/>
          <w:i/>
        </w:rPr>
        <w:t>Od roku 2013 zůstávají výdaje na ambulantně vydávané léky stabilní</w:t>
      </w:r>
    </w:p>
    <w:p w:rsidR="005F153A" w:rsidRPr="005F153A" w:rsidRDefault="005F153A" w:rsidP="005F153A">
      <w:pPr>
        <w:spacing w:before="120"/>
        <w:jc w:val="both"/>
        <w:rPr>
          <w:bCs/>
        </w:rPr>
      </w:pPr>
      <w:r w:rsidRPr="005F153A">
        <w:rPr>
          <w:b/>
          <w:bCs/>
        </w:rPr>
        <w:t>Celkové výdaje na léky</w:t>
      </w:r>
      <w:r w:rsidRPr="005F153A">
        <w:rPr>
          <w:bCs/>
        </w:rPr>
        <w:t xml:space="preserve"> </w:t>
      </w:r>
      <w:r w:rsidRPr="005F153A">
        <w:rPr>
          <w:b/>
          <w:bCs/>
        </w:rPr>
        <w:t>vydávané ambulantně</w:t>
      </w:r>
      <w:r w:rsidRPr="005F153A">
        <w:rPr>
          <w:bCs/>
        </w:rPr>
        <w:t xml:space="preserve"> dosáhly v roce 2015 částky </w:t>
      </w:r>
      <w:r w:rsidRPr="005F153A">
        <w:rPr>
          <w:b/>
          <w:bCs/>
        </w:rPr>
        <w:t>53,5 mld. Kč</w:t>
      </w:r>
      <w:r w:rsidRPr="005F153A">
        <w:rPr>
          <w:bCs/>
        </w:rPr>
        <w:t>. Téměř tři pětiny výdajů (31,7 mld. Kč) tvořily výdaje za léky na předpis uhrazené z veřejného zdravotního pojištění. Za volně prodejné léky a doplatky za léky na předpis zaplatili pacienti dohromady 21,8 mld. Kč.</w:t>
      </w:r>
    </w:p>
    <w:p w:rsidR="005F153A" w:rsidRPr="005F153A" w:rsidRDefault="005F153A" w:rsidP="005F153A">
      <w:pPr>
        <w:spacing w:before="240" w:after="120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3.4.4 Výdaje za ambulantně vydávané léky, 2015 (mld. Kč; %)</w:t>
      </w:r>
    </w:p>
    <w:p w:rsidR="005F153A" w:rsidRPr="005F153A" w:rsidRDefault="005F153A" w:rsidP="005F153A">
      <w:pPr>
        <w:spacing w:before="120"/>
        <w:rPr>
          <w:bCs/>
        </w:rPr>
      </w:pPr>
      <w:r w:rsidRPr="005F153A">
        <w:rPr>
          <w:noProof/>
        </w:rPr>
        <w:drawing>
          <wp:inline distT="0" distB="0" distL="0" distR="0">
            <wp:extent cx="5972175" cy="2343150"/>
            <wp:effectExtent l="0" t="0" r="0" b="0"/>
            <wp:docPr id="57" name="Graf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F153A" w:rsidRPr="005F153A" w:rsidRDefault="005F153A" w:rsidP="00BA4D62">
      <w:pPr>
        <w:spacing w:before="120" w:after="240"/>
        <w:jc w:val="right"/>
        <w:rPr>
          <w:b/>
          <w:bCs/>
          <w:i/>
          <w:sz w:val="16"/>
          <w:szCs w:val="16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</w:p>
    <w:p w:rsidR="005F153A" w:rsidRPr="005F153A" w:rsidRDefault="005F153A" w:rsidP="005F153A">
      <w:pPr>
        <w:keepNext/>
        <w:jc w:val="both"/>
      </w:pPr>
      <w:r w:rsidRPr="005F153A">
        <w:t>Jak dokumentuje graf č.</w:t>
      </w:r>
      <w:r w:rsidR="00BA4D62">
        <w:t xml:space="preserve"> </w:t>
      </w:r>
      <w:r w:rsidRPr="005F153A">
        <w:t xml:space="preserve">3.4.5 </w:t>
      </w:r>
      <w:r w:rsidRPr="005F153A">
        <w:rPr>
          <w:b/>
        </w:rPr>
        <w:t>výdaje na léky na předpis</w:t>
      </w:r>
      <w:r w:rsidRPr="005F153A">
        <w:t xml:space="preserve"> </w:t>
      </w:r>
      <w:r w:rsidRPr="005F153A">
        <w:rPr>
          <w:b/>
        </w:rPr>
        <w:t>(hrazené z veřejného pojištění i doplatků domácností)</w:t>
      </w:r>
      <w:r w:rsidRPr="005F153A">
        <w:t xml:space="preserve">, tvořily v letech 2010 – 2015 až 77 % - 79 % ve skupině léků vydávaných ambulantně. </w:t>
      </w:r>
    </w:p>
    <w:p w:rsidR="005F153A" w:rsidRPr="005F153A" w:rsidRDefault="005F153A" w:rsidP="00BA4D62">
      <w:pPr>
        <w:keepNext/>
        <w:jc w:val="both"/>
      </w:pPr>
      <w:r w:rsidRPr="005F153A">
        <w:rPr>
          <w:b/>
        </w:rPr>
        <w:t>Výdaje na léky na předpis hrazené z veřejného zdravotního pojištění</w:t>
      </w:r>
      <w:r w:rsidRPr="005F153A">
        <w:t xml:space="preserve"> poklesly z maxima 36,7 mld. Kč v roce 2012 na 31,7 mld. Kč v roce 2015. </w:t>
      </w:r>
      <w:r w:rsidRPr="005F153A">
        <w:rPr>
          <w:b/>
        </w:rPr>
        <w:t>Doplatky pacientů za léky na předpis hrazené z domácností</w:t>
      </w:r>
      <w:r w:rsidRPr="005F153A">
        <w:t xml:space="preserve"> se pohybovaly v roce 2010 těsně pod hranicí 9 mld. Kč, následující rok se vzrostly o 0,5 mld. Kč a od té doby dosahují hodnoty zhruba 9,4 mld. Kč (viz graf č.</w:t>
      </w:r>
      <w:r w:rsidR="00BA4D62">
        <w:t xml:space="preserve"> </w:t>
      </w:r>
      <w:r w:rsidRPr="005F153A">
        <w:t>3.4.3).</w:t>
      </w:r>
    </w:p>
    <w:p w:rsidR="005F153A" w:rsidRPr="005F153A" w:rsidRDefault="005F153A" w:rsidP="005F153A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3.4.5 Struktura výdajů za ambulantně vydávané léky v ČR v letech 2010 až 2015 (v %)</w:t>
      </w:r>
    </w:p>
    <w:p w:rsidR="005F153A" w:rsidRPr="005F153A" w:rsidRDefault="005F153A" w:rsidP="005F153A">
      <w:pPr>
        <w:jc w:val="right"/>
        <w:rPr>
          <w:b/>
          <w:i/>
          <w:sz w:val="16"/>
          <w:szCs w:val="16"/>
        </w:rPr>
      </w:pPr>
      <w:r w:rsidRPr="005F153A">
        <w:rPr>
          <w:noProof/>
        </w:rPr>
        <w:drawing>
          <wp:inline distT="0" distB="0" distL="0" distR="0">
            <wp:extent cx="6172200" cy="2790825"/>
            <wp:effectExtent l="0" t="0" r="0" b="0"/>
            <wp:docPr id="58" name="Graf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F153A" w:rsidRPr="005F153A" w:rsidRDefault="005F153A" w:rsidP="005F153A">
      <w:pPr>
        <w:jc w:val="right"/>
        <w:rPr>
          <w:b/>
          <w:i/>
          <w:sz w:val="16"/>
          <w:szCs w:val="16"/>
        </w:rPr>
      </w:pPr>
    </w:p>
    <w:p w:rsidR="005F153A" w:rsidRPr="005F153A" w:rsidRDefault="005F153A" w:rsidP="005F153A">
      <w:pPr>
        <w:jc w:val="right"/>
      </w:pPr>
      <w:r w:rsidRPr="005F153A">
        <w:rPr>
          <w:b/>
          <w:i/>
          <w:sz w:val="16"/>
          <w:szCs w:val="16"/>
        </w:rPr>
        <w:t>Zdroj: ČSÚ 2017, Zdravotnické účty ČR 2010 - 2015</w:t>
      </w:r>
      <w:r w:rsidRPr="005F153A">
        <w:rPr>
          <w:i/>
          <w:sz w:val="16"/>
          <w:szCs w:val="16"/>
        </w:rPr>
        <w:t xml:space="preserve"> </w:t>
      </w:r>
    </w:p>
    <w:p w:rsidR="005F153A" w:rsidRPr="005F153A" w:rsidRDefault="005F153A" w:rsidP="00BA4D62">
      <w:pPr>
        <w:pStyle w:val="Nadpis3"/>
      </w:pPr>
      <w:bookmarkStart w:id="3" w:name="_3.4.3_Výdaje_za"/>
      <w:bookmarkStart w:id="4" w:name="_Toc481748801"/>
      <w:bookmarkEnd w:id="3"/>
      <w:r w:rsidRPr="005F153A">
        <w:lastRenderedPageBreak/>
        <w:t>3.4.3 Výdaje za léky podle zdrojů jejich financování</w:t>
      </w:r>
      <w:bookmarkEnd w:id="4"/>
      <w:r w:rsidRPr="005F153A">
        <w:t xml:space="preserve"> </w:t>
      </w:r>
    </w:p>
    <w:p w:rsidR="005F153A" w:rsidRPr="005D514D" w:rsidRDefault="005F153A" w:rsidP="005D514D">
      <w:pPr>
        <w:spacing w:before="240" w:after="120"/>
        <w:rPr>
          <w:rFonts w:eastAsia="MS Gothic"/>
          <w:b/>
          <w:i/>
        </w:rPr>
      </w:pPr>
      <w:r w:rsidRPr="005D514D">
        <w:rPr>
          <w:rFonts w:eastAsia="MS Gothic"/>
          <w:b/>
          <w:i/>
        </w:rPr>
        <w:t>Polovina výdajů domácností na zdravotní péči jde na doplatky na léky a volně prodejné léky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Výdaje za léky představují největší položku výdajů domácností na zdravotní péči. V roce 2015 utratily domácnosti celkem za volně prodejné léky a doplatky za léky na předpis 21,8 mld. Kč, což představovalo více než 48 % veškerých výdajů domácností na zdravotní péči. Jak naznačuje graf č</w:t>
      </w:r>
      <w:r w:rsidR="00BA4D62">
        <w:rPr>
          <w:bCs/>
          <w:szCs w:val="22"/>
        </w:rPr>
        <w:t>.</w:t>
      </w:r>
      <w:r w:rsidRPr="005F153A">
        <w:rPr>
          <w:bCs/>
          <w:szCs w:val="22"/>
        </w:rPr>
        <w:t xml:space="preserve"> </w:t>
      </w:r>
      <w:r w:rsidR="00BA4D62">
        <w:rPr>
          <w:bCs/>
          <w:szCs w:val="22"/>
        </w:rPr>
        <w:t>3.4.</w:t>
      </w:r>
      <w:r w:rsidRPr="005F153A">
        <w:rPr>
          <w:bCs/>
          <w:szCs w:val="22"/>
        </w:rPr>
        <w:t>6, ve sledovaném období nedocházelo k výrazným změnám, co se týká relativní zátěže plateb za léky v rozpočtech domácností na zdravotní péči. Od roku 2010 se pohybuje mezi 46 % a 49 % výdajů domácností na zdravotní péči.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Z údajů v grafu č</w:t>
      </w:r>
      <w:r w:rsidRPr="00F03967">
        <w:rPr>
          <w:bCs/>
          <w:szCs w:val="22"/>
        </w:rPr>
        <w:t>.</w:t>
      </w:r>
      <w:r w:rsidR="00F03967" w:rsidRPr="00F03967">
        <w:rPr>
          <w:bCs/>
          <w:szCs w:val="22"/>
        </w:rPr>
        <w:t xml:space="preserve"> </w:t>
      </w:r>
      <w:r w:rsidRPr="00F03967">
        <w:rPr>
          <w:bCs/>
          <w:szCs w:val="22"/>
        </w:rPr>
        <w:t>3.4.3</w:t>
      </w:r>
      <w:r w:rsidRPr="005F153A">
        <w:rPr>
          <w:bCs/>
          <w:szCs w:val="22"/>
        </w:rPr>
        <w:t xml:space="preserve"> vyplývá, že v roce 2015 doplácely domácnosti celkem 9,5 mld. Kč za léky na předpis, což </w:t>
      </w:r>
      <w:r w:rsidR="00F03967">
        <w:rPr>
          <w:bCs/>
          <w:szCs w:val="22"/>
        </w:rPr>
        <w:t xml:space="preserve">je </w:t>
      </w:r>
      <w:r w:rsidRPr="005F153A">
        <w:rPr>
          <w:bCs/>
          <w:szCs w:val="22"/>
        </w:rPr>
        <w:t>o 0,6 mld. Kč více než v roce 2010 (8,9 mld. Kč). Domácnosti dále vydaly celkem 12,3</w:t>
      </w:r>
      <w:r w:rsidR="00F03967">
        <w:rPr>
          <w:bCs/>
          <w:szCs w:val="22"/>
        </w:rPr>
        <w:t> </w:t>
      </w:r>
      <w:r w:rsidRPr="005F153A">
        <w:rPr>
          <w:bCs/>
          <w:szCs w:val="22"/>
        </w:rPr>
        <w:t>mld.</w:t>
      </w:r>
      <w:r w:rsidR="00F03967">
        <w:rPr>
          <w:bCs/>
          <w:szCs w:val="22"/>
        </w:rPr>
        <w:t> </w:t>
      </w:r>
      <w:r w:rsidRPr="005F153A">
        <w:rPr>
          <w:bCs/>
          <w:szCs w:val="22"/>
        </w:rPr>
        <w:t>Kč za volně prodejné léky, což představovalo nárůst o 4 % oproti roku 2010 (11,8 mld. Kč). Do</w:t>
      </w:r>
      <w:r w:rsidR="00F03967">
        <w:rPr>
          <w:bCs/>
          <w:szCs w:val="22"/>
        </w:rPr>
        <w:t> </w:t>
      </w:r>
      <w:r w:rsidRPr="005F153A">
        <w:rPr>
          <w:bCs/>
          <w:szCs w:val="22"/>
        </w:rPr>
        <w:t>ceny léků se mimo jiné promítá také aktuální výše snížené sazby daně z přidané hodnoty, která se ve sledovaném období několikrát měnila. Výdaje na léky spotřebované ve zdravotnických zařízeních se od roku 2010 postupně zvyšují.</w:t>
      </w:r>
    </w:p>
    <w:p w:rsidR="005F153A" w:rsidRPr="005F153A" w:rsidRDefault="005F153A" w:rsidP="00F03967">
      <w:pPr>
        <w:keepNext/>
        <w:spacing w:before="120" w:after="120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</w:t>
      </w:r>
      <w:r w:rsidR="00F03967">
        <w:rPr>
          <w:rFonts w:cs="Arial"/>
          <w:b/>
          <w:sz w:val="18"/>
          <w:szCs w:val="18"/>
        </w:rPr>
        <w:t xml:space="preserve"> </w:t>
      </w:r>
      <w:r w:rsidR="00F03967" w:rsidRPr="005F153A">
        <w:rPr>
          <w:rFonts w:cs="Arial"/>
          <w:b/>
          <w:sz w:val="18"/>
          <w:szCs w:val="18"/>
        </w:rPr>
        <w:t>3.4.6 Výdaje</w:t>
      </w:r>
      <w:r w:rsidRPr="005F153A">
        <w:rPr>
          <w:rFonts w:cs="Arial"/>
          <w:b/>
          <w:sz w:val="18"/>
          <w:szCs w:val="18"/>
        </w:rPr>
        <w:t xml:space="preserve"> za léky v České republice podle zdroje financování, 2010-2015 (mld. Kč; %)</w:t>
      </w:r>
    </w:p>
    <w:p w:rsidR="005F153A" w:rsidRPr="005F153A" w:rsidRDefault="005F153A" w:rsidP="00F03967">
      <w:pPr>
        <w:keepNext/>
        <w:numPr>
          <w:ilvl w:val="0"/>
          <w:numId w:val="31"/>
        </w:numPr>
        <w:spacing w:before="120" w:after="120" w:line="240" w:lineRule="auto"/>
        <w:ind w:left="1066" w:hanging="357"/>
        <w:contextualSpacing/>
        <w:jc w:val="both"/>
        <w:rPr>
          <w:b/>
          <w:bCs/>
          <w:szCs w:val="22"/>
        </w:rPr>
      </w:pPr>
      <w:r w:rsidRPr="005F153A">
        <w:rPr>
          <w:b/>
          <w:bCs/>
          <w:szCs w:val="22"/>
        </w:rPr>
        <w:t>v mld. Kč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noProof/>
        </w:rPr>
        <w:drawing>
          <wp:inline distT="0" distB="0" distL="0" distR="0">
            <wp:extent cx="5972175" cy="2933700"/>
            <wp:effectExtent l="0" t="0" r="0" b="0"/>
            <wp:docPr id="59" name="Graf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153A" w:rsidRPr="005F153A" w:rsidRDefault="005F153A" w:rsidP="00396A34">
      <w:pPr>
        <w:keepNext/>
        <w:numPr>
          <w:ilvl w:val="0"/>
          <w:numId w:val="31"/>
        </w:numPr>
        <w:spacing w:before="240" w:after="120" w:line="240" w:lineRule="auto"/>
        <w:ind w:left="1066" w:hanging="357"/>
        <w:contextualSpacing/>
        <w:jc w:val="both"/>
        <w:rPr>
          <w:b/>
          <w:bCs/>
          <w:szCs w:val="22"/>
        </w:rPr>
      </w:pPr>
      <w:r w:rsidRPr="005F153A">
        <w:rPr>
          <w:b/>
          <w:bCs/>
          <w:szCs w:val="22"/>
        </w:rPr>
        <w:t>struktura (%)</w:t>
      </w:r>
    </w:p>
    <w:p w:rsidR="005F153A" w:rsidRPr="005F153A" w:rsidRDefault="005F153A" w:rsidP="005F153A">
      <w:pPr>
        <w:spacing w:before="120"/>
        <w:jc w:val="both"/>
        <w:rPr>
          <w:b/>
          <w:i/>
          <w:sz w:val="16"/>
          <w:szCs w:val="16"/>
        </w:rPr>
      </w:pPr>
      <w:r w:rsidRPr="005F153A">
        <w:rPr>
          <w:noProof/>
        </w:rPr>
        <w:drawing>
          <wp:inline distT="0" distB="0" distL="0" distR="0">
            <wp:extent cx="5972175" cy="2390775"/>
            <wp:effectExtent l="0" t="0" r="0" b="0"/>
            <wp:docPr id="60" name="Graf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5F153A">
        <w:rPr>
          <w:b/>
          <w:i/>
          <w:sz w:val="16"/>
          <w:szCs w:val="16"/>
        </w:rPr>
        <w:t xml:space="preserve"> </w:t>
      </w:r>
    </w:p>
    <w:p w:rsidR="00F03967" w:rsidRDefault="005F153A" w:rsidP="00514041">
      <w:pPr>
        <w:spacing w:before="120" w:line="240" w:lineRule="auto"/>
        <w:jc w:val="right"/>
        <w:rPr>
          <w:b/>
          <w:bCs/>
          <w:i/>
          <w:szCs w:val="22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  <w:r w:rsidR="00F03967">
        <w:rPr>
          <w:b/>
          <w:bCs/>
          <w:i/>
          <w:szCs w:val="22"/>
        </w:rPr>
        <w:br w:type="page"/>
      </w:r>
    </w:p>
    <w:p w:rsidR="005F153A" w:rsidRPr="005F153A" w:rsidRDefault="005F153A" w:rsidP="005F153A">
      <w:pPr>
        <w:spacing w:before="120"/>
        <w:jc w:val="both"/>
        <w:rPr>
          <w:b/>
          <w:bCs/>
          <w:i/>
          <w:szCs w:val="22"/>
        </w:rPr>
      </w:pPr>
      <w:r w:rsidRPr="005F153A">
        <w:rPr>
          <w:b/>
          <w:bCs/>
          <w:i/>
          <w:szCs w:val="22"/>
        </w:rPr>
        <w:lastRenderedPageBreak/>
        <w:t xml:space="preserve">Každý obyvatel České republiky ročně zaplatí z vlastní peněženky za léky 2 tisíce korun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Z grafu č.</w:t>
      </w:r>
      <w:r w:rsidR="00514041">
        <w:rPr>
          <w:bCs/>
          <w:szCs w:val="22"/>
        </w:rPr>
        <w:t xml:space="preserve"> </w:t>
      </w:r>
      <w:r w:rsidRPr="005F153A">
        <w:rPr>
          <w:bCs/>
          <w:szCs w:val="22"/>
        </w:rPr>
        <w:t xml:space="preserve">3.4.7 je patrný vývoj </w:t>
      </w:r>
      <w:r w:rsidRPr="005F153A">
        <w:rPr>
          <w:b/>
          <w:bCs/>
          <w:szCs w:val="22"/>
        </w:rPr>
        <w:t>výdajů domácností za doplatky za léky na předpis a za volně prodejné léky</w:t>
      </w:r>
      <w:r w:rsidRPr="005F153A">
        <w:rPr>
          <w:bCs/>
          <w:szCs w:val="22"/>
        </w:rPr>
        <w:t xml:space="preserve"> </w:t>
      </w:r>
      <w:r w:rsidRPr="005F153A">
        <w:rPr>
          <w:b/>
          <w:bCs/>
          <w:szCs w:val="22"/>
        </w:rPr>
        <w:t>přepočtený na jednoho obyvatele</w:t>
      </w:r>
      <w:r w:rsidRPr="005F153A">
        <w:rPr>
          <w:bCs/>
          <w:szCs w:val="22"/>
        </w:rPr>
        <w:t xml:space="preserve">. V průměru na 1 obyvatele bylo v ČR v roce 2015 vydáno domácnostmi více než 2 000 Kč, přičemž z toho 902 Kč stály doplatky za léky na předpis a 1 168 Kč volně prodejné léky.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Doplatky na léky na předpis rostly až do roku 2012, kdy dosáhly na více než 890 Kč. Po mírném poklesu v roce 2013 (885 Kč) překonaly doplatky na 1 obyvatele v následujících dvou letech hranici 900 Kč. Výdaje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na volně prodejné nezaznamenaly v letech 2010 – 2015 výrazných změn a jejich výše se dlouhodobě pohybuje okolo 1 100 Kč.</w:t>
      </w:r>
    </w:p>
    <w:p w:rsidR="005F153A" w:rsidRPr="005F153A" w:rsidRDefault="005F153A" w:rsidP="005F153A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3.4.7 Výdaje domácností v ČR za léky, 2010-2015 (na 1 obyvatele v</w:t>
      </w:r>
      <w:r w:rsidR="00426A61">
        <w:rPr>
          <w:rFonts w:cs="Arial"/>
          <w:b/>
          <w:sz w:val="18"/>
          <w:szCs w:val="18"/>
        </w:rPr>
        <w:t> </w:t>
      </w:r>
      <w:r w:rsidRPr="005F153A">
        <w:rPr>
          <w:rFonts w:cs="Arial"/>
          <w:b/>
          <w:sz w:val="18"/>
          <w:szCs w:val="18"/>
        </w:rPr>
        <w:t>Kč</w:t>
      </w:r>
      <w:r w:rsidR="00426A61">
        <w:rPr>
          <w:rFonts w:cs="Arial"/>
          <w:b/>
          <w:sz w:val="18"/>
          <w:szCs w:val="18"/>
        </w:rPr>
        <w:t xml:space="preserve">, </w:t>
      </w:r>
      <w:r w:rsidRPr="005F153A">
        <w:rPr>
          <w:rFonts w:cs="Arial"/>
          <w:b/>
          <w:sz w:val="18"/>
          <w:szCs w:val="18"/>
        </w:rPr>
        <w:t>podíl na zdravotní péči v %)</w:t>
      </w:r>
    </w:p>
    <w:p w:rsidR="005F153A" w:rsidRPr="005F153A" w:rsidRDefault="005F153A" w:rsidP="005F153A">
      <w:pPr>
        <w:keepNext/>
        <w:spacing w:before="200" w:after="120"/>
        <w:jc w:val="both"/>
        <w:outlineLvl w:val="1"/>
        <w:rPr>
          <w:rFonts w:eastAsia="MS Gothic"/>
          <w:b/>
          <w:bCs/>
          <w:i/>
        </w:rPr>
      </w:pPr>
      <w:r w:rsidRPr="005F153A">
        <w:rPr>
          <w:rFonts w:eastAsia="MS Gothic"/>
          <w:b/>
          <w:bCs/>
          <w:noProof/>
          <w:color w:val="BC091B"/>
          <w:sz w:val="28"/>
          <w:szCs w:val="26"/>
        </w:rPr>
        <w:drawing>
          <wp:inline distT="0" distB="0" distL="0" distR="0">
            <wp:extent cx="6106411" cy="3115339"/>
            <wp:effectExtent l="19050" t="0" r="0" b="0"/>
            <wp:docPr id="61" name="Graf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F153A" w:rsidRPr="005F153A" w:rsidRDefault="005F153A" w:rsidP="005F153A">
      <w:pPr>
        <w:spacing w:before="120" w:line="240" w:lineRule="auto"/>
        <w:jc w:val="right"/>
        <w:rPr>
          <w:b/>
          <w:bCs/>
          <w:i/>
          <w:sz w:val="16"/>
          <w:szCs w:val="16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</w:p>
    <w:p w:rsidR="005F153A" w:rsidRPr="005D514D" w:rsidRDefault="005F153A" w:rsidP="005D514D">
      <w:pPr>
        <w:spacing w:before="240" w:after="120"/>
        <w:rPr>
          <w:rFonts w:eastAsia="MS Gothic"/>
          <w:b/>
          <w:i/>
        </w:rPr>
      </w:pPr>
      <w:r w:rsidRPr="005D514D">
        <w:rPr>
          <w:rFonts w:eastAsia="MS Gothic"/>
          <w:b/>
          <w:i/>
        </w:rPr>
        <w:t xml:space="preserve">Maximální výdaje zdravotních pojišťoven na léky spotřebované ve zdravotnických zařízeních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rFonts w:cs="Arial"/>
          <w:b/>
          <w:color w:val="000000"/>
          <w:szCs w:val="20"/>
        </w:rPr>
        <w:t>Výdaje zdravotních pojišťoven na zdravotní péči</w:t>
      </w:r>
      <w:r w:rsidRPr="005F153A">
        <w:rPr>
          <w:rFonts w:cs="Arial"/>
          <w:color w:val="000000"/>
          <w:szCs w:val="20"/>
        </w:rPr>
        <w:t xml:space="preserve"> v roce 2015 dosáhly 234,7 </w:t>
      </w:r>
      <w:r w:rsidRPr="005F153A">
        <w:rPr>
          <w:szCs w:val="17"/>
        </w:rPr>
        <w:t>mld. Kč</w:t>
      </w:r>
      <w:r w:rsidRPr="005F153A">
        <w:rPr>
          <w:rFonts w:cs="Arial"/>
          <w:color w:val="000000"/>
          <w:szCs w:val="20"/>
        </w:rPr>
        <w:t xml:space="preserve">, tedy 66 % z celkových výdajů na zdravotní péči v České republice. </w:t>
      </w:r>
      <w:r w:rsidRPr="005F153A">
        <w:rPr>
          <w:b/>
          <w:bCs/>
          <w:szCs w:val="22"/>
        </w:rPr>
        <w:t>Úhrady z veřejného pojištění</w:t>
      </w:r>
      <w:r w:rsidRPr="005F153A">
        <w:rPr>
          <w:bCs/>
          <w:szCs w:val="22"/>
        </w:rPr>
        <w:t xml:space="preserve"> za léky na předpis a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léky spotřebované ve zdravotnických zařízeních dosáhly v </w:t>
      </w:r>
      <w:r w:rsidR="00514041">
        <w:rPr>
          <w:bCs/>
          <w:szCs w:val="22"/>
        </w:rPr>
        <w:t>roce 2015 výše 54 mld. Kč (viz</w:t>
      </w:r>
      <w:r w:rsidRPr="005F153A">
        <w:rPr>
          <w:bCs/>
          <w:szCs w:val="22"/>
        </w:rPr>
        <w:t xml:space="preserve"> </w:t>
      </w:r>
      <w:r w:rsidRPr="004F78C3">
        <w:rPr>
          <w:bCs/>
          <w:szCs w:val="22"/>
        </w:rPr>
        <w:t xml:space="preserve">graf </w:t>
      </w:r>
      <w:r w:rsidR="00514041" w:rsidRPr="004F78C3">
        <w:rPr>
          <w:bCs/>
          <w:szCs w:val="22"/>
        </w:rPr>
        <w:t>č. 3</w:t>
      </w:r>
      <w:r w:rsidR="004F78C3" w:rsidRPr="004F78C3">
        <w:rPr>
          <w:bCs/>
          <w:szCs w:val="22"/>
        </w:rPr>
        <w:t>.4.3</w:t>
      </w:r>
      <w:r w:rsidR="00514041" w:rsidRPr="004F78C3">
        <w:rPr>
          <w:bCs/>
          <w:szCs w:val="22"/>
        </w:rPr>
        <w:t>) a tvořily</w:t>
      </w:r>
      <w:r w:rsidRPr="004F78C3">
        <w:rPr>
          <w:bCs/>
          <w:szCs w:val="22"/>
        </w:rPr>
        <w:t xml:space="preserve"> tak 23 % celkových výdajů zdravotních pojišťoven na zdravotní péči. Podíl výdajů za uvedené</w:t>
      </w:r>
      <w:r w:rsidRPr="005F153A">
        <w:rPr>
          <w:bCs/>
          <w:szCs w:val="22"/>
        </w:rPr>
        <w:t xml:space="preserve"> skupiny léků na kompletních výdajích zdravotních pojišťoven na zdravotní péči zůstává od roku 2010 bez výrazných z</w:t>
      </w:r>
      <w:r w:rsidR="00514041">
        <w:rPr>
          <w:bCs/>
          <w:szCs w:val="22"/>
        </w:rPr>
        <w:t>měn a pohybuje se v rozmezí 21</w:t>
      </w:r>
      <w:r w:rsidRPr="005F153A">
        <w:rPr>
          <w:bCs/>
          <w:szCs w:val="22"/>
        </w:rPr>
        <w:t xml:space="preserve"> - 23 %.</w:t>
      </w:r>
    </w:p>
    <w:p w:rsidR="005F153A" w:rsidRPr="005F153A" w:rsidRDefault="005F153A" w:rsidP="005F153A">
      <w:pPr>
        <w:keepNext/>
        <w:spacing w:before="120"/>
        <w:jc w:val="both"/>
        <w:rPr>
          <w:szCs w:val="20"/>
        </w:rPr>
      </w:pPr>
      <w:r w:rsidRPr="005F153A">
        <w:rPr>
          <w:bCs/>
          <w:szCs w:val="22"/>
        </w:rPr>
        <w:t xml:space="preserve">Výdaje zdravotních pojišťoven </w:t>
      </w:r>
      <w:r w:rsidRPr="005F153A">
        <w:rPr>
          <w:b/>
          <w:bCs/>
          <w:szCs w:val="22"/>
        </w:rPr>
        <w:t>za léky na předpis</w:t>
      </w:r>
      <w:r w:rsidRPr="005F153A">
        <w:rPr>
          <w:bCs/>
          <w:szCs w:val="22"/>
        </w:rPr>
        <w:t xml:space="preserve"> dosahují ve sledovaném období 2010 – 2015 v průměru okolo 32,5 mld. Kč. Výjimkou byl rok 2012, který znamenal pro zdravotní pojišťovny vyšší výdaje za léky na předpis (36,7 mld. Kč), především v důsledku zvýšení DPH z 10 na 14</w:t>
      </w:r>
      <w:r w:rsidR="00514041">
        <w:rPr>
          <w:bCs/>
          <w:szCs w:val="22"/>
        </w:rPr>
        <w:t xml:space="preserve"> </w:t>
      </w:r>
      <w:r w:rsidRPr="005F153A">
        <w:rPr>
          <w:bCs/>
          <w:szCs w:val="22"/>
        </w:rPr>
        <w:t xml:space="preserve">%. </w:t>
      </w:r>
      <w:r w:rsidRPr="005F153A">
        <w:rPr>
          <w:szCs w:val="20"/>
        </w:rPr>
        <w:t xml:space="preserve">Pokles výdajů </w:t>
      </w:r>
      <w:r w:rsidRPr="005F153A">
        <w:rPr>
          <w:b/>
          <w:szCs w:val="20"/>
        </w:rPr>
        <w:t>zdravotních pojišťoven</w:t>
      </w:r>
      <w:r w:rsidRPr="005F153A">
        <w:rPr>
          <w:szCs w:val="20"/>
        </w:rPr>
        <w:t xml:space="preserve"> na léky na předpis byl v průběhu sledovaného období ovlivněn mnoha administrativními změnami např. snížením počtu úhrad z veřejného zdravotního pojištění, každoroční kolísání v počtu vydaných receptů, zařazení léčivých prostředků na Pozitivní listy, přesun nákladů na léčivé prostředky z receptu na zvlášť účtované léčivé přípravky (viz </w:t>
      </w:r>
      <w:r w:rsidRPr="00E13A3C">
        <w:rPr>
          <w:szCs w:val="20"/>
        </w:rPr>
        <w:t>metodická příloha</w:t>
      </w:r>
      <w:r w:rsidRPr="005F153A">
        <w:rPr>
          <w:szCs w:val="20"/>
        </w:rPr>
        <w:t xml:space="preserve">).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 xml:space="preserve">Výdaje zdravotních pojišťoven </w:t>
      </w:r>
      <w:r w:rsidRPr="005F153A">
        <w:rPr>
          <w:b/>
          <w:bCs/>
          <w:szCs w:val="22"/>
        </w:rPr>
        <w:t>za léky</w:t>
      </w:r>
      <w:r w:rsidRPr="005F153A">
        <w:rPr>
          <w:bCs/>
          <w:szCs w:val="22"/>
        </w:rPr>
        <w:t xml:space="preserve"> </w:t>
      </w:r>
      <w:r w:rsidRPr="005F153A">
        <w:rPr>
          <w:b/>
          <w:bCs/>
          <w:szCs w:val="22"/>
        </w:rPr>
        <w:t>spotřebované ve zdravotnických zařízeních</w:t>
      </w:r>
      <w:r w:rsidRPr="005F153A">
        <w:rPr>
          <w:bCs/>
          <w:szCs w:val="22"/>
        </w:rPr>
        <w:t xml:space="preserve"> se zvyšují každoročně. V roce 2015 dosáhly výše 22,3 mld. Kč, což je téměř o 6 mld. Kč více než v roce 2010.  </w:t>
      </w:r>
    </w:p>
    <w:p w:rsidR="00514041" w:rsidRDefault="00514041">
      <w:pPr>
        <w:spacing w:line="240" w:lineRule="auto"/>
        <w:rPr>
          <w:bCs/>
          <w:szCs w:val="22"/>
        </w:rPr>
      </w:pPr>
      <w:r>
        <w:rPr>
          <w:bCs/>
          <w:szCs w:val="22"/>
        </w:rPr>
        <w:br w:type="page"/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lastRenderedPageBreak/>
        <w:t xml:space="preserve">Graf č. 3.4.8 přináší přehled </w:t>
      </w:r>
      <w:r w:rsidRPr="005F153A">
        <w:rPr>
          <w:b/>
          <w:bCs/>
          <w:szCs w:val="22"/>
        </w:rPr>
        <w:t>výdajů zdravotních pojišťoven za léky na předpis a za léky poskytnuté pacientům ve zdravotnických zařízeních na jednoho pojištěnce</w:t>
      </w:r>
      <w:r w:rsidRPr="005F153A">
        <w:rPr>
          <w:bCs/>
          <w:szCs w:val="22"/>
        </w:rPr>
        <w:t xml:space="preserve"> veřejného zdravotního pojištění. Výdaje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zdravotních pojišťoven za jmenované kategorie léků dosáhly v roce 2015 zhruba 5 tisíc Kč za 1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pojištěnce, z čehož za léky na předpis to bylo 3 037 Kč a za léky spotřebované ve zdravotnických za</w:t>
      </w:r>
      <w:bookmarkStart w:id="5" w:name="_GoBack"/>
      <w:bookmarkEnd w:id="5"/>
      <w:r w:rsidRPr="005F153A">
        <w:rPr>
          <w:bCs/>
          <w:szCs w:val="22"/>
        </w:rPr>
        <w:t xml:space="preserve">řízeních 2 140 Kč. </w:t>
      </w:r>
    </w:p>
    <w:p w:rsidR="005F153A" w:rsidRPr="005F153A" w:rsidRDefault="005F153A" w:rsidP="005D514D">
      <w:pPr>
        <w:spacing w:before="200" w:after="120"/>
        <w:jc w:val="both"/>
        <w:rPr>
          <w:rFonts w:eastAsia="MS Gothic"/>
        </w:rPr>
      </w:pPr>
      <w:r w:rsidRPr="005F153A">
        <w:rPr>
          <w:rFonts w:eastAsia="MS Gothic"/>
        </w:rPr>
        <w:t xml:space="preserve">Podrobnější informace o celkových výdajích na zdravotní péči, jejichž zdrojem jsou zdravotní pojišťovny, jsou zveřejněny v samostatné </w:t>
      </w:r>
      <w:r w:rsidRPr="00F02F8E">
        <w:rPr>
          <w:rFonts w:eastAsia="MS Gothic"/>
        </w:rPr>
        <w:t>kapitole č 3.1.</w:t>
      </w:r>
    </w:p>
    <w:p w:rsidR="005F153A" w:rsidRPr="005F153A" w:rsidRDefault="005F153A" w:rsidP="005F153A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 xml:space="preserve">Graf č. 3.4.8 Výdaje zdravotních pojišťoven za léky, </w:t>
      </w:r>
      <w:r w:rsidRPr="005F153A">
        <w:rPr>
          <w:b/>
          <w:bCs/>
          <w:sz w:val="18"/>
          <w:szCs w:val="18"/>
        </w:rPr>
        <w:t>2010-2015 (</w:t>
      </w:r>
      <w:r w:rsidR="00514041">
        <w:rPr>
          <w:rFonts w:cs="Arial"/>
          <w:b/>
          <w:sz w:val="18"/>
          <w:szCs w:val="18"/>
        </w:rPr>
        <w:t>na 1 pojištěnce</w:t>
      </w:r>
      <w:r w:rsidR="00426A61">
        <w:rPr>
          <w:rFonts w:cs="Arial"/>
          <w:b/>
          <w:sz w:val="18"/>
          <w:szCs w:val="18"/>
        </w:rPr>
        <w:t xml:space="preserve"> </w:t>
      </w:r>
      <w:r w:rsidR="00426A61" w:rsidRPr="005F153A">
        <w:rPr>
          <w:b/>
          <w:bCs/>
          <w:sz w:val="18"/>
          <w:szCs w:val="18"/>
        </w:rPr>
        <w:t>v</w:t>
      </w:r>
      <w:r w:rsidR="00426A61">
        <w:rPr>
          <w:rFonts w:cs="Arial"/>
          <w:b/>
          <w:sz w:val="18"/>
          <w:szCs w:val="18"/>
        </w:rPr>
        <w:t> Kč</w:t>
      </w:r>
      <w:r w:rsidR="00426A61">
        <w:rPr>
          <w:rFonts w:cs="Arial"/>
          <w:b/>
          <w:sz w:val="18"/>
          <w:szCs w:val="18"/>
          <w:lang w:val="en-US"/>
        </w:rPr>
        <w:t>;</w:t>
      </w:r>
      <w:r w:rsidRPr="005F153A">
        <w:rPr>
          <w:rFonts w:cs="Arial"/>
          <w:b/>
          <w:sz w:val="18"/>
          <w:szCs w:val="18"/>
        </w:rPr>
        <w:t xml:space="preserve"> podíl na zdrav.  </w:t>
      </w:r>
      <w:proofErr w:type="gramStart"/>
      <w:r w:rsidRPr="005F153A">
        <w:rPr>
          <w:rFonts w:cs="Arial"/>
          <w:b/>
          <w:sz w:val="18"/>
          <w:szCs w:val="18"/>
        </w:rPr>
        <w:t>péči</w:t>
      </w:r>
      <w:proofErr w:type="gramEnd"/>
      <w:r w:rsidRPr="005F153A">
        <w:rPr>
          <w:rFonts w:cs="Arial"/>
          <w:b/>
          <w:sz w:val="18"/>
          <w:szCs w:val="18"/>
        </w:rPr>
        <w:t xml:space="preserve"> v %)</w:t>
      </w:r>
    </w:p>
    <w:p w:rsidR="005F153A" w:rsidRPr="005F153A" w:rsidRDefault="005F153A" w:rsidP="005F153A">
      <w:pPr>
        <w:spacing w:before="240" w:after="120"/>
        <w:jc w:val="both"/>
        <w:rPr>
          <w:b/>
          <w:bCs/>
          <w:sz w:val="18"/>
          <w:szCs w:val="18"/>
        </w:rPr>
      </w:pPr>
      <w:r w:rsidRPr="005F153A">
        <w:rPr>
          <w:noProof/>
        </w:rPr>
        <w:drawing>
          <wp:inline distT="0" distB="0" distL="0" distR="0">
            <wp:extent cx="6124575" cy="4352925"/>
            <wp:effectExtent l="0" t="0" r="0" b="0"/>
            <wp:docPr id="62" name="Graf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F153A" w:rsidRPr="005F153A" w:rsidRDefault="005F153A" w:rsidP="000A2D10">
      <w:pPr>
        <w:spacing w:line="240" w:lineRule="auto"/>
        <w:jc w:val="right"/>
        <w:rPr>
          <w:b/>
          <w:bCs/>
          <w:i/>
          <w:sz w:val="16"/>
          <w:szCs w:val="16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</w:p>
    <w:p w:rsidR="005F153A" w:rsidRPr="005F153A" w:rsidRDefault="005F153A" w:rsidP="005F153A">
      <w:pPr>
        <w:spacing w:before="240" w:after="120"/>
        <w:jc w:val="both"/>
      </w:pPr>
      <w:r w:rsidRPr="005F153A">
        <w:rPr>
          <w:b/>
          <w:bCs/>
          <w:szCs w:val="22"/>
        </w:rPr>
        <w:t>Zdravotní pojišťovny vydaly v roce 2015</w:t>
      </w:r>
      <w:r w:rsidRPr="005F153A">
        <w:rPr>
          <w:bCs/>
          <w:szCs w:val="22"/>
        </w:rPr>
        <w:t xml:space="preserve"> </w:t>
      </w:r>
      <w:r w:rsidRPr="005F153A">
        <w:rPr>
          <w:b/>
          <w:bCs/>
          <w:szCs w:val="22"/>
        </w:rPr>
        <w:t>za léky pro specializovaná centra</w:t>
      </w:r>
      <w:r w:rsidRPr="005F153A">
        <w:rPr>
          <w:bCs/>
          <w:szCs w:val="22"/>
        </w:rPr>
        <w:t xml:space="preserve">, kde se léčí rakovina, roztroušená skleróza či hemofilie, </w:t>
      </w:r>
      <w:r w:rsidRPr="005F153A">
        <w:rPr>
          <w:b/>
          <w:bCs/>
          <w:szCs w:val="22"/>
        </w:rPr>
        <w:t>téměř 13 miliard korun</w:t>
      </w:r>
      <w:r w:rsidRPr="005F153A">
        <w:rPr>
          <w:bCs/>
          <w:szCs w:val="22"/>
        </w:rPr>
        <w:t xml:space="preserve">. Podle vyjádření zástupců zdravotních pojišťoven jde o nejrychleji rostoucí oblast péče. </w:t>
      </w:r>
      <w:r w:rsidRPr="005F153A">
        <w:t>Největší díl peněz jde na přípravky onkologické, používané při tzv.</w:t>
      </w:r>
      <w:r w:rsidR="00514041">
        <w:t> </w:t>
      </w:r>
      <w:r w:rsidRPr="005F153A">
        <w:t>imunoterapii. Následují přípravky na léčbu metabolických onemocnění, na léčbu kardiovaskulárníc</w:t>
      </w:r>
      <w:r w:rsidR="00514041">
        <w:t>h a </w:t>
      </w:r>
      <w:r w:rsidRPr="005F153A">
        <w:t>neurologických onemocnění. Náklady na léčbu onkologických a imunologických onemocnění stoupají v</w:t>
      </w:r>
      <w:r w:rsidR="00514041">
        <w:t> </w:t>
      </w:r>
      <w:r w:rsidRPr="005F153A">
        <w:t xml:space="preserve">důsledku toho, že se užívají nová, nákladná léčiva, a také se prodlužuje doba přežití léčených pacientů. </w:t>
      </w:r>
    </w:p>
    <w:p w:rsidR="005F153A" w:rsidRDefault="005F153A" w:rsidP="005F153A">
      <w:pPr>
        <w:spacing w:before="120"/>
        <w:jc w:val="both"/>
        <w:rPr>
          <w:bCs/>
          <w:szCs w:val="22"/>
        </w:rPr>
      </w:pPr>
    </w:p>
    <w:p w:rsidR="005376AD" w:rsidRDefault="005376AD" w:rsidP="005F153A">
      <w:pPr>
        <w:spacing w:before="120"/>
        <w:jc w:val="both"/>
        <w:rPr>
          <w:bCs/>
          <w:szCs w:val="22"/>
        </w:rPr>
      </w:pPr>
    </w:p>
    <w:p w:rsidR="005376AD" w:rsidRDefault="005376AD" w:rsidP="005F153A">
      <w:pPr>
        <w:spacing w:before="120"/>
        <w:jc w:val="both"/>
        <w:rPr>
          <w:bCs/>
          <w:szCs w:val="22"/>
        </w:rPr>
      </w:pPr>
    </w:p>
    <w:p w:rsidR="005376AD" w:rsidRDefault="005376AD" w:rsidP="005F153A">
      <w:pPr>
        <w:spacing w:before="120"/>
        <w:jc w:val="both"/>
        <w:rPr>
          <w:bCs/>
          <w:szCs w:val="22"/>
        </w:rPr>
      </w:pPr>
    </w:p>
    <w:p w:rsidR="00802A57" w:rsidRPr="00802A57" w:rsidRDefault="00802A57" w:rsidP="00E13A3C">
      <w:pPr>
        <w:pStyle w:val="Nadpis2"/>
        <w:rPr>
          <w:sz w:val="16"/>
          <w:szCs w:val="16"/>
        </w:rPr>
      </w:pPr>
    </w:p>
    <w:sectPr w:rsidR="00802A57" w:rsidRPr="00802A57" w:rsidSect="00E13A3C">
      <w:headerReference w:type="even" r:id="rId19"/>
      <w:headerReference w:type="default" r:id="rId20"/>
      <w:footerReference w:type="even" r:id="rId21"/>
      <w:footerReference w:type="default" r:id="rId22"/>
      <w:pgSz w:w="11906" w:h="16838" w:code="9"/>
      <w:pgMar w:top="1134" w:right="1134" w:bottom="1418" w:left="1134" w:header="680" w:footer="680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868" w:rsidRDefault="00B93868" w:rsidP="00E71A58">
      <w:r>
        <w:separator/>
      </w:r>
    </w:p>
  </w:endnote>
  <w:endnote w:type="continuationSeparator" w:id="0">
    <w:p w:rsidR="00B93868" w:rsidRDefault="00B93868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Default="00BD2BDC" w:rsidP="003A6B3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161D5E" wp14:editId="3F718CB2">
          <wp:simplePos x="0" y="0"/>
          <wp:positionH relativeFrom="column">
            <wp:posOffset>5660390</wp:posOffset>
          </wp:positionH>
          <wp:positionV relativeFrom="paragraph">
            <wp:posOffset>-52070</wp:posOffset>
          </wp:positionV>
          <wp:extent cx="466725" cy="219075"/>
          <wp:effectExtent l="0" t="0" r="9525" b="9525"/>
          <wp:wrapNone/>
          <wp:docPr id="2" name="obrázek 4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C0A" w:rsidRPr="005A21E0">
      <w:rPr>
        <w:rFonts w:ascii="Arial" w:hAnsi="Arial" w:cs="Arial"/>
        <w:sz w:val="16"/>
        <w:szCs w:val="16"/>
      </w:rPr>
      <w:fldChar w:fldCharType="begin"/>
    </w:r>
    <w:r w:rsidRPr="005A21E0">
      <w:rPr>
        <w:rFonts w:ascii="Arial" w:hAnsi="Arial" w:cs="Arial"/>
        <w:sz w:val="16"/>
        <w:szCs w:val="16"/>
      </w:rPr>
      <w:instrText>PAGE   \* MERGEFORMAT</w:instrText>
    </w:r>
    <w:r w:rsidR="00416C0A" w:rsidRPr="005A21E0">
      <w:rPr>
        <w:rFonts w:ascii="Arial" w:hAnsi="Arial" w:cs="Arial"/>
        <w:sz w:val="16"/>
        <w:szCs w:val="16"/>
      </w:rPr>
      <w:fldChar w:fldCharType="separate"/>
    </w:r>
    <w:r w:rsidR="00E13A3C">
      <w:rPr>
        <w:rFonts w:ascii="Arial" w:hAnsi="Arial" w:cs="Arial"/>
        <w:noProof/>
        <w:sz w:val="16"/>
        <w:szCs w:val="16"/>
      </w:rPr>
      <w:t>44</w:t>
    </w:r>
    <w:r w:rsidR="00416C0A" w:rsidRPr="005A21E0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2017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Default="00BD2BDC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022F5193" wp14:editId="6C591DC3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1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:rsidR="00BD2BDC" w:rsidRDefault="00BD2BDC" w:rsidP="00EE3E7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2017</w:t>
    </w:r>
    <w:r>
      <w:tab/>
    </w:r>
    <w:r>
      <w:tab/>
    </w:r>
    <w:r w:rsidR="00416C0A" w:rsidRPr="00B6608F">
      <w:rPr>
        <w:rFonts w:ascii="Arial" w:hAnsi="Arial" w:cs="Arial"/>
        <w:sz w:val="16"/>
        <w:szCs w:val="16"/>
      </w:rPr>
      <w:fldChar w:fldCharType="begin"/>
    </w:r>
    <w:r w:rsidRPr="00B6608F">
      <w:rPr>
        <w:rFonts w:ascii="Arial" w:hAnsi="Arial" w:cs="Arial"/>
        <w:sz w:val="16"/>
        <w:szCs w:val="16"/>
      </w:rPr>
      <w:instrText>PAGE   \* MERGEFORMAT</w:instrText>
    </w:r>
    <w:r w:rsidR="00416C0A" w:rsidRPr="00B6608F">
      <w:rPr>
        <w:rFonts w:ascii="Arial" w:hAnsi="Arial" w:cs="Arial"/>
        <w:sz w:val="16"/>
        <w:szCs w:val="16"/>
      </w:rPr>
      <w:fldChar w:fldCharType="separate"/>
    </w:r>
    <w:r w:rsidR="00E13A3C">
      <w:rPr>
        <w:rFonts w:ascii="Arial" w:hAnsi="Arial" w:cs="Arial"/>
        <w:noProof/>
        <w:sz w:val="16"/>
        <w:szCs w:val="16"/>
      </w:rPr>
      <w:t>45</w:t>
    </w:r>
    <w:r w:rsidR="00416C0A" w:rsidRPr="00B6608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868" w:rsidRDefault="00B93868" w:rsidP="00E71A58">
      <w:r>
        <w:separator/>
      </w:r>
    </w:p>
  </w:footnote>
  <w:footnote w:type="continuationSeparator" w:id="0">
    <w:p w:rsidR="00B93868" w:rsidRDefault="00B93868" w:rsidP="00E71A58">
      <w:r>
        <w:continuationSeparator/>
      </w:r>
    </w:p>
  </w:footnote>
  <w:footnote w:id="1">
    <w:p w:rsidR="00BD2BDC" w:rsidRDefault="00BD2BDC" w:rsidP="00B81475">
      <w:pPr>
        <w:pStyle w:val="Textpoznpodarou"/>
        <w:spacing w:before="0" w:after="0"/>
      </w:pPr>
      <w:r>
        <w:rPr>
          <w:rStyle w:val="Znakapoznpodarou"/>
        </w:rPr>
        <w:footnoteRef/>
      </w:r>
      <w:r>
        <w:t xml:space="preserve"> Charakteristika léků na předpis a volně prodejných léků je uvedena v kapitole </w:t>
      </w:r>
      <w:r w:rsidRPr="00223335">
        <w:t>Metodická příloha</w:t>
      </w:r>
    </w:p>
  </w:footnote>
  <w:footnote w:id="2">
    <w:p w:rsidR="00BD2BDC" w:rsidRDefault="00BD2BDC" w:rsidP="00B81475">
      <w:pPr>
        <w:pStyle w:val="Textpoznpodarou"/>
        <w:spacing w:before="0" w:after="0"/>
      </w:pPr>
      <w:r>
        <w:rPr>
          <w:rStyle w:val="Znakapoznpodarou"/>
        </w:rPr>
        <w:footnoteRef/>
      </w:r>
      <w:r>
        <w:t xml:space="preserve"> </w:t>
      </w:r>
      <w:r w:rsidRPr="00E22935">
        <w:t>Tento údaj zahrnuje celkové výdaje za léky a je metodicky odlišný od údajů uvedených v tabulce č. 2.2, kapitoly 2, ve které položka léky zahrnuje pouze výdaje za léky na předpis a volně prodejné léky včetně zdravotnického materiálu. Výdaje na léky spotřebované ve zdravotnických zařízeních v rámci léčby jsou v této tabulce především součástí položek lůžková léčebná péče, lůžková rehabilitační péče a lůžková dlouhodobá zdravotní péče.</w:t>
      </w:r>
    </w:p>
  </w:footnote>
  <w:footnote w:id="3">
    <w:p w:rsidR="00BD2BDC" w:rsidRDefault="00BD2BDC">
      <w:pPr>
        <w:pStyle w:val="Textpoznpodarou"/>
      </w:pPr>
      <w:r>
        <w:rPr>
          <w:rStyle w:val="Znakapoznpodarou"/>
        </w:rPr>
        <w:footnoteRef/>
      </w:r>
      <w:r>
        <w:t xml:space="preserve"> Definovaná denní dávka je jednotka užívaná např. ke sledování spotřeby léčiv. Většinou se jedná o průměrnou denní udržovací dávku léku podávanou v léčbě daného onemocnění u dospělých pacientů.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Pr="002175EE" w:rsidRDefault="00BD2BDC" w:rsidP="00D67975">
    <w:pPr>
      <w:pStyle w:val="Nadpis1"/>
      <w:rPr>
        <w:b w:val="0"/>
        <w:color w:val="auto"/>
        <w:sz w:val="16"/>
        <w:szCs w:val="16"/>
      </w:rPr>
    </w:pPr>
    <w:r w:rsidRPr="002175EE">
      <w:rPr>
        <w:b w:val="0"/>
        <w:color w:val="auto"/>
        <w:sz w:val="16"/>
        <w:szCs w:val="16"/>
      </w:rPr>
      <w:t>Výs</w:t>
    </w:r>
    <w:r>
      <w:rPr>
        <w:b w:val="0"/>
        <w:color w:val="auto"/>
        <w:sz w:val="16"/>
        <w:szCs w:val="16"/>
      </w:rPr>
      <w:t>ledky zdravotnických účtů ČR 2010–2015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Pr="002175EE" w:rsidRDefault="00BD2BDC" w:rsidP="002175EE">
    <w:pPr>
      <w:pStyle w:val="Nadpis1"/>
      <w:rPr>
        <w:b w:val="0"/>
        <w:color w:val="auto"/>
        <w:sz w:val="16"/>
        <w:szCs w:val="16"/>
      </w:rPr>
    </w:pPr>
    <w:r w:rsidRPr="002175EE">
      <w:rPr>
        <w:b w:val="0"/>
        <w:color w:val="auto"/>
        <w:sz w:val="16"/>
        <w:szCs w:val="16"/>
      </w:rPr>
      <w:t xml:space="preserve">Výsledky </w:t>
    </w:r>
    <w:r>
      <w:rPr>
        <w:b w:val="0"/>
        <w:color w:val="auto"/>
        <w:sz w:val="16"/>
        <w:szCs w:val="16"/>
      </w:rPr>
      <w:t>zdravotnických účtů ČR 2010–2015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C21"/>
    <w:multiLevelType w:val="hybridMultilevel"/>
    <w:tmpl w:val="99D61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F5F6D"/>
    <w:multiLevelType w:val="hybridMultilevel"/>
    <w:tmpl w:val="5824D116"/>
    <w:lvl w:ilvl="0" w:tplc="F9388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A26586"/>
    <w:multiLevelType w:val="hybridMultilevel"/>
    <w:tmpl w:val="5F2EFD9C"/>
    <w:lvl w:ilvl="0" w:tplc="040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87D8F"/>
    <w:multiLevelType w:val="hybridMultilevel"/>
    <w:tmpl w:val="5DE801E0"/>
    <w:lvl w:ilvl="0" w:tplc="267E35CE">
      <w:start w:val="1"/>
      <w:numFmt w:val="decimal"/>
      <w:lvlText w:val="(%1)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B521B"/>
    <w:multiLevelType w:val="hybridMultilevel"/>
    <w:tmpl w:val="2DC43A6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632BB"/>
    <w:multiLevelType w:val="hybridMultilevel"/>
    <w:tmpl w:val="29F85DA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FD6DEF"/>
    <w:multiLevelType w:val="multilevel"/>
    <w:tmpl w:val="58CE67C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666454"/>
    <w:multiLevelType w:val="hybridMultilevel"/>
    <w:tmpl w:val="936055BA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504B67"/>
    <w:multiLevelType w:val="hybridMultilevel"/>
    <w:tmpl w:val="141024E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8760B6"/>
    <w:multiLevelType w:val="hybridMultilevel"/>
    <w:tmpl w:val="2EF6101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E814446"/>
    <w:multiLevelType w:val="hybridMultilevel"/>
    <w:tmpl w:val="12C803C8"/>
    <w:lvl w:ilvl="0" w:tplc="CD9C6B54">
      <w:start w:val="2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52F38"/>
    <w:multiLevelType w:val="multilevel"/>
    <w:tmpl w:val="7BD287E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BD815B2"/>
    <w:multiLevelType w:val="hybridMultilevel"/>
    <w:tmpl w:val="132CDB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0A6F9C"/>
    <w:multiLevelType w:val="hybridMultilevel"/>
    <w:tmpl w:val="5C0CA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22D3E"/>
    <w:multiLevelType w:val="hybridMultilevel"/>
    <w:tmpl w:val="2DA69084"/>
    <w:lvl w:ilvl="0" w:tplc="F9388996">
      <w:start w:val="1"/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 w:hint="default"/>
      </w:rPr>
    </w:lvl>
    <w:lvl w:ilvl="1" w:tplc="F93889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51525A"/>
    <w:multiLevelType w:val="multilevel"/>
    <w:tmpl w:val="1B6E9F1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37647E6"/>
    <w:multiLevelType w:val="hybridMultilevel"/>
    <w:tmpl w:val="7D3E41A0"/>
    <w:lvl w:ilvl="0" w:tplc="F938899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645A0C"/>
    <w:multiLevelType w:val="hybridMultilevel"/>
    <w:tmpl w:val="D004DA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7844F8"/>
    <w:multiLevelType w:val="hybridMultilevel"/>
    <w:tmpl w:val="1C3A2F2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FF5011"/>
    <w:multiLevelType w:val="hybridMultilevel"/>
    <w:tmpl w:val="AAAE5906"/>
    <w:lvl w:ilvl="0" w:tplc="BB28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32522"/>
    <w:multiLevelType w:val="hybridMultilevel"/>
    <w:tmpl w:val="7F9C2826"/>
    <w:lvl w:ilvl="0" w:tplc="F938899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56672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3854D3E"/>
    <w:multiLevelType w:val="multilevel"/>
    <w:tmpl w:val="C57A87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5B952ED8"/>
    <w:multiLevelType w:val="multilevel"/>
    <w:tmpl w:val="83DAB85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63050CCD"/>
    <w:multiLevelType w:val="multilevel"/>
    <w:tmpl w:val="61B826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0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26">
    <w:nsid w:val="6F893287"/>
    <w:multiLevelType w:val="multilevel"/>
    <w:tmpl w:val="418C03A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73FE39F3"/>
    <w:multiLevelType w:val="hybridMultilevel"/>
    <w:tmpl w:val="405C553E"/>
    <w:lvl w:ilvl="0" w:tplc="0405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415C6D"/>
    <w:multiLevelType w:val="hybridMultilevel"/>
    <w:tmpl w:val="A598291C"/>
    <w:lvl w:ilvl="0" w:tplc="5F1AC2C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020001"/>
    <w:multiLevelType w:val="multilevel"/>
    <w:tmpl w:val="4A3A04D4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B762E6D"/>
    <w:multiLevelType w:val="hybridMultilevel"/>
    <w:tmpl w:val="586A2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71231"/>
    <w:multiLevelType w:val="hybridMultilevel"/>
    <w:tmpl w:val="EF7631D6"/>
    <w:lvl w:ilvl="0" w:tplc="D4C2B7B4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9F4163"/>
    <w:multiLevelType w:val="hybridMultilevel"/>
    <w:tmpl w:val="A78ADFC6"/>
    <w:lvl w:ilvl="0" w:tplc="242AA788">
      <w:numFmt w:val="bullet"/>
      <w:lvlText w:val="-"/>
      <w:lvlJc w:val="left"/>
      <w:pPr>
        <w:ind w:left="178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22"/>
  </w:num>
  <w:num w:numId="5">
    <w:abstractNumId w:val="1"/>
  </w:num>
  <w:num w:numId="6">
    <w:abstractNumId w:val="7"/>
  </w:num>
  <w:num w:numId="7">
    <w:abstractNumId w:val="17"/>
  </w:num>
  <w:num w:numId="8">
    <w:abstractNumId w:val="26"/>
  </w:num>
  <w:num w:numId="9">
    <w:abstractNumId w:val="16"/>
  </w:num>
  <w:num w:numId="10">
    <w:abstractNumId w:val="24"/>
  </w:num>
  <w:num w:numId="11">
    <w:abstractNumId w:val="6"/>
  </w:num>
  <w:num w:numId="12">
    <w:abstractNumId w:val="29"/>
  </w:num>
  <w:num w:numId="13">
    <w:abstractNumId w:val="20"/>
  </w:num>
  <w:num w:numId="14">
    <w:abstractNumId w:val="23"/>
  </w:num>
  <w:num w:numId="15">
    <w:abstractNumId w:val="25"/>
  </w:num>
  <w:num w:numId="16">
    <w:abstractNumId w:val="2"/>
  </w:num>
  <w:num w:numId="17">
    <w:abstractNumId w:val="11"/>
  </w:num>
  <w:num w:numId="18">
    <w:abstractNumId w:val="27"/>
  </w:num>
  <w:num w:numId="19">
    <w:abstractNumId w:val="0"/>
  </w:num>
  <w:num w:numId="20">
    <w:abstractNumId w:val="32"/>
  </w:num>
  <w:num w:numId="21">
    <w:abstractNumId w:val="4"/>
  </w:num>
  <w:num w:numId="22">
    <w:abstractNumId w:val="19"/>
  </w:num>
  <w:num w:numId="23">
    <w:abstractNumId w:val="12"/>
  </w:num>
  <w:num w:numId="24">
    <w:abstractNumId w:val="9"/>
  </w:num>
  <w:num w:numId="25">
    <w:abstractNumId w:val="31"/>
  </w:num>
  <w:num w:numId="26">
    <w:abstractNumId w:val="13"/>
  </w:num>
  <w:num w:numId="27">
    <w:abstractNumId w:val="8"/>
  </w:num>
  <w:num w:numId="28">
    <w:abstractNumId w:val="28"/>
  </w:num>
  <w:num w:numId="29">
    <w:abstractNumId w:val="10"/>
  </w:num>
  <w:num w:numId="30">
    <w:abstractNumId w:val="14"/>
  </w:num>
  <w:num w:numId="31">
    <w:abstractNumId w:val="5"/>
  </w:num>
  <w:num w:numId="32">
    <w:abstractNumId w:val="30"/>
  </w:num>
  <w:num w:numId="33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41"/>
    <w:rsid w:val="0000767A"/>
    <w:rsid w:val="00007BF6"/>
    <w:rsid w:val="00010702"/>
    <w:rsid w:val="0002040C"/>
    <w:rsid w:val="000307D2"/>
    <w:rsid w:val="0004694F"/>
    <w:rsid w:val="00052D0B"/>
    <w:rsid w:val="00062EC5"/>
    <w:rsid w:val="0006345C"/>
    <w:rsid w:val="00074403"/>
    <w:rsid w:val="0007543A"/>
    <w:rsid w:val="00087634"/>
    <w:rsid w:val="000A1183"/>
    <w:rsid w:val="000A2D10"/>
    <w:rsid w:val="000C3408"/>
    <w:rsid w:val="000D0933"/>
    <w:rsid w:val="000D21E1"/>
    <w:rsid w:val="000D5E39"/>
    <w:rsid w:val="000E5DE5"/>
    <w:rsid w:val="00110E3B"/>
    <w:rsid w:val="001149A1"/>
    <w:rsid w:val="00121C92"/>
    <w:rsid w:val="00133BA8"/>
    <w:rsid w:val="001351C9"/>
    <w:rsid w:val="001405FA"/>
    <w:rsid w:val="001425C3"/>
    <w:rsid w:val="00154ED5"/>
    <w:rsid w:val="00162D56"/>
    <w:rsid w:val="00163793"/>
    <w:rsid w:val="001714F2"/>
    <w:rsid w:val="00172311"/>
    <w:rsid w:val="00185010"/>
    <w:rsid w:val="00190B38"/>
    <w:rsid w:val="00193560"/>
    <w:rsid w:val="001A177C"/>
    <w:rsid w:val="001A3B66"/>
    <w:rsid w:val="001A552F"/>
    <w:rsid w:val="001B3110"/>
    <w:rsid w:val="001B61BC"/>
    <w:rsid w:val="001C1D52"/>
    <w:rsid w:val="001E3731"/>
    <w:rsid w:val="001F4597"/>
    <w:rsid w:val="00210AA5"/>
    <w:rsid w:val="00213C72"/>
    <w:rsid w:val="002175EE"/>
    <w:rsid w:val="0022139E"/>
    <w:rsid w:val="00223335"/>
    <w:rsid w:val="002237C6"/>
    <w:rsid w:val="002252E0"/>
    <w:rsid w:val="002255F6"/>
    <w:rsid w:val="00226272"/>
    <w:rsid w:val="00227AA9"/>
    <w:rsid w:val="00236443"/>
    <w:rsid w:val="002436BA"/>
    <w:rsid w:val="00244A15"/>
    <w:rsid w:val="0024799E"/>
    <w:rsid w:val="00247A40"/>
    <w:rsid w:val="00254100"/>
    <w:rsid w:val="00264C1E"/>
    <w:rsid w:val="00270041"/>
    <w:rsid w:val="0028438F"/>
    <w:rsid w:val="00290B98"/>
    <w:rsid w:val="002A795D"/>
    <w:rsid w:val="002B6C95"/>
    <w:rsid w:val="002C1EDC"/>
    <w:rsid w:val="002C43BD"/>
    <w:rsid w:val="002E02A1"/>
    <w:rsid w:val="002F59C4"/>
    <w:rsid w:val="00304771"/>
    <w:rsid w:val="00306C5B"/>
    <w:rsid w:val="003209D6"/>
    <w:rsid w:val="00330C8E"/>
    <w:rsid w:val="00341E61"/>
    <w:rsid w:val="00344398"/>
    <w:rsid w:val="00345347"/>
    <w:rsid w:val="0035195A"/>
    <w:rsid w:val="00352ACB"/>
    <w:rsid w:val="00356E1F"/>
    <w:rsid w:val="003657F3"/>
    <w:rsid w:val="00375B3D"/>
    <w:rsid w:val="00385D98"/>
    <w:rsid w:val="00394B23"/>
    <w:rsid w:val="00396A34"/>
    <w:rsid w:val="00397972"/>
    <w:rsid w:val="003A2B4D"/>
    <w:rsid w:val="003A478C"/>
    <w:rsid w:val="003A5525"/>
    <w:rsid w:val="003A6B38"/>
    <w:rsid w:val="003B34FF"/>
    <w:rsid w:val="003B4169"/>
    <w:rsid w:val="003B5A32"/>
    <w:rsid w:val="003B5B99"/>
    <w:rsid w:val="003C627D"/>
    <w:rsid w:val="003C6CC2"/>
    <w:rsid w:val="003E037E"/>
    <w:rsid w:val="003F313C"/>
    <w:rsid w:val="004004F4"/>
    <w:rsid w:val="0040155D"/>
    <w:rsid w:val="00403484"/>
    <w:rsid w:val="00416C0A"/>
    <w:rsid w:val="004242B2"/>
    <w:rsid w:val="00426A61"/>
    <w:rsid w:val="00437DC6"/>
    <w:rsid w:val="00452EBE"/>
    <w:rsid w:val="00470E57"/>
    <w:rsid w:val="00476265"/>
    <w:rsid w:val="0048086F"/>
    <w:rsid w:val="0048139F"/>
    <w:rsid w:val="004859A8"/>
    <w:rsid w:val="004A081C"/>
    <w:rsid w:val="004A77DF"/>
    <w:rsid w:val="004B2C1E"/>
    <w:rsid w:val="004B55B7"/>
    <w:rsid w:val="004B7591"/>
    <w:rsid w:val="004C3867"/>
    <w:rsid w:val="004C4ABE"/>
    <w:rsid w:val="004C4CD0"/>
    <w:rsid w:val="004C70DC"/>
    <w:rsid w:val="004D0211"/>
    <w:rsid w:val="004E1007"/>
    <w:rsid w:val="004F06F5"/>
    <w:rsid w:val="004F0E28"/>
    <w:rsid w:val="004F209C"/>
    <w:rsid w:val="004F78C3"/>
    <w:rsid w:val="005108C0"/>
    <w:rsid w:val="00511873"/>
    <w:rsid w:val="00513B7E"/>
    <w:rsid w:val="00514041"/>
    <w:rsid w:val="005221B3"/>
    <w:rsid w:val="0052495E"/>
    <w:rsid w:val="00525137"/>
    <w:rsid w:val="005251DD"/>
    <w:rsid w:val="00532D7D"/>
    <w:rsid w:val="005376AD"/>
    <w:rsid w:val="00542E84"/>
    <w:rsid w:val="00544082"/>
    <w:rsid w:val="005513E1"/>
    <w:rsid w:val="00557A96"/>
    <w:rsid w:val="00572C92"/>
    <w:rsid w:val="00583FFD"/>
    <w:rsid w:val="00586971"/>
    <w:rsid w:val="00593152"/>
    <w:rsid w:val="00593E87"/>
    <w:rsid w:val="005A21E0"/>
    <w:rsid w:val="005A7316"/>
    <w:rsid w:val="005B20AA"/>
    <w:rsid w:val="005C2045"/>
    <w:rsid w:val="005D1BF3"/>
    <w:rsid w:val="005D514D"/>
    <w:rsid w:val="005D5802"/>
    <w:rsid w:val="005E0178"/>
    <w:rsid w:val="005E1DD5"/>
    <w:rsid w:val="005E73F3"/>
    <w:rsid w:val="005F153A"/>
    <w:rsid w:val="006016D1"/>
    <w:rsid w:val="00604307"/>
    <w:rsid w:val="0060487F"/>
    <w:rsid w:val="00624093"/>
    <w:rsid w:val="00625E0F"/>
    <w:rsid w:val="00633AEB"/>
    <w:rsid w:val="00633F6D"/>
    <w:rsid w:val="006352A8"/>
    <w:rsid w:val="00635B35"/>
    <w:rsid w:val="006366C8"/>
    <w:rsid w:val="006404A7"/>
    <w:rsid w:val="006419F8"/>
    <w:rsid w:val="006451E4"/>
    <w:rsid w:val="00645EF8"/>
    <w:rsid w:val="00653860"/>
    <w:rsid w:val="00655906"/>
    <w:rsid w:val="0065667A"/>
    <w:rsid w:val="00657E87"/>
    <w:rsid w:val="006710C9"/>
    <w:rsid w:val="00675DD1"/>
    <w:rsid w:val="00675E37"/>
    <w:rsid w:val="00677696"/>
    <w:rsid w:val="0068260E"/>
    <w:rsid w:val="0069246C"/>
    <w:rsid w:val="006941CE"/>
    <w:rsid w:val="00695BEF"/>
    <w:rsid w:val="00697219"/>
    <w:rsid w:val="006977F6"/>
    <w:rsid w:val="00697A13"/>
    <w:rsid w:val="00697C9B"/>
    <w:rsid w:val="006A109C"/>
    <w:rsid w:val="006A31C8"/>
    <w:rsid w:val="006A420D"/>
    <w:rsid w:val="006B7581"/>
    <w:rsid w:val="006B78D8"/>
    <w:rsid w:val="006C113F"/>
    <w:rsid w:val="006D61F6"/>
    <w:rsid w:val="006E1FDB"/>
    <w:rsid w:val="006E279A"/>
    <w:rsid w:val="006E313B"/>
    <w:rsid w:val="006E5DFC"/>
    <w:rsid w:val="007051F5"/>
    <w:rsid w:val="0070676A"/>
    <w:rsid w:val="007211F5"/>
    <w:rsid w:val="007271FD"/>
    <w:rsid w:val="00730AE8"/>
    <w:rsid w:val="00741493"/>
    <w:rsid w:val="0074736D"/>
    <w:rsid w:val="00750951"/>
    <w:rsid w:val="00752180"/>
    <w:rsid w:val="00755D3A"/>
    <w:rsid w:val="0075757C"/>
    <w:rsid w:val="007609C6"/>
    <w:rsid w:val="00760D36"/>
    <w:rsid w:val="0077264D"/>
    <w:rsid w:val="00776527"/>
    <w:rsid w:val="00784861"/>
    <w:rsid w:val="007949E3"/>
    <w:rsid w:val="007A01BD"/>
    <w:rsid w:val="007A4E4E"/>
    <w:rsid w:val="007A68E8"/>
    <w:rsid w:val="007B47EE"/>
    <w:rsid w:val="007B60D9"/>
    <w:rsid w:val="007D3A47"/>
    <w:rsid w:val="007D6E98"/>
    <w:rsid w:val="007E12CE"/>
    <w:rsid w:val="007E7E61"/>
    <w:rsid w:val="007F6B36"/>
    <w:rsid w:val="00802A57"/>
    <w:rsid w:val="00814887"/>
    <w:rsid w:val="00821FF6"/>
    <w:rsid w:val="0083143E"/>
    <w:rsid w:val="00834FAA"/>
    <w:rsid w:val="0083596D"/>
    <w:rsid w:val="00836086"/>
    <w:rsid w:val="00853E06"/>
    <w:rsid w:val="00857578"/>
    <w:rsid w:val="008605E5"/>
    <w:rsid w:val="00860953"/>
    <w:rsid w:val="008620CA"/>
    <w:rsid w:val="0087055B"/>
    <w:rsid w:val="00876086"/>
    <w:rsid w:val="008877B0"/>
    <w:rsid w:val="008B309A"/>
    <w:rsid w:val="008B7C02"/>
    <w:rsid w:val="008C0E88"/>
    <w:rsid w:val="008D2A16"/>
    <w:rsid w:val="008E31FF"/>
    <w:rsid w:val="008E401B"/>
    <w:rsid w:val="008F60FD"/>
    <w:rsid w:val="009003A8"/>
    <w:rsid w:val="009020FE"/>
    <w:rsid w:val="00902EFF"/>
    <w:rsid w:val="0090382A"/>
    <w:rsid w:val="00921F14"/>
    <w:rsid w:val="009233F1"/>
    <w:rsid w:val="009248E3"/>
    <w:rsid w:val="0094427A"/>
    <w:rsid w:val="00944EA6"/>
    <w:rsid w:val="009552B1"/>
    <w:rsid w:val="00972CA2"/>
    <w:rsid w:val="00973454"/>
    <w:rsid w:val="00974923"/>
    <w:rsid w:val="00991A9E"/>
    <w:rsid w:val="009A23E5"/>
    <w:rsid w:val="009B6FD3"/>
    <w:rsid w:val="009C00F3"/>
    <w:rsid w:val="009C3912"/>
    <w:rsid w:val="009E14B5"/>
    <w:rsid w:val="009E3131"/>
    <w:rsid w:val="009E5300"/>
    <w:rsid w:val="009F30E4"/>
    <w:rsid w:val="00A10D66"/>
    <w:rsid w:val="00A1636E"/>
    <w:rsid w:val="00A202A7"/>
    <w:rsid w:val="00A204CF"/>
    <w:rsid w:val="00A23E43"/>
    <w:rsid w:val="00A33EFD"/>
    <w:rsid w:val="00A34DA0"/>
    <w:rsid w:val="00A35033"/>
    <w:rsid w:val="00A460B2"/>
    <w:rsid w:val="00A46DE0"/>
    <w:rsid w:val="00A52EC2"/>
    <w:rsid w:val="00A5555E"/>
    <w:rsid w:val="00A55FDE"/>
    <w:rsid w:val="00A62CE1"/>
    <w:rsid w:val="00A75E40"/>
    <w:rsid w:val="00A857C0"/>
    <w:rsid w:val="00A902A5"/>
    <w:rsid w:val="00A94AB5"/>
    <w:rsid w:val="00A953D4"/>
    <w:rsid w:val="00AA0168"/>
    <w:rsid w:val="00AA315F"/>
    <w:rsid w:val="00AA3BA1"/>
    <w:rsid w:val="00AA559A"/>
    <w:rsid w:val="00AB2AF1"/>
    <w:rsid w:val="00AB3CE2"/>
    <w:rsid w:val="00AB64E8"/>
    <w:rsid w:val="00AC1752"/>
    <w:rsid w:val="00AC4A24"/>
    <w:rsid w:val="00AD239A"/>
    <w:rsid w:val="00AD306C"/>
    <w:rsid w:val="00AE33C2"/>
    <w:rsid w:val="00AF25EE"/>
    <w:rsid w:val="00B01CAD"/>
    <w:rsid w:val="00B17C49"/>
    <w:rsid w:val="00B17E71"/>
    <w:rsid w:val="00B17FDE"/>
    <w:rsid w:val="00B2098B"/>
    <w:rsid w:val="00B32DDB"/>
    <w:rsid w:val="00B36A65"/>
    <w:rsid w:val="00B40A03"/>
    <w:rsid w:val="00B44676"/>
    <w:rsid w:val="00B448FC"/>
    <w:rsid w:val="00B4643E"/>
    <w:rsid w:val="00B513EB"/>
    <w:rsid w:val="00B551E6"/>
    <w:rsid w:val="00B6608F"/>
    <w:rsid w:val="00B76D1E"/>
    <w:rsid w:val="00B801AF"/>
    <w:rsid w:val="00B80EDA"/>
    <w:rsid w:val="00B81475"/>
    <w:rsid w:val="00B93868"/>
    <w:rsid w:val="00B95940"/>
    <w:rsid w:val="00B97BEC"/>
    <w:rsid w:val="00BA0E5F"/>
    <w:rsid w:val="00BA493B"/>
    <w:rsid w:val="00BA4D62"/>
    <w:rsid w:val="00BC3543"/>
    <w:rsid w:val="00BC5568"/>
    <w:rsid w:val="00BC66E8"/>
    <w:rsid w:val="00BD2BDC"/>
    <w:rsid w:val="00BD366B"/>
    <w:rsid w:val="00BD6D50"/>
    <w:rsid w:val="00BD7706"/>
    <w:rsid w:val="00BE23F8"/>
    <w:rsid w:val="00C01506"/>
    <w:rsid w:val="00C107E7"/>
    <w:rsid w:val="00C21F94"/>
    <w:rsid w:val="00C3177E"/>
    <w:rsid w:val="00C41EFF"/>
    <w:rsid w:val="00C556F4"/>
    <w:rsid w:val="00C64B75"/>
    <w:rsid w:val="00C80F44"/>
    <w:rsid w:val="00C90CF4"/>
    <w:rsid w:val="00C91D7C"/>
    <w:rsid w:val="00C92654"/>
    <w:rsid w:val="00C93389"/>
    <w:rsid w:val="00C97E34"/>
    <w:rsid w:val="00CA0463"/>
    <w:rsid w:val="00CA24C7"/>
    <w:rsid w:val="00CB7349"/>
    <w:rsid w:val="00CC1931"/>
    <w:rsid w:val="00CC1CC4"/>
    <w:rsid w:val="00CC475C"/>
    <w:rsid w:val="00CD288B"/>
    <w:rsid w:val="00CF51EC"/>
    <w:rsid w:val="00D03693"/>
    <w:rsid w:val="00D040DD"/>
    <w:rsid w:val="00D10241"/>
    <w:rsid w:val="00D15A3E"/>
    <w:rsid w:val="00D30233"/>
    <w:rsid w:val="00D32AAF"/>
    <w:rsid w:val="00D347C8"/>
    <w:rsid w:val="00D51805"/>
    <w:rsid w:val="00D602CE"/>
    <w:rsid w:val="00D60433"/>
    <w:rsid w:val="00D61A47"/>
    <w:rsid w:val="00D67975"/>
    <w:rsid w:val="00D7363A"/>
    <w:rsid w:val="00D842D3"/>
    <w:rsid w:val="00DA3AAF"/>
    <w:rsid w:val="00DA45FF"/>
    <w:rsid w:val="00DB4F3B"/>
    <w:rsid w:val="00DC2E00"/>
    <w:rsid w:val="00DC5B3B"/>
    <w:rsid w:val="00DE2D8F"/>
    <w:rsid w:val="00DE3724"/>
    <w:rsid w:val="00DF00E1"/>
    <w:rsid w:val="00DF4DBA"/>
    <w:rsid w:val="00DF5641"/>
    <w:rsid w:val="00E01C0E"/>
    <w:rsid w:val="00E03893"/>
    <w:rsid w:val="00E04694"/>
    <w:rsid w:val="00E069D1"/>
    <w:rsid w:val="00E13A3C"/>
    <w:rsid w:val="00E22935"/>
    <w:rsid w:val="00E263D4"/>
    <w:rsid w:val="00E2712D"/>
    <w:rsid w:val="00E42B4D"/>
    <w:rsid w:val="00E438DF"/>
    <w:rsid w:val="00E5040E"/>
    <w:rsid w:val="00E55504"/>
    <w:rsid w:val="00E71A58"/>
    <w:rsid w:val="00E8493B"/>
    <w:rsid w:val="00E90C72"/>
    <w:rsid w:val="00EA0C68"/>
    <w:rsid w:val="00EB3661"/>
    <w:rsid w:val="00ED286F"/>
    <w:rsid w:val="00EE39DC"/>
    <w:rsid w:val="00EE3E78"/>
    <w:rsid w:val="00EE5A6E"/>
    <w:rsid w:val="00EF1AEF"/>
    <w:rsid w:val="00EF1F5A"/>
    <w:rsid w:val="00EF4D97"/>
    <w:rsid w:val="00F014FF"/>
    <w:rsid w:val="00F02F8E"/>
    <w:rsid w:val="00F03967"/>
    <w:rsid w:val="00F04811"/>
    <w:rsid w:val="00F0488C"/>
    <w:rsid w:val="00F15BEF"/>
    <w:rsid w:val="00F24FAA"/>
    <w:rsid w:val="00F3364D"/>
    <w:rsid w:val="00F41C6D"/>
    <w:rsid w:val="00F6371C"/>
    <w:rsid w:val="00F63DDE"/>
    <w:rsid w:val="00F63FB7"/>
    <w:rsid w:val="00F6458A"/>
    <w:rsid w:val="00F71B42"/>
    <w:rsid w:val="00F73A0C"/>
    <w:rsid w:val="00FC0C8F"/>
    <w:rsid w:val="00FC0E5F"/>
    <w:rsid w:val="00FC1CDE"/>
    <w:rsid w:val="00FC56DE"/>
    <w:rsid w:val="00FD0311"/>
    <w:rsid w:val="00FD778F"/>
    <w:rsid w:val="00FE04DC"/>
    <w:rsid w:val="00F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B47EE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qFormat/>
    <w:rsid w:val="00BC3543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BC091B"/>
      <w:sz w:val="32"/>
      <w:szCs w:val="28"/>
    </w:rPr>
  </w:style>
  <w:style w:type="paragraph" w:styleId="Nadpis2">
    <w:name w:val="heading 2"/>
    <w:next w:val="Normln"/>
    <w:link w:val="Nadpis2Char"/>
    <w:qFormat/>
    <w:rsid w:val="00A1636E"/>
    <w:pPr>
      <w:keepNext/>
      <w:keepLines/>
      <w:spacing w:before="120" w:after="240"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</w:rPr>
  </w:style>
  <w:style w:type="paragraph" w:styleId="Nadpis3">
    <w:name w:val="heading 3"/>
    <w:next w:val="Normln"/>
    <w:link w:val="Nadpis3Char"/>
    <w:qFormat/>
    <w:rsid w:val="00EE39DC"/>
    <w:pPr>
      <w:keepNext/>
      <w:keepLines/>
      <w:spacing w:before="240" w:after="12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</w:rPr>
  </w:style>
  <w:style w:type="paragraph" w:styleId="Nadpis4">
    <w:name w:val="heading 4"/>
    <w:next w:val="Normln"/>
    <w:link w:val="Nadpis4Char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paragraph" w:styleId="Nadpis5">
    <w:name w:val="heading 5"/>
    <w:basedOn w:val="Normln"/>
    <w:next w:val="Normln"/>
    <w:link w:val="Nadpis5Char"/>
    <w:qFormat/>
    <w:rsid w:val="00110E3B"/>
    <w:pPr>
      <w:keepNext/>
      <w:spacing w:before="120" w:after="120" w:line="240" w:lineRule="auto"/>
      <w:jc w:val="center"/>
      <w:outlineLvl w:val="4"/>
    </w:pPr>
    <w:rPr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qFormat/>
    <w:rsid w:val="00110E3B"/>
    <w:pPr>
      <w:keepNext/>
      <w:spacing w:before="120" w:after="120" w:line="240" w:lineRule="auto"/>
      <w:jc w:val="both"/>
      <w:outlineLvl w:val="5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qFormat/>
    <w:rsid w:val="0048086F"/>
    <w:pPr>
      <w:spacing w:line="288" w:lineRule="auto"/>
      <w:contextualSpacing/>
      <w:outlineLvl w:val="0"/>
    </w:pPr>
    <w:rPr>
      <w:rFonts w:ascii="Arial" w:eastAsia="MS Gothic" w:hAnsi="Arial"/>
      <w:b/>
      <w:caps/>
      <w:color w:val="BC091B"/>
      <w:sz w:val="56"/>
      <w:szCs w:val="52"/>
    </w:rPr>
  </w:style>
  <w:style w:type="character" w:customStyle="1" w:styleId="NzevChar">
    <w:name w:val="Název Char"/>
    <w:link w:val="Nzev"/>
    <w:rsid w:val="0048086F"/>
    <w:rPr>
      <w:rFonts w:ascii="Arial" w:eastAsia="MS Gothic" w:hAnsi="Arial"/>
      <w:b/>
      <w:caps/>
      <w:color w:val="BC091B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BC3543"/>
    <w:pPr>
      <w:numPr>
        <w:ilvl w:val="1"/>
      </w:numPr>
      <w:spacing w:line="288" w:lineRule="auto"/>
    </w:pPr>
    <w:rPr>
      <w:rFonts w:ascii="Arial" w:eastAsia="MS Gothic" w:hAnsi="Arial"/>
      <w:b/>
      <w:iCs/>
      <w:color w:val="BC091B"/>
      <w:sz w:val="28"/>
      <w:szCs w:val="24"/>
    </w:rPr>
  </w:style>
  <w:style w:type="character" w:customStyle="1" w:styleId="PodtitulChar">
    <w:name w:val="Podtitul Char"/>
    <w:link w:val="Podtitul"/>
    <w:uiPriority w:val="11"/>
    <w:rsid w:val="00BC3543"/>
    <w:rPr>
      <w:rFonts w:ascii="Arial" w:eastAsia="MS Gothic" w:hAnsi="Arial"/>
      <w:b/>
      <w:iCs/>
      <w:color w:val="BC091B"/>
      <w:sz w:val="28"/>
      <w:szCs w:val="24"/>
      <w:lang w:bidi="ar-SA"/>
    </w:rPr>
  </w:style>
  <w:style w:type="character" w:customStyle="1" w:styleId="Nadpis1Char">
    <w:name w:val="Nadpis 1 Char"/>
    <w:link w:val="Nadpis1"/>
    <w:rsid w:val="00BC3543"/>
    <w:rPr>
      <w:rFonts w:ascii="Arial" w:eastAsia="MS Gothic" w:hAnsi="Arial"/>
      <w:b/>
      <w:bCs/>
      <w:color w:val="BC091B"/>
      <w:sz w:val="32"/>
      <w:szCs w:val="28"/>
      <w:lang w:bidi="ar-SA"/>
    </w:rPr>
  </w:style>
  <w:style w:type="character" w:customStyle="1" w:styleId="Nadpis2Char">
    <w:name w:val="Nadpis 2 Char"/>
    <w:link w:val="Nadpis2"/>
    <w:rsid w:val="00A1636E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rsid w:val="00EE39DC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BC3543"/>
    <w:pPr>
      <w:ind w:left="1134"/>
    </w:pPr>
    <w:rPr>
      <w:rFonts w:ascii="Arial" w:hAnsi="Arial" w:cs="Arial"/>
      <w:color w:val="BC091B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210AA5"/>
    <w:pPr>
      <w:shd w:val="clear" w:color="auto" w:fill="F5DADD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210AA5"/>
    <w:rPr>
      <w:rFonts w:ascii="Arial" w:hAnsi="Arial"/>
      <w:color w:val="000000"/>
      <w:sz w:val="24"/>
      <w:szCs w:val="24"/>
      <w:shd w:val="clear" w:color="auto" w:fill="F5DADD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Box-Lideaspolecnost">
    <w:name w:val="Box - Lide a spolecnost"/>
    <w:next w:val="Normln"/>
    <w:link w:val="Box-LideaspolecnostChar"/>
    <w:rsid w:val="00BC3543"/>
    <w:pPr>
      <w:shd w:val="clear" w:color="auto" w:fill="F5DADD"/>
      <w:spacing w:line="288" w:lineRule="auto"/>
      <w:ind w:left="1134"/>
    </w:pPr>
    <w:rPr>
      <w:rFonts w:ascii="Arial" w:hAnsi="Arial" w:cs="Arial"/>
    </w:rPr>
  </w:style>
  <w:style w:type="character" w:customStyle="1" w:styleId="Box-LideaspolecnostChar">
    <w:name w:val="Box - Lide a spolecnost Char"/>
    <w:link w:val="Box-Lideaspolecnost"/>
    <w:rsid w:val="00BC3543"/>
    <w:rPr>
      <w:rFonts w:ascii="Arial" w:hAnsi="Arial" w:cs="Arial"/>
      <w:shd w:val="clear" w:color="auto" w:fill="F5DADD"/>
      <w:lang w:val="cs-CZ" w:eastAsia="cs-CZ" w:bidi="ar-SA"/>
    </w:rPr>
  </w:style>
  <w:style w:type="paragraph" w:customStyle="1" w:styleId="Obsah">
    <w:name w:val="Obsah"/>
    <w:next w:val="Normln"/>
    <w:link w:val="ObsahChar"/>
    <w:qFormat/>
    <w:rsid w:val="007B47EE"/>
    <w:pPr>
      <w:spacing w:after="200"/>
    </w:pPr>
    <w:rPr>
      <w:rFonts w:ascii="Arial" w:eastAsia="MS Gothic" w:hAnsi="Arial"/>
      <w:b/>
      <w:bCs/>
      <w:color w:val="BC091B"/>
      <w:sz w:val="32"/>
      <w:szCs w:val="28"/>
    </w:rPr>
  </w:style>
  <w:style w:type="character" w:customStyle="1" w:styleId="ObsahChar">
    <w:name w:val="Obsah Char"/>
    <w:link w:val="Obsah"/>
    <w:rsid w:val="007B47EE"/>
    <w:rPr>
      <w:rFonts w:ascii="Arial" w:eastAsia="MS Gothic" w:hAnsi="Arial"/>
      <w:b/>
      <w:bCs/>
      <w:color w:val="BC091B"/>
      <w:sz w:val="32"/>
      <w:szCs w:val="28"/>
      <w:lang w:bidi="ar-SA"/>
    </w:rPr>
  </w:style>
  <w:style w:type="paragraph" w:styleId="Textpoznpodarou">
    <w:name w:val="footnote text"/>
    <w:basedOn w:val="Normln"/>
    <w:link w:val="TextpoznpodarouChar"/>
    <w:semiHidden/>
    <w:rsid w:val="00542E84"/>
    <w:pPr>
      <w:spacing w:before="120" w:after="120" w:line="240" w:lineRule="auto"/>
      <w:jc w:val="both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42E84"/>
    <w:rPr>
      <w:rFonts w:ascii="Arial" w:eastAsia="Times New Roman" w:hAnsi="Arial"/>
      <w:sz w:val="16"/>
    </w:rPr>
  </w:style>
  <w:style w:type="character" w:styleId="Znakapoznpodarou">
    <w:name w:val="footnote reference"/>
    <w:basedOn w:val="Standardnpsmoodstavce"/>
    <w:semiHidden/>
    <w:rsid w:val="00542E84"/>
    <w:rPr>
      <w:vertAlign w:val="superscript"/>
    </w:rPr>
  </w:style>
  <w:style w:type="paragraph" w:customStyle="1" w:styleId="Poznamkapodcarou">
    <w:name w:val="Poznamka pod carou"/>
    <w:basedOn w:val="Normln"/>
    <w:rsid w:val="00542E84"/>
    <w:pPr>
      <w:spacing w:before="120" w:after="120" w:line="240" w:lineRule="auto"/>
    </w:pPr>
    <w:rPr>
      <w:sz w:val="16"/>
      <w:szCs w:val="20"/>
    </w:rPr>
  </w:style>
  <w:style w:type="character" w:customStyle="1" w:styleId="Nadpis5Char">
    <w:name w:val="Nadpis 5 Char"/>
    <w:basedOn w:val="Standardnpsmoodstavce"/>
    <w:link w:val="Nadpis5"/>
    <w:rsid w:val="00110E3B"/>
    <w:rPr>
      <w:rFonts w:ascii="Arial" w:eastAsia="Times New Roman" w:hAnsi="Arial"/>
      <w:b/>
      <w:bCs/>
      <w:sz w:val="16"/>
      <w:szCs w:val="16"/>
    </w:rPr>
  </w:style>
  <w:style w:type="character" w:customStyle="1" w:styleId="Nadpis6Char">
    <w:name w:val="Nadpis 6 Char"/>
    <w:basedOn w:val="Standardnpsmoodstavce"/>
    <w:link w:val="Nadpis6"/>
    <w:rsid w:val="00110E3B"/>
    <w:rPr>
      <w:rFonts w:ascii="Arial" w:eastAsia="Times New Roman" w:hAnsi="Arial"/>
      <w:b/>
      <w:bCs/>
      <w:sz w:val="16"/>
      <w:szCs w:val="24"/>
    </w:rPr>
  </w:style>
  <w:style w:type="paragraph" w:customStyle="1" w:styleId="Nadpisvlastn1">
    <w:name w:val="Nadpis vlastní 1"/>
    <w:basedOn w:val="Normln"/>
    <w:rsid w:val="00110E3B"/>
    <w:pPr>
      <w:spacing w:before="120" w:after="360" w:line="240" w:lineRule="auto"/>
      <w:jc w:val="both"/>
    </w:pPr>
    <w:rPr>
      <w:b/>
      <w:bCs/>
      <w:sz w:val="36"/>
      <w:szCs w:val="20"/>
    </w:rPr>
  </w:style>
  <w:style w:type="paragraph" w:customStyle="1" w:styleId="Nadpisvlastn2">
    <w:name w:val="Nadpis vlastní 2"/>
    <w:basedOn w:val="Nadpisvlastn1"/>
    <w:rsid w:val="00110E3B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link w:val="ZkladntextodsazenChar"/>
    <w:semiHidden/>
    <w:rsid w:val="00110E3B"/>
    <w:pPr>
      <w:spacing w:before="120" w:after="120" w:line="240" w:lineRule="auto"/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10E3B"/>
    <w:rPr>
      <w:rFonts w:ascii="Arial" w:eastAsia="Times New Roman" w:hAnsi="Arial"/>
      <w:szCs w:val="24"/>
    </w:rPr>
  </w:style>
  <w:style w:type="paragraph" w:customStyle="1" w:styleId="xl25">
    <w:name w:val="xl2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6">
    <w:name w:val="xl2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7">
    <w:name w:val="xl2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8">
    <w:name w:val="xl2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9">
    <w:name w:val="xl2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0">
    <w:name w:val="xl3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1">
    <w:name w:val="xl3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2">
    <w:name w:val="xl3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3">
    <w:name w:val="xl3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4">
    <w:name w:val="xl3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5">
    <w:name w:val="xl35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b/>
      <w:bCs/>
      <w:sz w:val="16"/>
      <w:szCs w:val="16"/>
    </w:rPr>
  </w:style>
  <w:style w:type="paragraph" w:customStyle="1" w:styleId="xl24">
    <w:name w:val="xl24"/>
    <w:basedOn w:val="Normln"/>
    <w:rsid w:val="00110E3B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7">
    <w:name w:val="xl37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8">
    <w:name w:val="xl3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0">
    <w:name w:val="xl40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1">
    <w:name w:val="xl4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"/>
      <w:sz w:val="16"/>
      <w:szCs w:val="16"/>
    </w:rPr>
  </w:style>
  <w:style w:type="paragraph" w:customStyle="1" w:styleId="xl42">
    <w:name w:val="xl4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3">
    <w:name w:val="xl4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4">
    <w:name w:val="xl44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5">
    <w:name w:val="xl4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6">
    <w:name w:val="xl4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7">
    <w:name w:val="xl4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8">
    <w:name w:val="xl48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</w:pPr>
    <w:rPr>
      <w:rFonts w:eastAsia="Arial Unicode MS" w:cs="Arial"/>
      <w:b/>
      <w:bCs/>
      <w:color w:val="000000"/>
      <w:sz w:val="16"/>
      <w:szCs w:val="16"/>
    </w:rPr>
  </w:style>
  <w:style w:type="paragraph" w:customStyle="1" w:styleId="xl49">
    <w:name w:val="xl4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0">
    <w:name w:val="xl50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1">
    <w:name w:val="xl51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2">
    <w:name w:val="xl52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3">
    <w:name w:val="xl5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4">
    <w:name w:val="xl5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5">
    <w:name w:val="xl5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6">
    <w:name w:val="xl5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57">
    <w:name w:val="xl5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58">
    <w:name w:val="xl58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9">
    <w:name w:val="xl59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color w:val="000000"/>
    </w:rPr>
  </w:style>
  <w:style w:type="paragraph" w:customStyle="1" w:styleId="xl60">
    <w:name w:val="xl6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2">
    <w:name w:val="xl62"/>
    <w:basedOn w:val="Normln"/>
    <w:rsid w:val="00110E3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3">
    <w:name w:val="xl63"/>
    <w:basedOn w:val="Normln"/>
    <w:rsid w:val="00110E3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4">
    <w:name w:val="xl64"/>
    <w:basedOn w:val="Normln"/>
    <w:rsid w:val="00110E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5">
    <w:name w:val="xl6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6">
    <w:name w:val="xl66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8">
    <w:name w:val="xl68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9">
    <w:name w:val="xl6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70">
    <w:name w:val="xl70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1">
    <w:name w:val="xl71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2">
    <w:name w:val="xl72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3">
    <w:name w:val="xl73"/>
    <w:basedOn w:val="Normln"/>
    <w:rsid w:val="00110E3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4">
    <w:name w:val="xl74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5">
    <w:name w:val="xl75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Normln"/>
    <w:rsid w:val="00110E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7">
    <w:name w:val="xl77"/>
    <w:basedOn w:val="Normln"/>
    <w:rsid w:val="00110E3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ln"/>
    <w:rsid w:val="00110E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character" w:styleId="slostrnky">
    <w:name w:val="page number"/>
    <w:basedOn w:val="Standardnpsmoodstavce"/>
    <w:semiHidden/>
    <w:rsid w:val="00110E3B"/>
  </w:style>
  <w:style w:type="paragraph" w:styleId="Zkladntext">
    <w:name w:val="Body Text"/>
    <w:basedOn w:val="Normln"/>
    <w:link w:val="ZkladntextChar"/>
    <w:semiHidden/>
    <w:rsid w:val="00110E3B"/>
    <w:pPr>
      <w:spacing w:before="120" w:after="120" w:line="24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110E3B"/>
    <w:rPr>
      <w:rFonts w:ascii="Arial" w:eastAsia="Times New Roman" w:hAnsi="Arial"/>
      <w:szCs w:val="24"/>
    </w:rPr>
  </w:style>
  <w:style w:type="paragraph" w:styleId="Obsah1">
    <w:name w:val="toc 1"/>
    <w:basedOn w:val="Normln"/>
    <w:next w:val="Normln"/>
    <w:autoRedefine/>
    <w:uiPriority w:val="39"/>
    <w:rsid w:val="00110E3B"/>
    <w:pPr>
      <w:spacing w:before="120" w:after="120" w:line="240" w:lineRule="auto"/>
      <w:jc w:val="both"/>
    </w:pPr>
  </w:style>
  <w:style w:type="paragraph" w:styleId="Obsah2">
    <w:name w:val="toc 2"/>
    <w:basedOn w:val="Normln"/>
    <w:next w:val="Normln"/>
    <w:autoRedefine/>
    <w:uiPriority w:val="39"/>
    <w:rsid w:val="00110E3B"/>
    <w:pPr>
      <w:spacing w:before="120" w:after="120" w:line="240" w:lineRule="auto"/>
      <w:ind w:left="240"/>
      <w:jc w:val="both"/>
    </w:pPr>
  </w:style>
  <w:style w:type="paragraph" w:styleId="Obsah3">
    <w:name w:val="toc 3"/>
    <w:basedOn w:val="Normln"/>
    <w:next w:val="Normln"/>
    <w:autoRedefine/>
    <w:uiPriority w:val="39"/>
    <w:rsid w:val="00110E3B"/>
    <w:pPr>
      <w:spacing w:before="120" w:after="120" w:line="240" w:lineRule="auto"/>
      <w:ind w:left="480"/>
      <w:jc w:val="both"/>
    </w:pPr>
  </w:style>
  <w:style w:type="paragraph" w:styleId="Obsah4">
    <w:name w:val="toc 4"/>
    <w:basedOn w:val="Normln"/>
    <w:next w:val="Normln"/>
    <w:autoRedefine/>
    <w:semiHidden/>
    <w:rsid w:val="00110E3B"/>
    <w:pPr>
      <w:spacing w:before="120" w:after="120" w:line="240" w:lineRule="auto"/>
      <w:ind w:left="720"/>
      <w:jc w:val="both"/>
    </w:pPr>
  </w:style>
  <w:style w:type="paragraph" w:styleId="Obsah5">
    <w:name w:val="toc 5"/>
    <w:basedOn w:val="Normln"/>
    <w:next w:val="Normln"/>
    <w:autoRedefine/>
    <w:semiHidden/>
    <w:rsid w:val="00110E3B"/>
    <w:pPr>
      <w:spacing w:before="120" w:after="120" w:line="240" w:lineRule="auto"/>
      <w:ind w:left="960"/>
      <w:jc w:val="both"/>
    </w:pPr>
  </w:style>
  <w:style w:type="paragraph" w:styleId="Obsah6">
    <w:name w:val="toc 6"/>
    <w:basedOn w:val="Normln"/>
    <w:next w:val="Normln"/>
    <w:autoRedefine/>
    <w:semiHidden/>
    <w:rsid w:val="00110E3B"/>
    <w:pPr>
      <w:spacing w:before="120" w:after="120" w:line="240" w:lineRule="auto"/>
      <w:ind w:left="1200"/>
      <w:jc w:val="both"/>
    </w:pPr>
  </w:style>
  <w:style w:type="paragraph" w:styleId="Obsah7">
    <w:name w:val="toc 7"/>
    <w:basedOn w:val="Normln"/>
    <w:next w:val="Normln"/>
    <w:autoRedefine/>
    <w:semiHidden/>
    <w:rsid w:val="00110E3B"/>
    <w:pPr>
      <w:spacing w:before="120" w:after="120" w:line="240" w:lineRule="auto"/>
      <w:ind w:left="1440"/>
      <w:jc w:val="both"/>
    </w:pPr>
  </w:style>
  <w:style w:type="paragraph" w:styleId="Obsah8">
    <w:name w:val="toc 8"/>
    <w:basedOn w:val="Normln"/>
    <w:next w:val="Normln"/>
    <w:autoRedefine/>
    <w:semiHidden/>
    <w:rsid w:val="00110E3B"/>
    <w:pPr>
      <w:spacing w:before="120" w:after="120" w:line="240" w:lineRule="auto"/>
      <w:ind w:left="1680"/>
      <w:jc w:val="both"/>
    </w:pPr>
  </w:style>
  <w:style w:type="paragraph" w:styleId="Obsah9">
    <w:name w:val="toc 9"/>
    <w:basedOn w:val="Normln"/>
    <w:next w:val="Normln"/>
    <w:autoRedefine/>
    <w:semiHidden/>
    <w:rsid w:val="00110E3B"/>
    <w:pPr>
      <w:spacing w:before="120" w:after="120" w:line="240" w:lineRule="auto"/>
      <w:ind w:left="1920"/>
      <w:jc w:val="both"/>
    </w:pPr>
  </w:style>
  <w:style w:type="character" w:styleId="Sledovanodkaz">
    <w:name w:val="FollowedHyperlink"/>
    <w:basedOn w:val="Standardnpsmoodstavce"/>
    <w:semiHidden/>
    <w:rsid w:val="00110E3B"/>
    <w:rPr>
      <w:color w:val="800080"/>
      <w:u w:val="single"/>
    </w:rPr>
  </w:style>
  <w:style w:type="paragraph" w:customStyle="1" w:styleId="normalnsodrkami">
    <w:name w:val="normalní s odrážkami"/>
    <w:basedOn w:val="Normln"/>
    <w:rsid w:val="00110E3B"/>
    <w:pPr>
      <w:numPr>
        <w:numId w:val="6"/>
      </w:numPr>
      <w:spacing w:before="120" w:after="120" w:line="240" w:lineRule="auto"/>
      <w:jc w:val="both"/>
    </w:pPr>
  </w:style>
  <w:style w:type="paragraph" w:styleId="Zkladntext2">
    <w:name w:val="Body Text 2"/>
    <w:basedOn w:val="Normln"/>
    <w:link w:val="Zkladntext2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2Char">
    <w:name w:val="Základní text 2 Char"/>
    <w:basedOn w:val="Standardnpsmoodstavce"/>
    <w:link w:val="Zkladntext2"/>
    <w:semiHidden/>
    <w:rsid w:val="00110E3B"/>
    <w:rPr>
      <w:rFonts w:ascii="Arial" w:eastAsia="Times New Roman" w:hAnsi="Arial" w:cs="Arial"/>
      <w:szCs w:val="24"/>
    </w:rPr>
  </w:style>
  <w:style w:type="paragraph" w:customStyle="1" w:styleId="Default">
    <w:name w:val="Default"/>
    <w:rsid w:val="00110E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3Char">
    <w:name w:val="Základní text 3 Char"/>
    <w:basedOn w:val="Standardnpsmoodstavce"/>
    <w:link w:val="Zkladntext3"/>
    <w:semiHidden/>
    <w:rsid w:val="00110E3B"/>
    <w:rPr>
      <w:rFonts w:ascii="Arial" w:eastAsia="Times New Roman" w:hAnsi="Arial" w:cs="Arial"/>
      <w:szCs w:val="24"/>
    </w:rPr>
  </w:style>
  <w:style w:type="paragraph" w:styleId="Textvysvtlivek">
    <w:name w:val="endnote text"/>
    <w:basedOn w:val="Normln"/>
    <w:link w:val="TextvysvtlivekChar"/>
    <w:semiHidden/>
    <w:rsid w:val="00110E3B"/>
    <w:pPr>
      <w:spacing w:before="120" w:after="120" w:line="240" w:lineRule="auto"/>
      <w:jc w:val="both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10E3B"/>
    <w:rPr>
      <w:rFonts w:ascii="Arial" w:eastAsia="Times New Roman" w:hAnsi="Arial"/>
    </w:rPr>
  </w:style>
  <w:style w:type="character" w:styleId="Odkaznavysvtlivky">
    <w:name w:val="endnote reference"/>
    <w:basedOn w:val="Standardnpsmoodstavce"/>
    <w:semiHidden/>
    <w:rsid w:val="00110E3B"/>
    <w:rPr>
      <w:vertAlign w:val="superscript"/>
    </w:rPr>
  </w:style>
  <w:style w:type="character" w:styleId="Siln">
    <w:name w:val="Strong"/>
    <w:basedOn w:val="Standardnpsmoodstavce"/>
    <w:uiPriority w:val="22"/>
    <w:qFormat/>
    <w:rsid w:val="00110E3B"/>
    <w:rPr>
      <w:b/>
      <w:bCs/>
    </w:rPr>
  </w:style>
  <w:style w:type="character" w:customStyle="1" w:styleId="longtext1">
    <w:name w:val="long_text1"/>
    <w:basedOn w:val="Standardnpsmoodstavce"/>
    <w:rsid w:val="00110E3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110E3B"/>
    <w:pPr>
      <w:spacing w:before="100" w:beforeAutospacing="1" w:after="100" w:afterAutospacing="1" w:line="240" w:lineRule="auto"/>
      <w:jc w:val="both"/>
    </w:pPr>
  </w:style>
  <w:style w:type="paragraph" w:customStyle="1" w:styleId="nazevtabulky">
    <w:name w:val="nazev tabulky"/>
    <w:basedOn w:val="Normln"/>
    <w:qFormat/>
    <w:rsid w:val="00110E3B"/>
    <w:pPr>
      <w:spacing w:before="240" w:after="240" w:line="240" w:lineRule="auto"/>
    </w:pPr>
    <w:rPr>
      <w:b/>
      <w:bCs/>
      <w:szCs w:val="17"/>
    </w:rPr>
  </w:style>
  <w:style w:type="paragraph" w:styleId="Odstavecseseznamem">
    <w:name w:val="List Paragraph"/>
    <w:basedOn w:val="Normln"/>
    <w:uiPriority w:val="34"/>
    <w:qFormat/>
    <w:rsid w:val="00110E3B"/>
    <w:pPr>
      <w:spacing w:before="120" w:after="120" w:line="240" w:lineRule="auto"/>
      <w:ind w:left="720"/>
      <w:contextualSpacing/>
      <w:jc w:val="both"/>
    </w:pPr>
  </w:style>
  <w:style w:type="numbering" w:customStyle="1" w:styleId="Bezseznamu1">
    <w:name w:val="Bez seznamu1"/>
    <w:next w:val="Bezseznamu"/>
    <w:uiPriority w:val="99"/>
    <w:semiHidden/>
    <w:unhideWhenUsed/>
    <w:rsid w:val="00DB4F3B"/>
  </w:style>
  <w:style w:type="table" w:styleId="Mkatabulky">
    <w:name w:val="Table Grid"/>
    <w:basedOn w:val="Normlntabulka"/>
    <w:uiPriority w:val="59"/>
    <w:rsid w:val="00DB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vlastn">
    <w:name w:val="Text vlastní"/>
    <w:basedOn w:val="Normln"/>
    <w:rsid w:val="00DB4F3B"/>
    <w:pPr>
      <w:spacing w:before="120" w:line="240" w:lineRule="auto"/>
      <w:jc w:val="both"/>
    </w:pPr>
    <w:rPr>
      <w:sz w:val="18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4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F3B"/>
    <w:pPr>
      <w:keepNext/>
      <w:spacing w:line="240" w:lineRule="auto"/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F3B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F3B"/>
    <w:rPr>
      <w:rFonts w:ascii="Arial" w:eastAsia="Times New Roman" w:hAnsi="Arial"/>
      <w:b/>
      <w:bCs/>
    </w:rPr>
  </w:style>
  <w:style w:type="table" w:styleId="Stednmka3zvraznn2">
    <w:name w:val="Medium Grid 3 Accent 2"/>
    <w:basedOn w:val="Normlntabulka"/>
    <w:uiPriority w:val="60"/>
    <w:rsid w:val="003519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numbering" w:customStyle="1" w:styleId="Bezseznamu2">
    <w:name w:val="Bez seznamu2"/>
    <w:next w:val="Bezseznamu"/>
    <w:uiPriority w:val="99"/>
    <w:semiHidden/>
    <w:unhideWhenUsed/>
    <w:rsid w:val="00DE372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E3724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Bezseznamu3">
    <w:name w:val="Bez seznamu3"/>
    <w:next w:val="Bezseznamu"/>
    <w:uiPriority w:val="99"/>
    <w:semiHidden/>
    <w:unhideWhenUsed/>
    <w:rsid w:val="00F41C6D"/>
  </w:style>
  <w:style w:type="table" w:customStyle="1" w:styleId="Mkatabulky1">
    <w:name w:val="Mřížka tabulky1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B47EE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qFormat/>
    <w:rsid w:val="00BC3543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BC091B"/>
      <w:sz w:val="32"/>
      <w:szCs w:val="28"/>
    </w:rPr>
  </w:style>
  <w:style w:type="paragraph" w:styleId="Nadpis2">
    <w:name w:val="heading 2"/>
    <w:next w:val="Normln"/>
    <w:link w:val="Nadpis2Char"/>
    <w:qFormat/>
    <w:rsid w:val="00A1636E"/>
    <w:pPr>
      <w:keepNext/>
      <w:keepLines/>
      <w:spacing w:before="120" w:after="240"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</w:rPr>
  </w:style>
  <w:style w:type="paragraph" w:styleId="Nadpis3">
    <w:name w:val="heading 3"/>
    <w:next w:val="Normln"/>
    <w:link w:val="Nadpis3Char"/>
    <w:qFormat/>
    <w:rsid w:val="00EE39DC"/>
    <w:pPr>
      <w:keepNext/>
      <w:keepLines/>
      <w:spacing w:before="240" w:after="12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</w:rPr>
  </w:style>
  <w:style w:type="paragraph" w:styleId="Nadpis4">
    <w:name w:val="heading 4"/>
    <w:next w:val="Normln"/>
    <w:link w:val="Nadpis4Char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paragraph" w:styleId="Nadpis5">
    <w:name w:val="heading 5"/>
    <w:basedOn w:val="Normln"/>
    <w:next w:val="Normln"/>
    <w:link w:val="Nadpis5Char"/>
    <w:qFormat/>
    <w:rsid w:val="00110E3B"/>
    <w:pPr>
      <w:keepNext/>
      <w:spacing w:before="120" w:after="120" w:line="240" w:lineRule="auto"/>
      <w:jc w:val="center"/>
      <w:outlineLvl w:val="4"/>
    </w:pPr>
    <w:rPr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qFormat/>
    <w:rsid w:val="00110E3B"/>
    <w:pPr>
      <w:keepNext/>
      <w:spacing w:before="120" w:after="120" w:line="240" w:lineRule="auto"/>
      <w:jc w:val="both"/>
      <w:outlineLvl w:val="5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qFormat/>
    <w:rsid w:val="0048086F"/>
    <w:pPr>
      <w:spacing w:line="288" w:lineRule="auto"/>
      <w:contextualSpacing/>
      <w:outlineLvl w:val="0"/>
    </w:pPr>
    <w:rPr>
      <w:rFonts w:ascii="Arial" w:eastAsia="MS Gothic" w:hAnsi="Arial"/>
      <w:b/>
      <w:caps/>
      <w:color w:val="BC091B"/>
      <w:sz w:val="56"/>
      <w:szCs w:val="52"/>
    </w:rPr>
  </w:style>
  <w:style w:type="character" w:customStyle="1" w:styleId="NzevChar">
    <w:name w:val="Název Char"/>
    <w:link w:val="Nzev"/>
    <w:rsid w:val="0048086F"/>
    <w:rPr>
      <w:rFonts w:ascii="Arial" w:eastAsia="MS Gothic" w:hAnsi="Arial"/>
      <w:b/>
      <w:caps/>
      <w:color w:val="BC091B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BC3543"/>
    <w:pPr>
      <w:numPr>
        <w:ilvl w:val="1"/>
      </w:numPr>
      <w:spacing w:line="288" w:lineRule="auto"/>
    </w:pPr>
    <w:rPr>
      <w:rFonts w:ascii="Arial" w:eastAsia="MS Gothic" w:hAnsi="Arial"/>
      <w:b/>
      <w:iCs/>
      <w:color w:val="BC091B"/>
      <w:sz w:val="28"/>
      <w:szCs w:val="24"/>
    </w:rPr>
  </w:style>
  <w:style w:type="character" w:customStyle="1" w:styleId="PodtitulChar">
    <w:name w:val="Podtitul Char"/>
    <w:link w:val="Podtitul"/>
    <w:uiPriority w:val="11"/>
    <w:rsid w:val="00BC3543"/>
    <w:rPr>
      <w:rFonts w:ascii="Arial" w:eastAsia="MS Gothic" w:hAnsi="Arial"/>
      <w:b/>
      <w:iCs/>
      <w:color w:val="BC091B"/>
      <w:sz w:val="28"/>
      <w:szCs w:val="24"/>
      <w:lang w:bidi="ar-SA"/>
    </w:rPr>
  </w:style>
  <w:style w:type="character" w:customStyle="1" w:styleId="Nadpis1Char">
    <w:name w:val="Nadpis 1 Char"/>
    <w:link w:val="Nadpis1"/>
    <w:rsid w:val="00BC3543"/>
    <w:rPr>
      <w:rFonts w:ascii="Arial" w:eastAsia="MS Gothic" w:hAnsi="Arial"/>
      <w:b/>
      <w:bCs/>
      <w:color w:val="BC091B"/>
      <w:sz w:val="32"/>
      <w:szCs w:val="28"/>
      <w:lang w:bidi="ar-SA"/>
    </w:rPr>
  </w:style>
  <w:style w:type="character" w:customStyle="1" w:styleId="Nadpis2Char">
    <w:name w:val="Nadpis 2 Char"/>
    <w:link w:val="Nadpis2"/>
    <w:rsid w:val="00A1636E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rsid w:val="00EE39DC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BC3543"/>
    <w:pPr>
      <w:ind w:left="1134"/>
    </w:pPr>
    <w:rPr>
      <w:rFonts w:ascii="Arial" w:hAnsi="Arial" w:cs="Arial"/>
      <w:color w:val="BC091B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210AA5"/>
    <w:pPr>
      <w:shd w:val="clear" w:color="auto" w:fill="F5DADD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210AA5"/>
    <w:rPr>
      <w:rFonts w:ascii="Arial" w:hAnsi="Arial"/>
      <w:color w:val="000000"/>
      <w:sz w:val="24"/>
      <w:szCs w:val="24"/>
      <w:shd w:val="clear" w:color="auto" w:fill="F5DADD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Box-Lideaspolecnost">
    <w:name w:val="Box - Lide a spolecnost"/>
    <w:next w:val="Normln"/>
    <w:link w:val="Box-LideaspolecnostChar"/>
    <w:rsid w:val="00BC3543"/>
    <w:pPr>
      <w:shd w:val="clear" w:color="auto" w:fill="F5DADD"/>
      <w:spacing w:line="288" w:lineRule="auto"/>
      <w:ind w:left="1134"/>
    </w:pPr>
    <w:rPr>
      <w:rFonts w:ascii="Arial" w:hAnsi="Arial" w:cs="Arial"/>
    </w:rPr>
  </w:style>
  <w:style w:type="character" w:customStyle="1" w:styleId="Box-LideaspolecnostChar">
    <w:name w:val="Box - Lide a spolecnost Char"/>
    <w:link w:val="Box-Lideaspolecnost"/>
    <w:rsid w:val="00BC3543"/>
    <w:rPr>
      <w:rFonts w:ascii="Arial" w:hAnsi="Arial" w:cs="Arial"/>
      <w:shd w:val="clear" w:color="auto" w:fill="F5DADD"/>
      <w:lang w:val="cs-CZ" w:eastAsia="cs-CZ" w:bidi="ar-SA"/>
    </w:rPr>
  </w:style>
  <w:style w:type="paragraph" w:customStyle="1" w:styleId="Obsah">
    <w:name w:val="Obsah"/>
    <w:next w:val="Normln"/>
    <w:link w:val="ObsahChar"/>
    <w:qFormat/>
    <w:rsid w:val="007B47EE"/>
    <w:pPr>
      <w:spacing w:after="200"/>
    </w:pPr>
    <w:rPr>
      <w:rFonts w:ascii="Arial" w:eastAsia="MS Gothic" w:hAnsi="Arial"/>
      <w:b/>
      <w:bCs/>
      <w:color w:val="BC091B"/>
      <w:sz w:val="32"/>
      <w:szCs w:val="28"/>
    </w:rPr>
  </w:style>
  <w:style w:type="character" w:customStyle="1" w:styleId="ObsahChar">
    <w:name w:val="Obsah Char"/>
    <w:link w:val="Obsah"/>
    <w:rsid w:val="007B47EE"/>
    <w:rPr>
      <w:rFonts w:ascii="Arial" w:eastAsia="MS Gothic" w:hAnsi="Arial"/>
      <w:b/>
      <w:bCs/>
      <w:color w:val="BC091B"/>
      <w:sz w:val="32"/>
      <w:szCs w:val="28"/>
      <w:lang w:bidi="ar-SA"/>
    </w:rPr>
  </w:style>
  <w:style w:type="paragraph" w:styleId="Textpoznpodarou">
    <w:name w:val="footnote text"/>
    <w:basedOn w:val="Normln"/>
    <w:link w:val="TextpoznpodarouChar"/>
    <w:semiHidden/>
    <w:rsid w:val="00542E84"/>
    <w:pPr>
      <w:spacing w:before="120" w:after="120" w:line="240" w:lineRule="auto"/>
      <w:jc w:val="both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42E84"/>
    <w:rPr>
      <w:rFonts w:ascii="Arial" w:eastAsia="Times New Roman" w:hAnsi="Arial"/>
      <w:sz w:val="16"/>
    </w:rPr>
  </w:style>
  <w:style w:type="character" w:styleId="Znakapoznpodarou">
    <w:name w:val="footnote reference"/>
    <w:basedOn w:val="Standardnpsmoodstavce"/>
    <w:semiHidden/>
    <w:rsid w:val="00542E84"/>
    <w:rPr>
      <w:vertAlign w:val="superscript"/>
    </w:rPr>
  </w:style>
  <w:style w:type="paragraph" w:customStyle="1" w:styleId="Poznamkapodcarou">
    <w:name w:val="Poznamka pod carou"/>
    <w:basedOn w:val="Normln"/>
    <w:rsid w:val="00542E84"/>
    <w:pPr>
      <w:spacing w:before="120" w:after="120" w:line="240" w:lineRule="auto"/>
    </w:pPr>
    <w:rPr>
      <w:sz w:val="16"/>
      <w:szCs w:val="20"/>
    </w:rPr>
  </w:style>
  <w:style w:type="character" w:customStyle="1" w:styleId="Nadpis5Char">
    <w:name w:val="Nadpis 5 Char"/>
    <w:basedOn w:val="Standardnpsmoodstavce"/>
    <w:link w:val="Nadpis5"/>
    <w:rsid w:val="00110E3B"/>
    <w:rPr>
      <w:rFonts w:ascii="Arial" w:eastAsia="Times New Roman" w:hAnsi="Arial"/>
      <w:b/>
      <w:bCs/>
      <w:sz w:val="16"/>
      <w:szCs w:val="16"/>
    </w:rPr>
  </w:style>
  <w:style w:type="character" w:customStyle="1" w:styleId="Nadpis6Char">
    <w:name w:val="Nadpis 6 Char"/>
    <w:basedOn w:val="Standardnpsmoodstavce"/>
    <w:link w:val="Nadpis6"/>
    <w:rsid w:val="00110E3B"/>
    <w:rPr>
      <w:rFonts w:ascii="Arial" w:eastAsia="Times New Roman" w:hAnsi="Arial"/>
      <w:b/>
      <w:bCs/>
      <w:sz w:val="16"/>
      <w:szCs w:val="24"/>
    </w:rPr>
  </w:style>
  <w:style w:type="paragraph" w:customStyle="1" w:styleId="Nadpisvlastn1">
    <w:name w:val="Nadpis vlastní 1"/>
    <w:basedOn w:val="Normln"/>
    <w:rsid w:val="00110E3B"/>
    <w:pPr>
      <w:spacing w:before="120" w:after="360" w:line="240" w:lineRule="auto"/>
      <w:jc w:val="both"/>
    </w:pPr>
    <w:rPr>
      <w:b/>
      <w:bCs/>
      <w:sz w:val="36"/>
      <w:szCs w:val="20"/>
    </w:rPr>
  </w:style>
  <w:style w:type="paragraph" w:customStyle="1" w:styleId="Nadpisvlastn2">
    <w:name w:val="Nadpis vlastní 2"/>
    <w:basedOn w:val="Nadpisvlastn1"/>
    <w:rsid w:val="00110E3B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link w:val="ZkladntextodsazenChar"/>
    <w:semiHidden/>
    <w:rsid w:val="00110E3B"/>
    <w:pPr>
      <w:spacing w:before="120" w:after="120" w:line="240" w:lineRule="auto"/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10E3B"/>
    <w:rPr>
      <w:rFonts w:ascii="Arial" w:eastAsia="Times New Roman" w:hAnsi="Arial"/>
      <w:szCs w:val="24"/>
    </w:rPr>
  </w:style>
  <w:style w:type="paragraph" w:customStyle="1" w:styleId="xl25">
    <w:name w:val="xl2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6">
    <w:name w:val="xl2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7">
    <w:name w:val="xl2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8">
    <w:name w:val="xl2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9">
    <w:name w:val="xl2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0">
    <w:name w:val="xl3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1">
    <w:name w:val="xl3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2">
    <w:name w:val="xl3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3">
    <w:name w:val="xl3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4">
    <w:name w:val="xl3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5">
    <w:name w:val="xl35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b/>
      <w:bCs/>
      <w:sz w:val="16"/>
      <w:szCs w:val="16"/>
    </w:rPr>
  </w:style>
  <w:style w:type="paragraph" w:customStyle="1" w:styleId="xl24">
    <w:name w:val="xl24"/>
    <w:basedOn w:val="Normln"/>
    <w:rsid w:val="00110E3B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7">
    <w:name w:val="xl37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8">
    <w:name w:val="xl3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0">
    <w:name w:val="xl40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1">
    <w:name w:val="xl4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"/>
      <w:sz w:val="16"/>
      <w:szCs w:val="16"/>
    </w:rPr>
  </w:style>
  <w:style w:type="paragraph" w:customStyle="1" w:styleId="xl42">
    <w:name w:val="xl4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3">
    <w:name w:val="xl4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4">
    <w:name w:val="xl44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5">
    <w:name w:val="xl4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6">
    <w:name w:val="xl4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7">
    <w:name w:val="xl4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8">
    <w:name w:val="xl48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</w:pPr>
    <w:rPr>
      <w:rFonts w:eastAsia="Arial Unicode MS" w:cs="Arial"/>
      <w:b/>
      <w:bCs/>
      <w:color w:val="000000"/>
      <w:sz w:val="16"/>
      <w:szCs w:val="16"/>
    </w:rPr>
  </w:style>
  <w:style w:type="paragraph" w:customStyle="1" w:styleId="xl49">
    <w:name w:val="xl4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0">
    <w:name w:val="xl50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1">
    <w:name w:val="xl51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2">
    <w:name w:val="xl52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3">
    <w:name w:val="xl5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4">
    <w:name w:val="xl5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5">
    <w:name w:val="xl5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6">
    <w:name w:val="xl5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57">
    <w:name w:val="xl5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58">
    <w:name w:val="xl58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9">
    <w:name w:val="xl59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color w:val="000000"/>
    </w:rPr>
  </w:style>
  <w:style w:type="paragraph" w:customStyle="1" w:styleId="xl60">
    <w:name w:val="xl6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2">
    <w:name w:val="xl62"/>
    <w:basedOn w:val="Normln"/>
    <w:rsid w:val="00110E3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3">
    <w:name w:val="xl63"/>
    <w:basedOn w:val="Normln"/>
    <w:rsid w:val="00110E3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4">
    <w:name w:val="xl64"/>
    <w:basedOn w:val="Normln"/>
    <w:rsid w:val="00110E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5">
    <w:name w:val="xl6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6">
    <w:name w:val="xl66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8">
    <w:name w:val="xl68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9">
    <w:name w:val="xl6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70">
    <w:name w:val="xl70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1">
    <w:name w:val="xl71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2">
    <w:name w:val="xl72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3">
    <w:name w:val="xl73"/>
    <w:basedOn w:val="Normln"/>
    <w:rsid w:val="00110E3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4">
    <w:name w:val="xl74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5">
    <w:name w:val="xl75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Normln"/>
    <w:rsid w:val="00110E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7">
    <w:name w:val="xl77"/>
    <w:basedOn w:val="Normln"/>
    <w:rsid w:val="00110E3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ln"/>
    <w:rsid w:val="00110E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character" w:styleId="slostrnky">
    <w:name w:val="page number"/>
    <w:basedOn w:val="Standardnpsmoodstavce"/>
    <w:semiHidden/>
    <w:rsid w:val="00110E3B"/>
  </w:style>
  <w:style w:type="paragraph" w:styleId="Zkladntext">
    <w:name w:val="Body Text"/>
    <w:basedOn w:val="Normln"/>
    <w:link w:val="ZkladntextChar"/>
    <w:semiHidden/>
    <w:rsid w:val="00110E3B"/>
    <w:pPr>
      <w:spacing w:before="120" w:after="120" w:line="24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110E3B"/>
    <w:rPr>
      <w:rFonts w:ascii="Arial" w:eastAsia="Times New Roman" w:hAnsi="Arial"/>
      <w:szCs w:val="24"/>
    </w:rPr>
  </w:style>
  <w:style w:type="paragraph" w:styleId="Obsah1">
    <w:name w:val="toc 1"/>
    <w:basedOn w:val="Normln"/>
    <w:next w:val="Normln"/>
    <w:autoRedefine/>
    <w:uiPriority w:val="39"/>
    <w:rsid w:val="00110E3B"/>
    <w:pPr>
      <w:spacing w:before="120" w:after="120" w:line="240" w:lineRule="auto"/>
      <w:jc w:val="both"/>
    </w:pPr>
  </w:style>
  <w:style w:type="paragraph" w:styleId="Obsah2">
    <w:name w:val="toc 2"/>
    <w:basedOn w:val="Normln"/>
    <w:next w:val="Normln"/>
    <w:autoRedefine/>
    <w:uiPriority w:val="39"/>
    <w:rsid w:val="00110E3B"/>
    <w:pPr>
      <w:spacing w:before="120" w:after="120" w:line="240" w:lineRule="auto"/>
      <w:ind w:left="240"/>
      <w:jc w:val="both"/>
    </w:pPr>
  </w:style>
  <w:style w:type="paragraph" w:styleId="Obsah3">
    <w:name w:val="toc 3"/>
    <w:basedOn w:val="Normln"/>
    <w:next w:val="Normln"/>
    <w:autoRedefine/>
    <w:uiPriority w:val="39"/>
    <w:rsid w:val="00110E3B"/>
    <w:pPr>
      <w:spacing w:before="120" w:after="120" w:line="240" w:lineRule="auto"/>
      <w:ind w:left="480"/>
      <w:jc w:val="both"/>
    </w:pPr>
  </w:style>
  <w:style w:type="paragraph" w:styleId="Obsah4">
    <w:name w:val="toc 4"/>
    <w:basedOn w:val="Normln"/>
    <w:next w:val="Normln"/>
    <w:autoRedefine/>
    <w:semiHidden/>
    <w:rsid w:val="00110E3B"/>
    <w:pPr>
      <w:spacing w:before="120" w:after="120" w:line="240" w:lineRule="auto"/>
      <w:ind w:left="720"/>
      <w:jc w:val="both"/>
    </w:pPr>
  </w:style>
  <w:style w:type="paragraph" w:styleId="Obsah5">
    <w:name w:val="toc 5"/>
    <w:basedOn w:val="Normln"/>
    <w:next w:val="Normln"/>
    <w:autoRedefine/>
    <w:semiHidden/>
    <w:rsid w:val="00110E3B"/>
    <w:pPr>
      <w:spacing w:before="120" w:after="120" w:line="240" w:lineRule="auto"/>
      <w:ind w:left="960"/>
      <w:jc w:val="both"/>
    </w:pPr>
  </w:style>
  <w:style w:type="paragraph" w:styleId="Obsah6">
    <w:name w:val="toc 6"/>
    <w:basedOn w:val="Normln"/>
    <w:next w:val="Normln"/>
    <w:autoRedefine/>
    <w:semiHidden/>
    <w:rsid w:val="00110E3B"/>
    <w:pPr>
      <w:spacing w:before="120" w:after="120" w:line="240" w:lineRule="auto"/>
      <w:ind w:left="1200"/>
      <w:jc w:val="both"/>
    </w:pPr>
  </w:style>
  <w:style w:type="paragraph" w:styleId="Obsah7">
    <w:name w:val="toc 7"/>
    <w:basedOn w:val="Normln"/>
    <w:next w:val="Normln"/>
    <w:autoRedefine/>
    <w:semiHidden/>
    <w:rsid w:val="00110E3B"/>
    <w:pPr>
      <w:spacing w:before="120" w:after="120" w:line="240" w:lineRule="auto"/>
      <w:ind w:left="1440"/>
      <w:jc w:val="both"/>
    </w:pPr>
  </w:style>
  <w:style w:type="paragraph" w:styleId="Obsah8">
    <w:name w:val="toc 8"/>
    <w:basedOn w:val="Normln"/>
    <w:next w:val="Normln"/>
    <w:autoRedefine/>
    <w:semiHidden/>
    <w:rsid w:val="00110E3B"/>
    <w:pPr>
      <w:spacing w:before="120" w:after="120" w:line="240" w:lineRule="auto"/>
      <w:ind w:left="1680"/>
      <w:jc w:val="both"/>
    </w:pPr>
  </w:style>
  <w:style w:type="paragraph" w:styleId="Obsah9">
    <w:name w:val="toc 9"/>
    <w:basedOn w:val="Normln"/>
    <w:next w:val="Normln"/>
    <w:autoRedefine/>
    <w:semiHidden/>
    <w:rsid w:val="00110E3B"/>
    <w:pPr>
      <w:spacing w:before="120" w:after="120" w:line="240" w:lineRule="auto"/>
      <w:ind w:left="1920"/>
      <w:jc w:val="both"/>
    </w:pPr>
  </w:style>
  <w:style w:type="character" w:styleId="Sledovanodkaz">
    <w:name w:val="FollowedHyperlink"/>
    <w:basedOn w:val="Standardnpsmoodstavce"/>
    <w:semiHidden/>
    <w:rsid w:val="00110E3B"/>
    <w:rPr>
      <w:color w:val="800080"/>
      <w:u w:val="single"/>
    </w:rPr>
  </w:style>
  <w:style w:type="paragraph" w:customStyle="1" w:styleId="normalnsodrkami">
    <w:name w:val="normalní s odrážkami"/>
    <w:basedOn w:val="Normln"/>
    <w:rsid w:val="00110E3B"/>
    <w:pPr>
      <w:numPr>
        <w:numId w:val="6"/>
      </w:numPr>
      <w:spacing w:before="120" w:after="120" w:line="240" w:lineRule="auto"/>
      <w:jc w:val="both"/>
    </w:pPr>
  </w:style>
  <w:style w:type="paragraph" w:styleId="Zkladntext2">
    <w:name w:val="Body Text 2"/>
    <w:basedOn w:val="Normln"/>
    <w:link w:val="Zkladntext2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2Char">
    <w:name w:val="Základní text 2 Char"/>
    <w:basedOn w:val="Standardnpsmoodstavce"/>
    <w:link w:val="Zkladntext2"/>
    <w:semiHidden/>
    <w:rsid w:val="00110E3B"/>
    <w:rPr>
      <w:rFonts w:ascii="Arial" w:eastAsia="Times New Roman" w:hAnsi="Arial" w:cs="Arial"/>
      <w:szCs w:val="24"/>
    </w:rPr>
  </w:style>
  <w:style w:type="paragraph" w:customStyle="1" w:styleId="Default">
    <w:name w:val="Default"/>
    <w:rsid w:val="00110E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3Char">
    <w:name w:val="Základní text 3 Char"/>
    <w:basedOn w:val="Standardnpsmoodstavce"/>
    <w:link w:val="Zkladntext3"/>
    <w:semiHidden/>
    <w:rsid w:val="00110E3B"/>
    <w:rPr>
      <w:rFonts w:ascii="Arial" w:eastAsia="Times New Roman" w:hAnsi="Arial" w:cs="Arial"/>
      <w:szCs w:val="24"/>
    </w:rPr>
  </w:style>
  <w:style w:type="paragraph" w:styleId="Textvysvtlivek">
    <w:name w:val="endnote text"/>
    <w:basedOn w:val="Normln"/>
    <w:link w:val="TextvysvtlivekChar"/>
    <w:semiHidden/>
    <w:rsid w:val="00110E3B"/>
    <w:pPr>
      <w:spacing w:before="120" w:after="120" w:line="240" w:lineRule="auto"/>
      <w:jc w:val="both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10E3B"/>
    <w:rPr>
      <w:rFonts w:ascii="Arial" w:eastAsia="Times New Roman" w:hAnsi="Arial"/>
    </w:rPr>
  </w:style>
  <w:style w:type="character" w:styleId="Odkaznavysvtlivky">
    <w:name w:val="endnote reference"/>
    <w:basedOn w:val="Standardnpsmoodstavce"/>
    <w:semiHidden/>
    <w:rsid w:val="00110E3B"/>
    <w:rPr>
      <w:vertAlign w:val="superscript"/>
    </w:rPr>
  </w:style>
  <w:style w:type="character" w:styleId="Siln">
    <w:name w:val="Strong"/>
    <w:basedOn w:val="Standardnpsmoodstavce"/>
    <w:uiPriority w:val="22"/>
    <w:qFormat/>
    <w:rsid w:val="00110E3B"/>
    <w:rPr>
      <w:b/>
      <w:bCs/>
    </w:rPr>
  </w:style>
  <w:style w:type="character" w:customStyle="1" w:styleId="longtext1">
    <w:name w:val="long_text1"/>
    <w:basedOn w:val="Standardnpsmoodstavce"/>
    <w:rsid w:val="00110E3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110E3B"/>
    <w:pPr>
      <w:spacing w:before="100" w:beforeAutospacing="1" w:after="100" w:afterAutospacing="1" w:line="240" w:lineRule="auto"/>
      <w:jc w:val="both"/>
    </w:pPr>
  </w:style>
  <w:style w:type="paragraph" w:customStyle="1" w:styleId="nazevtabulky">
    <w:name w:val="nazev tabulky"/>
    <w:basedOn w:val="Normln"/>
    <w:qFormat/>
    <w:rsid w:val="00110E3B"/>
    <w:pPr>
      <w:spacing w:before="240" w:after="240" w:line="240" w:lineRule="auto"/>
    </w:pPr>
    <w:rPr>
      <w:b/>
      <w:bCs/>
      <w:szCs w:val="17"/>
    </w:rPr>
  </w:style>
  <w:style w:type="paragraph" w:styleId="Odstavecseseznamem">
    <w:name w:val="List Paragraph"/>
    <w:basedOn w:val="Normln"/>
    <w:uiPriority w:val="34"/>
    <w:qFormat/>
    <w:rsid w:val="00110E3B"/>
    <w:pPr>
      <w:spacing w:before="120" w:after="120" w:line="240" w:lineRule="auto"/>
      <w:ind w:left="720"/>
      <w:contextualSpacing/>
      <w:jc w:val="both"/>
    </w:pPr>
  </w:style>
  <w:style w:type="numbering" w:customStyle="1" w:styleId="Bezseznamu1">
    <w:name w:val="Bez seznamu1"/>
    <w:next w:val="Bezseznamu"/>
    <w:uiPriority w:val="99"/>
    <w:semiHidden/>
    <w:unhideWhenUsed/>
    <w:rsid w:val="00DB4F3B"/>
  </w:style>
  <w:style w:type="table" w:styleId="Mkatabulky">
    <w:name w:val="Table Grid"/>
    <w:basedOn w:val="Normlntabulka"/>
    <w:uiPriority w:val="59"/>
    <w:rsid w:val="00DB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vlastn">
    <w:name w:val="Text vlastní"/>
    <w:basedOn w:val="Normln"/>
    <w:rsid w:val="00DB4F3B"/>
    <w:pPr>
      <w:spacing w:before="120" w:line="240" w:lineRule="auto"/>
      <w:jc w:val="both"/>
    </w:pPr>
    <w:rPr>
      <w:sz w:val="18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4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F3B"/>
    <w:pPr>
      <w:keepNext/>
      <w:spacing w:line="240" w:lineRule="auto"/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F3B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F3B"/>
    <w:rPr>
      <w:rFonts w:ascii="Arial" w:eastAsia="Times New Roman" w:hAnsi="Arial"/>
      <w:b/>
      <w:bCs/>
    </w:rPr>
  </w:style>
  <w:style w:type="table" w:styleId="Stednmka3zvraznn2">
    <w:name w:val="Medium Grid 3 Accent 2"/>
    <w:basedOn w:val="Normlntabulka"/>
    <w:uiPriority w:val="60"/>
    <w:rsid w:val="003519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numbering" w:customStyle="1" w:styleId="Bezseznamu2">
    <w:name w:val="Bez seznamu2"/>
    <w:next w:val="Bezseznamu"/>
    <w:uiPriority w:val="99"/>
    <w:semiHidden/>
    <w:unhideWhenUsed/>
    <w:rsid w:val="00DE372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E3724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Bezseznamu3">
    <w:name w:val="Bez seznamu3"/>
    <w:next w:val="Bezseznamu"/>
    <w:uiPriority w:val="99"/>
    <w:semiHidden/>
    <w:unhideWhenUsed/>
    <w:rsid w:val="00F41C6D"/>
  </w:style>
  <w:style w:type="table" w:customStyle="1" w:styleId="Mkatabulky1">
    <w:name w:val="Mřížka tabulky1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NIC~1\AppData\Local\Temp\publikace%20bar_lide%20a%20spolecnost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29242493977371E-2"/>
          <c:y val="3.2355844098874861E-2"/>
          <c:w val="0.92389231531817106"/>
          <c:h val="0.82449849757638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'Graf1+3'!$M$3</c:f>
              <c:strCache>
                <c:ptCount val="1"/>
                <c:pt idx="0">
                  <c:v> absolutně - mld. Kč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'Graf1+3'!$N$2:$S$2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'Graf1+3'!$N$3:$S$3</c:f>
              <c:numCache>
                <c:formatCode>#,##0.0</c:formatCode>
                <c:ptCount val="6"/>
                <c:pt idx="0">
                  <c:v>70.629276354889853</c:v>
                </c:pt>
                <c:pt idx="1">
                  <c:v>71.875416293359876</c:v>
                </c:pt>
                <c:pt idx="2">
                  <c:v>75.883399076429995</c:v>
                </c:pt>
                <c:pt idx="3">
                  <c:v>71.853069785000088</c:v>
                </c:pt>
                <c:pt idx="4">
                  <c:v>73.806533764999983</c:v>
                </c:pt>
                <c:pt idx="5" formatCode="0.0">
                  <c:v>75.775529849999998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43413504"/>
        <c:axId val="50460288"/>
      </c:barChart>
      <c:lineChart>
        <c:grouping val="stacked"/>
        <c:varyColors val="0"/>
        <c:ser>
          <c:idx val="1"/>
          <c:order val="1"/>
          <c:tx>
            <c:strRef>
              <c:f>'Graf1+3'!$M$4</c:f>
              <c:strCache>
                <c:ptCount val="1"/>
                <c:pt idx="0">
                  <c:v> připadající na 1 obyv. (tis. Kč)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dLbls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'Graf1+3'!$N$2:$S$2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'Graf1+3'!$N$4:$S$4</c:f>
              <c:numCache>
                <c:formatCode>#,##0.0</c:formatCode>
                <c:ptCount val="6"/>
                <c:pt idx="0">
                  <c:v>6.7157246700475381</c:v>
                </c:pt>
                <c:pt idx="1">
                  <c:v>6.8472340948232837</c:v>
                </c:pt>
                <c:pt idx="2">
                  <c:v>7.2208011301199075</c:v>
                </c:pt>
                <c:pt idx="3">
                  <c:v>6.8359879921035107</c:v>
                </c:pt>
                <c:pt idx="4">
                  <c:v>7.0124972698337276</c:v>
                </c:pt>
                <c:pt idx="5">
                  <c:v>7.1873230308959295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413504"/>
        <c:axId val="50460288"/>
      </c:lineChart>
      <c:lineChart>
        <c:grouping val="stacked"/>
        <c:varyColors val="0"/>
        <c:ser>
          <c:idx val="2"/>
          <c:order val="2"/>
          <c:tx>
            <c:strRef>
              <c:f>'Graf1+3'!$M$5</c:f>
              <c:strCache>
                <c:ptCount val="1"/>
                <c:pt idx="0">
                  <c:v> % z celk. výdajích na zdravotní péči</c:v>
                </c:pt>
              </c:strCache>
            </c:strRef>
          </c:tx>
          <c:spPr>
            <a:ln>
              <a:solidFill>
                <a:srgbClr val="187BB8"/>
              </a:solidFill>
            </a:ln>
          </c:spPr>
          <c:marker>
            <c:spPr>
              <a:solidFill>
                <a:srgbClr val="187BB8"/>
              </a:solidFill>
              <a:ln>
                <a:solidFill>
                  <a:srgbClr val="4F81BD">
                    <a:lumMod val="75000"/>
                  </a:srgbClr>
                </a:solidFill>
              </a:ln>
            </c:spPr>
          </c:marker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'Graf1+3'!$N$2:$S$2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'Graf1+3'!$N$5:$S$5</c:f>
              <c:numCache>
                <c:formatCode>0.0%</c:formatCode>
                <c:ptCount val="6"/>
                <c:pt idx="0">
                  <c:v>0.20482842707983531</c:v>
                </c:pt>
                <c:pt idx="1">
                  <c:v>0.20728478715151566</c:v>
                </c:pt>
                <c:pt idx="2">
                  <c:v>0.21820543746830751</c:v>
                </c:pt>
                <c:pt idx="3">
                  <c:v>0.20724401939931542</c:v>
                </c:pt>
                <c:pt idx="4">
                  <c:v>0.20738954405455287</c:v>
                </c:pt>
                <c:pt idx="5">
                  <c:v>0.21422009881539469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414016"/>
        <c:axId val="50460864"/>
      </c:lineChart>
      <c:catAx>
        <c:axId val="4341350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 w="3175">
            <a:solidFill>
              <a:sysClr val="window" lastClr="FFFFFF">
                <a:lumMod val="75000"/>
              </a:sysClr>
            </a:solidFill>
          </a:ln>
        </c:spPr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0460288"/>
        <c:crosses val="autoZero"/>
        <c:auto val="1"/>
        <c:lblAlgn val="ctr"/>
        <c:lblOffset val="100"/>
        <c:noMultiLvlLbl val="0"/>
      </c:catAx>
      <c:valAx>
        <c:axId val="50460288"/>
        <c:scaling>
          <c:orientation val="minMax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  <a:prstDash val="sysDot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43413504"/>
        <c:crosses val="autoZero"/>
        <c:crossBetween val="between"/>
      </c:valAx>
      <c:valAx>
        <c:axId val="50460864"/>
        <c:scaling>
          <c:orientation val="minMax"/>
          <c:max val="0.4"/>
          <c:min val="0"/>
        </c:scaling>
        <c:delete val="0"/>
        <c:axPos val="r"/>
        <c:numFmt formatCode="0%" sourceLinked="0"/>
        <c:majorTickMark val="out"/>
        <c:minorTickMark val="none"/>
        <c:tickLblPos val="nextTo"/>
        <c:spPr>
          <a:ln w="3175">
            <a:noFill/>
          </a:ln>
        </c:spPr>
        <c:txPr>
          <a:bodyPr/>
          <a:lstStyle/>
          <a:p>
            <a:pPr>
              <a:defRPr sz="3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43414016"/>
        <c:crosses val="max"/>
        <c:crossBetween val="between"/>
        <c:majorUnit val="0.1"/>
      </c:valAx>
      <c:catAx>
        <c:axId val="43414016"/>
        <c:scaling>
          <c:orientation val="minMax"/>
        </c:scaling>
        <c:delete val="1"/>
        <c:axPos val="b"/>
        <c:majorTickMark val="out"/>
        <c:minorTickMark val="none"/>
        <c:tickLblPos val="none"/>
        <c:crossAx val="5046086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4.9999918740807572E-2"/>
          <c:y val="0.9448631734403673"/>
          <c:w val="0.9"/>
          <c:h val="5.513682655963275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644649514351996E-2"/>
          <c:y val="1.6546223388743085E-2"/>
          <c:w val="0.89512382491846376"/>
          <c:h val="0.7797994298331769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'T1+G8'!$A$30</c:f>
              <c:strCache>
                <c:ptCount val="1"/>
                <c:pt idx="0">
                  <c:v> Úhrady z veřejného pojištění za léky na předpis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Pt>
            <c:idx val="5"/>
            <c:invertIfNegative val="0"/>
            <c:bubble3D val="0"/>
            <c:spPr>
              <a:solidFill>
                <a:srgbClr val="D96D7F"/>
              </a:solidFill>
              <a:ln>
                <a:solidFill>
                  <a:srgbClr val="C0504D">
                    <a:lumMod val="75000"/>
                  </a:srgbClr>
                </a:solidFill>
              </a:ln>
            </c:spPr>
          </c:dPt>
          <c:dLbls>
            <c:numFmt formatCode="#,##0" sourceLinked="0"/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'T1+G8'!$B$29:$L$29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'T1+G8'!$B$30:$G$30</c:f>
              <c:numCache>
                <c:formatCode>0</c:formatCode>
                <c:ptCount val="6"/>
                <c:pt idx="0">
                  <c:v>3228.5116700305939</c:v>
                </c:pt>
                <c:pt idx="1">
                  <c:v>3247.6433192831882</c:v>
                </c:pt>
                <c:pt idx="2">
                  <c:v>3493.6337380018372</c:v>
                </c:pt>
                <c:pt idx="3">
                  <c:v>3144.9383222774445</c:v>
                </c:pt>
                <c:pt idx="4">
                  <c:v>3070.2484217221381</c:v>
                </c:pt>
                <c:pt idx="5">
                  <c:v>3036.9407068330283</c:v>
                </c:pt>
              </c:numCache>
            </c:numRef>
          </c:val>
        </c:ser>
        <c:ser>
          <c:idx val="1"/>
          <c:order val="1"/>
          <c:tx>
            <c:strRef>
              <c:f>'T1+G8'!$A$31</c:f>
              <c:strCache>
                <c:ptCount val="1"/>
                <c:pt idx="0">
                  <c:v> Léky spotřebované ve zdravotnických zařízeních 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'T1+G8'!$B$29:$L$29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'T1+G8'!$B$31:$G$31</c:f>
              <c:numCache>
                <c:formatCode>0</c:formatCode>
                <c:ptCount val="6"/>
                <c:pt idx="0">
                  <c:v>1589.108546908265</c:v>
                </c:pt>
                <c:pt idx="1">
                  <c:v>1605.0850949211917</c:v>
                </c:pt>
                <c:pt idx="2">
                  <c:v>1677.4082851118003</c:v>
                </c:pt>
                <c:pt idx="3">
                  <c:v>1795.3469431419185</c:v>
                </c:pt>
                <c:pt idx="4">
                  <c:v>1944.1391258845636</c:v>
                </c:pt>
                <c:pt idx="5">
                  <c:v>2139.7849936833377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273056768"/>
        <c:axId val="50548672"/>
      </c:barChart>
      <c:lineChart>
        <c:grouping val="standard"/>
        <c:varyColors val="0"/>
        <c:ser>
          <c:idx val="2"/>
          <c:order val="2"/>
          <c:tx>
            <c:strRef>
              <c:f>'T1+G8'!$A$32</c:f>
              <c:strCache>
                <c:ptCount val="1"/>
                <c:pt idx="0">
                  <c:v> Podíl výdajů za uvedené léky na výdajích zdravotních pojišťoven na zdravotní péči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diamond"/>
            <c:size val="7"/>
            <c:spPr>
              <a:solidFill>
                <a:srgbClr val="FFC0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3294555132396937E-2"/>
                  <c:y val="-4.4998230183059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850569516131059E-2"/>
                  <c:y val="-3.517351997666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418020842262526E-2"/>
                  <c:y val="-4.5599032945309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0163424548008056E-3"/>
                  <c:y val="1.53798483522893E-2"/>
                </c:manualLayout>
              </c:layout>
              <c:spPr/>
              <c:txPr>
                <a:bodyPr/>
                <a:lstStyle/>
                <a:p>
                  <a:pPr>
                    <a:defRPr sz="800" b="1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sz="800" b="1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'T1+G8'!$B$29:$L$29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'T1+G8'!$B$32:$G$32</c:f>
              <c:numCache>
                <c:formatCode>0%</c:formatCode>
                <c:ptCount val="6"/>
                <c:pt idx="0">
                  <c:v>0.21531543570543715</c:v>
                </c:pt>
                <c:pt idx="1">
                  <c:v>0.21411611424318319</c:v>
                </c:pt>
                <c:pt idx="2">
                  <c:v>0.2285715160501445</c:v>
                </c:pt>
                <c:pt idx="3">
                  <c:v>0.21544869956341467</c:v>
                </c:pt>
                <c:pt idx="4">
                  <c:v>0.22253271382762024</c:v>
                </c:pt>
                <c:pt idx="5">
                  <c:v>0.22993138135905877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057280"/>
        <c:axId val="50552128"/>
      </c:lineChart>
      <c:catAx>
        <c:axId val="273056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0548672"/>
        <c:crosses val="autoZero"/>
        <c:auto val="1"/>
        <c:lblAlgn val="ctr"/>
        <c:lblOffset val="100"/>
        <c:noMultiLvlLbl val="0"/>
      </c:catAx>
      <c:valAx>
        <c:axId val="50548672"/>
        <c:scaling>
          <c:orientation val="minMax"/>
          <c:max val="5990"/>
          <c:min val="0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1"/>
        <c:majorTickMark val="out"/>
        <c:minorTickMark val="none"/>
        <c:tickLblPos val="nextTo"/>
        <c:spPr>
          <a:ln w="3175">
            <a:noFill/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3056768"/>
        <c:crosses val="autoZero"/>
        <c:crossBetween val="between"/>
      </c:valAx>
      <c:valAx>
        <c:axId val="50552128"/>
        <c:scaling>
          <c:orientation val="minMax"/>
          <c:max val="0.24000000000000021"/>
          <c:min val="0.05"/>
        </c:scaling>
        <c:delete val="0"/>
        <c:axPos val="r"/>
        <c:numFmt formatCode="0%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3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3057280"/>
        <c:crosses val="max"/>
        <c:crossBetween val="between"/>
        <c:majorUnit val="0.05"/>
      </c:valAx>
      <c:catAx>
        <c:axId val="273057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0552128"/>
        <c:crossesAt val="0.20500000000000004"/>
        <c:auto val="1"/>
        <c:lblAlgn val="ctr"/>
        <c:lblOffset val="100"/>
        <c:noMultiLvlLbl val="0"/>
      </c:catAx>
      <c:spPr>
        <a:ln>
          <a:noFill/>
        </a:ln>
      </c:spPr>
    </c:plotArea>
    <c:legend>
      <c:legendPos val="b"/>
      <c:layout>
        <c:manualLayout>
          <c:xMode val="edge"/>
          <c:yMode val="edge"/>
          <c:x val="9.8472073156460699E-2"/>
          <c:y val="0.85494890808551915"/>
          <c:w val="0.84551856495644939"/>
          <c:h val="0.14505115431999571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19601273245164E-2"/>
          <c:y val="3.1244582799243151E-2"/>
          <c:w val="0.93870744880294155"/>
          <c:h val="0.72102667399133269"/>
        </c:manualLayout>
      </c:layout>
      <c:lineChart>
        <c:grouping val="standard"/>
        <c:varyColors val="0"/>
        <c:ser>
          <c:idx val="2"/>
          <c:order val="0"/>
          <c:tx>
            <c:strRef>
              <c:f>'G2'!$L$20</c:f>
              <c:strCache>
                <c:ptCount val="1"/>
                <c:pt idx="0">
                  <c:v> Volně prodejné léky</c:v>
                </c:pt>
              </c:strCache>
            </c:strRef>
          </c:tx>
          <c:spPr>
            <a:ln w="31750">
              <a:solidFill>
                <a:srgbClr val="D96D75"/>
              </a:solidFill>
            </a:ln>
          </c:spPr>
          <c:marker>
            <c:symbol val="diamond"/>
            <c:size val="5"/>
            <c:spPr>
              <a:solidFill>
                <a:srgbClr val="D96D75"/>
              </a:solidFill>
              <a:ln w="9525">
                <a:solidFill>
                  <a:srgbClr val="C0504D">
                    <a:lumMod val="75000"/>
                  </a:srgbClr>
                </a:solidFill>
              </a:ln>
            </c:spPr>
          </c:marker>
          <c:dPt>
            <c:idx val="3"/>
            <c:marker>
              <c:spPr>
                <a:solidFill>
                  <a:srgbClr val="D96D7F"/>
                </a:solidFill>
                <a:ln w="9525">
                  <a:solidFill>
                    <a:srgbClr val="C0504D">
                      <a:lumMod val="75000"/>
                    </a:srgbClr>
                  </a:solidFill>
                </a:ln>
              </c:spPr>
            </c:marker>
            <c:bubble3D val="0"/>
            <c:spPr>
              <a:ln w="31750">
                <a:solidFill>
                  <a:srgbClr val="D96D7F"/>
                </a:solidFill>
              </a:ln>
            </c:spPr>
          </c:dPt>
          <c:cat>
            <c:strRef>
              <c:f>'G2'!$B$25:$G$25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'G2'!$M$20:$R$20</c:f>
              <c:numCache>
                <c:formatCode>0.0</c:formatCode>
                <c:ptCount val="6"/>
                <c:pt idx="0">
                  <c:v>100</c:v>
                </c:pt>
                <c:pt idx="1">
                  <c:v>104.23728813559318</c:v>
                </c:pt>
                <c:pt idx="2">
                  <c:v>102.54237288135586</c:v>
                </c:pt>
                <c:pt idx="3">
                  <c:v>94.915254237288124</c:v>
                </c:pt>
                <c:pt idx="4">
                  <c:v>102.54237288135586</c:v>
                </c:pt>
                <c:pt idx="5">
                  <c:v>104.31355932203388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'G2'!$L$21</c:f>
              <c:strCache>
                <c:ptCount val="1"/>
                <c:pt idx="0">
                  <c:v> Léky spotřebované ve zdravotnických zařízeních</c:v>
                </c:pt>
              </c:strCache>
            </c:strRef>
          </c:tx>
          <c:spPr>
            <a:ln w="31750" cap="rnd">
              <a:solidFill>
                <a:srgbClr val="0071BC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0071BC"/>
              </a:solidFill>
              <a:ln w="9525">
                <a:solidFill>
                  <a:srgbClr val="4F81BD">
                    <a:lumMod val="75000"/>
                  </a:srgbClr>
                </a:solidFill>
              </a:ln>
              <a:effectLst/>
            </c:spPr>
          </c:marker>
          <c:cat>
            <c:strRef>
              <c:f>'G2'!$B$25:$G$25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'G2'!$M$21:$R$21</c:f>
              <c:numCache>
                <c:formatCode>0.0</c:formatCode>
                <c:ptCount val="6"/>
                <c:pt idx="0">
                  <c:v>100</c:v>
                </c:pt>
                <c:pt idx="1">
                  <c:v>100.76896206484982</c:v>
                </c:pt>
                <c:pt idx="2">
                  <c:v>107.11512292870455</c:v>
                </c:pt>
                <c:pt idx="3">
                  <c:v>113.31476307221247</c:v>
                </c:pt>
                <c:pt idx="4">
                  <c:v>122.90173931042654</c:v>
                </c:pt>
                <c:pt idx="5">
                  <c:v>135.40309410035346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97A-484D-90CE-2CF13F3572F6}"/>
            </c:ext>
          </c:extLst>
        </c:ser>
        <c:ser>
          <c:idx val="0"/>
          <c:order val="2"/>
          <c:tx>
            <c:strRef>
              <c:f>'G2'!$L$19</c:f>
              <c:strCache>
                <c:ptCount val="1"/>
                <c:pt idx="0">
                  <c:v> Doplatky za léky na předpis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pPr>
              <a:solidFill>
                <a:srgbClr val="92D050"/>
              </a:solidFill>
              <a:ln>
                <a:solidFill>
                  <a:srgbClr val="9BBB59">
                    <a:lumMod val="75000"/>
                  </a:srgbClr>
                </a:solidFill>
              </a:ln>
            </c:spPr>
          </c:marker>
          <c:val>
            <c:numRef>
              <c:f>'G2'!$M$19:$R$19</c:f>
              <c:numCache>
                <c:formatCode>0.0</c:formatCode>
                <c:ptCount val="6"/>
                <c:pt idx="0">
                  <c:v>100</c:v>
                </c:pt>
                <c:pt idx="1">
                  <c:v>105.6179775280898</c:v>
                </c:pt>
                <c:pt idx="2">
                  <c:v>105.6179775280898</c:v>
                </c:pt>
                <c:pt idx="3">
                  <c:v>104.49438202247184</c:v>
                </c:pt>
                <c:pt idx="4">
                  <c:v>106.74157303370789</c:v>
                </c:pt>
                <c:pt idx="5">
                  <c:v>106.82022471910112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'G2'!$L$18</c:f>
              <c:strCache>
                <c:ptCount val="1"/>
                <c:pt idx="0">
                  <c:v> Úhrady za léky na předpis z veřejného pojištění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circle"/>
            <c:size val="7"/>
            <c:spPr>
              <a:solidFill>
                <a:srgbClr val="FFC0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val>
            <c:numRef>
              <c:f>'G2'!$M$18:$R$18</c:f>
              <c:numCache>
                <c:formatCode>0.0</c:formatCode>
                <c:ptCount val="6"/>
                <c:pt idx="0">
                  <c:v>100</c:v>
                </c:pt>
                <c:pt idx="1">
                  <c:v>100.35713441865691</c:v>
                </c:pt>
                <c:pt idx="2">
                  <c:v>109.80966903528039</c:v>
                </c:pt>
                <c:pt idx="3">
                  <c:v>97.701547813221637</c:v>
                </c:pt>
                <c:pt idx="4">
                  <c:v>95.533438234802688</c:v>
                </c:pt>
                <c:pt idx="5">
                  <c:v>94.6192256697163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417088"/>
        <c:axId val="49723584"/>
      </c:lineChart>
      <c:catAx>
        <c:axId val="4341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723584"/>
        <c:crosses val="autoZero"/>
        <c:auto val="1"/>
        <c:lblAlgn val="ctr"/>
        <c:lblOffset val="100"/>
        <c:noMultiLvlLbl val="0"/>
      </c:catAx>
      <c:valAx>
        <c:axId val="49723584"/>
        <c:scaling>
          <c:orientation val="minMax"/>
          <c:max val="140"/>
          <c:min val="90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75000"/>
                </a:sysClr>
              </a:solidFill>
              <a:prstDash val="sysDot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solidFill>
            <a:schemeClr val="bg1"/>
          </a:solidFill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3417088"/>
        <c:crosses val="autoZero"/>
        <c:crossBetween val="between"/>
        <c:majorUnit val="10"/>
      </c:valAx>
      <c:spPr>
        <a:ln w="3175">
          <a:noFill/>
        </a:ln>
        <a:effectLst/>
      </c:spPr>
    </c:plotArea>
    <c:legend>
      <c:legendPos val="b"/>
      <c:layout>
        <c:manualLayout>
          <c:xMode val="edge"/>
          <c:yMode val="edge"/>
          <c:x val="0.10229117938795765"/>
          <c:y val="0.85947710024619062"/>
          <c:w val="0.84311058318332288"/>
          <c:h val="0.14052289975380985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419579235351462E-2"/>
          <c:y val="2.2711500685055935E-2"/>
          <c:w val="0.94658043342668285"/>
          <c:h val="0.800798078206326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'Graf1+3'!$M$24</c:f>
              <c:strCache>
                <c:ptCount val="1"/>
                <c:pt idx="0">
                  <c:v> Léky spotřebované přímo
ve zdravotnických zařízeních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'Graf1+3'!$N$24:$S$24</c:f>
              <c:numCache>
                <c:formatCode>#,##0.0</c:formatCode>
                <c:ptCount val="6"/>
                <c:pt idx="0">
                  <c:v>16.469342999999967</c:v>
                </c:pt>
                <c:pt idx="1">
                  <c:v>16.595986</c:v>
                </c:pt>
                <c:pt idx="2">
                  <c:v>17.641157000000018</c:v>
                </c:pt>
                <c:pt idx="3">
                  <c:v>18.662196999999978</c:v>
                </c:pt>
                <c:pt idx="4">
                  <c:v>20.241109000000002</c:v>
                </c:pt>
                <c:pt idx="5" formatCode="0.0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A5-404C-8D61-BD7E93F097F7}"/>
            </c:ext>
          </c:extLst>
        </c:ser>
        <c:ser>
          <c:idx val="2"/>
          <c:order val="1"/>
          <c:tx>
            <c:strRef>
              <c:f>'Graf1+3'!$M$25</c:f>
              <c:strCache>
                <c:ptCount val="1"/>
                <c:pt idx="0">
                  <c:v> Léky na předpis hrazené 
z veřejného pojištění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'Graf1+3'!$N$25:$S$25</c:f>
              <c:numCache>
                <c:formatCode>#,##0.0</c:formatCode>
                <c:ptCount val="6"/>
                <c:pt idx="0">
                  <c:v>33.459933354890005</c:v>
                </c:pt>
                <c:pt idx="1">
                  <c:v>33.579430293360005</c:v>
                </c:pt>
                <c:pt idx="2">
                  <c:v>36.742242076430109</c:v>
                </c:pt>
                <c:pt idx="3">
                  <c:v>32.69087278500001</c:v>
                </c:pt>
                <c:pt idx="4">
                  <c:v>31.96542476499997</c:v>
                </c:pt>
                <c:pt idx="5" formatCode="0.0">
                  <c:v>31.659529849999974</c:v>
                </c:pt>
              </c:numCache>
            </c:numRef>
          </c:val>
        </c:ser>
        <c:ser>
          <c:idx val="1"/>
          <c:order val="2"/>
          <c:tx>
            <c:strRef>
              <c:f>'Graf1+3'!$M$26</c:f>
              <c:strCache>
                <c:ptCount val="1"/>
                <c:pt idx="0">
                  <c:v> Léky na předpis hrazené 
domácnostmi (doplatky)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79646">
                  <a:lumMod val="75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'Graf1+3'!$N$26:$S$26</c:f>
              <c:numCache>
                <c:formatCode>#,##0.0</c:formatCode>
                <c:ptCount val="6"/>
                <c:pt idx="0">
                  <c:v>8.9</c:v>
                </c:pt>
                <c:pt idx="1">
                  <c:v>9.4</c:v>
                </c:pt>
                <c:pt idx="2">
                  <c:v>9.4</c:v>
                </c:pt>
                <c:pt idx="3">
                  <c:v>9.3000000000000007</c:v>
                </c:pt>
                <c:pt idx="4">
                  <c:v>9.5</c:v>
                </c:pt>
                <c:pt idx="5" formatCode="0.0">
                  <c:v>9.5070000000000014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A5-404C-8D61-BD7E93F097F7}"/>
            </c:ext>
          </c:extLst>
        </c:ser>
        <c:ser>
          <c:idx val="3"/>
          <c:order val="3"/>
          <c:tx>
            <c:strRef>
              <c:f>'Graf1+3'!$M$27</c:f>
              <c:strCache>
                <c:ptCount val="1"/>
                <c:pt idx="0">
                  <c:v> Volně prodejné léky 
hrazené domácnostmi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BBB59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'Graf1+3'!$N$27:$S$27</c:f>
              <c:numCache>
                <c:formatCode>#,##0.0</c:formatCode>
                <c:ptCount val="6"/>
                <c:pt idx="0">
                  <c:v>11.8</c:v>
                </c:pt>
                <c:pt idx="1">
                  <c:v>12.3</c:v>
                </c:pt>
                <c:pt idx="2">
                  <c:v>12.1</c:v>
                </c:pt>
                <c:pt idx="3">
                  <c:v>11.2</c:v>
                </c:pt>
                <c:pt idx="4">
                  <c:v>12.1</c:v>
                </c:pt>
                <c:pt idx="5" formatCode="0.0">
                  <c:v>12.309000000000006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8041984"/>
        <c:axId val="50529984"/>
      </c:barChart>
      <c:catAx>
        <c:axId val="4804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50529984"/>
        <c:crosses val="autoZero"/>
        <c:auto val="1"/>
        <c:lblAlgn val="ctr"/>
        <c:lblOffset val="100"/>
        <c:noMultiLvlLbl val="0"/>
      </c:catAx>
      <c:valAx>
        <c:axId val="5052998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50000"/>
                </a:sysClr>
              </a:solidFill>
              <a:prstDash val="sysDot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  <a:prstDash val="sysDash"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48041984"/>
        <c:crosses val="autoZero"/>
        <c:crossBetween val="between"/>
      </c:valAx>
      <c:spPr>
        <a:noFill/>
        <a:ln w="3175">
          <a:noFill/>
        </a:ln>
        <a:effectLst/>
      </c:spPr>
    </c:plotArea>
    <c:legend>
      <c:legendPos val="b"/>
      <c:layout>
        <c:manualLayout>
          <c:xMode val="edge"/>
          <c:yMode val="edge"/>
          <c:x val="1.2379567938623057E-2"/>
          <c:y val="0.87738956359268661"/>
          <c:w val="0.96564086412275385"/>
          <c:h val="0.12238277777777791"/>
        </c:manualLayout>
      </c:layout>
      <c:overlay val="0"/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4378657036045204E-2"/>
          <c:y val="2.7496062992126011E-2"/>
          <c:w val="0.88159625912595541"/>
          <c:h val="0.726427368992668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Grafy!$M$43</c:f>
              <c:strCache>
                <c:ptCount val="1"/>
                <c:pt idx="0">
                  <c:v> Léky spotřebované přímo 
ve zdravotnických zařízeních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Grafy!$N$43:$O$43</c:f>
              <c:numCache>
                <c:formatCode>0.0%</c:formatCode>
                <c:ptCount val="2"/>
                <c:pt idx="0">
                  <c:v>0.23318011807521155</c:v>
                </c:pt>
                <c:pt idx="1">
                  <c:v>0.29429025496942801</c:v>
                </c:pt>
              </c:numCache>
            </c:numRef>
          </c:val>
        </c:ser>
        <c:ser>
          <c:idx val="1"/>
          <c:order val="1"/>
          <c:tx>
            <c:strRef>
              <c:f>Grafy!$M$44</c:f>
              <c:strCache>
                <c:ptCount val="1"/>
                <c:pt idx="0">
                  <c:v> Léky na předpis hrazené 
z veřejného pojištění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Grafy!$N$44:$O$44</c:f>
              <c:numCache>
                <c:formatCode>0.0%</c:formatCode>
                <c:ptCount val="2"/>
                <c:pt idx="0">
                  <c:v>0.47374028280800035</c:v>
                </c:pt>
                <c:pt idx="1">
                  <c:v>0.41780677631249941</c:v>
                </c:pt>
              </c:numCache>
            </c:numRef>
          </c:val>
        </c:ser>
        <c:ser>
          <c:idx val="2"/>
          <c:order val="2"/>
          <c:tx>
            <c:strRef>
              <c:f>Grafy!$M$45</c:f>
              <c:strCache>
                <c:ptCount val="1"/>
                <c:pt idx="0">
                  <c:v> Léky na předpis hrazené 
domácnostmi (doplatky)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79646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Grafy!$N$45:$O$45</c:f>
              <c:numCache>
                <c:formatCode>0.0%</c:formatCode>
                <c:ptCount val="2"/>
                <c:pt idx="0">
                  <c:v>0.12601006918547891</c:v>
                </c:pt>
                <c:pt idx="1">
                  <c:v>0.12546266609840143</c:v>
                </c:pt>
              </c:numCache>
            </c:numRef>
          </c:val>
        </c:ser>
        <c:ser>
          <c:idx val="3"/>
          <c:order val="3"/>
          <c:tx>
            <c:strRef>
              <c:f>Grafy!$M$46</c:f>
              <c:strCache>
                <c:ptCount val="1"/>
                <c:pt idx="0">
                  <c:v> Volně prodejné léky 
hrazené domácnostmi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BBB59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Grafy!$N$46:$O$46</c:f>
              <c:numCache>
                <c:formatCode>0.0%</c:formatCode>
                <c:ptCount val="2"/>
                <c:pt idx="0">
                  <c:v>0.16706952993130911</c:v>
                </c:pt>
                <c:pt idx="1">
                  <c:v>0.16244030261967221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48089088"/>
        <c:axId val="50531712"/>
      </c:barChart>
      <c:catAx>
        <c:axId val="48089088"/>
        <c:scaling>
          <c:orientation val="minMax"/>
        </c:scaling>
        <c:delete val="0"/>
        <c:axPos val="l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0531712"/>
        <c:crosses val="autoZero"/>
        <c:auto val="1"/>
        <c:lblAlgn val="ctr"/>
        <c:lblOffset val="100"/>
        <c:noMultiLvlLbl val="0"/>
      </c:catAx>
      <c:valAx>
        <c:axId val="50531712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4808908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1.8503276713052394E-2"/>
          <c:y val="0.83844356955380572"/>
          <c:w val="0.9637306657422533"/>
          <c:h val="0.13148129921259843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0790407179963808"/>
          <c:y val="3.1105989800055481E-2"/>
          <c:w val="0.36525453457073825"/>
          <c:h val="0.93095363079615068"/>
        </c:manualLayout>
      </c:layout>
      <c:pieChart>
        <c:varyColors val="1"/>
        <c:ser>
          <c:idx val="0"/>
          <c:order val="0"/>
          <c:spPr>
            <a:ln>
              <a:solidFill>
                <a:srgbClr val="1F497D">
                  <a:lumMod val="50000"/>
                </a:srgbClr>
              </a:solidFill>
            </a:ln>
          </c:spPr>
          <c:dPt>
            <c:idx val="0"/>
            <c:bubble3D val="0"/>
            <c:spPr>
              <a:solidFill>
                <a:srgbClr val="D96D7F"/>
              </a:solidFill>
              <a:ln>
                <a:solidFill>
                  <a:srgbClr val="C0504D">
                    <a:lumMod val="75000"/>
                  </a:srgbClr>
                </a:solidFill>
              </a:ln>
            </c:spPr>
          </c:dPt>
          <c:dPt>
            <c:idx val="1"/>
            <c:bubble3D val="0"/>
            <c:spPr>
              <a:solidFill>
                <a:srgbClr val="92D050"/>
              </a:solidFill>
              <a:ln>
                <a:solidFill>
                  <a:srgbClr val="9BBB59">
                    <a:lumMod val="50000"/>
                  </a:srgbClr>
                </a:solidFill>
              </a:ln>
            </c:spPr>
          </c:dPt>
          <c:dPt>
            <c:idx val="2"/>
            <c:bubble3D val="0"/>
            <c:explosion val="1"/>
            <c:spPr>
              <a:solidFill>
                <a:srgbClr val="0071BC"/>
              </a:solidFill>
              <a:ln>
                <a:solidFill>
                  <a:srgbClr val="4F81BD">
                    <a:lumMod val="50000"/>
                  </a:srgbClr>
                </a:solidFill>
              </a:ln>
            </c:spPr>
          </c:dPt>
          <c:dLbls>
            <c:dLbl>
              <c:idx val="0"/>
              <c:layout>
                <c:manualLayout>
                  <c:x val="4.6289668336912393E-2"/>
                  <c:y val="-4.9096728762563234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Úhrady za léky na předpis z veřejného pojištění</a:t>
                    </a:r>
                    <a:endParaRPr lang="cs-CZ" sz="80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59,2%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-4.2597378676947684E-2"/>
                  <c:y val="-3.3388387427181372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Doplatky za léky na předpis</a:t>
                    </a:r>
                    <a:endParaRPr lang="cs-CZ" sz="80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17,8%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5.978073314998316E-2"/>
                  <c:y val="4.7367432729445498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Volně prodejné léky 23,0%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'G3'!$A$36:$A$38</c:f>
              <c:strCache>
                <c:ptCount val="3"/>
                <c:pt idx="0">
                  <c:v>Úhrady za léky na předpis z veřejného pojištění</c:v>
                </c:pt>
                <c:pt idx="1">
                  <c:v>Doplatky za léky na předpis</c:v>
                </c:pt>
                <c:pt idx="2">
                  <c:v>Volně prodejné léky</c:v>
                </c:pt>
              </c:strCache>
            </c:strRef>
          </c:cat>
          <c:val>
            <c:numRef>
              <c:f>'G3'!$B$36:$B$38</c:f>
              <c:numCache>
                <c:formatCode>0.0%</c:formatCode>
                <c:ptCount val="3"/>
                <c:pt idx="0">
                  <c:v>0.59203770282979251</c:v>
                </c:pt>
                <c:pt idx="1">
                  <c:v>0.17778224968817224</c:v>
                </c:pt>
                <c:pt idx="2">
                  <c:v>0.23018004748203541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02035383399141E-2"/>
          <c:y val="3.6208469708390541E-2"/>
          <c:w val="0.92339282627598662"/>
          <c:h val="0.7866465594985617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'G3+G4'!$A$23</c:f>
              <c:strCache>
                <c:ptCount val="1"/>
                <c:pt idx="0">
                  <c:v> Úhrady za léky na předpis z veřejného pojištění</c:v>
                </c:pt>
              </c:strCache>
            </c:strRef>
          </c:tx>
          <c:spPr>
            <a:solidFill>
              <a:srgbClr val="D96D7F"/>
            </a:solidFill>
            <a:ln w="9525">
              <a:solidFill>
                <a:srgbClr val="C0504D">
                  <a:lumMod val="75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'G3+G4'!$B$22:$G$22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'G3+G4'!$B$23:$G$23</c:f>
              <c:numCache>
                <c:formatCode>0.0%</c:formatCode>
                <c:ptCount val="6"/>
                <c:pt idx="0">
                  <c:v>0.6177986434296272</c:v>
                </c:pt>
                <c:pt idx="1">
                  <c:v>0.60744892114768168</c:v>
                </c:pt>
                <c:pt idx="2">
                  <c:v>0.63085212324439788</c:v>
                </c:pt>
                <c:pt idx="3">
                  <c:v>0.61459553252938892</c:v>
                </c:pt>
                <c:pt idx="4">
                  <c:v>0.59675480788656832</c:v>
                </c:pt>
                <c:pt idx="5">
                  <c:v>0.59203770282979251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54-4E1F-AAC5-0D24FDF5BBF3}"/>
            </c:ext>
          </c:extLst>
        </c:ser>
        <c:ser>
          <c:idx val="1"/>
          <c:order val="1"/>
          <c:tx>
            <c:strRef>
              <c:f>'G3+G4'!$A$24</c:f>
              <c:strCache>
                <c:ptCount val="1"/>
                <c:pt idx="0">
                  <c:v> Doplatky za léky na předpis</c:v>
                </c:pt>
              </c:strCache>
            </c:strRef>
          </c:tx>
          <c:spPr>
            <a:solidFill>
              <a:srgbClr val="92D050"/>
            </a:solidFill>
            <a:ln w="9525">
              <a:solidFill>
                <a:srgbClr val="9BBB59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'G3+G4'!$B$22:$G$22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'G3+G4'!$B$24:$G$24</c:f>
              <c:numCache>
                <c:formatCode>0.0%</c:formatCode>
                <c:ptCount val="6"/>
                <c:pt idx="0">
                  <c:v>0.16432811949161</c:v>
                </c:pt>
                <c:pt idx="1">
                  <c:v>0.17004516779777859</c:v>
                </c:pt>
                <c:pt idx="2">
                  <c:v>0.16139488565128676</c:v>
                </c:pt>
                <c:pt idx="3">
                  <c:v>0.17484202670618021</c:v>
                </c:pt>
                <c:pt idx="4">
                  <c:v>0.17735320949433361</c:v>
                </c:pt>
                <c:pt idx="5">
                  <c:v>0.17778224968817224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54-4E1F-AAC5-0D24FDF5BBF3}"/>
            </c:ext>
          </c:extLst>
        </c:ser>
        <c:ser>
          <c:idx val="3"/>
          <c:order val="2"/>
          <c:tx>
            <c:strRef>
              <c:f>'G3+G4'!$A$25</c:f>
              <c:strCache>
                <c:ptCount val="1"/>
                <c:pt idx="0">
                  <c:v> Volně prodejné léky</c:v>
                </c:pt>
              </c:strCache>
            </c:strRef>
          </c:tx>
          <c:spPr>
            <a:solidFill>
              <a:srgbClr val="0071BC"/>
            </a:solidFill>
            <a:ln w="9525">
              <a:solidFill>
                <a:srgbClr val="4F81BD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'G3+G4'!$B$22:$G$22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'G3+G4'!$B$25:$G$25</c:f>
              <c:numCache>
                <c:formatCode>0.0%</c:formatCode>
                <c:ptCount val="6"/>
                <c:pt idx="0">
                  <c:v>0.21787323707876391</c:v>
                </c:pt>
                <c:pt idx="1">
                  <c:v>0.22250591105453987</c:v>
                </c:pt>
                <c:pt idx="2">
                  <c:v>0.20775299110431594</c:v>
                </c:pt>
                <c:pt idx="3">
                  <c:v>0.21056244076443226</c:v>
                </c:pt>
                <c:pt idx="4">
                  <c:v>0.22589198261909843</c:v>
                </c:pt>
                <c:pt idx="5">
                  <c:v>0.23018004748203541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54-4E1F-AAC5-0D24FDF5B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9911808"/>
        <c:axId val="50533440"/>
      </c:barChart>
      <c:catAx>
        <c:axId val="4991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0533440"/>
        <c:crosses val="autoZero"/>
        <c:auto val="1"/>
        <c:lblAlgn val="ctr"/>
        <c:lblOffset val="100"/>
        <c:noMultiLvlLbl val="0"/>
      </c:catAx>
      <c:valAx>
        <c:axId val="5053344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75000"/>
                </a:sysClr>
              </a:solidFill>
              <a:prstDash val="sysDot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911808"/>
        <c:crosses val="autoZero"/>
        <c:crossBetween val="between"/>
        <c:majorUnit val="0.2"/>
        <c:minorUnit val="2.0000000000000011E-2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3.5742445074831944E-2"/>
          <c:y val="0.90538282714660656"/>
          <c:w val="0.93788750771045037"/>
          <c:h val="8.610911136107986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380728126687512E-2"/>
          <c:y val="4.7619047619047623E-2"/>
          <c:w val="0.92922745900781545"/>
          <c:h val="0.7473279476429082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'G6'!$A$22</c:f>
              <c:strCache>
                <c:ptCount val="1"/>
                <c:pt idx="0">
                  <c:v> Výdaje domácností na léky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'G6'!$B$21:$G$21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'G6'!$B$22:$G$22</c:f>
              <c:numCache>
                <c:formatCode>#,##0.0</c:formatCode>
                <c:ptCount val="6"/>
                <c:pt idx="0">
                  <c:v>20.700000000000003</c:v>
                </c:pt>
                <c:pt idx="1">
                  <c:v>21.700000000000003</c:v>
                </c:pt>
                <c:pt idx="2">
                  <c:v>21.5</c:v>
                </c:pt>
                <c:pt idx="3">
                  <c:v>20.5</c:v>
                </c:pt>
                <c:pt idx="4">
                  <c:v>21.6</c:v>
                </c:pt>
                <c:pt idx="5" formatCode="0.0">
                  <c:v>21.815999999999999</c:v>
                </c:pt>
              </c:numCache>
            </c:numRef>
          </c:val>
        </c:ser>
        <c:ser>
          <c:idx val="1"/>
          <c:order val="1"/>
          <c:tx>
            <c:strRef>
              <c:f>'G6'!$A$23</c:f>
              <c:strCache>
                <c:ptCount val="1"/>
                <c:pt idx="0">
                  <c:v> Výdaje zdravotních pojišťoven na léky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spPr>
              <a:noFill/>
            </c:spPr>
            <c:txPr>
              <a:bodyPr/>
              <a:lstStyle/>
              <a:p>
                <a:pPr>
                  <a:defRPr sz="8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'G6'!$B$21:$G$21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'G6'!$B$23:$G$23</c:f>
              <c:numCache>
                <c:formatCode>#,##0.0</c:formatCode>
                <c:ptCount val="6"/>
                <c:pt idx="0">
                  <c:v>49.929276354890007</c:v>
                </c:pt>
                <c:pt idx="1">
                  <c:v>50.175416293360001</c:v>
                </c:pt>
                <c:pt idx="2">
                  <c:v>54.383399076430095</c:v>
                </c:pt>
                <c:pt idx="3">
                  <c:v>51.353069784999995</c:v>
                </c:pt>
                <c:pt idx="4">
                  <c:v>52.20653376500001</c:v>
                </c:pt>
                <c:pt idx="5" formatCode="0.0">
                  <c:v>53.959529850000003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68408320"/>
        <c:axId val="50545216"/>
      </c:barChart>
      <c:catAx>
        <c:axId val="6840832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0545216"/>
        <c:crosses val="autoZero"/>
        <c:auto val="1"/>
        <c:lblAlgn val="ctr"/>
        <c:lblOffset val="100"/>
        <c:noMultiLvlLbl val="0"/>
      </c:catAx>
      <c:valAx>
        <c:axId val="50545216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68408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445541197302497E-2"/>
          <c:y val="0.88378532228925932"/>
          <c:w val="0.89660734991858071"/>
          <c:h val="6.4266625762688823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'G6'!$A$45</c:f>
              <c:strCache>
                <c:ptCount val="1"/>
                <c:pt idx="0">
                  <c:v> Výdaje domácností na léky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75000"/>
                </a:srgb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1BC"/>
              </a:solidFill>
              <a:ln>
                <a:solidFill>
                  <a:srgbClr val="4F81BD">
                    <a:lumMod val="75000"/>
                  </a:srgbClr>
                </a:solidFill>
              </a:ln>
            </c:spPr>
          </c:dPt>
          <c:dLbls>
            <c:txPr>
              <a:bodyPr/>
              <a:lstStyle/>
              <a:p>
                <a:pPr>
                  <a:defRPr sz="800" baseline="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'G6'!$B$44:$C$44</c:f>
              <c:numCache>
                <c:formatCode>General</c:formatCode>
                <c:ptCount val="2"/>
                <c:pt idx="0">
                  <c:v>2010</c:v>
                </c:pt>
                <c:pt idx="1">
                  <c:v>2015</c:v>
                </c:pt>
              </c:numCache>
            </c:numRef>
          </c:cat>
          <c:val>
            <c:numRef>
              <c:f>'G6'!$B$45:$C$45</c:f>
              <c:numCache>
                <c:formatCode>0.0%</c:formatCode>
                <c:ptCount val="2"/>
                <c:pt idx="0">
                  <c:v>0.29307959911678833</c:v>
                </c:pt>
                <c:pt idx="1">
                  <c:v>0.28790296871807397</c:v>
                </c:pt>
              </c:numCache>
            </c:numRef>
          </c:val>
        </c:ser>
        <c:ser>
          <c:idx val="1"/>
          <c:order val="1"/>
          <c:tx>
            <c:strRef>
              <c:f>'G6'!$A$46</c:f>
              <c:strCache>
                <c:ptCount val="1"/>
                <c:pt idx="0">
                  <c:v> Výdaje zdravotních pojišťoven na léky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'G6'!$B$44:$C$44</c:f>
              <c:numCache>
                <c:formatCode>General</c:formatCode>
                <c:ptCount val="2"/>
                <c:pt idx="0">
                  <c:v>2010</c:v>
                </c:pt>
                <c:pt idx="1">
                  <c:v>2015</c:v>
                </c:pt>
              </c:numCache>
            </c:numRef>
          </c:cat>
          <c:val>
            <c:numRef>
              <c:f>'G6'!$B$46:$C$46</c:f>
              <c:numCache>
                <c:formatCode>0.0%</c:formatCode>
                <c:ptCount val="2"/>
                <c:pt idx="0">
                  <c:v>0.70692040088321195</c:v>
                </c:pt>
                <c:pt idx="1">
                  <c:v>0.7120970312819267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1060992"/>
        <c:axId val="50546944"/>
      </c:barChart>
      <c:catAx>
        <c:axId val="271060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0546944"/>
        <c:crosses val="autoZero"/>
        <c:auto val="1"/>
        <c:lblAlgn val="ctr"/>
        <c:lblOffset val="100"/>
        <c:noMultiLvlLbl val="0"/>
      </c:catAx>
      <c:valAx>
        <c:axId val="50546944"/>
        <c:scaling>
          <c:orientation val="minMax"/>
          <c:max val="1"/>
        </c:scaling>
        <c:delete val="1"/>
        <c:axPos val="b"/>
        <c:numFmt formatCode="0.0%" sourceLinked="1"/>
        <c:majorTickMark val="out"/>
        <c:minorTickMark val="none"/>
        <c:tickLblPos val="none"/>
        <c:crossAx val="271060992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7.1536751685943561E-2"/>
          <c:y val="0.88926645125534542"/>
          <c:w val="0.86968549983883658"/>
          <c:h val="7.8861038784494561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409622966331821E-2"/>
          <c:y val="7.1814159504662398E-2"/>
          <c:w val="0.92220810134946107"/>
          <c:h val="0.72284725409117434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'G7'!$A$26</c:f>
              <c:strCache>
                <c:ptCount val="1"/>
                <c:pt idx="0">
                  <c:v> Volně prodejné léky</c:v>
                </c:pt>
              </c:strCache>
            </c:strRef>
          </c:tx>
          <c:spPr>
            <a:solidFill>
              <a:srgbClr val="D96D7F"/>
            </a:solidFill>
            <a:ln w="9525" cap="rnd">
              <a:solidFill>
                <a:srgbClr val="C0504D">
                  <a:lumMod val="75000"/>
                </a:srgbClr>
              </a:solidFill>
              <a:round/>
            </a:ln>
            <a:effectLst/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'G7'!$B$24:$G$24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'G7'!$B$26:$G$26</c:f>
              <c:numCache>
                <c:formatCode>#,##0</c:formatCode>
                <c:ptCount val="6"/>
                <c:pt idx="0">
                  <c:v>1121.9929637729401</c:v>
                </c:pt>
                <c:pt idx="1">
                  <c:v>1171.7633609602751</c:v>
                </c:pt>
                <c:pt idx="2">
                  <c:v>1151.3940432010647</c:v>
                </c:pt>
                <c:pt idx="3">
                  <c:v>1065.5503757967851</c:v>
                </c:pt>
                <c:pt idx="4">
                  <c:v>1149.6437054631831</c:v>
                </c:pt>
                <c:pt idx="5" formatCode="0">
                  <c:v>1167.5045053590059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2E-4746-9258-04575EFE46FC}"/>
            </c:ext>
          </c:extLst>
        </c:ser>
        <c:ser>
          <c:idx val="0"/>
          <c:order val="1"/>
          <c:tx>
            <c:strRef>
              <c:f>'G7'!$A$25</c:f>
              <c:strCache>
                <c:ptCount val="1"/>
                <c:pt idx="0">
                  <c:v> Doplatky za léky na předpis</c:v>
                </c:pt>
              </c:strCache>
            </c:strRef>
          </c:tx>
          <c:spPr>
            <a:solidFill>
              <a:srgbClr val="0071BC"/>
            </a:solidFill>
            <a:ln w="9525" cap="rnd">
              <a:solidFill>
                <a:srgbClr val="4F81BD">
                  <a:lumMod val="50000"/>
                </a:srgbClr>
              </a:solidFill>
              <a:round/>
            </a:ln>
            <a:effectLst/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'G7'!$B$24:$G$24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'G7'!$B$25:$G$25</c:f>
              <c:numCache>
                <c:formatCode>#,##0</c:formatCode>
                <c:ptCount val="6"/>
                <c:pt idx="0">
                  <c:v>846.2489303033185</c:v>
                </c:pt>
                <c:pt idx="1">
                  <c:v>895.49395065256817</c:v>
                </c:pt>
                <c:pt idx="2">
                  <c:v>894.471405461985</c:v>
                </c:pt>
                <c:pt idx="3">
                  <c:v>884.78736561697303</c:v>
                </c:pt>
                <c:pt idx="4">
                  <c:v>902.6128266033254</c:v>
                </c:pt>
                <c:pt idx="5" formatCode="0">
                  <c:v>901.73574883809215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2E-4746-9258-04575EFE4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71063552"/>
        <c:axId val="50545792"/>
      </c:barChart>
      <c:lineChart>
        <c:grouping val="standard"/>
        <c:varyColors val="0"/>
        <c:ser>
          <c:idx val="2"/>
          <c:order val="2"/>
          <c:tx>
            <c:strRef>
              <c:f>'G7'!$A$28</c:f>
              <c:strCache>
                <c:ptCount val="1"/>
                <c:pt idx="0">
                  <c:v> Podíl výdajů za léky na výdajích
domácností na zdravotní péči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FFC000"/>
              </a:solidFill>
              <a:ln>
                <a:noFill/>
              </a:ln>
            </c:spPr>
          </c:marker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'G7'!$B$24:$G$24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'G7'!$B$28:$G$28</c:f>
              <c:numCache>
                <c:formatCode>0%</c:formatCode>
                <c:ptCount val="6"/>
                <c:pt idx="0">
                  <c:v>0.48473210940427136</c:v>
                </c:pt>
                <c:pt idx="1">
                  <c:v>0.49286817479785683</c:v>
                </c:pt>
                <c:pt idx="2">
                  <c:v>0.48596356403417607</c:v>
                </c:pt>
                <c:pt idx="3">
                  <c:v>0.47163300050614243</c:v>
                </c:pt>
                <c:pt idx="4">
                  <c:v>0.46460605278440986</c:v>
                </c:pt>
                <c:pt idx="5">
                  <c:v>0.48400000000000032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12E-4746-9258-04575EFE4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064576"/>
        <c:axId val="50549824"/>
      </c:lineChart>
      <c:catAx>
        <c:axId val="27106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50545792"/>
        <c:crosses val="autoZero"/>
        <c:auto val="1"/>
        <c:lblAlgn val="ctr"/>
        <c:lblOffset val="100"/>
        <c:noMultiLvlLbl val="0"/>
      </c:catAx>
      <c:valAx>
        <c:axId val="50545792"/>
        <c:scaling>
          <c:orientation val="minMax"/>
          <c:max val="2100"/>
          <c:min val="0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75000"/>
                </a:sysClr>
              </a:solidFill>
              <a:prstDash val="sysDot"/>
              <a:round/>
            </a:ln>
            <a:effectLst/>
          </c:spPr>
        </c:majorGridlines>
        <c:numFmt formatCode="#\ ##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271063552"/>
        <c:crosses val="autoZero"/>
        <c:crossBetween val="between"/>
        <c:majorUnit val="300"/>
      </c:valAx>
      <c:valAx>
        <c:axId val="50549824"/>
        <c:scaling>
          <c:orientation val="minMax"/>
          <c:max val="0.57000000000000028"/>
          <c:min val="0.1"/>
        </c:scaling>
        <c:delete val="0"/>
        <c:axPos val="r"/>
        <c:numFmt formatCode="0%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300">
                <a:solidFill>
                  <a:schemeClr val="bg1"/>
                </a:solidFill>
              </a:defRPr>
            </a:pPr>
            <a:endParaRPr lang="cs-CZ"/>
          </a:p>
        </c:txPr>
        <c:crossAx val="271064576"/>
        <c:crosses val="max"/>
        <c:crossBetween val="between"/>
      </c:valAx>
      <c:catAx>
        <c:axId val="271064576"/>
        <c:scaling>
          <c:orientation val="minMax"/>
        </c:scaling>
        <c:delete val="1"/>
        <c:axPos val="b"/>
        <c:majorTickMark val="out"/>
        <c:minorTickMark val="none"/>
        <c:tickLblPos val="none"/>
        <c:crossAx val="50549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vert="horz"/>
          <a:lstStyle/>
          <a:p>
            <a:pPr>
              <a:defRPr/>
            </a:pPr>
            <a:endParaRPr lang="cs-CZ"/>
          </a:p>
        </c:txPr>
      </c:legendEntry>
      <c:layout>
        <c:manualLayout>
          <c:xMode val="edge"/>
          <c:yMode val="edge"/>
          <c:x val="3.3448966908614201E-2"/>
          <c:y val="0.87102732746641975"/>
          <c:w val="0.96474455443788776"/>
          <c:h val="9.988875243805535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0.54137</cdr:x>
      <cdr:y>0.53637</cdr:y>
    </cdr:from>
    <cdr:to>
      <cdr:x>0.62082</cdr:x>
      <cdr:y>0.63053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3233186" y="1256806"/>
          <a:ext cx="474430" cy="2206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latin typeface="Arial" panose="020B0604020202020204" pitchFamily="34" charset="0"/>
              <a:cs typeface="Arial" panose="020B0604020202020204" pitchFamily="34" charset="0"/>
            </a:rPr>
            <a:t>31,7 mld. Kč</a:t>
          </a:r>
          <a:r>
            <a:rPr lang="cs-CZ" sz="9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cdr:txBody>
    </cdr:sp>
  </cdr:relSizeAnchor>
  <cdr:relSizeAnchor xmlns:cdr="http://schemas.openxmlformats.org/drawingml/2006/chartDrawing">
    <cdr:from>
      <cdr:x>0.32714</cdr:x>
      <cdr:y>0.55691</cdr:y>
    </cdr:from>
    <cdr:to>
      <cdr:x>0.47667</cdr:x>
      <cdr:y>0.65447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53745" y="1304922"/>
          <a:ext cx="893019" cy="2286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9,5 mld. Kč</a:t>
          </a:r>
        </a:p>
      </cdr:txBody>
    </cdr:sp>
  </cdr:relSizeAnchor>
  <cdr:relSizeAnchor xmlns:cdr="http://schemas.openxmlformats.org/drawingml/2006/chartDrawing">
    <cdr:from>
      <cdr:x>0.34698</cdr:x>
      <cdr:y>0.20703</cdr:y>
    </cdr:from>
    <cdr:to>
      <cdr:x>0.49651</cdr:x>
      <cdr:y>0.28171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2072231" y="485091"/>
          <a:ext cx="893020" cy="174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12,3 mld. Kč</a:t>
          </a: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ED190-5025-4989-A727-91693C6E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bar_lide a spolecnost</Template>
  <TotalTime>1</TotalTime>
  <Pages>7</Pages>
  <Words>1785</Words>
  <Characters>10534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12295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Kalnická</dc:creator>
  <cp:lastModifiedBy>Mgr. Vladimíra Kalnická</cp:lastModifiedBy>
  <cp:revision>2</cp:revision>
  <cp:lastPrinted>2017-05-16T06:40:00Z</cp:lastPrinted>
  <dcterms:created xsi:type="dcterms:W3CDTF">2017-05-17T13:39:00Z</dcterms:created>
  <dcterms:modified xsi:type="dcterms:W3CDTF">2017-05-17T13:39:00Z</dcterms:modified>
</cp:coreProperties>
</file>