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42" w:rsidRDefault="00DB7E42" w:rsidP="00287768">
      <w:pPr>
        <w:pStyle w:val="Nadpis2"/>
      </w:pPr>
      <w:bookmarkStart w:id="0" w:name="_GoBack"/>
      <w:bookmarkEnd w:id="0"/>
    </w:p>
    <w:p w:rsidR="00287768" w:rsidRDefault="00701300" w:rsidP="00287768">
      <w:pPr>
        <w:pStyle w:val="Nadpis2"/>
      </w:pPr>
      <w:r>
        <w:t>6</w:t>
      </w:r>
      <w:r w:rsidR="00287768">
        <w:t xml:space="preserve">. </w:t>
      </w:r>
      <w:r w:rsidR="0004599B">
        <w:t xml:space="preserve">Zařízení </w:t>
      </w:r>
      <w:r w:rsidR="00C05C38">
        <w:t>s</w:t>
      </w:r>
      <w:r w:rsidR="00287768">
        <w:t>ociální</w:t>
      </w:r>
      <w:r w:rsidR="0004599B">
        <w:t>ch</w:t>
      </w:r>
      <w:r w:rsidR="00287768">
        <w:t xml:space="preserve"> služ</w:t>
      </w:r>
      <w:r w:rsidR="0004599B">
        <w:t>e</w:t>
      </w:r>
      <w:r w:rsidR="00287768">
        <w:t>b</w:t>
      </w:r>
    </w:p>
    <w:p w:rsidR="00287768" w:rsidRDefault="00287768" w:rsidP="00287768">
      <w:pPr>
        <w:spacing w:line="240" w:lineRule="auto"/>
        <w:ind w:firstLine="709"/>
        <w:jc w:val="both"/>
        <w:rPr>
          <w:rFonts w:cs="Arial"/>
          <w:szCs w:val="20"/>
        </w:rPr>
      </w:pPr>
    </w:p>
    <w:p w:rsidR="00287768" w:rsidRDefault="00287768" w:rsidP="00677BD1">
      <w:pPr>
        <w:spacing w:line="240" w:lineRule="auto"/>
        <w:ind w:firstLine="709"/>
        <w:jc w:val="both"/>
        <w:rPr>
          <w:rFonts w:cs="Arial"/>
          <w:szCs w:val="20"/>
        </w:rPr>
      </w:pPr>
      <w:r>
        <w:rPr>
          <w:rFonts w:cs="Arial"/>
          <w:szCs w:val="20"/>
        </w:rPr>
        <w:t xml:space="preserve">Hlavním smyslem sociálních služeb je zajištění pomoci při péči o 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 o 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souvisejících se způsobem života uživatele. </w:t>
      </w:r>
    </w:p>
    <w:p w:rsidR="00287768" w:rsidRPr="0061392F" w:rsidRDefault="00287768" w:rsidP="00677BD1">
      <w:pPr>
        <w:pStyle w:val="Zkladntext"/>
        <w:ind w:firstLine="709"/>
        <w:rPr>
          <w:rFonts w:ascii="Arial" w:hAnsi="Arial" w:cs="Arial"/>
          <w:sz w:val="20"/>
        </w:rPr>
      </w:pPr>
    </w:p>
    <w:p w:rsidR="0061392F" w:rsidRDefault="00E12556" w:rsidP="00336F1A">
      <w:pPr>
        <w:pStyle w:val="Zkladntext"/>
        <w:ind w:firstLine="709"/>
        <w:rPr>
          <w:rFonts w:ascii="Arial" w:hAnsi="Arial" w:cs="Arial"/>
          <w:sz w:val="20"/>
        </w:rPr>
      </w:pPr>
      <w:r w:rsidRPr="00336F1A">
        <w:rPr>
          <w:rFonts w:ascii="Arial" w:hAnsi="Arial" w:cs="Arial"/>
          <w:sz w:val="20"/>
        </w:rPr>
        <w:t>Z</w:t>
      </w:r>
      <w:r w:rsidR="00287768" w:rsidRPr="00336F1A">
        <w:rPr>
          <w:rFonts w:ascii="Arial" w:hAnsi="Arial" w:cs="Arial"/>
          <w:sz w:val="20"/>
        </w:rPr>
        <w:t>ásadní změny v oblasti sociálních služeb přinesl zákon č. 108/2006 Sb., o sociálních službách ve znění pozdějších předpisů účinný od 1. ledna 2007. Jeho cílem je zajištění pomoci osobám v nepříznivé sociální situaci prostřednictvím nově definovaného spektra sociálních služeb. Pomocí se rozumí takové činnosti, které jsou nezbytné pro sociální začlenění osob a důstojné podmínky života odpovídající úrovni rozvoje společnosti</w:t>
      </w:r>
      <w:r w:rsidR="00336F1A" w:rsidRPr="00336F1A">
        <w:rPr>
          <w:rFonts w:ascii="Arial" w:hAnsi="Arial" w:cs="Arial"/>
          <w:sz w:val="20"/>
        </w:rPr>
        <w:t xml:space="preserve">. Obsah základních činností u jednotlivých druhů sociálních služeb stanoví příslušný prováděcí předpis. </w:t>
      </w:r>
    </w:p>
    <w:p w:rsidR="0061392F" w:rsidRDefault="0061392F" w:rsidP="00336F1A">
      <w:pPr>
        <w:pStyle w:val="Zkladntext"/>
        <w:ind w:firstLine="709"/>
        <w:rPr>
          <w:rFonts w:ascii="Arial" w:hAnsi="Arial" w:cs="Arial"/>
          <w:sz w:val="20"/>
        </w:rPr>
      </w:pPr>
    </w:p>
    <w:p w:rsidR="00287768" w:rsidRPr="00336F1A" w:rsidRDefault="00336F1A" w:rsidP="00336F1A">
      <w:pPr>
        <w:pStyle w:val="Zkladntext"/>
        <w:ind w:firstLine="709"/>
        <w:rPr>
          <w:rFonts w:ascii="Arial" w:hAnsi="Arial" w:cs="Arial"/>
          <w:sz w:val="20"/>
        </w:rPr>
      </w:pPr>
      <w:r w:rsidRPr="00336F1A">
        <w:rPr>
          <w:rFonts w:ascii="Arial" w:hAnsi="Arial" w:cs="Arial"/>
          <w:sz w:val="20"/>
        </w:rPr>
        <w:t>Na základě z</w:t>
      </w:r>
      <w:r w:rsidR="00287768" w:rsidRPr="00336F1A">
        <w:rPr>
          <w:rFonts w:ascii="Arial" w:hAnsi="Arial" w:cs="Arial"/>
          <w:sz w:val="20"/>
        </w:rPr>
        <w:t>ákon</w:t>
      </w:r>
      <w:r w:rsidRPr="00336F1A">
        <w:rPr>
          <w:rFonts w:ascii="Arial" w:hAnsi="Arial" w:cs="Arial"/>
          <w:sz w:val="20"/>
        </w:rPr>
        <w:t>a</w:t>
      </w:r>
      <w:r w:rsidR="00E12556" w:rsidRPr="00336F1A">
        <w:rPr>
          <w:rFonts w:ascii="Arial" w:hAnsi="Arial" w:cs="Arial"/>
          <w:sz w:val="20"/>
        </w:rPr>
        <w:t xml:space="preserve"> č. 108/2006 Sb., o sociálních službách </w:t>
      </w:r>
      <w:r w:rsidRPr="00336F1A">
        <w:rPr>
          <w:rFonts w:ascii="Arial" w:hAnsi="Arial" w:cs="Arial"/>
          <w:sz w:val="20"/>
        </w:rPr>
        <w:t xml:space="preserve">byl </w:t>
      </w:r>
      <w:r w:rsidR="0061392F">
        <w:rPr>
          <w:rFonts w:ascii="Arial" w:hAnsi="Arial" w:cs="Arial"/>
          <w:sz w:val="20"/>
        </w:rPr>
        <w:t xml:space="preserve">také </w:t>
      </w:r>
      <w:r w:rsidRPr="00336F1A">
        <w:rPr>
          <w:rFonts w:ascii="Arial" w:hAnsi="Arial" w:cs="Arial"/>
          <w:sz w:val="20"/>
        </w:rPr>
        <w:t>nově zřízen</w:t>
      </w:r>
      <w:r w:rsidR="00287768" w:rsidRPr="00336F1A">
        <w:rPr>
          <w:rFonts w:ascii="Arial" w:hAnsi="Arial" w:cs="Arial"/>
          <w:sz w:val="20"/>
        </w:rPr>
        <w:t xml:space="preserve"> </w:t>
      </w:r>
      <w:r w:rsidR="00287768" w:rsidRPr="00336F1A">
        <w:rPr>
          <w:rFonts w:ascii="Arial" w:hAnsi="Arial" w:cs="Arial"/>
          <w:b/>
          <w:sz w:val="20"/>
        </w:rPr>
        <w:t>registr poskytovatelů sociálních služeb</w:t>
      </w:r>
      <w:r>
        <w:rPr>
          <w:rFonts w:ascii="Arial" w:hAnsi="Arial" w:cs="Arial"/>
          <w:b/>
          <w:sz w:val="20"/>
        </w:rPr>
        <w:t xml:space="preserve"> </w:t>
      </w:r>
      <w:r w:rsidRPr="006069BC">
        <w:rPr>
          <w:rFonts w:ascii="Arial" w:hAnsi="Arial" w:cs="Arial"/>
          <w:sz w:val="20"/>
        </w:rPr>
        <w:t>(</w:t>
      </w:r>
      <w:r w:rsidRPr="00336F1A">
        <w:rPr>
          <w:rFonts w:ascii="Arial" w:hAnsi="Arial" w:cs="Arial"/>
          <w:sz w:val="20"/>
        </w:rPr>
        <w:t xml:space="preserve">dostupný na </w:t>
      </w:r>
      <w:hyperlink r:id="rId9" w:history="1">
        <w:r w:rsidRPr="00336F1A">
          <w:rPr>
            <w:rStyle w:val="Hypertextovodkaz"/>
            <w:rFonts w:ascii="Arial" w:hAnsi="Arial" w:cs="Arial"/>
            <w:sz w:val="20"/>
          </w:rPr>
          <w:t>http://iregistr.mpsv.cz/socreg</w:t>
        </w:r>
      </w:hyperlink>
      <w:r>
        <w:rPr>
          <w:rFonts w:ascii="Arial" w:hAnsi="Arial" w:cs="Arial"/>
          <w:sz w:val="20"/>
        </w:rPr>
        <w:t>)</w:t>
      </w:r>
      <w:r w:rsidR="00886630" w:rsidRPr="00336F1A">
        <w:rPr>
          <w:rFonts w:ascii="Arial" w:hAnsi="Arial" w:cs="Arial"/>
          <w:sz w:val="20"/>
        </w:rPr>
        <w:t>, který</w:t>
      </w:r>
      <w:r w:rsidR="00287768" w:rsidRPr="00336F1A">
        <w:rPr>
          <w:rFonts w:ascii="Arial" w:hAnsi="Arial" w:cs="Arial"/>
          <w:sz w:val="20"/>
        </w:rPr>
        <w:t xml:space="preserve"> je základním předpokladem k získání přehledu o rozsahu a charakteru sítě sociálních služeb. Pro poskytovatele je zařazení do registru podmínkou k poskytování sociálních služeb a jedním z předpokladů pro čerpání finančních prostředků z veřejných rozpočtů.</w:t>
      </w:r>
    </w:p>
    <w:p w:rsidR="00E44CED" w:rsidRDefault="00E44CED" w:rsidP="00E44CED">
      <w:pPr>
        <w:pStyle w:val="Zkladntext"/>
        <w:ind w:firstLine="709"/>
        <w:rPr>
          <w:rFonts w:ascii="Arial" w:hAnsi="Arial" w:cs="Arial"/>
          <w:sz w:val="20"/>
        </w:rPr>
      </w:pPr>
    </w:p>
    <w:p w:rsidR="00E44CED" w:rsidRDefault="00E44CED" w:rsidP="00E44CED">
      <w:pPr>
        <w:pStyle w:val="Zkladntext"/>
        <w:ind w:firstLine="709"/>
        <w:rPr>
          <w:rFonts w:ascii="Arial" w:hAnsi="Arial" w:cs="Arial"/>
          <w:sz w:val="20"/>
        </w:rPr>
      </w:pPr>
      <w:r>
        <w:rPr>
          <w:rFonts w:ascii="Arial" w:hAnsi="Arial" w:cs="Arial"/>
          <w:sz w:val="20"/>
        </w:rPr>
        <w:t>V zákoně je rovněž uvedeno, že sociální služby se poskytují jako služby pobytové, ambulantní nebo terénní</w:t>
      </w:r>
      <w:r w:rsidR="00CA7812">
        <w:rPr>
          <w:rFonts w:ascii="Arial" w:hAnsi="Arial" w:cs="Arial"/>
          <w:sz w:val="20"/>
        </w:rPr>
        <w:t xml:space="preserve"> a jsou vyjmenované druhy zařízení sociálních služeb</w:t>
      </w:r>
      <w:r>
        <w:rPr>
          <w:rFonts w:ascii="Arial" w:hAnsi="Arial" w:cs="Arial"/>
          <w:sz w:val="20"/>
        </w:rPr>
        <w:t xml:space="preserve">. Tato kapitola se zabývá </w:t>
      </w:r>
      <w:r w:rsidR="005A6C51">
        <w:rPr>
          <w:rFonts w:ascii="Arial" w:hAnsi="Arial" w:cs="Arial"/>
          <w:sz w:val="20"/>
        </w:rPr>
        <w:t xml:space="preserve">pobytovými </w:t>
      </w:r>
      <w:r w:rsidR="00CA7812">
        <w:rPr>
          <w:rFonts w:ascii="Arial" w:hAnsi="Arial" w:cs="Arial"/>
          <w:sz w:val="20"/>
        </w:rPr>
        <w:t>zařízeními</w:t>
      </w:r>
      <w:r w:rsidR="009A3E64">
        <w:rPr>
          <w:rFonts w:ascii="Arial" w:hAnsi="Arial" w:cs="Arial"/>
          <w:sz w:val="20"/>
        </w:rPr>
        <w:t xml:space="preserve"> </w:t>
      </w:r>
      <w:r>
        <w:rPr>
          <w:rFonts w:ascii="Arial" w:hAnsi="Arial" w:cs="Arial"/>
          <w:sz w:val="20"/>
        </w:rPr>
        <w:t xml:space="preserve">sociálních služeb, </w:t>
      </w:r>
      <w:r w:rsidR="00CA7812">
        <w:rPr>
          <w:rFonts w:ascii="Arial" w:hAnsi="Arial" w:cs="Arial"/>
          <w:sz w:val="20"/>
        </w:rPr>
        <w:t xml:space="preserve">vybranými druhy </w:t>
      </w:r>
      <w:r w:rsidR="009A3E64">
        <w:rPr>
          <w:rFonts w:ascii="Arial" w:hAnsi="Arial" w:cs="Arial"/>
          <w:sz w:val="20"/>
        </w:rPr>
        <w:t>ambulantní</w:t>
      </w:r>
      <w:r w:rsidR="00CA7812">
        <w:rPr>
          <w:rFonts w:ascii="Arial" w:hAnsi="Arial" w:cs="Arial"/>
          <w:sz w:val="20"/>
        </w:rPr>
        <w:t>ch</w:t>
      </w:r>
      <w:r w:rsidR="009A3E64">
        <w:rPr>
          <w:rFonts w:ascii="Arial" w:hAnsi="Arial" w:cs="Arial"/>
          <w:sz w:val="20"/>
        </w:rPr>
        <w:t xml:space="preserve"> a terénní</w:t>
      </w:r>
      <w:r w:rsidR="00CA7812">
        <w:rPr>
          <w:rFonts w:ascii="Arial" w:hAnsi="Arial" w:cs="Arial"/>
          <w:sz w:val="20"/>
        </w:rPr>
        <w:t xml:space="preserve">ch </w:t>
      </w:r>
      <w:r>
        <w:rPr>
          <w:rFonts w:ascii="Arial" w:hAnsi="Arial" w:cs="Arial"/>
          <w:sz w:val="20"/>
        </w:rPr>
        <w:t>služ</w:t>
      </w:r>
      <w:r w:rsidR="00CA7812">
        <w:rPr>
          <w:rFonts w:ascii="Arial" w:hAnsi="Arial" w:cs="Arial"/>
          <w:sz w:val="20"/>
        </w:rPr>
        <w:t>e</w:t>
      </w:r>
      <w:r>
        <w:rPr>
          <w:rFonts w:ascii="Arial" w:hAnsi="Arial" w:cs="Arial"/>
          <w:sz w:val="20"/>
        </w:rPr>
        <w:t xml:space="preserve">b pak kapitola </w:t>
      </w:r>
      <w:r w:rsidR="00CA7812">
        <w:rPr>
          <w:rFonts w:ascii="Arial" w:hAnsi="Arial" w:cs="Arial"/>
          <w:sz w:val="20"/>
        </w:rPr>
        <w:t>předcházející</w:t>
      </w:r>
      <w:r>
        <w:rPr>
          <w:rFonts w:ascii="Arial" w:hAnsi="Arial" w:cs="Arial"/>
          <w:sz w:val="20"/>
        </w:rPr>
        <w:t>.</w:t>
      </w:r>
    </w:p>
    <w:p w:rsidR="00E12556" w:rsidRDefault="00E12556" w:rsidP="009E488E">
      <w:pPr>
        <w:jc w:val="both"/>
        <w:rPr>
          <w:rFonts w:cs="Arial"/>
          <w:b/>
        </w:rPr>
      </w:pPr>
    </w:p>
    <w:p w:rsidR="00D42AF4" w:rsidRDefault="00CA7812" w:rsidP="00941AA1">
      <w:pPr>
        <w:pStyle w:val="Nadpis3"/>
      </w:pPr>
      <w:r>
        <w:t xml:space="preserve">Zařízení </w:t>
      </w:r>
      <w:r w:rsidR="00941AA1" w:rsidRPr="00941AA1">
        <w:t>sociální</w:t>
      </w:r>
      <w:r>
        <w:t>ch</w:t>
      </w:r>
      <w:r w:rsidR="00941AA1" w:rsidRPr="00941AA1">
        <w:t xml:space="preserve"> služ</w:t>
      </w:r>
      <w:r>
        <w:t>e</w:t>
      </w:r>
      <w:r w:rsidR="00941AA1" w:rsidRPr="00941AA1">
        <w:t>b</w:t>
      </w:r>
      <w:r w:rsidR="00941AA1">
        <w:t xml:space="preserve"> v roce 201</w:t>
      </w:r>
      <w:r w:rsidR="005A6C51">
        <w:t>6</w:t>
      </w:r>
    </w:p>
    <w:p w:rsidR="00941AA1" w:rsidRDefault="00941AA1" w:rsidP="00941AA1">
      <w:pPr>
        <w:spacing w:line="240" w:lineRule="auto"/>
        <w:ind w:firstLine="709"/>
        <w:jc w:val="both"/>
        <w:rPr>
          <w:rFonts w:cs="Arial"/>
          <w:szCs w:val="20"/>
        </w:rPr>
      </w:pPr>
    </w:p>
    <w:p w:rsidR="00D42AF4" w:rsidRPr="00EE1262" w:rsidRDefault="00EE1262" w:rsidP="00941AA1">
      <w:pPr>
        <w:spacing w:line="240" w:lineRule="auto"/>
        <w:ind w:firstLine="709"/>
        <w:jc w:val="both"/>
        <w:rPr>
          <w:rFonts w:cs="Arial"/>
          <w:szCs w:val="20"/>
        </w:rPr>
      </w:pPr>
      <w:r>
        <w:rPr>
          <w:rFonts w:cs="Arial"/>
          <w:szCs w:val="20"/>
        </w:rPr>
        <w:t xml:space="preserve">Nejvyšší částky na zařízení sociálních služeb jsou vydávány </w:t>
      </w:r>
      <w:r w:rsidR="003F52E4">
        <w:rPr>
          <w:rFonts w:cs="Arial"/>
          <w:szCs w:val="20"/>
        </w:rPr>
        <w:t xml:space="preserve">na domovy pro seniory, které jsou </w:t>
      </w:r>
      <w:r w:rsidR="00B97774">
        <w:rPr>
          <w:rFonts w:cs="Arial"/>
          <w:szCs w:val="20"/>
        </w:rPr>
        <w:t>i </w:t>
      </w:r>
      <w:r w:rsidR="003F52E4">
        <w:rPr>
          <w:rFonts w:cs="Arial"/>
          <w:szCs w:val="20"/>
        </w:rPr>
        <w:t xml:space="preserve">nejčastějším druhem pobytových sociálních služeb a svou kapacitou představují téměř polovinu </w:t>
      </w:r>
      <w:r w:rsidR="008051FD">
        <w:rPr>
          <w:rFonts w:cs="Arial"/>
          <w:szCs w:val="20"/>
        </w:rPr>
        <w:t xml:space="preserve">jejich </w:t>
      </w:r>
      <w:r w:rsidR="003F52E4">
        <w:rPr>
          <w:rFonts w:cs="Arial"/>
          <w:szCs w:val="20"/>
        </w:rPr>
        <w:t xml:space="preserve">lůžkového fondu. Výdaje na domovy pro seniory se každoročně zvyšují, přestože počty lůžek i klientů </w:t>
      </w:r>
      <w:r w:rsidR="00B97774">
        <w:rPr>
          <w:rFonts w:cs="Arial"/>
          <w:szCs w:val="20"/>
        </w:rPr>
        <w:t xml:space="preserve">se příliš nemění a </w:t>
      </w:r>
      <w:r w:rsidR="003F52E4">
        <w:rPr>
          <w:rFonts w:cs="Arial"/>
          <w:szCs w:val="20"/>
        </w:rPr>
        <w:t>zůstávají na relativně stabilní úrovni</w:t>
      </w:r>
      <w:r w:rsidR="00B97774">
        <w:rPr>
          <w:rFonts w:cs="Arial"/>
          <w:szCs w:val="20"/>
        </w:rPr>
        <w:t>. V</w:t>
      </w:r>
      <w:r w:rsidR="003F52E4">
        <w:rPr>
          <w:rFonts w:cs="Arial"/>
          <w:szCs w:val="20"/>
        </w:rPr>
        <w:t> roce 201</w:t>
      </w:r>
      <w:r w:rsidR="00B401D5">
        <w:rPr>
          <w:rFonts w:cs="Arial"/>
          <w:szCs w:val="20"/>
        </w:rPr>
        <w:t>6</w:t>
      </w:r>
      <w:r w:rsidR="003F52E4">
        <w:rPr>
          <w:rFonts w:cs="Arial"/>
          <w:szCs w:val="20"/>
        </w:rPr>
        <w:t xml:space="preserve"> přesáhly </w:t>
      </w:r>
      <w:r w:rsidR="00B97774">
        <w:rPr>
          <w:rFonts w:cs="Arial"/>
          <w:szCs w:val="20"/>
        </w:rPr>
        <w:t xml:space="preserve">výdaje na domovy pro seniory </w:t>
      </w:r>
      <w:r w:rsidR="003F52E4">
        <w:rPr>
          <w:rFonts w:cs="Arial"/>
          <w:szCs w:val="20"/>
        </w:rPr>
        <w:t>hodnotu 11</w:t>
      </w:r>
      <w:r w:rsidR="00B401D5">
        <w:rPr>
          <w:rFonts w:cs="Arial"/>
          <w:szCs w:val="20"/>
        </w:rPr>
        <w:t>,5</w:t>
      </w:r>
      <w:r w:rsidR="00B97774">
        <w:rPr>
          <w:rFonts w:cs="Arial"/>
          <w:szCs w:val="20"/>
        </w:rPr>
        <w:t> </w:t>
      </w:r>
      <w:r w:rsidR="003F52E4">
        <w:rPr>
          <w:rFonts w:cs="Arial"/>
          <w:szCs w:val="20"/>
        </w:rPr>
        <w:t>mld.</w:t>
      </w:r>
      <w:r w:rsidR="00B97774">
        <w:rPr>
          <w:rFonts w:cs="Arial"/>
          <w:szCs w:val="20"/>
        </w:rPr>
        <w:t> </w:t>
      </w:r>
      <w:r w:rsidR="003F52E4">
        <w:rPr>
          <w:rFonts w:cs="Arial"/>
          <w:szCs w:val="20"/>
        </w:rPr>
        <w:t>Kč. K </w:t>
      </w:r>
      <w:r w:rsidR="00B97774">
        <w:rPr>
          <w:rFonts w:cs="Arial"/>
          <w:szCs w:val="20"/>
        </w:rPr>
        <w:t>pravidelnému</w:t>
      </w:r>
      <w:r w:rsidR="003F52E4">
        <w:rPr>
          <w:rFonts w:cs="Arial"/>
          <w:szCs w:val="20"/>
        </w:rPr>
        <w:t xml:space="preserve"> </w:t>
      </w:r>
      <w:r w:rsidR="00B97774">
        <w:rPr>
          <w:rFonts w:cs="Arial"/>
          <w:szCs w:val="20"/>
        </w:rPr>
        <w:t>navyšování</w:t>
      </w:r>
      <w:r w:rsidR="003F52E4">
        <w:rPr>
          <w:rFonts w:cs="Arial"/>
          <w:szCs w:val="20"/>
        </w:rPr>
        <w:t xml:space="preserve"> </w:t>
      </w:r>
      <w:r w:rsidR="00B97774">
        <w:rPr>
          <w:rFonts w:cs="Arial"/>
          <w:szCs w:val="20"/>
        </w:rPr>
        <w:t xml:space="preserve">výdajů </w:t>
      </w:r>
      <w:r w:rsidR="003F52E4">
        <w:rPr>
          <w:rFonts w:cs="Arial"/>
          <w:szCs w:val="20"/>
        </w:rPr>
        <w:t>dochází také u domov</w:t>
      </w:r>
      <w:r w:rsidR="00B97774">
        <w:rPr>
          <w:rFonts w:cs="Arial"/>
          <w:szCs w:val="20"/>
        </w:rPr>
        <w:t>ů</w:t>
      </w:r>
      <w:r w:rsidR="003F52E4">
        <w:rPr>
          <w:rFonts w:cs="Arial"/>
          <w:szCs w:val="20"/>
        </w:rPr>
        <w:t xml:space="preserve"> se zvláštním režimem</w:t>
      </w:r>
      <w:r w:rsidR="00B97774">
        <w:rPr>
          <w:rFonts w:cs="Arial"/>
          <w:szCs w:val="20"/>
        </w:rPr>
        <w:t xml:space="preserve"> (v</w:t>
      </w:r>
      <w:r w:rsidR="008051FD">
        <w:rPr>
          <w:rFonts w:cs="Arial"/>
          <w:szCs w:val="20"/>
        </w:rPr>
        <w:t>ýdaje v</w:t>
      </w:r>
      <w:r w:rsidR="00B97774">
        <w:rPr>
          <w:rFonts w:cs="Arial"/>
          <w:szCs w:val="20"/>
        </w:rPr>
        <w:t xml:space="preserve"> roce 201</w:t>
      </w:r>
      <w:r w:rsidR="00B401D5">
        <w:rPr>
          <w:rFonts w:cs="Arial"/>
          <w:szCs w:val="20"/>
        </w:rPr>
        <w:t>6</w:t>
      </w:r>
      <w:r w:rsidR="00B97774">
        <w:rPr>
          <w:rFonts w:cs="Arial"/>
          <w:szCs w:val="20"/>
        </w:rPr>
        <w:t xml:space="preserve"> přes </w:t>
      </w:r>
      <w:r w:rsidR="00B401D5">
        <w:rPr>
          <w:rFonts w:cs="Arial"/>
          <w:szCs w:val="20"/>
        </w:rPr>
        <w:t>6</w:t>
      </w:r>
      <w:r w:rsidR="00B97774">
        <w:rPr>
          <w:rFonts w:cs="Arial"/>
          <w:szCs w:val="20"/>
        </w:rPr>
        <w:t xml:space="preserve"> mld. Kč), kde je ovšem evidován každoroční </w:t>
      </w:r>
      <w:r w:rsidR="00B401D5">
        <w:rPr>
          <w:rFonts w:cs="Arial"/>
          <w:szCs w:val="20"/>
        </w:rPr>
        <w:t xml:space="preserve">významný </w:t>
      </w:r>
      <w:r w:rsidR="00B97774">
        <w:rPr>
          <w:rFonts w:cs="Arial"/>
          <w:szCs w:val="20"/>
        </w:rPr>
        <w:t>růst počtu zařízení, lůžek i klientů.</w:t>
      </w:r>
    </w:p>
    <w:p w:rsidR="00941AA1" w:rsidRDefault="00941AA1" w:rsidP="00941AA1">
      <w:pPr>
        <w:spacing w:line="240" w:lineRule="auto"/>
        <w:ind w:firstLine="709"/>
        <w:jc w:val="both"/>
        <w:rPr>
          <w:rFonts w:cs="Arial"/>
          <w:szCs w:val="20"/>
        </w:rPr>
      </w:pPr>
    </w:p>
    <w:p w:rsidR="00D42AF4" w:rsidRDefault="00D42AF4" w:rsidP="00D42AF4">
      <w:pPr>
        <w:pStyle w:val="Zkladntext"/>
        <w:jc w:val="center"/>
        <w:rPr>
          <w:rFonts w:ascii="Arial" w:hAnsi="Arial" w:cs="Arial"/>
          <w:b/>
          <w:sz w:val="20"/>
        </w:rPr>
      </w:pPr>
      <w:r w:rsidRPr="00D42AF4">
        <w:rPr>
          <w:rFonts w:ascii="Arial" w:hAnsi="Arial" w:cs="Arial"/>
          <w:b/>
          <w:sz w:val="20"/>
        </w:rPr>
        <w:t xml:space="preserve">Graf </w:t>
      </w:r>
      <w:r w:rsidR="009D633C">
        <w:rPr>
          <w:rFonts w:ascii="Arial" w:hAnsi="Arial" w:cs="Arial"/>
          <w:b/>
          <w:sz w:val="20"/>
        </w:rPr>
        <w:t>6</w:t>
      </w:r>
      <w:r w:rsidRPr="00D42AF4">
        <w:rPr>
          <w:rFonts w:ascii="Arial" w:hAnsi="Arial" w:cs="Arial"/>
          <w:b/>
          <w:sz w:val="20"/>
        </w:rPr>
        <w:t xml:space="preserve">.1 </w:t>
      </w:r>
      <w:r w:rsidR="009D633C" w:rsidRPr="009D633C">
        <w:rPr>
          <w:rFonts w:ascii="Arial" w:hAnsi="Arial" w:cs="Arial"/>
          <w:b/>
          <w:sz w:val="20"/>
        </w:rPr>
        <w:t>Výdaje na vybraná zařízení sociálních služeb</w:t>
      </w:r>
    </w:p>
    <w:tbl>
      <w:tblPr>
        <w:tblW w:w="9884"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tblGrid>
      <w:tr w:rsidR="005A6C51" w:rsidRPr="005A6C51" w:rsidTr="005A6C51">
        <w:trPr>
          <w:trHeight w:val="1740"/>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r>
              <w:rPr>
                <w:rFonts w:cs="Arial"/>
                <w:noProof/>
                <w:color w:val="000000"/>
                <w:sz w:val="18"/>
                <w:szCs w:val="18"/>
              </w:rPr>
              <w:drawing>
                <wp:anchor distT="0" distB="0" distL="114300" distR="114300" simplePos="0" relativeHeight="251667456" behindDoc="0" locked="0" layoutInCell="1" allowOverlap="1" wp14:anchorId="5850BFA4" wp14:editId="2CD4E22D">
                  <wp:simplePos x="0" y="0"/>
                  <wp:positionH relativeFrom="column">
                    <wp:posOffset>0</wp:posOffset>
                  </wp:positionH>
                  <wp:positionV relativeFrom="paragraph">
                    <wp:posOffset>38100</wp:posOffset>
                  </wp:positionV>
                  <wp:extent cx="6076950" cy="2857500"/>
                  <wp:effectExtent l="0" t="0" r="0" b="0"/>
                  <wp:wrapNone/>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A6C51" w:rsidRPr="005A6C51">
              <w:trPr>
                <w:trHeight w:val="1740"/>
                <w:tblCellSpacing w:w="0" w:type="dxa"/>
              </w:trPr>
              <w:tc>
                <w:tcPr>
                  <w:tcW w:w="96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bl>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r w:rsidR="005A6C51" w:rsidRPr="005A6C51" w:rsidTr="005A6C51">
        <w:trPr>
          <w:trHeight w:val="315"/>
        </w:trPr>
        <w:tc>
          <w:tcPr>
            <w:tcW w:w="1100"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5A6C51" w:rsidRPr="005A6C51" w:rsidRDefault="005A6C51" w:rsidP="005A6C51">
            <w:pPr>
              <w:spacing w:line="240" w:lineRule="auto"/>
              <w:rPr>
                <w:rFonts w:cs="Arial"/>
                <w:color w:val="000000"/>
                <w:sz w:val="18"/>
                <w:szCs w:val="18"/>
              </w:rPr>
            </w:pPr>
          </w:p>
        </w:tc>
      </w:tr>
    </w:tbl>
    <w:p w:rsidR="00D42AF4" w:rsidRDefault="00D42AF4" w:rsidP="00D42AF4">
      <w:pPr>
        <w:jc w:val="center"/>
        <w:rPr>
          <w:rFonts w:cs="Arial"/>
          <w:szCs w:val="20"/>
        </w:rPr>
      </w:pPr>
    </w:p>
    <w:p w:rsidR="008429E4" w:rsidRPr="009C558F" w:rsidRDefault="008429E4" w:rsidP="008429E4">
      <w:pPr>
        <w:spacing w:line="312" w:lineRule="auto"/>
        <w:ind w:firstLine="142"/>
        <w:jc w:val="both"/>
        <w:rPr>
          <w:noProof/>
          <w:sz w:val="16"/>
          <w:szCs w:val="16"/>
        </w:rPr>
      </w:pPr>
      <w:r>
        <w:rPr>
          <w:noProof/>
          <w:sz w:val="16"/>
          <w:szCs w:val="16"/>
        </w:rPr>
        <w:t>Zdroj dat: MPSV</w:t>
      </w:r>
    </w:p>
    <w:p w:rsidR="008429E4" w:rsidRDefault="008429E4" w:rsidP="008429E4">
      <w:pPr>
        <w:pStyle w:val="Zkladntext"/>
        <w:spacing w:line="72" w:lineRule="auto"/>
        <w:jc w:val="center"/>
        <w:rPr>
          <w:rFonts w:ascii="Arial" w:hAnsi="Arial" w:cs="Arial"/>
          <w:b/>
          <w:sz w:val="20"/>
        </w:rPr>
      </w:pPr>
    </w:p>
    <w:p w:rsidR="00941AA1" w:rsidRDefault="00E44CED" w:rsidP="008429E4">
      <w:pPr>
        <w:pStyle w:val="Zkladntext"/>
        <w:jc w:val="center"/>
        <w:rPr>
          <w:rFonts w:ascii="Arial" w:hAnsi="Arial" w:cs="Arial"/>
          <w:b/>
          <w:sz w:val="20"/>
        </w:rPr>
      </w:pPr>
      <w:r w:rsidRPr="00E44CED">
        <w:rPr>
          <w:rFonts w:ascii="Arial" w:hAnsi="Arial" w:cs="Arial"/>
          <w:b/>
          <w:sz w:val="20"/>
        </w:rPr>
        <w:t xml:space="preserve">Graf </w:t>
      </w:r>
      <w:r w:rsidR="00C56DCC">
        <w:rPr>
          <w:rFonts w:ascii="Arial" w:hAnsi="Arial" w:cs="Arial"/>
          <w:b/>
          <w:sz w:val="20"/>
        </w:rPr>
        <w:t>6</w:t>
      </w:r>
      <w:r w:rsidRPr="00E44CED">
        <w:rPr>
          <w:rFonts w:ascii="Arial" w:hAnsi="Arial" w:cs="Arial"/>
          <w:b/>
          <w:sz w:val="20"/>
        </w:rPr>
        <w:t xml:space="preserve">.2 </w:t>
      </w:r>
      <w:r w:rsidR="00C56DCC" w:rsidRPr="00C56DCC">
        <w:rPr>
          <w:rFonts w:ascii="Arial" w:hAnsi="Arial" w:cs="Arial"/>
          <w:b/>
          <w:sz w:val="20"/>
        </w:rPr>
        <w:t>Struktura lůžek vybraných zařízení sociálních služeb podle zřizovatele v roce 201</w:t>
      </w:r>
      <w:r w:rsidR="00B714A2">
        <w:rPr>
          <w:rFonts w:ascii="Arial" w:hAnsi="Arial" w:cs="Arial"/>
          <w:b/>
          <w:sz w:val="20"/>
        </w:rPr>
        <w:t>6</w:t>
      </w:r>
    </w:p>
    <w:tbl>
      <w:tblPr>
        <w:tblW w:w="9884"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tblGrid>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0528" behindDoc="0" locked="0" layoutInCell="1" allowOverlap="1" wp14:anchorId="6325955F" wp14:editId="33E04357">
                      <wp:simplePos x="0" y="0"/>
                      <wp:positionH relativeFrom="column">
                        <wp:posOffset>579120</wp:posOffset>
                      </wp:positionH>
                      <wp:positionV relativeFrom="paragraph">
                        <wp:posOffset>73025</wp:posOffset>
                      </wp:positionV>
                      <wp:extent cx="628650" cy="229870"/>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628650" cy="22987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n=779</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3" o:spid="_x0000_s1026" type="#_x0000_t202" style="position:absolute;margin-left:45.6pt;margin-top:5.75pt;width:49.5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n=779</w:t>
                            </w:r>
                          </w:p>
                        </w:txbxContent>
                      </v:textbox>
                    </v:shape>
                  </w:pict>
                </mc:Fallback>
              </mc:AlternateContent>
            </w:r>
            <w:r>
              <w:rPr>
                <w:rFonts w:cs="Arial"/>
                <w:noProof/>
                <w:color w:val="000000"/>
                <w:sz w:val="18"/>
                <w:szCs w:val="18"/>
              </w:rPr>
              <w:drawing>
                <wp:anchor distT="0" distB="0" distL="114300" distR="114300" simplePos="0" relativeHeight="251669504" behindDoc="0" locked="0" layoutInCell="1" allowOverlap="1" wp14:anchorId="3D8434AD" wp14:editId="13E5A30C">
                  <wp:simplePos x="0" y="0"/>
                  <wp:positionH relativeFrom="column">
                    <wp:posOffset>9525</wp:posOffset>
                  </wp:positionH>
                  <wp:positionV relativeFrom="paragraph">
                    <wp:posOffset>-19050</wp:posOffset>
                  </wp:positionV>
                  <wp:extent cx="6057900" cy="3429000"/>
                  <wp:effectExtent l="0" t="0" r="0" b="0"/>
                  <wp:wrapNone/>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14A2" w:rsidRPr="00B714A2">
              <w:trPr>
                <w:trHeight w:val="315"/>
                <w:tblCellSpacing w:w="0" w:type="dxa"/>
              </w:trPr>
              <w:tc>
                <w:tcPr>
                  <w:tcW w:w="96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bl>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3600" behindDoc="0" locked="0" layoutInCell="1" allowOverlap="1" wp14:anchorId="6BACC0CC" wp14:editId="5D6D5036">
                      <wp:simplePos x="0" y="0"/>
                      <wp:positionH relativeFrom="column">
                        <wp:posOffset>-13335</wp:posOffset>
                      </wp:positionH>
                      <wp:positionV relativeFrom="paragraph">
                        <wp:posOffset>-235585</wp:posOffset>
                      </wp:positionV>
                      <wp:extent cx="628650" cy="1905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628650" cy="1905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n=12 402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margin-left:-1.05pt;margin-top:-18.55pt;width:4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n=12 402</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4624" behindDoc="0" locked="0" layoutInCell="1" allowOverlap="1" wp14:anchorId="45AB1C6E" wp14:editId="506E889E">
                      <wp:simplePos x="0" y="0"/>
                      <wp:positionH relativeFrom="column">
                        <wp:posOffset>185420</wp:posOffset>
                      </wp:positionH>
                      <wp:positionV relativeFrom="paragraph">
                        <wp:posOffset>-235585</wp:posOffset>
                      </wp:positionV>
                      <wp:extent cx="636270" cy="20637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636270" cy="2063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n=37 247</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7" o:spid="_x0000_s1028" type="#_x0000_t202" style="position:absolute;margin-left:14.6pt;margin-top:-18.55pt;width:50.1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n=37 247</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1552" behindDoc="0" locked="0" layoutInCell="1" allowOverlap="1" wp14:anchorId="3B7BFB60" wp14:editId="1E6773E2">
                      <wp:simplePos x="0" y="0"/>
                      <wp:positionH relativeFrom="column">
                        <wp:posOffset>308610</wp:posOffset>
                      </wp:positionH>
                      <wp:positionV relativeFrom="paragraph">
                        <wp:posOffset>-234315</wp:posOffset>
                      </wp:positionV>
                      <wp:extent cx="647700" cy="206375"/>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647700" cy="2063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n=17 784</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12" o:spid="_x0000_s1029" type="#_x0000_t202" style="position:absolute;margin-left:24.3pt;margin-top:-18.45pt;width:51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n=17 784</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6672" behindDoc="0" locked="0" layoutInCell="1" allowOverlap="1" wp14:anchorId="01D56F0F" wp14:editId="741250A3">
                      <wp:simplePos x="0" y="0"/>
                      <wp:positionH relativeFrom="column">
                        <wp:posOffset>494665</wp:posOffset>
                      </wp:positionH>
                      <wp:positionV relativeFrom="paragraph">
                        <wp:posOffset>-253365</wp:posOffset>
                      </wp:positionV>
                      <wp:extent cx="600075" cy="230505"/>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00075" cy="2305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n=3 898</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10" o:spid="_x0000_s1030" type="#_x0000_t202" style="position:absolute;margin-left:38.95pt;margin-top:-19.95pt;width:47.2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n=3 898</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5648" behindDoc="0" locked="0" layoutInCell="1" allowOverlap="1" wp14:anchorId="7DAC7446" wp14:editId="5BF5AA53">
                      <wp:simplePos x="0" y="0"/>
                      <wp:positionH relativeFrom="column">
                        <wp:posOffset>14605</wp:posOffset>
                      </wp:positionH>
                      <wp:positionV relativeFrom="paragraph">
                        <wp:posOffset>-258445</wp:posOffset>
                      </wp:positionV>
                      <wp:extent cx="581025" cy="238125"/>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581025" cy="2381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n=7 111</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9" o:spid="_x0000_s1031" type="#_x0000_t202" style="position:absolute;margin-left:1.15pt;margin-top:-20.35pt;width:45.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n=7 111</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72576" behindDoc="0" locked="0" layoutInCell="1" allowOverlap="1" wp14:anchorId="7A940698" wp14:editId="1BCDEA42">
                      <wp:simplePos x="0" y="0"/>
                      <wp:positionH relativeFrom="column">
                        <wp:posOffset>224790</wp:posOffset>
                      </wp:positionH>
                      <wp:positionV relativeFrom="paragraph">
                        <wp:posOffset>-247015</wp:posOffset>
                      </wp:positionV>
                      <wp:extent cx="504825" cy="230505"/>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504825" cy="2305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n=283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ové pole 11" o:spid="_x0000_s1032" type="#_x0000_t202" style="position:absolute;margin-left:17.7pt;margin-top:-19.45pt;width:39.7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" fillcolor="white [3201]" stroked="f">
                      <v:textbox>
                        <w:txbxContent>
                          <w:p w:rsidR="00B714A2" w:rsidRDefault="00B714A2" w:rsidP="00B714A2">
                            <w:pPr>
                              <w:pStyle w:val="Normlnweb"/>
                              <w:spacing w:before="0" w:beforeAutospacing="0" w:after="0" w:afterAutospacing="0"/>
                            </w:pPr>
                            <w:r w:rsidRPr="00B714A2">
                              <w:rPr>
                                <w:rFonts w:ascii="Arial" w:hAnsi="Arial" w:cs="Arial"/>
                                <w:b/>
                                <w:bCs/>
                                <w:color w:val="000000" w:themeColor="dark1"/>
                                <w:sz w:val="16"/>
                                <w:szCs w:val="16"/>
                              </w:rPr>
                              <w:t>n=283</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48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48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31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bl>
    <w:p w:rsidR="00941AA1" w:rsidRDefault="00941AA1" w:rsidP="00E44CED">
      <w:pPr>
        <w:jc w:val="center"/>
        <w:rPr>
          <w:rFonts w:cs="Arial"/>
          <w:szCs w:val="20"/>
        </w:rPr>
      </w:pPr>
    </w:p>
    <w:p w:rsidR="008429E4" w:rsidRPr="009C558F" w:rsidRDefault="008429E4" w:rsidP="008429E4">
      <w:pPr>
        <w:spacing w:line="312" w:lineRule="auto"/>
        <w:ind w:firstLine="284"/>
        <w:jc w:val="both"/>
        <w:rPr>
          <w:noProof/>
          <w:sz w:val="16"/>
          <w:szCs w:val="16"/>
        </w:rPr>
      </w:pPr>
      <w:r>
        <w:rPr>
          <w:noProof/>
          <w:sz w:val="16"/>
          <w:szCs w:val="16"/>
        </w:rPr>
        <w:t>Zdroj dat: MPSV</w:t>
      </w:r>
    </w:p>
    <w:p w:rsidR="00941AA1" w:rsidRDefault="00941AA1" w:rsidP="008429E4">
      <w:pPr>
        <w:spacing w:line="240" w:lineRule="auto"/>
        <w:jc w:val="both"/>
        <w:rPr>
          <w:rFonts w:cs="Arial"/>
          <w:szCs w:val="20"/>
        </w:rPr>
      </w:pPr>
    </w:p>
    <w:p w:rsidR="00E44CED" w:rsidRDefault="00FB0A98" w:rsidP="00140EAD">
      <w:pPr>
        <w:ind w:firstLine="709"/>
        <w:jc w:val="both"/>
        <w:rPr>
          <w:rFonts w:cs="Arial"/>
          <w:szCs w:val="20"/>
        </w:rPr>
      </w:pPr>
      <w:r>
        <w:rPr>
          <w:rFonts w:cs="Arial"/>
          <w:szCs w:val="20"/>
        </w:rPr>
        <w:t>Stát nadále určuje podmínky pro poskytování sociálních služeb, ale není jejich poskytovatelem</w:t>
      </w:r>
      <w:r w:rsidR="008051FD">
        <w:rPr>
          <w:rFonts w:cs="Arial"/>
          <w:szCs w:val="20"/>
        </w:rPr>
        <w:t>,</w:t>
      </w:r>
      <w:r w:rsidR="00D85A24">
        <w:rPr>
          <w:rFonts w:cs="Arial"/>
          <w:szCs w:val="20"/>
        </w:rPr>
        <w:t xml:space="preserve"> s výjimkou pěti specializovaných ústavů sociální péče</w:t>
      </w:r>
      <w:r w:rsidR="008051FD">
        <w:rPr>
          <w:rFonts w:cs="Arial"/>
          <w:szCs w:val="20"/>
        </w:rPr>
        <w:t>,</w:t>
      </w:r>
      <w:r w:rsidR="00D85A24">
        <w:rPr>
          <w:rFonts w:cs="Arial"/>
          <w:szCs w:val="20"/>
        </w:rPr>
        <w:t xml:space="preserve"> jejichž zřizovatelem je MPSV.</w:t>
      </w:r>
      <w:r w:rsidR="00D47AE0">
        <w:rPr>
          <w:rFonts w:cs="Arial"/>
          <w:szCs w:val="20"/>
        </w:rPr>
        <w:t xml:space="preserve"> </w:t>
      </w:r>
      <w:r w:rsidR="00CF2C0F">
        <w:rPr>
          <w:rFonts w:cs="Arial"/>
          <w:szCs w:val="20"/>
        </w:rPr>
        <w:t>Hlavní úlohu ve zhodnocení potřeb</w:t>
      </w:r>
      <w:r w:rsidR="00D47AE0">
        <w:rPr>
          <w:rFonts w:cs="Arial"/>
          <w:szCs w:val="20"/>
        </w:rPr>
        <w:t xml:space="preserve"> </w:t>
      </w:r>
      <w:r w:rsidR="00CF2C0F">
        <w:rPr>
          <w:rFonts w:cs="Arial"/>
          <w:szCs w:val="20"/>
        </w:rPr>
        <w:t>obyvatel a zajištění typově a územně dostupné sítě sociálních služeb mají krajské a místní samosprávy. Téměř tři čtvrtiny všech lůžek zařízení sociálních služeb vykazují instituce, které jsou zřizovány kraji či obcemi. Soukromí zřizovatelé hrají důležitou roli zvláště u některých druhů zařízení sociálních služeb</w:t>
      </w:r>
      <w:r w:rsidR="00983B96">
        <w:rPr>
          <w:rFonts w:cs="Arial"/>
          <w:szCs w:val="20"/>
        </w:rPr>
        <w:t>,</w:t>
      </w:r>
      <w:r w:rsidR="00CF2C0F">
        <w:rPr>
          <w:rFonts w:cs="Arial"/>
          <w:szCs w:val="20"/>
        </w:rPr>
        <w:t xml:space="preserve"> jako jsou</w:t>
      </w:r>
      <w:r w:rsidR="00983B96">
        <w:rPr>
          <w:rFonts w:cs="Arial"/>
          <w:szCs w:val="20"/>
        </w:rPr>
        <w:t xml:space="preserve"> terapeutické komunity, </w:t>
      </w:r>
      <w:r w:rsidR="00B714A2">
        <w:rPr>
          <w:rFonts w:cs="Arial"/>
          <w:szCs w:val="20"/>
        </w:rPr>
        <w:t>služby následné péče,</w:t>
      </w:r>
      <w:r w:rsidR="00B714A2">
        <w:rPr>
          <w:rFonts w:cs="Arial"/>
          <w:szCs w:val="20"/>
        </w:rPr>
        <w:t xml:space="preserve"> </w:t>
      </w:r>
      <w:r w:rsidR="00983B96">
        <w:rPr>
          <w:rFonts w:cs="Arial"/>
          <w:szCs w:val="20"/>
        </w:rPr>
        <w:t>zařízení pro krizovou pomoc a domy na půl cesty.</w:t>
      </w:r>
    </w:p>
    <w:p w:rsidR="001A7736" w:rsidRDefault="001A7736" w:rsidP="00140EAD">
      <w:pPr>
        <w:ind w:firstLine="709"/>
        <w:jc w:val="both"/>
        <w:rPr>
          <w:rFonts w:cs="Arial"/>
          <w:szCs w:val="20"/>
        </w:rPr>
      </w:pPr>
      <w:r>
        <w:rPr>
          <w:rFonts w:cs="Arial"/>
          <w:szCs w:val="20"/>
        </w:rPr>
        <w:t>Podíl klientů pobytových zařízení sociálních služeb</w:t>
      </w:r>
      <w:r w:rsidR="008051FD">
        <w:rPr>
          <w:rFonts w:cs="Arial"/>
          <w:szCs w:val="20"/>
        </w:rPr>
        <w:t xml:space="preserve"> s omezením mobility</w:t>
      </w:r>
      <w:r>
        <w:rPr>
          <w:rFonts w:cs="Arial"/>
          <w:szCs w:val="20"/>
        </w:rPr>
        <w:t xml:space="preserve"> je pochopitelně závislý na druhu a charakteru poskytované služby</w:t>
      </w:r>
      <w:r w:rsidR="002A39F8">
        <w:rPr>
          <w:rFonts w:cs="Arial"/>
          <w:szCs w:val="20"/>
        </w:rPr>
        <w:t xml:space="preserve"> a věkové struktuře klientů</w:t>
      </w:r>
      <w:r>
        <w:rPr>
          <w:rFonts w:cs="Arial"/>
          <w:szCs w:val="20"/>
        </w:rPr>
        <w:t xml:space="preserve">. Nejvíce uživatelů s pohybovým omezením je vykazováno mezi klienty domovů pro seniory a domovů se zvláštním režimem. </w:t>
      </w:r>
    </w:p>
    <w:p w:rsidR="001A7736" w:rsidRDefault="00983B96" w:rsidP="008429E4">
      <w:pPr>
        <w:spacing w:before="160"/>
        <w:ind w:firstLine="709"/>
        <w:jc w:val="center"/>
        <w:rPr>
          <w:rFonts w:cs="Arial"/>
          <w:b/>
        </w:rPr>
      </w:pPr>
      <w:r w:rsidRPr="00E44CED">
        <w:rPr>
          <w:rFonts w:cs="Arial"/>
          <w:b/>
        </w:rPr>
        <w:t xml:space="preserve">Graf </w:t>
      </w:r>
      <w:r>
        <w:rPr>
          <w:rFonts w:cs="Arial"/>
          <w:b/>
        </w:rPr>
        <w:t>6</w:t>
      </w:r>
      <w:r w:rsidRPr="00E44CED">
        <w:rPr>
          <w:rFonts w:cs="Arial"/>
          <w:b/>
        </w:rPr>
        <w:t>.</w:t>
      </w:r>
      <w:r>
        <w:rPr>
          <w:rFonts w:cs="Arial"/>
          <w:b/>
        </w:rPr>
        <w:t xml:space="preserve">3 </w:t>
      </w:r>
      <w:r w:rsidRPr="00983B96">
        <w:rPr>
          <w:rFonts w:cs="Arial"/>
          <w:b/>
        </w:rPr>
        <w:t>Podíl uživatelů pobyto</w:t>
      </w:r>
      <w:r w:rsidR="001A7736">
        <w:rPr>
          <w:rFonts w:cs="Arial"/>
          <w:b/>
        </w:rPr>
        <w:t>vých zařízení sociálních služeb</w:t>
      </w:r>
    </w:p>
    <w:p w:rsidR="00983B96" w:rsidRDefault="00983B96" w:rsidP="00983B96">
      <w:pPr>
        <w:ind w:firstLine="709"/>
        <w:jc w:val="center"/>
        <w:rPr>
          <w:rFonts w:cs="Arial"/>
          <w:b/>
        </w:rPr>
      </w:pPr>
      <w:r>
        <w:rPr>
          <w:rFonts w:cs="Arial"/>
          <w:b/>
        </w:rPr>
        <w:t>s vážným omezením mobility</w:t>
      </w:r>
      <w:r w:rsidRPr="00983B96">
        <w:rPr>
          <w:rFonts w:cs="Arial"/>
          <w:b/>
        </w:rPr>
        <w:t xml:space="preserve"> k 31. 12. 201</w:t>
      </w:r>
      <w:r w:rsidR="00B714A2">
        <w:rPr>
          <w:rFonts w:cs="Arial"/>
          <w:b/>
        </w:rPr>
        <w:t>6</w:t>
      </w:r>
    </w:p>
    <w:tbl>
      <w:tblPr>
        <w:tblW w:w="8908"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tblGrid>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r>
              <w:rPr>
                <w:rFonts w:cs="Arial"/>
                <w:noProof/>
                <w:color w:val="000000"/>
                <w:sz w:val="18"/>
                <w:szCs w:val="18"/>
              </w:rPr>
              <w:drawing>
                <wp:anchor distT="0" distB="0" distL="114300" distR="114300" simplePos="0" relativeHeight="251678720" behindDoc="0" locked="0" layoutInCell="1" allowOverlap="1" wp14:anchorId="177B3D59" wp14:editId="6DED32CE">
                  <wp:simplePos x="0" y="0"/>
                  <wp:positionH relativeFrom="column">
                    <wp:posOffset>0</wp:posOffset>
                  </wp:positionH>
                  <wp:positionV relativeFrom="paragraph">
                    <wp:posOffset>0</wp:posOffset>
                  </wp:positionV>
                  <wp:extent cx="5467350" cy="2819400"/>
                  <wp:effectExtent l="0" t="0" r="0" b="0"/>
                  <wp:wrapNone/>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14A2" w:rsidRPr="00B714A2">
              <w:trPr>
                <w:trHeight w:val="255"/>
                <w:tblCellSpacing w:w="0" w:type="dxa"/>
              </w:trPr>
              <w:tc>
                <w:tcPr>
                  <w:tcW w:w="96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bl>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55"/>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r w:rsidR="00B714A2" w:rsidRPr="00B714A2" w:rsidTr="00B714A2">
        <w:trPr>
          <w:trHeight w:val="240"/>
        </w:trPr>
        <w:tc>
          <w:tcPr>
            <w:tcW w:w="1100"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714A2" w:rsidRPr="00B714A2" w:rsidRDefault="00B714A2" w:rsidP="00B714A2">
            <w:pPr>
              <w:spacing w:line="240" w:lineRule="auto"/>
              <w:rPr>
                <w:rFonts w:cs="Arial"/>
                <w:color w:val="000000"/>
                <w:sz w:val="18"/>
                <w:szCs w:val="18"/>
              </w:rPr>
            </w:pPr>
          </w:p>
        </w:tc>
      </w:tr>
    </w:tbl>
    <w:p w:rsidR="008429E4" w:rsidRPr="009C558F" w:rsidRDefault="008429E4" w:rsidP="008429E4">
      <w:pPr>
        <w:spacing w:line="312" w:lineRule="auto"/>
        <w:ind w:firstLine="709"/>
        <w:jc w:val="both"/>
        <w:rPr>
          <w:noProof/>
          <w:sz w:val="16"/>
          <w:szCs w:val="16"/>
        </w:rPr>
      </w:pPr>
      <w:r>
        <w:rPr>
          <w:noProof/>
          <w:sz w:val="16"/>
          <w:szCs w:val="16"/>
        </w:rPr>
        <w:t>Zdroj dat: MPSV</w:t>
      </w:r>
    </w:p>
    <w:p w:rsidR="009D633C" w:rsidRDefault="009D633C" w:rsidP="00140EAD">
      <w:pPr>
        <w:ind w:firstLine="709"/>
        <w:jc w:val="both"/>
        <w:rPr>
          <w:rFonts w:cs="Arial"/>
          <w:szCs w:val="20"/>
        </w:rPr>
      </w:pPr>
    </w:p>
    <w:p w:rsidR="009D633C" w:rsidRPr="008252A2" w:rsidRDefault="009D633C" w:rsidP="009D633C">
      <w:pPr>
        <w:pStyle w:val="Nadpis3"/>
        <w:jc w:val="both"/>
        <w:rPr>
          <w:rFonts w:eastAsia="Times New Roman" w:cs="Arial"/>
          <w:b w:val="0"/>
          <w:color w:val="auto"/>
          <w:sz w:val="20"/>
          <w:szCs w:val="20"/>
        </w:rPr>
      </w:pPr>
      <w:r>
        <w:t>D</w:t>
      </w:r>
      <w:r w:rsidRPr="00D42AF4">
        <w:t xml:space="preserve">ruhy </w:t>
      </w:r>
      <w:r>
        <w:t xml:space="preserve">zařízení </w:t>
      </w:r>
      <w:r w:rsidRPr="00D42AF4">
        <w:t>sociálních služeb</w:t>
      </w:r>
      <w:r>
        <w:t xml:space="preserve"> </w:t>
      </w:r>
      <w:r w:rsidRPr="008252A2">
        <w:rPr>
          <w:b w:val="0"/>
          <w:color w:val="auto"/>
          <w:sz w:val="20"/>
          <w:szCs w:val="20"/>
        </w:rPr>
        <w:t xml:space="preserve">(dle § 34 zákona </w:t>
      </w:r>
      <w:r>
        <w:rPr>
          <w:b w:val="0"/>
          <w:color w:val="auto"/>
          <w:sz w:val="20"/>
          <w:szCs w:val="20"/>
        </w:rPr>
        <w:t xml:space="preserve">č. </w:t>
      </w:r>
      <w:r w:rsidRPr="008252A2">
        <w:rPr>
          <w:b w:val="0"/>
          <w:color w:val="auto"/>
          <w:sz w:val="20"/>
          <w:szCs w:val="20"/>
        </w:rPr>
        <w:t xml:space="preserve">108/2006 Sb. </w:t>
      </w:r>
      <w:r>
        <w:rPr>
          <w:b w:val="0"/>
          <w:color w:val="auto"/>
          <w:sz w:val="20"/>
          <w:szCs w:val="20"/>
        </w:rPr>
        <w:t>o</w:t>
      </w:r>
      <w:r w:rsidRPr="008252A2">
        <w:rPr>
          <w:b w:val="0"/>
          <w:color w:val="auto"/>
          <w:sz w:val="20"/>
          <w:szCs w:val="20"/>
        </w:rPr>
        <w:t xml:space="preserve"> sociálních službách)</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Centra denních služeb</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Centra denních služeb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prostředkování kontaktu se společenským prostředím, terapeutické činnosti</w:t>
      </w:r>
      <w:r w:rsidR="00E94045">
        <w:rPr>
          <w:rFonts w:ascii="Arial" w:hAnsi="Arial" w:cs="Arial"/>
          <w:sz w:val="20"/>
          <w:szCs w:val="20"/>
        </w:rPr>
        <w:t xml:space="preserve"> a pomoc při uplatňování práv a </w:t>
      </w:r>
      <w:r w:rsidRPr="0004599B">
        <w:rPr>
          <w:rFonts w:ascii="Arial" w:hAnsi="Arial" w:cs="Arial"/>
          <w:sz w:val="20"/>
          <w:szCs w:val="20"/>
        </w:rPr>
        <w:t xml:space="preserve">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Denní stacionáře</w:t>
      </w:r>
    </w:p>
    <w:p w:rsidR="009D633C"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Denní stacionáře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w:t>
      </w:r>
      <w:r w:rsidR="00E94045">
        <w:rPr>
          <w:rFonts w:ascii="Arial" w:hAnsi="Arial" w:cs="Arial"/>
          <w:sz w:val="20"/>
          <w:szCs w:val="20"/>
        </w:rPr>
        <w:t xml:space="preserve"> stravy, výchovné, vzdělávací a </w:t>
      </w:r>
      <w:r w:rsidRPr="0004599B">
        <w:rPr>
          <w:rFonts w:ascii="Arial" w:hAnsi="Arial" w:cs="Arial"/>
          <w:sz w:val="20"/>
          <w:szCs w:val="20"/>
        </w:rPr>
        <w:t xml:space="preserve">aktivizační činnosti, zprostředkování kontaktu se společenským prostředím, </w:t>
      </w:r>
      <w:r w:rsidR="00E94045">
        <w:rPr>
          <w:rFonts w:ascii="Arial" w:hAnsi="Arial" w:cs="Arial"/>
          <w:sz w:val="20"/>
          <w:szCs w:val="20"/>
        </w:rPr>
        <w:t>sociálně terapeutické činnosti,</w:t>
      </w:r>
      <w:r w:rsidR="00EE20A4">
        <w:rPr>
          <w:rFonts w:ascii="Arial" w:hAnsi="Arial" w:cs="Arial"/>
          <w:sz w:val="20"/>
          <w:szCs w:val="20"/>
        </w:rPr>
        <w:t xml:space="preserve"> </w:t>
      </w:r>
      <w:r w:rsidRPr="0004599B">
        <w:rPr>
          <w:rFonts w:ascii="Arial" w:hAnsi="Arial" w:cs="Arial"/>
          <w:sz w:val="20"/>
          <w:szCs w:val="20"/>
        </w:rPr>
        <w:t>pomoc při uplatňování práv a oprávněných zájmů. Služba se poskytuje za úhradu.</w:t>
      </w:r>
    </w:p>
    <w:p w:rsidR="009D633C" w:rsidRDefault="009D633C" w:rsidP="008429E4">
      <w:pPr>
        <w:pStyle w:val="Nadpis4"/>
        <w:spacing w:line="240" w:lineRule="auto"/>
        <w:jc w:val="both"/>
        <w:rPr>
          <w:rFonts w:cs="Arial"/>
          <w:szCs w:val="20"/>
        </w:rPr>
      </w:pPr>
    </w:p>
    <w:p w:rsidR="009D633C" w:rsidRPr="0004599B" w:rsidRDefault="009D633C" w:rsidP="009D633C">
      <w:pPr>
        <w:pStyle w:val="Nadpis4"/>
        <w:jc w:val="both"/>
        <w:rPr>
          <w:rFonts w:cs="Arial"/>
          <w:szCs w:val="20"/>
        </w:rPr>
      </w:pPr>
      <w:r>
        <w:rPr>
          <w:rFonts w:cs="Arial"/>
          <w:szCs w:val="20"/>
        </w:rPr>
        <w:t>T</w:t>
      </w:r>
      <w:r w:rsidRPr="00BD77E6">
        <w:rPr>
          <w:rFonts w:cs="Arial"/>
          <w:szCs w:val="20"/>
        </w:rPr>
        <w:t>ýdenní stacionáře</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Týdenní stacionáře poskytují pobytové služby osobám, které mají sníženou soběstačnost z důvodu věku, chronického onemocnění nebo zdravotního postižení, jejichž situace vyžaduje pravidelnou pomoc jiné fyzické osoby.</w:t>
      </w:r>
      <w:r>
        <w:rPr>
          <w:rFonts w:ascii="Arial" w:hAnsi="Arial" w:cs="Arial"/>
          <w:sz w:val="20"/>
          <w:szCs w:val="20"/>
        </w:rPr>
        <w:t xml:space="preserve"> </w:t>
      </w:r>
      <w:r w:rsidRPr="0004599B">
        <w:rPr>
          <w:rFonts w:ascii="Arial" w:hAnsi="Arial" w:cs="Arial"/>
          <w:sz w:val="20"/>
          <w:szCs w:val="20"/>
        </w:rPr>
        <w:t>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 Služba se poskytuje za úhradu.</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Domovy pro osoby se zdravotním postižením</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Domovy pro osoby se zdravotním postižením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w:t>
      </w:r>
      <w:r w:rsidR="00E94045">
        <w:rPr>
          <w:rFonts w:ascii="Arial" w:hAnsi="Arial" w:cs="Arial"/>
          <w:sz w:val="20"/>
          <w:szCs w:val="20"/>
        </w:rPr>
        <w:t>hygienu, výchovné, vzdělávací a </w:t>
      </w:r>
      <w:r w:rsidRPr="0004599B">
        <w:rPr>
          <w:rFonts w:ascii="Arial" w:hAnsi="Arial" w:cs="Arial"/>
          <w:sz w:val="20"/>
          <w:szCs w:val="20"/>
        </w:rPr>
        <w:t xml:space="preserve">aktivizační činnosti, zprostředkování kontaktu se společenským prostředím, sociálně terapeutické činnosti,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Domovy pro seniory</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Domovy pro seniory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Služba se poskytuje za úhradu</w:t>
      </w:r>
      <w:r w:rsidR="00EE20A4">
        <w:rPr>
          <w:rFonts w:ascii="Arial" w:hAnsi="Arial" w:cs="Arial"/>
          <w:sz w:val="20"/>
          <w:szCs w:val="20"/>
        </w:rPr>
        <w:t>.</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Domovy se zvláštním režimem</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Domovy se zvláštním režimem se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Chráněné bydlení</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w:t>
      </w:r>
      <w:r w:rsidRPr="0004599B">
        <w:rPr>
          <w:rFonts w:ascii="Arial" w:hAnsi="Arial" w:cs="Arial"/>
          <w:sz w:val="20"/>
          <w:szCs w:val="20"/>
        </w:rPr>
        <w:lastRenderedPageBreak/>
        <w:t>zajištění chodu domácnosti, výchovné, vzdělávací a aktivizační činnosti, zprostředkování kontaktu se společenským prostředím, sociálně terapeutické činnosti, pomoc při uplatňování práv a oprávněných zájmů. Služba se poskytuje za úhradu.</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Azylové domy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Azylové domy poskytují pobytové služby na přechodnou dobu osobám v nepříznivé sociální situaci spojené se ztrátou bydlení. Služba obsahuje poskytnutí stravy nebo pomoc při zajištění stravy, poskytnutí ubytování a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Domy na půl cesty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Domy na půl cesty poskytují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 Služba obsahuje činnosti poskytnutí ubytování, zprostředkování kontaktu se společenským prostředím, sociálně terapeutické činnosti a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Krizová pomoc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Krizová pomoc je terénní, ambulantní nebo pobytová služba na přechodnou dobu poskytovaná osobám, které se nacházejí v situaci ohrožení zdraví nebo života, kdy přechodně nemohou řešit svojí nepříznivou situaci vlastními silami. Služba obsahuje poskytnutí ubytování, poskytnutí stravy nebo pomoc při zajištění stravy, sociálně terapeutické činnosti a pomoc při uplatňování práv a oprávněných zájmů. Služba se poskytuje bez úhrady.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Nízkoprahová denní centra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Nízkoprahová denní centra poskytují ambulantní služby, popřípadě terénní služby pro osoby bez přístřeší. Služba obsahuje pomoc při osobní hygieně nebo poskytnutí podmínek pro osobní hygienu, poskytnutí stravy nebo pomoc při zajištění stravy, pomoc při uplatňování práv a oprávněných zájmů. V nízkoprahových denních centrech hradí osoby úhradu za stravu ve výši stanovené poskytovatelem.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Nízkoprahová zařízení pro děti a mládež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Nízkoprahová zařízení pro děti a mládež poskytují ambulantní, popřípadě terénní služby dětem a mládeži ohroženým sociálním vyloučením. Služba je určena dětem ve věku od 6 do 26 let ohroženým společensky nežádoucími jevy. Cílem služby je zlepšit kvalitu jejich života předcház</w:t>
      </w:r>
      <w:r w:rsidR="00E94045">
        <w:rPr>
          <w:rFonts w:ascii="Arial" w:hAnsi="Arial" w:cs="Arial"/>
          <w:sz w:val="20"/>
          <w:szCs w:val="20"/>
        </w:rPr>
        <w:t>ením nebo snížením sociálních a </w:t>
      </w:r>
      <w:r w:rsidRPr="0004599B">
        <w:rPr>
          <w:rFonts w:ascii="Arial" w:hAnsi="Arial" w:cs="Arial"/>
          <w:sz w:val="20"/>
          <w:szCs w:val="20"/>
        </w:rPr>
        <w:t xml:space="preserve">zdravotních rizik souvisejících s jejich způsobem života, umožnit jim lépe se orientovat v jejich sociálním prostředí a vytvářet podmínky, aby v případě zájmu mohli řešit svoji nepříznivou sociální situaci. Služba může být poskytována osobám anonymně. Služba obsahuje výchovné, vzdělávací a aktivizační činnosti, zprostředkování kontaktu se společenským prostředím, sociálně terapeutické činnosti a pomoc při uplatňování práv a oprávněných zájmů. Služba se poskytuje bez úhrady.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Noclehárny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Noclehárny poskytují ambulantní služby osobám bez přístřeší, které mají zájem o využití hygienického zařízení a přenocování. Služba obsahuje pomoc při osobní hygieně nebo poskytnutí podmínek pro osobní hygienu, poskytnutí přenocování. Služba se poskytuje za úhradu ve výši stanovené poskytovatelem.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Terapeutické komunity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Terapeutické komunity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Sociální poradenství</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Sociální poradenství poskytuje osobám v nepříznivé sociální situaci potřebné informace přispívající k řešení jejich situace. Základní sociální poradenství je součástí všech druhů sociálních služeb. Odborné sociální poradenství zahrnuje občanské poradny, manželské 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uplatňování práv a oprávněných zájmů. Služba se poskytuje bez úhrady.</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Sociálně terapeutické dílny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Sociální rehabilitace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Jedná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w:t>
      </w:r>
      <w:r w:rsidR="00E94045">
        <w:rPr>
          <w:rFonts w:ascii="Arial" w:hAnsi="Arial" w:cs="Arial"/>
          <w:sz w:val="20"/>
          <w:szCs w:val="20"/>
        </w:rPr>
        <w:t>habilitačních služeb. Terénní a </w:t>
      </w:r>
      <w:r w:rsidRPr="0004599B">
        <w:rPr>
          <w:rFonts w:ascii="Arial" w:hAnsi="Arial" w:cs="Arial"/>
          <w:sz w:val="20"/>
          <w:szCs w:val="20"/>
        </w:rPr>
        <w:t>ambulantní služba obsahuje činnosti nácvik dovedností pro zvládání péče o</w:t>
      </w:r>
      <w:r w:rsidR="00E94045">
        <w:rPr>
          <w:rFonts w:ascii="Arial" w:hAnsi="Arial" w:cs="Arial"/>
          <w:sz w:val="20"/>
          <w:szCs w:val="20"/>
        </w:rPr>
        <w:t> vlastní osobu, soběstačnosti a </w:t>
      </w:r>
      <w:r w:rsidRPr="0004599B">
        <w:rPr>
          <w:rFonts w:ascii="Arial" w:hAnsi="Arial" w:cs="Arial"/>
          <w:sz w:val="20"/>
          <w:szCs w:val="20"/>
        </w:rPr>
        <w:t xml:space="preserve">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Služba se poskytuje za úhradu.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Raná péče</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Raná péče je terénní služba, popřípadě doplněná ambulantní formou služby, poskytována dítěti a rodičům </w:t>
      </w:r>
      <w:r>
        <w:rPr>
          <w:rFonts w:ascii="Arial" w:hAnsi="Arial" w:cs="Arial"/>
          <w:sz w:val="20"/>
          <w:szCs w:val="20"/>
        </w:rPr>
        <w:t xml:space="preserve">dítěte </w:t>
      </w:r>
      <w:r w:rsidRPr="0004599B">
        <w:rPr>
          <w:rFonts w:ascii="Arial" w:hAnsi="Arial" w:cs="Arial"/>
          <w:sz w:val="20"/>
          <w:szCs w:val="20"/>
        </w:rPr>
        <w:t>ve věku do 7 let, které je zdravotně postižené, nebo jehož vývoj je ohrožen v důsledku nepříznivého zdravotního stavu Služba je zaměřena na podporu rodiny a podporu vývoje dítěte s ohledem na jeho specifické potřeby. Služba obsahuje výchovné, vzdělávací a aktivizační činnosti, zprostředkování kontaktu se společenským prostředím, sociálně terapeutické činnosti a pomoc při uplatňování práv a oprávněných zájmů. Služba se poskytuje bez úhrady.</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Intervenční centra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Intervenční centra poskytují pomoc osobám ohroženým domácím násilím. Na základě zákonné povinnosti kontaktují osobu ohroženou, a to nejpozději do 48 hodin od doručení kopie úředního záznamu o vykázání ze společného obydlí. Služba obsahuje sociálně terapeutické činnosti</w:t>
      </w:r>
      <w:r w:rsidR="00E94045">
        <w:rPr>
          <w:rFonts w:ascii="Arial" w:hAnsi="Arial" w:cs="Arial"/>
          <w:sz w:val="20"/>
          <w:szCs w:val="20"/>
        </w:rPr>
        <w:t xml:space="preserve"> a pomoc při uplatňování práv a </w:t>
      </w:r>
      <w:r w:rsidRPr="0004599B">
        <w:rPr>
          <w:rFonts w:ascii="Arial" w:hAnsi="Arial" w:cs="Arial"/>
          <w:sz w:val="20"/>
          <w:szCs w:val="20"/>
        </w:rPr>
        <w:t xml:space="preserve">oprávněných zájmů. Pokud je poskytována formou pobytových služeb obsahuje poskytnutí ubytování, poskytnutí stravy nebo pomoc při zajištění stravy. Součástí služby je zajištění spolupráce mezi intervenčními centry, poskytovateli jiných sociálních služeb, OSPOD, obcemi, útvary Policie ČR a obecní policie, jakož i ostatními orgány veřejné správy. Služba se poskytuje bez úhrady. </w:t>
      </w:r>
    </w:p>
    <w:p w:rsidR="009D633C" w:rsidRDefault="009D633C" w:rsidP="008429E4">
      <w:pPr>
        <w:pStyle w:val="Nadpis4"/>
        <w:spacing w:line="240" w:lineRule="auto"/>
        <w:jc w:val="both"/>
        <w:rPr>
          <w:rFonts w:cs="Arial"/>
          <w:szCs w:val="20"/>
        </w:rPr>
      </w:pPr>
    </w:p>
    <w:p w:rsidR="009D633C" w:rsidRPr="00BD77E6" w:rsidRDefault="009D633C" w:rsidP="009D633C">
      <w:pPr>
        <w:pStyle w:val="Nadpis4"/>
        <w:jc w:val="both"/>
        <w:rPr>
          <w:rFonts w:cs="Arial"/>
          <w:szCs w:val="20"/>
        </w:rPr>
      </w:pPr>
      <w:r w:rsidRPr="00BD77E6">
        <w:rPr>
          <w:rFonts w:cs="Arial"/>
          <w:szCs w:val="20"/>
        </w:rPr>
        <w:t xml:space="preserve">Služby následné péče </w:t>
      </w:r>
    </w:p>
    <w:p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Služby následné péče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Služba se poskytuje bez úhrady. </w:t>
      </w:r>
    </w:p>
    <w:p w:rsidR="009D633C" w:rsidRDefault="009D633C" w:rsidP="008429E4">
      <w:pPr>
        <w:pStyle w:val="Nadpis4"/>
        <w:spacing w:line="240" w:lineRule="auto"/>
        <w:jc w:val="both"/>
        <w:rPr>
          <w:rFonts w:cs="Arial"/>
          <w:szCs w:val="20"/>
        </w:rPr>
      </w:pPr>
    </w:p>
    <w:p w:rsidR="00D42AF4" w:rsidRDefault="00D42AF4" w:rsidP="008429E4">
      <w:pPr>
        <w:pStyle w:val="Nadpis4"/>
        <w:spacing w:line="240" w:lineRule="auto"/>
        <w:jc w:val="both"/>
        <w:rPr>
          <w:rFonts w:cs="Arial"/>
          <w:szCs w:val="20"/>
        </w:rPr>
      </w:pPr>
    </w:p>
    <w:p w:rsidR="0061392F" w:rsidRDefault="0061392F" w:rsidP="0061392F">
      <w:pPr>
        <w:jc w:val="both"/>
      </w:pPr>
      <w:r w:rsidRPr="00DB7E42">
        <w:rPr>
          <w:b/>
        </w:rPr>
        <w:t xml:space="preserve">Rezortní statistická zjišťování </w:t>
      </w:r>
      <w:r>
        <w:t xml:space="preserve">Ministerstva práce a sociálních věcí (MPSV) týkající se oblasti sociálních služeb jsou dostupná na adrese </w:t>
      </w:r>
      <w:hyperlink r:id="rId13" w:history="1">
        <w:r w:rsidRPr="00910634">
          <w:rPr>
            <w:rStyle w:val="Hypertextovodkaz"/>
          </w:rPr>
          <w:t>http://www.</w:t>
        </w:r>
        <w:r w:rsidRPr="00910634">
          <w:rPr>
            <w:rStyle w:val="Hypertextovodkaz"/>
          </w:rPr>
          <w:t>m</w:t>
        </w:r>
        <w:r w:rsidRPr="00910634">
          <w:rPr>
            <w:rStyle w:val="Hypertextovodkaz"/>
          </w:rPr>
          <w:t>psv.cz/cs/16646</w:t>
        </w:r>
      </w:hyperlink>
    </w:p>
    <w:p w:rsidR="0061392F" w:rsidRDefault="0061392F" w:rsidP="0061392F">
      <w:pPr>
        <w:jc w:val="both"/>
        <w:rPr>
          <w:rFonts w:cs="Arial"/>
        </w:rPr>
      </w:pPr>
      <w:r w:rsidRPr="009E488E">
        <w:rPr>
          <w:rFonts w:cs="Arial"/>
          <w:b/>
        </w:rPr>
        <w:t>Další informace z oblasti sociálních služeb</w:t>
      </w:r>
      <w:r>
        <w:rPr>
          <w:rFonts w:cs="Arial"/>
        </w:rPr>
        <w:t xml:space="preserve">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 sociálních věcí (MPSV)</w:t>
      </w:r>
      <w:r w:rsidRPr="001B62C7">
        <w:rPr>
          <w:rFonts w:cs="Arial"/>
        </w:rPr>
        <w:t> </w:t>
      </w:r>
      <w:r w:rsidRPr="00D77086">
        <w:rPr>
          <w:rFonts w:cs="Arial"/>
        </w:rPr>
        <w:t xml:space="preserve"> </w:t>
      </w:r>
      <w:hyperlink r:id="rId14" w:history="1">
        <w:r w:rsidRPr="00732287">
          <w:rPr>
            <w:rStyle w:val="Hypertextovodkaz"/>
            <w:rFonts w:cs="Arial"/>
          </w:rPr>
          <w:t>http://ww</w:t>
        </w:r>
        <w:r w:rsidRPr="00732287">
          <w:rPr>
            <w:rStyle w:val="Hypertextovodkaz"/>
            <w:rFonts w:cs="Arial"/>
          </w:rPr>
          <w:t>w</w:t>
        </w:r>
        <w:r w:rsidRPr="00732287">
          <w:rPr>
            <w:rStyle w:val="Hypertextovodkaz"/>
            <w:rFonts w:cs="Arial"/>
          </w:rPr>
          <w:t>.mpsv.cz/cs/18661</w:t>
        </w:r>
      </w:hyperlink>
    </w:p>
    <w:p w:rsidR="0061392F" w:rsidRDefault="0061392F" w:rsidP="00BB73EE">
      <w:pPr>
        <w:pStyle w:val="Normlnweb"/>
        <w:jc w:val="both"/>
        <w:rPr>
          <w:rFonts w:cs="Arial"/>
          <w:szCs w:val="20"/>
        </w:rPr>
      </w:pPr>
    </w:p>
    <w:sectPr w:rsidR="0061392F" w:rsidSect="0030192A">
      <w:headerReference w:type="even" r:id="rId15"/>
      <w:headerReference w:type="default" r:id="rId16"/>
      <w:footerReference w:type="even" r:id="rId17"/>
      <w:footerReference w:type="default" r:id="rId18"/>
      <w:pgSz w:w="11906" w:h="16838" w:code="9"/>
      <w:pgMar w:top="993"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E1" w:rsidRDefault="004E64E1" w:rsidP="00E71A58">
      <w:r>
        <w:separator/>
      </w:r>
    </w:p>
  </w:endnote>
  <w:endnote w:type="continuationSeparator" w:id="0">
    <w:p w:rsidR="004E64E1" w:rsidRDefault="004E64E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6" w:rsidRDefault="00701300"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B61105">
      <w:rPr>
        <w:rFonts w:ascii="Arial" w:hAnsi="Arial" w:cs="Arial"/>
        <w:sz w:val="16"/>
        <w:szCs w:val="16"/>
      </w:rPr>
      <w:tab/>
      <w:t>2016</w:t>
    </w:r>
  </w:p>
  <w:p w:rsidR="00E12556" w:rsidRDefault="00E12556" w:rsidP="003A6B38">
    <w:pPr>
      <w:pStyle w:val="Zpat"/>
      <w:tabs>
        <w:tab w:val="clear" w:pos="4536"/>
        <w:tab w:val="clear" w:pos="9072"/>
        <w:tab w:val="center" w:pos="4820"/>
        <w:tab w:val="right" w:pos="963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6" w:rsidRDefault="00701300"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sidR="00E12556">
      <w:tab/>
    </w:r>
    <w:r w:rsidR="00E12556">
      <w:tab/>
    </w:r>
    <w:r w:rsidR="00E12556" w:rsidRPr="00DC5B3B">
      <w:t xml:space="preserve">                              </w:t>
    </w:r>
  </w:p>
  <w:p w:rsidR="00E12556" w:rsidRDefault="00E12556"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B61105">
      <w:rPr>
        <w:rFonts w:ascii="Arial" w:hAnsi="Arial" w:cs="Arial"/>
        <w:sz w:val="16"/>
        <w:szCs w:val="16"/>
      </w:rPr>
      <w:t>6</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E1" w:rsidRDefault="004E64E1" w:rsidP="00E71A58">
      <w:r>
        <w:separator/>
      </w:r>
    </w:p>
  </w:footnote>
  <w:footnote w:type="continuationSeparator" w:id="0">
    <w:p w:rsidR="004E64E1" w:rsidRDefault="004E64E1"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6" w:rsidRPr="00AD306C" w:rsidRDefault="00E12556"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B61105">
      <w:rPr>
        <w:rFonts w:ascii="Arial" w:hAnsi="Arial" w:cs="Arial"/>
        <w:sz w:val="16"/>
        <w:szCs w:val="1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6" w:rsidRPr="00DC5B3B" w:rsidRDefault="00E12556"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B61105">
      <w:rPr>
        <w:rFonts w:ascii="Arial" w:hAnsi="Arial" w:cs="Arial"/>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11343A93"/>
    <w:multiLevelType w:val="hybridMultilevel"/>
    <w:tmpl w:val="B98EF3E6"/>
    <w:lvl w:ilvl="0" w:tplc="578C2E40">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12B73A33"/>
    <w:multiLevelType w:val="multilevel"/>
    <w:tmpl w:val="DA9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B2AED"/>
    <w:multiLevelType w:val="multilevel"/>
    <w:tmpl w:val="E21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6">
    <w:nsid w:val="2DF30E53"/>
    <w:multiLevelType w:val="multilevel"/>
    <w:tmpl w:val="937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A2B05"/>
    <w:multiLevelType w:val="multilevel"/>
    <w:tmpl w:val="237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C056F"/>
    <w:multiLevelType w:val="multilevel"/>
    <w:tmpl w:val="683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17D7"/>
    <w:multiLevelType w:val="hybridMultilevel"/>
    <w:tmpl w:val="93D83B4E"/>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103DA"/>
    <w:multiLevelType w:val="hybridMultilevel"/>
    <w:tmpl w:val="4350A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491F9F"/>
    <w:multiLevelType w:val="multilevel"/>
    <w:tmpl w:val="BFB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
  </w:num>
  <w:num w:numId="5">
    <w:abstractNumId w:val="5"/>
  </w:num>
  <w:num w:numId="6">
    <w:abstractNumId w:val="0"/>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3"/>
  </w:num>
  <w:num w:numId="13">
    <w:abstractNumId w:val="4"/>
  </w:num>
  <w:num w:numId="14">
    <w:abstractNumId w:val="13"/>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8A4331"/>
    <w:rsid w:val="000015FA"/>
    <w:rsid w:val="000074D6"/>
    <w:rsid w:val="0000767A"/>
    <w:rsid w:val="00007B5D"/>
    <w:rsid w:val="00010702"/>
    <w:rsid w:val="000107CC"/>
    <w:rsid w:val="00010BB2"/>
    <w:rsid w:val="0001285A"/>
    <w:rsid w:val="0002591A"/>
    <w:rsid w:val="00026DBB"/>
    <w:rsid w:val="0004599B"/>
    <w:rsid w:val="0004694F"/>
    <w:rsid w:val="0005304E"/>
    <w:rsid w:val="00062EC5"/>
    <w:rsid w:val="00075EF7"/>
    <w:rsid w:val="000809BB"/>
    <w:rsid w:val="00087634"/>
    <w:rsid w:val="00097762"/>
    <w:rsid w:val="000A08C7"/>
    <w:rsid w:val="000A1183"/>
    <w:rsid w:val="000B4745"/>
    <w:rsid w:val="000B5CE9"/>
    <w:rsid w:val="000C3408"/>
    <w:rsid w:val="000C769E"/>
    <w:rsid w:val="000D1CE9"/>
    <w:rsid w:val="000D21E1"/>
    <w:rsid w:val="000D407A"/>
    <w:rsid w:val="000E6AD2"/>
    <w:rsid w:val="000F651D"/>
    <w:rsid w:val="00104685"/>
    <w:rsid w:val="001113CC"/>
    <w:rsid w:val="00111C2D"/>
    <w:rsid w:val="00113232"/>
    <w:rsid w:val="00124491"/>
    <w:rsid w:val="001405FA"/>
    <w:rsid w:val="00140EAD"/>
    <w:rsid w:val="001425C3"/>
    <w:rsid w:val="00142BBF"/>
    <w:rsid w:val="00143E77"/>
    <w:rsid w:val="00144093"/>
    <w:rsid w:val="00151640"/>
    <w:rsid w:val="001565AD"/>
    <w:rsid w:val="00162D2C"/>
    <w:rsid w:val="0016319C"/>
    <w:rsid w:val="00163793"/>
    <w:rsid w:val="00165A64"/>
    <w:rsid w:val="00167EA1"/>
    <w:rsid w:val="00170475"/>
    <w:rsid w:val="001714F2"/>
    <w:rsid w:val="0017223B"/>
    <w:rsid w:val="00172743"/>
    <w:rsid w:val="0018196D"/>
    <w:rsid w:val="00185010"/>
    <w:rsid w:val="00191F26"/>
    <w:rsid w:val="0019286E"/>
    <w:rsid w:val="00192CB4"/>
    <w:rsid w:val="0019325F"/>
    <w:rsid w:val="00193560"/>
    <w:rsid w:val="001939E7"/>
    <w:rsid w:val="001A3327"/>
    <w:rsid w:val="001A552F"/>
    <w:rsid w:val="001A7736"/>
    <w:rsid w:val="001A7BF6"/>
    <w:rsid w:val="001B0804"/>
    <w:rsid w:val="001B3110"/>
    <w:rsid w:val="001C111F"/>
    <w:rsid w:val="001C2372"/>
    <w:rsid w:val="001E03F0"/>
    <w:rsid w:val="001E7014"/>
    <w:rsid w:val="001F4597"/>
    <w:rsid w:val="001F5982"/>
    <w:rsid w:val="002003DA"/>
    <w:rsid w:val="0020041A"/>
    <w:rsid w:val="0020635D"/>
    <w:rsid w:val="0020776A"/>
    <w:rsid w:val="00207CBE"/>
    <w:rsid w:val="00210AA5"/>
    <w:rsid w:val="00212161"/>
    <w:rsid w:val="0022139E"/>
    <w:rsid w:val="0022397F"/>
    <w:rsid w:val="002252E0"/>
    <w:rsid w:val="002255F6"/>
    <w:rsid w:val="002257D2"/>
    <w:rsid w:val="0022684D"/>
    <w:rsid w:val="00226B6B"/>
    <w:rsid w:val="00230E52"/>
    <w:rsid w:val="00231687"/>
    <w:rsid w:val="00232835"/>
    <w:rsid w:val="00235DCE"/>
    <w:rsid w:val="00236443"/>
    <w:rsid w:val="002416AF"/>
    <w:rsid w:val="002436BA"/>
    <w:rsid w:val="00244A15"/>
    <w:rsid w:val="002472A0"/>
    <w:rsid w:val="0024799E"/>
    <w:rsid w:val="00252970"/>
    <w:rsid w:val="00264C1E"/>
    <w:rsid w:val="00267E97"/>
    <w:rsid w:val="00270BEB"/>
    <w:rsid w:val="00272569"/>
    <w:rsid w:val="002800C0"/>
    <w:rsid w:val="00286DCE"/>
    <w:rsid w:val="00286F19"/>
    <w:rsid w:val="00287768"/>
    <w:rsid w:val="002A39F8"/>
    <w:rsid w:val="002A7E14"/>
    <w:rsid w:val="002B00A9"/>
    <w:rsid w:val="002B4E91"/>
    <w:rsid w:val="002B77B1"/>
    <w:rsid w:val="002C43BD"/>
    <w:rsid w:val="002D34E8"/>
    <w:rsid w:val="002D5D83"/>
    <w:rsid w:val="002E02A1"/>
    <w:rsid w:val="002E44F4"/>
    <w:rsid w:val="002E6755"/>
    <w:rsid w:val="002F456D"/>
    <w:rsid w:val="002F4B0C"/>
    <w:rsid w:val="002F532A"/>
    <w:rsid w:val="003003B4"/>
    <w:rsid w:val="0030192A"/>
    <w:rsid w:val="00304771"/>
    <w:rsid w:val="00306408"/>
    <w:rsid w:val="00306C5B"/>
    <w:rsid w:val="003209D6"/>
    <w:rsid w:val="0032532F"/>
    <w:rsid w:val="003328E7"/>
    <w:rsid w:val="00336F1A"/>
    <w:rsid w:val="003378C4"/>
    <w:rsid w:val="00337943"/>
    <w:rsid w:val="00350DC6"/>
    <w:rsid w:val="003657F3"/>
    <w:rsid w:val="00374075"/>
    <w:rsid w:val="0037432C"/>
    <w:rsid w:val="00375980"/>
    <w:rsid w:val="003761C3"/>
    <w:rsid w:val="00376E64"/>
    <w:rsid w:val="003776C8"/>
    <w:rsid w:val="003803FD"/>
    <w:rsid w:val="00385D98"/>
    <w:rsid w:val="00393D57"/>
    <w:rsid w:val="003A2B4D"/>
    <w:rsid w:val="003A478C"/>
    <w:rsid w:val="003A5525"/>
    <w:rsid w:val="003A6B38"/>
    <w:rsid w:val="003B29A3"/>
    <w:rsid w:val="003B5A32"/>
    <w:rsid w:val="003B6BD0"/>
    <w:rsid w:val="003B7B5A"/>
    <w:rsid w:val="003C1488"/>
    <w:rsid w:val="003C6CC2"/>
    <w:rsid w:val="003C6EFD"/>
    <w:rsid w:val="003D375C"/>
    <w:rsid w:val="003D7048"/>
    <w:rsid w:val="003E1690"/>
    <w:rsid w:val="003E5B36"/>
    <w:rsid w:val="003E6C96"/>
    <w:rsid w:val="003F313C"/>
    <w:rsid w:val="003F318A"/>
    <w:rsid w:val="003F52E4"/>
    <w:rsid w:val="003F6CD6"/>
    <w:rsid w:val="004004F4"/>
    <w:rsid w:val="00400E62"/>
    <w:rsid w:val="0040140A"/>
    <w:rsid w:val="00401AD6"/>
    <w:rsid w:val="004046B8"/>
    <w:rsid w:val="00412511"/>
    <w:rsid w:val="004136FD"/>
    <w:rsid w:val="00421DC9"/>
    <w:rsid w:val="00423060"/>
    <w:rsid w:val="0042669E"/>
    <w:rsid w:val="00430D93"/>
    <w:rsid w:val="00432043"/>
    <w:rsid w:val="004338AA"/>
    <w:rsid w:val="00435D17"/>
    <w:rsid w:val="00436520"/>
    <w:rsid w:val="004402A5"/>
    <w:rsid w:val="00445632"/>
    <w:rsid w:val="00456774"/>
    <w:rsid w:val="00460CAF"/>
    <w:rsid w:val="00467094"/>
    <w:rsid w:val="00471EAF"/>
    <w:rsid w:val="0047324F"/>
    <w:rsid w:val="00473D97"/>
    <w:rsid w:val="00476265"/>
    <w:rsid w:val="0048086F"/>
    <w:rsid w:val="0048139F"/>
    <w:rsid w:val="004830CC"/>
    <w:rsid w:val="00492751"/>
    <w:rsid w:val="004A77DF"/>
    <w:rsid w:val="004B4975"/>
    <w:rsid w:val="004B55B7"/>
    <w:rsid w:val="004C0DAA"/>
    <w:rsid w:val="004C3867"/>
    <w:rsid w:val="004C4CD0"/>
    <w:rsid w:val="004C5664"/>
    <w:rsid w:val="004C69BE"/>
    <w:rsid w:val="004C70DC"/>
    <w:rsid w:val="004D0211"/>
    <w:rsid w:val="004D2FB8"/>
    <w:rsid w:val="004D5336"/>
    <w:rsid w:val="004E64E1"/>
    <w:rsid w:val="004E7B4A"/>
    <w:rsid w:val="004F06F5"/>
    <w:rsid w:val="005108C0"/>
    <w:rsid w:val="00511873"/>
    <w:rsid w:val="005128ED"/>
    <w:rsid w:val="00513B7E"/>
    <w:rsid w:val="0051547E"/>
    <w:rsid w:val="00525137"/>
    <w:rsid w:val="005251DD"/>
    <w:rsid w:val="005301F4"/>
    <w:rsid w:val="0053471C"/>
    <w:rsid w:val="00545314"/>
    <w:rsid w:val="00546DC5"/>
    <w:rsid w:val="005611C8"/>
    <w:rsid w:val="005633D5"/>
    <w:rsid w:val="0056499C"/>
    <w:rsid w:val="00565A12"/>
    <w:rsid w:val="00565F6F"/>
    <w:rsid w:val="00567A60"/>
    <w:rsid w:val="0057000C"/>
    <w:rsid w:val="00571A58"/>
    <w:rsid w:val="00574028"/>
    <w:rsid w:val="005762A0"/>
    <w:rsid w:val="005774A2"/>
    <w:rsid w:val="0057785F"/>
    <w:rsid w:val="005800D8"/>
    <w:rsid w:val="00581153"/>
    <w:rsid w:val="00582E38"/>
    <w:rsid w:val="00583E44"/>
    <w:rsid w:val="00583FFD"/>
    <w:rsid w:val="00584345"/>
    <w:rsid w:val="00593152"/>
    <w:rsid w:val="00595472"/>
    <w:rsid w:val="0059555B"/>
    <w:rsid w:val="005A057D"/>
    <w:rsid w:val="005A0D04"/>
    <w:rsid w:val="005A21E0"/>
    <w:rsid w:val="005A2BF3"/>
    <w:rsid w:val="005A630A"/>
    <w:rsid w:val="005A6C51"/>
    <w:rsid w:val="005B2C5A"/>
    <w:rsid w:val="005B4586"/>
    <w:rsid w:val="005B51ED"/>
    <w:rsid w:val="005C5530"/>
    <w:rsid w:val="005D4F6C"/>
    <w:rsid w:val="005D5802"/>
    <w:rsid w:val="005D7081"/>
    <w:rsid w:val="005E0178"/>
    <w:rsid w:val="005F0963"/>
    <w:rsid w:val="005F171D"/>
    <w:rsid w:val="0060226E"/>
    <w:rsid w:val="00603D03"/>
    <w:rsid w:val="00604307"/>
    <w:rsid w:val="0060487F"/>
    <w:rsid w:val="006069BC"/>
    <w:rsid w:val="00610FA2"/>
    <w:rsid w:val="00611D17"/>
    <w:rsid w:val="0061392F"/>
    <w:rsid w:val="00615839"/>
    <w:rsid w:val="00616F6B"/>
    <w:rsid w:val="00624093"/>
    <w:rsid w:val="0062609C"/>
    <w:rsid w:val="006304F6"/>
    <w:rsid w:val="00632854"/>
    <w:rsid w:val="00634F4A"/>
    <w:rsid w:val="0063514C"/>
    <w:rsid w:val="006359AB"/>
    <w:rsid w:val="006404A7"/>
    <w:rsid w:val="00640572"/>
    <w:rsid w:val="006451E4"/>
    <w:rsid w:val="006527A0"/>
    <w:rsid w:val="006570DA"/>
    <w:rsid w:val="00657E87"/>
    <w:rsid w:val="006648D8"/>
    <w:rsid w:val="006668D0"/>
    <w:rsid w:val="006675A1"/>
    <w:rsid w:val="006710C9"/>
    <w:rsid w:val="00672363"/>
    <w:rsid w:val="006726A9"/>
    <w:rsid w:val="00675E37"/>
    <w:rsid w:val="00677BD1"/>
    <w:rsid w:val="0068260E"/>
    <w:rsid w:val="00682F01"/>
    <w:rsid w:val="00695BEF"/>
    <w:rsid w:val="006977F6"/>
    <w:rsid w:val="00697A13"/>
    <w:rsid w:val="006A109C"/>
    <w:rsid w:val="006B238F"/>
    <w:rsid w:val="006B529D"/>
    <w:rsid w:val="006B678F"/>
    <w:rsid w:val="006B78D8"/>
    <w:rsid w:val="006C113F"/>
    <w:rsid w:val="006C1F14"/>
    <w:rsid w:val="006D1029"/>
    <w:rsid w:val="006D15FB"/>
    <w:rsid w:val="006D61F6"/>
    <w:rsid w:val="006E01A9"/>
    <w:rsid w:val="006E19AC"/>
    <w:rsid w:val="006E279A"/>
    <w:rsid w:val="006E313B"/>
    <w:rsid w:val="006F33BA"/>
    <w:rsid w:val="00700828"/>
    <w:rsid w:val="00700A57"/>
    <w:rsid w:val="00701300"/>
    <w:rsid w:val="0070202F"/>
    <w:rsid w:val="0070387F"/>
    <w:rsid w:val="007109D8"/>
    <w:rsid w:val="00712F61"/>
    <w:rsid w:val="0071422E"/>
    <w:rsid w:val="007211F5"/>
    <w:rsid w:val="00726FF3"/>
    <w:rsid w:val="00730AE8"/>
    <w:rsid w:val="00732B9F"/>
    <w:rsid w:val="00737F9F"/>
    <w:rsid w:val="0074003D"/>
    <w:rsid w:val="00741493"/>
    <w:rsid w:val="00742C4C"/>
    <w:rsid w:val="00745F78"/>
    <w:rsid w:val="00751222"/>
    <w:rsid w:val="00751735"/>
    <w:rsid w:val="00752180"/>
    <w:rsid w:val="00755D3A"/>
    <w:rsid w:val="007568F2"/>
    <w:rsid w:val="007609C6"/>
    <w:rsid w:val="0076193A"/>
    <w:rsid w:val="007625A4"/>
    <w:rsid w:val="00770519"/>
    <w:rsid w:val="007736E0"/>
    <w:rsid w:val="00776527"/>
    <w:rsid w:val="00786CA3"/>
    <w:rsid w:val="00791B54"/>
    <w:rsid w:val="007968EB"/>
    <w:rsid w:val="007A06E8"/>
    <w:rsid w:val="007A6DE9"/>
    <w:rsid w:val="007B0F78"/>
    <w:rsid w:val="007B0F80"/>
    <w:rsid w:val="007B213A"/>
    <w:rsid w:val="007B47EE"/>
    <w:rsid w:val="007B60D9"/>
    <w:rsid w:val="007D0D2A"/>
    <w:rsid w:val="007D3D51"/>
    <w:rsid w:val="007D4EAD"/>
    <w:rsid w:val="007D5552"/>
    <w:rsid w:val="007D580C"/>
    <w:rsid w:val="007E12CE"/>
    <w:rsid w:val="007E7E61"/>
    <w:rsid w:val="00801892"/>
    <w:rsid w:val="0080395F"/>
    <w:rsid w:val="008051FD"/>
    <w:rsid w:val="00811BB4"/>
    <w:rsid w:val="008202F7"/>
    <w:rsid w:val="0082092C"/>
    <w:rsid w:val="00821FF6"/>
    <w:rsid w:val="008252A2"/>
    <w:rsid w:val="0083143E"/>
    <w:rsid w:val="00831FC9"/>
    <w:rsid w:val="00834FAA"/>
    <w:rsid w:val="00836086"/>
    <w:rsid w:val="008429E4"/>
    <w:rsid w:val="00846F96"/>
    <w:rsid w:val="00852269"/>
    <w:rsid w:val="008570E4"/>
    <w:rsid w:val="008600D2"/>
    <w:rsid w:val="00865CEB"/>
    <w:rsid w:val="00870333"/>
    <w:rsid w:val="008747D9"/>
    <w:rsid w:val="00874F23"/>
    <w:rsid w:val="00876086"/>
    <w:rsid w:val="00884C3D"/>
    <w:rsid w:val="00886630"/>
    <w:rsid w:val="00886A8B"/>
    <w:rsid w:val="00890D04"/>
    <w:rsid w:val="00892136"/>
    <w:rsid w:val="00893381"/>
    <w:rsid w:val="008936B0"/>
    <w:rsid w:val="008A3943"/>
    <w:rsid w:val="008A4331"/>
    <w:rsid w:val="008A582A"/>
    <w:rsid w:val="008A7B73"/>
    <w:rsid w:val="008B06A5"/>
    <w:rsid w:val="008B3CCF"/>
    <w:rsid w:val="008B7C02"/>
    <w:rsid w:val="008C0E88"/>
    <w:rsid w:val="008C3210"/>
    <w:rsid w:val="008C4674"/>
    <w:rsid w:val="008C5609"/>
    <w:rsid w:val="008D2A16"/>
    <w:rsid w:val="008D4A94"/>
    <w:rsid w:val="008D7095"/>
    <w:rsid w:val="008E31FF"/>
    <w:rsid w:val="008F739D"/>
    <w:rsid w:val="009003A8"/>
    <w:rsid w:val="009004D5"/>
    <w:rsid w:val="00902EFF"/>
    <w:rsid w:val="0090382A"/>
    <w:rsid w:val="00921090"/>
    <w:rsid w:val="00921509"/>
    <w:rsid w:val="00921B68"/>
    <w:rsid w:val="00921F14"/>
    <w:rsid w:val="0092547A"/>
    <w:rsid w:val="0092586B"/>
    <w:rsid w:val="00927F6A"/>
    <w:rsid w:val="0093263D"/>
    <w:rsid w:val="00933B34"/>
    <w:rsid w:val="009356E9"/>
    <w:rsid w:val="009404CE"/>
    <w:rsid w:val="00941AA1"/>
    <w:rsid w:val="009425CE"/>
    <w:rsid w:val="0094427A"/>
    <w:rsid w:val="00950CEC"/>
    <w:rsid w:val="00953B30"/>
    <w:rsid w:val="00953DEC"/>
    <w:rsid w:val="009549C8"/>
    <w:rsid w:val="00956792"/>
    <w:rsid w:val="00957EFD"/>
    <w:rsid w:val="00961980"/>
    <w:rsid w:val="0096469B"/>
    <w:rsid w:val="00970283"/>
    <w:rsid w:val="00973454"/>
    <w:rsid w:val="00974923"/>
    <w:rsid w:val="009749A4"/>
    <w:rsid w:val="00976FC9"/>
    <w:rsid w:val="00981C59"/>
    <w:rsid w:val="00983B96"/>
    <w:rsid w:val="00983C02"/>
    <w:rsid w:val="00987CEB"/>
    <w:rsid w:val="00992400"/>
    <w:rsid w:val="00995B67"/>
    <w:rsid w:val="00996AF4"/>
    <w:rsid w:val="009A3E64"/>
    <w:rsid w:val="009B0977"/>
    <w:rsid w:val="009B6FD3"/>
    <w:rsid w:val="009B750D"/>
    <w:rsid w:val="009C0617"/>
    <w:rsid w:val="009C2579"/>
    <w:rsid w:val="009C43C8"/>
    <w:rsid w:val="009C5EDA"/>
    <w:rsid w:val="009C66F5"/>
    <w:rsid w:val="009D633C"/>
    <w:rsid w:val="009E488E"/>
    <w:rsid w:val="009E5596"/>
    <w:rsid w:val="009E6FBF"/>
    <w:rsid w:val="00A01B53"/>
    <w:rsid w:val="00A01E47"/>
    <w:rsid w:val="00A01EDD"/>
    <w:rsid w:val="00A03DF6"/>
    <w:rsid w:val="00A04CF6"/>
    <w:rsid w:val="00A07028"/>
    <w:rsid w:val="00A10D66"/>
    <w:rsid w:val="00A116C2"/>
    <w:rsid w:val="00A17341"/>
    <w:rsid w:val="00A1749B"/>
    <w:rsid w:val="00A17D70"/>
    <w:rsid w:val="00A200ED"/>
    <w:rsid w:val="00A20ADB"/>
    <w:rsid w:val="00A221F2"/>
    <w:rsid w:val="00A23E43"/>
    <w:rsid w:val="00A2785A"/>
    <w:rsid w:val="00A27938"/>
    <w:rsid w:val="00A31E79"/>
    <w:rsid w:val="00A339AC"/>
    <w:rsid w:val="00A33EFD"/>
    <w:rsid w:val="00A35033"/>
    <w:rsid w:val="00A40818"/>
    <w:rsid w:val="00A44E44"/>
    <w:rsid w:val="00A46DE0"/>
    <w:rsid w:val="00A51ADD"/>
    <w:rsid w:val="00A5311C"/>
    <w:rsid w:val="00A55D99"/>
    <w:rsid w:val="00A62CE1"/>
    <w:rsid w:val="00A632EB"/>
    <w:rsid w:val="00A648A9"/>
    <w:rsid w:val="00A65FA8"/>
    <w:rsid w:val="00A66955"/>
    <w:rsid w:val="00A67899"/>
    <w:rsid w:val="00A67E6F"/>
    <w:rsid w:val="00A70621"/>
    <w:rsid w:val="00A71687"/>
    <w:rsid w:val="00A719B4"/>
    <w:rsid w:val="00A72FEB"/>
    <w:rsid w:val="00A731B7"/>
    <w:rsid w:val="00A74199"/>
    <w:rsid w:val="00A75E40"/>
    <w:rsid w:val="00A857C0"/>
    <w:rsid w:val="00A90C76"/>
    <w:rsid w:val="00A91092"/>
    <w:rsid w:val="00A94C93"/>
    <w:rsid w:val="00A9664D"/>
    <w:rsid w:val="00AA559A"/>
    <w:rsid w:val="00AB227D"/>
    <w:rsid w:val="00AB2AF1"/>
    <w:rsid w:val="00AB2DE2"/>
    <w:rsid w:val="00AC1416"/>
    <w:rsid w:val="00AD306C"/>
    <w:rsid w:val="00AE6FBA"/>
    <w:rsid w:val="00AF0530"/>
    <w:rsid w:val="00B00FAA"/>
    <w:rsid w:val="00B01CAD"/>
    <w:rsid w:val="00B025F2"/>
    <w:rsid w:val="00B0714F"/>
    <w:rsid w:val="00B14F3A"/>
    <w:rsid w:val="00B1581D"/>
    <w:rsid w:val="00B16E3E"/>
    <w:rsid w:val="00B17448"/>
    <w:rsid w:val="00B17E71"/>
    <w:rsid w:val="00B17FDE"/>
    <w:rsid w:val="00B27096"/>
    <w:rsid w:val="00B32DDB"/>
    <w:rsid w:val="00B401D5"/>
    <w:rsid w:val="00B4203F"/>
    <w:rsid w:val="00B42AA0"/>
    <w:rsid w:val="00B4543F"/>
    <w:rsid w:val="00B61105"/>
    <w:rsid w:val="00B64726"/>
    <w:rsid w:val="00B6608F"/>
    <w:rsid w:val="00B70D02"/>
    <w:rsid w:val="00B714A2"/>
    <w:rsid w:val="00B75EDD"/>
    <w:rsid w:val="00B7630E"/>
    <w:rsid w:val="00B76D1E"/>
    <w:rsid w:val="00B83702"/>
    <w:rsid w:val="00B93684"/>
    <w:rsid w:val="00B95940"/>
    <w:rsid w:val="00B97774"/>
    <w:rsid w:val="00B97BEC"/>
    <w:rsid w:val="00BA0463"/>
    <w:rsid w:val="00BA493B"/>
    <w:rsid w:val="00BB3675"/>
    <w:rsid w:val="00BB5796"/>
    <w:rsid w:val="00BB73EE"/>
    <w:rsid w:val="00BC3543"/>
    <w:rsid w:val="00BC7741"/>
    <w:rsid w:val="00BD1226"/>
    <w:rsid w:val="00BD366B"/>
    <w:rsid w:val="00BD4613"/>
    <w:rsid w:val="00BD6A6C"/>
    <w:rsid w:val="00BD6D50"/>
    <w:rsid w:val="00BD77E6"/>
    <w:rsid w:val="00BE5327"/>
    <w:rsid w:val="00BF1B33"/>
    <w:rsid w:val="00C00E7E"/>
    <w:rsid w:val="00C05C38"/>
    <w:rsid w:val="00C05CE2"/>
    <w:rsid w:val="00C121D1"/>
    <w:rsid w:val="00C13E0C"/>
    <w:rsid w:val="00C1729E"/>
    <w:rsid w:val="00C17913"/>
    <w:rsid w:val="00C21F94"/>
    <w:rsid w:val="00C2369D"/>
    <w:rsid w:val="00C26121"/>
    <w:rsid w:val="00C327D5"/>
    <w:rsid w:val="00C34969"/>
    <w:rsid w:val="00C43CF3"/>
    <w:rsid w:val="00C4545D"/>
    <w:rsid w:val="00C45C9A"/>
    <w:rsid w:val="00C55ABB"/>
    <w:rsid w:val="00C55C93"/>
    <w:rsid w:val="00C565C2"/>
    <w:rsid w:val="00C56DCC"/>
    <w:rsid w:val="00C579F9"/>
    <w:rsid w:val="00C57B89"/>
    <w:rsid w:val="00C6146A"/>
    <w:rsid w:val="00C62CB9"/>
    <w:rsid w:val="00C65137"/>
    <w:rsid w:val="00C775D6"/>
    <w:rsid w:val="00C80F44"/>
    <w:rsid w:val="00C824C4"/>
    <w:rsid w:val="00C90CF4"/>
    <w:rsid w:val="00C91130"/>
    <w:rsid w:val="00C93389"/>
    <w:rsid w:val="00C93C7E"/>
    <w:rsid w:val="00CA0604"/>
    <w:rsid w:val="00CA6B42"/>
    <w:rsid w:val="00CA7812"/>
    <w:rsid w:val="00CB3BFB"/>
    <w:rsid w:val="00CB4446"/>
    <w:rsid w:val="00CC1837"/>
    <w:rsid w:val="00CC1FD8"/>
    <w:rsid w:val="00CD04D0"/>
    <w:rsid w:val="00CD2AF1"/>
    <w:rsid w:val="00CE2D09"/>
    <w:rsid w:val="00CE4127"/>
    <w:rsid w:val="00CE68CD"/>
    <w:rsid w:val="00CF2C0F"/>
    <w:rsid w:val="00CF363D"/>
    <w:rsid w:val="00CF51EC"/>
    <w:rsid w:val="00D0071D"/>
    <w:rsid w:val="00D03456"/>
    <w:rsid w:val="00D040DD"/>
    <w:rsid w:val="00D20989"/>
    <w:rsid w:val="00D20F09"/>
    <w:rsid w:val="00D26149"/>
    <w:rsid w:val="00D32AAF"/>
    <w:rsid w:val="00D33F8D"/>
    <w:rsid w:val="00D34BDD"/>
    <w:rsid w:val="00D37E61"/>
    <w:rsid w:val="00D41C71"/>
    <w:rsid w:val="00D42AF4"/>
    <w:rsid w:val="00D472AE"/>
    <w:rsid w:val="00D47800"/>
    <w:rsid w:val="00D47AE0"/>
    <w:rsid w:val="00D54136"/>
    <w:rsid w:val="00D63104"/>
    <w:rsid w:val="00D72BE7"/>
    <w:rsid w:val="00D73DB8"/>
    <w:rsid w:val="00D73DD4"/>
    <w:rsid w:val="00D77086"/>
    <w:rsid w:val="00D84544"/>
    <w:rsid w:val="00D85A24"/>
    <w:rsid w:val="00D94983"/>
    <w:rsid w:val="00D96D82"/>
    <w:rsid w:val="00DA010B"/>
    <w:rsid w:val="00DB2526"/>
    <w:rsid w:val="00DB7E42"/>
    <w:rsid w:val="00DC162C"/>
    <w:rsid w:val="00DC34DE"/>
    <w:rsid w:val="00DC3BBA"/>
    <w:rsid w:val="00DC3ED0"/>
    <w:rsid w:val="00DC5B3B"/>
    <w:rsid w:val="00DD45F1"/>
    <w:rsid w:val="00DD7048"/>
    <w:rsid w:val="00DE1B58"/>
    <w:rsid w:val="00DE6511"/>
    <w:rsid w:val="00DF4FCD"/>
    <w:rsid w:val="00E01C0E"/>
    <w:rsid w:val="00E04694"/>
    <w:rsid w:val="00E069D1"/>
    <w:rsid w:val="00E073DB"/>
    <w:rsid w:val="00E102AC"/>
    <w:rsid w:val="00E12556"/>
    <w:rsid w:val="00E1300B"/>
    <w:rsid w:val="00E14433"/>
    <w:rsid w:val="00E2497C"/>
    <w:rsid w:val="00E26C33"/>
    <w:rsid w:val="00E34088"/>
    <w:rsid w:val="00E44CED"/>
    <w:rsid w:val="00E47D1F"/>
    <w:rsid w:val="00E56AF9"/>
    <w:rsid w:val="00E70707"/>
    <w:rsid w:val="00E71141"/>
    <w:rsid w:val="00E7166A"/>
    <w:rsid w:val="00E71A58"/>
    <w:rsid w:val="00E80912"/>
    <w:rsid w:val="00E83A55"/>
    <w:rsid w:val="00E86BC2"/>
    <w:rsid w:val="00E94045"/>
    <w:rsid w:val="00E9566A"/>
    <w:rsid w:val="00E96B6C"/>
    <w:rsid w:val="00EA0C68"/>
    <w:rsid w:val="00EA16CF"/>
    <w:rsid w:val="00EA4479"/>
    <w:rsid w:val="00EA4C56"/>
    <w:rsid w:val="00EA5FC9"/>
    <w:rsid w:val="00EB5D4A"/>
    <w:rsid w:val="00EC5C93"/>
    <w:rsid w:val="00EC67EE"/>
    <w:rsid w:val="00ED286F"/>
    <w:rsid w:val="00ED6E50"/>
    <w:rsid w:val="00EE1262"/>
    <w:rsid w:val="00EE1E9E"/>
    <w:rsid w:val="00EE20A4"/>
    <w:rsid w:val="00EE3521"/>
    <w:rsid w:val="00EE3E78"/>
    <w:rsid w:val="00EE78AF"/>
    <w:rsid w:val="00EF0044"/>
    <w:rsid w:val="00EF035B"/>
    <w:rsid w:val="00EF1F5A"/>
    <w:rsid w:val="00EF4D97"/>
    <w:rsid w:val="00F04811"/>
    <w:rsid w:val="00F0488C"/>
    <w:rsid w:val="00F07C01"/>
    <w:rsid w:val="00F1180C"/>
    <w:rsid w:val="00F15BEF"/>
    <w:rsid w:val="00F168BC"/>
    <w:rsid w:val="00F2239D"/>
    <w:rsid w:val="00F24FAA"/>
    <w:rsid w:val="00F3364D"/>
    <w:rsid w:val="00F35EFF"/>
    <w:rsid w:val="00F4045C"/>
    <w:rsid w:val="00F406B6"/>
    <w:rsid w:val="00F40EF7"/>
    <w:rsid w:val="00F52BDF"/>
    <w:rsid w:val="00F61C6C"/>
    <w:rsid w:val="00F620DF"/>
    <w:rsid w:val="00F63DDE"/>
    <w:rsid w:val="00F63FB7"/>
    <w:rsid w:val="00F7017B"/>
    <w:rsid w:val="00F73A0C"/>
    <w:rsid w:val="00F76FA7"/>
    <w:rsid w:val="00F81C0C"/>
    <w:rsid w:val="00F83062"/>
    <w:rsid w:val="00F83892"/>
    <w:rsid w:val="00F93227"/>
    <w:rsid w:val="00F93262"/>
    <w:rsid w:val="00F96C15"/>
    <w:rsid w:val="00FA164C"/>
    <w:rsid w:val="00FA2DE5"/>
    <w:rsid w:val="00FA459B"/>
    <w:rsid w:val="00FA7F62"/>
    <w:rsid w:val="00FB0A98"/>
    <w:rsid w:val="00FB1AEA"/>
    <w:rsid w:val="00FB4979"/>
    <w:rsid w:val="00FC0508"/>
    <w:rsid w:val="00FC0E5F"/>
    <w:rsid w:val="00FC1F26"/>
    <w:rsid w:val="00FC35AB"/>
    <w:rsid w:val="00FC400E"/>
    <w:rsid w:val="00FC556B"/>
    <w:rsid w:val="00FC56DE"/>
    <w:rsid w:val="00FD328F"/>
    <w:rsid w:val="00FE2F78"/>
    <w:rsid w:val="00FE42B8"/>
    <w:rsid w:val="00FE4638"/>
    <w:rsid w:val="00FE4DB0"/>
    <w:rsid w:val="00FE4E3E"/>
    <w:rsid w:val="00FF166A"/>
    <w:rsid w:val="00FF2C93"/>
    <w:rsid w:val="00FF3257"/>
    <w:rsid w:val="00FF7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A01EDD"/>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Sledovanodkaz">
    <w:name w:val="FollowedHyperlink"/>
    <w:uiPriority w:val="99"/>
    <w:semiHidden/>
    <w:unhideWhenUsed/>
    <w:rsid w:val="00886630"/>
    <w:rPr>
      <w:color w:val="800080"/>
      <w:u w:val="single"/>
    </w:rPr>
  </w:style>
  <w:style w:type="character" w:customStyle="1" w:styleId="Nadpis5Char">
    <w:name w:val="Nadpis 5 Char"/>
    <w:link w:val="Nadpis5"/>
    <w:uiPriority w:val="9"/>
    <w:semiHidden/>
    <w:rsid w:val="00A01EDD"/>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6511754">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64912279">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90856948">
      <w:bodyDiv w:val="1"/>
      <w:marLeft w:val="0"/>
      <w:marRight w:val="0"/>
      <w:marTop w:val="0"/>
      <w:marBottom w:val="0"/>
      <w:divBdr>
        <w:top w:val="none" w:sz="0" w:space="0" w:color="auto"/>
        <w:left w:val="none" w:sz="0" w:space="0" w:color="auto"/>
        <w:bottom w:val="none" w:sz="0" w:space="0" w:color="auto"/>
        <w:right w:val="none" w:sz="0" w:space="0" w:color="auto"/>
      </w:divBdr>
    </w:div>
    <w:div w:id="93324736">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162547833">
      <w:bodyDiv w:val="1"/>
      <w:marLeft w:val="0"/>
      <w:marRight w:val="0"/>
      <w:marTop w:val="0"/>
      <w:marBottom w:val="0"/>
      <w:divBdr>
        <w:top w:val="none" w:sz="0" w:space="0" w:color="auto"/>
        <w:left w:val="none" w:sz="0" w:space="0" w:color="auto"/>
        <w:bottom w:val="none" w:sz="0" w:space="0" w:color="auto"/>
        <w:right w:val="none" w:sz="0" w:space="0" w:color="auto"/>
      </w:divBdr>
    </w:div>
    <w:div w:id="169953744">
      <w:bodyDiv w:val="1"/>
      <w:marLeft w:val="0"/>
      <w:marRight w:val="0"/>
      <w:marTop w:val="0"/>
      <w:marBottom w:val="0"/>
      <w:divBdr>
        <w:top w:val="none" w:sz="0" w:space="0" w:color="auto"/>
        <w:left w:val="none" w:sz="0" w:space="0" w:color="auto"/>
        <w:bottom w:val="none" w:sz="0" w:space="0" w:color="auto"/>
        <w:right w:val="none" w:sz="0" w:space="0" w:color="auto"/>
      </w:divBdr>
    </w:div>
    <w:div w:id="18625579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47007234">
      <w:bodyDiv w:val="1"/>
      <w:marLeft w:val="0"/>
      <w:marRight w:val="0"/>
      <w:marTop w:val="0"/>
      <w:marBottom w:val="0"/>
      <w:divBdr>
        <w:top w:val="none" w:sz="0" w:space="0" w:color="auto"/>
        <w:left w:val="none" w:sz="0" w:space="0" w:color="auto"/>
        <w:bottom w:val="none" w:sz="0" w:space="0" w:color="auto"/>
        <w:right w:val="none" w:sz="0" w:space="0" w:color="auto"/>
      </w:divBdr>
    </w:div>
    <w:div w:id="259876770">
      <w:bodyDiv w:val="1"/>
      <w:marLeft w:val="0"/>
      <w:marRight w:val="0"/>
      <w:marTop w:val="0"/>
      <w:marBottom w:val="0"/>
      <w:divBdr>
        <w:top w:val="none" w:sz="0" w:space="0" w:color="auto"/>
        <w:left w:val="none" w:sz="0" w:space="0" w:color="auto"/>
        <w:bottom w:val="none" w:sz="0" w:space="0" w:color="auto"/>
        <w:right w:val="none" w:sz="0" w:space="0" w:color="auto"/>
      </w:divBdr>
    </w:div>
    <w:div w:id="273371673">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4119880">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4932513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3735795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5500853">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776675168">
      <w:bodyDiv w:val="1"/>
      <w:marLeft w:val="0"/>
      <w:marRight w:val="0"/>
      <w:marTop w:val="0"/>
      <w:marBottom w:val="0"/>
      <w:divBdr>
        <w:top w:val="none" w:sz="0" w:space="0" w:color="auto"/>
        <w:left w:val="none" w:sz="0" w:space="0" w:color="auto"/>
        <w:bottom w:val="none" w:sz="0" w:space="0" w:color="auto"/>
        <w:right w:val="none" w:sz="0" w:space="0" w:color="auto"/>
      </w:divBdr>
    </w:div>
    <w:div w:id="791443826">
      <w:bodyDiv w:val="1"/>
      <w:marLeft w:val="0"/>
      <w:marRight w:val="0"/>
      <w:marTop w:val="0"/>
      <w:marBottom w:val="0"/>
      <w:divBdr>
        <w:top w:val="none" w:sz="0" w:space="0" w:color="auto"/>
        <w:left w:val="none" w:sz="0" w:space="0" w:color="auto"/>
        <w:bottom w:val="none" w:sz="0" w:space="0" w:color="auto"/>
        <w:right w:val="none" w:sz="0" w:space="0" w:color="auto"/>
      </w:divBdr>
    </w:div>
    <w:div w:id="850680611">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896865787">
      <w:bodyDiv w:val="1"/>
      <w:marLeft w:val="0"/>
      <w:marRight w:val="0"/>
      <w:marTop w:val="0"/>
      <w:marBottom w:val="0"/>
      <w:divBdr>
        <w:top w:val="none" w:sz="0" w:space="0" w:color="auto"/>
        <w:left w:val="none" w:sz="0" w:space="0" w:color="auto"/>
        <w:bottom w:val="none" w:sz="0" w:space="0" w:color="auto"/>
        <w:right w:val="none" w:sz="0" w:space="0" w:color="auto"/>
      </w:divBdr>
    </w:div>
    <w:div w:id="907692849">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59998713">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117613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22780677">
      <w:bodyDiv w:val="1"/>
      <w:marLeft w:val="0"/>
      <w:marRight w:val="0"/>
      <w:marTop w:val="0"/>
      <w:marBottom w:val="0"/>
      <w:divBdr>
        <w:top w:val="none" w:sz="0" w:space="0" w:color="auto"/>
        <w:left w:val="none" w:sz="0" w:space="0" w:color="auto"/>
        <w:bottom w:val="none" w:sz="0" w:space="0" w:color="auto"/>
        <w:right w:val="none" w:sz="0" w:space="0" w:color="auto"/>
      </w:divBdr>
    </w:div>
    <w:div w:id="1035931278">
      <w:bodyDiv w:val="1"/>
      <w:marLeft w:val="0"/>
      <w:marRight w:val="0"/>
      <w:marTop w:val="0"/>
      <w:marBottom w:val="0"/>
      <w:divBdr>
        <w:top w:val="none" w:sz="0" w:space="0" w:color="auto"/>
        <w:left w:val="none" w:sz="0" w:space="0" w:color="auto"/>
        <w:bottom w:val="none" w:sz="0" w:space="0" w:color="auto"/>
        <w:right w:val="none" w:sz="0" w:space="0" w:color="auto"/>
      </w:divBdr>
    </w:div>
    <w:div w:id="103831643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38899373">
      <w:bodyDiv w:val="1"/>
      <w:marLeft w:val="0"/>
      <w:marRight w:val="0"/>
      <w:marTop w:val="0"/>
      <w:marBottom w:val="0"/>
      <w:divBdr>
        <w:top w:val="none" w:sz="0" w:space="0" w:color="auto"/>
        <w:left w:val="none" w:sz="0" w:space="0" w:color="auto"/>
        <w:bottom w:val="none" w:sz="0" w:space="0" w:color="auto"/>
        <w:right w:val="none" w:sz="0" w:space="0" w:color="auto"/>
      </w:divBdr>
    </w:div>
    <w:div w:id="1045639230">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3678675">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983">
      <w:bodyDiv w:val="1"/>
      <w:marLeft w:val="0"/>
      <w:marRight w:val="0"/>
      <w:marTop w:val="0"/>
      <w:marBottom w:val="0"/>
      <w:divBdr>
        <w:top w:val="none" w:sz="0" w:space="0" w:color="auto"/>
        <w:left w:val="none" w:sz="0" w:space="0" w:color="auto"/>
        <w:bottom w:val="none" w:sz="0" w:space="0" w:color="auto"/>
        <w:right w:val="none" w:sz="0" w:space="0" w:color="auto"/>
      </w:divBdr>
    </w:div>
    <w:div w:id="1133403184">
      <w:bodyDiv w:val="1"/>
      <w:marLeft w:val="0"/>
      <w:marRight w:val="0"/>
      <w:marTop w:val="0"/>
      <w:marBottom w:val="0"/>
      <w:divBdr>
        <w:top w:val="none" w:sz="0" w:space="0" w:color="auto"/>
        <w:left w:val="none" w:sz="0" w:space="0" w:color="auto"/>
        <w:bottom w:val="none" w:sz="0" w:space="0" w:color="auto"/>
        <w:right w:val="none" w:sz="0" w:space="0" w:color="auto"/>
      </w:divBdr>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51017013">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26069927">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03389386">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2756659">
      <w:bodyDiv w:val="1"/>
      <w:marLeft w:val="0"/>
      <w:marRight w:val="0"/>
      <w:marTop w:val="0"/>
      <w:marBottom w:val="0"/>
      <w:divBdr>
        <w:top w:val="none" w:sz="0" w:space="0" w:color="auto"/>
        <w:left w:val="none" w:sz="0" w:space="0" w:color="auto"/>
        <w:bottom w:val="none" w:sz="0" w:space="0" w:color="auto"/>
        <w:right w:val="none" w:sz="0" w:space="0" w:color="auto"/>
      </w:divBdr>
    </w:div>
    <w:div w:id="133379643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0596480">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79961389">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18696612">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49843791">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204178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781872850">
      <w:bodyDiv w:val="1"/>
      <w:marLeft w:val="0"/>
      <w:marRight w:val="0"/>
      <w:marTop w:val="0"/>
      <w:marBottom w:val="0"/>
      <w:divBdr>
        <w:top w:val="none" w:sz="0" w:space="0" w:color="auto"/>
        <w:left w:val="none" w:sz="0" w:space="0" w:color="auto"/>
        <w:bottom w:val="none" w:sz="0" w:space="0" w:color="auto"/>
        <w:right w:val="none" w:sz="0" w:space="0" w:color="auto"/>
      </w:divBdr>
    </w:div>
    <w:div w:id="1792895275">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1989165936">
      <w:bodyDiv w:val="1"/>
      <w:marLeft w:val="0"/>
      <w:marRight w:val="0"/>
      <w:marTop w:val="0"/>
      <w:marBottom w:val="0"/>
      <w:divBdr>
        <w:top w:val="none" w:sz="0" w:space="0" w:color="auto"/>
        <w:left w:val="none" w:sz="0" w:space="0" w:color="auto"/>
        <w:bottom w:val="none" w:sz="0" w:space="0" w:color="auto"/>
        <w:right w:val="none" w:sz="0" w:space="0" w:color="auto"/>
      </w:divBdr>
    </w:div>
    <w:div w:id="2003503646">
      <w:bodyDiv w:val="1"/>
      <w:marLeft w:val="0"/>
      <w:marRight w:val="0"/>
      <w:marTop w:val="0"/>
      <w:marBottom w:val="0"/>
      <w:divBdr>
        <w:top w:val="none" w:sz="0" w:space="0" w:color="auto"/>
        <w:left w:val="none" w:sz="0" w:space="0" w:color="auto"/>
        <w:bottom w:val="none" w:sz="0" w:space="0" w:color="auto"/>
        <w:right w:val="none" w:sz="0" w:space="0" w:color="auto"/>
      </w:divBdr>
    </w:div>
    <w:div w:id="2004776582">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59936252">
      <w:bodyDiv w:val="1"/>
      <w:marLeft w:val="0"/>
      <w:marRight w:val="0"/>
      <w:marTop w:val="0"/>
      <w:marBottom w:val="0"/>
      <w:divBdr>
        <w:top w:val="none" w:sz="0" w:space="0" w:color="auto"/>
        <w:left w:val="none" w:sz="0" w:space="0" w:color="auto"/>
        <w:bottom w:val="none" w:sz="0" w:space="0" w:color="auto"/>
        <w:right w:val="none" w:sz="0" w:space="0" w:color="auto"/>
      </w:divBdr>
    </w:div>
    <w:div w:id="20818288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sv.cz/cs/1664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registr.mpsv.cz/socreg" TargetMode="External"/><Relationship Id="rId14" Type="http://schemas.openxmlformats.org/officeDocument/2006/relationships/hyperlink" Target="http://www.mpsv.cz/cs/1866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HELENA\Soci&#225;ln&#237;%20zabezpe&#269;en&#237;\PUBLIKACE\2017\6_Za&#345;&#237;zen&#237;%20soci&#225;ln&#237;ch%20slu&#382;eb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ELENA\Soci&#225;ln&#237;%20zabezpe&#269;en&#237;\PUBLIKACE\2017\6_Za&#345;&#237;zen&#237;%20soci&#225;ln&#237;ch%20slu&#382;eb_2016.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HELENA\Soci&#225;ln&#237;%20zabezpe&#269;en&#237;\PUBLIKACE\2017\6_Za&#345;&#237;zen&#237;%20soci&#225;ln&#237;ch%20slu&#382;eb_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200603429244244E-2"/>
          <c:y val="0.10669386134276344"/>
          <c:w val="0.94478148175403309"/>
          <c:h val="0.69437569438308544"/>
        </c:manualLayout>
      </c:layout>
      <c:barChart>
        <c:barDir val="col"/>
        <c:grouping val="clustered"/>
        <c:varyColors val="0"/>
        <c:ser>
          <c:idx val="0"/>
          <c:order val="0"/>
          <c:tx>
            <c:strRef>
              <c:f>Graf_6.1!$L$6</c:f>
              <c:strCache>
                <c:ptCount val="1"/>
                <c:pt idx="0">
                  <c:v>2012</c:v>
                </c:pt>
              </c:strCache>
            </c:strRef>
          </c:tx>
          <c:spPr>
            <a:solidFill>
              <a:schemeClr val="accent2">
                <a:lumMod val="20000"/>
                <a:lumOff val="80000"/>
              </a:schemeClr>
            </a:solidFill>
            <a:ln>
              <a:solidFill>
                <a:schemeClr val="accent2">
                  <a:lumMod val="60000"/>
                  <a:lumOff val="40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Graf_6.1!$M$6:$R$6</c:f>
              <c:numCache>
                <c:formatCode>#,##0.00_ ;\-#,##0.00\ </c:formatCode>
                <c:ptCount val="6"/>
                <c:pt idx="0">
                  <c:v>0.24389469522519999</c:v>
                </c:pt>
                <c:pt idx="1">
                  <c:v>4.8656229874801991</c:v>
                </c:pt>
                <c:pt idx="2">
                  <c:v>10.19841402346</c:v>
                </c:pt>
                <c:pt idx="3">
                  <c:v>3.3437961019999998</c:v>
                </c:pt>
                <c:pt idx="4">
                  <c:v>0.47709425799999999</c:v>
                </c:pt>
                <c:pt idx="5">
                  <c:v>0.72700705263000009</c:v>
                </c:pt>
              </c:numCache>
            </c:numRef>
          </c:val>
        </c:ser>
        <c:ser>
          <c:idx val="2"/>
          <c:order val="1"/>
          <c:tx>
            <c:strRef>
              <c:f>Graf_6.1!$L$8</c:f>
              <c:strCache>
                <c:ptCount val="1"/>
                <c:pt idx="0">
                  <c:v>2014</c:v>
                </c:pt>
              </c:strCache>
            </c:strRef>
          </c:tx>
          <c:spPr>
            <a:solidFill>
              <a:schemeClr val="accent2">
                <a:lumMod val="60000"/>
                <a:lumOff val="40000"/>
              </a:schemeClr>
            </a:solidFill>
            <a:ln>
              <a:solidFill>
                <a:schemeClr val="accent2">
                  <a:lumMod val="75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Graf_6.1!$M$8:$R$8</c:f>
              <c:numCache>
                <c:formatCode>#,##0.00_ ;\-#,##0.00\ </c:formatCode>
                <c:ptCount val="6"/>
                <c:pt idx="0">
                  <c:v>0.24638102207000001</c:v>
                </c:pt>
                <c:pt idx="1">
                  <c:v>5.010605</c:v>
                </c:pt>
                <c:pt idx="2">
                  <c:v>10.907334270129999</c:v>
                </c:pt>
                <c:pt idx="3">
                  <c:v>4.5989310915299999</c:v>
                </c:pt>
                <c:pt idx="4">
                  <c:v>0.67490309938000004</c:v>
                </c:pt>
                <c:pt idx="5">
                  <c:v>0.73639146766999986</c:v>
                </c:pt>
              </c:numCache>
            </c:numRef>
          </c:val>
        </c:ser>
        <c:ser>
          <c:idx val="4"/>
          <c:order val="2"/>
          <c:tx>
            <c:strRef>
              <c:f>Graf_6.1!$L$10</c:f>
              <c:strCache>
                <c:ptCount val="1"/>
                <c:pt idx="0">
                  <c:v>2016</c:v>
                </c:pt>
              </c:strCache>
            </c:strRef>
          </c:tx>
          <c:spPr>
            <a:solidFill>
              <a:schemeClr val="accent2"/>
            </a:solidFill>
            <a:ln>
              <a:solidFill>
                <a:schemeClr val="accent2">
                  <a:lumMod val="50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Graf_6.1!$M$10:$R$10</c:f>
              <c:numCache>
                <c:formatCode>#,##0.00_ ;\-#,##0.00\ </c:formatCode>
                <c:ptCount val="6"/>
                <c:pt idx="0">
                  <c:v>0.24904640331451849</c:v>
                </c:pt>
                <c:pt idx="1">
                  <c:v>5.1867416131487483</c:v>
                </c:pt>
                <c:pt idx="2">
                  <c:v>11.596192452890001</c:v>
                </c:pt>
                <c:pt idx="3">
                  <c:v>6.1083179528226665</c:v>
                </c:pt>
                <c:pt idx="4">
                  <c:v>0.94812533628854978</c:v>
                </c:pt>
                <c:pt idx="5">
                  <c:v>0.7492390967</c:v>
                </c:pt>
              </c:numCache>
            </c:numRef>
          </c:val>
        </c:ser>
        <c:dLbls>
          <c:showLegendKey val="0"/>
          <c:showVal val="0"/>
          <c:showCatName val="0"/>
          <c:showSerName val="0"/>
          <c:showPercent val="0"/>
          <c:showBubbleSize val="0"/>
        </c:dLbls>
        <c:gapWidth val="130"/>
        <c:axId val="121207424"/>
        <c:axId val="121213312"/>
      </c:barChart>
      <c:catAx>
        <c:axId val="121207424"/>
        <c:scaling>
          <c:orientation val="minMax"/>
        </c:scaling>
        <c:delete val="0"/>
        <c:axPos val="b"/>
        <c:majorTickMark val="out"/>
        <c:minorTickMark val="none"/>
        <c:tickLblPos val="nextTo"/>
        <c:txPr>
          <a:bodyPr/>
          <a:lstStyle/>
          <a:p>
            <a:pPr>
              <a:defRPr sz="790">
                <a:latin typeface="Arial" panose="020B0604020202020204" pitchFamily="34" charset="0"/>
                <a:cs typeface="Arial" panose="020B0604020202020204" pitchFamily="34" charset="0"/>
              </a:defRPr>
            </a:pPr>
            <a:endParaRPr lang="cs-CZ"/>
          </a:p>
        </c:txPr>
        <c:crossAx val="121213312"/>
        <c:crosses val="autoZero"/>
        <c:auto val="1"/>
        <c:lblAlgn val="ctr"/>
        <c:lblOffset val="100"/>
        <c:noMultiLvlLbl val="0"/>
      </c:catAx>
      <c:valAx>
        <c:axId val="121213312"/>
        <c:scaling>
          <c:orientation val="minMax"/>
          <c:max val="12"/>
        </c:scaling>
        <c:delete val="0"/>
        <c:axPos val="l"/>
        <c:majorGridlines>
          <c:spPr>
            <a:ln>
              <a:solidFill>
                <a:schemeClr val="bg1">
                  <a:lumMod val="75000"/>
                </a:schemeClr>
              </a:solidFill>
              <a:prstDash val="sysDash"/>
            </a:ln>
          </c:spPr>
        </c:majorGridlines>
        <c:title>
          <c:tx>
            <c:rich>
              <a:bodyPr rot="0" vert="horz"/>
              <a:lstStyle/>
              <a:p>
                <a:pPr>
                  <a:defRPr sz="800" b="0">
                    <a:latin typeface="Arial" pitchFamily="34" charset="0"/>
                    <a:cs typeface="Arial" pitchFamily="34" charset="0"/>
                  </a:defRPr>
                </a:pPr>
                <a:r>
                  <a:rPr lang="en-US" sz="800" b="0">
                    <a:latin typeface="Arial" pitchFamily="34" charset="0"/>
                    <a:cs typeface="Arial" pitchFamily="34" charset="0"/>
                  </a:rPr>
                  <a:t>mld. Kč</a:t>
                </a:r>
              </a:p>
            </c:rich>
          </c:tx>
          <c:layout>
            <c:manualLayout>
              <c:xMode val="edge"/>
              <c:yMode val="edge"/>
              <c:x val="1.8691588785046728E-2"/>
              <c:y val="2.7044614879644747E-4"/>
            </c:manualLayout>
          </c:layout>
          <c:overlay val="0"/>
        </c:title>
        <c:numFmt formatCode="#,##0_ ;\-#,##0\ "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21207424"/>
        <c:crosses val="autoZero"/>
        <c:crossBetween val="between"/>
      </c:valAx>
    </c:plotArea>
    <c:legend>
      <c:legendPos val="r"/>
      <c:layout>
        <c:manualLayout>
          <c:xMode val="edge"/>
          <c:yMode val="edge"/>
          <c:x val="0.5571122788135966"/>
          <c:y val="0.19364514435695537"/>
          <c:w val="0.37350258787744989"/>
          <c:h val="0.17295686333533003"/>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55611680615399E-2"/>
          <c:y val="9.9815662577061592E-2"/>
          <c:w val="0.90598359167368225"/>
          <c:h val="0.61428768125295818"/>
        </c:manualLayout>
      </c:layout>
      <c:barChart>
        <c:barDir val="col"/>
        <c:grouping val="percentStacked"/>
        <c:varyColors val="0"/>
        <c:ser>
          <c:idx val="1"/>
          <c:order val="0"/>
          <c:tx>
            <c:strRef>
              <c:f>Graf_6.2!$M$5</c:f>
              <c:strCache>
                <c:ptCount val="1"/>
                <c:pt idx="0">
                  <c:v>Státní</c:v>
                </c:pt>
              </c:strCache>
            </c:strRef>
          </c:tx>
          <c:spPr>
            <a:solidFill>
              <a:srgbClr val="187BB8"/>
            </a:solidFill>
            <a:ln>
              <a:solidFill>
                <a:schemeClr val="tx2"/>
              </a:solidFill>
            </a:ln>
          </c:spPr>
          <c:invertIfNegative val="0"/>
          <c:dLbls>
            <c:dLbl>
              <c:idx val="2"/>
              <c:delete val="1"/>
            </c:dLbl>
            <c:dLbl>
              <c:idx val="3"/>
              <c:delete val="1"/>
            </c:dLbl>
            <c:dLbl>
              <c:idx val="4"/>
              <c:delete val="1"/>
            </c:dLbl>
            <c:dLbl>
              <c:idx val="5"/>
              <c:delete val="1"/>
            </c:dLbl>
            <c:numFmt formatCode="0%" sourceLinked="0"/>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(Graf_6.2!$M$8:$M$13,Graf_6.2!$M$22)</c:f>
              <c:numCache>
                <c:formatCode>#,##0.00"  ";\-#,##0.00"  ";"-  "\ </c:formatCode>
                <c:ptCount val="7"/>
                <c:pt idx="0">
                  <c:v>0.11681643132220795</c:v>
                </c:pt>
                <c:pt idx="1">
                  <c:v>5.047572972101274E-2</c:v>
                </c:pt>
                <c:pt idx="2">
                  <c:v>0</c:v>
                </c:pt>
                <c:pt idx="3">
                  <c:v>0</c:v>
                </c:pt>
                <c:pt idx="4">
                  <c:v>2.3345305284761416E-2</c:v>
                </c:pt>
                <c:pt idx="5">
                  <c:v>0</c:v>
                </c:pt>
                <c:pt idx="6">
                  <c:v>0.2332155477031802</c:v>
                </c:pt>
              </c:numCache>
            </c:numRef>
          </c:val>
        </c:ser>
        <c:ser>
          <c:idx val="2"/>
          <c:order val="1"/>
          <c:tx>
            <c:strRef>
              <c:f>Graf_6.2!$N$5</c:f>
              <c:strCache>
                <c:ptCount val="1"/>
                <c:pt idx="0">
                  <c:v>Krajské</c:v>
                </c:pt>
              </c:strCache>
            </c:strRef>
          </c:tx>
          <c:spPr>
            <a:solidFill>
              <a:schemeClr val="accent1">
                <a:lumMod val="60000"/>
                <a:lumOff val="40000"/>
              </a:schemeClr>
            </a:solidFill>
            <a:ln>
              <a:solidFill>
                <a:schemeClr val="accent1">
                  <a:lumMod val="50000"/>
                </a:schemeClr>
              </a:solidFill>
            </a:ln>
          </c:spPr>
          <c:invertIfNegative val="0"/>
          <c:dLbls>
            <c:dLbl>
              <c:idx val="6"/>
              <c:delete val="1"/>
            </c:dLbl>
            <c:numFmt formatCode="0%" sourceLinked="0"/>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(Graf_6.2!$N$8:$N$13,Graf_6.2!$N$22)</c:f>
              <c:numCache>
                <c:formatCode>#,##0.00"  ";\-#,##0.00"  ";"-  "\ </c:formatCode>
                <c:ptCount val="7"/>
                <c:pt idx="0">
                  <c:v>0.43132220795892168</c:v>
                </c:pt>
                <c:pt idx="1">
                  <c:v>0.80099983873568781</c:v>
                </c:pt>
                <c:pt idx="2">
                  <c:v>0.4413509812870835</c:v>
                </c:pt>
                <c:pt idx="3">
                  <c:v>0.38917004048582998</c:v>
                </c:pt>
                <c:pt idx="4">
                  <c:v>0.50743971267316568</c:v>
                </c:pt>
                <c:pt idx="5">
                  <c:v>3.9375615243988187E-2</c:v>
                </c:pt>
                <c:pt idx="6">
                  <c:v>0</c:v>
                </c:pt>
              </c:numCache>
            </c:numRef>
          </c:val>
        </c:ser>
        <c:ser>
          <c:idx val="3"/>
          <c:order val="2"/>
          <c:tx>
            <c:strRef>
              <c:f>Graf_6.2!$O$5</c:f>
              <c:strCache>
                <c:ptCount val="1"/>
                <c:pt idx="0">
                  <c:v>Obecní</c:v>
                </c:pt>
              </c:strCache>
            </c:strRef>
          </c:tx>
          <c:spPr>
            <a:solidFill>
              <a:srgbClr val="DF858B"/>
            </a:solidFill>
            <a:ln>
              <a:solidFill>
                <a:schemeClr val="accent2">
                  <a:lumMod val="50000"/>
                </a:schemeClr>
              </a:solidFill>
            </a:ln>
          </c:spPr>
          <c:invertIfNegative val="0"/>
          <c:dLbls>
            <c:dLbl>
              <c:idx val="6"/>
              <c:delete val="1"/>
            </c:dLbl>
            <c:numFmt formatCode="0%" sourceLinked="0"/>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(Graf_6.2!$O$8:$O$13,Graf_6.2!$O$22)</c:f>
              <c:numCache>
                <c:formatCode>#,##0.00"  ";\-#,##0.00"  ";"-  "\ </c:formatCode>
                <c:ptCount val="7"/>
                <c:pt idx="0">
                  <c:v>0.10397946084724005</c:v>
                </c:pt>
                <c:pt idx="1">
                  <c:v>9.6597323012417358E-2</c:v>
                </c:pt>
                <c:pt idx="2">
                  <c:v>0.38459473246167475</c:v>
                </c:pt>
                <c:pt idx="3">
                  <c:v>0.22548358074673863</c:v>
                </c:pt>
                <c:pt idx="4">
                  <c:v>5.2334530528476142E-2</c:v>
                </c:pt>
                <c:pt idx="5">
                  <c:v>0.1836591196737449</c:v>
                </c:pt>
                <c:pt idx="6">
                  <c:v>0</c:v>
                </c:pt>
              </c:numCache>
            </c:numRef>
          </c:val>
        </c:ser>
        <c:ser>
          <c:idx val="4"/>
          <c:order val="3"/>
          <c:tx>
            <c:strRef>
              <c:f>Graf_6.2!$P$5</c:f>
              <c:strCache>
                <c:ptCount val="1"/>
                <c:pt idx="0">
                  <c:v>Církevní</c:v>
                </c:pt>
              </c:strCache>
            </c:strRef>
          </c:tx>
          <c:spPr>
            <a:solidFill>
              <a:srgbClr val="EDB9BD"/>
            </a:solidFill>
            <a:ln>
              <a:solidFill>
                <a:schemeClr val="accent2">
                  <a:lumMod val="50000"/>
                </a:schemeClr>
              </a:solidFill>
            </a:ln>
          </c:spPr>
          <c:invertIfNegative val="0"/>
          <c:dLbls>
            <c:dLbl>
              <c:idx val="1"/>
              <c:delete val="1"/>
            </c:dLbl>
            <c:dLbl>
              <c:idx val="3"/>
              <c:delete val="1"/>
            </c:dLbl>
            <c:numFmt formatCode="0%" sourceLinked="0"/>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(Graf_6.2!$P$8:$P$13,Graf_6.2!$P$22)</c:f>
              <c:numCache>
                <c:formatCode>#,##0.00"  ";\-#,##0.00"  ";"-  "\ </c:formatCode>
                <c:ptCount val="7"/>
                <c:pt idx="0">
                  <c:v>0.11553273427471117</c:v>
                </c:pt>
                <c:pt idx="1">
                  <c:v>2.2899532333494597E-2</c:v>
                </c:pt>
                <c:pt idx="2">
                  <c:v>6.9831127339114563E-2</c:v>
                </c:pt>
                <c:pt idx="3">
                  <c:v>3.2444894286999551E-2</c:v>
                </c:pt>
                <c:pt idx="4">
                  <c:v>0.11313494099538225</c:v>
                </c:pt>
                <c:pt idx="5">
                  <c:v>0.3847560118126846</c:v>
                </c:pt>
                <c:pt idx="6">
                  <c:v>0.28268551236749118</c:v>
                </c:pt>
              </c:numCache>
            </c:numRef>
          </c:val>
        </c:ser>
        <c:ser>
          <c:idx val="5"/>
          <c:order val="4"/>
          <c:tx>
            <c:strRef>
              <c:f>Graf_6.2!$Q$5</c:f>
              <c:strCache>
                <c:ptCount val="1"/>
                <c:pt idx="0">
                  <c:v>Ostatní</c:v>
                </c:pt>
              </c:strCache>
            </c:strRef>
          </c:tx>
          <c:spPr>
            <a:solidFill>
              <a:srgbClr val="9F7CA0"/>
            </a:solidFill>
            <a:ln>
              <a:solidFill>
                <a:schemeClr val="accent4">
                  <a:lumMod val="75000"/>
                </a:schemeClr>
              </a:solidFill>
            </a:ln>
          </c:spPr>
          <c:invertIfNegative val="0"/>
          <c:dLbls>
            <c:dLbl>
              <c:idx val="1"/>
              <c:delete val="1"/>
            </c:dLbl>
            <c:numFmt formatCode="0%" sourceLinked="0"/>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(Graf_6.2!$Q$8:$Q$13,Graf_6.2!$Q$22)</c:f>
              <c:numCache>
                <c:formatCode>#,##0.00"  ";\-#,##0.00"  ";"-  "\ </c:formatCode>
                <c:ptCount val="7"/>
                <c:pt idx="0">
                  <c:v>0.23234916559691912</c:v>
                </c:pt>
                <c:pt idx="1">
                  <c:v>2.9027576197387519E-2</c:v>
                </c:pt>
                <c:pt idx="2">
                  <c:v>0.10422315891212715</c:v>
                </c:pt>
                <c:pt idx="3">
                  <c:v>0.35290148448043185</c:v>
                </c:pt>
                <c:pt idx="4">
                  <c:v>0.30374551051821447</c:v>
                </c:pt>
                <c:pt idx="5">
                  <c:v>0.39220925326958234</c:v>
                </c:pt>
                <c:pt idx="6">
                  <c:v>0.48409893992932862</c:v>
                </c:pt>
              </c:numCache>
            </c:numRef>
          </c:val>
        </c:ser>
        <c:dLbls>
          <c:showLegendKey val="0"/>
          <c:showVal val="0"/>
          <c:showCatName val="0"/>
          <c:showSerName val="0"/>
          <c:showPercent val="0"/>
          <c:showBubbleSize val="0"/>
        </c:dLbls>
        <c:gapWidth val="150"/>
        <c:overlap val="100"/>
        <c:axId val="122975360"/>
        <c:axId val="122976896"/>
      </c:barChart>
      <c:catAx>
        <c:axId val="122975360"/>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22976896"/>
        <c:crosses val="autoZero"/>
        <c:auto val="1"/>
        <c:lblAlgn val="ctr"/>
        <c:lblOffset val="100"/>
        <c:noMultiLvlLbl val="0"/>
      </c:catAx>
      <c:valAx>
        <c:axId val="122976896"/>
        <c:scaling>
          <c:orientation val="minMax"/>
        </c:scaling>
        <c:delete val="0"/>
        <c:axPos val="l"/>
        <c:majorGridlines>
          <c:spPr>
            <a:ln>
              <a:solidFill>
                <a:schemeClr val="bg1">
                  <a:lumMod val="75000"/>
                </a:schemeClr>
              </a:solidFill>
              <a:prstDash val="sysDash"/>
            </a:ln>
          </c:spPr>
        </c:majorGridlines>
        <c:numFmt formatCode="0%" sourceLinked="1"/>
        <c:majorTickMark val="out"/>
        <c:minorTickMark val="none"/>
        <c:tickLblPos val="nextTo"/>
        <c:txPr>
          <a:bodyPr/>
          <a:lstStyle/>
          <a:p>
            <a:pPr>
              <a:defRPr sz="800" baseline="0">
                <a:latin typeface="Arial" panose="020B0604020202020204" pitchFamily="34" charset="0"/>
              </a:defRPr>
            </a:pPr>
            <a:endParaRPr lang="cs-CZ"/>
          </a:p>
        </c:txPr>
        <c:crossAx val="122975360"/>
        <c:crosses val="autoZero"/>
        <c:crossBetween val="between"/>
      </c:valAx>
    </c:plotArea>
    <c:legend>
      <c:legendPos val="b"/>
      <c:layout>
        <c:manualLayout>
          <c:xMode val="edge"/>
          <c:yMode val="edge"/>
          <c:x val="0.10630560603001549"/>
          <c:y val="0.9032342268691822"/>
          <c:w val="0.76602109832424803"/>
          <c:h val="8.5836811382183784E-2"/>
        </c:manualLayout>
      </c:layout>
      <c:overlay val="0"/>
      <c:spPr>
        <a:ln>
          <a:solidFill>
            <a:schemeClr val="bg1">
              <a:lumMod val="65000"/>
            </a:schemeClr>
          </a:solid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433473910182241E-2"/>
          <c:y val="4.0502500036763471E-2"/>
          <c:w val="0.90802684530652911"/>
          <c:h val="0.75479419587601715"/>
        </c:manualLayout>
      </c:layout>
      <c:barChart>
        <c:barDir val="col"/>
        <c:grouping val="clustered"/>
        <c:varyColors val="0"/>
        <c:ser>
          <c:idx val="0"/>
          <c:order val="0"/>
          <c:tx>
            <c:strRef>
              <c:f>Graf_6.3!$O$3</c:f>
              <c:strCache>
                <c:ptCount val="1"/>
                <c:pt idx="0">
                  <c:v>trvale upoutaní na lůžko</c:v>
                </c:pt>
              </c:strCache>
            </c:strRef>
          </c:tx>
          <c:spPr>
            <a:solidFill>
              <a:srgbClr val="7DA9DF"/>
            </a:solidFill>
            <a:ln>
              <a:solidFill>
                <a:srgbClr val="4F81BD">
                  <a:lumMod val="75000"/>
                </a:srgbClr>
              </a:solidFill>
            </a:ln>
          </c:spPr>
          <c:invertIfNegative val="0"/>
          <c:dLbls>
            <c:dLbl>
              <c:idx val="0"/>
              <c:layout>
                <c:manualLayout>
                  <c:x val="0"/>
                  <c:y val="1.5308069474046072E-2"/>
                </c:manualLayout>
              </c:layout>
              <c:dLblPos val="outEnd"/>
              <c:showLegendKey val="0"/>
              <c:showVal val="1"/>
              <c:showCatName val="0"/>
              <c:showSerName val="0"/>
              <c:showPercent val="0"/>
              <c:showBubbleSize val="0"/>
            </c:dLbl>
            <c:dLbl>
              <c:idx val="5"/>
              <c:delete val="1"/>
            </c:dLbl>
            <c:numFmt formatCode="0%" sourceLinked="0"/>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strRef>
              <c:f>(Graf_6.3!$K$4:$K$8,Graf_6.3!$K$13)</c:f>
              <c:strCache>
                <c:ptCount val="6"/>
                <c:pt idx="0">
                  <c:v>Týdenní stacionáře</c:v>
                </c:pt>
                <c:pt idx="1">
                  <c:v>Domovy pro osoby se zdravotním postižením</c:v>
                </c:pt>
                <c:pt idx="2">
                  <c:v>Domovy pro seniory</c:v>
                </c:pt>
                <c:pt idx="3">
                  <c:v>Domovy se zvláštním režimem</c:v>
                </c:pt>
                <c:pt idx="4">
                  <c:v>Chráněné bydlení</c:v>
                </c:pt>
                <c:pt idx="5">
                  <c:v>Centra sociálně rehabilitačních služeb</c:v>
                </c:pt>
              </c:strCache>
            </c:strRef>
          </c:cat>
          <c:val>
            <c:numRef>
              <c:f>(Graf_6.3!$O$4:$O$8,Graf_6.3!$O$13)</c:f>
              <c:numCache>
                <c:formatCode>0.00</c:formatCode>
                <c:ptCount val="6"/>
                <c:pt idx="0">
                  <c:v>2.3121387283236993E-2</c:v>
                </c:pt>
                <c:pt idx="1">
                  <c:v>0.12919896640826872</c:v>
                </c:pt>
                <c:pt idx="2">
                  <c:v>0.259454631722906</c:v>
                </c:pt>
                <c:pt idx="3">
                  <c:v>0.24483863312766968</c:v>
                </c:pt>
                <c:pt idx="4">
                  <c:v>4.3715846994535519E-3</c:v>
                </c:pt>
                <c:pt idx="5">
                  <c:v>0</c:v>
                </c:pt>
              </c:numCache>
            </c:numRef>
          </c:val>
        </c:ser>
        <c:ser>
          <c:idx val="1"/>
          <c:order val="1"/>
          <c:tx>
            <c:strRef>
              <c:f>Graf_6.3!$P$3</c:f>
              <c:strCache>
                <c:ptCount val="1"/>
                <c:pt idx="0">
                  <c:v>mobilní za pomoci druhé osoby nebo technických pomůcek</c:v>
                </c:pt>
              </c:strCache>
            </c:strRef>
          </c:tx>
          <c:spPr>
            <a:solidFill>
              <a:schemeClr val="accent2">
                <a:lumMod val="40000"/>
                <a:lumOff val="60000"/>
              </a:schemeClr>
            </a:solidFill>
            <a:ln>
              <a:solidFill>
                <a:srgbClr val="C0504D">
                  <a:lumMod val="50000"/>
                </a:srgbClr>
              </a:solidFill>
            </a:ln>
          </c:spPr>
          <c:invertIfNegative val="0"/>
          <c:dLbls>
            <c:numFmt formatCode="0%" sourceLinked="0"/>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strRef>
              <c:f>(Graf_6.3!$K$4:$K$8,Graf_6.3!$K$13)</c:f>
              <c:strCache>
                <c:ptCount val="6"/>
                <c:pt idx="0">
                  <c:v>Týdenní stacionáře</c:v>
                </c:pt>
                <c:pt idx="1">
                  <c:v>Domovy pro osoby se zdravotním postižením</c:v>
                </c:pt>
                <c:pt idx="2">
                  <c:v>Domovy pro seniory</c:v>
                </c:pt>
                <c:pt idx="3">
                  <c:v>Domovy se zvláštním režimem</c:v>
                </c:pt>
                <c:pt idx="4">
                  <c:v>Chráněné bydlení</c:v>
                </c:pt>
                <c:pt idx="5">
                  <c:v>Centra sociálně rehabilitačních služeb</c:v>
                </c:pt>
              </c:strCache>
            </c:strRef>
          </c:cat>
          <c:val>
            <c:numRef>
              <c:f>(Graf_6.3!$P$4:$P$8,Graf_6.3!$P$13)</c:f>
              <c:numCache>
                <c:formatCode>0.00</c:formatCode>
                <c:ptCount val="6"/>
                <c:pt idx="0">
                  <c:v>0.15751445086705201</c:v>
                </c:pt>
                <c:pt idx="1">
                  <c:v>0.26965074601983829</c:v>
                </c:pt>
                <c:pt idx="2">
                  <c:v>0.52460297524351784</c:v>
                </c:pt>
                <c:pt idx="3">
                  <c:v>0.42542714760322736</c:v>
                </c:pt>
                <c:pt idx="4">
                  <c:v>0.14234972677595628</c:v>
                </c:pt>
                <c:pt idx="5">
                  <c:v>0.24892703862660945</c:v>
                </c:pt>
              </c:numCache>
            </c:numRef>
          </c:val>
        </c:ser>
        <c:dLbls>
          <c:showLegendKey val="0"/>
          <c:showVal val="0"/>
          <c:showCatName val="0"/>
          <c:showSerName val="0"/>
          <c:showPercent val="0"/>
          <c:showBubbleSize val="0"/>
        </c:dLbls>
        <c:gapWidth val="130"/>
        <c:axId val="167201024"/>
        <c:axId val="167211008"/>
      </c:barChart>
      <c:catAx>
        <c:axId val="167201024"/>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67211008"/>
        <c:crosses val="autoZero"/>
        <c:auto val="1"/>
        <c:lblAlgn val="ctr"/>
        <c:lblOffset val="100"/>
        <c:noMultiLvlLbl val="0"/>
      </c:catAx>
      <c:valAx>
        <c:axId val="167211008"/>
        <c:scaling>
          <c:orientation val="minMax"/>
          <c:max val="0.55000000000000004"/>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67201024"/>
        <c:crosses val="autoZero"/>
        <c:crossBetween val="between"/>
        <c:majorUnit val="5.0000000000000017E-2"/>
      </c:valAx>
    </c:plotArea>
    <c:legend>
      <c:legendPos val="r"/>
      <c:layout>
        <c:manualLayout>
          <c:xMode val="edge"/>
          <c:yMode val="edge"/>
          <c:x val="0.67832443147403765"/>
          <c:y val="0.10113328844404522"/>
          <c:w val="0.28884936585723986"/>
          <c:h val="0.17633126871079011"/>
        </c:manualLayout>
      </c:layout>
      <c:overlay val="0"/>
      <c:spPr>
        <a:solidFill>
          <a:sysClr val="window" lastClr="FFFFFF"/>
        </a:solidFill>
        <a:ln>
          <a:solidFill>
            <a:sysClr val="window" lastClr="FFFFFF">
              <a:lumMod val="65000"/>
            </a:sysClr>
          </a:solid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4F87-3010-4425-BB98-0C6163C3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65</TotalTime>
  <Pages>1</Pages>
  <Words>2511</Words>
  <Characters>14818</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Helena Chodounská</cp:lastModifiedBy>
  <cp:revision>7</cp:revision>
  <cp:lastPrinted>2015-12-15T12:14:00Z</cp:lastPrinted>
  <dcterms:created xsi:type="dcterms:W3CDTF">2017-11-01T13:24:00Z</dcterms:created>
  <dcterms:modified xsi:type="dcterms:W3CDTF">2017-11-02T07:40:00Z</dcterms:modified>
</cp:coreProperties>
</file>