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68466A" w:rsidRDefault="0068466A" w:rsidP="0068466A">
      <w:pPr>
        <w:pStyle w:val="Zkladntext3"/>
        <w:spacing w:before="120" w:after="120" w:line="233" w:lineRule="auto"/>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intercenzální (každoroční) statistické bilance obyvatel vycházející ze zpracování statistických hlášení ČSÚ o sňatcích, narozeních, úmrtích a rozvodech a </w:t>
      </w:r>
      <w:r w:rsidR="00276BEE">
        <w:rPr>
          <w:rFonts w:cs="Arial"/>
          <w:szCs w:val="24"/>
        </w:rPr>
        <w:t xml:space="preserve">z </w:t>
      </w:r>
      <w:r>
        <w:rPr>
          <w:rFonts w:cs="Arial"/>
          <w:szCs w:val="24"/>
        </w:rPr>
        <w:t>dat o stěhování z informačních systémů Ministerstva vnitra ČR. Data o potratech jsou přebírána od Ústavu zdravotnických informací a statistik</w:t>
      </w:r>
      <w:r w:rsidR="00276BEE">
        <w:rPr>
          <w:rFonts w:cs="Arial"/>
          <w:szCs w:val="24"/>
        </w:rPr>
        <w:t>y</w:t>
      </w:r>
      <w:r>
        <w:rPr>
          <w:rFonts w:cs="Arial"/>
          <w:szCs w:val="24"/>
        </w:rPr>
        <w:t xml:space="preserve"> ČR. </w:t>
      </w:r>
      <w:r>
        <w:rPr>
          <w:rFonts w:cs="Arial"/>
        </w:rPr>
        <w:t xml:space="preserve">V údajích o demografických událostech jsou obsaženy i sňatky, narození a úmrtí českých občanů s trvalým bydlištěm na území ČR, které nastaly v cizině. </w:t>
      </w:r>
      <w:r>
        <w:rPr>
          <w:rFonts w:cs="Arial"/>
          <w:szCs w:val="24"/>
        </w:rPr>
        <w:t>Údaje jsou zveřejňovány čtvrtletně v členění do krajů a okresů (v Praze také do správních obvodů a městských částí), jednou ročně pak i </w:t>
      </w:r>
      <w:r w:rsidR="00276BEE">
        <w:rPr>
          <w:rFonts w:cs="Arial"/>
          <w:szCs w:val="24"/>
        </w:rPr>
        <w:t>v členění do</w:t>
      </w:r>
      <w:r>
        <w:rPr>
          <w:rFonts w:cs="Arial"/>
          <w:szCs w:val="24"/>
        </w:rPr>
        <w:t xml:space="preserve"> jednotlivých obcí. </w:t>
      </w:r>
    </w:p>
    <w:p w:rsidR="0068466A" w:rsidRPr="001A7C45" w:rsidRDefault="0068466A" w:rsidP="0068466A">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815C7C" w:rsidRDefault="009C5FE5">
      <w:pPr>
        <w:tabs>
          <w:tab w:val="left" w:pos="709"/>
        </w:tabs>
        <w:spacing w:line="233" w:lineRule="auto"/>
        <w:jc w:val="both"/>
        <w:rPr>
          <w:rFonts w:ascii="Arial" w:hAnsi="Arial" w:cs="Arial"/>
          <w:sz w:val="20"/>
          <w:szCs w:val="20"/>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 xml:space="preserve">Výsledky jsou publikovány za celou populaci podniků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podle místa skutečného pracoviště zaměstnanců, tzv. pracovištní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 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03518E">
      <w:pPr>
        <w:pStyle w:val="Zkladntext3"/>
        <w:spacing w:after="120" w:line="233" w:lineRule="auto"/>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Default="0003518E" w:rsidP="004F4394">
      <w:pPr>
        <w:pStyle w:val="Nadpis8"/>
        <w:spacing w:line="233" w:lineRule="auto"/>
        <w:rPr>
          <w:rStyle w:val="Siln"/>
          <w:rFonts w:cs="Arial"/>
          <w:b/>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C63FAD" w:rsidRDefault="003E0A67" w:rsidP="003E0A67">
      <w:pPr>
        <w:pStyle w:val="Zkladntext3"/>
        <w:spacing w:before="120" w:after="120" w:line="233" w:lineRule="auto"/>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3E0A67">
      <w:pPr>
        <w:pStyle w:val="Zkladntext3"/>
        <w:spacing w:before="120" w:after="120" w:line="233" w:lineRule="auto"/>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3E0A67">
      <w:pPr>
        <w:pStyle w:val="Zkladntext3"/>
        <w:spacing w:before="120" w:after="120" w:line="233" w:lineRule="auto"/>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 udává se v %. </w:t>
      </w:r>
    </w:p>
    <w:p w:rsidR="003E0A67" w:rsidRPr="00C63FAD" w:rsidRDefault="003E0A67" w:rsidP="003E0A67">
      <w:pPr>
        <w:pStyle w:val="Zkladntext3"/>
        <w:spacing w:before="120" w:after="120" w:line="233" w:lineRule="auto"/>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 udává se v %. </w:t>
      </w:r>
    </w:p>
    <w:p w:rsidR="003E0A67" w:rsidRPr="00C63FAD" w:rsidRDefault="003E0A67" w:rsidP="003E0A67">
      <w:pPr>
        <w:pStyle w:val="Normlnweb"/>
        <w:spacing w:before="12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8D1CC6" w:rsidRPr="00B93505" w:rsidRDefault="00BF7FD8" w:rsidP="00554481">
      <w:pPr>
        <w:spacing w:after="120"/>
        <w:jc w:val="center"/>
        <w:rPr>
          <w:rFonts w:ascii="Arial" w:hAnsi="Arial" w:cs="Arial"/>
          <w:b/>
          <w:bCs/>
          <w:color w:val="C00000"/>
          <w:sz w:val="20"/>
          <w:szCs w:val="20"/>
        </w:rPr>
      </w:pPr>
      <w:r w:rsidRPr="00BF7FD8">
        <w:rPr>
          <w:rFonts w:ascii="Arial" w:hAnsi="Arial" w:cs="Arial"/>
          <w:b/>
          <w:bCs/>
          <w:color w:val="C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9.25pt;height:333pt" o:allowoverlap="f">
            <v:imagedata r:id="rId9" o:title=""/>
          </v:shape>
        </w:pict>
      </w:r>
    </w:p>
    <w:p w:rsidR="00F03E13" w:rsidRPr="00C63FAD" w:rsidRDefault="00F03E13" w:rsidP="00F03E13">
      <w:pPr>
        <w:rPr>
          <w:rFonts w:ascii="Arial" w:hAnsi="Arial" w:cs="Arial"/>
          <w:b/>
          <w:bCs/>
          <w:sz w:val="20"/>
          <w:szCs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EF27D4">
      <w:pPr>
        <w:pStyle w:val="Normlnweb"/>
        <w:spacing w:before="120" w:beforeAutospacing="0" w:after="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432B7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 nevykonávají krátkodobé zaměstnání).</w:t>
      </w:r>
    </w:p>
    <w:p w:rsidR="00EC1D74" w:rsidRPr="00C63FAD" w:rsidRDefault="00EC1D74" w:rsidP="00224BF2">
      <w:pPr>
        <w:pStyle w:val="Normlnweb"/>
        <w:spacing w:before="120" w:beforeAutospacing="0" w:after="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 – 64 let ze všech obyvatel ve stejném věku. </w:t>
      </w:r>
    </w:p>
    <w:p w:rsidR="00EC1D74" w:rsidRPr="00C63FAD" w:rsidRDefault="00EC1D74" w:rsidP="00EC1D74">
      <w:pPr>
        <w:pStyle w:val="GroupWiseView"/>
        <w:tabs>
          <w:tab w:val="left" w:pos="1500"/>
          <w:tab w:val="left" w:pos="3000"/>
        </w:tabs>
        <w:jc w:val="both"/>
        <w:rPr>
          <w:rFonts w:ascii="Arial" w:hAnsi="Arial" w:cs="Arial"/>
          <w:sz w:val="20"/>
          <w:szCs w:val="20"/>
        </w:rPr>
      </w:pPr>
    </w:p>
    <w:p w:rsidR="00EC1D74" w:rsidRPr="00C63FAD" w:rsidRDefault="00EF27D4" w:rsidP="00E5328D">
      <w:pPr>
        <w:jc w:val="both"/>
        <w:rPr>
          <w:rFonts w:ascii="Arial" w:hAnsi="Arial" w:cs="Arial"/>
          <w:sz w:val="20"/>
          <w:szCs w:val="20"/>
        </w:rPr>
      </w:pPr>
      <w:r w:rsidRPr="00C63FAD">
        <w:rPr>
          <w:rFonts w:ascii="Arial" w:hAnsi="Arial" w:cs="Arial"/>
          <w:b/>
          <w:sz w:val="20"/>
          <w:szCs w:val="20"/>
        </w:rPr>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815C7C" w:rsidRDefault="002107AF">
      <w:pPr>
        <w:pStyle w:val="Nadpis8"/>
        <w:rPr>
          <w:rStyle w:val="Siln"/>
          <w:rFonts w:cs="Arial"/>
          <w:b/>
          <w:bCs/>
          <w:sz w:val="20"/>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EC1D74">
      <w:pPr>
        <w:pStyle w:val="Zkladntext3"/>
        <w:spacing w:before="120" w:after="120" w:line="233" w:lineRule="auto"/>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EC1D74">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 xml:space="preserve">Fyzické osoby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EC1D74">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Podrobnější členění umožnilo rozlišit zahraniční fyzické a zahraniční právnické osoby</w:t>
      </w:r>
      <w:r w:rsidR="00BE70D9">
        <w:rPr>
          <w:rFonts w:cs="Arial"/>
          <w:szCs w:val="24"/>
        </w:rPr>
        <w:t>.</w:t>
      </w:r>
      <w:r w:rsidR="00FA06ED">
        <w:rPr>
          <w:rFonts w:cs="Arial"/>
          <w:szCs w:val="24"/>
        </w:rPr>
        <w:t xml:space="preserve"> 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 evidované církevní právnické osoby a 723 svazy církví a</w:t>
      </w:r>
      <w:r w:rsidR="00FA06ED">
        <w:rPr>
          <w:rFonts w:cs="Arial"/>
          <w:szCs w:val="24"/>
        </w:rPr>
        <w:t>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E5328D">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815C7C" w:rsidRDefault="001613CD" w:rsidP="00815C7C">
      <w:pPr>
        <w:pStyle w:val="Nadpis8"/>
        <w:rPr>
          <w:rStyle w:val="Siln"/>
          <w:sz w:val="20"/>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224BF2" w:rsidRPr="00C63FAD" w:rsidRDefault="00224BF2" w:rsidP="00F01EE3">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vydaných stavebních povoleních</w:t>
      </w:r>
      <w:r w:rsidRPr="00C63FAD">
        <w:rPr>
          <w:rFonts w:ascii="Arial" w:hAnsi="Arial" w:cs="Arial"/>
          <w:sz w:val="20"/>
        </w:rPr>
        <w:t xml:space="preserve"> jsou zpracovány na základě výkazů předkládaných jednotlivými stavebními úřady, odbory dopravy a životního prostředí krajských úřadů, pověřených obecních úřadů a újezdními úřady. Stavební povolení odpovídají zákonu č. 183/2006 Sb., o územním plánování a stavebním řádu (stavební zákon), který stanovuje závazné podmínky pro provedení a užívání stavby. </w:t>
      </w:r>
      <w:r w:rsidRPr="00C63FAD">
        <w:rPr>
          <w:rFonts w:ascii="Arial" w:hAnsi="Arial" w:cs="Arial"/>
          <w:b/>
          <w:bCs/>
          <w:sz w:val="20"/>
        </w:rPr>
        <w:t>Orientační hodnota staveb</w:t>
      </w:r>
      <w:r w:rsidRPr="00C63FAD">
        <w:rPr>
          <w:rFonts w:ascii="Arial" w:hAnsi="Arial" w:cs="Arial"/>
          <w:sz w:val="20"/>
        </w:rPr>
        <w:t xml:space="preserve"> zahrnuje celkové náklady včetně technologie (v běžných cenách) vynaložené na přípravu, realizaci a uvedení stavby do provozu. </w:t>
      </w:r>
    </w:p>
    <w:p w:rsidR="00224BF2" w:rsidRPr="00C63FAD" w:rsidRDefault="00224BF2" w:rsidP="00F01EE3">
      <w:pPr>
        <w:spacing w:after="120"/>
        <w:jc w:val="both"/>
        <w:rPr>
          <w:rFonts w:ascii="Arial" w:hAnsi="Arial" w:cs="Arial"/>
          <w:sz w:val="20"/>
        </w:rPr>
      </w:pPr>
      <w:r w:rsidRPr="00C63FAD">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C63FAD">
        <w:rPr>
          <w:rFonts w:ascii="Arial" w:hAnsi="Arial" w:cs="Arial"/>
          <w:sz w:val="20"/>
          <w:szCs w:val="20"/>
        </w:rPr>
        <w:t>vnější</w:t>
      </w:r>
      <w:r w:rsidRPr="00C63FAD">
        <w:rPr>
          <w:rFonts w:ascii="Arial" w:hAnsi="Arial" w:cs="Arial"/>
          <w:sz w:val="20"/>
        </w:rPr>
        <w:t xml:space="preserve"> půdorysné i výškové ohraničení stavby. </w:t>
      </w:r>
    </w:p>
    <w:p w:rsidR="00C92701" w:rsidRPr="00C63FAD" w:rsidRDefault="00224BF2" w:rsidP="00E5328D">
      <w:pPr>
        <w:jc w:val="both"/>
        <w:rPr>
          <w:rFonts w:ascii="Arial" w:hAnsi="Arial" w:cs="Arial"/>
          <w:sz w:val="20"/>
        </w:rPr>
      </w:pPr>
      <w:r w:rsidRPr="00C63FAD">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C63FAD">
        <w:rPr>
          <w:rFonts w:ascii="Arial" w:hAnsi="Arial" w:cs="Arial"/>
          <w:sz w:val="20"/>
          <w:szCs w:val="20"/>
        </w:rPr>
        <w:t>prostředí</w:t>
      </w:r>
      <w:r w:rsidRPr="00C63FAD">
        <w:rPr>
          <w:rFonts w:ascii="Arial" w:hAnsi="Arial" w:cs="Arial"/>
          <w:sz w:val="20"/>
        </w:rPr>
        <w:t>.</w:t>
      </w:r>
    </w:p>
    <w:p w:rsidR="00C92701" w:rsidRPr="00815C7C" w:rsidRDefault="00C92701" w:rsidP="00C92701">
      <w:pPr>
        <w:pStyle w:val="Normlnweb"/>
        <w:spacing w:before="0" w:beforeAutospacing="0" w:after="0" w:afterAutospacing="0"/>
        <w:ind w:firstLine="709"/>
        <w:jc w:val="both"/>
        <w:rPr>
          <w:rFonts w:ascii="Arial" w:hAnsi="Arial" w:cs="Arial"/>
          <w:color w:val="auto"/>
          <w:sz w:val="20"/>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224BF2" w:rsidRPr="00C63FAD" w:rsidRDefault="00224BF2" w:rsidP="00405671">
      <w:pPr>
        <w:spacing w:before="120" w:after="120"/>
        <w:jc w:val="both"/>
        <w:rPr>
          <w:rFonts w:ascii="Arial" w:hAnsi="Arial" w:cs="Arial"/>
          <w:sz w:val="20"/>
        </w:rPr>
      </w:pPr>
      <w:r w:rsidRPr="00C63FAD">
        <w:rPr>
          <w:rFonts w:ascii="Arial" w:hAnsi="Arial" w:cs="Arial"/>
          <w:sz w:val="20"/>
        </w:rPr>
        <w:t xml:space="preserve">Údaje </w:t>
      </w:r>
      <w:r w:rsidRPr="00C63FAD">
        <w:rPr>
          <w:rFonts w:ascii="Arial" w:hAnsi="Arial" w:cs="Arial"/>
          <w:b/>
          <w:bCs/>
          <w:sz w:val="20"/>
        </w:rPr>
        <w:t>o bytové výstavbě</w:t>
      </w:r>
      <w:r w:rsidRPr="00C63FAD">
        <w:rPr>
          <w:rFonts w:ascii="Arial" w:hAnsi="Arial" w:cs="Arial"/>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sidRPr="00C63FAD">
        <w:rPr>
          <w:rFonts w:ascii="Arial" w:hAnsi="Arial" w:cs="Arial"/>
          <w:sz w:val="20"/>
        </w:rPr>
        <w:t xml:space="preserve">, jsou </w:t>
      </w:r>
      <w:r w:rsidRPr="00C63FAD">
        <w:rPr>
          <w:rFonts w:ascii="Arial" w:hAnsi="Arial" w:cs="Arial"/>
          <w:sz w:val="20"/>
        </w:rPr>
        <w:t xml:space="preserve">relevantní k území krajů i okresů. </w:t>
      </w:r>
    </w:p>
    <w:p w:rsidR="00224BF2" w:rsidRPr="00C63FAD" w:rsidRDefault="00224BF2" w:rsidP="00815C7C">
      <w:pPr>
        <w:jc w:val="both"/>
        <w:rPr>
          <w:rFonts w:ascii="Arial" w:hAnsi="Arial" w:cs="Arial"/>
          <w:sz w:val="20"/>
        </w:rPr>
      </w:pPr>
      <w:r w:rsidRPr="00C63FAD">
        <w:rPr>
          <w:rFonts w:ascii="Arial" w:hAnsi="Arial" w:cs="Arial"/>
          <w:sz w:val="20"/>
        </w:rPr>
        <w:t xml:space="preserve">Bytem se rozumí místnost nebo soubor místností, které jsou podle rozhodnutí stavebního úřadu určeny k bydlení a mohou svému účelu sloužit jako samostatné bytové jednotky. </w:t>
      </w:r>
      <w:r w:rsidRPr="00C63FAD">
        <w:rPr>
          <w:rFonts w:ascii="Arial" w:hAnsi="Arial" w:cs="Arial"/>
          <w:b/>
          <w:bCs/>
          <w:sz w:val="20"/>
        </w:rPr>
        <w:t xml:space="preserve">Byty zahájené </w:t>
      </w:r>
      <w:r w:rsidRPr="00C63FAD">
        <w:rPr>
          <w:rFonts w:ascii="Arial" w:hAnsi="Arial" w:cs="Arial"/>
          <w:sz w:val="20"/>
        </w:rPr>
        <w:t xml:space="preserve">(ohlášené </w:t>
      </w:r>
      <w:r w:rsidRPr="00C63FAD">
        <w:rPr>
          <w:rFonts w:ascii="Arial" w:hAnsi="Arial" w:cs="Arial"/>
          <w:sz w:val="20"/>
        </w:rPr>
        <w:lastRenderedPageBreak/>
        <w:t xml:space="preserve">i 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C63FAD">
        <w:rPr>
          <w:rFonts w:ascii="Arial" w:hAnsi="Arial" w:cs="Arial"/>
          <w:b/>
          <w:bCs/>
          <w:sz w:val="20"/>
        </w:rPr>
        <w:t>Byty dokončené</w:t>
      </w:r>
      <w:r w:rsidRPr="00C63FAD">
        <w:rPr>
          <w:rFonts w:ascii="Arial" w:hAnsi="Arial" w:cs="Arial"/>
          <w:sz w:val="20"/>
        </w:rPr>
        <w:t xml:space="preserve"> jsou byty v dokončených budovách, které vyžadovaly stavební ohlášení nebo povolení </w:t>
      </w:r>
      <w:r w:rsidR="007003DC" w:rsidRPr="00C63FAD">
        <w:rPr>
          <w:rFonts w:ascii="Arial" w:hAnsi="Arial" w:cs="Arial"/>
          <w:sz w:val="20"/>
        </w:rPr>
        <w:t>a</w:t>
      </w:r>
      <w:r w:rsidRPr="00C63FAD">
        <w:rPr>
          <w:rFonts w:ascii="Arial" w:hAnsi="Arial" w:cs="Arial"/>
          <w:sz w:val="20"/>
        </w:rPr>
        <w:t>nebo byla stavba prováděna na podkladě veřejnoprávní smlouvy (§116) nebo certifikátu vydaného autorizovaným inspektorem (§117) a lze je užívat na základě oznámení stavebnímu úřadu (§120) nebo kolaudačního souhlasu (§122).</w:t>
      </w:r>
    </w:p>
    <w:p w:rsidR="00485AB3" w:rsidRPr="00815C7C" w:rsidRDefault="00485AB3">
      <w:pPr>
        <w:pStyle w:val="Nadpis8"/>
        <w:rPr>
          <w:rStyle w:val="Siln"/>
          <w:rFonts w:cs="Arial"/>
          <w:b/>
          <w:bCs/>
          <w:sz w:val="20"/>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provozovatelé jatek, vč. ekonomických subjektů porážejících jatečná zvířata z vlastního výkrmu. </w:t>
      </w:r>
      <w:r w:rsidRPr="00C63FAD">
        <w:rPr>
          <w:rFonts w:cs="Arial"/>
        </w:rPr>
        <w:t xml:space="preserve">Soubor zpravodajských jednotek je tvořen na základě seznamu provozních jatek, sanitních jatek a porážkových míst podle evidence Státní veterinární správy. </w:t>
      </w:r>
      <w:r w:rsidRPr="00C63FAD">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je proměnlivý: bulletin za 1. čtvrtletí přináší výsledky </w:t>
      </w:r>
      <w:r w:rsidRPr="00C63FAD">
        <w:rPr>
          <w:rFonts w:ascii="Arial" w:hAnsi="Arial" w:cs="Arial"/>
          <w:b/>
          <w:sz w:val="20"/>
          <w:szCs w:val="26"/>
        </w:rPr>
        <w:t>soupisu hospodářských zvířat</w:t>
      </w:r>
      <w:r w:rsidRPr="00C63FAD">
        <w:rPr>
          <w:rFonts w:ascii="Arial" w:hAnsi="Arial" w:cs="Arial"/>
          <w:sz w:val="20"/>
          <w:szCs w:val="26"/>
        </w:rPr>
        <w:t xml:space="preserve"> k 1. 4., bulletin za 1. až 2. čtvrtletí údaje o </w:t>
      </w:r>
      <w:r w:rsidRPr="00C63FAD">
        <w:rPr>
          <w:rFonts w:ascii="Arial" w:hAnsi="Arial" w:cs="Arial"/>
          <w:b/>
          <w:sz w:val="20"/>
          <w:szCs w:val="26"/>
        </w:rPr>
        <w:t>osevních plochách</w:t>
      </w:r>
      <w:r w:rsidRPr="00C63FAD">
        <w:rPr>
          <w:rFonts w:ascii="Arial" w:hAnsi="Arial" w:cs="Arial"/>
          <w:sz w:val="20"/>
          <w:szCs w:val="26"/>
        </w:rPr>
        <w:t xml:space="preserve"> 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Podrobné metodické vysvětlivky k tabulkám jsou uvedeny v příslušných speciálních publikacích ČSÚ.</w:t>
      </w:r>
    </w:p>
    <w:p w:rsidR="00E6298F" w:rsidRPr="00815C7C" w:rsidRDefault="00E6298F" w:rsidP="00815C7C">
      <w:pPr>
        <w:pStyle w:val="Nadpis8"/>
        <w:rPr>
          <w:rStyle w:val="Siln"/>
          <w:sz w:val="20"/>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814D7F" w:rsidRPr="00C63FAD" w:rsidRDefault="00FA06ED" w:rsidP="004E596E">
      <w:pPr>
        <w:pStyle w:val="Zkladntext3"/>
        <w:spacing w:before="120" w:after="120" w:line="233" w:lineRule="auto"/>
        <w:rPr>
          <w:rFonts w:cs="Arial"/>
        </w:rPr>
      </w:pPr>
      <w:r w:rsidRPr="00FA06ED">
        <w:rPr>
          <w:rFonts w:cs="Arial"/>
        </w:rPr>
        <w:t xml:space="preserve">Údaje jsou publikovány za podnikatelské </w:t>
      </w:r>
      <w:r w:rsidRPr="00FA06ED">
        <w:rPr>
          <w:rFonts w:cs="Arial"/>
          <w:b/>
        </w:rPr>
        <w:t>subjekty s převažující průmyslovou činností</w:t>
      </w:r>
      <w:r w:rsidRPr="00FA06ED">
        <w:rPr>
          <w:rFonts w:cs="Arial"/>
        </w:rPr>
        <w:t xml:space="preserve"> (sekce CZ-NACE B, C, D = Těžba a dobývání, Zpracovatelský průmysl a Výroba a rozvod elektřiny, plynu, tepla a klimatizovaného vzduchu) </w:t>
      </w:r>
      <w:r w:rsidRPr="00FA06ED">
        <w:rPr>
          <w:rFonts w:cs="Arial"/>
          <w:b/>
        </w:rPr>
        <w:t>se 100 a více zaměstnanci</w:t>
      </w:r>
      <w:r w:rsidRPr="00FA06ED">
        <w:rPr>
          <w:rFonts w:cs="Arial"/>
        </w:rPr>
        <w:t xml:space="preserve"> a zjišťovány podnikovou metodou, tedy za </w:t>
      </w:r>
      <w:r w:rsidRPr="00FA06ED">
        <w:rPr>
          <w:rFonts w:cs="Arial"/>
          <w:b/>
        </w:rPr>
        <w:t>podniky se sídlem na příslušném území</w:t>
      </w:r>
      <w:r w:rsidRPr="00FA06ED">
        <w:rPr>
          <w:rFonts w:cs="Arial"/>
        </w:rPr>
        <w:t xml:space="preserve"> včetně jejich závodů a provozoven v jiných krajích. V kategorii 100 a více zaměstnanců je zjišťování </w:t>
      </w:r>
      <w:r>
        <w:rPr>
          <w:rFonts w:cs="Arial"/>
        </w:rPr>
        <w:t>úplné</w:t>
      </w:r>
      <w:r w:rsidR="00814D7F" w:rsidRPr="00C63FAD">
        <w:rPr>
          <w:rFonts w:cs="Arial"/>
        </w:rPr>
        <w:t xml:space="preserve">. </w:t>
      </w:r>
    </w:p>
    <w:p w:rsidR="00814D7F" w:rsidRPr="00FA06ED" w:rsidRDefault="00FA06ED" w:rsidP="00814D7F">
      <w:pPr>
        <w:pStyle w:val="Zkladntext3"/>
        <w:spacing w:before="120" w:after="120" w:line="233" w:lineRule="auto"/>
        <w:rPr>
          <w:rFonts w:cs="Arial"/>
        </w:rPr>
      </w:pPr>
      <w:r w:rsidRPr="00FA06ED">
        <w:rPr>
          <w:rFonts w:cs="Arial"/>
          <w:b/>
        </w:rPr>
        <w:t>Tržby z prodeje výrobků a služeb průmyslové povahy</w:t>
      </w:r>
      <w:r w:rsidRPr="00FA06ED">
        <w:rPr>
          <w:rFonts w:cs="Arial"/>
        </w:rPr>
        <w:t xml:space="preserve"> jsou uvedeny v základních běžných cenách, které fakturuje výrobce kupujícímu. Zařazeny jsou pouze tržby za výrobky a služby z CZ-CPA 05 až 39, jedná se tedy o tržby očištěné od neprůmyslových činností podniku. Mezi služby průmyslové povahy patří rovněž obchod, přenos, distribuce a rozvod energií. Tržbou za tuto službu je rozdíl mezi hodnotou nakoupené a prodané (předané) energie. Tržby (příjmy) zahrnují prodej hmotné a nehmotné produkce, oceněné v běžných cenách. Součástí těchto tržeb není DPH, spotřební daň ani clo.</w:t>
      </w:r>
      <w:r w:rsidR="00814D7F" w:rsidRPr="00FA06ED">
        <w:rPr>
          <w:rFonts w:cs="Arial"/>
        </w:rPr>
        <w:t xml:space="preserve"> </w:t>
      </w:r>
    </w:p>
    <w:p w:rsidR="00814D7F" w:rsidRPr="00FA06ED" w:rsidRDefault="00FA06ED" w:rsidP="00814D7F">
      <w:pPr>
        <w:pStyle w:val="Zkladntext3"/>
        <w:spacing w:before="120" w:after="120" w:line="233" w:lineRule="auto"/>
        <w:rPr>
          <w:rFonts w:cs="Arial"/>
          <w:szCs w:val="18"/>
        </w:rPr>
      </w:pPr>
      <w:r w:rsidRPr="00FA06ED">
        <w:rPr>
          <w:rFonts w:cs="Arial"/>
          <w:b/>
          <w:szCs w:val="18"/>
        </w:rPr>
        <w:t>Průměrný evidenční počet zaměstnanců</w:t>
      </w:r>
      <w:r w:rsidRPr="00FA06ED">
        <w:rPr>
          <w:rFonts w:cs="Arial"/>
          <w:szCs w:val="18"/>
        </w:rPr>
        <w:t xml:space="preserve"> (ve fyzických osobách) zahrnuje všechny stálé, sezónní a dočasné zaměstnance, kteří jsou v pracovním poměru k zaměstnavateli a za svou práci dostávají od zaměstnavatele mzdu. Počítá se jako součet počtu fyzických osob v jednotlivých dnech sledovaného měsíce (včetně dnů pracovního klidu a pracovního volna), který se dělí počtem všech kalendářních dnů měsíce.</w:t>
      </w:r>
      <w:r w:rsidR="00814D7F" w:rsidRPr="00FA06ED">
        <w:rPr>
          <w:rFonts w:cs="Arial"/>
          <w:szCs w:val="18"/>
        </w:rPr>
        <w:t xml:space="preserve"> </w:t>
      </w:r>
    </w:p>
    <w:p w:rsidR="00814D7F" w:rsidRPr="00FA06ED" w:rsidRDefault="00FA06ED" w:rsidP="00E5328D">
      <w:pPr>
        <w:pStyle w:val="Zkladntext3"/>
        <w:rPr>
          <w:rFonts w:cs="Arial"/>
        </w:rPr>
      </w:pPr>
      <w:r w:rsidRPr="00FA06ED">
        <w:rPr>
          <w:rFonts w:cs="Arial"/>
          <w:b/>
        </w:rPr>
        <w:t>Průměrná hrubá měsíční mzda</w:t>
      </w:r>
      <w:r w:rsidRPr="00FA06ED">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r w:rsidR="00814D7F" w:rsidRPr="00FA06ED">
        <w:rPr>
          <w:rFonts w:cs="Arial"/>
        </w:rPr>
        <w:t xml:space="preserve"> </w:t>
      </w:r>
    </w:p>
    <w:p w:rsidR="009442FF" w:rsidRPr="00815C7C" w:rsidRDefault="009442FF">
      <w:pPr>
        <w:pStyle w:val="Nadpis8"/>
        <w:rPr>
          <w:rStyle w:val="Siln"/>
          <w:rFonts w:cs="Arial"/>
          <w:b/>
          <w:bCs/>
          <w:sz w:val="20"/>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Údaje jsou publikovány za podnikatelské subjekty s převažující stavební činností (oddíl 41, 42 a 43 klasifikace CZ-NACE) </w:t>
      </w:r>
      <w:r w:rsidRPr="00C63FAD">
        <w:rPr>
          <w:rFonts w:ascii="Arial" w:hAnsi="Arial" w:cs="Arial"/>
          <w:b/>
          <w:bCs/>
          <w:color w:val="auto"/>
          <w:sz w:val="20"/>
        </w:rPr>
        <w:t>s 50 a více zaměstnanci</w:t>
      </w:r>
      <w:r w:rsidRPr="00C63FAD">
        <w:rPr>
          <w:rFonts w:ascii="Arial" w:hAnsi="Arial" w:cs="Arial"/>
          <w:color w:val="auto"/>
          <w:sz w:val="20"/>
        </w:rPr>
        <w:t xml:space="preserve">. Subjekty jsou územně zařazeny podle </w:t>
      </w:r>
      <w:r w:rsidRPr="00C63FAD">
        <w:rPr>
          <w:rFonts w:ascii="Arial" w:hAnsi="Arial" w:cs="Arial"/>
          <w:b/>
          <w:bCs/>
          <w:color w:val="auto"/>
          <w:sz w:val="20"/>
        </w:rPr>
        <w:t>kraje sídla podniku</w:t>
      </w:r>
      <w:r w:rsidRPr="00C63FAD">
        <w:rPr>
          <w:rFonts w:ascii="Arial" w:hAnsi="Arial" w:cs="Arial"/>
          <w:color w:val="auto"/>
          <w:sz w:val="20"/>
        </w:rPr>
        <w:t>.</w:t>
      </w:r>
    </w:p>
    <w:p w:rsidR="00224BF2" w:rsidRPr="00C63FAD" w:rsidRDefault="00224BF2" w:rsidP="00224BF2">
      <w:pPr>
        <w:pStyle w:val="Normlnweb"/>
        <w:tabs>
          <w:tab w:val="left" w:pos="709"/>
        </w:tabs>
        <w:spacing w:before="120" w:beforeAutospacing="0" w:after="0" w:afterAutospacing="0"/>
        <w:jc w:val="both"/>
        <w:rPr>
          <w:rFonts w:ascii="Arial" w:hAnsi="Arial" w:cs="Arial"/>
          <w:color w:val="auto"/>
          <w:sz w:val="20"/>
        </w:rPr>
      </w:pPr>
      <w:r w:rsidRPr="00C63FAD">
        <w:rPr>
          <w:rFonts w:ascii="Arial" w:hAnsi="Arial" w:cs="Arial"/>
          <w:b/>
          <w:bCs/>
          <w:color w:val="auto"/>
          <w:sz w:val="20"/>
          <w:szCs w:val="22"/>
        </w:rPr>
        <w:t>Průměrný evidenční počet zaměstnanců</w:t>
      </w:r>
      <w:r w:rsidRPr="00C63FAD">
        <w:rPr>
          <w:rFonts w:ascii="Arial" w:hAnsi="Arial" w:cs="Arial"/>
          <w:color w:val="auto"/>
          <w:sz w:val="20"/>
          <w:szCs w:val="22"/>
        </w:rPr>
        <w:t xml:space="preserve"> ve fyzických osobách zahrnuje všechny stálé a dočasné zaměstnance, kteří jsou v pracovním poměru </w:t>
      </w:r>
      <w:r w:rsidR="008F0599" w:rsidRPr="00C63FAD">
        <w:rPr>
          <w:rFonts w:ascii="Arial" w:hAnsi="Arial" w:cs="Arial"/>
          <w:color w:val="auto"/>
          <w:sz w:val="20"/>
          <w:szCs w:val="22"/>
        </w:rPr>
        <w:t xml:space="preserve">ke </w:t>
      </w:r>
      <w:r w:rsidRPr="00C63FAD">
        <w:rPr>
          <w:rFonts w:ascii="Arial" w:hAnsi="Arial" w:cs="Arial"/>
          <w:color w:val="auto"/>
          <w:sz w:val="20"/>
          <w:szCs w:val="22"/>
        </w:rPr>
        <w:t>sledovaný</w:t>
      </w:r>
      <w:r w:rsidR="008F0599" w:rsidRPr="00C63FAD">
        <w:rPr>
          <w:rFonts w:ascii="Arial" w:hAnsi="Arial" w:cs="Arial"/>
          <w:color w:val="auto"/>
          <w:sz w:val="20"/>
          <w:szCs w:val="22"/>
        </w:rPr>
        <w:t>m</w:t>
      </w:r>
      <w:r w:rsidRPr="00C63FAD">
        <w:rPr>
          <w:rFonts w:ascii="Arial" w:hAnsi="Arial" w:cs="Arial"/>
          <w:color w:val="auto"/>
          <w:sz w:val="20"/>
          <w:szCs w:val="22"/>
        </w:rPr>
        <w:t xml:space="preserve"> podniků</w:t>
      </w:r>
      <w:r w:rsidR="008F0599" w:rsidRPr="00C63FAD">
        <w:rPr>
          <w:rFonts w:ascii="Arial" w:hAnsi="Arial" w:cs="Arial"/>
          <w:color w:val="auto"/>
          <w:sz w:val="20"/>
          <w:szCs w:val="22"/>
        </w:rPr>
        <w:t>m</w:t>
      </w:r>
      <w:r w:rsidRPr="00C63FAD">
        <w:rPr>
          <w:rFonts w:ascii="Arial" w:hAnsi="Arial" w:cs="Arial"/>
          <w:color w:val="auto"/>
          <w:sz w:val="20"/>
          <w:szCs w:val="22"/>
        </w:rPr>
        <w:t>. Mzdy jsou uváděny v hrubých částkách.</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b/>
          <w:bCs/>
          <w:color w:val="auto"/>
          <w:sz w:val="20"/>
        </w:rPr>
        <w:t>Stavební práce</w:t>
      </w:r>
      <w:r w:rsidRPr="00C63FAD">
        <w:rPr>
          <w:rFonts w:ascii="Arial" w:hAnsi="Arial" w:cs="Arial"/>
          <w:color w:val="auto"/>
          <w:sz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C63FAD">
        <w:rPr>
          <w:rFonts w:ascii="Arial" w:hAnsi="Arial" w:cs="Arial"/>
          <w:b/>
          <w:bCs/>
          <w:color w:val="auto"/>
          <w:sz w:val="20"/>
        </w:rPr>
        <w:t>Základní stavební výroba (ZSV)</w:t>
      </w:r>
      <w:r w:rsidRPr="00C63FAD">
        <w:rPr>
          <w:rFonts w:ascii="Arial" w:hAnsi="Arial" w:cs="Arial"/>
          <w:i/>
          <w:iCs/>
          <w:color w:val="auto"/>
          <w:sz w:val="20"/>
        </w:rPr>
        <w:t xml:space="preserve"> </w:t>
      </w:r>
      <w:r w:rsidRPr="00C63FAD">
        <w:rPr>
          <w:rFonts w:ascii="Arial" w:hAnsi="Arial" w:cs="Arial"/>
          <w:color w:val="auto"/>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t xml:space="preserve">Pozemní stavitelství zahrnuje veškeré stavební práce provedené na pozemních stavbách v tuzemsku, tj. výstavbu bytových a nebytových budov a specializované stavební činnosti. </w:t>
      </w:r>
    </w:p>
    <w:p w:rsidR="00C75C59" w:rsidRPr="00C63FAD" w:rsidRDefault="00224BF2" w:rsidP="00224BF2">
      <w:pPr>
        <w:pStyle w:val="Normlnweb"/>
        <w:spacing w:before="120" w:beforeAutospacing="0" w:after="0" w:afterAutospacing="0"/>
        <w:jc w:val="both"/>
        <w:rPr>
          <w:rFonts w:ascii="Arial" w:hAnsi="Arial" w:cs="Arial"/>
          <w:color w:val="auto"/>
          <w:sz w:val="20"/>
        </w:rPr>
      </w:pPr>
      <w:r w:rsidRPr="00C63FAD">
        <w:rPr>
          <w:rFonts w:ascii="Arial" w:hAnsi="Arial" w:cs="Arial"/>
          <w:color w:val="auto"/>
          <w:sz w:val="20"/>
        </w:rPr>
        <w:lastRenderedPageBreak/>
        <w:t>Inženýrské stavitelství zahrnuje veškeré práce provedené na inženýrských stavbách (výstavba silnic a železnic, výstavba inženýrských sítí a ostatních staveb jako např. vodních děl).</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t>CESTOVNÍ RUCH</w:t>
      </w:r>
    </w:p>
    <w:p w:rsidR="00EB372D" w:rsidRPr="00C63FAD" w:rsidRDefault="00EB372D" w:rsidP="00EB372D">
      <w:pPr>
        <w:pStyle w:val="Zkladntext"/>
        <w:spacing w:before="120" w:after="120"/>
      </w:pPr>
      <w:r w:rsidRPr="00C63FAD">
        <w:t>Údaje o kapacitách hromadných ubytovacích zařízení a jejich návštěvnosti vycházejí z pravidelného měsíčního a čtvrtletního šetření.</w:t>
      </w:r>
    </w:p>
    <w:p w:rsidR="00EB372D" w:rsidRPr="00C63FAD" w:rsidRDefault="00EB372D" w:rsidP="00EB372D">
      <w:pPr>
        <w:pStyle w:val="Zkladntext"/>
        <w:spacing w:after="120"/>
      </w:pPr>
      <w:r w:rsidRPr="00C63FAD">
        <w:rPr>
          <w:b/>
          <w:bCs/>
          <w:szCs w:val="20"/>
        </w:rPr>
        <w:t>Hromadná ubytovací zařízení</w:t>
      </w:r>
      <w:r w:rsidRPr="00C63FAD">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C63FAD">
        <w:t xml:space="preserve"> Mezi hromadná ubytovací zařízení patří hotely, penziony, turistické ubytovny, chatové osady, kempy a ostatní ubytovací zařízení (např. léčebné lázně, rekreační zařízení podniků, školicí střediska).</w:t>
      </w:r>
    </w:p>
    <w:p w:rsidR="00EB372D" w:rsidRPr="00C63FAD" w:rsidRDefault="00EB372D" w:rsidP="00EB372D">
      <w:pPr>
        <w:pStyle w:val="Rbntext"/>
        <w:spacing w:after="120" w:line="228" w:lineRule="auto"/>
        <w:rPr>
          <w:rFonts w:cs="Arial"/>
          <w:szCs w:val="24"/>
        </w:rPr>
      </w:pPr>
      <w:r w:rsidRPr="00C63FAD">
        <w:rPr>
          <w:rFonts w:cs="Arial"/>
          <w:szCs w:val="24"/>
        </w:rPr>
        <w:t xml:space="preserve">Celkový </w:t>
      </w:r>
      <w:r w:rsidRPr="00C63FAD">
        <w:rPr>
          <w:rFonts w:cs="Arial"/>
          <w:b/>
          <w:szCs w:val="24"/>
        </w:rPr>
        <w:t>počet pokojů</w:t>
      </w:r>
      <w:r w:rsidRPr="00C63FAD">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C63FAD">
        <w:rPr>
          <w:rFonts w:cs="Arial"/>
          <w:b/>
          <w:szCs w:val="24"/>
        </w:rPr>
        <w:t>počet lůžek</w:t>
      </w:r>
      <w:r w:rsidRPr="00C63FAD">
        <w:rPr>
          <w:rFonts w:cs="Arial"/>
          <w:szCs w:val="24"/>
        </w:rPr>
        <w:t xml:space="preserve"> zahrnuje pouze</w:t>
      </w:r>
      <w:r w:rsidR="007639B7">
        <w:rPr>
          <w:rFonts w:cs="Arial"/>
          <w:szCs w:val="24"/>
        </w:rPr>
        <w:t xml:space="preserve"> </w:t>
      </w:r>
      <w:r w:rsidRPr="00C63FAD">
        <w:rPr>
          <w:rFonts w:cs="Arial"/>
          <w:szCs w:val="24"/>
        </w:rPr>
        <w:t>lůžka sloužící pro cestovní ruch, nezahrnuje lůžka příležitostná. Do údajů se zahrnuje maximální kapacita každého hromadného ubytovacího zařízení v daném roce.</w:t>
      </w:r>
    </w:p>
    <w:p w:rsidR="00EB372D" w:rsidRPr="00C63FAD" w:rsidRDefault="00EB372D" w:rsidP="00EB372D">
      <w:pPr>
        <w:pStyle w:val="Rbntext"/>
        <w:spacing w:before="0" w:after="120"/>
        <w:rPr>
          <w:rFonts w:cs="Arial"/>
        </w:rPr>
      </w:pPr>
      <w:r w:rsidRPr="00C63FAD">
        <w:rPr>
          <w:rFonts w:cs="Arial"/>
          <w:b/>
          <w:bCs/>
        </w:rPr>
        <w:t>Host v ubytovacím zařízení</w:t>
      </w:r>
      <w:r w:rsidRPr="00C63FAD">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sidRPr="00C63FAD">
        <w:rPr>
          <w:rFonts w:cs="Arial"/>
          <w:b/>
          <w:bCs/>
        </w:rPr>
        <w:t>rezidenta</w:t>
      </w:r>
      <w:r w:rsidRPr="00C63FAD">
        <w:rPr>
          <w:rFonts w:cs="Arial"/>
        </w:rPr>
        <w:t xml:space="preserve"> se považuje osoba, která má trvalý (stálý) pobyt v České republice. Může to tedy být občan České republiky i cizí státní příslušník trvale žijící na území České republiky. </w:t>
      </w:r>
      <w:r w:rsidRPr="00C63FAD">
        <w:rPr>
          <w:rFonts w:cs="Arial"/>
          <w:b/>
          <w:bCs/>
        </w:rPr>
        <w:t xml:space="preserve">Nerezidentem </w:t>
      </w:r>
      <w:r w:rsidRPr="00C63FAD">
        <w:rPr>
          <w:rFonts w:cs="Arial"/>
        </w:rPr>
        <w:t>je pak osoba, která trvale žije v jiné zemi (včetně občanů České republiky trvale žijících v cizině).</w:t>
      </w:r>
    </w:p>
    <w:p w:rsidR="00EB372D" w:rsidRPr="00C63FAD" w:rsidRDefault="00EB372D" w:rsidP="00EB372D">
      <w:pPr>
        <w:spacing w:after="120"/>
        <w:jc w:val="both"/>
        <w:rPr>
          <w:rFonts w:ascii="Arial" w:hAnsi="Arial" w:cs="Arial"/>
          <w:sz w:val="20"/>
          <w:szCs w:val="20"/>
        </w:rPr>
      </w:pPr>
      <w:r w:rsidRPr="00C63FAD">
        <w:rPr>
          <w:rFonts w:ascii="Arial" w:hAnsi="Arial" w:cs="Arial"/>
          <w:b/>
          <w:sz w:val="20"/>
          <w:szCs w:val="20"/>
        </w:rPr>
        <w:t>Výběrové šetření cestovního ruchu</w:t>
      </w:r>
      <w:r w:rsidRPr="00C63FAD">
        <w:rPr>
          <w:rFonts w:ascii="Arial" w:hAnsi="Arial"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EB372D" w:rsidRPr="00C63FAD" w:rsidRDefault="00EB372D" w:rsidP="00E5328D">
      <w:pPr>
        <w:pStyle w:val="Rbntext"/>
        <w:spacing w:before="0" w:line="228" w:lineRule="auto"/>
        <w:rPr>
          <w:rFonts w:cs="Arial"/>
        </w:rPr>
      </w:pPr>
      <w:r w:rsidRPr="00C63FAD">
        <w:rPr>
          <w:rFonts w:cs="Arial"/>
          <w:b/>
          <w:bCs/>
        </w:rPr>
        <w:t>Delší cestou</w:t>
      </w:r>
      <w:r w:rsidRPr="00C63FAD">
        <w:rPr>
          <w:rFonts w:cs="Arial"/>
        </w:rPr>
        <w:t xml:space="preserve"> se rozumí soukromá cesta, při které osoba alespoň 4x za sebou přenocovala mimo své obvyklé prostředí. </w:t>
      </w:r>
      <w:r w:rsidRPr="00C63FAD">
        <w:rPr>
          <w:rFonts w:cs="Arial"/>
          <w:b/>
          <w:bCs/>
        </w:rPr>
        <w:t xml:space="preserve">Kratší cestou </w:t>
      </w:r>
      <w:r w:rsidRPr="00C63FAD">
        <w:rPr>
          <w:rFonts w:cs="Arial"/>
        </w:rPr>
        <w:t xml:space="preserve">je soukromá cesta (včetně víkendových pobytů), při které osoba alespoň 1x a nejvíce 3x nepřetržitě přenocovala mimo své obvyklé prostředí. </w:t>
      </w:r>
      <w:r w:rsidRPr="00C63FAD">
        <w:rPr>
          <w:rFonts w:cs="Arial"/>
          <w:b/>
        </w:rPr>
        <w:t>Služební cesta</w:t>
      </w:r>
      <w:r w:rsidRPr="00C63FAD">
        <w:rPr>
          <w:rFonts w:cs="Arial"/>
        </w:rPr>
        <w:t xml:space="preserve"> je cesta služebního</w:t>
      </w:r>
      <w:r w:rsidR="008F5202" w:rsidRPr="00C63FAD">
        <w:rPr>
          <w:rFonts w:cs="Arial"/>
        </w:rPr>
        <w:t xml:space="preserve"> (</w:t>
      </w:r>
      <w:r w:rsidRPr="00C63FAD">
        <w:rPr>
          <w:rFonts w:cs="Arial"/>
        </w:rPr>
        <w:t>pracovního</w:t>
      </w:r>
      <w:r w:rsidR="008F5202" w:rsidRPr="00C63FAD">
        <w:rPr>
          <w:rFonts w:cs="Arial"/>
        </w:rPr>
        <w:t>)</w:t>
      </w:r>
      <w:r w:rsidRPr="00C63FAD">
        <w:rPr>
          <w:rFonts w:cs="Arial"/>
        </w:rPr>
        <w:t xml:space="preserve"> charakteru mimo obvyklé prostředí s nejméně jedním přenocováním (patří sem:</w:t>
      </w:r>
      <w:bookmarkStart w:id="0" w:name="_GoBack"/>
      <w:bookmarkEnd w:id="0"/>
      <w:r w:rsidRPr="00C63FAD">
        <w:rPr>
          <w:rFonts w:cs="Arial"/>
        </w:rPr>
        <w:t xml:space="preserve"> kongresy, konference, veletrhy a výstavy, obchodní jednání, firemní mise apod.).</w:t>
      </w:r>
    </w:p>
    <w:p w:rsidR="00076703" w:rsidRPr="00815C7C" w:rsidRDefault="00076703" w:rsidP="00815C7C">
      <w:pPr>
        <w:pStyle w:val="Nadpis8"/>
        <w:rPr>
          <w:rStyle w:val="Siln"/>
          <w:sz w:val="20"/>
        </w:rPr>
      </w:pPr>
    </w:p>
    <w:p w:rsidR="001613CD" w:rsidRPr="00C63FAD" w:rsidRDefault="001613CD">
      <w:pPr>
        <w:pStyle w:val="Nadpis20"/>
        <w:spacing w:before="0" w:line="228" w:lineRule="auto"/>
        <w:rPr>
          <w:rFonts w:cs="Arial"/>
          <w:bCs/>
          <w:sz w:val="24"/>
        </w:rPr>
      </w:pPr>
      <w:r w:rsidRPr="00C63FAD">
        <w:rPr>
          <w:rFonts w:cs="Arial"/>
          <w:bCs/>
          <w:sz w:val="24"/>
        </w:rPr>
        <w:t>CENY</w:t>
      </w:r>
    </w:p>
    <w:p w:rsidR="00EB372D" w:rsidRPr="00C63FAD" w:rsidRDefault="00EB372D" w:rsidP="00EB372D">
      <w:pPr>
        <w:pStyle w:val="Rbntext"/>
        <w:spacing w:after="120" w:line="228" w:lineRule="auto"/>
        <w:rPr>
          <w:rFonts w:cs="Arial"/>
        </w:rPr>
      </w:pPr>
      <w:r w:rsidRPr="00C63FAD">
        <w:rPr>
          <w:rFonts w:cs="Arial"/>
          <w:b/>
          <w:bCs/>
        </w:rPr>
        <w:t xml:space="preserve">Spotřebitelské ceny </w:t>
      </w:r>
      <w:r w:rsidRPr="00C63FAD">
        <w:rPr>
          <w:rFonts w:cs="Arial"/>
        </w:rPr>
        <w:t>jsou průměrné ceny vybraných druhů zboží a služeb (cenových reprezentantů) za kraje v posledním měsíci sledovaného čtvrtletí. Jejich uspořádání v legendě vychází ze struktury spotřebního koše.</w:t>
      </w:r>
    </w:p>
    <w:p w:rsidR="00EB372D" w:rsidRPr="00C63FAD" w:rsidRDefault="00EB372D" w:rsidP="00EB372D">
      <w:pPr>
        <w:pStyle w:val="Rbntext"/>
        <w:spacing w:before="0" w:after="120" w:line="228" w:lineRule="auto"/>
        <w:rPr>
          <w:rFonts w:cs="Arial"/>
          <w:highlight w:val="yellow"/>
        </w:rPr>
      </w:pPr>
      <w:r w:rsidRPr="00C63FAD">
        <w:rPr>
          <w:rFonts w:cs="Arial"/>
          <w:b/>
          <w:bCs/>
        </w:rPr>
        <w:t xml:space="preserve">Ceny zemědělských výrobků </w:t>
      </w:r>
      <w:r w:rsidRPr="00C63FA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C63FAD" w:rsidRDefault="00EB372D" w:rsidP="00EB372D">
      <w:pPr>
        <w:pStyle w:val="Rbntext"/>
        <w:spacing w:before="0" w:after="120" w:line="228" w:lineRule="auto"/>
        <w:rPr>
          <w:rFonts w:cs="Arial"/>
          <w:strike/>
        </w:rPr>
      </w:pPr>
      <w:r w:rsidRPr="00C63FAD">
        <w:rPr>
          <w:rFonts w:cs="Arial"/>
          <w:b/>
          <w:bCs/>
        </w:rPr>
        <w:t>Index spotřebitelských cen</w:t>
      </w:r>
      <w:r w:rsidRPr="00C63FA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EB372D" w:rsidRDefault="00EB372D" w:rsidP="00EB372D">
      <w:pPr>
        <w:pStyle w:val="Rbntext"/>
        <w:spacing w:before="0" w:after="120" w:line="228" w:lineRule="auto"/>
        <w:rPr>
          <w:rFonts w:cs="Arial"/>
        </w:rPr>
      </w:pPr>
      <w:r w:rsidRPr="00C63FAD">
        <w:rPr>
          <w:rFonts w:cs="Arial"/>
        </w:rPr>
        <w:t>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w:t>
      </w:r>
      <w:r w:rsidR="007003DC" w:rsidRPr="00C63FAD">
        <w:rPr>
          <w:rFonts w:cs="Arial"/>
        </w:rPr>
        <w:t>6</w:t>
      </w:r>
      <w:r w:rsidRPr="00C63FAD">
        <w:rPr>
          <w:rFonts w:cs="Arial"/>
        </w:rPr>
        <w:t xml:space="preserve"> jsou publikované cenové indexy vypočteny podle nových revidovaných indexních schémat. Váhy jsou zaktualizovány na základě výdajů domácností </w:t>
      </w:r>
      <w:r w:rsidR="00A90995" w:rsidRPr="00C63FAD">
        <w:rPr>
          <w:rFonts w:cs="Arial"/>
        </w:rPr>
        <w:t xml:space="preserve">podle </w:t>
      </w:r>
      <w:r w:rsidRPr="00C63FAD">
        <w:rPr>
          <w:rFonts w:cs="Arial"/>
        </w:rPr>
        <w:t>statistiky národních účtů v roce 201</w:t>
      </w:r>
      <w:r w:rsidR="007003DC" w:rsidRPr="00C63FAD">
        <w:rPr>
          <w:rFonts w:cs="Arial"/>
        </w:rPr>
        <w:t>4</w:t>
      </w:r>
      <w:r w:rsidRPr="00C63FAD">
        <w:rPr>
          <w:rFonts w:cs="Arial"/>
        </w:rPr>
        <w:t>. Pro detailní cenové reprezentanty je zachována struktura statistiky rodinných účtů z roku 2010</w:t>
      </w:r>
      <w:r w:rsidR="007003DC" w:rsidRPr="00C63FAD">
        <w:rPr>
          <w:rFonts w:cs="Arial"/>
        </w:rPr>
        <w:t xml:space="preserve">, která je průběžně aktualizována na základě </w:t>
      </w:r>
      <w:r w:rsidR="007003DC" w:rsidRPr="00C63FAD">
        <w:rPr>
          <w:rFonts w:cs="Arial"/>
        </w:rPr>
        <w:lastRenderedPageBreak/>
        <w:t>dalších dostupných zdrojů a šetření.</w:t>
      </w:r>
      <w:r w:rsidRPr="00C63FAD">
        <w:rPr>
          <w:rFonts w:cs="Arial"/>
        </w:rPr>
        <w:t xml:space="preserve"> U cenových indexů došlo ke změně ceny základního období z prosince 201</w:t>
      </w:r>
      <w:r w:rsidR="007003DC" w:rsidRPr="00C63FAD">
        <w:rPr>
          <w:rFonts w:cs="Arial"/>
        </w:rPr>
        <w:t>3</w:t>
      </w:r>
      <w:r w:rsidRPr="00C63FAD">
        <w:rPr>
          <w:rFonts w:cs="Arial"/>
        </w:rPr>
        <w:t xml:space="preserve"> na prosinec 201</w:t>
      </w:r>
      <w:r w:rsidR="007003DC" w:rsidRPr="00C63FAD">
        <w:rPr>
          <w:rFonts w:cs="Arial"/>
        </w:rPr>
        <w:t>5</w:t>
      </w:r>
      <w:r w:rsidR="00895EC8">
        <w:rPr>
          <w:rFonts w:cs="Arial"/>
        </w:rPr>
        <w:t>.</w:t>
      </w:r>
    </w:p>
    <w:p w:rsidR="00895EC8" w:rsidRPr="00C63FAD" w:rsidRDefault="00895EC8" w:rsidP="00EB372D">
      <w:pPr>
        <w:pStyle w:val="Rbntext"/>
        <w:spacing w:before="0" w:after="120" w:line="228" w:lineRule="auto"/>
        <w:rPr>
          <w:rFonts w:cs="Arial"/>
        </w:rPr>
      </w:pPr>
      <w:r w:rsidRPr="00895EC8">
        <w:rPr>
          <w:rFonts w:cs="Arial"/>
        </w:rPr>
        <w:t>Od ledna 2017 jsou indexy vypočtené z tohoto základu na všech úrovních spotřebního koše nově řetězeny k indexu o základu průměr roku 2015 = 100. K převedení indexu o základu prosinec 2015 = 100 do časové řady indexů o základu průměr roku 2015 = 100 se používá konstanta (index za prosinec 2015 k základu průměr roku 2015 = 100). Index o základu průměr roku 2015 = 100 je vypočítán vynásobením této konstanty indexem o základu prosinec 2015 = 100. Z výsledné časové řady (o základu průměr roku 2015 = 100) jsou počítány indexy k dalším základům (předchozí měsíc = 100, stejné období předchozího roku = 100 a index klouzavých průměrů za posledních 12 měsíců k průměru 12 předcházejících měsíců).</w:t>
      </w:r>
    </w:p>
    <w:p w:rsidR="00EB372D" w:rsidRPr="00C63FAD" w:rsidRDefault="00EB372D" w:rsidP="00EB372D">
      <w:pPr>
        <w:pStyle w:val="Rbntext"/>
        <w:spacing w:before="0" w:after="120" w:line="228" w:lineRule="auto"/>
        <w:rPr>
          <w:rFonts w:cs="Arial"/>
          <w:b/>
          <w:bCs/>
        </w:rPr>
      </w:pPr>
      <w:r w:rsidRPr="00C63FAD">
        <w:rPr>
          <w:rFonts w:cs="Arial"/>
        </w:rPr>
        <w:t xml:space="preserve">Cenové </w:t>
      </w:r>
      <w:r w:rsidRPr="00C63FAD">
        <w:rPr>
          <w:rStyle w:val="Siln"/>
          <w:rFonts w:cs="Arial"/>
        </w:rPr>
        <w:t>indexy zemědělských výrobců</w:t>
      </w:r>
      <w:r w:rsidRPr="00C63FAD">
        <w:rPr>
          <w:rFonts w:cs="Arial"/>
        </w:rPr>
        <w:t xml:space="preserve"> jsou od ledna 2013 počítány na nových váhových schématech, odvozených od průměru tržeb za roky 2009, 2010 a 2011. Indexy jsou počítány k novému základu průměr roku 2010 = 100. Zveřejněné indexy za roky 2010, 2011 a 2012 </w:t>
      </w:r>
      <w:r w:rsidR="00A90995" w:rsidRPr="00C63FAD">
        <w:rPr>
          <w:rFonts w:cs="Arial"/>
        </w:rPr>
        <w:t xml:space="preserve">byly </w:t>
      </w:r>
      <w:r w:rsidRPr="00C63FAD">
        <w:rPr>
          <w:rFonts w:cs="Arial"/>
        </w:rPr>
        <w:t>revidovány.</w:t>
      </w:r>
    </w:p>
    <w:p w:rsidR="005C7856" w:rsidRDefault="0079256B" w:rsidP="0079256B">
      <w:pPr>
        <w:pStyle w:val="Rbntext"/>
        <w:spacing w:before="0" w:after="120" w:line="228" w:lineRule="auto"/>
        <w:rPr>
          <w:rFonts w:cs="Arial"/>
        </w:rPr>
      </w:pPr>
      <w:r w:rsidRPr="00EB372D">
        <w:rPr>
          <w:rFonts w:cs="Arial"/>
          <w:b/>
          <w:bCs/>
        </w:rPr>
        <w:t xml:space="preserve">Indexy cen průmyslových výrobců </w:t>
      </w:r>
      <w:r w:rsidRPr="00EB372D">
        <w:rPr>
          <w:rFonts w:cs="Arial"/>
        </w:rPr>
        <w:t xml:space="preserve">jsou počítány na základě cen za výběrové soubory reprezentantů a vybrané zpravodajské jednotky agregací jednoduchých indexů cen reprezentantů do úhrnů pomocí výpočetního vzorce typu Laspeyres. </w:t>
      </w:r>
      <w:r w:rsidRPr="00D92090">
        <w:rPr>
          <w:rFonts w:cs="Arial"/>
        </w:rPr>
        <w:t>V průběhu roku 2016 proběhla standardní komplexní revize indexů cen průmyslových výrobců. Na jejím základě jsou cenové indexy od ledna 2017 počítány na nových vahách za rok 2015. Váhy u indexů cen průmyslových výrobců byly stanoveny na základě struktury tuzemských tržeb za rok 2015 z výkazů Prům 2-01, P4-01 a Ceny Prům 1-12.</w:t>
      </w:r>
      <w:r>
        <w:rPr>
          <w:rFonts w:cs="Arial"/>
        </w:rPr>
        <w:t xml:space="preserve"> </w:t>
      </w:r>
      <w:r w:rsidRPr="00D92090">
        <w:rPr>
          <w:rFonts w:cs="Arial"/>
        </w:rPr>
        <w:t>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a ke stávajícímu základu průměr roku 2005 = 100, čímž je zajištěno pokračování současných časových řad indexů.</w:t>
      </w:r>
      <w:r>
        <w:rPr>
          <w:rFonts w:cs="Arial"/>
        </w:rPr>
        <w:t xml:space="preserve"> </w:t>
      </w:r>
    </w:p>
    <w:p w:rsidR="00EB372D" w:rsidRPr="00C63FAD" w:rsidRDefault="00EB372D" w:rsidP="00EB372D">
      <w:pPr>
        <w:pStyle w:val="Rbntext"/>
        <w:spacing w:before="0" w:after="120" w:line="228" w:lineRule="auto"/>
        <w:rPr>
          <w:rFonts w:cs="Arial"/>
        </w:rPr>
      </w:pPr>
      <w:r w:rsidRPr="00C63FAD">
        <w:rPr>
          <w:rFonts w:cs="Arial"/>
          <w:b/>
          <w:bCs/>
        </w:rPr>
        <w:t>Indexy cen stavebních prací</w:t>
      </w:r>
      <w:r w:rsidRPr="00C63FAD">
        <w:rPr>
          <w:rFonts w:cs="Arial"/>
        </w:rPr>
        <w:t xml:space="preserve"> jsou počítány čtvrtletně na základě dat z výkaz</w:t>
      </w:r>
      <w:r w:rsidR="00FA5FFC" w:rsidRPr="00C63FAD">
        <w:rPr>
          <w:rFonts w:cs="Arial"/>
        </w:rPr>
        <w:t>u</w:t>
      </w:r>
      <w:r w:rsidRPr="00C63FAD">
        <w:rPr>
          <w:rFonts w:cs="Arial"/>
        </w:rPr>
        <w:t xml:space="preserve"> Ceny Stav 1-04. </w:t>
      </w:r>
      <w:r w:rsidRPr="00C63FAD">
        <w:rPr>
          <w:rFonts w:cs="Arial"/>
          <w:b/>
          <w:bCs/>
        </w:rPr>
        <w:t>Měsíční cenové indexy stavebních prací</w:t>
      </w:r>
      <w:r w:rsidRPr="00C63FAD">
        <w:rPr>
          <w:rFonts w:cs="Arial"/>
        </w:rPr>
        <w:t xml:space="preserve"> jsou proto odhadovány pomocí výsledků dalších měsíčních šetření ČSÚ. Vstupními hodnotami pro </w:t>
      </w:r>
      <w:r w:rsidRPr="00C63FAD">
        <w:rPr>
          <w:rFonts w:cs="Arial"/>
          <w:b/>
          <w:bCs/>
        </w:rPr>
        <w:t>odhady</w:t>
      </w:r>
      <w:r w:rsidRPr="00C63FA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C63FAD" w:rsidRDefault="00EB372D" w:rsidP="00EB372D">
      <w:pPr>
        <w:pStyle w:val="Rbntext"/>
        <w:spacing w:before="0" w:after="120" w:line="228" w:lineRule="auto"/>
        <w:rPr>
          <w:rFonts w:cs="Arial"/>
        </w:rPr>
      </w:pPr>
      <w:r w:rsidRPr="00C63FAD">
        <w:rPr>
          <w:rFonts w:cs="Arial"/>
        </w:rPr>
        <w:t xml:space="preserve">Odhady měsíčního vývoje cenových indexů stavebních prací se vždy po uplynutí čtvrtletí (45. den) </w:t>
      </w:r>
      <w:r w:rsidRPr="00C63FAD">
        <w:rPr>
          <w:rFonts w:cs="Arial"/>
          <w:b/>
          <w:bCs/>
        </w:rPr>
        <w:t xml:space="preserve">zpětně zpřesňují </w:t>
      </w:r>
      <w:r w:rsidRPr="00C63FAD">
        <w:rPr>
          <w:rFonts w:cs="Arial"/>
          <w:bCs/>
        </w:rPr>
        <w:t>(běžně revidují)</w:t>
      </w:r>
      <w:r w:rsidRPr="00C63FA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C63FAD">
        <w:rPr>
          <w:rFonts w:cs="Arial"/>
          <w:b/>
          <w:bCs/>
        </w:rPr>
        <w:t xml:space="preserve">Základním obdobím publikované časové řady </w:t>
      </w:r>
      <w:r w:rsidRPr="00C63FAD">
        <w:rPr>
          <w:rFonts w:cs="Arial"/>
        </w:rPr>
        <w:t xml:space="preserve">je nadále </w:t>
      </w:r>
      <w:r w:rsidRPr="00C63FAD">
        <w:rPr>
          <w:rFonts w:cs="Arial"/>
          <w:b/>
          <w:bCs/>
        </w:rPr>
        <w:t>rok 2005 a základní cenovou hladinou je průměr za rok 2005</w:t>
      </w:r>
      <w:r w:rsidRPr="00C63FAD">
        <w:rPr>
          <w:rFonts w:cs="Arial"/>
        </w:rPr>
        <w:t xml:space="preserve">. Odvozeně jsou počítány indexy meziroční a meziměsíční. Časové řady plynule navazují na předchozí publikované cenové indexy. </w:t>
      </w:r>
    </w:p>
    <w:p w:rsidR="00EB372D" w:rsidRPr="00C63FAD" w:rsidRDefault="00EB372D" w:rsidP="00EB372D">
      <w:pPr>
        <w:pStyle w:val="Rbntext"/>
        <w:spacing w:before="0" w:after="120" w:line="228" w:lineRule="auto"/>
        <w:rPr>
          <w:rFonts w:cs="Arial"/>
        </w:rPr>
      </w:pPr>
      <w:r w:rsidRPr="00C63FAD">
        <w:rPr>
          <w:rFonts w:cs="Arial"/>
        </w:rPr>
        <w:t xml:space="preserve">Cenové </w:t>
      </w:r>
      <w:r w:rsidRPr="00C63FAD">
        <w:rPr>
          <w:rStyle w:val="Siln"/>
          <w:rFonts w:cs="Arial"/>
        </w:rPr>
        <w:t>indexy tržních služeb</w:t>
      </w:r>
      <w:r w:rsidRPr="00C63FAD">
        <w:rPr>
          <w:rFonts w:cs="Arial"/>
        </w:rPr>
        <w:t xml:space="preserve"> jsou od ledna 2013 počítány na nových vahách, založených na struktuře tržeb roku 2011. Nově vypočtené indexy k základu průměr roku 2011 = 100 jsou řetězeny ke stávajícímu cenovému základu průměr roku 2005 = 100, čímž je zajištěno pokračování dosavadních časových řad indexů. Dosud publikované indexy nebudou revidovány.</w:t>
      </w:r>
    </w:p>
    <w:p w:rsidR="00EB372D" w:rsidRPr="00C63FAD" w:rsidRDefault="00EB372D" w:rsidP="00E5328D">
      <w:pPr>
        <w:jc w:val="both"/>
        <w:rPr>
          <w:rFonts w:ascii="Arial" w:hAnsi="Arial" w:cs="Arial"/>
          <w:sz w:val="20"/>
          <w:szCs w:val="20"/>
        </w:rPr>
      </w:pPr>
      <w:r w:rsidRPr="00C63FAD">
        <w:rPr>
          <w:rFonts w:ascii="Arial" w:hAnsi="Arial" w:cs="Arial"/>
          <w:b/>
          <w:bCs/>
          <w:sz w:val="20"/>
          <w:szCs w:val="20"/>
        </w:rPr>
        <w:t xml:space="preserve">Průměrné ceny vybraných výrobků průmyslových výrobců </w:t>
      </w:r>
      <w:r w:rsidRPr="00C63FAD">
        <w:rPr>
          <w:rFonts w:ascii="Arial" w:hAnsi="Arial" w:cs="Arial"/>
          <w:sz w:val="20"/>
          <w:szCs w:val="20"/>
        </w:rPr>
        <w:t>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815C7C" w:rsidRDefault="00E55CBE" w:rsidP="00815C7C">
      <w:pPr>
        <w:pStyle w:val="Nadpis8"/>
        <w:rPr>
          <w:rStyle w:val="Siln"/>
          <w:sz w:val="20"/>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34429F" w:rsidRDefault="0034429F" w:rsidP="0034429F">
      <w:pPr>
        <w:spacing w:before="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34429F" w:rsidRDefault="0034429F" w:rsidP="0034429F">
      <w:pPr>
        <w:spacing w:before="120" w:line="228" w:lineRule="auto"/>
        <w:jc w:val="both"/>
        <w:rPr>
          <w:rFonts w:ascii="Arial" w:hAnsi="Arial" w:cs="Arial"/>
          <w:sz w:val="20"/>
        </w:rPr>
      </w:pPr>
      <w:r>
        <w:rPr>
          <w:rFonts w:ascii="Arial" w:hAnsi="Arial" w:cs="Arial"/>
          <w:sz w:val="20"/>
        </w:rPr>
        <w:t xml:space="preserve">Data o zjištěných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34429F" w:rsidRDefault="0034429F" w:rsidP="0034429F">
      <w:pPr>
        <w:spacing w:before="120" w:line="228" w:lineRule="auto"/>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 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34429F" w:rsidRPr="003B36FF" w:rsidRDefault="0034429F" w:rsidP="003B36FF">
      <w:pPr>
        <w:spacing w:before="120" w:line="228" w:lineRule="auto"/>
        <w:jc w:val="both"/>
        <w:rPr>
          <w:sz w:val="20"/>
          <w:szCs w:val="20"/>
        </w:rPr>
      </w:pPr>
      <w:r w:rsidRPr="003B36FF">
        <w:rPr>
          <w:rFonts w:ascii="Arial" w:hAnsi="Arial" w:cs="Arial"/>
          <w:b/>
          <w:bCs/>
          <w:sz w:val="18"/>
          <w:szCs w:val="18"/>
        </w:rPr>
        <w:t>Dopravní nehody</w:t>
      </w:r>
      <w:r w:rsidRPr="003B36FF">
        <w:rPr>
          <w:rFonts w:ascii="Arial" w:hAnsi="Arial" w:cs="Arial"/>
          <w:sz w:val="18"/>
          <w:szCs w:val="18"/>
        </w:rPr>
        <w:t xml:space="preserve"> zahrnují všechny nehody nahlášené Policii České republiky. Počet usmrcených, těžce a lehce zraněných odpovídá stavu do 24 hodin po nehodě. Hmotná škoda zahrnuje škodu na vozidlech, jejich nákladu nebo </w:t>
      </w:r>
      <w:r w:rsidRPr="003B36FF">
        <w:rPr>
          <w:rFonts w:ascii="Arial" w:hAnsi="Arial" w:cs="Arial"/>
          <w:sz w:val="20"/>
          <w:szCs w:val="20"/>
        </w:rPr>
        <w:t>na zařízení komunikace</w:t>
      </w:r>
      <w:r w:rsidRPr="003B36FF">
        <w:rPr>
          <w:rFonts w:cs="Arial"/>
          <w:sz w:val="20"/>
          <w:szCs w:val="20"/>
        </w:rPr>
        <w:t>.</w:t>
      </w:r>
    </w:p>
    <w:p w:rsidR="0034429F" w:rsidRPr="003B36FF" w:rsidRDefault="0034429F" w:rsidP="003B36FF">
      <w:pPr>
        <w:spacing w:before="120" w:line="228" w:lineRule="auto"/>
        <w:jc w:val="both"/>
        <w:rPr>
          <w:rFonts w:ascii="Arial" w:hAnsi="Arial" w:cs="Arial"/>
          <w:sz w:val="20"/>
          <w:szCs w:val="20"/>
        </w:rPr>
      </w:pPr>
      <w:r w:rsidRPr="003B36FF">
        <w:rPr>
          <w:rFonts w:ascii="Arial" w:hAnsi="Arial" w:cs="Arial"/>
          <w:sz w:val="20"/>
          <w:szCs w:val="20"/>
        </w:rPr>
        <w:t xml:space="preserve">Údaje o </w:t>
      </w:r>
      <w:r w:rsidRPr="003B36FF">
        <w:rPr>
          <w:rFonts w:ascii="Arial" w:hAnsi="Arial" w:cs="Arial"/>
          <w:b/>
          <w:bCs/>
          <w:sz w:val="20"/>
          <w:szCs w:val="20"/>
        </w:rPr>
        <w:t>požárech</w:t>
      </w:r>
      <w:r w:rsidRPr="003B36FF">
        <w:rPr>
          <w:rFonts w:ascii="Arial" w:hAnsi="Arial" w:cs="Arial"/>
          <w:sz w:val="20"/>
          <w:szCs w:val="20"/>
        </w:rPr>
        <w:t xml:space="preserve"> byly převzaty z podkladů Hasičského záchranného sboru ČR.</w:t>
      </w:r>
    </w:p>
    <w:p w:rsidR="003B36FF" w:rsidRPr="00A650B4" w:rsidRDefault="003B36FF" w:rsidP="0034429F">
      <w:pPr>
        <w:pStyle w:val="Rbntext"/>
        <w:spacing w:before="0" w:line="228" w:lineRule="auto"/>
        <w:rPr>
          <w:rFonts w:cs="Arial"/>
          <w:b/>
          <w:bCs/>
          <w:sz w:val="24"/>
          <w:szCs w:val="24"/>
        </w:rPr>
      </w:pPr>
    </w:p>
    <w:p w:rsidR="009703EF" w:rsidRDefault="009703EF" w:rsidP="00145516">
      <w:pPr>
        <w:pStyle w:val="Nadpis20"/>
        <w:spacing w:before="0" w:line="228" w:lineRule="auto"/>
        <w:rPr>
          <w:rFonts w:cs="Arial"/>
          <w:bCs/>
          <w:sz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i.d</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3B36FF">
        <w:rPr>
          <w:rFonts w:ascii="Arial" w:hAnsi="Arial" w:cs="Arial"/>
          <w:sz w:val="20"/>
        </w:rPr>
        <w:t>7</w:t>
      </w:r>
      <w:r w:rsidRPr="00C63FAD">
        <w:rPr>
          <w:rFonts w:ascii="Arial" w:hAnsi="Arial" w:cs="Arial"/>
          <w:sz w:val="20"/>
        </w:rPr>
        <w:t>/201</w:t>
      </w:r>
      <w:r w:rsidR="003B36FF">
        <w:rPr>
          <w:rFonts w:ascii="Arial" w:hAnsi="Arial" w:cs="Arial"/>
          <w:sz w:val="20"/>
        </w:rPr>
        <w:t>6</w:t>
      </w:r>
      <w:r w:rsidRPr="00C63FAD">
        <w:rPr>
          <w:rFonts w:ascii="Arial" w:hAnsi="Arial" w:cs="Arial"/>
          <w:sz w:val="20"/>
        </w:rPr>
        <w:t>, respektive 201</w:t>
      </w:r>
      <w:r w:rsidR="003B36FF">
        <w:rPr>
          <w:rFonts w:ascii="Arial" w:hAnsi="Arial" w:cs="Arial"/>
          <w:sz w:val="20"/>
        </w:rPr>
        <w:t>6</w:t>
      </w:r>
      <w:r w:rsidRPr="00C63FAD">
        <w:rPr>
          <w:rFonts w:ascii="Arial" w:hAnsi="Arial" w:cs="Arial"/>
          <w:sz w:val="20"/>
        </w:rPr>
        <w:t>/201</w:t>
      </w:r>
      <w:r w:rsidR="003B36FF">
        <w:rPr>
          <w:rFonts w:ascii="Arial" w:hAnsi="Arial" w:cs="Arial"/>
          <w:sz w:val="20"/>
        </w:rPr>
        <w:t>5</w:t>
      </w:r>
      <w:r w:rsidRPr="00C63FAD">
        <w:rPr>
          <w:rFonts w:ascii="Arial" w:hAnsi="Arial" w:cs="Arial"/>
          <w:sz w:val="20"/>
        </w:rPr>
        <w:t>, jsou uváděny v %.</w:t>
      </w:r>
    </w:p>
    <w:sectPr w:rsidR="003A617B" w:rsidRPr="00C63FAD"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276FFE">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BF7FD8">
      <w:rPr>
        <w:rStyle w:val="slostrnky"/>
        <w:noProof/>
      </w:rPr>
      <w:t>5</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D454FC">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4FC" w:rsidRDefault="00D454FC">
    <w:pPr>
      <w:pStyle w:val="Zhlav"/>
      <w:jc w:val="center"/>
      <w:rPr>
        <w:b/>
        <w:bCs/>
        <w:sz w:val="24"/>
      </w:rPr>
    </w:pPr>
    <w:r>
      <w:rPr>
        <w:b/>
        <w:bCs/>
        <w:sz w:val="24"/>
      </w:rPr>
      <w:t>METODICKÉ  VYSVĚTLIVKY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3518E"/>
    <w:rsid w:val="00056DCA"/>
    <w:rsid w:val="000645A7"/>
    <w:rsid w:val="00076703"/>
    <w:rsid w:val="00084D9B"/>
    <w:rsid w:val="000B5E2F"/>
    <w:rsid w:val="000F3315"/>
    <w:rsid w:val="000F4D30"/>
    <w:rsid w:val="000F649F"/>
    <w:rsid w:val="00111AB0"/>
    <w:rsid w:val="00144A26"/>
    <w:rsid w:val="00145516"/>
    <w:rsid w:val="001613CD"/>
    <w:rsid w:val="00181802"/>
    <w:rsid w:val="001950B2"/>
    <w:rsid w:val="001A75A9"/>
    <w:rsid w:val="001B593D"/>
    <w:rsid w:val="001B7B3E"/>
    <w:rsid w:val="001C0952"/>
    <w:rsid w:val="001E5325"/>
    <w:rsid w:val="001F038B"/>
    <w:rsid w:val="00206A0D"/>
    <w:rsid w:val="002107AF"/>
    <w:rsid w:val="00221F5E"/>
    <w:rsid w:val="00224BF2"/>
    <w:rsid w:val="00276BEE"/>
    <w:rsid w:val="00276FFE"/>
    <w:rsid w:val="002B41D5"/>
    <w:rsid w:val="002C1422"/>
    <w:rsid w:val="002D562D"/>
    <w:rsid w:val="003175E6"/>
    <w:rsid w:val="0032458C"/>
    <w:rsid w:val="0033610D"/>
    <w:rsid w:val="0034429F"/>
    <w:rsid w:val="00374492"/>
    <w:rsid w:val="003A617B"/>
    <w:rsid w:val="003A6A47"/>
    <w:rsid w:val="003B36FF"/>
    <w:rsid w:val="003C207C"/>
    <w:rsid w:val="003D6D1D"/>
    <w:rsid w:val="003E03B6"/>
    <w:rsid w:val="003E0A67"/>
    <w:rsid w:val="003F68BA"/>
    <w:rsid w:val="00405671"/>
    <w:rsid w:val="004243EF"/>
    <w:rsid w:val="00432B7E"/>
    <w:rsid w:val="0045273C"/>
    <w:rsid w:val="00471816"/>
    <w:rsid w:val="00474DFE"/>
    <w:rsid w:val="00483B94"/>
    <w:rsid w:val="00485AB3"/>
    <w:rsid w:val="004973B8"/>
    <w:rsid w:val="004E3467"/>
    <w:rsid w:val="004E596E"/>
    <w:rsid w:val="004E763F"/>
    <w:rsid w:val="004F4394"/>
    <w:rsid w:val="005119B0"/>
    <w:rsid w:val="0053315E"/>
    <w:rsid w:val="00543DEE"/>
    <w:rsid w:val="00544311"/>
    <w:rsid w:val="0054674E"/>
    <w:rsid w:val="00554481"/>
    <w:rsid w:val="00557118"/>
    <w:rsid w:val="00561EF0"/>
    <w:rsid w:val="00584D9A"/>
    <w:rsid w:val="00597E81"/>
    <w:rsid w:val="005A62E9"/>
    <w:rsid w:val="005A70A3"/>
    <w:rsid w:val="005A7B7F"/>
    <w:rsid w:val="005C7856"/>
    <w:rsid w:val="005D197A"/>
    <w:rsid w:val="006058EB"/>
    <w:rsid w:val="00644C64"/>
    <w:rsid w:val="00655228"/>
    <w:rsid w:val="0066431A"/>
    <w:rsid w:val="00671EAA"/>
    <w:rsid w:val="006767BC"/>
    <w:rsid w:val="0068466A"/>
    <w:rsid w:val="006A233D"/>
    <w:rsid w:val="006B2CD1"/>
    <w:rsid w:val="006C1291"/>
    <w:rsid w:val="006C63A8"/>
    <w:rsid w:val="006D1634"/>
    <w:rsid w:val="006D3A53"/>
    <w:rsid w:val="006D6D51"/>
    <w:rsid w:val="006E3019"/>
    <w:rsid w:val="007003DC"/>
    <w:rsid w:val="007012DA"/>
    <w:rsid w:val="00714181"/>
    <w:rsid w:val="007166B0"/>
    <w:rsid w:val="00717B0B"/>
    <w:rsid w:val="00726CDC"/>
    <w:rsid w:val="007639B7"/>
    <w:rsid w:val="00767361"/>
    <w:rsid w:val="0079256B"/>
    <w:rsid w:val="007B3135"/>
    <w:rsid w:val="007B5D42"/>
    <w:rsid w:val="007C2441"/>
    <w:rsid w:val="007E228D"/>
    <w:rsid w:val="007F0639"/>
    <w:rsid w:val="007F638D"/>
    <w:rsid w:val="00812E3B"/>
    <w:rsid w:val="00813FC0"/>
    <w:rsid w:val="00814D7F"/>
    <w:rsid w:val="00815C7C"/>
    <w:rsid w:val="008340DA"/>
    <w:rsid w:val="0083418A"/>
    <w:rsid w:val="00843265"/>
    <w:rsid w:val="00895EC8"/>
    <w:rsid w:val="00897F81"/>
    <w:rsid w:val="008A42D8"/>
    <w:rsid w:val="008C6169"/>
    <w:rsid w:val="008D1CC6"/>
    <w:rsid w:val="008D363E"/>
    <w:rsid w:val="008F0599"/>
    <w:rsid w:val="008F5202"/>
    <w:rsid w:val="00905AB6"/>
    <w:rsid w:val="00933876"/>
    <w:rsid w:val="00935912"/>
    <w:rsid w:val="009442FF"/>
    <w:rsid w:val="00956E81"/>
    <w:rsid w:val="00957B75"/>
    <w:rsid w:val="009629D9"/>
    <w:rsid w:val="009646E9"/>
    <w:rsid w:val="00970347"/>
    <w:rsid w:val="009703EF"/>
    <w:rsid w:val="009C5FE5"/>
    <w:rsid w:val="009D6EF3"/>
    <w:rsid w:val="009E00D4"/>
    <w:rsid w:val="009F2EFB"/>
    <w:rsid w:val="00A045CC"/>
    <w:rsid w:val="00A301F5"/>
    <w:rsid w:val="00A33CEA"/>
    <w:rsid w:val="00A56FAA"/>
    <w:rsid w:val="00A650B4"/>
    <w:rsid w:val="00A82BFD"/>
    <w:rsid w:val="00A831B9"/>
    <w:rsid w:val="00A90995"/>
    <w:rsid w:val="00AA7877"/>
    <w:rsid w:val="00AD3BE8"/>
    <w:rsid w:val="00B048DE"/>
    <w:rsid w:val="00B2092E"/>
    <w:rsid w:val="00B30D8A"/>
    <w:rsid w:val="00B862CB"/>
    <w:rsid w:val="00B93505"/>
    <w:rsid w:val="00B95665"/>
    <w:rsid w:val="00BC08CC"/>
    <w:rsid w:val="00BD2EC3"/>
    <w:rsid w:val="00BE70D9"/>
    <w:rsid w:val="00BF7FD8"/>
    <w:rsid w:val="00C14E0A"/>
    <w:rsid w:val="00C6244D"/>
    <w:rsid w:val="00C63FAD"/>
    <w:rsid w:val="00C75C59"/>
    <w:rsid w:val="00C92701"/>
    <w:rsid w:val="00CA2FB3"/>
    <w:rsid w:val="00CC1FBA"/>
    <w:rsid w:val="00CF5312"/>
    <w:rsid w:val="00D006FF"/>
    <w:rsid w:val="00D20F62"/>
    <w:rsid w:val="00D24220"/>
    <w:rsid w:val="00D454FC"/>
    <w:rsid w:val="00D65896"/>
    <w:rsid w:val="00D73C03"/>
    <w:rsid w:val="00D928BF"/>
    <w:rsid w:val="00DA0916"/>
    <w:rsid w:val="00DA573C"/>
    <w:rsid w:val="00DA6DC9"/>
    <w:rsid w:val="00DF54F1"/>
    <w:rsid w:val="00E04409"/>
    <w:rsid w:val="00E32933"/>
    <w:rsid w:val="00E45CE4"/>
    <w:rsid w:val="00E5328D"/>
    <w:rsid w:val="00E55CBE"/>
    <w:rsid w:val="00E6298F"/>
    <w:rsid w:val="00E87A33"/>
    <w:rsid w:val="00E947DA"/>
    <w:rsid w:val="00E95B0D"/>
    <w:rsid w:val="00EB372D"/>
    <w:rsid w:val="00EC1D74"/>
    <w:rsid w:val="00EE6248"/>
    <w:rsid w:val="00EE633C"/>
    <w:rsid w:val="00EF27D4"/>
    <w:rsid w:val="00F01EE3"/>
    <w:rsid w:val="00F03E13"/>
    <w:rsid w:val="00F05DD8"/>
    <w:rsid w:val="00F162EF"/>
    <w:rsid w:val="00F3686A"/>
    <w:rsid w:val="00F50B9C"/>
    <w:rsid w:val="00F70D76"/>
    <w:rsid w:val="00FA06ED"/>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s>
</file>

<file path=word/webSettings.xml><?xml version="1.0" encoding="utf-8"?>
<w:webSettings xmlns:r="http://schemas.openxmlformats.org/officeDocument/2006/relationships" xmlns:w="http://schemas.openxmlformats.org/wordprocessingml/2006/main">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31637-AD2A-42DE-A2C2-CB9E2670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3618</Words>
  <Characters>22078</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25645</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operator</cp:lastModifiedBy>
  <cp:revision>4</cp:revision>
  <cp:lastPrinted>2015-06-15T15:16:00Z</cp:lastPrinted>
  <dcterms:created xsi:type="dcterms:W3CDTF">2017-06-28T08:24:00Z</dcterms:created>
  <dcterms:modified xsi:type="dcterms:W3CDTF">2017-12-28T10:13:00Z</dcterms:modified>
</cp:coreProperties>
</file>