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04" w:rsidRDefault="007D3B04" w:rsidP="007D3B04">
      <w:pPr>
        <w:pStyle w:val="Nadpis1"/>
      </w:pPr>
      <w:bookmarkStart w:id="0" w:name="_Toc499711617"/>
      <w:bookmarkStart w:id="1" w:name="_GoBack"/>
      <w:bookmarkEnd w:id="1"/>
      <w:r>
        <w:t>6. Mezinárodní srovnání</w:t>
      </w:r>
      <w:bookmarkEnd w:id="0"/>
    </w:p>
    <w:p w:rsidR="008366E2" w:rsidRDefault="00765B47" w:rsidP="008366E2">
      <w:pPr>
        <w:pStyle w:val="Nadpis2"/>
      </w:pPr>
      <w:bookmarkStart w:id="2" w:name="_Toc499711618"/>
      <w:r>
        <w:t>6.1</w:t>
      </w:r>
      <w:r w:rsidR="008366E2">
        <w:t xml:space="preserve"> Naděje dožití podle pohlaví</w:t>
      </w:r>
      <w:bookmarkEnd w:id="2"/>
    </w:p>
    <w:p w:rsidR="00D63E61" w:rsidRDefault="00D63E61" w:rsidP="00D63E6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Naděje dožití při narození mužů v 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jako celku </w:t>
      </w:r>
      <w:proofErr w:type="gramStart"/>
      <w:r>
        <w:rPr>
          <w:rFonts w:cs="Arial"/>
          <w:szCs w:val="20"/>
        </w:rPr>
        <w:t>narostla z 75,8</w:t>
      </w:r>
      <w:proofErr w:type="gramEnd"/>
      <w:r>
        <w:rPr>
          <w:rFonts w:cs="Arial"/>
          <w:szCs w:val="20"/>
        </w:rPr>
        <w:t xml:space="preserve"> let v roce 2006 na 77,9 let v roce 2015 (poslední dostupná data). Růst byl zaznamenán každoročně s výjimkou posledního sledovaného roku, kdy došlo k poklesu z 78,1 let. Relativní nárůst za celé období činil 2,8 % a byl mírně nižší než v ČR (3,0 %), kde se naděje dožití mezi lety 2006 a 2015 zvýšila z 73,5 let na 75,7 let, přičemž klesla také pouze mezi roky 2014 a 2015 (o 0,1 roku). V celém zkoumaném období dosahovala ČR devatenácté nejvyšší hodnoty naděje dožití při narození u mužů v rámci 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>. Ze zemí bývalého východního bloku mělo v roce 2015 pouze Slovinsko lepší úroveň ukazatele (o 2,1 roku).</w:t>
      </w:r>
    </w:p>
    <w:p w:rsidR="00882BF5" w:rsidRPr="004E4A71" w:rsidRDefault="009C44E8" w:rsidP="009C44E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B037DA">
        <w:rPr>
          <w:rFonts w:cs="Arial"/>
          <w:szCs w:val="20"/>
        </w:rPr>
        <w:t xml:space="preserve"> </w:t>
      </w:r>
      <w:r w:rsidR="00252106">
        <w:rPr>
          <w:rFonts w:cs="Arial"/>
          <w:szCs w:val="20"/>
        </w:rPr>
        <w:t xml:space="preserve"> </w:t>
      </w:r>
    </w:p>
    <w:p w:rsidR="00D63E61" w:rsidRDefault="00D63E61" w:rsidP="00F6043F">
      <w:pPr>
        <w:rPr>
          <w:rFonts w:cs="Arial"/>
          <w:szCs w:val="20"/>
        </w:rPr>
      </w:pPr>
      <w:r w:rsidRPr="007A34B4">
        <w:rPr>
          <w:rFonts w:cs="Arial"/>
          <w:szCs w:val="20"/>
        </w:rPr>
        <w:t>Nej</w:t>
      </w:r>
      <w:r>
        <w:rPr>
          <w:rFonts w:cs="Arial"/>
          <w:szCs w:val="20"/>
        </w:rPr>
        <w:t>delší střední délku života měli muži mezi roky 2006 až 2012 a v roce 2015 (80,4 roku) ve Švédsku, v letech 2013 a 2014 v Itálii. Mezi další země s jednou z nejvyšších hodnot naděje dožití při narození patřily Španělsko, Kypr a Nizozemsko (viz přílohová tabulka 22). Naopak nejhorší úmrtností poměry lze nalézt ve východní Evropě. Litva a Lotyšsko se ve zkoumaném období s výrazným odstupem střídaly na pozici státu s nejnižší nadějí dožití v případě mužů. I přesto, že relativní nárůst naděje dožití zde byl jeden z nejvyšších (od roku 2006 o 7,2 % v Lotyšsku a o 6,5 % v Litvě), ani v roce 2015 střední délka života mužů nepřesáhla hranici 70 let (v Litvě 69,2 let a v Lotyšsku 69,7 let). Výrazně nízká byla hodnota tohoto ukazatele i v Bulharsku, Rumunsku a Maďarsku. K nejvyššímu růstu naděje dožití</w:t>
      </w:r>
      <w:r w:rsidR="00050751">
        <w:rPr>
          <w:rFonts w:cs="Arial"/>
          <w:szCs w:val="20"/>
        </w:rPr>
        <w:t xml:space="preserve"> v 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mezi roky 2006 a 2015 došlo v Estonsku z 67,6 let na 73,2 let (o 8,3 %). Naopak v Německu byl růst naděje dožití nejnižší, pouhých 1,4 %, a jeho pozice v rámci 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poklesla z osmého na šestnácté místo z hlediska výše naděje dožití při narození u mužů.     </w:t>
      </w:r>
    </w:p>
    <w:p w:rsidR="00AD6DBB" w:rsidRPr="002C7B4E" w:rsidRDefault="00765B47" w:rsidP="002C7B4E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18</w:t>
      </w:r>
      <w:r w:rsidR="00882BF5" w:rsidRPr="002C7B4E">
        <w:rPr>
          <w:rFonts w:cs="Arial"/>
          <w:b/>
          <w:szCs w:val="20"/>
        </w:rPr>
        <w:t xml:space="preserve"> Naděje dožití při narození u mužů ve vybraných zemích </w:t>
      </w:r>
      <w:r w:rsidR="00027B60">
        <w:rPr>
          <w:rFonts w:cs="Arial"/>
          <w:b/>
          <w:szCs w:val="20"/>
        </w:rPr>
        <w:t>EU28</w:t>
      </w:r>
      <w:r w:rsidR="00882BF5" w:rsidRPr="002C7B4E">
        <w:rPr>
          <w:rFonts w:cs="Arial"/>
          <w:b/>
          <w:szCs w:val="20"/>
        </w:rPr>
        <w:t xml:space="preserve"> v letech 2006–2015</w:t>
      </w:r>
      <w:r w:rsidR="00882BF5" w:rsidRPr="00B0562E">
        <w:rPr>
          <w:rFonts w:cs="Arial"/>
          <w:b/>
          <w:szCs w:val="20"/>
          <w:vertAlign w:val="superscript"/>
        </w:rPr>
        <w:t>1)</w:t>
      </w:r>
    </w:p>
    <w:p w:rsidR="00882BF5" w:rsidRPr="00882BF5" w:rsidRDefault="00027B60" w:rsidP="00882BF5">
      <w:r w:rsidRPr="00027B60"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419725" cy="28765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A5E" w:rsidRDefault="00F62A5E" w:rsidP="00F62A5E"/>
    <w:p w:rsidR="00F62A5E" w:rsidRDefault="00F62A5E" w:rsidP="00F62A5E"/>
    <w:p w:rsidR="00F62A5E" w:rsidRDefault="00F62A5E" w:rsidP="00F62A5E"/>
    <w:p w:rsidR="00F62A5E" w:rsidRPr="00F62A5E" w:rsidRDefault="00F62A5E" w:rsidP="00F62A5E"/>
    <w:p w:rsidR="00AD6DBB" w:rsidRDefault="00AD6DBB" w:rsidP="007D3B04">
      <w:pPr>
        <w:pStyle w:val="Nadpis2"/>
      </w:pPr>
    </w:p>
    <w:p w:rsidR="00AD6DBB" w:rsidRDefault="00AD6DBB" w:rsidP="007D3B04">
      <w:pPr>
        <w:pStyle w:val="Nadpis2"/>
      </w:pPr>
    </w:p>
    <w:p w:rsidR="00AD6DBB" w:rsidRDefault="00AD6DBB" w:rsidP="007D3B04">
      <w:pPr>
        <w:pStyle w:val="Nadpis2"/>
      </w:pPr>
    </w:p>
    <w:p w:rsidR="00AD6DBB" w:rsidRDefault="00AD6DBB" w:rsidP="007D3B04">
      <w:pPr>
        <w:pStyle w:val="Nadpis2"/>
      </w:pPr>
    </w:p>
    <w:p w:rsidR="00882BF5" w:rsidRDefault="00882BF5" w:rsidP="00882BF5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</w:p>
    <w:p w:rsidR="00882BF5" w:rsidRDefault="00882BF5" w:rsidP="009C44E8">
      <w:pPr>
        <w:spacing w:after="0"/>
        <w:rPr>
          <w:rFonts w:ascii="Arial CE" w:hAnsi="Arial CE" w:cs="Arial CE"/>
          <w:i/>
          <w:iCs/>
          <w:sz w:val="16"/>
          <w:szCs w:val="16"/>
        </w:rPr>
      </w:pPr>
    </w:p>
    <w:p w:rsidR="00882BF5" w:rsidRDefault="00882BF5" w:rsidP="00882BF5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  <w:r w:rsidRPr="00AD6DBB">
        <w:rPr>
          <w:rFonts w:ascii="Arial CE" w:hAnsi="Arial CE" w:cs="Arial CE"/>
          <w:i/>
          <w:iCs/>
          <w:sz w:val="16"/>
          <w:szCs w:val="16"/>
        </w:rPr>
        <w:t>Zdroj dat: databáze Eurostatu</w:t>
      </w:r>
    </w:p>
    <w:p w:rsidR="00882BF5" w:rsidRDefault="00882BF5" w:rsidP="00882BF5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  <w:r w:rsidRPr="00882BF5">
        <w:rPr>
          <w:rFonts w:ascii="Arial CE" w:hAnsi="Arial CE" w:cs="Arial CE"/>
          <w:i/>
          <w:iCs/>
          <w:sz w:val="16"/>
          <w:szCs w:val="16"/>
        </w:rPr>
        <w:t xml:space="preserve">1) </w:t>
      </w:r>
      <w:r w:rsidR="002930BF" w:rsidRPr="00882BF5">
        <w:rPr>
          <w:rFonts w:ascii="Arial CE" w:hAnsi="Arial CE" w:cs="Arial CE"/>
          <w:i/>
          <w:iCs/>
          <w:sz w:val="16"/>
          <w:szCs w:val="16"/>
        </w:rPr>
        <w:t xml:space="preserve">Poslední dostupná data. Hodnoty za ČR od Eurostatu se mohou </w:t>
      </w:r>
      <w:r w:rsidR="002930BF">
        <w:rPr>
          <w:rFonts w:ascii="Arial CE" w:hAnsi="Arial CE" w:cs="Arial CE"/>
          <w:i/>
          <w:iCs/>
          <w:sz w:val="16"/>
          <w:szCs w:val="16"/>
        </w:rPr>
        <w:t xml:space="preserve">mírně </w:t>
      </w:r>
      <w:r w:rsidR="002930BF" w:rsidRPr="00882BF5">
        <w:rPr>
          <w:rFonts w:ascii="Arial CE" w:hAnsi="Arial CE" w:cs="Arial CE"/>
          <w:i/>
          <w:iCs/>
          <w:sz w:val="16"/>
          <w:szCs w:val="16"/>
        </w:rPr>
        <w:t>lišit od hodnot ČSÚ, protože Eurostat si počítá úmrtnostní tabulky podle vlastní metodologie</w:t>
      </w:r>
      <w:r w:rsidR="002930BF">
        <w:rPr>
          <w:rFonts w:ascii="Arial CE" w:hAnsi="Arial CE" w:cs="Arial CE"/>
          <w:i/>
          <w:iCs/>
          <w:sz w:val="16"/>
          <w:szCs w:val="16"/>
        </w:rPr>
        <w:t>, jednotné pro všechny země.</w:t>
      </w:r>
    </w:p>
    <w:p w:rsidR="00EA2FBD" w:rsidRPr="00F6043F" w:rsidRDefault="00EA2FBD" w:rsidP="00F6043F">
      <w:pPr>
        <w:spacing w:after="0"/>
        <w:rPr>
          <w:rFonts w:cs="Arial"/>
          <w:szCs w:val="20"/>
        </w:rPr>
      </w:pPr>
    </w:p>
    <w:p w:rsidR="00B0562E" w:rsidRDefault="00B0562E" w:rsidP="00F6043F">
      <w:r>
        <w:t>Naděje dožití při narození v případě žen vzrostla v </w:t>
      </w:r>
      <w:r w:rsidR="00027B60">
        <w:t>EU28</w:t>
      </w:r>
      <w:r>
        <w:t xml:space="preserve"> v průměru za všechny země z 82,0 let na 83,3 let mezi roky 2006 a 2015 při mírném poklesu o 0,1 roku v roce 2012 a o 0,3 roku v posledním sledovaném roce (graf 19). Relativní růst naděje dožití žen o 1,6 % za celé období byl nižší než v ČR, kde byl 2,1 %. Střední délka života žen v ČR podle dat Eurostatu vzrostla z 79,9 let v roce 2006 na 81,6 let v roce 2015, meziroční pokles byl evidován pouze v roce 2015 a to o 0,4 roku. Střední délka života žen ČR se v letech 2006–2015 v žebříčku zemí </w:t>
      </w:r>
      <w:r w:rsidR="00027B60">
        <w:t>EU28</w:t>
      </w:r>
      <w:r>
        <w:t xml:space="preserve"> pohybovala na devatenáctém až dvacátém místě. V rámci bývalého </w:t>
      </w:r>
      <w:r>
        <w:lastRenderedPageBreak/>
        <w:t>východního bloku dosahoval ukazatel naděje dožití při narození vyšších hodnot v roce 2015 ve Slovinsku a Estonsku, stejnou hodnotu jako ženy v ČR měly ženy v Polsku.</w:t>
      </w:r>
    </w:p>
    <w:p w:rsidR="00EA2FBD" w:rsidRPr="002C7B4E" w:rsidRDefault="00765B47" w:rsidP="002C7B4E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19</w:t>
      </w:r>
      <w:r w:rsidR="00EA2FBD" w:rsidRPr="002C7B4E">
        <w:rPr>
          <w:rFonts w:cs="Arial"/>
          <w:b/>
          <w:szCs w:val="20"/>
        </w:rPr>
        <w:t xml:space="preserve"> Naděje dožití při narození u žen ve vybraných zemích </w:t>
      </w:r>
      <w:r w:rsidR="00027B60">
        <w:rPr>
          <w:rFonts w:cs="Arial"/>
          <w:b/>
          <w:szCs w:val="20"/>
        </w:rPr>
        <w:t>EU28</w:t>
      </w:r>
      <w:r w:rsidR="00EA2FBD" w:rsidRPr="002C7B4E">
        <w:rPr>
          <w:rFonts w:cs="Arial"/>
          <w:b/>
          <w:szCs w:val="20"/>
        </w:rPr>
        <w:t xml:space="preserve"> v letech 2006–2015</w:t>
      </w:r>
      <w:r w:rsidR="00EA2FBD" w:rsidRPr="00B0562E">
        <w:rPr>
          <w:rFonts w:cs="Arial"/>
          <w:b/>
          <w:szCs w:val="20"/>
          <w:vertAlign w:val="superscript"/>
        </w:rPr>
        <w:t>1)</w:t>
      </w:r>
    </w:p>
    <w:p w:rsidR="00AD6DBB" w:rsidRDefault="00027B60" w:rsidP="00EA2FBD">
      <w:r w:rsidRPr="00027B60"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5419725" cy="287655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DBB" w:rsidRDefault="00AD6DBB" w:rsidP="00EA2FBD"/>
    <w:p w:rsidR="00AD6DBB" w:rsidRDefault="00AD6DBB" w:rsidP="00EA2FBD"/>
    <w:p w:rsidR="00F62A5E" w:rsidRDefault="00F62A5E" w:rsidP="00EA2FBD"/>
    <w:p w:rsidR="00EA2FBD" w:rsidRDefault="00EA2FBD" w:rsidP="00EA2FBD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</w:p>
    <w:p w:rsidR="00EA2FBD" w:rsidRDefault="00EA2FBD" w:rsidP="00EA2FBD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</w:p>
    <w:p w:rsidR="00EA2FBD" w:rsidRDefault="00EA2FBD" w:rsidP="00EA2FBD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</w:p>
    <w:p w:rsidR="00EA2FBD" w:rsidRDefault="00EA2FBD" w:rsidP="00EA2FBD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</w:p>
    <w:p w:rsidR="00EA2FBD" w:rsidRDefault="00EA2FBD" w:rsidP="00EA2FBD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</w:p>
    <w:p w:rsidR="00EA2FBD" w:rsidRDefault="00EA2FBD" w:rsidP="00EA2FBD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</w:p>
    <w:p w:rsidR="00EA2FBD" w:rsidRDefault="00EA2FBD" w:rsidP="00EA2FBD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</w:p>
    <w:p w:rsidR="00EA2FBD" w:rsidRDefault="00EA2FBD" w:rsidP="00EA2FBD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</w:p>
    <w:p w:rsidR="00EA2FBD" w:rsidRDefault="00EA2FBD" w:rsidP="00EA2FBD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</w:p>
    <w:p w:rsidR="00EA2FBD" w:rsidRDefault="00EA2FBD" w:rsidP="00EA2FBD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  <w:r w:rsidRPr="00AD6DBB">
        <w:rPr>
          <w:rFonts w:ascii="Arial CE" w:hAnsi="Arial CE" w:cs="Arial CE"/>
          <w:i/>
          <w:iCs/>
          <w:sz w:val="16"/>
          <w:szCs w:val="16"/>
        </w:rPr>
        <w:t>Zdroj dat: databáze Eurostatu</w:t>
      </w:r>
    </w:p>
    <w:p w:rsidR="00EA2FBD" w:rsidRDefault="00EA2FBD" w:rsidP="00EA2FBD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  <w:r w:rsidRPr="00882BF5">
        <w:rPr>
          <w:rFonts w:ascii="Arial CE" w:hAnsi="Arial CE" w:cs="Arial CE"/>
          <w:i/>
          <w:iCs/>
          <w:sz w:val="16"/>
          <w:szCs w:val="16"/>
        </w:rPr>
        <w:t xml:space="preserve">1) </w:t>
      </w:r>
      <w:r w:rsidR="002930BF" w:rsidRPr="00882BF5">
        <w:rPr>
          <w:rFonts w:ascii="Arial CE" w:hAnsi="Arial CE" w:cs="Arial CE"/>
          <w:i/>
          <w:iCs/>
          <w:sz w:val="16"/>
          <w:szCs w:val="16"/>
        </w:rPr>
        <w:t xml:space="preserve">Poslední dostupná data. Hodnoty za ČR od Eurostatu se mohou </w:t>
      </w:r>
      <w:r w:rsidR="002930BF">
        <w:rPr>
          <w:rFonts w:ascii="Arial CE" w:hAnsi="Arial CE" w:cs="Arial CE"/>
          <w:i/>
          <w:iCs/>
          <w:sz w:val="16"/>
          <w:szCs w:val="16"/>
        </w:rPr>
        <w:t xml:space="preserve">mírně </w:t>
      </w:r>
      <w:r w:rsidR="002930BF" w:rsidRPr="00882BF5">
        <w:rPr>
          <w:rFonts w:ascii="Arial CE" w:hAnsi="Arial CE" w:cs="Arial CE"/>
          <w:i/>
          <w:iCs/>
          <w:sz w:val="16"/>
          <w:szCs w:val="16"/>
        </w:rPr>
        <w:t>lišit od hodnot ČSÚ, protože Eurostat si počítá úmrtnostní tabulky podle vlastní metodologie</w:t>
      </w:r>
      <w:r w:rsidR="002930BF">
        <w:rPr>
          <w:rFonts w:ascii="Arial CE" w:hAnsi="Arial CE" w:cs="Arial CE"/>
          <w:i/>
          <w:iCs/>
          <w:sz w:val="16"/>
          <w:szCs w:val="16"/>
        </w:rPr>
        <w:t>, jednotné pro všechny země.</w:t>
      </w:r>
    </w:p>
    <w:p w:rsidR="00F62A5E" w:rsidRPr="00B71E9B" w:rsidRDefault="00F62A5E" w:rsidP="00B71E9B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</w:p>
    <w:p w:rsidR="0032013E" w:rsidRDefault="0032013E" w:rsidP="0032013E">
      <w:pPr>
        <w:spacing w:after="0"/>
      </w:pPr>
      <w:r>
        <w:t>Nejvyšších hodnot naděje dožití dosahovaly ženy ve sledovaném období ve Španělsku (85,7 let v roce 2015) a Francii (85,5 let). Dalšími státy s vysokými hodnotami ukazatele byly I</w:t>
      </w:r>
      <w:r w:rsidR="00880A35">
        <w:t xml:space="preserve">tálie, Finsko nebo Portugalsko. Bulharsko, Rumunsko a Lotyšsko </w:t>
      </w:r>
      <w:r>
        <w:t xml:space="preserve">patřily mezi </w:t>
      </w:r>
      <w:r w:rsidR="00880A35">
        <w:t>země s </w:t>
      </w:r>
      <w:r>
        <w:t>nejhorší</w:t>
      </w:r>
      <w:r w:rsidR="00880A35">
        <w:t xml:space="preserve">mi úmrtnostními podmínkami </w:t>
      </w:r>
      <w:r>
        <w:t xml:space="preserve">v letech 2006 až 2015. Obdobně jako u mužů, tak i u žen byl nejvyšší růst naděje dožití mezi roky 2006 a 2015 zaznamenán v Estonsku o 4,6 % a nejnižší v Německu o 0,9 %. </w:t>
      </w:r>
    </w:p>
    <w:p w:rsidR="009B1533" w:rsidRPr="004E4A71" w:rsidRDefault="009B1533" w:rsidP="009B1533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</w:p>
    <w:p w:rsidR="00880A35" w:rsidRDefault="00880A35" w:rsidP="00880A35">
      <w:r>
        <w:t xml:space="preserve">Naděje dožití žen při narození byla v roce 2015 na úrovni </w:t>
      </w:r>
      <w:r w:rsidR="00027B60">
        <w:t>EU28</w:t>
      </w:r>
      <w:r>
        <w:t xml:space="preserve"> o 6,9 % vyšší než naděje dožití mužů při narození (83,3 let vs. 77,9 let). Ve srovnání s rokem 2006 došlo k poklesu nadúmrtnosti (z 8,2 %).  Největšími rozdíly se v celém sledovaném období vyznačovaly Litva (o 15,2 % v roce 2015), Lotyšsko</w:t>
      </w:r>
      <w:r w:rsidR="00050751">
        <w:t xml:space="preserve"> (14,1 %) a Estonsko (12,3 %), n</w:t>
      </w:r>
      <w:r>
        <w:t xml:space="preserve">aopak nejnižšími Nizozemsko (o 4,1 % v roce 2015), Velká Británie (o 4,5 %) a Švédsko (o 4,6 %).     </w:t>
      </w:r>
    </w:p>
    <w:p w:rsidR="00765B47" w:rsidRDefault="00765B47" w:rsidP="00765B47">
      <w:pPr>
        <w:pStyle w:val="Nadpis2"/>
      </w:pPr>
      <w:bookmarkStart w:id="3" w:name="_Toc499711619"/>
      <w:r>
        <w:t>6.2 Kojenecká úmrtnost</w:t>
      </w:r>
      <w:bookmarkEnd w:id="3"/>
    </w:p>
    <w:p w:rsidR="00F04AD5" w:rsidRPr="000D182C" w:rsidRDefault="00F04AD5" w:rsidP="00F04AD5">
      <w:pPr>
        <w:rPr>
          <w:rFonts w:cs="Arial"/>
          <w:szCs w:val="20"/>
        </w:rPr>
      </w:pPr>
      <w:r>
        <w:rPr>
          <w:rFonts w:cs="Arial"/>
          <w:szCs w:val="20"/>
        </w:rPr>
        <w:t>Míra kojenecké úmrtnosti v 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jako celku poklesla mezi roky 2006 a </w:t>
      </w:r>
      <w:proofErr w:type="gramStart"/>
      <w:r>
        <w:rPr>
          <w:rFonts w:cs="Arial"/>
          <w:szCs w:val="20"/>
        </w:rPr>
        <w:t>2015 z 4,6</w:t>
      </w:r>
      <w:proofErr w:type="gramEnd"/>
      <w:r>
        <w:rPr>
          <w:rFonts w:cs="Arial"/>
          <w:szCs w:val="20"/>
        </w:rPr>
        <w:t> ‰ na 3,6 ‰. Česká republika se po celou dobu řadila mezi země s jednou z nejnižších intenzit kojenecké úmrtnosti a ve sledovaném období se její pozice dokonce ještě zlepšila. Zatímco v roce 2006 měla šestou nejnižší hodnotu kojenecké úmrtnosti, tak v roce 2015 (poslední dostupný údaj) to byla již třetí nejnižší spolu s Estonskem (2,5</w:t>
      </w:r>
      <w:r>
        <w:t> </w:t>
      </w:r>
      <w:r>
        <w:rPr>
          <w:rFonts w:cs="Arial"/>
          <w:szCs w:val="20"/>
        </w:rPr>
        <w:t xml:space="preserve">‰). Nejlepší poměry z hlediska kojenecké úmrtnosti byly v roce 2015 ve Slovinsku (1,6 ‰) a Finsku (1,7 ‰). Nejvyšší intenzita kojenecké úmrtnosti byla po celé období v Rumunsku, které ale zaznamenalo nejvýraznější relativní pokles hodnoty ukazatele z celé 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a to o více než polovinu z 13,9 ‰ na 7,6 ‰. V některých zemích 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byly míry kojenecké úmrtnosti v roce 2015 mírně vyšší než v roce 2006 (Lucembursko, Řecko, Dánsko), nejvíce se v tomto pohledu zvýšila kojenecká úmrtnost na Maltě (z 3,7 ‰ na 5,8 ‰). Hodnoty zde však měly v jednotlivých letech výrazné odchylky (viz přílohová tabulka 24) a jde tak spíše o náhodné kolísání míry z důvodu nízkých počtu zemřelých kojenců i narozených dětí.         </w:t>
      </w:r>
    </w:p>
    <w:p w:rsidR="00E80347" w:rsidRDefault="00E80347" w:rsidP="00765B47">
      <w:pPr>
        <w:spacing w:after="60"/>
        <w:rPr>
          <w:rFonts w:cs="Arial"/>
          <w:b/>
          <w:szCs w:val="20"/>
        </w:rPr>
      </w:pPr>
    </w:p>
    <w:p w:rsidR="00E80347" w:rsidRDefault="00E80347" w:rsidP="00765B47">
      <w:pPr>
        <w:spacing w:after="60"/>
        <w:rPr>
          <w:rFonts w:cs="Arial"/>
          <w:b/>
          <w:szCs w:val="20"/>
        </w:rPr>
      </w:pPr>
    </w:p>
    <w:p w:rsidR="00765B47" w:rsidRPr="00036A91" w:rsidRDefault="00765B47" w:rsidP="00765B47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Graf 20 </w:t>
      </w:r>
      <w:r w:rsidRPr="00036A91">
        <w:rPr>
          <w:rFonts w:cs="Arial"/>
          <w:b/>
          <w:szCs w:val="20"/>
        </w:rPr>
        <w:t>Míry kojenecké úmrtnosti</w:t>
      </w:r>
      <w:r w:rsidRPr="00036A91">
        <w:rPr>
          <w:rFonts w:cs="Arial"/>
          <w:b/>
          <w:szCs w:val="20"/>
          <w:vertAlign w:val="superscript"/>
        </w:rPr>
        <w:t>1)</w:t>
      </w:r>
      <w:r w:rsidRPr="00036A91">
        <w:rPr>
          <w:rFonts w:cs="Arial"/>
          <w:b/>
          <w:szCs w:val="20"/>
        </w:rPr>
        <w:t xml:space="preserve"> ve vybraných zemích </w:t>
      </w:r>
      <w:r w:rsidR="00027B60">
        <w:rPr>
          <w:rFonts w:cs="Arial"/>
          <w:b/>
          <w:szCs w:val="20"/>
        </w:rPr>
        <w:t>EU28</w:t>
      </w:r>
      <w:r w:rsidRPr="00036A91">
        <w:rPr>
          <w:rFonts w:cs="Arial"/>
          <w:b/>
          <w:szCs w:val="20"/>
        </w:rPr>
        <w:t xml:space="preserve"> v letech 2006–2015</w:t>
      </w:r>
      <w:r w:rsidRPr="00036A91">
        <w:rPr>
          <w:rFonts w:cs="Arial"/>
          <w:b/>
          <w:szCs w:val="20"/>
          <w:vertAlign w:val="superscript"/>
        </w:rPr>
        <w:t>2)</w:t>
      </w:r>
    </w:p>
    <w:p w:rsidR="00765B47" w:rsidRDefault="00027B60" w:rsidP="00765B47">
      <w:r w:rsidRPr="00027B60"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19725" cy="287655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B47" w:rsidRDefault="00765B47" w:rsidP="00765B47"/>
    <w:p w:rsidR="00765B47" w:rsidRDefault="00765B47" w:rsidP="00765B47"/>
    <w:p w:rsidR="00765B47" w:rsidRDefault="00765B47" w:rsidP="00765B47">
      <w:pPr>
        <w:pStyle w:val="Nadpis2"/>
      </w:pPr>
    </w:p>
    <w:p w:rsidR="00765B47" w:rsidRDefault="00765B47" w:rsidP="00765B47">
      <w:pPr>
        <w:pStyle w:val="Nadpis2"/>
      </w:pPr>
    </w:p>
    <w:p w:rsidR="00765B47" w:rsidRDefault="00765B47" w:rsidP="00765B47">
      <w:pPr>
        <w:pStyle w:val="Nadpis2"/>
      </w:pPr>
    </w:p>
    <w:p w:rsidR="00765B47" w:rsidRDefault="00765B47" w:rsidP="00765B47">
      <w:pPr>
        <w:pStyle w:val="Nadpis2"/>
      </w:pPr>
    </w:p>
    <w:p w:rsidR="00765B47" w:rsidRDefault="00765B47" w:rsidP="00765B47">
      <w:pPr>
        <w:pStyle w:val="Nadpis2"/>
      </w:pPr>
    </w:p>
    <w:p w:rsidR="00765B47" w:rsidRDefault="00765B47" w:rsidP="00765B47">
      <w:pPr>
        <w:pStyle w:val="Nadpis2"/>
      </w:pPr>
    </w:p>
    <w:p w:rsidR="00765B47" w:rsidRDefault="00765B47" w:rsidP="00765B47">
      <w:pPr>
        <w:pStyle w:val="Nadpis2"/>
      </w:pPr>
    </w:p>
    <w:p w:rsidR="00765B47" w:rsidRDefault="00765B47" w:rsidP="00765B47">
      <w:pPr>
        <w:spacing w:after="0"/>
        <w:rPr>
          <w:rFonts w:eastAsia="MS Gothic"/>
          <w:b/>
          <w:bCs/>
          <w:color w:val="BC091B"/>
          <w:sz w:val="28"/>
          <w:szCs w:val="26"/>
        </w:rPr>
      </w:pPr>
    </w:p>
    <w:p w:rsidR="00765B47" w:rsidRPr="00AD6DBB" w:rsidRDefault="00765B47" w:rsidP="00765B47">
      <w:pPr>
        <w:spacing w:before="60" w:after="0"/>
        <w:rPr>
          <w:rFonts w:ascii="Arial CE" w:hAnsi="Arial CE" w:cs="Arial CE"/>
          <w:i/>
          <w:iCs/>
          <w:sz w:val="16"/>
          <w:szCs w:val="16"/>
        </w:rPr>
      </w:pPr>
      <w:r w:rsidRPr="00AD6DBB">
        <w:rPr>
          <w:rFonts w:ascii="Arial CE" w:hAnsi="Arial CE" w:cs="Arial CE"/>
          <w:i/>
          <w:iCs/>
          <w:sz w:val="16"/>
          <w:szCs w:val="16"/>
        </w:rPr>
        <w:t>Zdroj dat: databáze Eurostatu</w:t>
      </w:r>
    </w:p>
    <w:p w:rsidR="00765B47" w:rsidRPr="00AD6DBB" w:rsidRDefault="00765B47" w:rsidP="00765B47">
      <w:pPr>
        <w:spacing w:after="0"/>
        <w:rPr>
          <w:rFonts w:ascii="Arial CE" w:hAnsi="Arial CE" w:cs="Arial CE"/>
          <w:i/>
          <w:iCs/>
          <w:sz w:val="16"/>
          <w:szCs w:val="16"/>
        </w:rPr>
      </w:pPr>
      <w:r w:rsidRPr="00AD6DBB">
        <w:rPr>
          <w:rFonts w:ascii="Arial CE" w:hAnsi="Arial CE" w:cs="Arial CE"/>
          <w:i/>
          <w:iCs/>
          <w:sz w:val="16"/>
          <w:szCs w:val="16"/>
        </w:rPr>
        <w:t>1) Počet zemřelých do 1 roku života na 1 000 živě narozených dětí</w:t>
      </w:r>
    </w:p>
    <w:p w:rsidR="00765B47" w:rsidRPr="00AD6DBB" w:rsidRDefault="00765B47" w:rsidP="00765B47">
      <w:pPr>
        <w:spacing w:after="0"/>
        <w:rPr>
          <w:rFonts w:ascii="Arial CE" w:hAnsi="Arial CE" w:cs="Arial CE"/>
          <w:i/>
          <w:iCs/>
          <w:sz w:val="16"/>
          <w:szCs w:val="16"/>
        </w:rPr>
      </w:pPr>
      <w:r w:rsidRPr="00AD6DBB">
        <w:rPr>
          <w:rFonts w:ascii="Arial CE" w:hAnsi="Arial CE" w:cs="Arial CE"/>
          <w:i/>
          <w:iCs/>
          <w:sz w:val="16"/>
          <w:szCs w:val="16"/>
        </w:rPr>
        <w:t>2) Poslední dostupná data.</w:t>
      </w:r>
    </w:p>
    <w:p w:rsidR="00E80347" w:rsidRDefault="00E80347" w:rsidP="007D3B04">
      <w:pPr>
        <w:pStyle w:val="Nadpis2"/>
      </w:pPr>
    </w:p>
    <w:p w:rsidR="007D3B04" w:rsidRDefault="007D3B04" w:rsidP="007D3B04">
      <w:pPr>
        <w:pStyle w:val="Nadpis2"/>
      </w:pPr>
      <w:bookmarkStart w:id="4" w:name="_Toc499711620"/>
      <w:r>
        <w:t xml:space="preserve">6.3 </w:t>
      </w:r>
      <w:r w:rsidRPr="001B3BD9">
        <w:t>Úmrtnost podle příčin smrti a pohlaví</w:t>
      </w:r>
      <w:bookmarkEnd w:id="4"/>
    </w:p>
    <w:p w:rsidR="007D3B04" w:rsidRDefault="00B21F69" w:rsidP="00B038AF">
      <w:r>
        <w:t>Nejčastěji umírali muži v</w:t>
      </w:r>
      <w:r w:rsidR="003A199F">
        <w:t> </w:t>
      </w:r>
      <w:r w:rsidR="00027B60">
        <w:t>EU28</w:t>
      </w:r>
      <w:r>
        <w:t xml:space="preserve"> na nemoci oběhové soustavy. Mezi roky 2006 a 2014 (poslední dostupná data) jejich podíl ovšem klesl z 37,2 % na 34,1 %. </w:t>
      </w:r>
      <w:r w:rsidR="00F875FC">
        <w:t xml:space="preserve">Druhou nejčetnější příčinou úmrtí byly novotvary, jejichž zastoupení mírně vzrostlo z 29,5 % na 30,6 % ve stejném období. </w:t>
      </w:r>
      <w:r w:rsidR="00821884">
        <w:t>Nemoci dýchací soustavy nevykazovaly jednoznačný trend a jej</w:t>
      </w:r>
      <w:r w:rsidR="00F04AD5">
        <w:t>i</w:t>
      </w:r>
      <w:r w:rsidR="00821884">
        <w:t>ch podíl se pohyboval mezi 8,0 % (2006) a 8,6 % (2013).</w:t>
      </w:r>
      <w:r w:rsidR="00F164BE">
        <w:t xml:space="preserve"> Mírný pokles byl zaznamenán u vnějších příčin z 6,7 % na 6,0 % ve sledovaném období. </w:t>
      </w:r>
      <w:r w:rsidR="001678EC">
        <w:t>Nemoci trávicí soustavy také mírně snížily svůj podíl na všech úmrtí mužů z 5,0 % na 4,7 %.</w:t>
      </w:r>
      <w:r w:rsidR="00321C7E">
        <w:t xml:space="preserve"> </w:t>
      </w:r>
    </w:p>
    <w:p w:rsidR="00BD14F7" w:rsidRDefault="006C4EB1" w:rsidP="00BD14F7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21</w:t>
      </w:r>
      <w:r w:rsidR="00BD14F7" w:rsidRPr="00E94E42">
        <w:rPr>
          <w:rFonts w:cs="Arial"/>
          <w:b/>
          <w:szCs w:val="20"/>
        </w:rPr>
        <w:t xml:space="preserve"> Zemře</w:t>
      </w:r>
      <w:r w:rsidR="00BD14F7">
        <w:rPr>
          <w:rFonts w:cs="Arial"/>
          <w:b/>
          <w:szCs w:val="20"/>
        </w:rPr>
        <w:t>lí muži podle vybraných kapitol</w:t>
      </w:r>
      <w:r w:rsidR="003A199F">
        <w:rPr>
          <w:rFonts w:cs="Arial"/>
          <w:b/>
          <w:szCs w:val="20"/>
        </w:rPr>
        <w:t xml:space="preserve"> </w:t>
      </w:r>
      <w:r w:rsidR="00BD14F7" w:rsidRPr="00E94E42">
        <w:rPr>
          <w:rFonts w:cs="Arial"/>
          <w:b/>
          <w:szCs w:val="20"/>
        </w:rPr>
        <w:t>příčin smrti</w:t>
      </w:r>
      <w:r w:rsidR="003A199F" w:rsidRPr="00E94E42">
        <w:rPr>
          <w:rFonts w:cs="Arial"/>
          <w:b/>
          <w:szCs w:val="20"/>
          <w:vertAlign w:val="superscript"/>
        </w:rPr>
        <w:t>1)</w:t>
      </w:r>
      <w:r w:rsidR="003A199F">
        <w:rPr>
          <w:rFonts w:cs="Arial"/>
          <w:b/>
          <w:szCs w:val="20"/>
        </w:rPr>
        <w:t xml:space="preserve"> </w:t>
      </w:r>
      <w:r w:rsidR="00BD14F7" w:rsidRPr="00E94E42">
        <w:rPr>
          <w:rFonts w:cs="Arial"/>
          <w:b/>
          <w:szCs w:val="20"/>
        </w:rPr>
        <w:t>v</w:t>
      </w:r>
      <w:r w:rsidR="00BD14F7">
        <w:rPr>
          <w:rFonts w:cs="Arial"/>
          <w:b/>
          <w:szCs w:val="20"/>
        </w:rPr>
        <w:t> </w:t>
      </w:r>
      <w:r w:rsidR="00027B60">
        <w:rPr>
          <w:rFonts w:cs="Arial"/>
          <w:b/>
          <w:szCs w:val="20"/>
        </w:rPr>
        <w:t>EU28</w:t>
      </w:r>
      <w:r w:rsidR="00BD14F7">
        <w:rPr>
          <w:rFonts w:cs="Arial"/>
          <w:b/>
          <w:szCs w:val="20"/>
        </w:rPr>
        <w:t xml:space="preserve"> v letech </w:t>
      </w:r>
      <w:proofErr w:type="gramStart"/>
      <w:r w:rsidR="00BD14F7">
        <w:rPr>
          <w:rFonts w:cs="Arial"/>
          <w:b/>
          <w:szCs w:val="20"/>
        </w:rPr>
        <w:t>2006–2014</w:t>
      </w:r>
      <w:r w:rsidR="00BD14F7" w:rsidRPr="00BD14F7">
        <w:rPr>
          <w:rFonts w:cs="Arial"/>
          <w:b/>
          <w:szCs w:val="20"/>
          <w:vertAlign w:val="superscript"/>
        </w:rPr>
        <w:t>2)</w:t>
      </w:r>
      <w:r w:rsidR="003719F6">
        <w:rPr>
          <w:rFonts w:cs="Arial"/>
          <w:b/>
          <w:szCs w:val="20"/>
        </w:rPr>
        <w:t xml:space="preserve"> </w:t>
      </w:r>
      <w:r w:rsidR="00BD14F7" w:rsidRPr="00E94E42">
        <w:rPr>
          <w:rFonts w:cs="Arial"/>
          <w:b/>
          <w:szCs w:val="20"/>
        </w:rPr>
        <w:t>(v %)</w:t>
      </w:r>
      <w:proofErr w:type="gramEnd"/>
    </w:p>
    <w:p w:rsidR="00BD14F7" w:rsidRDefault="00BD14F7" w:rsidP="006A3C5F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BD14F7">
        <w:rPr>
          <w:noProof/>
        </w:rPr>
        <w:drawing>
          <wp:anchor distT="0" distB="0" distL="114300" distR="114300" simplePos="0" relativeHeight="251677184" behindDoc="1" locked="0" layoutInCell="1" allowOverlap="1" wp14:anchorId="29B24BBE" wp14:editId="381083C7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5429250" cy="2886075"/>
            <wp:effectExtent l="0" t="0" r="0" b="952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4F7" w:rsidRPr="00BD14F7" w:rsidRDefault="00BD14F7" w:rsidP="00BD14F7">
      <w:pPr>
        <w:rPr>
          <w:rFonts w:ascii="Arial CE" w:hAnsi="Arial CE" w:cs="Arial CE"/>
          <w:sz w:val="16"/>
          <w:szCs w:val="16"/>
        </w:rPr>
      </w:pPr>
    </w:p>
    <w:p w:rsidR="00BD14F7" w:rsidRPr="00BD14F7" w:rsidRDefault="00BD14F7" w:rsidP="00BD14F7">
      <w:pPr>
        <w:rPr>
          <w:rFonts w:ascii="Arial CE" w:hAnsi="Arial CE" w:cs="Arial CE"/>
          <w:sz w:val="16"/>
          <w:szCs w:val="16"/>
        </w:rPr>
      </w:pPr>
    </w:p>
    <w:p w:rsidR="00BD14F7" w:rsidRPr="00BD14F7" w:rsidRDefault="00BD14F7" w:rsidP="00BD14F7">
      <w:pPr>
        <w:rPr>
          <w:rFonts w:ascii="Arial CE" w:hAnsi="Arial CE" w:cs="Arial CE"/>
          <w:sz w:val="16"/>
          <w:szCs w:val="16"/>
        </w:rPr>
      </w:pPr>
    </w:p>
    <w:p w:rsidR="00BD14F7" w:rsidRPr="00BD14F7" w:rsidRDefault="00BD14F7" w:rsidP="00BD14F7">
      <w:pPr>
        <w:rPr>
          <w:rFonts w:ascii="Arial CE" w:hAnsi="Arial CE" w:cs="Arial CE"/>
          <w:sz w:val="16"/>
          <w:szCs w:val="16"/>
        </w:rPr>
      </w:pPr>
    </w:p>
    <w:p w:rsidR="00BD14F7" w:rsidRPr="00BD14F7" w:rsidRDefault="00BD14F7" w:rsidP="00BD14F7">
      <w:pPr>
        <w:rPr>
          <w:rFonts w:ascii="Arial CE" w:hAnsi="Arial CE" w:cs="Arial CE"/>
          <w:sz w:val="16"/>
          <w:szCs w:val="16"/>
        </w:rPr>
      </w:pPr>
    </w:p>
    <w:p w:rsidR="00BD14F7" w:rsidRPr="00BD14F7" w:rsidRDefault="00BD14F7" w:rsidP="00BD14F7">
      <w:pPr>
        <w:rPr>
          <w:rFonts w:ascii="Arial CE" w:hAnsi="Arial CE" w:cs="Arial CE"/>
          <w:sz w:val="16"/>
          <w:szCs w:val="16"/>
        </w:rPr>
      </w:pPr>
    </w:p>
    <w:p w:rsidR="00BD14F7" w:rsidRPr="00BD14F7" w:rsidRDefault="00BD14F7" w:rsidP="00BD14F7">
      <w:pPr>
        <w:rPr>
          <w:rFonts w:ascii="Arial CE" w:hAnsi="Arial CE" w:cs="Arial CE"/>
          <w:sz w:val="16"/>
          <w:szCs w:val="16"/>
        </w:rPr>
      </w:pPr>
    </w:p>
    <w:p w:rsidR="00BD14F7" w:rsidRPr="00BD14F7" w:rsidRDefault="00BD14F7" w:rsidP="00BD14F7">
      <w:pPr>
        <w:rPr>
          <w:rFonts w:ascii="Arial CE" w:hAnsi="Arial CE" w:cs="Arial CE"/>
          <w:sz w:val="16"/>
          <w:szCs w:val="16"/>
        </w:rPr>
      </w:pPr>
    </w:p>
    <w:p w:rsidR="00BD14F7" w:rsidRDefault="00BD14F7" w:rsidP="00BD14F7">
      <w:pPr>
        <w:rPr>
          <w:rFonts w:ascii="Arial CE" w:hAnsi="Arial CE" w:cs="Arial CE"/>
          <w:sz w:val="16"/>
          <w:szCs w:val="16"/>
        </w:rPr>
      </w:pPr>
    </w:p>
    <w:p w:rsidR="00C1290C" w:rsidRDefault="00C1290C" w:rsidP="00C1290C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C1290C" w:rsidRDefault="00C1290C" w:rsidP="00C1290C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>
        <w:rPr>
          <w:rFonts w:ascii="Arial CE" w:hAnsi="Arial CE" w:cs="Arial CE"/>
          <w:i/>
          <w:iCs/>
          <w:sz w:val="16"/>
          <w:szCs w:val="16"/>
        </w:rPr>
        <w:t>Zdroj dat: databáze Eurostatu</w:t>
      </w:r>
    </w:p>
    <w:p w:rsidR="00BD14F7" w:rsidRPr="00C1290C" w:rsidRDefault="00BD14F7" w:rsidP="00C1290C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530A00">
        <w:rPr>
          <w:rFonts w:ascii="Arial CE" w:hAnsi="Arial CE" w:cs="Arial CE"/>
          <w:i/>
          <w:iCs/>
          <w:sz w:val="16"/>
          <w:szCs w:val="16"/>
        </w:rPr>
        <w:t>1) II - Novotvary (C00 - D48); IX - Nemoci oběhové soustavy (I00 - I99); X - Nemoci dýchací soustavy (J00 - J99); XI - Nemoci trávicí soustavy (K00 - K93); XX - Vnější příčiny nemocnosti a úmr</w:t>
      </w:r>
      <w:r w:rsidR="00C1290C">
        <w:rPr>
          <w:rFonts w:ascii="Arial CE" w:hAnsi="Arial CE" w:cs="Arial CE"/>
          <w:i/>
          <w:iCs/>
          <w:sz w:val="16"/>
          <w:szCs w:val="16"/>
        </w:rPr>
        <w:t xml:space="preserve">tnosti (V01 - Y98); </w:t>
      </w:r>
      <w:r w:rsidRPr="00BD14F7">
        <w:rPr>
          <w:rFonts w:ascii="Arial CE" w:hAnsi="Arial CE" w:cs="Arial CE"/>
          <w:i/>
          <w:sz w:val="16"/>
          <w:szCs w:val="16"/>
        </w:rPr>
        <w:t>2) Poslední dostupná data</w:t>
      </w:r>
      <w:r>
        <w:rPr>
          <w:rFonts w:ascii="Arial CE" w:hAnsi="Arial CE" w:cs="Arial CE"/>
          <w:i/>
          <w:sz w:val="16"/>
          <w:szCs w:val="16"/>
        </w:rPr>
        <w:t>.</w:t>
      </w:r>
    </w:p>
    <w:p w:rsidR="00BC3A81" w:rsidRDefault="00BC3A81" w:rsidP="00FD528A">
      <w:pPr>
        <w:spacing w:after="60"/>
      </w:pPr>
      <w:r>
        <w:lastRenderedPageBreak/>
        <w:t xml:space="preserve">Při srovnání dat za </w:t>
      </w:r>
      <w:r w:rsidR="00027B60">
        <w:t>EU28</w:t>
      </w:r>
      <w:r>
        <w:t xml:space="preserve"> a ČR lze pozorovat (</w:t>
      </w:r>
      <w:r w:rsidRPr="006C4EB1">
        <w:t>graf 6 a 21</w:t>
      </w:r>
      <w:r>
        <w:t xml:space="preserve">), že mužští obyvatelé ČR v roce 2014 umírali více na nemoci oběhové soustavy (o 7,8 p. b.) a mírně i na vnější příčiny (o 1,2 p. b.), ale naopak méně na novotvary (-2,3 p. b.) i nemoci dýchací soustavy (-1,7 p. b.), zatímco v případě nemocí trávicí soustavy byl podíl téměř shodný.   </w:t>
      </w:r>
    </w:p>
    <w:p w:rsidR="00BC3A81" w:rsidRPr="00BC3A81" w:rsidRDefault="00BC3A81" w:rsidP="00BC3A81">
      <w:pPr>
        <w:spacing w:after="0"/>
        <w:rPr>
          <w:rFonts w:cs="Arial"/>
          <w:szCs w:val="20"/>
        </w:rPr>
      </w:pPr>
    </w:p>
    <w:p w:rsidR="00FD528A" w:rsidRPr="00C27F43" w:rsidRDefault="00793419" w:rsidP="00FD528A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>I u žen v 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jako celku klesal podíl úmrtí na nemoci oběhové soustavy, mezi roky 2006 a 2014 </w:t>
      </w:r>
      <w:r w:rsidR="00050751">
        <w:rPr>
          <w:rFonts w:cs="Arial"/>
          <w:szCs w:val="20"/>
        </w:rPr>
        <w:t xml:space="preserve">a </w:t>
      </w:r>
      <w:proofErr w:type="gramStart"/>
      <w:r w:rsidR="00050751">
        <w:rPr>
          <w:rFonts w:cs="Arial"/>
          <w:szCs w:val="20"/>
        </w:rPr>
        <w:t xml:space="preserve">to </w:t>
      </w:r>
      <w:r>
        <w:rPr>
          <w:rFonts w:cs="Arial"/>
          <w:szCs w:val="20"/>
        </w:rPr>
        <w:t>z 44,7</w:t>
      </w:r>
      <w:proofErr w:type="gramEnd"/>
      <w:r>
        <w:rPr>
          <w:rFonts w:cs="Arial"/>
          <w:szCs w:val="20"/>
        </w:rPr>
        <w:t> % na 40,0 %. Zastoupení druhé nejčetnější skupiny, novotvarů, mírně narostlo z 23,2 % na počátku sledovaného období na 24,0 % v roce 2014. Třetí nejpočetnější příčinou u žen byly v daném období nemoci dýchací soustavy, když se jejich podíl pohyboval mezi 7,1 % (v letech 2006 a 2010) až 7,6 % (v roce 2012). Na rozdíl od mužů jsou čtvrtou nejběžnější příčinou úmrtí žen v 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nemoci trávicí soustavy, jejichž podíl </w:t>
      </w:r>
      <w:proofErr w:type="gramStart"/>
      <w:r>
        <w:rPr>
          <w:rFonts w:cs="Arial"/>
          <w:szCs w:val="20"/>
        </w:rPr>
        <w:t>poklesl z 4,4</w:t>
      </w:r>
      <w:proofErr w:type="gramEnd"/>
      <w:r>
        <w:rPr>
          <w:rFonts w:cs="Arial"/>
          <w:szCs w:val="20"/>
        </w:rPr>
        <w:t> % na 4,0 %. Úmrtí na vnější příčiny byla ve srovnání s muži méně četná a tvořila 3,2 % až 3,4 % všech úmrtí žen v letech 2006 až 2014 (páté místo). Ve srovnání s ženami v ČR (</w:t>
      </w:r>
      <w:r w:rsidRPr="006C4EB1">
        <w:rPr>
          <w:rFonts w:cs="Arial"/>
          <w:szCs w:val="20"/>
        </w:rPr>
        <w:t>graf 7 a 22</w:t>
      </w:r>
      <w:r>
        <w:rPr>
          <w:rFonts w:cs="Arial"/>
          <w:szCs w:val="20"/>
        </w:rPr>
        <w:t>) byla úmrtí na novotvary, nemoci trávicí soustavy a vnější příčiny v 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v relativním vyjádření přibližně stejně zastoupená. Zemřelé obyvatelky ČR však měly v roce 2014 (ale i dlouhodobě) vyšší podíl úmrtí na nemoci oběhové soustavy (o 10,3 p. b.), naopak nižší na nemoci dýchací soustavy (-2,0 p. b.).</w:t>
      </w:r>
      <w:r w:rsidR="00FD528A">
        <w:rPr>
          <w:rFonts w:cs="Arial"/>
          <w:szCs w:val="20"/>
        </w:rPr>
        <w:t xml:space="preserve">  </w:t>
      </w:r>
    </w:p>
    <w:p w:rsidR="00FD528A" w:rsidRDefault="00FD528A" w:rsidP="00FD528A">
      <w:pPr>
        <w:spacing w:after="0"/>
        <w:rPr>
          <w:rFonts w:cs="Arial"/>
          <w:szCs w:val="20"/>
        </w:rPr>
      </w:pPr>
    </w:p>
    <w:p w:rsidR="00BC3A81" w:rsidRDefault="003719F6" w:rsidP="00BC3A81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22</w:t>
      </w:r>
      <w:r w:rsidRPr="00E94E42">
        <w:rPr>
          <w:rFonts w:cs="Arial"/>
          <w:b/>
          <w:szCs w:val="20"/>
        </w:rPr>
        <w:t xml:space="preserve"> Zemře</w:t>
      </w:r>
      <w:r>
        <w:rPr>
          <w:rFonts w:cs="Arial"/>
          <w:b/>
          <w:szCs w:val="20"/>
        </w:rPr>
        <w:t xml:space="preserve">lé ženy podle vybraných kapitol </w:t>
      </w:r>
      <w:r w:rsidRPr="00E94E42">
        <w:rPr>
          <w:rFonts w:cs="Arial"/>
          <w:b/>
          <w:szCs w:val="20"/>
        </w:rPr>
        <w:t>příčin smrti</w:t>
      </w:r>
      <w:r w:rsidRPr="00E94E42">
        <w:rPr>
          <w:rFonts w:cs="Arial"/>
          <w:b/>
          <w:szCs w:val="20"/>
          <w:vertAlign w:val="superscript"/>
        </w:rPr>
        <w:t>1)</w:t>
      </w:r>
      <w:r w:rsidRPr="00E94E42">
        <w:rPr>
          <w:rFonts w:cs="Arial"/>
          <w:b/>
          <w:szCs w:val="20"/>
        </w:rPr>
        <w:t xml:space="preserve"> v</w:t>
      </w:r>
      <w:r>
        <w:rPr>
          <w:rFonts w:cs="Arial"/>
          <w:b/>
          <w:szCs w:val="20"/>
        </w:rPr>
        <w:t> </w:t>
      </w:r>
      <w:r w:rsidR="00027B60">
        <w:rPr>
          <w:rFonts w:cs="Arial"/>
          <w:b/>
          <w:szCs w:val="20"/>
        </w:rPr>
        <w:t>EU28</w:t>
      </w:r>
      <w:r>
        <w:rPr>
          <w:rFonts w:cs="Arial"/>
          <w:b/>
          <w:szCs w:val="20"/>
        </w:rPr>
        <w:t xml:space="preserve"> v letech </w:t>
      </w:r>
      <w:proofErr w:type="gramStart"/>
      <w:r>
        <w:rPr>
          <w:rFonts w:cs="Arial"/>
          <w:b/>
          <w:szCs w:val="20"/>
        </w:rPr>
        <w:t>2006–2014</w:t>
      </w:r>
      <w:r w:rsidRPr="00BD14F7">
        <w:rPr>
          <w:rFonts w:cs="Arial"/>
          <w:b/>
          <w:szCs w:val="20"/>
          <w:vertAlign w:val="superscript"/>
        </w:rPr>
        <w:t>2)</w:t>
      </w:r>
      <w:r>
        <w:rPr>
          <w:rFonts w:cs="Arial"/>
          <w:b/>
          <w:szCs w:val="20"/>
        </w:rPr>
        <w:t xml:space="preserve"> </w:t>
      </w:r>
      <w:r w:rsidRPr="00E94E42">
        <w:rPr>
          <w:rFonts w:cs="Arial"/>
          <w:b/>
          <w:szCs w:val="20"/>
        </w:rPr>
        <w:t>(v %)</w:t>
      </w:r>
      <w:proofErr w:type="gramEnd"/>
    </w:p>
    <w:p w:rsidR="00BC3A81" w:rsidRDefault="00BC3A81" w:rsidP="00BC3A81">
      <w:pPr>
        <w:tabs>
          <w:tab w:val="left" w:pos="1050"/>
        </w:tabs>
        <w:rPr>
          <w:rFonts w:ascii="Arial CE" w:hAnsi="Arial CE" w:cs="Arial CE"/>
          <w:i/>
          <w:sz w:val="16"/>
          <w:szCs w:val="16"/>
        </w:rPr>
      </w:pPr>
      <w:r w:rsidRPr="006B5824">
        <w:rPr>
          <w:noProof/>
        </w:rPr>
        <w:drawing>
          <wp:anchor distT="0" distB="0" distL="114300" distR="114300" simplePos="0" relativeHeight="251706880" behindDoc="1" locked="0" layoutInCell="1" allowOverlap="1" wp14:anchorId="3199AD4A" wp14:editId="6F99CCDE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429250" cy="2886075"/>
            <wp:effectExtent l="0" t="0" r="0" b="9525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A81" w:rsidRPr="006B5824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Pr="006B5824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Pr="006B5824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Pr="006B5824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Pr="006B5824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Pr="006B5824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Pr="006B5824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Default="00BC3A81" w:rsidP="00BC3A81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>
        <w:rPr>
          <w:rFonts w:ascii="Arial CE" w:hAnsi="Arial CE" w:cs="Arial CE"/>
          <w:i/>
          <w:iCs/>
          <w:sz w:val="16"/>
          <w:szCs w:val="16"/>
        </w:rPr>
        <w:t>Zdroj dat: databáze Eurostatu</w:t>
      </w:r>
    </w:p>
    <w:p w:rsidR="00BC3A81" w:rsidRDefault="00BC3A81" w:rsidP="00BC3A81">
      <w:pPr>
        <w:spacing w:before="60" w:after="60"/>
        <w:rPr>
          <w:rFonts w:ascii="Arial CE" w:hAnsi="Arial CE" w:cs="Arial CE"/>
          <w:i/>
          <w:sz w:val="16"/>
          <w:szCs w:val="16"/>
        </w:rPr>
      </w:pPr>
      <w:r w:rsidRPr="00530A00">
        <w:rPr>
          <w:rFonts w:ascii="Arial CE" w:hAnsi="Arial CE" w:cs="Arial CE"/>
          <w:i/>
          <w:iCs/>
          <w:sz w:val="16"/>
          <w:szCs w:val="16"/>
        </w:rPr>
        <w:t>1) II - Novotvary (C00 - D48); IX - Nemoci oběhové soustavy (I00 - I99); X - Nemoci dýchací soustavy (J00 - J99); XI - Nemoci trávicí soustavy (K00 - K93); XX - Vnější příčiny nemocnosti a úmr</w:t>
      </w:r>
      <w:r>
        <w:rPr>
          <w:rFonts w:ascii="Arial CE" w:hAnsi="Arial CE" w:cs="Arial CE"/>
          <w:i/>
          <w:iCs/>
          <w:sz w:val="16"/>
          <w:szCs w:val="16"/>
        </w:rPr>
        <w:t xml:space="preserve">tnosti (V01 - Y98); </w:t>
      </w:r>
      <w:r w:rsidRPr="00BD14F7">
        <w:rPr>
          <w:rFonts w:ascii="Arial CE" w:hAnsi="Arial CE" w:cs="Arial CE"/>
          <w:i/>
          <w:sz w:val="16"/>
          <w:szCs w:val="16"/>
        </w:rPr>
        <w:t>2) Poslední dostupná data</w:t>
      </w:r>
      <w:r>
        <w:rPr>
          <w:rFonts w:ascii="Arial CE" w:hAnsi="Arial CE" w:cs="Arial CE"/>
          <w:i/>
          <w:sz w:val="16"/>
          <w:szCs w:val="16"/>
        </w:rPr>
        <w:t>.</w:t>
      </w:r>
    </w:p>
    <w:p w:rsidR="00BC3A81" w:rsidRDefault="00BC3A81" w:rsidP="00BC3A81">
      <w:pPr>
        <w:spacing w:after="0"/>
        <w:rPr>
          <w:rFonts w:cs="Arial"/>
          <w:szCs w:val="20"/>
        </w:rPr>
      </w:pPr>
    </w:p>
    <w:p w:rsidR="00FD528A" w:rsidRPr="00035FEE" w:rsidRDefault="00793419" w:rsidP="00FD528A">
      <w:r w:rsidRPr="00B76D76">
        <w:rPr>
          <w:rFonts w:cs="Arial"/>
          <w:szCs w:val="20"/>
        </w:rPr>
        <w:t>Standa</w:t>
      </w:r>
      <w:r>
        <w:rPr>
          <w:rFonts w:cs="Arial"/>
          <w:szCs w:val="20"/>
        </w:rPr>
        <w:t>rdizované míry úmrtnosti mužů klesaly v 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mezi roky 2006 a 2014 u všech pěti nejčastějších příčin smrti (</w:t>
      </w:r>
      <w:r w:rsidRPr="006C4EB1">
        <w:rPr>
          <w:rFonts w:cs="Arial"/>
          <w:szCs w:val="20"/>
        </w:rPr>
        <w:t>graf 23</w:t>
      </w:r>
      <w:r>
        <w:rPr>
          <w:rFonts w:cs="Arial"/>
          <w:szCs w:val="20"/>
        </w:rPr>
        <w:t>). Nejvýraznější pokles byl zaznamenán u nemocí oběhové soustavy (o 20,8 %), naopak nejmenší u novotvarů (o 8,6 %). ČR dosahovala po celé období ve srovnání s 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nadprůměrně vysoké intenzity úmrtnosti mužů s výjimkou úmrtnosti na nemoci dýchací soustavy, která byla naopak v ČR nižší než v 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(s výjimkou roku 2013). </w:t>
      </w:r>
      <w:r w:rsidR="00FD528A">
        <w:rPr>
          <w:rFonts w:cs="Arial"/>
          <w:szCs w:val="20"/>
        </w:rPr>
        <w:t>Výrazně vyšší míra úmrtnosti byla u nemocí oběhové soustavy (v roce 2014 o 65,5 % – podobná hodnota jako na začátku období</w:t>
      </w:r>
      <w:r w:rsidR="00C81D34">
        <w:rPr>
          <w:rFonts w:cs="Arial"/>
          <w:szCs w:val="20"/>
        </w:rPr>
        <w:t xml:space="preserve">, takže se pozice ČR v rámci </w:t>
      </w:r>
      <w:r w:rsidR="00027B60">
        <w:rPr>
          <w:rFonts w:cs="Arial"/>
          <w:szCs w:val="20"/>
        </w:rPr>
        <w:t>EU28</w:t>
      </w:r>
      <w:r w:rsidR="00C81D34">
        <w:rPr>
          <w:rFonts w:cs="Arial"/>
          <w:szCs w:val="20"/>
        </w:rPr>
        <w:t xml:space="preserve"> nezměnila</w:t>
      </w:r>
      <w:r w:rsidR="00FD528A">
        <w:rPr>
          <w:rFonts w:cs="Arial"/>
          <w:szCs w:val="20"/>
        </w:rPr>
        <w:t xml:space="preserve">), ale také u vnějších příčin (o 39,4 % ve stejném roce – vyšší hodnota než v roce 2006). Rozdíl intenzity úmrtnosti u </w:t>
      </w:r>
      <w:r w:rsidR="00FD528A" w:rsidRPr="00035FEE">
        <w:t xml:space="preserve">novotvarů mezi ČR a </w:t>
      </w:r>
      <w:r w:rsidR="00027B60">
        <w:t>EU28</w:t>
      </w:r>
      <w:r w:rsidR="00FD528A" w:rsidRPr="00035FEE">
        <w:t xml:space="preserve"> se mezi roky 2006 a 2014 snížil z 18,8 % na 8,2 %.</w:t>
      </w:r>
    </w:p>
    <w:p w:rsidR="00584E79" w:rsidRPr="00B76D76" w:rsidRDefault="00584E79" w:rsidP="00584E79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>Úmrtnost na nemoci oběhové soustavy u mužů byla v roce 2014 nejvyšší v Bulhars</w:t>
      </w:r>
      <w:r w:rsidR="00800DB2">
        <w:rPr>
          <w:rFonts w:cs="Arial"/>
          <w:szCs w:val="20"/>
        </w:rPr>
        <w:t>ku, Lotyšsku a Rumunsku (</w:t>
      </w:r>
      <w:r w:rsidRPr="005B2D78">
        <w:rPr>
          <w:rFonts w:cs="Arial"/>
          <w:szCs w:val="20"/>
        </w:rPr>
        <w:t>viz příloho</w:t>
      </w:r>
      <w:r>
        <w:rPr>
          <w:rFonts w:cs="Arial"/>
          <w:szCs w:val="20"/>
        </w:rPr>
        <w:t>vá tabulka 29). Bulharsko</w:t>
      </w:r>
      <w:r w:rsidR="00800DB2">
        <w:rPr>
          <w:rFonts w:cs="Arial"/>
          <w:szCs w:val="20"/>
        </w:rPr>
        <w:t xml:space="preserve"> přitom zároveň patřilo k zemím</w:t>
      </w:r>
      <w:r>
        <w:rPr>
          <w:rFonts w:cs="Arial"/>
          <w:szCs w:val="20"/>
        </w:rPr>
        <w:t xml:space="preserve"> s nejnižším poklesem úmrtnosti na nemoci oběhové soustavy mezi roky 2006 a 2014 (o 10,3 %). </w:t>
      </w:r>
      <w:r w:rsidRPr="00BE3CF1">
        <w:rPr>
          <w:rFonts w:cs="Arial"/>
          <w:szCs w:val="20"/>
        </w:rPr>
        <w:t>Naopak k nejvýraznějšímu snížení došlo na Slovensku (o 34,1 </w:t>
      </w:r>
      <w:r w:rsidR="00BE3CF1" w:rsidRPr="00BE3CF1">
        <w:rPr>
          <w:rFonts w:cs="Arial"/>
          <w:szCs w:val="20"/>
        </w:rPr>
        <w:t xml:space="preserve">%), které se přiblížilo hodnotě v ČR (v roce 2006 činil rozdíl 29,6 %, </w:t>
      </w:r>
      <w:r w:rsidR="00BE3CF1" w:rsidRPr="00BE3CF1">
        <w:rPr>
          <w:rFonts w:cs="Arial"/>
          <w:szCs w:val="20"/>
        </w:rPr>
        <w:lastRenderedPageBreak/>
        <w:t>zatímco v roce 2014 pouze 7,6 %).</w:t>
      </w:r>
      <w:r w:rsidRPr="00BE3CF1">
        <w:rPr>
          <w:rFonts w:cs="Arial"/>
          <w:szCs w:val="20"/>
        </w:rPr>
        <w:t xml:space="preserve"> </w:t>
      </w:r>
      <w:r w:rsidR="00BE3CF1">
        <w:rPr>
          <w:rFonts w:cs="Arial"/>
          <w:szCs w:val="20"/>
        </w:rPr>
        <w:t>Téměř stejnou</w:t>
      </w:r>
      <w:r w:rsidRPr="00BE3CF1">
        <w:rPr>
          <w:rFonts w:cs="Arial"/>
          <w:szCs w:val="20"/>
        </w:rPr>
        <w:t xml:space="preserve"> úroveň úmrtnosti mužů na nemoci oběhové soustavy jako v ČR mělo v roce 2014 </w:t>
      </w:r>
      <w:r w:rsidR="00BE3CF1">
        <w:rPr>
          <w:rFonts w:cs="Arial"/>
          <w:szCs w:val="20"/>
        </w:rPr>
        <w:t>Polsko</w:t>
      </w:r>
      <w:r w:rsidRPr="00BE3CF1">
        <w:rPr>
          <w:rFonts w:cs="Arial"/>
          <w:szCs w:val="20"/>
        </w:rPr>
        <w:t>. Nejlepší úmrtnostní poměry na tuto skupinu onemocnění byly dlouhodobě ve Francii a Španělsku.</w:t>
      </w:r>
      <w:r>
        <w:rPr>
          <w:rFonts w:cs="Arial"/>
          <w:szCs w:val="20"/>
        </w:rPr>
        <w:t xml:space="preserve">       </w:t>
      </w:r>
    </w:p>
    <w:p w:rsidR="00E6402C" w:rsidRPr="00633FC5" w:rsidRDefault="00E6402C" w:rsidP="00035FEE">
      <w:pPr>
        <w:spacing w:after="0"/>
        <w:rPr>
          <w:rFonts w:cs="Arial"/>
          <w:szCs w:val="20"/>
        </w:rPr>
      </w:pPr>
    </w:p>
    <w:p w:rsidR="00BC3A81" w:rsidRPr="00D63D46" w:rsidRDefault="003719F6" w:rsidP="00BC3A81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2</w:t>
      </w:r>
      <w:r w:rsidRPr="00D63D46">
        <w:rPr>
          <w:rFonts w:cs="Arial"/>
          <w:b/>
          <w:szCs w:val="20"/>
        </w:rPr>
        <w:t>3 Standardizované míry úmrtnosti mužů podle vy</w:t>
      </w:r>
      <w:r>
        <w:rPr>
          <w:rFonts w:cs="Arial"/>
          <w:b/>
          <w:szCs w:val="20"/>
        </w:rPr>
        <w:t>braných kapitol příčin smrti</w:t>
      </w:r>
      <w:r w:rsidRPr="00D63D46">
        <w:rPr>
          <w:rFonts w:cs="Arial"/>
          <w:b/>
          <w:szCs w:val="20"/>
          <w:vertAlign w:val="superscript"/>
        </w:rPr>
        <w:t>1)</w:t>
      </w:r>
      <w:r>
        <w:rPr>
          <w:rFonts w:cs="Arial"/>
          <w:b/>
          <w:szCs w:val="20"/>
        </w:rPr>
        <w:t xml:space="preserve"> </w:t>
      </w:r>
      <w:r w:rsidR="00027B60">
        <w:rPr>
          <w:rFonts w:cs="Arial"/>
          <w:b/>
          <w:szCs w:val="20"/>
        </w:rPr>
        <w:t>v ČR a EU</w:t>
      </w:r>
      <w:r w:rsidRPr="00D63D46">
        <w:rPr>
          <w:rFonts w:cs="Arial"/>
          <w:b/>
          <w:szCs w:val="20"/>
        </w:rPr>
        <w:t xml:space="preserve">28 v letech </w:t>
      </w:r>
      <w:proofErr w:type="gramStart"/>
      <w:r w:rsidRPr="00D63D46">
        <w:rPr>
          <w:rFonts w:cs="Arial"/>
          <w:b/>
          <w:szCs w:val="20"/>
        </w:rPr>
        <w:t>2006–2014</w:t>
      </w:r>
      <w:r w:rsidRPr="00D63D46">
        <w:rPr>
          <w:rFonts w:cs="Arial"/>
          <w:b/>
          <w:szCs w:val="20"/>
          <w:vertAlign w:val="superscript"/>
        </w:rPr>
        <w:t>2)</w:t>
      </w:r>
      <w:r w:rsidRPr="00D63D46">
        <w:rPr>
          <w:rFonts w:cs="Arial"/>
          <w:b/>
          <w:szCs w:val="20"/>
        </w:rPr>
        <w:t xml:space="preserve"> (na</w:t>
      </w:r>
      <w:proofErr w:type="gramEnd"/>
      <w:r w:rsidRPr="00D63D46">
        <w:rPr>
          <w:rFonts w:cs="Arial"/>
          <w:b/>
          <w:szCs w:val="20"/>
        </w:rPr>
        <w:t xml:space="preserve"> 100 000 obyvatel)</w:t>
      </w:r>
    </w:p>
    <w:p w:rsidR="00BC3A81" w:rsidRDefault="00027B60" w:rsidP="00BC3A81">
      <w:pPr>
        <w:rPr>
          <w:rFonts w:ascii="Arial CE" w:hAnsi="Arial CE" w:cs="Arial CE"/>
          <w:sz w:val="16"/>
          <w:szCs w:val="16"/>
        </w:rPr>
      </w:pPr>
      <w:r w:rsidRPr="00027B60">
        <w:drawing>
          <wp:anchor distT="0" distB="0" distL="114300" distR="114300" simplePos="0" relativeHeight="251727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19725" cy="287655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A81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Default="00BC3A81" w:rsidP="00BC3A81">
      <w:pPr>
        <w:rPr>
          <w:rFonts w:ascii="Arial CE" w:hAnsi="Arial CE" w:cs="Arial CE"/>
          <w:sz w:val="16"/>
          <w:szCs w:val="16"/>
        </w:rPr>
      </w:pPr>
    </w:p>
    <w:p w:rsidR="00BC3A81" w:rsidRDefault="00BC3A81" w:rsidP="00BC3A81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>
        <w:rPr>
          <w:rFonts w:ascii="Arial CE" w:hAnsi="Arial CE" w:cs="Arial CE"/>
          <w:i/>
          <w:iCs/>
          <w:sz w:val="16"/>
          <w:szCs w:val="16"/>
        </w:rPr>
        <w:t>Zdroj dat: databáze Eurostatu</w:t>
      </w:r>
    </w:p>
    <w:p w:rsidR="00BC3A81" w:rsidRPr="00C1290C" w:rsidRDefault="00BC3A81" w:rsidP="00BC3A81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530A00">
        <w:rPr>
          <w:rFonts w:ascii="Arial CE" w:hAnsi="Arial CE" w:cs="Arial CE"/>
          <w:i/>
          <w:iCs/>
          <w:sz w:val="16"/>
          <w:szCs w:val="16"/>
        </w:rPr>
        <w:t>1) II - Novotvary (C00 - D48); IX - Nemoci oběhové soustavy (I00 - I99); X - Nemoci dýchací soustavy (J00 - J99); XI - Nemoci trávicí soustavy (K00 - K93); XX - Vnější příčiny nemocnosti a úmr</w:t>
      </w:r>
      <w:r>
        <w:rPr>
          <w:rFonts w:ascii="Arial CE" w:hAnsi="Arial CE" w:cs="Arial CE"/>
          <w:i/>
          <w:iCs/>
          <w:sz w:val="16"/>
          <w:szCs w:val="16"/>
        </w:rPr>
        <w:t>tnosti (V01 - Y98)</w:t>
      </w:r>
    </w:p>
    <w:p w:rsidR="00BC3A81" w:rsidRDefault="00BC3A81" w:rsidP="00BC3A81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4E2DE3">
        <w:rPr>
          <w:rFonts w:ascii="Arial CE" w:hAnsi="Arial CE" w:cs="Arial CE"/>
          <w:i/>
          <w:iCs/>
          <w:sz w:val="16"/>
          <w:szCs w:val="16"/>
        </w:rPr>
        <w:t>2) Poslední dostupná data. Hodnoty za ČR od Eurostatu se mohou lišit od hodnot ČSÚ z důvodu odlišných středních stavů obyvatelstva a od roku 2011 i počtů zemřelých.</w:t>
      </w:r>
    </w:p>
    <w:p w:rsidR="00BC3A81" w:rsidRPr="00F6043F" w:rsidRDefault="00BC3A81" w:rsidP="00F6043F">
      <w:pPr>
        <w:spacing w:after="0"/>
        <w:rPr>
          <w:rFonts w:cs="Arial"/>
          <w:szCs w:val="20"/>
        </w:rPr>
      </w:pPr>
    </w:p>
    <w:p w:rsidR="00800DB2" w:rsidRDefault="00800DB2" w:rsidP="00800DB2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Intenzita úmrtnosti na novotvary u mužů byla v roce 2014 nejvyšší v Maďarsku, Chorvatsku a Lotyšsku a naopak nejnižší na Kypru, ve Finsku a Švédsku (viz přílohová tabulka 27). Česká republika zaznamenala mezi lety 2006 a 2014 nejvýraznější pokles standardizovaných měr úmrtnosti mužů na novotvary z celé 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(o 16,7 %, hodnota za celou 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byla 8,6 %) a přiblížila se tak například Dánsku nebo Nizozemsku a také v 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jako celku. Naopak státem s nejvyšším nárůstem úrovně úmrtnosti mužů na novotvary bylo Rumunsko, které se tak přesunulo mezi státy s mírně nadprůměrnou úrovní úmrtnosti.</w:t>
      </w:r>
    </w:p>
    <w:p w:rsidR="000A16E1" w:rsidRPr="00035FEE" w:rsidRDefault="000A16E1" w:rsidP="000A16E1">
      <w:pPr>
        <w:spacing w:after="0"/>
        <w:rPr>
          <w:rFonts w:cs="Arial"/>
          <w:szCs w:val="20"/>
        </w:rPr>
      </w:pPr>
    </w:p>
    <w:p w:rsidR="00D52644" w:rsidRDefault="00D52644" w:rsidP="00652B1A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I v případě žen došlo v 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mezi roky 2006 a 2014 k poklesu standardizovaných měr úmrtnosti u všech pěti nejčastějších příčin smrti (</w:t>
      </w:r>
      <w:r w:rsidRPr="006C4EB1">
        <w:rPr>
          <w:rFonts w:cs="Arial"/>
          <w:szCs w:val="20"/>
        </w:rPr>
        <w:t xml:space="preserve">graf 24). </w:t>
      </w:r>
      <w:r>
        <w:rPr>
          <w:rFonts w:cs="Arial"/>
          <w:szCs w:val="20"/>
        </w:rPr>
        <w:t>Stejně jako u mužů byl nejvýraznější pokles u nemocí oběhové soustavy (o 22,4 %) a nejnižší u novotvarů (o 4,9 %). Ženy v ČR dosahovaly ve srovnání s 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u všech nejčetnějších příčin s výjimkou nemocí dýchací soustavy a v každém roce sledovaného období vyšších intenzit úmrtnosti. Podstatně vyšší intenzitu úmrtnosti měly na nemoci oběhové soustavy (o 65,6 % v roce 2014 – obdobně i na začátku období) a na vnější příčiny (o 27,7 % v roce 2014 – růst oproti roku 2006, kdy šlo o 21,5 %). U novotvarů se rozdíl úrovně úmrtnosti mezi ČR a </w:t>
      </w:r>
      <w:r w:rsidR="00027B60">
        <w:rPr>
          <w:rFonts w:cs="Arial"/>
          <w:szCs w:val="20"/>
        </w:rPr>
        <w:t>EU28</w:t>
      </w:r>
      <w:r>
        <w:rPr>
          <w:rFonts w:cs="Arial"/>
          <w:szCs w:val="20"/>
        </w:rPr>
        <w:t xml:space="preserve"> snížil z 20,9 % na 8,4 %. </w:t>
      </w:r>
    </w:p>
    <w:p w:rsidR="00D52644" w:rsidRDefault="00D52644" w:rsidP="00652B1A">
      <w:pPr>
        <w:spacing w:after="0"/>
        <w:rPr>
          <w:rFonts w:cs="Arial"/>
          <w:szCs w:val="20"/>
        </w:rPr>
      </w:pPr>
    </w:p>
    <w:p w:rsidR="00FE45EF" w:rsidRPr="005B2D78" w:rsidRDefault="00FE45EF" w:rsidP="00FE45EF">
      <w:pPr>
        <w:spacing w:after="0"/>
        <w:rPr>
          <w:rFonts w:cs="Arial"/>
          <w:szCs w:val="20"/>
        </w:rPr>
      </w:pPr>
      <w:r w:rsidRPr="005B2D78">
        <w:t>Nejvyšší úrovně úmrtnosti na nemoci oběhové soustavy dosahovaly ženy v Bulharsku a Rumunsk</w:t>
      </w:r>
      <w:r>
        <w:t>u</w:t>
      </w:r>
      <w:r w:rsidRPr="005B2D78">
        <w:t xml:space="preserve"> (v roce 2014 i dlouhodobě, </w:t>
      </w:r>
      <w:r>
        <w:rPr>
          <w:rFonts w:cs="Arial"/>
          <w:szCs w:val="20"/>
        </w:rPr>
        <w:t>viz přílohová tabulka 30</w:t>
      </w:r>
      <w:r w:rsidRPr="005B2D78">
        <w:t>). Navíc v Bulharsku poklesly míry úmrtnosti mezi roky 2006 a 2014 nejméně (o 9,7 %). Naopak nejvíce se snížily v Řecku (o 40,7 %). Česká republi</w:t>
      </w:r>
      <w:r>
        <w:t>ka má v tomto ohledu nadprůměrnou hodnotu (</w:t>
      </w:r>
      <w:r w:rsidR="00AF39B8">
        <w:t>dvacátou</w:t>
      </w:r>
      <w:r>
        <w:t xml:space="preserve"> nejvyšší míru úmrtnosti na nemoci oběhové soustavy)</w:t>
      </w:r>
      <w:r w:rsidRPr="005B2D78">
        <w:t xml:space="preserve"> a nejblíže jí bylo v roce 2014 Slovensko a Polsko. Dlouhodobě nejnižší intenzitu </w:t>
      </w:r>
      <w:r w:rsidRPr="005B2D78">
        <w:rPr>
          <w:rFonts w:cs="Arial"/>
          <w:szCs w:val="20"/>
        </w:rPr>
        <w:t xml:space="preserve">úmrtnosti na nemoci oběhové soustavy u žen měla Francie, Dánsko a Španělsko. </w:t>
      </w:r>
    </w:p>
    <w:p w:rsidR="00131836" w:rsidRPr="005B2D78" w:rsidRDefault="00131836" w:rsidP="00131836">
      <w:pPr>
        <w:spacing w:after="0"/>
        <w:rPr>
          <w:rFonts w:cs="Arial"/>
          <w:szCs w:val="20"/>
        </w:rPr>
      </w:pPr>
    </w:p>
    <w:p w:rsidR="00800DB2" w:rsidRDefault="00800DB2" w:rsidP="00800DB2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Graf 24</w:t>
      </w:r>
      <w:r w:rsidRPr="00D63D46">
        <w:rPr>
          <w:rFonts w:cs="Arial"/>
          <w:b/>
          <w:szCs w:val="20"/>
        </w:rPr>
        <w:t xml:space="preserve"> Standardizované míry úmrtnosti </w:t>
      </w:r>
      <w:r>
        <w:rPr>
          <w:rFonts w:cs="Arial"/>
          <w:b/>
          <w:szCs w:val="20"/>
        </w:rPr>
        <w:t>žen</w:t>
      </w:r>
      <w:r w:rsidRPr="00D63D46">
        <w:rPr>
          <w:rFonts w:cs="Arial"/>
          <w:b/>
          <w:szCs w:val="20"/>
        </w:rPr>
        <w:t xml:space="preserve"> podle vy</w:t>
      </w:r>
      <w:r>
        <w:rPr>
          <w:rFonts w:cs="Arial"/>
          <w:b/>
          <w:szCs w:val="20"/>
        </w:rPr>
        <w:t>braných kapitol příčin smrti</w:t>
      </w:r>
      <w:r w:rsidRPr="00D63D46">
        <w:rPr>
          <w:rFonts w:cs="Arial"/>
          <w:b/>
          <w:szCs w:val="20"/>
          <w:vertAlign w:val="superscript"/>
        </w:rPr>
        <w:t>1)</w:t>
      </w:r>
      <w:r>
        <w:rPr>
          <w:rFonts w:cs="Arial"/>
          <w:b/>
          <w:szCs w:val="20"/>
        </w:rPr>
        <w:t xml:space="preserve"> </w:t>
      </w:r>
      <w:r w:rsidR="00027B60">
        <w:rPr>
          <w:rFonts w:cs="Arial"/>
          <w:b/>
          <w:szCs w:val="20"/>
        </w:rPr>
        <w:t>v ČR a EU</w:t>
      </w:r>
      <w:r w:rsidRPr="00D63D46">
        <w:rPr>
          <w:rFonts w:cs="Arial"/>
          <w:b/>
          <w:szCs w:val="20"/>
        </w:rPr>
        <w:t xml:space="preserve">28 v letech </w:t>
      </w:r>
      <w:proofErr w:type="gramStart"/>
      <w:r w:rsidRPr="00D63D46">
        <w:rPr>
          <w:rFonts w:cs="Arial"/>
          <w:b/>
          <w:szCs w:val="20"/>
        </w:rPr>
        <w:t>2006–2014</w:t>
      </w:r>
      <w:r w:rsidRPr="00D63D46">
        <w:rPr>
          <w:rFonts w:cs="Arial"/>
          <w:b/>
          <w:szCs w:val="20"/>
          <w:vertAlign w:val="superscript"/>
        </w:rPr>
        <w:t>2)</w:t>
      </w:r>
      <w:r w:rsidRPr="00D63D46">
        <w:rPr>
          <w:rFonts w:cs="Arial"/>
          <w:b/>
          <w:szCs w:val="20"/>
        </w:rPr>
        <w:t xml:space="preserve"> (na</w:t>
      </w:r>
      <w:proofErr w:type="gramEnd"/>
      <w:r w:rsidRPr="00D63D46">
        <w:rPr>
          <w:rFonts w:cs="Arial"/>
          <w:b/>
          <w:szCs w:val="20"/>
        </w:rPr>
        <w:t xml:space="preserve"> 100 000 obyvatel)</w:t>
      </w:r>
    </w:p>
    <w:p w:rsidR="00800DB2" w:rsidRPr="00D63D46" w:rsidRDefault="00027B60" w:rsidP="00800DB2">
      <w:pPr>
        <w:spacing w:after="60"/>
        <w:rPr>
          <w:rFonts w:cs="Arial"/>
          <w:b/>
          <w:szCs w:val="20"/>
        </w:rPr>
      </w:pPr>
      <w:r w:rsidRPr="00027B60">
        <w:drawing>
          <wp:anchor distT="0" distB="0" distL="114300" distR="114300" simplePos="0" relativeHeight="251728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419725" cy="287655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DB2" w:rsidRDefault="00800DB2" w:rsidP="00800DB2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</w:p>
    <w:p w:rsidR="00800DB2" w:rsidRPr="007633CC" w:rsidRDefault="00800DB2" w:rsidP="00800DB2">
      <w:pPr>
        <w:rPr>
          <w:rFonts w:ascii="Arial CE" w:hAnsi="Arial CE" w:cs="Arial CE"/>
          <w:sz w:val="16"/>
          <w:szCs w:val="16"/>
        </w:rPr>
      </w:pPr>
    </w:p>
    <w:p w:rsidR="00800DB2" w:rsidRPr="007633CC" w:rsidRDefault="00800DB2" w:rsidP="00800DB2">
      <w:pPr>
        <w:rPr>
          <w:rFonts w:ascii="Arial CE" w:hAnsi="Arial CE" w:cs="Arial CE"/>
          <w:sz w:val="16"/>
          <w:szCs w:val="16"/>
        </w:rPr>
      </w:pPr>
    </w:p>
    <w:p w:rsidR="00800DB2" w:rsidRPr="007633CC" w:rsidRDefault="00800DB2" w:rsidP="00800DB2">
      <w:pPr>
        <w:rPr>
          <w:rFonts w:ascii="Arial CE" w:hAnsi="Arial CE" w:cs="Arial CE"/>
          <w:sz w:val="16"/>
          <w:szCs w:val="16"/>
        </w:rPr>
      </w:pPr>
    </w:p>
    <w:p w:rsidR="00800DB2" w:rsidRPr="007633CC" w:rsidRDefault="00800DB2" w:rsidP="00800DB2">
      <w:pPr>
        <w:rPr>
          <w:rFonts w:ascii="Arial CE" w:hAnsi="Arial CE" w:cs="Arial CE"/>
          <w:sz w:val="16"/>
          <w:szCs w:val="16"/>
        </w:rPr>
      </w:pPr>
    </w:p>
    <w:p w:rsidR="00800DB2" w:rsidRPr="007633CC" w:rsidRDefault="00800DB2" w:rsidP="00800DB2">
      <w:pPr>
        <w:rPr>
          <w:rFonts w:ascii="Arial CE" w:hAnsi="Arial CE" w:cs="Arial CE"/>
          <w:sz w:val="16"/>
          <w:szCs w:val="16"/>
        </w:rPr>
      </w:pPr>
    </w:p>
    <w:p w:rsidR="00800DB2" w:rsidRPr="007633CC" w:rsidRDefault="00800DB2" w:rsidP="00800DB2">
      <w:pPr>
        <w:rPr>
          <w:rFonts w:ascii="Arial CE" w:hAnsi="Arial CE" w:cs="Arial CE"/>
          <w:sz w:val="16"/>
          <w:szCs w:val="16"/>
        </w:rPr>
      </w:pPr>
    </w:p>
    <w:p w:rsidR="00800DB2" w:rsidRPr="007633CC" w:rsidRDefault="00800DB2" w:rsidP="00800DB2">
      <w:pPr>
        <w:rPr>
          <w:rFonts w:ascii="Arial CE" w:hAnsi="Arial CE" w:cs="Arial CE"/>
          <w:sz w:val="16"/>
          <w:szCs w:val="16"/>
        </w:rPr>
      </w:pPr>
    </w:p>
    <w:p w:rsidR="00800DB2" w:rsidRDefault="00800DB2" w:rsidP="00800DB2">
      <w:pPr>
        <w:rPr>
          <w:rFonts w:ascii="Arial CE" w:hAnsi="Arial CE" w:cs="Arial CE"/>
          <w:sz w:val="16"/>
          <w:szCs w:val="16"/>
        </w:rPr>
      </w:pPr>
    </w:p>
    <w:p w:rsidR="00800DB2" w:rsidRDefault="00800DB2" w:rsidP="00800DB2">
      <w:pPr>
        <w:spacing w:after="60"/>
        <w:rPr>
          <w:rFonts w:ascii="Arial CE" w:hAnsi="Arial CE" w:cs="Arial CE"/>
          <w:i/>
          <w:iCs/>
          <w:sz w:val="16"/>
          <w:szCs w:val="16"/>
        </w:rPr>
      </w:pPr>
    </w:p>
    <w:p w:rsidR="00800DB2" w:rsidRDefault="00800DB2" w:rsidP="00800DB2">
      <w:pPr>
        <w:spacing w:after="60"/>
        <w:rPr>
          <w:rFonts w:ascii="Arial CE" w:hAnsi="Arial CE" w:cs="Arial CE"/>
          <w:i/>
          <w:iCs/>
          <w:sz w:val="16"/>
          <w:szCs w:val="16"/>
        </w:rPr>
      </w:pPr>
      <w:r>
        <w:rPr>
          <w:rFonts w:ascii="Arial CE" w:hAnsi="Arial CE" w:cs="Arial CE"/>
          <w:i/>
          <w:iCs/>
          <w:sz w:val="16"/>
          <w:szCs w:val="16"/>
        </w:rPr>
        <w:t>Zdroj dat: databáze Eurostatu</w:t>
      </w:r>
    </w:p>
    <w:p w:rsidR="00800DB2" w:rsidRPr="00C1290C" w:rsidRDefault="00800DB2" w:rsidP="00800DB2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530A00">
        <w:rPr>
          <w:rFonts w:ascii="Arial CE" w:hAnsi="Arial CE" w:cs="Arial CE"/>
          <w:i/>
          <w:iCs/>
          <w:sz w:val="16"/>
          <w:szCs w:val="16"/>
        </w:rPr>
        <w:t>1) II - Novotvary (C00 - D48); IX - Nemoci oběhové soustavy (I00 - I99); X - Nemoci dýchací soustavy (J00 - J99); XI - Nemoci trávicí soustavy (K00 - K93); XX - Vnější příčiny nemocnosti a úmr</w:t>
      </w:r>
      <w:r>
        <w:rPr>
          <w:rFonts w:ascii="Arial CE" w:hAnsi="Arial CE" w:cs="Arial CE"/>
          <w:i/>
          <w:iCs/>
          <w:sz w:val="16"/>
          <w:szCs w:val="16"/>
        </w:rPr>
        <w:t>tnosti (V01 - Y98)</w:t>
      </w:r>
    </w:p>
    <w:p w:rsidR="00800DB2" w:rsidRDefault="00800DB2" w:rsidP="00800DB2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4E2DE3">
        <w:rPr>
          <w:rFonts w:ascii="Arial CE" w:hAnsi="Arial CE" w:cs="Arial CE"/>
          <w:i/>
          <w:iCs/>
          <w:sz w:val="16"/>
          <w:szCs w:val="16"/>
        </w:rPr>
        <w:t>2) Poslední dostupná data. Hodnoty za ČR od Eurostatu se mohou lišit od hodnot ČSÚ z důvodu odlišných středních stavů obyvatelstva a od roku 2011 i počtů zemřelých.</w:t>
      </w:r>
    </w:p>
    <w:p w:rsidR="00800DB2" w:rsidRDefault="00800DB2" w:rsidP="00BC3A81">
      <w:pPr>
        <w:spacing w:after="0"/>
        <w:rPr>
          <w:rFonts w:cs="Arial"/>
          <w:szCs w:val="20"/>
        </w:rPr>
      </w:pPr>
    </w:p>
    <w:p w:rsidR="00BA7A5D" w:rsidRDefault="00BA7A5D" w:rsidP="00BA7A5D">
      <w:pPr>
        <w:spacing w:after="0"/>
        <w:rPr>
          <w:rFonts w:cs="Arial"/>
          <w:szCs w:val="20"/>
        </w:rPr>
      </w:pPr>
      <w:r w:rsidRPr="005B2D78">
        <w:rPr>
          <w:rFonts w:cs="Arial"/>
          <w:szCs w:val="20"/>
        </w:rPr>
        <w:t>Nejhorší úmrtnostní poměry u novotvarů měly v roce 2014 ženy v Maďarsku a Dánsku, když Maďarsko se dostalo před dlouhodobě první Dánsko v roce 2013 (</w:t>
      </w:r>
      <w:r>
        <w:rPr>
          <w:rFonts w:cs="Arial"/>
          <w:szCs w:val="20"/>
        </w:rPr>
        <w:t>viz přílohová tabulka 28</w:t>
      </w:r>
      <w:r w:rsidRPr="005B2D78">
        <w:rPr>
          <w:rFonts w:cs="Arial"/>
          <w:szCs w:val="20"/>
        </w:rPr>
        <w:t xml:space="preserve">). Oproti tomu nejnižší </w:t>
      </w:r>
      <w:r>
        <w:rPr>
          <w:rFonts w:cs="Arial"/>
          <w:szCs w:val="20"/>
        </w:rPr>
        <w:t xml:space="preserve">byla </w:t>
      </w:r>
      <w:r w:rsidRPr="005B2D78">
        <w:rPr>
          <w:rFonts w:cs="Arial"/>
          <w:szCs w:val="20"/>
        </w:rPr>
        <w:t xml:space="preserve">v posledním sledovaném roce </w:t>
      </w:r>
      <w:r>
        <w:rPr>
          <w:rFonts w:cs="Arial"/>
          <w:szCs w:val="20"/>
        </w:rPr>
        <w:t xml:space="preserve">(i v celém sledovaném období) </w:t>
      </w:r>
      <w:r w:rsidRPr="005B2D78">
        <w:rPr>
          <w:rFonts w:cs="Arial"/>
          <w:szCs w:val="20"/>
        </w:rPr>
        <w:t>intenzita úmrtnosti na Ky</w:t>
      </w:r>
      <w:r>
        <w:rPr>
          <w:rFonts w:cs="Arial"/>
          <w:szCs w:val="20"/>
        </w:rPr>
        <w:t xml:space="preserve">pru, ve Španělsku a Portugalsku. </w:t>
      </w:r>
      <w:r w:rsidRPr="005B2D78">
        <w:rPr>
          <w:rFonts w:cs="Arial"/>
          <w:szCs w:val="20"/>
        </w:rPr>
        <w:t xml:space="preserve">Ženy v České republice (stejně jako muži) dosáhly nejvyššího poklesu standardizované míry úmrtnosti na novotvary mezi roky 2006 a 2014 z celé </w:t>
      </w:r>
      <w:r w:rsidR="00027B60">
        <w:rPr>
          <w:rFonts w:cs="Arial"/>
          <w:szCs w:val="20"/>
        </w:rPr>
        <w:t>EU28</w:t>
      </w:r>
      <w:r w:rsidRPr="005B2D78">
        <w:rPr>
          <w:rFonts w:cs="Arial"/>
          <w:szCs w:val="20"/>
        </w:rPr>
        <w:t xml:space="preserve"> a to o 14,8 % (celá </w:t>
      </w:r>
      <w:r w:rsidR="00027B60">
        <w:rPr>
          <w:rFonts w:cs="Arial"/>
          <w:szCs w:val="20"/>
        </w:rPr>
        <w:t>EU28</w:t>
      </w:r>
      <w:r w:rsidRPr="005B2D78">
        <w:rPr>
          <w:rFonts w:cs="Arial"/>
          <w:szCs w:val="20"/>
        </w:rPr>
        <w:t xml:space="preserve"> o 4,9 %)</w:t>
      </w:r>
      <w:r>
        <w:rPr>
          <w:rFonts w:cs="Arial"/>
          <w:szCs w:val="20"/>
        </w:rPr>
        <w:t xml:space="preserve"> a patřila jim podle posledních údajů </w:t>
      </w:r>
      <w:r w:rsidR="00AF39B8">
        <w:rPr>
          <w:rFonts w:cs="Arial"/>
          <w:szCs w:val="20"/>
        </w:rPr>
        <w:t>devatenáctá</w:t>
      </w:r>
      <w:r>
        <w:rPr>
          <w:rFonts w:cs="Arial"/>
          <w:szCs w:val="20"/>
        </w:rPr>
        <w:t xml:space="preserve"> příčka</w:t>
      </w:r>
      <w:r w:rsidRPr="005B2D78">
        <w:rPr>
          <w:rFonts w:cs="Arial"/>
          <w:szCs w:val="20"/>
        </w:rPr>
        <w:t xml:space="preserve">. Naopak intenzita úmrtnosti </w:t>
      </w:r>
      <w:r>
        <w:rPr>
          <w:rFonts w:cs="Arial"/>
          <w:szCs w:val="20"/>
        </w:rPr>
        <w:t>nejvíce narostla</w:t>
      </w:r>
      <w:r w:rsidRPr="005B2D78">
        <w:rPr>
          <w:rFonts w:cs="Arial"/>
          <w:szCs w:val="20"/>
        </w:rPr>
        <w:t xml:space="preserve"> na Slovensk</w:t>
      </w:r>
      <w:r>
        <w:rPr>
          <w:rFonts w:cs="Arial"/>
          <w:szCs w:val="20"/>
        </w:rPr>
        <w:t>u</w:t>
      </w:r>
      <w:r w:rsidRPr="005B2D78">
        <w:rPr>
          <w:rFonts w:cs="Arial"/>
          <w:szCs w:val="20"/>
        </w:rPr>
        <w:t xml:space="preserve"> a v Chorvatsku.   </w:t>
      </w:r>
    </w:p>
    <w:p w:rsidR="00B3602C" w:rsidRDefault="00B3602C" w:rsidP="00131836">
      <w:pPr>
        <w:spacing w:after="0"/>
        <w:rPr>
          <w:rFonts w:cs="Arial"/>
          <w:szCs w:val="20"/>
        </w:rPr>
      </w:pPr>
    </w:p>
    <w:p w:rsidR="00B3602C" w:rsidRDefault="00B3602C" w:rsidP="00131836">
      <w:pPr>
        <w:spacing w:after="0"/>
        <w:rPr>
          <w:rFonts w:cs="Arial"/>
          <w:szCs w:val="20"/>
        </w:rPr>
      </w:pPr>
    </w:p>
    <w:p w:rsidR="00B3602C" w:rsidRDefault="00B3602C" w:rsidP="00131836">
      <w:pPr>
        <w:spacing w:after="0"/>
        <w:rPr>
          <w:rFonts w:cs="Arial"/>
          <w:szCs w:val="20"/>
        </w:rPr>
      </w:pPr>
    </w:p>
    <w:p w:rsidR="00B3602C" w:rsidRDefault="00B3602C" w:rsidP="00131836">
      <w:pPr>
        <w:spacing w:after="0"/>
        <w:rPr>
          <w:rFonts w:cs="Arial"/>
          <w:szCs w:val="20"/>
        </w:rPr>
      </w:pPr>
    </w:p>
    <w:sectPr w:rsidR="00B3602C" w:rsidSect="003B743B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1134" w:bottom="1418" w:left="1134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90" w:rsidRDefault="005D5490" w:rsidP="00E71A58">
      <w:r>
        <w:separator/>
      </w:r>
    </w:p>
  </w:endnote>
  <w:endnote w:type="continuationSeparator" w:id="0">
    <w:p w:rsidR="005D5490" w:rsidRDefault="005D549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932443" w:rsidRDefault="005926D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F0569D4" wp14:editId="6DB9E30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27B60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2006–2016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932443" w:rsidRDefault="005926D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0F47446F" wp14:editId="3C19157D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2006–2016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27B60">
      <w:rPr>
        <w:rStyle w:val="ZpatChar"/>
        <w:szCs w:val="16"/>
      </w:rPr>
      <w:t>27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90" w:rsidRDefault="005D5490" w:rsidP="00E71A58">
      <w:r>
        <w:separator/>
      </w:r>
    </w:p>
  </w:footnote>
  <w:footnote w:type="continuationSeparator" w:id="0">
    <w:p w:rsidR="005D5490" w:rsidRDefault="005D549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7A54FF" w:rsidRDefault="005926DB" w:rsidP="007A54FF">
    <w:pPr>
      <w:pStyle w:val="Zhlav"/>
    </w:pPr>
    <w:r>
      <w:t>Vývoj úmrtnosti v České republice 2006–2016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6F5416" w:rsidRDefault="005926DB" w:rsidP="00937AE2">
    <w:pPr>
      <w:pStyle w:val="Zhlav"/>
    </w:pPr>
    <w:r>
      <w:t>Vývoj úmrtnosti v České republice 2006–2016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9pt;height:10.9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5CB"/>
    <w:rsid w:val="00004D5A"/>
    <w:rsid w:val="000056D5"/>
    <w:rsid w:val="00005DDC"/>
    <w:rsid w:val="0000767A"/>
    <w:rsid w:val="00010702"/>
    <w:rsid w:val="00010DD8"/>
    <w:rsid w:val="000119F9"/>
    <w:rsid w:val="0001365E"/>
    <w:rsid w:val="000153A0"/>
    <w:rsid w:val="00016992"/>
    <w:rsid w:val="00017347"/>
    <w:rsid w:val="00021BA9"/>
    <w:rsid w:val="000234D6"/>
    <w:rsid w:val="00023D29"/>
    <w:rsid w:val="00026389"/>
    <w:rsid w:val="00027325"/>
    <w:rsid w:val="00027B60"/>
    <w:rsid w:val="00030D3C"/>
    <w:rsid w:val="0003153B"/>
    <w:rsid w:val="00031AE0"/>
    <w:rsid w:val="000322EF"/>
    <w:rsid w:val="00033FCD"/>
    <w:rsid w:val="00035FEE"/>
    <w:rsid w:val="00036A91"/>
    <w:rsid w:val="000402D0"/>
    <w:rsid w:val="000402D2"/>
    <w:rsid w:val="000419F3"/>
    <w:rsid w:val="00041CEC"/>
    <w:rsid w:val="00043274"/>
    <w:rsid w:val="00045131"/>
    <w:rsid w:val="0004694F"/>
    <w:rsid w:val="000469B3"/>
    <w:rsid w:val="000473E5"/>
    <w:rsid w:val="00050751"/>
    <w:rsid w:val="00050A0A"/>
    <w:rsid w:val="000522E4"/>
    <w:rsid w:val="0005470D"/>
    <w:rsid w:val="00054A4E"/>
    <w:rsid w:val="00054F7C"/>
    <w:rsid w:val="00057D39"/>
    <w:rsid w:val="000610E1"/>
    <w:rsid w:val="00062176"/>
    <w:rsid w:val="00062907"/>
    <w:rsid w:val="00062EC5"/>
    <w:rsid w:val="00062F22"/>
    <w:rsid w:val="00064369"/>
    <w:rsid w:val="00067A09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33B5"/>
    <w:rsid w:val="000974D1"/>
    <w:rsid w:val="0009799E"/>
    <w:rsid w:val="000A1183"/>
    <w:rsid w:val="000A16E1"/>
    <w:rsid w:val="000A256D"/>
    <w:rsid w:val="000A3A2C"/>
    <w:rsid w:val="000A41DC"/>
    <w:rsid w:val="000A53C4"/>
    <w:rsid w:val="000B0BB6"/>
    <w:rsid w:val="000B11A5"/>
    <w:rsid w:val="000B30FA"/>
    <w:rsid w:val="000B40F1"/>
    <w:rsid w:val="000B4E56"/>
    <w:rsid w:val="000B6C64"/>
    <w:rsid w:val="000B7A13"/>
    <w:rsid w:val="000C029F"/>
    <w:rsid w:val="000C0C6D"/>
    <w:rsid w:val="000C2060"/>
    <w:rsid w:val="000C3408"/>
    <w:rsid w:val="000C5535"/>
    <w:rsid w:val="000C58C7"/>
    <w:rsid w:val="000C5FFA"/>
    <w:rsid w:val="000C6AFD"/>
    <w:rsid w:val="000C7EDF"/>
    <w:rsid w:val="000D06FE"/>
    <w:rsid w:val="000D182C"/>
    <w:rsid w:val="000D5637"/>
    <w:rsid w:val="000D583A"/>
    <w:rsid w:val="000D6EB5"/>
    <w:rsid w:val="000D6FD3"/>
    <w:rsid w:val="000D7F83"/>
    <w:rsid w:val="000E1193"/>
    <w:rsid w:val="000E156B"/>
    <w:rsid w:val="000E1B49"/>
    <w:rsid w:val="000E1BDD"/>
    <w:rsid w:val="000E269A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2DFC"/>
    <w:rsid w:val="0010437D"/>
    <w:rsid w:val="00104C4C"/>
    <w:rsid w:val="00106DEF"/>
    <w:rsid w:val="00107089"/>
    <w:rsid w:val="00111FCC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31836"/>
    <w:rsid w:val="00133A83"/>
    <w:rsid w:val="001405FA"/>
    <w:rsid w:val="001425C3"/>
    <w:rsid w:val="00142701"/>
    <w:rsid w:val="00145EA6"/>
    <w:rsid w:val="001462B0"/>
    <w:rsid w:val="001514A8"/>
    <w:rsid w:val="00152B67"/>
    <w:rsid w:val="001566B6"/>
    <w:rsid w:val="0016134C"/>
    <w:rsid w:val="0016256B"/>
    <w:rsid w:val="0016352B"/>
    <w:rsid w:val="00163793"/>
    <w:rsid w:val="001670D2"/>
    <w:rsid w:val="001678EC"/>
    <w:rsid w:val="00167F47"/>
    <w:rsid w:val="001706D6"/>
    <w:rsid w:val="00170831"/>
    <w:rsid w:val="001714F2"/>
    <w:rsid w:val="00172D31"/>
    <w:rsid w:val="00175F52"/>
    <w:rsid w:val="001779CE"/>
    <w:rsid w:val="001811DD"/>
    <w:rsid w:val="00182959"/>
    <w:rsid w:val="0018474A"/>
    <w:rsid w:val="00184B08"/>
    <w:rsid w:val="00185010"/>
    <w:rsid w:val="00185614"/>
    <w:rsid w:val="00185DE9"/>
    <w:rsid w:val="00187AD0"/>
    <w:rsid w:val="0019067C"/>
    <w:rsid w:val="001A04FC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C05CD"/>
    <w:rsid w:val="001C07E8"/>
    <w:rsid w:val="001C6049"/>
    <w:rsid w:val="001C63DE"/>
    <w:rsid w:val="001C7409"/>
    <w:rsid w:val="001D0FEE"/>
    <w:rsid w:val="001D5D5C"/>
    <w:rsid w:val="001D6209"/>
    <w:rsid w:val="001D62EB"/>
    <w:rsid w:val="001D68B2"/>
    <w:rsid w:val="001D7A0D"/>
    <w:rsid w:val="001D7DA1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4597"/>
    <w:rsid w:val="001F461A"/>
    <w:rsid w:val="00201642"/>
    <w:rsid w:val="00203BB2"/>
    <w:rsid w:val="00203F13"/>
    <w:rsid w:val="002118B9"/>
    <w:rsid w:val="00214045"/>
    <w:rsid w:val="002174E0"/>
    <w:rsid w:val="00217C5B"/>
    <w:rsid w:val="00220391"/>
    <w:rsid w:val="00220CAE"/>
    <w:rsid w:val="0022139E"/>
    <w:rsid w:val="0022195A"/>
    <w:rsid w:val="0022486F"/>
    <w:rsid w:val="002252E0"/>
    <w:rsid w:val="002255F6"/>
    <w:rsid w:val="00227850"/>
    <w:rsid w:val="00227A53"/>
    <w:rsid w:val="00230C6E"/>
    <w:rsid w:val="002332AC"/>
    <w:rsid w:val="00236443"/>
    <w:rsid w:val="00237BEB"/>
    <w:rsid w:val="002419A4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8A4"/>
    <w:rsid w:val="00252106"/>
    <w:rsid w:val="00252B6C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60AB"/>
    <w:rsid w:val="00276FDC"/>
    <w:rsid w:val="00283B35"/>
    <w:rsid w:val="00284DE4"/>
    <w:rsid w:val="00285412"/>
    <w:rsid w:val="00290E11"/>
    <w:rsid w:val="002930BF"/>
    <w:rsid w:val="00293B0F"/>
    <w:rsid w:val="00293ECA"/>
    <w:rsid w:val="0029467D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C034B"/>
    <w:rsid w:val="002C1249"/>
    <w:rsid w:val="002C1D2A"/>
    <w:rsid w:val="002C43BD"/>
    <w:rsid w:val="002C6E3A"/>
    <w:rsid w:val="002C774A"/>
    <w:rsid w:val="002C7B4E"/>
    <w:rsid w:val="002D0E59"/>
    <w:rsid w:val="002D10D2"/>
    <w:rsid w:val="002D1C35"/>
    <w:rsid w:val="002D79AD"/>
    <w:rsid w:val="002E02A1"/>
    <w:rsid w:val="002E4E4C"/>
    <w:rsid w:val="002E5641"/>
    <w:rsid w:val="002E60EE"/>
    <w:rsid w:val="002E6A2F"/>
    <w:rsid w:val="002F26F5"/>
    <w:rsid w:val="002F2803"/>
    <w:rsid w:val="002F37F1"/>
    <w:rsid w:val="00304771"/>
    <w:rsid w:val="003052D4"/>
    <w:rsid w:val="00306C5B"/>
    <w:rsid w:val="00312241"/>
    <w:rsid w:val="00312FD4"/>
    <w:rsid w:val="00313C82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5A9"/>
    <w:rsid w:val="00343544"/>
    <w:rsid w:val="00344668"/>
    <w:rsid w:val="003462D9"/>
    <w:rsid w:val="00350712"/>
    <w:rsid w:val="0035145A"/>
    <w:rsid w:val="00351FD4"/>
    <w:rsid w:val="00352D1C"/>
    <w:rsid w:val="00354632"/>
    <w:rsid w:val="00356BA0"/>
    <w:rsid w:val="00360C86"/>
    <w:rsid w:val="0036174E"/>
    <w:rsid w:val="00362295"/>
    <w:rsid w:val="00364E9E"/>
    <w:rsid w:val="003657F3"/>
    <w:rsid w:val="00366058"/>
    <w:rsid w:val="00367E8A"/>
    <w:rsid w:val="003712DF"/>
    <w:rsid w:val="003719F6"/>
    <w:rsid w:val="003730B7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9267A"/>
    <w:rsid w:val="00394E37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B4C02"/>
    <w:rsid w:val="003B5A32"/>
    <w:rsid w:val="003B743B"/>
    <w:rsid w:val="003C24A4"/>
    <w:rsid w:val="003C3390"/>
    <w:rsid w:val="003C3490"/>
    <w:rsid w:val="003C3B69"/>
    <w:rsid w:val="003C592E"/>
    <w:rsid w:val="003C59EE"/>
    <w:rsid w:val="003C7966"/>
    <w:rsid w:val="003C7F25"/>
    <w:rsid w:val="003D09AA"/>
    <w:rsid w:val="003D3708"/>
    <w:rsid w:val="003D6920"/>
    <w:rsid w:val="003D699F"/>
    <w:rsid w:val="003D7B16"/>
    <w:rsid w:val="003E02BA"/>
    <w:rsid w:val="003E0E3A"/>
    <w:rsid w:val="003E3B90"/>
    <w:rsid w:val="003E4C91"/>
    <w:rsid w:val="003E7B37"/>
    <w:rsid w:val="003F313C"/>
    <w:rsid w:val="003F4B2C"/>
    <w:rsid w:val="003F551C"/>
    <w:rsid w:val="003F7445"/>
    <w:rsid w:val="003F7D23"/>
    <w:rsid w:val="00402C39"/>
    <w:rsid w:val="004031AC"/>
    <w:rsid w:val="0040463D"/>
    <w:rsid w:val="00405EBE"/>
    <w:rsid w:val="00406F16"/>
    <w:rsid w:val="00407C13"/>
    <w:rsid w:val="00410638"/>
    <w:rsid w:val="0041108E"/>
    <w:rsid w:val="0041187E"/>
    <w:rsid w:val="004168A2"/>
    <w:rsid w:val="00416CCB"/>
    <w:rsid w:val="00420B40"/>
    <w:rsid w:val="0043110C"/>
    <w:rsid w:val="00432A58"/>
    <w:rsid w:val="004333FA"/>
    <w:rsid w:val="00434617"/>
    <w:rsid w:val="00440535"/>
    <w:rsid w:val="00440900"/>
    <w:rsid w:val="00442727"/>
    <w:rsid w:val="004441A0"/>
    <w:rsid w:val="00445923"/>
    <w:rsid w:val="0044729A"/>
    <w:rsid w:val="004531E0"/>
    <w:rsid w:val="0045498A"/>
    <w:rsid w:val="0045617F"/>
    <w:rsid w:val="00460FB3"/>
    <w:rsid w:val="004633E1"/>
    <w:rsid w:val="004662BB"/>
    <w:rsid w:val="004703BD"/>
    <w:rsid w:val="00476240"/>
    <w:rsid w:val="00476439"/>
    <w:rsid w:val="0047735C"/>
    <w:rsid w:val="004776BC"/>
    <w:rsid w:val="0048139F"/>
    <w:rsid w:val="0048162D"/>
    <w:rsid w:val="00481E40"/>
    <w:rsid w:val="00483994"/>
    <w:rsid w:val="00484ECE"/>
    <w:rsid w:val="00485AF7"/>
    <w:rsid w:val="00486AF0"/>
    <w:rsid w:val="004900FF"/>
    <w:rsid w:val="004915CB"/>
    <w:rsid w:val="004924DC"/>
    <w:rsid w:val="00492CA7"/>
    <w:rsid w:val="00495B68"/>
    <w:rsid w:val="004A021E"/>
    <w:rsid w:val="004A0DF8"/>
    <w:rsid w:val="004A14E4"/>
    <w:rsid w:val="004A2A54"/>
    <w:rsid w:val="004A3212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334"/>
    <w:rsid w:val="004B55B7"/>
    <w:rsid w:val="004B5D6E"/>
    <w:rsid w:val="004B5E29"/>
    <w:rsid w:val="004B6468"/>
    <w:rsid w:val="004C1E70"/>
    <w:rsid w:val="004C384C"/>
    <w:rsid w:val="004C3867"/>
    <w:rsid w:val="004C3968"/>
    <w:rsid w:val="004C4CD0"/>
    <w:rsid w:val="004C514B"/>
    <w:rsid w:val="004C70DC"/>
    <w:rsid w:val="004C714D"/>
    <w:rsid w:val="004C78A6"/>
    <w:rsid w:val="004D0211"/>
    <w:rsid w:val="004D0794"/>
    <w:rsid w:val="004D4523"/>
    <w:rsid w:val="004D6C61"/>
    <w:rsid w:val="004D71F8"/>
    <w:rsid w:val="004D7AC6"/>
    <w:rsid w:val="004E2DE3"/>
    <w:rsid w:val="004E46CF"/>
    <w:rsid w:val="004E4A71"/>
    <w:rsid w:val="004E68A9"/>
    <w:rsid w:val="004F06F5"/>
    <w:rsid w:val="004F33A0"/>
    <w:rsid w:val="004F4D3E"/>
    <w:rsid w:val="004F526C"/>
    <w:rsid w:val="004F6BEF"/>
    <w:rsid w:val="00500A8A"/>
    <w:rsid w:val="00500E0E"/>
    <w:rsid w:val="005015F6"/>
    <w:rsid w:val="00505225"/>
    <w:rsid w:val="00505A03"/>
    <w:rsid w:val="00506052"/>
    <w:rsid w:val="00507DEE"/>
    <w:rsid w:val="005108C0"/>
    <w:rsid w:val="00511873"/>
    <w:rsid w:val="00511C34"/>
    <w:rsid w:val="005125B8"/>
    <w:rsid w:val="00512A2F"/>
    <w:rsid w:val="00513B7E"/>
    <w:rsid w:val="00515C74"/>
    <w:rsid w:val="00515CC3"/>
    <w:rsid w:val="005167DE"/>
    <w:rsid w:val="0052007E"/>
    <w:rsid w:val="005219C5"/>
    <w:rsid w:val="0052337A"/>
    <w:rsid w:val="00524E7C"/>
    <w:rsid w:val="00525137"/>
    <w:rsid w:val="005251DD"/>
    <w:rsid w:val="00530875"/>
    <w:rsid w:val="00530A00"/>
    <w:rsid w:val="00532280"/>
    <w:rsid w:val="00532371"/>
    <w:rsid w:val="00532CE7"/>
    <w:rsid w:val="0053324C"/>
    <w:rsid w:val="00534A28"/>
    <w:rsid w:val="00537A98"/>
    <w:rsid w:val="00540478"/>
    <w:rsid w:val="00541508"/>
    <w:rsid w:val="00545C4C"/>
    <w:rsid w:val="00551ECE"/>
    <w:rsid w:val="00553864"/>
    <w:rsid w:val="00554CEE"/>
    <w:rsid w:val="0055599F"/>
    <w:rsid w:val="00556D68"/>
    <w:rsid w:val="0056308C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27EA"/>
    <w:rsid w:val="00583FFD"/>
    <w:rsid w:val="00584E79"/>
    <w:rsid w:val="00585C80"/>
    <w:rsid w:val="00585F09"/>
    <w:rsid w:val="00590F4F"/>
    <w:rsid w:val="005911BE"/>
    <w:rsid w:val="005926DB"/>
    <w:rsid w:val="00593152"/>
    <w:rsid w:val="005932CF"/>
    <w:rsid w:val="00594124"/>
    <w:rsid w:val="00594A4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D78"/>
    <w:rsid w:val="005B5D92"/>
    <w:rsid w:val="005B7B34"/>
    <w:rsid w:val="005C05F5"/>
    <w:rsid w:val="005C06B9"/>
    <w:rsid w:val="005C06ED"/>
    <w:rsid w:val="005C3100"/>
    <w:rsid w:val="005C4919"/>
    <w:rsid w:val="005C75D7"/>
    <w:rsid w:val="005D069F"/>
    <w:rsid w:val="005D176B"/>
    <w:rsid w:val="005D26A0"/>
    <w:rsid w:val="005D5490"/>
    <w:rsid w:val="005D5802"/>
    <w:rsid w:val="005D606B"/>
    <w:rsid w:val="005D7890"/>
    <w:rsid w:val="005E0344"/>
    <w:rsid w:val="005E08A9"/>
    <w:rsid w:val="005E3857"/>
    <w:rsid w:val="005E4DA5"/>
    <w:rsid w:val="005E533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FF8"/>
    <w:rsid w:val="00612A2F"/>
    <w:rsid w:val="00614990"/>
    <w:rsid w:val="006167B8"/>
    <w:rsid w:val="00616E05"/>
    <w:rsid w:val="006234A1"/>
    <w:rsid w:val="00624093"/>
    <w:rsid w:val="00624621"/>
    <w:rsid w:val="0062641F"/>
    <w:rsid w:val="006268DB"/>
    <w:rsid w:val="0063164C"/>
    <w:rsid w:val="00632ED0"/>
    <w:rsid w:val="00633FC5"/>
    <w:rsid w:val="00634060"/>
    <w:rsid w:val="0063504A"/>
    <w:rsid w:val="00635B85"/>
    <w:rsid w:val="006364D7"/>
    <w:rsid w:val="0063677B"/>
    <w:rsid w:val="006404A7"/>
    <w:rsid w:val="006407C4"/>
    <w:rsid w:val="0064336E"/>
    <w:rsid w:val="00643DF7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6EE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807E2"/>
    <w:rsid w:val="0068174E"/>
    <w:rsid w:val="00681DCE"/>
    <w:rsid w:val="0068260E"/>
    <w:rsid w:val="00684182"/>
    <w:rsid w:val="006860B7"/>
    <w:rsid w:val="006923C8"/>
    <w:rsid w:val="00692BD9"/>
    <w:rsid w:val="0069379F"/>
    <w:rsid w:val="00695BEF"/>
    <w:rsid w:val="00695F6F"/>
    <w:rsid w:val="006977F6"/>
    <w:rsid w:val="00697A13"/>
    <w:rsid w:val="006A109C"/>
    <w:rsid w:val="006A34A6"/>
    <w:rsid w:val="006A3A94"/>
    <w:rsid w:val="006A3B27"/>
    <w:rsid w:val="006A3C5F"/>
    <w:rsid w:val="006A5C9F"/>
    <w:rsid w:val="006A6CAF"/>
    <w:rsid w:val="006A6E68"/>
    <w:rsid w:val="006B344A"/>
    <w:rsid w:val="006B3E2B"/>
    <w:rsid w:val="006B3F74"/>
    <w:rsid w:val="006B4638"/>
    <w:rsid w:val="006B5824"/>
    <w:rsid w:val="006B5E3E"/>
    <w:rsid w:val="006B62C7"/>
    <w:rsid w:val="006B6814"/>
    <w:rsid w:val="006B7191"/>
    <w:rsid w:val="006B76D8"/>
    <w:rsid w:val="006B78D8"/>
    <w:rsid w:val="006C0FD2"/>
    <w:rsid w:val="006C113F"/>
    <w:rsid w:val="006C123E"/>
    <w:rsid w:val="006C4EB1"/>
    <w:rsid w:val="006C56D4"/>
    <w:rsid w:val="006C6924"/>
    <w:rsid w:val="006C7CA6"/>
    <w:rsid w:val="006D13B3"/>
    <w:rsid w:val="006D239F"/>
    <w:rsid w:val="006D3E8A"/>
    <w:rsid w:val="006D61F6"/>
    <w:rsid w:val="006D62A4"/>
    <w:rsid w:val="006D6949"/>
    <w:rsid w:val="006D7729"/>
    <w:rsid w:val="006D7BE4"/>
    <w:rsid w:val="006E0015"/>
    <w:rsid w:val="006E279A"/>
    <w:rsid w:val="006E30E8"/>
    <w:rsid w:val="006E313B"/>
    <w:rsid w:val="006E373D"/>
    <w:rsid w:val="006E3A47"/>
    <w:rsid w:val="006E54D9"/>
    <w:rsid w:val="006F1785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6AD4"/>
    <w:rsid w:val="00713F05"/>
    <w:rsid w:val="007140BE"/>
    <w:rsid w:val="007154FE"/>
    <w:rsid w:val="00715E9E"/>
    <w:rsid w:val="00720D36"/>
    <w:rsid w:val="007211F5"/>
    <w:rsid w:val="007222D7"/>
    <w:rsid w:val="00722415"/>
    <w:rsid w:val="00725BB5"/>
    <w:rsid w:val="0073087E"/>
    <w:rsid w:val="00730AE8"/>
    <w:rsid w:val="00731340"/>
    <w:rsid w:val="00731A06"/>
    <w:rsid w:val="00731B32"/>
    <w:rsid w:val="0073395D"/>
    <w:rsid w:val="0073433F"/>
    <w:rsid w:val="00735379"/>
    <w:rsid w:val="00735AB8"/>
    <w:rsid w:val="0074004B"/>
    <w:rsid w:val="007405F4"/>
    <w:rsid w:val="00741493"/>
    <w:rsid w:val="00742447"/>
    <w:rsid w:val="00742BD7"/>
    <w:rsid w:val="007501EE"/>
    <w:rsid w:val="00751E0A"/>
    <w:rsid w:val="00752180"/>
    <w:rsid w:val="00753751"/>
    <w:rsid w:val="00755202"/>
    <w:rsid w:val="00755D3A"/>
    <w:rsid w:val="007578D3"/>
    <w:rsid w:val="007609C6"/>
    <w:rsid w:val="0076175D"/>
    <w:rsid w:val="0076310A"/>
    <w:rsid w:val="007633CC"/>
    <w:rsid w:val="0076521E"/>
    <w:rsid w:val="00765B47"/>
    <w:rsid w:val="00765BA7"/>
    <w:rsid w:val="00765F04"/>
    <w:rsid w:val="007661E9"/>
    <w:rsid w:val="00767B3C"/>
    <w:rsid w:val="00773379"/>
    <w:rsid w:val="00776169"/>
    <w:rsid w:val="00776527"/>
    <w:rsid w:val="00780EF1"/>
    <w:rsid w:val="00781745"/>
    <w:rsid w:val="007841B6"/>
    <w:rsid w:val="007903A3"/>
    <w:rsid w:val="00790764"/>
    <w:rsid w:val="00792EB2"/>
    <w:rsid w:val="00793419"/>
    <w:rsid w:val="007938D3"/>
    <w:rsid w:val="0079453C"/>
    <w:rsid w:val="00794677"/>
    <w:rsid w:val="007956EF"/>
    <w:rsid w:val="007A16C8"/>
    <w:rsid w:val="007A30FB"/>
    <w:rsid w:val="007A34B4"/>
    <w:rsid w:val="007A54FF"/>
    <w:rsid w:val="007B01D8"/>
    <w:rsid w:val="007B2668"/>
    <w:rsid w:val="007B604A"/>
    <w:rsid w:val="007B6689"/>
    <w:rsid w:val="007B733B"/>
    <w:rsid w:val="007B74A0"/>
    <w:rsid w:val="007D1B7E"/>
    <w:rsid w:val="007D3B04"/>
    <w:rsid w:val="007D40DF"/>
    <w:rsid w:val="007D612B"/>
    <w:rsid w:val="007E23ED"/>
    <w:rsid w:val="007E7243"/>
    <w:rsid w:val="007E7E61"/>
    <w:rsid w:val="007F0845"/>
    <w:rsid w:val="007F194B"/>
    <w:rsid w:val="007F4C97"/>
    <w:rsid w:val="007F6A83"/>
    <w:rsid w:val="00800DB2"/>
    <w:rsid w:val="00802B6D"/>
    <w:rsid w:val="00804B19"/>
    <w:rsid w:val="00807654"/>
    <w:rsid w:val="00807C82"/>
    <w:rsid w:val="00812684"/>
    <w:rsid w:val="00813938"/>
    <w:rsid w:val="00815403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F4F"/>
    <w:rsid w:val="00834FAA"/>
    <w:rsid w:val="00836086"/>
    <w:rsid w:val="008366E2"/>
    <w:rsid w:val="00836895"/>
    <w:rsid w:val="0084142F"/>
    <w:rsid w:val="00843064"/>
    <w:rsid w:val="0084708F"/>
    <w:rsid w:val="008477C8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434"/>
    <w:rsid w:val="00864C0B"/>
    <w:rsid w:val="00864F46"/>
    <w:rsid w:val="00865E4C"/>
    <w:rsid w:val="008701E4"/>
    <w:rsid w:val="00871103"/>
    <w:rsid w:val="00873935"/>
    <w:rsid w:val="00875A32"/>
    <w:rsid w:val="00876086"/>
    <w:rsid w:val="008807E3"/>
    <w:rsid w:val="00880A35"/>
    <w:rsid w:val="00882BF5"/>
    <w:rsid w:val="008852CE"/>
    <w:rsid w:val="00885CEB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A25CE"/>
    <w:rsid w:val="008A2A8C"/>
    <w:rsid w:val="008A5644"/>
    <w:rsid w:val="008A6526"/>
    <w:rsid w:val="008A6EE5"/>
    <w:rsid w:val="008B0A24"/>
    <w:rsid w:val="008B365B"/>
    <w:rsid w:val="008B7C02"/>
    <w:rsid w:val="008B7D2B"/>
    <w:rsid w:val="008C0049"/>
    <w:rsid w:val="008C0E88"/>
    <w:rsid w:val="008C549D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6F06"/>
    <w:rsid w:val="008E705E"/>
    <w:rsid w:val="008F029B"/>
    <w:rsid w:val="008F3FC9"/>
    <w:rsid w:val="008F47E2"/>
    <w:rsid w:val="008F585B"/>
    <w:rsid w:val="008F6367"/>
    <w:rsid w:val="009003A8"/>
    <w:rsid w:val="00902500"/>
    <w:rsid w:val="00902EFF"/>
    <w:rsid w:val="00904E72"/>
    <w:rsid w:val="00906401"/>
    <w:rsid w:val="009074E8"/>
    <w:rsid w:val="009075C8"/>
    <w:rsid w:val="0091155E"/>
    <w:rsid w:val="00912A92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C1C"/>
    <w:rsid w:val="0092600D"/>
    <w:rsid w:val="00930BC3"/>
    <w:rsid w:val="00931C19"/>
    <w:rsid w:val="00932443"/>
    <w:rsid w:val="0093382F"/>
    <w:rsid w:val="00937AE2"/>
    <w:rsid w:val="0094189C"/>
    <w:rsid w:val="00941CE5"/>
    <w:rsid w:val="0094280E"/>
    <w:rsid w:val="0094410E"/>
    <w:rsid w:val="0094427A"/>
    <w:rsid w:val="00951581"/>
    <w:rsid w:val="009556DE"/>
    <w:rsid w:val="00960808"/>
    <w:rsid w:val="00963892"/>
    <w:rsid w:val="009645CE"/>
    <w:rsid w:val="0096493A"/>
    <w:rsid w:val="009711BA"/>
    <w:rsid w:val="009733DC"/>
    <w:rsid w:val="00974923"/>
    <w:rsid w:val="00977C97"/>
    <w:rsid w:val="00980D3D"/>
    <w:rsid w:val="0098262F"/>
    <w:rsid w:val="0098750E"/>
    <w:rsid w:val="00987A30"/>
    <w:rsid w:val="009917A8"/>
    <w:rsid w:val="00992CC8"/>
    <w:rsid w:val="00992CF3"/>
    <w:rsid w:val="00994FCD"/>
    <w:rsid w:val="009968D6"/>
    <w:rsid w:val="009974DB"/>
    <w:rsid w:val="009A1CAB"/>
    <w:rsid w:val="009A53E6"/>
    <w:rsid w:val="009A599D"/>
    <w:rsid w:val="009A60D1"/>
    <w:rsid w:val="009A621A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E13D0"/>
    <w:rsid w:val="009E31A6"/>
    <w:rsid w:val="009E48A6"/>
    <w:rsid w:val="009E5273"/>
    <w:rsid w:val="009E5DDB"/>
    <w:rsid w:val="009F30F9"/>
    <w:rsid w:val="009F37AD"/>
    <w:rsid w:val="009F4CA7"/>
    <w:rsid w:val="009F588A"/>
    <w:rsid w:val="009F5C7F"/>
    <w:rsid w:val="009F7847"/>
    <w:rsid w:val="00A004E5"/>
    <w:rsid w:val="00A00CF7"/>
    <w:rsid w:val="00A06181"/>
    <w:rsid w:val="00A10D66"/>
    <w:rsid w:val="00A112A7"/>
    <w:rsid w:val="00A14114"/>
    <w:rsid w:val="00A1585F"/>
    <w:rsid w:val="00A16413"/>
    <w:rsid w:val="00A16C53"/>
    <w:rsid w:val="00A2193F"/>
    <w:rsid w:val="00A23E43"/>
    <w:rsid w:val="00A30E5C"/>
    <w:rsid w:val="00A30F65"/>
    <w:rsid w:val="00A33F18"/>
    <w:rsid w:val="00A3441E"/>
    <w:rsid w:val="00A3710B"/>
    <w:rsid w:val="00A37FEA"/>
    <w:rsid w:val="00A40B86"/>
    <w:rsid w:val="00A414C4"/>
    <w:rsid w:val="00A41848"/>
    <w:rsid w:val="00A418BC"/>
    <w:rsid w:val="00A4294E"/>
    <w:rsid w:val="00A4423A"/>
    <w:rsid w:val="00A44369"/>
    <w:rsid w:val="00A4652F"/>
    <w:rsid w:val="00A46DE0"/>
    <w:rsid w:val="00A50C94"/>
    <w:rsid w:val="00A50D73"/>
    <w:rsid w:val="00A52712"/>
    <w:rsid w:val="00A52CAD"/>
    <w:rsid w:val="00A53FC7"/>
    <w:rsid w:val="00A548CB"/>
    <w:rsid w:val="00A550B2"/>
    <w:rsid w:val="00A55EC9"/>
    <w:rsid w:val="00A561D9"/>
    <w:rsid w:val="00A60720"/>
    <w:rsid w:val="00A61485"/>
    <w:rsid w:val="00A6284F"/>
    <w:rsid w:val="00A62CE1"/>
    <w:rsid w:val="00A6741E"/>
    <w:rsid w:val="00A73293"/>
    <w:rsid w:val="00A75E40"/>
    <w:rsid w:val="00A77D1D"/>
    <w:rsid w:val="00A8020D"/>
    <w:rsid w:val="00A805BF"/>
    <w:rsid w:val="00A839FC"/>
    <w:rsid w:val="00A83A03"/>
    <w:rsid w:val="00A857C0"/>
    <w:rsid w:val="00A861EB"/>
    <w:rsid w:val="00A90356"/>
    <w:rsid w:val="00A93898"/>
    <w:rsid w:val="00A93D98"/>
    <w:rsid w:val="00A950DD"/>
    <w:rsid w:val="00A971C9"/>
    <w:rsid w:val="00AA1911"/>
    <w:rsid w:val="00AA2996"/>
    <w:rsid w:val="00AA3E75"/>
    <w:rsid w:val="00AA4630"/>
    <w:rsid w:val="00AA52BF"/>
    <w:rsid w:val="00AA559A"/>
    <w:rsid w:val="00AA6579"/>
    <w:rsid w:val="00AA693E"/>
    <w:rsid w:val="00AB0A00"/>
    <w:rsid w:val="00AB1F3F"/>
    <w:rsid w:val="00AB2AF1"/>
    <w:rsid w:val="00AB4358"/>
    <w:rsid w:val="00AB51F2"/>
    <w:rsid w:val="00AB62D3"/>
    <w:rsid w:val="00AB7B84"/>
    <w:rsid w:val="00AC0616"/>
    <w:rsid w:val="00AC294B"/>
    <w:rsid w:val="00AC4C86"/>
    <w:rsid w:val="00AD1C15"/>
    <w:rsid w:val="00AD209E"/>
    <w:rsid w:val="00AD306C"/>
    <w:rsid w:val="00AD6DBB"/>
    <w:rsid w:val="00AD768A"/>
    <w:rsid w:val="00AE09B3"/>
    <w:rsid w:val="00AE1A83"/>
    <w:rsid w:val="00AE5B3C"/>
    <w:rsid w:val="00AE7D84"/>
    <w:rsid w:val="00AF0950"/>
    <w:rsid w:val="00AF1DF8"/>
    <w:rsid w:val="00AF39B8"/>
    <w:rsid w:val="00AF6965"/>
    <w:rsid w:val="00AF7A0F"/>
    <w:rsid w:val="00B0058E"/>
    <w:rsid w:val="00B00913"/>
    <w:rsid w:val="00B01593"/>
    <w:rsid w:val="00B01C79"/>
    <w:rsid w:val="00B037DA"/>
    <w:rsid w:val="00B038AF"/>
    <w:rsid w:val="00B052AA"/>
    <w:rsid w:val="00B0562E"/>
    <w:rsid w:val="00B056AD"/>
    <w:rsid w:val="00B108BA"/>
    <w:rsid w:val="00B10A4D"/>
    <w:rsid w:val="00B17E71"/>
    <w:rsid w:val="00B17FDE"/>
    <w:rsid w:val="00B203DF"/>
    <w:rsid w:val="00B20D47"/>
    <w:rsid w:val="00B21F69"/>
    <w:rsid w:val="00B2379C"/>
    <w:rsid w:val="00B2687D"/>
    <w:rsid w:val="00B32DDB"/>
    <w:rsid w:val="00B34272"/>
    <w:rsid w:val="00B34528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50DE2"/>
    <w:rsid w:val="00B530CD"/>
    <w:rsid w:val="00B55E92"/>
    <w:rsid w:val="00B55F5E"/>
    <w:rsid w:val="00B56086"/>
    <w:rsid w:val="00B56FAD"/>
    <w:rsid w:val="00B5752D"/>
    <w:rsid w:val="00B5752E"/>
    <w:rsid w:val="00B57558"/>
    <w:rsid w:val="00B63A11"/>
    <w:rsid w:val="00B64C24"/>
    <w:rsid w:val="00B6547C"/>
    <w:rsid w:val="00B6608F"/>
    <w:rsid w:val="00B679FB"/>
    <w:rsid w:val="00B718A3"/>
    <w:rsid w:val="00B71E9B"/>
    <w:rsid w:val="00B7353E"/>
    <w:rsid w:val="00B75DBF"/>
    <w:rsid w:val="00B76476"/>
    <w:rsid w:val="00B76D1E"/>
    <w:rsid w:val="00B76D76"/>
    <w:rsid w:val="00B80EC6"/>
    <w:rsid w:val="00B83E01"/>
    <w:rsid w:val="00B860E7"/>
    <w:rsid w:val="00B86F2B"/>
    <w:rsid w:val="00B87F80"/>
    <w:rsid w:val="00B90C1A"/>
    <w:rsid w:val="00B91EFB"/>
    <w:rsid w:val="00B92D1D"/>
    <w:rsid w:val="00B938C5"/>
    <w:rsid w:val="00B95334"/>
    <w:rsid w:val="00B956EF"/>
    <w:rsid w:val="00B95940"/>
    <w:rsid w:val="00B96687"/>
    <w:rsid w:val="00B96D9F"/>
    <w:rsid w:val="00B96F73"/>
    <w:rsid w:val="00BA336D"/>
    <w:rsid w:val="00BA425D"/>
    <w:rsid w:val="00BA6A30"/>
    <w:rsid w:val="00BA7826"/>
    <w:rsid w:val="00BA7A5D"/>
    <w:rsid w:val="00BB39CA"/>
    <w:rsid w:val="00BB3AC4"/>
    <w:rsid w:val="00BB46F3"/>
    <w:rsid w:val="00BB4CB1"/>
    <w:rsid w:val="00BB4F98"/>
    <w:rsid w:val="00BC17A1"/>
    <w:rsid w:val="00BC2A0F"/>
    <w:rsid w:val="00BC3A81"/>
    <w:rsid w:val="00BC7154"/>
    <w:rsid w:val="00BD0958"/>
    <w:rsid w:val="00BD14F7"/>
    <w:rsid w:val="00BD366B"/>
    <w:rsid w:val="00BD3D11"/>
    <w:rsid w:val="00BD3F9D"/>
    <w:rsid w:val="00BD5301"/>
    <w:rsid w:val="00BD6D50"/>
    <w:rsid w:val="00BD78B2"/>
    <w:rsid w:val="00BE0554"/>
    <w:rsid w:val="00BE18B9"/>
    <w:rsid w:val="00BE1F6D"/>
    <w:rsid w:val="00BE2495"/>
    <w:rsid w:val="00BE3CF1"/>
    <w:rsid w:val="00BF1578"/>
    <w:rsid w:val="00BF24D8"/>
    <w:rsid w:val="00BF65FD"/>
    <w:rsid w:val="00BF72ED"/>
    <w:rsid w:val="00C00E4B"/>
    <w:rsid w:val="00C0393B"/>
    <w:rsid w:val="00C1028C"/>
    <w:rsid w:val="00C1067B"/>
    <w:rsid w:val="00C1290C"/>
    <w:rsid w:val="00C12B2C"/>
    <w:rsid w:val="00C1308B"/>
    <w:rsid w:val="00C141A2"/>
    <w:rsid w:val="00C14A11"/>
    <w:rsid w:val="00C16185"/>
    <w:rsid w:val="00C1637D"/>
    <w:rsid w:val="00C1743E"/>
    <w:rsid w:val="00C21F94"/>
    <w:rsid w:val="00C24EDC"/>
    <w:rsid w:val="00C25A7D"/>
    <w:rsid w:val="00C26006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52E8D"/>
    <w:rsid w:val="00C54118"/>
    <w:rsid w:val="00C54697"/>
    <w:rsid w:val="00C555EF"/>
    <w:rsid w:val="00C55875"/>
    <w:rsid w:val="00C55E1D"/>
    <w:rsid w:val="00C60A2C"/>
    <w:rsid w:val="00C6193F"/>
    <w:rsid w:val="00C63857"/>
    <w:rsid w:val="00C6626E"/>
    <w:rsid w:val="00C66410"/>
    <w:rsid w:val="00C67120"/>
    <w:rsid w:val="00C701FD"/>
    <w:rsid w:val="00C73885"/>
    <w:rsid w:val="00C747B1"/>
    <w:rsid w:val="00C81D34"/>
    <w:rsid w:val="00C82191"/>
    <w:rsid w:val="00C8365E"/>
    <w:rsid w:val="00C8621D"/>
    <w:rsid w:val="00C86C17"/>
    <w:rsid w:val="00C87668"/>
    <w:rsid w:val="00C90CF4"/>
    <w:rsid w:val="00C9146E"/>
    <w:rsid w:val="00C92EB6"/>
    <w:rsid w:val="00C93389"/>
    <w:rsid w:val="00CA3288"/>
    <w:rsid w:val="00CA39BB"/>
    <w:rsid w:val="00CA445F"/>
    <w:rsid w:val="00CA6A30"/>
    <w:rsid w:val="00CB30FE"/>
    <w:rsid w:val="00CB4223"/>
    <w:rsid w:val="00CB4930"/>
    <w:rsid w:val="00CB4EE3"/>
    <w:rsid w:val="00CB7286"/>
    <w:rsid w:val="00CB7AE5"/>
    <w:rsid w:val="00CC010E"/>
    <w:rsid w:val="00CC19EA"/>
    <w:rsid w:val="00CC274B"/>
    <w:rsid w:val="00CC2E7D"/>
    <w:rsid w:val="00CD10A5"/>
    <w:rsid w:val="00CD2076"/>
    <w:rsid w:val="00CD4296"/>
    <w:rsid w:val="00CD72E6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10F2"/>
    <w:rsid w:val="00D01D45"/>
    <w:rsid w:val="00D040DD"/>
    <w:rsid w:val="00D1124E"/>
    <w:rsid w:val="00D112F4"/>
    <w:rsid w:val="00D13986"/>
    <w:rsid w:val="00D13C4B"/>
    <w:rsid w:val="00D1542B"/>
    <w:rsid w:val="00D168DC"/>
    <w:rsid w:val="00D1757E"/>
    <w:rsid w:val="00D17E09"/>
    <w:rsid w:val="00D22DF5"/>
    <w:rsid w:val="00D235B7"/>
    <w:rsid w:val="00D25F28"/>
    <w:rsid w:val="00D260E0"/>
    <w:rsid w:val="00D27973"/>
    <w:rsid w:val="00D33D44"/>
    <w:rsid w:val="00D33FAD"/>
    <w:rsid w:val="00D36B85"/>
    <w:rsid w:val="00D41AEB"/>
    <w:rsid w:val="00D44E70"/>
    <w:rsid w:val="00D46B17"/>
    <w:rsid w:val="00D47C38"/>
    <w:rsid w:val="00D50A15"/>
    <w:rsid w:val="00D50F46"/>
    <w:rsid w:val="00D52644"/>
    <w:rsid w:val="00D56612"/>
    <w:rsid w:val="00D57D09"/>
    <w:rsid w:val="00D6180C"/>
    <w:rsid w:val="00D61A66"/>
    <w:rsid w:val="00D62193"/>
    <w:rsid w:val="00D637CE"/>
    <w:rsid w:val="00D63D46"/>
    <w:rsid w:val="00D63E61"/>
    <w:rsid w:val="00D64C05"/>
    <w:rsid w:val="00D66223"/>
    <w:rsid w:val="00D71877"/>
    <w:rsid w:val="00D724DA"/>
    <w:rsid w:val="00D73EA2"/>
    <w:rsid w:val="00D771F6"/>
    <w:rsid w:val="00D8084C"/>
    <w:rsid w:val="00D834AE"/>
    <w:rsid w:val="00D83CE7"/>
    <w:rsid w:val="00D86A4E"/>
    <w:rsid w:val="00D92055"/>
    <w:rsid w:val="00D969B7"/>
    <w:rsid w:val="00D976F7"/>
    <w:rsid w:val="00DA2E0F"/>
    <w:rsid w:val="00DA40D8"/>
    <w:rsid w:val="00DA7C0C"/>
    <w:rsid w:val="00DB16C8"/>
    <w:rsid w:val="00DB22D1"/>
    <w:rsid w:val="00DB2EC8"/>
    <w:rsid w:val="00DB704C"/>
    <w:rsid w:val="00DC000D"/>
    <w:rsid w:val="00DC022B"/>
    <w:rsid w:val="00DC05DD"/>
    <w:rsid w:val="00DC3A0E"/>
    <w:rsid w:val="00DC5B3B"/>
    <w:rsid w:val="00DC6E5A"/>
    <w:rsid w:val="00DD11ED"/>
    <w:rsid w:val="00DD129F"/>
    <w:rsid w:val="00DD488F"/>
    <w:rsid w:val="00DD6BF7"/>
    <w:rsid w:val="00DE4E5C"/>
    <w:rsid w:val="00DF3E4D"/>
    <w:rsid w:val="00DF42FF"/>
    <w:rsid w:val="00DF58C0"/>
    <w:rsid w:val="00E00351"/>
    <w:rsid w:val="00E00A33"/>
    <w:rsid w:val="00E01C0E"/>
    <w:rsid w:val="00E03F9A"/>
    <w:rsid w:val="00E04694"/>
    <w:rsid w:val="00E04D7F"/>
    <w:rsid w:val="00E06123"/>
    <w:rsid w:val="00E11205"/>
    <w:rsid w:val="00E12B1E"/>
    <w:rsid w:val="00E12B86"/>
    <w:rsid w:val="00E15A9E"/>
    <w:rsid w:val="00E16A91"/>
    <w:rsid w:val="00E17262"/>
    <w:rsid w:val="00E17962"/>
    <w:rsid w:val="00E17F0C"/>
    <w:rsid w:val="00E20872"/>
    <w:rsid w:val="00E21EC7"/>
    <w:rsid w:val="00E253A2"/>
    <w:rsid w:val="00E3309D"/>
    <w:rsid w:val="00E332A1"/>
    <w:rsid w:val="00E336D8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402C"/>
    <w:rsid w:val="00E64504"/>
    <w:rsid w:val="00E6519D"/>
    <w:rsid w:val="00E661F7"/>
    <w:rsid w:val="00E67696"/>
    <w:rsid w:val="00E71A58"/>
    <w:rsid w:val="00E72A7A"/>
    <w:rsid w:val="00E73FC4"/>
    <w:rsid w:val="00E74D2B"/>
    <w:rsid w:val="00E757DE"/>
    <w:rsid w:val="00E75C94"/>
    <w:rsid w:val="00E76931"/>
    <w:rsid w:val="00E80347"/>
    <w:rsid w:val="00E81FCE"/>
    <w:rsid w:val="00E838EA"/>
    <w:rsid w:val="00E865AD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B4511"/>
    <w:rsid w:val="00EC03D7"/>
    <w:rsid w:val="00EC36B3"/>
    <w:rsid w:val="00EC6BC9"/>
    <w:rsid w:val="00ED2A87"/>
    <w:rsid w:val="00ED3B8D"/>
    <w:rsid w:val="00ED62C6"/>
    <w:rsid w:val="00ED64C1"/>
    <w:rsid w:val="00EE31C4"/>
    <w:rsid w:val="00EE3446"/>
    <w:rsid w:val="00EE3E78"/>
    <w:rsid w:val="00EE4B1B"/>
    <w:rsid w:val="00EE656A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4811"/>
    <w:rsid w:val="00F0488C"/>
    <w:rsid w:val="00F04AD5"/>
    <w:rsid w:val="00F04E3A"/>
    <w:rsid w:val="00F05332"/>
    <w:rsid w:val="00F05F5E"/>
    <w:rsid w:val="00F10620"/>
    <w:rsid w:val="00F10F11"/>
    <w:rsid w:val="00F1444D"/>
    <w:rsid w:val="00F14E8C"/>
    <w:rsid w:val="00F15AAA"/>
    <w:rsid w:val="00F15BEF"/>
    <w:rsid w:val="00F164BE"/>
    <w:rsid w:val="00F17974"/>
    <w:rsid w:val="00F24407"/>
    <w:rsid w:val="00F24FAA"/>
    <w:rsid w:val="00F26541"/>
    <w:rsid w:val="00F27411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525EB"/>
    <w:rsid w:val="00F54375"/>
    <w:rsid w:val="00F6043F"/>
    <w:rsid w:val="00F62215"/>
    <w:rsid w:val="00F62A5E"/>
    <w:rsid w:val="00F62CED"/>
    <w:rsid w:val="00F63DDE"/>
    <w:rsid w:val="00F63FB7"/>
    <w:rsid w:val="00F649D2"/>
    <w:rsid w:val="00F6563E"/>
    <w:rsid w:val="00F6602B"/>
    <w:rsid w:val="00F70816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6911"/>
    <w:rsid w:val="00FA08E5"/>
    <w:rsid w:val="00FA2558"/>
    <w:rsid w:val="00FA2684"/>
    <w:rsid w:val="00FA3CE7"/>
    <w:rsid w:val="00FA5CA6"/>
    <w:rsid w:val="00FA5D4D"/>
    <w:rsid w:val="00FA777B"/>
    <w:rsid w:val="00FB0EE2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6DE"/>
    <w:rsid w:val="00FC684B"/>
    <w:rsid w:val="00FD20A6"/>
    <w:rsid w:val="00FD3265"/>
    <w:rsid w:val="00FD3E18"/>
    <w:rsid w:val="00FD528A"/>
    <w:rsid w:val="00FD62B2"/>
    <w:rsid w:val="00FD779A"/>
    <w:rsid w:val="00FD7986"/>
    <w:rsid w:val="00FE2F78"/>
    <w:rsid w:val="00FE45EF"/>
    <w:rsid w:val="00FF1A0F"/>
    <w:rsid w:val="00FF4791"/>
    <w:rsid w:val="00FF4D2C"/>
    <w:rsid w:val="00FF718E"/>
    <w:rsid w:val="00FF783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335A-08F2-4115-9E4B-AE245CCB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249</TotalTime>
  <Pages>6</Pages>
  <Words>1924</Words>
  <Characters>11352</Characters>
  <Application>Microsoft Office Word</Application>
  <DocSecurity>0</DocSecurity>
  <Lines>94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13250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63</cp:revision>
  <cp:lastPrinted>2014-07-17T14:07:00Z</cp:lastPrinted>
  <dcterms:created xsi:type="dcterms:W3CDTF">2017-11-28T09:52:00Z</dcterms:created>
  <dcterms:modified xsi:type="dcterms:W3CDTF">2017-12-06T09:29:00Z</dcterms:modified>
</cp:coreProperties>
</file>