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58" w:rsidRPr="006F5416" w:rsidRDefault="00FA2558" w:rsidP="00FA2558">
      <w:pPr>
        <w:pStyle w:val="Nadpis1"/>
      </w:pPr>
      <w:bookmarkStart w:id="0" w:name="_Toc499711601"/>
      <w:bookmarkStart w:id="1" w:name="_Toc444112494"/>
      <w:r>
        <w:t>1. Úvod a metodologie</w:t>
      </w:r>
      <w:bookmarkStart w:id="2" w:name="_GoBack"/>
      <w:bookmarkEnd w:id="0"/>
      <w:bookmarkEnd w:id="2"/>
    </w:p>
    <w:p w:rsidR="00214045" w:rsidRDefault="00214045" w:rsidP="00214045">
      <w:pPr>
        <w:spacing w:after="0"/>
      </w:pPr>
      <w:r>
        <w:t>Publikace se zabývá vývojem úmrtnosti v České republice mezi roky 2006 a 2016. Obsahuje zejména informace o počtech zemřelých a jejich struktuře podle různých sociodemografických charakteristik, mírách úmrtnosti, naději dožití nebo úrovni úmrtnosti podle příčin smrti. Součástí je také zhodnocení regionálních rozdílů v rámci ČR a mezinárodní srovnání v kontextu Evropské unie.</w:t>
      </w:r>
    </w:p>
    <w:p w:rsidR="00FA2558" w:rsidRDefault="00FA2558" w:rsidP="004A4D1F">
      <w:pPr>
        <w:spacing w:after="0"/>
      </w:pPr>
    </w:p>
    <w:p w:rsidR="007405F4" w:rsidRDefault="007405F4" w:rsidP="007405F4">
      <w:pPr>
        <w:spacing w:after="0"/>
      </w:pPr>
      <w:r>
        <w:t>Údaje o zemřelých získává Český statistický úřad (ČSÚ) z hlášení o úmrtí, která jsou zasílána matričními úřady za každé úmrtí zaznamenané na území jednotlivých matričních obvodů. Hlášení obsahuje mj. informaci o pohlaví, datu narození a úmrtí (z těchto dat následně ČSÚ vypočítává věk zemřelého), rodinném stavu, vzdělání, státním občanství, státu narození a adrese pobytu zemřelého. Od roku 2013 je prvotním dokladem pro vyplnění hlášení List o prohlídce zemřelého (LPZ) – část určená pro matriční úřad. Zdrojem dat o příčinách smrti (a souvisejících dalších informací) je jiná část LPZ – část určená pro Ústav zdravotnických informací a statistiky ČR (ÚZIS ČR), z které jsou potřebná data pro vytvoření statistiky zemřelých podle příčin smrti dále předávána na ČSÚ.</w:t>
      </w:r>
    </w:p>
    <w:p w:rsidR="00CC274B" w:rsidRDefault="00CC274B" w:rsidP="009B4BBB">
      <w:pPr>
        <w:spacing w:after="0"/>
      </w:pPr>
    </w:p>
    <w:p w:rsidR="007405F4" w:rsidRDefault="007405F4" w:rsidP="007405F4">
      <w:pPr>
        <w:spacing w:after="0"/>
      </w:pPr>
      <w:r w:rsidRPr="00AD768A">
        <w:t>Hlášení</w:t>
      </w:r>
      <w:r>
        <w:t xml:space="preserve"> úmrtí je povinné a podléhají mu vše</w:t>
      </w:r>
      <w:r w:rsidRPr="00AD768A">
        <w:t>chn</w:t>
      </w:r>
      <w:r>
        <w:t xml:space="preserve">a úmrtí </w:t>
      </w:r>
      <w:r w:rsidRPr="00AD768A">
        <w:t xml:space="preserve">na území ČR, </w:t>
      </w:r>
      <w:r>
        <w:t>bez ohledu na státní občanství a typ pobytu zemřelého</w:t>
      </w:r>
      <w:r w:rsidRPr="00AD768A">
        <w:t>. D</w:t>
      </w:r>
      <w:r>
        <w:t>o statistiky jsou pak zahrnováni</w:t>
      </w:r>
      <w:r w:rsidRPr="00AD768A">
        <w:t xml:space="preserve"> </w:t>
      </w:r>
      <w:r>
        <w:t>pouze zemřelí s registrovaným</w:t>
      </w:r>
      <w:r w:rsidRPr="00AD768A">
        <w:t xml:space="preserve"> pobyt</w:t>
      </w:r>
      <w:r>
        <w:t>em</w:t>
      </w:r>
      <w:r w:rsidRPr="00AD768A">
        <w:t xml:space="preserve"> v</w:t>
      </w:r>
      <w:r>
        <w:t> </w:t>
      </w:r>
      <w:r w:rsidRPr="00AD768A">
        <w:t>ČR, tj., v případě občanů ČR</w:t>
      </w:r>
      <w:r>
        <w:t xml:space="preserve"> se jedná o </w:t>
      </w:r>
      <w:r w:rsidRPr="00AD768A">
        <w:t xml:space="preserve">trvalý pobyt, v případě cizinců </w:t>
      </w:r>
      <w:r>
        <w:t xml:space="preserve">o </w:t>
      </w:r>
      <w:r w:rsidRPr="00AD768A">
        <w:t>trvalý pobyt, přechodný pobyt občan</w:t>
      </w:r>
      <w:r>
        <w:t>a</w:t>
      </w:r>
      <w:r w:rsidRPr="00AD768A">
        <w:t xml:space="preserve"> EU, </w:t>
      </w:r>
      <w:r>
        <w:t xml:space="preserve">přechodný pobyt </w:t>
      </w:r>
      <w:r w:rsidRPr="00AD768A">
        <w:t>na základě víza nad 90 dnů</w:t>
      </w:r>
      <w:r>
        <w:t xml:space="preserve"> a</w:t>
      </w:r>
      <w:r w:rsidRPr="00AD768A">
        <w:t xml:space="preserve"> na základě povolení k dlouhodobému pobytu</w:t>
      </w:r>
      <w:r>
        <w:t>, a</w:t>
      </w:r>
      <w:r w:rsidRPr="00AD768A">
        <w:t xml:space="preserve"> o </w:t>
      </w:r>
      <w:r>
        <w:t>pobyt na základě udělení azylu</w:t>
      </w:r>
      <w:r w:rsidRPr="00AD768A">
        <w:t>. Dá</w:t>
      </w:r>
      <w:r>
        <w:t>le jsou do statistiky zařazována</w:t>
      </w:r>
      <w:r w:rsidRPr="00AD768A">
        <w:t xml:space="preserve"> </w:t>
      </w:r>
      <w:r>
        <w:t>úmrtí občanů</w:t>
      </w:r>
      <w:r w:rsidRPr="00AD768A">
        <w:t xml:space="preserve"> ČR s trvalým pobytem v</w:t>
      </w:r>
      <w:r>
        <w:t> </w:t>
      </w:r>
      <w:r w:rsidRPr="00AD768A">
        <w:t xml:space="preserve">ČR, </w:t>
      </w:r>
      <w:r>
        <w:t>kteří zemřeli v zahraničí a jejichž úmrtí bylo  </w:t>
      </w:r>
      <w:r w:rsidRPr="00AD768A">
        <w:t>zaregistrován</w:t>
      </w:r>
      <w:r>
        <w:t>o zvláštní matrikou</w:t>
      </w:r>
      <w:r w:rsidRPr="00AD768A">
        <w:t xml:space="preserve"> v</w:t>
      </w:r>
      <w:r>
        <w:t> </w:t>
      </w:r>
      <w:r w:rsidRPr="00AD768A">
        <w:t>ČR.</w:t>
      </w:r>
      <w:r>
        <w:t xml:space="preserve"> Při zpracování jsou zemřelí regionálně tříděni podle adresy pobytu v době úmrtí (nikoli podle místa úmrtí).</w:t>
      </w:r>
    </w:p>
    <w:p w:rsidR="008E705E" w:rsidRDefault="008E705E" w:rsidP="009B4BBB">
      <w:pPr>
        <w:spacing w:after="0"/>
      </w:pPr>
    </w:p>
    <w:p w:rsidR="007405F4" w:rsidRDefault="007405F4" w:rsidP="007405F4">
      <w:pPr>
        <w:spacing w:after="0"/>
      </w:pPr>
      <w:r>
        <w:t>Základní p</w:t>
      </w:r>
      <w:r w:rsidRPr="003213EC">
        <w:t>říčina smrti je kódována dle Mezinárodní statistické klasifikace nemocí a přidružených zdravotních problémů ve znění 10.</w:t>
      </w:r>
      <w:r>
        <w:t> </w:t>
      </w:r>
      <w:r w:rsidRPr="003213EC">
        <w:t xml:space="preserve">decenální revize (MKN-10) a následných aktualizací, vydávaných Světovou zdravotnickou organizací (WHO). </w:t>
      </w:r>
      <w:r>
        <w:t xml:space="preserve">Příčiny smrti jsou tříděny do dvaceti kapitol (viz přílohové tabulky 8 a 9). </w:t>
      </w:r>
      <w:r w:rsidRPr="003213EC">
        <w:t>Počet zemřelých na příčiny z XIX.</w:t>
      </w:r>
      <w:r>
        <w:t> </w:t>
      </w:r>
      <w:r w:rsidRPr="003213EC">
        <w:t xml:space="preserve">kapitoly MKN-10 je </w:t>
      </w:r>
      <w:r>
        <w:t>přitom shodný s </w:t>
      </w:r>
      <w:r w:rsidRPr="003213EC">
        <w:t>počtem zemřelých na příčiny kapitoly XX., neboť jde o dvojí třídění zemře</w:t>
      </w:r>
      <w:r>
        <w:t>lých v důsledku vnějších příčin – podle povahy stavu poranění a otravy (druh a lokalizace poranění, prostředek otravy) a podle mechanismu smrti (bližší okolnosti úmrtí jako např. pád nebo způsob sebevraždy). V této publikaci jsou uváděna pouze data za XX. kapitolu, tj. v třídění podle mechanismu úmrtí.</w:t>
      </w:r>
    </w:p>
    <w:p w:rsidR="0026130C" w:rsidRDefault="0026130C" w:rsidP="009B4BBB">
      <w:pPr>
        <w:spacing w:after="0"/>
      </w:pPr>
    </w:p>
    <w:p w:rsidR="009C622B" w:rsidRDefault="00D56612" w:rsidP="009B4BBB">
      <w:pPr>
        <w:spacing w:after="0"/>
      </w:pPr>
      <w:r w:rsidRPr="00E20872">
        <w:t>Statistika zemřelých podle příčin smrti byla v analyzovaných letech 2006–2016 ovlivněna metodickými změnami</w:t>
      </w:r>
      <w:r>
        <w:t xml:space="preserve"> a implementací aktualizací MKN-10</w:t>
      </w:r>
      <w:r w:rsidRPr="00E20872">
        <w:t xml:space="preserve">, které </w:t>
      </w:r>
      <w:r>
        <w:t xml:space="preserve">v případě některých jednotlivých příčin smrti </w:t>
      </w:r>
      <w:r w:rsidR="005E7A5A">
        <w:t>ovlivnily</w:t>
      </w:r>
      <w:r>
        <w:t xml:space="preserve"> </w:t>
      </w:r>
      <w:r w:rsidRPr="00E20872">
        <w:t xml:space="preserve">srovnatelnost v čase. Od roku </w:t>
      </w:r>
      <w:r>
        <w:t xml:space="preserve">2011 se </w:t>
      </w:r>
      <w:r w:rsidRPr="00E20872">
        <w:t xml:space="preserve">výběr základní příčiny smrti </w:t>
      </w:r>
      <w:r>
        <w:t>provádí pomocí programu pro</w:t>
      </w:r>
      <w:r w:rsidRPr="00E20872">
        <w:t xml:space="preserve"> automatizované kódování příčin smrti (software IRIS)</w:t>
      </w:r>
      <w:r>
        <w:rPr>
          <w:rStyle w:val="Znakapoznpodarou"/>
        </w:rPr>
        <w:footnoteReference w:id="1"/>
      </w:r>
      <w:r w:rsidRPr="00E20872">
        <w:t xml:space="preserve">. Poslední výrazná aktualizace klasifikace </w:t>
      </w:r>
      <w:r>
        <w:t xml:space="preserve">proběhla v roce 2013 a byla zároveň spojena s úpravou formuláře LPZ (rozšíření části pro zápis a popis příčin smrti) </w:t>
      </w:r>
      <w:r w:rsidRPr="00E20872">
        <w:t xml:space="preserve">a </w:t>
      </w:r>
      <w:r>
        <w:t xml:space="preserve">změnou </w:t>
      </w:r>
      <w:r w:rsidRPr="00E20872">
        <w:t>v systému předávání dat o příčinách smrti</w:t>
      </w:r>
      <w:r>
        <w:rPr>
          <w:rStyle w:val="Znakapoznpodarou"/>
        </w:rPr>
        <w:footnoteReference w:id="2"/>
      </w:r>
      <w:r>
        <w:t>.</w:t>
      </w:r>
    </w:p>
    <w:p w:rsidR="00B038AF" w:rsidRDefault="00B038AF" w:rsidP="00B038AF">
      <w:pPr>
        <w:spacing w:after="0"/>
      </w:pPr>
    </w:p>
    <w:p w:rsidR="00873935" w:rsidRDefault="00B038AF" w:rsidP="00B91EFB">
      <w:pPr>
        <w:spacing w:after="0"/>
      </w:pPr>
      <w:r>
        <w:t xml:space="preserve">V šesté kapitole „Mezinárodní srovnání“ jsou uváděna data </w:t>
      </w:r>
      <w:r w:rsidR="005E7A5A">
        <w:t>z veřejně přístupné databáze</w:t>
      </w:r>
      <w:r>
        <w:t xml:space="preserve"> Eurostatu, která mohou být za Českou republiku </w:t>
      </w:r>
      <w:r w:rsidR="005E7A5A">
        <w:t xml:space="preserve">z metodologických důvodů </w:t>
      </w:r>
      <w:r>
        <w:t>mírně odlišná od dat v jiných kapitolách publikace, kde je zdrojem ČSÚ</w:t>
      </w:r>
      <w:r w:rsidR="005E7A5A">
        <w:rPr>
          <w:rStyle w:val="Znakapoznpodarou"/>
        </w:rPr>
        <w:footnoteReference w:id="3"/>
      </w:r>
      <w:r>
        <w:t>.</w:t>
      </w:r>
      <w:r w:rsidR="00873935">
        <w:t xml:space="preserve"> </w:t>
      </w:r>
      <w:r w:rsidR="003730B7">
        <w:t xml:space="preserve">U statistiky příčin smrti se navíc liší od roku 2011 i počty zemřelých, protože </w:t>
      </w:r>
      <w:r w:rsidR="000D6FD3">
        <w:lastRenderedPageBreak/>
        <w:t xml:space="preserve">zemřelí </w:t>
      </w:r>
      <w:r w:rsidR="003730B7">
        <w:t xml:space="preserve">jsou </w:t>
      </w:r>
      <w:r w:rsidR="000D6FD3">
        <w:t>vymezeni</w:t>
      </w:r>
      <w:r w:rsidR="003730B7">
        <w:t xml:space="preserve"> mírně odlišně</w:t>
      </w:r>
      <w:r w:rsidR="005E7A5A">
        <w:rPr>
          <w:rStyle w:val="Znakapoznpodarou"/>
        </w:rPr>
        <w:footnoteReference w:id="4"/>
      </w:r>
      <w:r w:rsidR="003730B7">
        <w:t xml:space="preserve"> (mezi roky 2011 až 2014, kdy jsou dostupná poslední data, se rozdíl pohyboval v rozmezí </w:t>
      </w:r>
      <w:r w:rsidR="00245AD7">
        <w:t xml:space="preserve">104 až </w:t>
      </w:r>
      <w:r w:rsidR="00297F1B">
        <w:t xml:space="preserve">282 zemřelých). Mezinárodní srovnatelnost statistik příčin smrti v rámci EU </w:t>
      </w:r>
      <w:r w:rsidR="00DC3A0E">
        <w:t>může být navíc ovlivněna odlišnou kódovací praxí v jednotlivých zemích. Všechny země s výjimkou Řecka (kde jsou příčiny kódovány podle MKN-9) používají poslední revizi MKN-10, ale některé země průběžně neimplementují doporučené aktualizace MKN-10 od WHO. Od roku 2011 je zasílání dat o příčinách smrti povinné díky „</w:t>
      </w:r>
      <w:r w:rsidR="00DC3A0E" w:rsidRPr="00916EE4">
        <w:rPr>
          <w:i/>
        </w:rPr>
        <w:t>Nařízení Komise (EU) č</w:t>
      </w:r>
      <w:r w:rsidR="00DC3A0E">
        <w:rPr>
          <w:i/>
        </w:rPr>
        <w:t>. 328/2011 ze dne 5. dubna 2011</w:t>
      </w:r>
      <w:r w:rsidR="00DC3A0E" w:rsidRPr="00916EE4">
        <w:rPr>
          <w:i/>
        </w:rPr>
        <w:t>, kterým se provádí nařízení Evrop</w:t>
      </w:r>
      <w:r w:rsidR="00DC3A0E">
        <w:rPr>
          <w:i/>
        </w:rPr>
        <w:t>ského parlamentu a Rady (ES) č. </w:t>
      </w:r>
      <w:r w:rsidR="00DC3A0E" w:rsidRPr="00916EE4">
        <w:rPr>
          <w:i/>
        </w:rPr>
        <w:t>1338/2008 o statistice Společenství v oblasti veřejného zdraví a bezpečnosti a ochrany zdraví při práci, pokud jde o statistiky příčin smrti</w:t>
      </w:r>
      <w:r w:rsidR="00DC3A0E">
        <w:t>“, takže data v obdobích 2006 až 2010 a 2011 až 2014 nejsou plně srovnatelná</w:t>
      </w:r>
      <w:r w:rsidR="00DC3A0E">
        <w:rPr>
          <w:rStyle w:val="Znakapoznpodarou"/>
        </w:rPr>
        <w:footnoteReference w:id="5"/>
      </w:r>
      <w:r w:rsidR="00DC3A0E">
        <w:t>.</w:t>
      </w:r>
    </w:p>
    <w:p w:rsidR="00B91EFB" w:rsidRDefault="00B91EFB" w:rsidP="00B91EFB">
      <w:pPr>
        <w:spacing w:after="0"/>
      </w:pPr>
    </w:p>
    <w:p w:rsidR="00B91EFB" w:rsidRDefault="00B91EFB" w:rsidP="00B91EFB">
      <w:pPr>
        <w:spacing w:after="0"/>
      </w:pPr>
      <w:r>
        <w:t>Pro hodnocení úrovně úmrtnosti je nejčastěji používán ukazatel naděje dožití (výstup úmrtnostních tabulek). U</w:t>
      </w:r>
      <w:r w:rsidRPr="009C622B">
        <w:t xml:space="preserve">dává průměrný počet let, který má naději prožít osoba právě x-letá při zachování řádu úmrtnosti sledovaného období. Jedná se o syntetický ukazatel, který odráží úmrtnostní poměry ve všech věkových skupinách. </w:t>
      </w:r>
      <w:r>
        <w:t xml:space="preserve">Na krajské úrovni ČSÚ </w:t>
      </w:r>
      <w:r w:rsidR="005E7A5A">
        <w:t xml:space="preserve">zapracovává </w:t>
      </w:r>
      <w:r>
        <w:t>úmrtnost</w:t>
      </w:r>
      <w:r w:rsidR="00EA39E4">
        <w:t>n</w:t>
      </w:r>
      <w:r>
        <w:t xml:space="preserve">í tabulky za dvouletá období s ohledem na vyloučení možných náhodných výkyvů. Detailní metodologický popis konstrukce úmrtnostních tabulek a podrobná data jsou k dispozici na webové adrese: </w:t>
      </w:r>
    </w:p>
    <w:p w:rsidR="00B91EFB" w:rsidRDefault="00D9688E" w:rsidP="00B91EFB">
      <w:pPr>
        <w:spacing w:after="0"/>
      </w:pPr>
      <w:hyperlink r:id="rId9" w:history="1">
        <w:r w:rsidR="00B91EFB" w:rsidRPr="007A25C8">
          <w:rPr>
            <w:rStyle w:val="Hypertextovodkaz"/>
          </w:rPr>
          <w:t>https://www.czso.cz/csu/czso/umrtnostni_tabulky</w:t>
        </w:r>
      </w:hyperlink>
    </w:p>
    <w:p w:rsidR="00B91EFB" w:rsidRDefault="00B91EFB" w:rsidP="00B91EFB">
      <w:pPr>
        <w:spacing w:after="0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p w:rsidR="00916EE4" w:rsidRDefault="00916EE4" w:rsidP="00FA2558">
      <w:pPr>
        <w:pStyle w:val="Nadpis1"/>
      </w:pPr>
    </w:p>
    <w:bookmarkEnd w:id="1"/>
    <w:p w:rsidR="00916EE4" w:rsidRDefault="00916EE4" w:rsidP="00FA2558">
      <w:pPr>
        <w:pStyle w:val="Nadpis1"/>
      </w:pPr>
    </w:p>
    <w:sectPr w:rsidR="00916EE4" w:rsidSect="00703E4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8E" w:rsidRDefault="00D9688E" w:rsidP="00E71A58">
      <w:r>
        <w:separator/>
      </w:r>
    </w:p>
  </w:endnote>
  <w:endnote w:type="continuationSeparator" w:id="0">
    <w:p w:rsidR="00D9688E" w:rsidRDefault="00D9688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56046FF" wp14:editId="5990462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03E40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2006–2016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932443" w:rsidRDefault="005926D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0EDF4140" wp14:editId="25D6DEE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2006–2016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03E40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8E" w:rsidRDefault="00D9688E" w:rsidP="00E71A58">
      <w:r>
        <w:separator/>
      </w:r>
    </w:p>
  </w:footnote>
  <w:footnote w:type="continuationSeparator" w:id="0">
    <w:p w:rsidR="00D9688E" w:rsidRDefault="00D9688E" w:rsidP="00E71A58">
      <w:r>
        <w:continuationSeparator/>
      </w:r>
    </w:p>
  </w:footnote>
  <w:footnote w:id="1">
    <w:p w:rsidR="005926DB" w:rsidRPr="00611FF8" w:rsidRDefault="005926DB" w:rsidP="00D56612">
      <w:pPr>
        <w:pStyle w:val="Textpoznpodarou"/>
        <w:rPr>
          <w:i/>
          <w:sz w:val="18"/>
          <w:szCs w:val="18"/>
        </w:rPr>
      </w:pPr>
      <w:r w:rsidRPr="00611FF8">
        <w:rPr>
          <w:rStyle w:val="Znakapoznpodarou"/>
          <w:i/>
          <w:sz w:val="18"/>
          <w:szCs w:val="18"/>
        </w:rPr>
        <w:footnoteRef/>
      </w:r>
      <w:r w:rsidRPr="00611FF8">
        <w:rPr>
          <w:i/>
          <w:sz w:val="18"/>
          <w:szCs w:val="18"/>
        </w:rPr>
        <w:t xml:space="preserve"> Viz podrobněji </w:t>
      </w:r>
      <w:r>
        <w:rPr>
          <w:i/>
          <w:sz w:val="18"/>
          <w:szCs w:val="18"/>
        </w:rPr>
        <w:t xml:space="preserve">kapitola 6 - </w:t>
      </w:r>
      <w:r w:rsidRPr="00611FF8">
        <w:rPr>
          <w:i/>
          <w:sz w:val="18"/>
          <w:szCs w:val="18"/>
        </w:rPr>
        <w:t>Vývoj obyvatelstva České republiky v roce 2011</w:t>
      </w:r>
      <w:r>
        <w:rPr>
          <w:i/>
          <w:sz w:val="18"/>
          <w:szCs w:val="18"/>
        </w:rPr>
        <w:t>:</w:t>
      </w:r>
      <w:r w:rsidRPr="00611FF8">
        <w:rPr>
          <w:i/>
          <w:sz w:val="18"/>
          <w:szCs w:val="18"/>
        </w:rPr>
        <w:t xml:space="preserve"> </w:t>
      </w:r>
      <w:hyperlink r:id="rId1" w:history="1">
        <w:r w:rsidRPr="00611FF8">
          <w:rPr>
            <w:rStyle w:val="Hypertextovodkaz"/>
            <w:bCs/>
            <w:i/>
            <w:sz w:val="18"/>
            <w:szCs w:val="18"/>
          </w:rPr>
          <w:t>https://www.czso.cz/csu/czso/cri/vyvoj-obyvatelstva-ceske-republiky-v-roce-2011-d1xwfwoa13</w:t>
        </w:r>
      </w:hyperlink>
    </w:p>
  </w:footnote>
  <w:footnote w:id="2">
    <w:p w:rsidR="005926DB" w:rsidRPr="00D56612" w:rsidRDefault="005926DB" w:rsidP="00D56612">
      <w:pPr>
        <w:pStyle w:val="Textpoznpodarou"/>
        <w:rPr>
          <w:i/>
          <w:sz w:val="18"/>
          <w:szCs w:val="18"/>
        </w:rPr>
      </w:pPr>
      <w:r w:rsidRPr="00D56612">
        <w:rPr>
          <w:rStyle w:val="Znakapoznpodarou"/>
          <w:sz w:val="18"/>
          <w:szCs w:val="18"/>
        </w:rPr>
        <w:footnoteRef/>
      </w:r>
      <w:r w:rsidRPr="00D56612">
        <w:rPr>
          <w:sz w:val="18"/>
          <w:szCs w:val="18"/>
        </w:rPr>
        <w:t xml:space="preserve"> </w:t>
      </w:r>
      <w:r w:rsidRPr="00D56612">
        <w:rPr>
          <w:i/>
          <w:sz w:val="18"/>
          <w:szCs w:val="18"/>
        </w:rPr>
        <w:t>Viz podrobněji kapitola 6 - Vývoj obyvatel</w:t>
      </w:r>
      <w:r>
        <w:rPr>
          <w:i/>
          <w:sz w:val="18"/>
          <w:szCs w:val="18"/>
        </w:rPr>
        <w:t xml:space="preserve">stva České republiky v roce 2013: </w:t>
      </w:r>
      <w:hyperlink r:id="rId2" w:history="1">
        <w:r w:rsidRPr="00735F52">
          <w:rPr>
            <w:rStyle w:val="Hypertextovodkaz"/>
            <w:i/>
            <w:sz w:val="18"/>
            <w:szCs w:val="18"/>
          </w:rPr>
          <w:t>https://www.czso.cz/csu/czso/vyvoj-obyvatelstva-ceske-republiky-2013-ajtghnb5q2</w:t>
        </w:r>
      </w:hyperlink>
    </w:p>
  </w:footnote>
  <w:footnote w:id="3">
    <w:p w:rsidR="005926DB" w:rsidRPr="005E7A5A" w:rsidRDefault="005926DB">
      <w:pPr>
        <w:pStyle w:val="Textpoznpodarou"/>
        <w:rPr>
          <w:i/>
          <w:sz w:val="18"/>
          <w:szCs w:val="18"/>
        </w:rPr>
      </w:pPr>
      <w:r w:rsidRPr="005E7A5A">
        <w:rPr>
          <w:rStyle w:val="Znakapoznpodarou"/>
          <w:i/>
          <w:sz w:val="18"/>
          <w:szCs w:val="18"/>
        </w:rPr>
        <w:footnoteRef/>
      </w:r>
      <w:r w:rsidRPr="005E7A5A">
        <w:rPr>
          <w:i/>
          <w:sz w:val="18"/>
          <w:szCs w:val="18"/>
        </w:rPr>
        <w:t xml:space="preserve"> Eurostat si totiž počítá střední stavy obyvatelstva a úmrtnostní tabulky podle vlastní metodologie.</w:t>
      </w:r>
    </w:p>
  </w:footnote>
  <w:footnote w:id="4">
    <w:p w:rsidR="005926DB" w:rsidRPr="005E7A5A" w:rsidRDefault="005926DB">
      <w:pPr>
        <w:pStyle w:val="Textpoznpodarou"/>
        <w:rPr>
          <w:i/>
          <w:sz w:val="18"/>
          <w:szCs w:val="18"/>
        </w:rPr>
      </w:pPr>
      <w:r w:rsidRPr="005E7A5A">
        <w:rPr>
          <w:rStyle w:val="Znakapoznpodarou"/>
          <w:i/>
          <w:sz w:val="18"/>
          <w:szCs w:val="18"/>
        </w:rPr>
        <w:footnoteRef/>
      </w:r>
      <w:r w:rsidRPr="005E7A5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Eurostat nezahrnuje do počtu zemřelých podle příčin smrti občany ČR, kteří zemřeli v cizině, a jejichž úmrtí bylo registrováno na zvláštní matrice v Brně. Naopak započítává obyvatele ČR, kteří zemřeli v cizině, a jejichž úmrtí bylo zahrnuto ve statistice zemřelých nerezidentů v jiných zemích EU podle „</w:t>
      </w:r>
      <w:r w:rsidRPr="00FD7986">
        <w:rPr>
          <w:i/>
          <w:sz w:val="18"/>
          <w:szCs w:val="18"/>
        </w:rPr>
        <w:t>Nařízení Komise (EU) č. 328/2011</w:t>
      </w:r>
      <w:r>
        <w:rPr>
          <w:i/>
          <w:sz w:val="18"/>
          <w:szCs w:val="18"/>
        </w:rPr>
        <w:t xml:space="preserve">“.   </w:t>
      </w:r>
    </w:p>
  </w:footnote>
  <w:footnote w:id="5">
    <w:p w:rsidR="005926DB" w:rsidRPr="009C4D89" w:rsidRDefault="005926DB" w:rsidP="00DC3A0E">
      <w:pPr>
        <w:pStyle w:val="Textpoznpodarou"/>
        <w:rPr>
          <w:i/>
          <w:sz w:val="18"/>
          <w:szCs w:val="18"/>
        </w:rPr>
      </w:pPr>
      <w:r w:rsidRPr="009C4D89">
        <w:rPr>
          <w:rStyle w:val="Znakapoznpodarou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Zejména v návaznosti na promítnutí statistiky o zemřelých nerezidentech za jednotlivé členské státy EU, které je Eurostatem sbírána od roku 2011 v souladu s „</w:t>
      </w:r>
      <w:r w:rsidRPr="00FD7986">
        <w:rPr>
          <w:i/>
          <w:sz w:val="18"/>
          <w:szCs w:val="18"/>
        </w:rPr>
        <w:t>Nařízení</w:t>
      </w:r>
      <w:r>
        <w:rPr>
          <w:i/>
          <w:sz w:val="18"/>
          <w:szCs w:val="18"/>
        </w:rPr>
        <w:t>m</w:t>
      </w:r>
      <w:r w:rsidRPr="00FD7986">
        <w:rPr>
          <w:i/>
          <w:sz w:val="18"/>
          <w:szCs w:val="18"/>
        </w:rPr>
        <w:t xml:space="preserve"> Komise (EU) č.</w:t>
      </w:r>
      <w:r>
        <w:rPr>
          <w:i/>
          <w:sz w:val="18"/>
          <w:szCs w:val="18"/>
        </w:rPr>
        <w:t> </w:t>
      </w:r>
      <w:r w:rsidRPr="00FD7986">
        <w:rPr>
          <w:i/>
          <w:sz w:val="18"/>
          <w:szCs w:val="18"/>
        </w:rPr>
        <w:t>328/2011</w:t>
      </w:r>
      <w:r>
        <w:rPr>
          <w:i/>
          <w:sz w:val="18"/>
          <w:szCs w:val="18"/>
        </w:rPr>
        <w:t>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7A54FF" w:rsidRDefault="005926DB" w:rsidP="007A54FF">
    <w:pPr>
      <w:pStyle w:val="Zhlav"/>
    </w:pPr>
    <w:r>
      <w:t>Vývoj úmrtnosti v České republice 2006–2016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B" w:rsidRPr="006F5416" w:rsidRDefault="005926DB" w:rsidP="00937AE2">
    <w:pPr>
      <w:pStyle w:val="Zhlav"/>
    </w:pPr>
    <w:r>
      <w:t>Vývoj úmrtnosti v České republice 2006–2016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5CB"/>
    <w:rsid w:val="00004D5A"/>
    <w:rsid w:val="000056D5"/>
    <w:rsid w:val="00005DDC"/>
    <w:rsid w:val="0000767A"/>
    <w:rsid w:val="00010702"/>
    <w:rsid w:val="00010DD8"/>
    <w:rsid w:val="000119F9"/>
    <w:rsid w:val="0001365E"/>
    <w:rsid w:val="000153A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3FCD"/>
    <w:rsid w:val="00035FEE"/>
    <w:rsid w:val="00036A91"/>
    <w:rsid w:val="000402D0"/>
    <w:rsid w:val="000402D2"/>
    <w:rsid w:val="000419F3"/>
    <w:rsid w:val="00041CEC"/>
    <w:rsid w:val="00043274"/>
    <w:rsid w:val="00045131"/>
    <w:rsid w:val="0004694F"/>
    <w:rsid w:val="000469B3"/>
    <w:rsid w:val="000473E5"/>
    <w:rsid w:val="00050751"/>
    <w:rsid w:val="00050A0A"/>
    <w:rsid w:val="000522E4"/>
    <w:rsid w:val="0005470D"/>
    <w:rsid w:val="00054A4E"/>
    <w:rsid w:val="00054F7C"/>
    <w:rsid w:val="00057D39"/>
    <w:rsid w:val="000610E1"/>
    <w:rsid w:val="00062176"/>
    <w:rsid w:val="00062907"/>
    <w:rsid w:val="00062EC5"/>
    <w:rsid w:val="00062F22"/>
    <w:rsid w:val="00064369"/>
    <w:rsid w:val="00067A09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33B5"/>
    <w:rsid w:val="000974D1"/>
    <w:rsid w:val="0009799E"/>
    <w:rsid w:val="000A1183"/>
    <w:rsid w:val="000A16E1"/>
    <w:rsid w:val="000A256D"/>
    <w:rsid w:val="000A3A2C"/>
    <w:rsid w:val="000A41DC"/>
    <w:rsid w:val="000A53C4"/>
    <w:rsid w:val="000B0BB6"/>
    <w:rsid w:val="000B11A5"/>
    <w:rsid w:val="000B30FA"/>
    <w:rsid w:val="000B40F1"/>
    <w:rsid w:val="000B4E56"/>
    <w:rsid w:val="000B6C64"/>
    <w:rsid w:val="000B7A13"/>
    <w:rsid w:val="000C029F"/>
    <w:rsid w:val="000C0C6D"/>
    <w:rsid w:val="000C2060"/>
    <w:rsid w:val="000C3408"/>
    <w:rsid w:val="000C5535"/>
    <w:rsid w:val="000C58C7"/>
    <w:rsid w:val="000C5FFA"/>
    <w:rsid w:val="000C6AFD"/>
    <w:rsid w:val="000C7EDF"/>
    <w:rsid w:val="000D06FE"/>
    <w:rsid w:val="000D182C"/>
    <w:rsid w:val="000D5637"/>
    <w:rsid w:val="000D583A"/>
    <w:rsid w:val="000D6EB5"/>
    <w:rsid w:val="000D6FD3"/>
    <w:rsid w:val="000D7F83"/>
    <w:rsid w:val="000E1193"/>
    <w:rsid w:val="000E156B"/>
    <w:rsid w:val="000E1B49"/>
    <w:rsid w:val="000E1BDD"/>
    <w:rsid w:val="000E269A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2DFC"/>
    <w:rsid w:val="0010437D"/>
    <w:rsid w:val="00104C4C"/>
    <w:rsid w:val="00107089"/>
    <w:rsid w:val="00111FCC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31836"/>
    <w:rsid w:val="00133A83"/>
    <w:rsid w:val="001405FA"/>
    <w:rsid w:val="001425C3"/>
    <w:rsid w:val="00142701"/>
    <w:rsid w:val="00145EA6"/>
    <w:rsid w:val="001462B0"/>
    <w:rsid w:val="001514A8"/>
    <w:rsid w:val="00152B67"/>
    <w:rsid w:val="001566B6"/>
    <w:rsid w:val="0016134C"/>
    <w:rsid w:val="0016256B"/>
    <w:rsid w:val="0016352B"/>
    <w:rsid w:val="00163793"/>
    <w:rsid w:val="001670D2"/>
    <w:rsid w:val="001678EC"/>
    <w:rsid w:val="00167F47"/>
    <w:rsid w:val="001706D6"/>
    <w:rsid w:val="00170831"/>
    <w:rsid w:val="001714F2"/>
    <w:rsid w:val="00172D31"/>
    <w:rsid w:val="00175F52"/>
    <w:rsid w:val="001779CE"/>
    <w:rsid w:val="001811DD"/>
    <w:rsid w:val="00182959"/>
    <w:rsid w:val="0018474A"/>
    <w:rsid w:val="00184B08"/>
    <w:rsid w:val="00185010"/>
    <w:rsid w:val="00185614"/>
    <w:rsid w:val="00185DE9"/>
    <w:rsid w:val="00187AD0"/>
    <w:rsid w:val="0019067C"/>
    <w:rsid w:val="001A04FC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C05CD"/>
    <w:rsid w:val="001C07E8"/>
    <w:rsid w:val="001C6049"/>
    <w:rsid w:val="001C63DE"/>
    <w:rsid w:val="001C7409"/>
    <w:rsid w:val="001D0FEE"/>
    <w:rsid w:val="001D5D5C"/>
    <w:rsid w:val="001D6209"/>
    <w:rsid w:val="001D62EB"/>
    <w:rsid w:val="001D68B2"/>
    <w:rsid w:val="001D7A0D"/>
    <w:rsid w:val="001D7DA1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4597"/>
    <w:rsid w:val="001F461A"/>
    <w:rsid w:val="00201642"/>
    <w:rsid w:val="00203BB2"/>
    <w:rsid w:val="00203F13"/>
    <w:rsid w:val="002118B9"/>
    <w:rsid w:val="00214045"/>
    <w:rsid w:val="002174E0"/>
    <w:rsid w:val="00217C5B"/>
    <w:rsid w:val="00220391"/>
    <w:rsid w:val="00220CAE"/>
    <w:rsid w:val="0022139E"/>
    <w:rsid w:val="0022195A"/>
    <w:rsid w:val="0022486F"/>
    <w:rsid w:val="002252E0"/>
    <w:rsid w:val="002255F6"/>
    <w:rsid w:val="00227850"/>
    <w:rsid w:val="00227A53"/>
    <w:rsid w:val="00230C6E"/>
    <w:rsid w:val="002332AC"/>
    <w:rsid w:val="00236443"/>
    <w:rsid w:val="00237BEB"/>
    <w:rsid w:val="002419A4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8A4"/>
    <w:rsid w:val="00252106"/>
    <w:rsid w:val="00252B6C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60AB"/>
    <w:rsid w:val="00276FDC"/>
    <w:rsid w:val="00283B35"/>
    <w:rsid w:val="00284DE4"/>
    <w:rsid w:val="00285412"/>
    <w:rsid w:val="00290E11"/>
    <w:rsid w:val="002930BF"/>
    <w:rsid w:val="00293B0F"/>
    <w:rsid w:val="00293ECA"/>
    <w:rsid w:val="0029467D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C034B"/>
    <w:rsid w:val="002C1249"/>
    <w:rsid w:val="002C1D2A"/>
    <w:rsid w:val="002C43BD"/>
    <w:rsid w:val="002C6E3A"/>
    <w:rsid w:val="002C774A"/>
    <w:rsid w:val="002C7B4E"/>
    <w:rsid w:val="002D0E59"/>
    <w:rsid w:val="002D10D2"/>
    <w:rsid w:val="002D1C35"/>
    <w:rsid w:val="002D79AD"/>
    <w:rsid w:val="002E02A1"/>
    <w:rsid w:val="002E4E4C"/>
    <w:rsid w:val="002E5641"/>
    <w:rsid w:val="002E60EE"/>
    <w:rsid w:val="002E6A2F"/>
    <w:rsid w:val="002F26F5"/>
    <w:rsid w:val="002F2803"/>
    <w:rsid w:val="002F37F1"/>
    <w:rsid w:val="00304771"/>
    <w:rsid w:val="003052D4"/>
    <w:rsid w:val="00306C5B"/>
    <w:rsid w:val="00312241"/>
    <w:rsid w:val="00312FD4"/>
    <w:rsid w:val="00313C82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5A9"/>
    <w:rsid w:val="00343544"/>
    <w:rsid w:val="00344668"/>
    <w:rsid w:val="003462D9"/>
    <w:rsid w:val="00350712"/>
    <w:rsid w:val="0035145A"/>
    <w:rsid w:val="00351FD4"/>
    <w:rsid w:val="00352D1C"/>
    <w:rsid w:val="00354632"/>
    <w:rsid w:val="00356BA0"/>
    <w:rsid w:val="00360C86"/>
    <w:rsid w:val="0036174E"/>
    <w:rsid w:val="00362295"/>
    <w:rsid w:val="00364E9E"/>
    <w:rsid w:val="003657F3"/>
    <w:rsid w:val="00366058"/>
    <w:rsid w:val="00367E8A"/>
    <w:rsid w:val="003712DF"/>
    <w:rsid w:val="003719F6"/>
    <w:rsid w:val="003730B7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9267A"/>
    <w:rsid w:val="00394E37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B4C02"/>
    <w:rsid w:val="003B5A32"/>
    <w:rsid w:val="003C24A4"/>
    <w:rsid w:val="003C3390"/>
    <w:rsid w:val="003C3490"/>
    <w:rsid w:val="003C3B69"/>
    <w:rsid w:val="003C592E"/>
    <w:rsid w:val="003C59EE"/>
    <w:rsid w:val="003C7966"/>
    <w:rsid w:val="003C7F25"/>
    <w:rsid w:val="003D09AA"/>
    <w:rsid w:val="003D3708"/>
    <w:rsid w:val="003D6920"/>
    <w:rsid w:val="003D699F"/>
    <w:rsid w:val="003D7B16"/>
    <w:rsid w:val="003E02BA"/>
    <w:rsid w:val="003E0E3A"/>
    <w:rsid w:val="003E3B90"/>
    <w:rsid w:val="003E4C91"/>
    <w:rsid w:val="003E7B37"/>
    <w:rsid w:val="003F313C"/>
    <w:rsid w:val="003F4B2C"/>
    <w:rsid w:val="003F551C"/>
    <w:rsid w:val="003F7445"/>
    <w:rsid w:val="003F7D23"/>
    <w:rsid w:val="00402C39"/>
    <w:rsid w:val="004031AC"/>
    <w:rsid w:val="0040463D"/>
    <w:rsid w:val="00405EBE"/>
    <w:rsid w:val="00406F16"/>
    <w:rsid w:val="00407C13"/>
    <w:rsid w:val="00410638"/>
    <w:rsid w:val="0041108E"/>
    <w:rsid w:val="0041187E"/>
    <w:rsid w:val="004168A2"/>
    <w:rsid w:val="00416CCB"/>
    <w:rsid w:val="00420B40"/>
    <w:rsid w:val="0043110C"/>
    <w:rsid w:val="00432A58"/>
    <w:rsid w:val="004333FA"/>
    <w:rsid w:val="00434617"/>
    <w:rsid w:val="00440535"/>
    <w:rsid w:val="00440900"/>
    <w:rsid w:val="00442727"/>
    <w:rsid w:val="004441A0"/>
    <w:rsid w:val="00445923"/>
    <w:rsid w:val="0044729A"/>
    <w:rsid w:val="004531E0"/>
    <w:rsid w:val="0045498A"/>
    <w:rsid w:val="0045617F"/>
    <w:rsid w:val="00460FB3"/>
    <w:rsid w:val="004633E1"/>
    <w:rsid w:val="004662BB"/>
    <w:rsid w:val="004703BD"/>
    <w:rsid w:val="00476240"/>
    <w:rsid w:val="00476439"/>
    <w:rsid w:val="0047735C"/>
    <w:rsid w:val="004776BC"/>
    <w:rsid w:val="0048139F"/>
    <w:rsid w:val="0048162D"/>
    <w:rsid w:val="00481E40"/>
    <w:rsid w:val="00483994"/>
    <w:rsid w:val="00484ECE"/>
    <w:rsid w:val="00485AF7"/>
    <w:rsid w:val="00486AF0"/>
    <w:rsid w:val="004900FF"/>
    <w:rsid w:val="004915CB"/>
    <w:rsid w:val="004924DC"/>
    <w:rsid w:val="00492CA7"/>
    <w:rsid w:val="00495B68"/>
    <w:rsid w:val="004A021E"/>
    <w:rsid w:val="004A0DF8"/>
    <w:rsid w:val="004A14E4"/>
    <w:rsid w:val="004A2A54"/>
    <w:rsid w:val="004A3212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334"/>
    <w:rsid w:val="004B55B7"/>
    <w:rsid w:val="004B5D6E"/>
    <w:rsid w:val="004B5E29"/>
    <w:rsid w:val="004B6468"/>
    <w:rsid w:val="004C1E70"/>
    <w:rsid w:val="004C384C"/>
    <w:rsid w:val="004C3867"/>
    <w:rsid w:val="004C3968"/>
    <w:rsid w:val="004C4CD0"/>
    <w:rsid w:val="004C514B"/>
    <w:rsid w:val="004C70DC"/>
    <w:rsid w:val="004C714D"/>
    <w:rsid w:val="004C78A6"/>
    <w:rsid w:val="004D0211"/>
    <w:rsid w:val="004D0794"/>
    <w:rsid w:val="004D4523"/>
    <w:rsid w:val="004D6C61"/>
    <w:rsid w:val="004D71F8"/>
    <w:rsid w:val="004D7AC6"/>
    <w:rsid w:val="004E2DE3"/>
    <w:rsid w:val="004E46CF"/>
    <w:rsid w:val="004E4A71"/>
    <w:rsid w:val="004E68A9"/>
    <w:rsid w:val="004F06F5"/>
    <w:rsid w:val="004F33A0"/>
    <w:rsid w:val="004F4D3E"/>
    <w:rsid w:val="004F526C"/>
    <w:rsid w:val="004F6BEF"/>
    <w:rsid w:val="00500A8A"/>
    <w:rsid w:val="00500E0E"/>
    <w:rsid w:val="005015F6"/>
    <w:rsid w:val="00505225"/>
    <w:rsid w:val="00505A03"/>
    <w:rsid w:val="00506052"/>
    <w:rsid w:val="00507DEE"/>
    <w:rsid w:val="005108C0"/>
    <w:rsid w:val="00511873"/>
    <w:rsid w:val="00511C34"/>
    <w:rsid w:val="005125B8"/>
    <w:rsid w:val="00512A2F"/>
    <w:rsid w:val="00513B7E"/>
    <w:rsid w:val="00515C74"/>
    <w:rsid w:val="00515CC3"/>
    <w:rsid w:val="005167DE"/>
    <w:rsid w:val="0052007E"/>
    <w:rsid w:val="005219C5"/>
    <w:rsid w:val="0052337A"/>
    <w:rsid w:val="00524E7C"/>
    <w:rsid w:val="00525137"/>
    <w:rsid w:val="005251DD"/>
    <w:rsid w:val="00530875"/>
    <w:rsid w:val="00530A00"/>
    <w:rsid w:val="00532280"/>
    <w:rsid w:val="00532371"/>
    <w:rsid w:val="00532CE7"/>
    <w:rsid w:val="0053324C"/>
    <w:rsid w:val="00534A28"/>
    <w:rsid w:val="00537A98"/>
    <w:rsid w:val="00540478"/>
    <w:rsid w:val="00541508"/>
    <w:rsid w:val="00545C4C"/>
    <w:rsid w:val="00551ECE"/>
    <w:rsid w:val="00553864"/>
    <w:rsid w:val="00554CEE"/>
    <w:rsid w:val="0055599F"/>
    <w:rsid w:val="00556D68"/>
    <w:rsid w:val="0056308C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27EA"/>
    <w:rsid w:val="00583FFD"/>
    <w:rsid w:val="00584E79"/>
    <w:rsid w:val="00585C80"/>
    <w:rsid w:val="00585F09"/>
    <w:rsid w:val="00590F4F"/>
    <w:rsid w:val="005911BE"/>
    <w:rsid w:val="005926DB"/>
    <w:rsid w:val="00593152"/>
    <w:rsid w:val="005932CF"/>
    <w:rsid w:val="00594124"/>
    <w:rsid w:val="00594A4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D78"/>
    <w:rsid w:val="005B5D92"/>
    <w:rsid w:val="005B7B34"/>
    <w:rsid w:val="005C05F5"/>
    <w:rsid w:val="005C06B9"/>
    <w:rsid w:val="005C06ED"/>
    <w:rsid w:val="005C3100"/>
    <w:rsid w:val="005C4919"/>
    <w:rsid w:val="005C75D7"/>
    <w:rsid w:val="005D069F"/>
    <w:rsid w:val="005D176B"/>
    <w:rsid w:val="005D26A0"/>
    <w:rsid w:val="005D5802"/>
    <w:rsid w:val="005D606B"/>
    <w:rsid w:val="005D7890"/>
    <w:rsid w:val="005E0344"/>
    <w:rsid w:val="005E08A9"/>
    <w:rsid w:val="005E3857"/>
    <w:rsid w:val="005E4DA5"/>
    <w:rsid w:val="005E533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FF8"/>
    <w:rsid w:val="00612A2F"/>
    <w:rsid w:val="00614990"/>
    <w:rsid w:val="006167B8"/>
    <w:rsid w:val="00616E05"/>
    <w:rsid w:val="006234A1"/>
    <w:rsid w:val="00624093"/>
    <w:rsid w:val="00624621"/>
    <w:rsid w:val="0062641F"/>
    <w:rsid w:val="006268DB"/>
    <w:rsid w:val="0063164C"/>
    <w:rsid w:val="00632ED0"/>
    <w:rsid w:val="00633FC5"/>
    <w:rsid w:val="00634060"/>
    <w:rsid w:val="0063504A"/>
    <w:rsid w:val="00635B85"/>
    <w:rsid w:val="006364D7"/>
    <w:rsid w:val="0063677B"/>
    <w:rsid w:val="006404A7"/>
    <w:rsid w:val="006407C4"/>
    <w:rsid w:val="0064336E"/>
    <w:rsid w:val="00643DF7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6EE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807E2"/>
    <w:rsid w:val="0068174E"/>
    <w:rsid w:val="00681DCE"/>
    <w:rsid w:val="0068260E"/>
    <w:rsid w:val="00684182"/>
    <w:rsid w:val="006860B7"/>
    <w:rsid w:val="006923C8"/>
    <w:rsid w:val="00692BD9"/>
    <w:rsid w:val="0069379F"/>
    <w:rsid w:val="00695BEF"/>
    <w:rsid w:val="00695F6F"/>
    <w:rsid w:val="006977F6"/>
    <w:rsid w:val="00697A13"/>
    <w:rsid w:val="006A109C"/>
    <w:rsid w:val="006A34A6"/>
    <w:rsid w:val="006A3A94"/>
    <w:rsid w:val="006A3B27"/>
    <w:rsid w:val="006A3C5F"/>
    <w:rsid w:val="006A5C9F"/>
    <w:rsid w:val="006A6CAF"/>
    <w:rsid w:val="006A6E68"/>
    <w:rsid w:val="006B344A"/>
    <w:rsid w:val="006B3E2B"/>
    <w:rsid w:val="006B3F74"/>
    <w:rsid w:val="006B4638"/>
    <w:rsid w:val="006B5824"/>
    <w:rsid w:val="006B5E3E"/>
    <w:rsid w:val="006B62C7"/>
    <w:rsid w:val="006B6814"/>
    <w:rsid w:val="006B7191"/>
    <w:rsid w:val="006B76D8"/>
    <w:rsid w:val="006B78D8"/>
    <w:rsid w:val="006C0FD2"/>
    <w:rsid w:val="006C113F"/>
    <w:rsid w:val="006C123E"/>
    <w:rsid w:val="006C4EB1"/>
    <w:rsid w:val="006C56D4"/>
    <w:rsid w:val="006C6924"/>
    <w:rsid w:val="006C7CA6"/>
    <w:rsid w:val="006D13B3"/>
    <w:rsid w:val="006D239F"/>
    <w:rsid w:val="006D3E8A"/>
    <w:rsid w:val="006D61F6"/>
    <w:rsid w:val="006D62A4"/>
    <w:rsid w:val="006D6949"/>
    <w:rsid w:val="006D7729"/>
    <w:rsid w:val="006D7BE4"/>
    <w:rsid w:val="006E0015"/>
    <w:rsid w:val="006E279A"/>
    <w:rsid w:val="006E30E8"/>
    <w:rsid w:val="006E313B"/>
    <w:rsid w:val="006E373D"/>
    <w:rsid w:val="006E3A47"/>
    <w:rsid w:val="006E54D9"/>
    <w:rsid w:val="006F1785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3E40"/>
    <w:rsid w:val="00706AD4"/>
    <w:rsid w:val="00713F05"/>
    <w:rsid w:val="007140BE"/>
    <w:rsid w:val="007154FE"/>
    <w:rsid w:val="00715E9E"/>
    <w:rsid w:val="00720D36"/>
    <w:rsid w:val="007211F5"/>
    <w:rsid w:val="007222D7"/>
    <w:rsid w:val="00722415"/>
    <w:rsid w:val="00725BB5"/>
    <w:rsid w:val="0073087E"/>
    <w:rsid w:val="00730AE8"/>
    <w:rsid w:val="00731340"/>
    <w:rsid w:val="00731A06"/>
    <w:rsid w:val="00731B32"/>
    <w:rsid w:val="0073395D"/>
    <w:rsid w:val="0073433F"/>
    <w:rsid w:val="00735379"/>
    <w:rsid w:val="00735AB8"/>
    <w:rsid w:val="0074004B"/>
    <w:rsid w:val="007405F4"/>
    <w:rsid w:val="00741493"/>
    <w:rsid w:val="00742447"/>
    <w:rsid w:val="00742BD7"/>
    <w:rsid w:val="007501EE"/>
    <w:rsid w:val="00751E0A"/>
    <w:rsid w:val="00752180"/>
    <w:rsid w:val="00753751"/>
    <w:rsid w:val="00755202"/>
    <w:rsid w:val="00755D3A"/>
    <w:rsid w:val="007578D3"/>
    <w:rsid w:val="007609C6"/>
    <w:rsid w:val="0076175D"/>
    <w:rsid w:val="0076310A"/>
    <w:rsid w:val="007633CC"/>
    <w:rsid w:val="0076521E"/>
    <w:rsid w:val="00765B47"/>
    <w:rsid w:val="00765BA7"/>
    <w:rsid w:val="00765F04"/>
    <w:rsid w:val="007661E9"/>
    <w:rsid w:val="00767B3C"/>
    <w:rsid w:val="00773379"/>
    <w:rsid w:val="00776169"/>
    <w:rsid w:val="00776527"/>
    <w:rsid w:val="00780EF1"/>
    <w:rsid w:val="00781745"/>
    <w:rsid w:val="007841B6"/>
    <w:rsid w:val="007903A3"/>
    <w:rsid w:val="00790764"/>
    <w:rsid w:val="00792EB2"/>
    <w:rsid w:val="00793419"/>
    <w:rsid w:val="007938D3"/>
    <w:rsid w:val="0079453C"/>
    <w:rsid w:val="00794677"/>
    <w:rsid w:val="007956EF"/>
    <w:rsid w:val="007A16C8"/>
    <w:rsid w:val="007A30FB"/>
    <w:rsid w:val="007A34B4"/>
    <w:rsid w:val="007A54FF"/>
    <w:rsid w:val="007B01D8"/>
    <w:rsid w:val="007B2668"/>
    <w:rsid w:val="007B604A"/>
    <w:rsid w:val="007B6689"/>
    <w:rsid w:val="007B733B"/>
    <w:rsid w:val="007B74A0"/>
    <w:rsid w:val="007D1B7E"/>
    <w:rsid w:val="007D3B04"/>
    <w:rsid w:val="007D40DF"/>
    <w:rsid w:val="007D612B"/>
    <w:rsid w:val="007E23ED"/>
    <w:rsid w:val="007E7243"/>
    <w:rsid w:val="007E7E61"/>
    <w:rsid w:val="007F0845"/>
    <w:rsid w:val="007F194B"/>
    <w:rsid w:val="007F4C97"/>
    <w:rsid w:val="007F6A83"/>
    <w:rsid w:val="00800DB2"/>
    <w:rsid w:val="00802B6D"/>
    <w:rsid w:val="00804B19"/>
    <w:rsid w:val="00807654"/>
    <w:rsid w:val="00807C82"/>
    <w:rsid w:val="00812684"/>
    <w:rsid w:val="00813938"/>
    <w:rsid w:val="00815403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F4F"/>
    <w:rsid w:val="00834FAA"/>
    <w:rsid w:val="00836086"/>
    <w:rsid w:val="008366E2"/>
    <w:rsid w:val="00836895"/>
    <w:rsid w:val="0084142F"/>
    <w:rsid w:val="00843064"/>
    <w:rsid w:val="0084708F"/>
    <w:rsid w:val="008477C8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434"/>
    <w:rsid w:val="00864C0B"/>
    <w:rsid w:val="00864F46"/>
    <w:rsid w:val="00865E4C"/>
    <w:rsid w:val="008701E4"/>
    <w:rsid w:val="00871103"/>
    <w:rsid w:val="00873935"/>
    <w:rsid w:val="00875A32"/>
    <w:rsid w:val="00876086"/>
    <w:rsid w:val="008807E3"/>
    <w:rsid w:val="00880A35"/>
    <w:rsid w:val="00882BF5"/>
    <w:rsid w:val="008852CE"/>
    <w:rsid w:val="00885CEB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A25CE"/>
    <w:rsid w:val="008A2A8C"/>
    <w:rsid w:val="008A5644"/>
    <w:rsid w:val="008A6526"/>
    <w:rsid w:val="008A6EE5"/>
    <w:rsid w:val="008B0A24"/>
    <w:rsid w:val="008B365B"/>
    <w:rsid w:val="008B7C02"/>
    <w:rsid w:val="008B7D2B"/>
    <w:rsid w:val="008C0049"/>
    <w:rsid w:val="008C0E88"/>
    <w:rsid w:val="008C549D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6F06"/>
    <w:rsid w:val="008E705E"/>
    <w:rsid w:val="008F029B"/>
    <w:rsid w:val="008F3FC9"/>
    <w:rsid w:val="008F47E2"/>
    <w:rsid w:val="008F585B"/>
    <w:rsid w:val="008F6367"/>
    <w:rsid w:val="009003A8"/>
    <w:rsid w:val="00902500"/>
    <w:rsid w:val="00902EFF"/>
    <w:rsid w:val="00904E72"/>
    <w:rsid w:val="00906401"/>
    <w:rsid w:val="009074E8"/>
    <w:rsid w:val="009075C8"/>
    <w:rsid w:val="0091155E"/>
    <w:rsid w:val="00912A92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C1C"/>
    <w:rsid w:val="0092600D"/>
    <w:rsid w:val="00930BC3"/>
    <w:rsid w:val="00931C19"/>
    <w:rsid w:val="00932443"/>
    <w:rsid w:val="0093382F"/>
    <w:rsid w:val="00937AE2"/>
    <w:rsid w:val="0094189C"/>
    <w:rsid w:val="00941CE5"/>
    <w:rsid w:val="0094280E"/>
    <w:rsid w:val="0094410E"/>
    <w:rsid w:val="0094427A"/>
    <w:rsid w:val="00951581"/>
    <w:rsid w:val="009556DE"/>
    <w:rsid w:val="00960808"/>
    <w:rsid w:val="00963892"/>
    <w:rsid w:val="009645CE"/>
    <w:rsid w:val="0096493A"/>
    <w:rsid w:val="009711BA"/>
    <w:rsid w:val="009733DC"/>
    <w:rsid w:val="00974923"/>
    <w:rsid w:val="00977C97"/>
    <w:rsid w:val="00980D3D"/>
    <w:rsid w:val="0098262F"/>
    <w:rsid w:val="0098750E"/>
    <w:rsid w:val="00987A30"/>
    <w:rsid w:val="009917A8"/>
    <w:rsid w:val="00992CC8"/>
    <w:rsid w:val="00992CF3"/>
    <w:rsid w:val="00994FCD"/>
    <w:rsid w:val="009968D6"/>
    <w:rsid w:val="009974DB"/>
    <w:rsid w:val="009A1CAB"/>
    <w:rsid w:val="009A53E6"/>
    <w:rsid w:val="009A599D"/>
    <w:rsid w:val="009A60D1"/>
    <w:rsid w:val="009A621A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E13D0"/>
    <w:rsid w:val="009E31A6"/>
    <w:rsid w:val="009E48A6"/>
    <w:rsid w:val="009E5273"/>
    <w:rsid w:val="009E5DDB"/>
    <w:rsid w:val="009F30F9"/>
    <w:rsid w:val="009F37AD"/>
    <w:rsid w:val="009F4CA7"/>
    <w:rsid w:val="009F588A"/>
    <w:rsid w:val="009F5C7F"/>
    <w:rsid w:val="009F7847"/>
    <w:rsid w:val="00A004E5"/>
    <w:rsid w:val="00A00CF7"/>
    <w:rsid w:val="00A06181"/>
    <w:rsid w:val="00A10D66"/>
    <w:rsid w:val="00A112A7"/>
    <w:rsid w:val="00A14114"/>
    <w:rsid w:val="00A1585F"/>
    <w:rsid w:val="00A16413"/>
    <w:rsid w:val="00A16C53"/>
    <w:rsid w:val="00A2193F"/>
    <w:rsid w:val="00A23E43"/>
    <w:rsid w:val="00A30E5C"/>
    <w:rsid w:val="00A30F65"/>
    <w:rsid w:val="00A33F18"/>
    <w:rsid w:val="00A3441E"/>
    <w:rsid w:val="00A3710B"/>
    <w:rsid w:val="00A37FEA"/>
    <w:rsid w:val="00A40B86"/>
    <w:rsid w:val="00A414C4"/>
    <w:rsid w:val="00A41848"/>
    <w:rsid w:val="00A418BC"/>
    <w:rsid w:val="00A4294E"/>
    <w:rsid w:val="00A4423A"/>
    <w:rsid w:val="00A44369"/>
    <w:rsid w:val="00A4652F"/>
    <w:rsid w:val="00A46DE0"/>
    <w:rsid w:val="00A50C94"/>
    <w:rsid w:val="00A50D73"/>
    <w:rsid w:val="00A52712"/>
    <w:rsid w:val="00A52CAD"/>
    <w:rsid w:val="00A53FC7"/>
    <w:rsid w:val="00A548CB"/>
    <w:rsid w:val="00A550B2"/>
    <w:rsid w:val="00A55EC9"/>
    <w:rsid w:val="00A561D9"/>
    <w:rsid w:val="00A60720"/>
    <w:rsid w:val="00A61485"/>
    <w:rsid w:val="00A6284F"/>
    <w:rsid w:val="00A62CE1"/>
    <w:rsid w:val="00A6741E"/>
    <w:rsid w:val="00A73293"/>
    <w:rsid w:val="00A75E40"/>
    <w:rsid w:val="00A77D1D"/>
    <w:rsid w:val="00A8020D"/>
    <w:rsid w:val="00A805BF"/>
    <w:rsid w:val="00A839FC"/>
    <w:rsid w:val="00A83A03"/>
    <w:rsid w:val="00A857C0"/>
    <w:rsid w:val="00A861EB"/>
    <w:rsid w:val="00A90356"/>
    <w:rsid w:val="00A93898"/>
    <w:rsid w:val="00A93D98"/>
    <w:rsid w:val="00A950DD"/>
    <w:rsid w:val="00A971C9"/>
    <w:rsid w:val="00AA1911"/>
    <w:rsid w:val="00AA2996"/>
    <w:rsid w:val="00AA3E75"/>
    <w:rsid w:val="00AA4630"/>
    <w:rsid w:val="00AA52BF"/>
    <w:rsid w:val="00AA559A"/>
    <w:rsid w:val="00AA6579"/>
    <w:rsid w:val="00AA693E"/>
    <w:rsid w:val="00AB0A00"/>
    <w:rsid w:val="00AB1F3F"/>
    <w:rsid w:val="00AB2AF1"/>
    <w:rsid w:val="00AB4358"/>
    <w:rsid w:val="00AB51F2"/>
    <w:rsid w:val="00AB62D3"/>
    <w:rsid w:val="00AB7B84"/>
    <w:rsid w:val="00AC0616"/>
    <w:rsid w:val="00AC294B"/>
    <w:rsid w:val="00AC4C86"/>
    <w:rsid w:val="00AD1C15"/>
    <w:rsid w:val="00AD209E"/>
    <w:rsid w:val="00AD306C"/>
    <w:rsid w:val="00AD6DBB"/>
    <w:rsid w:val="00AD768A"/>
    <w:rsid w:val="00AE09B3"/>
    <w:rsid w:val="00AE1A83"/>
    <w:rsid w:val="00AE5B3C"/>
    <w:rsid w:val="00AE7D84"/>
    <w:rsid w:val="00AF0950"/>
    <w:rsid w:val="00AF1DF8"/>
    <w:rsid w:val="00AF39B8"/>
    <w:rsid w:val="00AF6965"/>
    <w:rsid w:val="00AF7A0F"/>
    <w:rsid w:val="00B0058E"/>
    <w:rsid w:val="00B00913"/>
    <w:rsid w:val="00B01593"/>
    <w:rsid w:val="00B01C79"/>
    <w:rsid w:val="00B037DA"/>
    <w:rsid w:val="00B038AF"/>
    <w:rsid w:val="00B052AA"/>
    <w:rsid w:val="00B0562E"/>
    <w:rsid w:val="00B056AD"/>
    <w:rsid w:val="00B108BA"/>
    <w:rsid w:val="00B10A4D"/>
    <w:rsid w:val="00B17E71"/>
    <w:rsid w:val="00B17FDE"/>
    <w:rsid w:val="00B203DF"/>
    <w:rsid w:val="00B20D47"/>
    <w:rsid w:val="00B21F69"/>
    <w:rsid w:val="00B2379C"/>
    <w:rsid w:val="00B2687D"/>
    <w:rsid w:val="00B32DDB"/>
    <w:rsid w:val="00B34272"/>
    <w:rsid w:val="00B34528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50DE2"/>
    <w:rsid w:val="00B530CD"/>
    <w:rsid w:val="00B55E92"/>
    <w:rsid w:val="00B55F5E"/>
    <w:rsid w:val="00B56086"/>
    <w:rsid w:val="00B56FAD"/>
    <w:rsid w:val="00B5752D"/>
    <w:rsid w:val="00B5752E"/>
    <w:rsid w:val="00B57558"/>
    <w:rsid w:val="00B63A11"/>
    <w:rsid w:val="00B64C24"/>
    <w:rsid w:val="00B6547C"/>
    <w:rsid w:val="00B6608F"/>
    <w:rsid w:val="00B679FB"/>
    <w:rsid w:val="00B718A3"/>
    <w:rsid w:val="00B71E9B"/>
    <w:rsid w:val="00B7353E"/>
    <w:rsid w:val="00B75DBF"/>
    <w:rsid w:val="00B76476"/>
    <w:rsid w:val="00B76D1E"/>
    <w:rsid w:val="00B76D76"/>
    <w:rsid w:val="00B80EC6"/>
    <w:rsid w:val="00B83E01"/>
    <w:rsid w:val="00B860E7"/>
    <w:rsid w:val="00B86F2B"/>
    <w:rsid w:val="00B87F80"/>
    <w:rsid w:val="00B90C1A"/>
    <w:rsid w:val="00B91EFB"/>
    <w:rsid w:val="00B92D1D"/>
    <w:rsid w:val="00B938C5"/>
    <w:rsid w:val="00B95334"/>
    <w:rsid w:val="00B956EF"/>
    <w:rsid w:val="00B95940"/>
    <w:rsid w:val="00B96687"/>
    <w:rsid w:val="00B96D9F"/>
    <w:rsid w:val="00B96F73"/>
    <w:rsid w:val="00BA336D"/>
    <w:rsid w:val="00BA425D"/>
    <w:rsid w:val="00BA6A30"/>
    <w:rsid w:val="00BA7826"/>
    <w:rsid w:val="00BA7A5D"/>
    <w:rsid w:val="00BB39CA"/>
    <w:rsid w:val="00BB3AC4"/>
    <w:rsid w:val="00BB46F3"/>
    <w:rsid w:val="00BB4CB1"/>
    <w:rsid w:val="00BB4F98"/>
    <w:rsid w:val="00BC17A1"/>
    <w:rsid w:val="00BC2A0F"/>
    <w:rsid w:val="00BC3A81"/>
    <w:rsid w:val="00BC7154"/>
    <w:rsid w:val="00BD0958"/>
    <w:rsid w:val="00BD14F7"/>
    <w:rsid w:val="00BD366B"/>
    <w:rsid w:val="00BD3D11"/>
    <w:rsid w:val="00BD3F9D"/>
    <w:rsid w:val="00BD5301"/>
    <w:rsid w:val="00BD6D50"/>
    <w:rsid w:val="00BD78B2"/>
    <w:rsid w:val="00BE0554"/>
    <w:rsid w:val="00BE18B9"/>
    <w:rsid w:val="00BE1F6D"/>
    <w:rsid w:val="00BE2495"/>
    <w:rsid w:val="00BE3CF1"/>
    <w:rsid w:val="00BF1578"/>
    <w:rsid w:val="00BF24D8"/>
    <w:rsid w:val="00BF65FD"/>
    <w:rsid w:val="00BF72ED"/>
    <w:rsid w:val="00C00E4B"/>
    <w:rsid w:val="00C0393B"/>
    <w:rsid w:val="00C1028C"/>
    <w:rsid w:val="00C1067B"/>
    <w:rsid w:val="00C1290C"/>
    <w:rsid w:val="00C12B2C"/>
    <w:rsid w:val="00C1308B"/>
    <w:rsid w:val="00C141A2"/>
    <w:rsid w:val="00C14A11"/>
    <w:rsid w:val="00C16185"/>
    <w:rsid w:val="00C1637D"/>
    <w:rsid w:val="00C1743E"/>
    <w:rsid w:val="00C21F94"/>
    <w:rsid w:val="00C24EDC"/>
    <w:rsid w:val="00C25A7D"/>
    <w:rsid w:val="00C26006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52E8D"/>
    <w:rsid w:val="00C54118"/>
    <w:rsid w:val="00C54697"/>
    <w:rsid w:val="00C555EF"/>
    <w:rsid w:val="00C55875"/>
    <w:rsid w:val="00C55E1D"/>
    <w:rsid w:val="00C60A2C"/>
    <w:rsid w:val="00C6193F"/>
    <w:rsid w:val="00C63857"/>
    <w:rsid w:val="00C6626E"/>
    <w:rsid w:val="00C66410"/>
    <w:rsid w:val="00C67120"/>
    <w:rsid w:val="00C701FD"/>
    <w:rsid w:val="00C73885"/>
    <w:rsid w:val="00C747B1"/>
    <w:rsid w:val="00C81D34"/>
    <w:rsid w:val="00C82191"/>
    <w:rsid w:val="00C8365E"/>
    <w:rsid w:val="00C8621D"/>
    <w:rsid w:val="00C86C17"/>
    <w:rsid w:val="00C87668"/>
    <w:rsid w:val="00C90CF4"/>
    <w:rsid w:val="00C9146E"/>
    <w:rsid w:val="00C92EB6"/>
    <w:rsid w:val="00C93389"/>
    <w:rsid w:val="00CA3288"/>
    <w:rsid w:val="00CA39BB"/>
    <w:rsid w:val="00CA445F"/>
    <w:rsid w:val="00CA6A30"/>
    <w:rsid w:val="00CB30FE"/>
    <w:rsid w:val="00CB4223"/>
    <w:rsid w:val="00CB4930"/>
    <w:rsid w:val="00CB4EE3"/>
    <w:rsid w:val="00CB7286"/>
    <w:rsid w:val="00CB7AE5"/>
    <w:rsid w:val="00CC010E"/>
    <w:rsid w:val="00CC19EA"/>
    <w:rsid w:val="00CC274B"/>
    <w:rsid w:val="00CC2E7D"/>
    <w:rsid w:val="00CD10A5"/>
    <w:rsid w:val="00CD2076"/>
    <w:rsid w:val="00CD4296"/>
    <w:rsid w:val="00CD72E6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10F2"/>
    <w:rsid w:val="00D01D45"/>
    <w:rsid w:val="00D040DD"/>
    <w:rsid w:val="00D1124E"/>
    <w:rsid w:val="00D112F4"/>
    <w:rsid w:val="00D13986"/>
    <w:rsid w:val="00D13C4B"/>
    <w:rsid w:val="00D1542B"/>
    <w:rsid w:val="00D168DC"/>
    <w:rsid w:val="00D1757E"/>
    <w:rsid w:val="00D17E09"/>
    <w:rsid w:val="00D22DF5"/>
    <w:rsid w:val="00D235B7"/>
    <w:rsid w:val="00D25F28"/>
    <w:rsid w:val="00D260E0"/>
    <w:rsid w:val="00D27973"/>
    <w:rsid w:val="00D33D44"/>
    <w:rsid w:val="00D33FAD"/>
    <w:rsid w:val="00D36B85"/>
    <w:rsid w:val="00D41AEB"/>
    <w:rsid w:val="00D44E70"/>
    <w:rsid w:val="00D46B17"/>
    <w:rsid w:val="00D47C38"/>
    <w:rsid w:val="00D50A15"/>
    <w:rsid w:val="00D50F46"/>
    <w:rsid w:val="00D52644"/>
    <w:rsid w:val="00D56612"/>
    <w:rsid w:val="00D57D09"/>
    <w:rsid w:val="00D6180C"/>
    <w:rsid w:val="00D61A66"/>
    <w:rsid w:val="00D62193"/>
    <w:rsid w:val="00D637CE"/>
    <w:rsid w:val="00D63D46"/>
    <w:rsid w:val="00D63E61"/>
    <w:rsid w:val="00D64C05"/>
    <w:rsid w:val="00D66223"/>
    <w:rsid w:val="00D71877"/>
    <w:rsid w:val="00D724DA"/>
    <w:rsid w:val="00D73EA2"/>
    <w:rsid w:val="00D771F6"/>
    <w:rsid w:val="00D8084C"/>
    <w:rsid w:val="00D834AE"/>
    <w:rsid w:val="00D83CE7"/>
    <w:rsid w:val="00D86A4E"/>
    <w:rsid w:val="00D92055"/>
    <w:rsid w:val="00D9688E"/>
    <w:rsid w:val="00D969B7"/>
    <w:rsid w:val="00D976F7"/>
    <w:rsid w:val="00DA2E0F"/>
    <w:rsid w:val="00DA40D8"/>
    <w:rsid w:val="00DA7C0C"/>
    <w:rsid w:val="00DB16C8"/>
    <w:rsid w:val="00DB22D1"/>
    <w:rsid w:val="00DB2EC8"/>
    <w:rsid w:val="00DB704C"/>
    <w:rsid w:val="00DC000D"/>
    <w:rsid w:val="00DC022B"/>
    <w:rsid w:val="00DC05DD"/>
    <w:rsid w:val="00DC3A0E"/>
    <w:rsid w:val="00DC5B3B"/>
    <w:rsid w:val="00DC6E5A"/>
    <w:rsid w:val="00DD11ED"/>
    <w:rsid w:val="00DD129F"/>
    <w:rsid w:val="00DD488F"/>
    <w:rsid w:val="00DD6BF7"/>
    <w:rsid w:val="00DE4E5C"/>
    <w:rsid w:val="00DF3E4D"/>
    <w:rsid w:val="00DF42FF"/>
    <w:rsid w:val="00DF58C0"/>
    <w:rsid w:val="00E00351"/>
    <w:rsid w:val="00E00A33"/>
    <w:rsid w:val="00E01C0E"/>
    <w:rsid w:val="00E03F9A"/>
    <w:rsid w:val="00E04694"/>
    <w:rsid w:val="00E04D7F"/>
    <w:rsid w:val="00E06123"/>
    <w:rsid w:val="00E11205"/>
    <w:rsid w:val="00E12B1E"/>
    <w:rsid w:val="00E12B86"/>
    <w:rsid w:val="00E15A9E"/>
    <w:rsid w:val="00E16A91"/>
    <w:rsid w:val="00E17262"/>
    <w:rsid w:val="00E17962"/>
    <w:rsid w:val="00E17F0C"/>
    <w:rsid w:val="00E20872"/>
    <w:rsid w:val="00E21EC7"/>
    <w:rsid w:val="00E253A2"/>
    <w:rsid w:val="00E3309D"/>
    <w:rsid w:val="00E332A1"/>
    <w:rsid w:val="00E336D8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402C"/>
    <w:rsid w:val="00E64504"/>
    <w:rsid w:val="00E6519D"/>
    <w:rsid w:val="00E661F7"/>
    <w:rsid w:val="00E67696"/>
    <w:rsid w:val="00E71A58"/>
    <w:rsid w:val="00E72A7A"/>
    <w:rsid w:val="00E73FC4"/>
    <w:rsid w:val="00E74D2B"/>
    <w:rsid w:val="00E757DE"/>
    <w:rsid w:val="00E75C94"/>
    <w:rsid w:val="00E76931"/>
    <w:rsid w:val="00E80347"/>
    <w:rsid w:val="00E81FCE"/>
    <w:rsid w:val="00E838EA"/>
    <w:rsid w:val="00E865AD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B4511"/>
    <w:rsid w:val="00EC03D7"/>
    <w:rsid w:val="00EC36B3"/>
    <w:rsid w:val="00EC6BC9"/>
    <w:rsid w:val="00ED2A87"/>
    <w:rsid w:val="00ED3B8D"/>
    <w:rsid w:val="00ED62C6"/>
    <w:rsid w:val="00ED64C1"/>
    <w:rsid w:val="00EE31C4"/>
    <w:rsid w:val="00EE3446"/>
    <w:rsid w:val="00EE3E78"/>
    <w:rsid w:val="00EE4B1B"/>
    <w:rsid w:val="00EE656A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4811"/>
    <w:rsid w:val="00F0488C"/>
    <w:rsid w:val="00F04AD5"/>
    <w:rsid w:val="00F04E3A"/>
    <w:rsid w:val="00F05332"/>
    <w:rsid w:val="00F05F5E"/>
    <w:rsid w:val="00F10620"/>
    <w:rsid w:val="00F10F11"/>
    <w:rsid w:val="00F1444D"/>
    <w:rsid w:val="00F14E8C"/>
    <w:rsid w:val="00F15AAA"/>
    <w:rsid w:val="00F15BEF"/>
    <w:rsid w:val="00F164BE"/>
    <w:rsid w:val="00F17974"/>
    <w:rsid w:val="00F24407"/>
    <w:rsid w:val="00F24FAA"/>
    <w:rsid w:val="00F26541"/>
    <w:rsid w:val="00F27411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525EB"/>
    <w:rsid w:val="00F54375"/>
    <w:rsid w:val="00F6043F"/>
    <w:rsid w:val="00F62215"/>
    <w:rsid w:val="00F62A5E"/>
    <w:rsid w:val="00F62CED"/>
    <w:rsid w:val="00F63DDE"/>
    <w:rsid w:val="00F63FB7"/>
    <w:rsid w:val="00F649D2"/>
    <w:rsid w:val="00F6563E"/>
    <w:rsid w:val="00F6602B"/>
    <w:rsid w:val="00F70816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6911"/>
    <w:rsid w:val="00FA08E5"/>
    <w:rsid w:val="00FA2558"/>
    <w:rsid w:val="00FA2684"/>
    <w:rsid w:val="00FA3CE7"/>
    <w:rsid w:val="00FA5CA6"/>
    <w:rsid w:val="00FA5D4D"/>
    <w:rsid w:val="00FA777B"/>
    <w:rsid w:val="00FB0EE2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6DE"/>
    <w:rsid w:val="00FC684B"/>
    <w:rsid w:val="00FD20A6"/>
    <w:rsid w:val="00FD3265"/>
    <w:rsid w:val="00FD3E18"/>
    <w:rsid w:val="00FD528A"/>
    <w:rsid w:val="00FD62B2"/>
    <w:rsid w:val="00FD779A"/>
    <w:rsid w:val="00FD7986"/>
    <w:rsid w:val="00FE2F78"/>
    <w:rsid w:val="00FE45EF"/>
    <w:rsid w:val="00FF1A0F"/>
    <w:rsid w:val="00FF4791"/>
    <w:rsid w:val="00FF4D2C"/>
    <w:rsid w:val="00FF718E"/>
    <w:rsid w:val="00FF783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umrtnostni_tabulk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vyvoj-obyvatelstva-ceske-republiky-2013-ajtghnb5q2" TargetMode="External"/><Relationship Id="rId1" Type="http://schemas.openxmlformats.org/officeDocument/2006/relationships/hyperlink" Target="https://www.czso.cz/csu/czso/cri/vyvoj-obyvatelstva-ceske-republiky-v-roce-2011-d1xwfwoa1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EA49-B555-4D33-B885-9AE28D0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245</TotalTime>
  <Pages>2</Pages>
  <Words>733</Words>
  <Characters>4325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62</cp:revision>
  <cp:lastPrinted>2014-07-17T14:07:00Z</cp:lastPrinted>
  <dcterms:created xsi:type="dcterms:W3CDTF">2017-11-28T09:52:00Z</dcterms:created>
  <dcterms:modified xsi:type="dcterms:W3CDTF">2017-11-29T10:19:00Z</dcterms:modified>
</cp:coreProperties>
</file>