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09D" w:rsidRPr="000568E8" w:rsidRDefault="00F2609D" w:rsidP="00B35CF2">
      <w:pPr>
        <w:spacing w:after="240"/>
        <w:rPr>
          <w:rFonts w:ascii="Arial" w:hAnsi="Arial" w:cs="Arial"/>
          <w:b/>
          <w:sz w:val="24"/>
          <w:szCs w:val="24"/>
        </w:rPr>
      </w:pPr>
      <w:r w:rsidRPr="000568E8">
        <w:rPr>
          <w:rFonts w:ascii="Arial" w:hAnsi="Arial" w:cs="Arial"/>
          <w:b/>
          <w:sz w:val="24"/>
          <w:szCs w:val="24"/>
        </w:rPr>
        <w:t xml:space="preserve">Zahraniční obchod České republiky </w:t>
      </w:r>
      <w:r w:rsidR="00A42047" w:rsidRPr="000568E8">
        <w:rPr>
          <w:rFonts w:ascii="Arial" w:hAnsi="Arial" w:cs="Arial"/>
          <w:b/>
          <w:sz w:val="24"/>
          <w:szCs w:val="24"/>
        </w:rPr>
        <w:t>se zbožím</w:t>
      </w:r>
      <w:r w:rsidR="00246346" w:rsidRPr="000568E8">
        <w:rPr>
          <w:rStyle w:val="Znakapoznpodarou"/>
          <w:rFonts w:ascii="Arial" w:hAnsi="Arial" w:cs="Arial"/>
          <w:b/>
          <w:sz w:val="24"/>
          <w:szCs w:val="24"/>
        </w:rPr>
        <w:footnoteReference w:id="1"/>
      </w:r>
      <w:r w:rsidRPr="000568E8">
        <w:rPr>
          <w:rFonts w:ascii="Arial" w:hAnsi="Arial" w:cs="Arial"/>
          <w:b/>
          <w:sz w:val="24"/>
          <w:szCs w:val="24"/>
        </w:rPr>
        <w:t xml:space="preserve"> v roce 201</w:t>
      </w:r>
      <w:r w:rsidR="00A42047" w:rsidRPr="000568E8">
        <w:rPr>
          <w:rFonts w:ascii="Arial" w:hAnsi="Arial" w:cs="Arial"/>
          <w:b/>
          <w:sz w:val="24"/>
          <w:szCs w:val="24"/>
        </w:rPr>
        <w:t>6</w:t>
      </w:r>
    </w:p>
    <w:p w:rsidR="00F2609D" w:rsidRPr="00311FBA" w:rsidRDefault="00353F09" w:rsidP="00B35CF2">
      <w:pPr>
        <w:numPr>
          <w:ilvl w:val="0"/>
          <w:numId w:val="1"/>
        </w:numPr>
        <w:spacing w:after="120"/>
        <w:ind w:left="284" w:hanging="284"/>
        <w:rPr>
          <w:rFonts w:ascii="Arial" w:hAnsi="Arial" w:cs="Arial"/>
          <w:b/>
        </w:rPr>
      </w:pPr>
      <w:r w:rsidRPr="000568E8">
        <w:rPr>
          <w:rFonts w:ascii="Arial" w:hAnsi="Arial" w:cs="Arial"/>
          <w:b/>
        </w:rPr>
        <w:t>V</w:t>
      </w:r>
      <w:r w:rsidR="00F2609D" w:rsidRPr="000568E8">
        <w:rPr>
          <w:rFonts w:ascii="Arial" w:hAnsi="Arial" w:cs="Arial"/>
          <w:b/>
        </w:rPr>
        <w:t xml:space="preserve">ývoj zahraničního obchodu </w:t>
      </w:r>
    </w:p>
    <w:p w:rsidR="00A42047" w:rsidRPr="000568E8" w:rsidRDefault="00A42047" w:rsidP="003448F8">
      <w:pPr>
        <w:spacing w:after="160"/>
        <w:jc w:val="both"/>
        <w:rPr>
          <w:rFonts w:ascii="Arial" w:hAnsi="Arial" w:cs="Arial"/>
          <w:sz w:val="18"/>
          <w:szCs w:val="18"/>
        </w:rPr>
      </w:pPr>
      <w:r w:rsidRPr="00311FBA">
        <w:rPr>
          <w:rFonts w:ascii="Arial" w:hAnsi="Arial" w:cs="Arial"/>
          <w:sz w:val="18"/>
          <w:szCs w:val="18"/>
        </w:rPr>
        <w:t>Zahraniční obchod České republiky se zbožím pokračoval v roce 2016</w:t>
      </w:r>
      <w:r w:rsidR="002D1D26" w:rsidRPr="00311FBA">
        <w:rPr>
          <w:rStyle w:val="Znakapoznpodarou"/>
          <w:rFonts w:ascii="Arial" w:hAnsi="Arial" w:cs="Arial"/>
          <w:sz w:val="18"/>
          <w:szCs w:val="18"/>
        </w:rPr>
        <w:footnoteReference w:id="2"/>
      </w:r>
      <w:r w:rsidRPr="00311FBA">
        <w:rPr>
          <w:rFonts w:ascii="Arial" w:hAnsi="Arial" w:cs="Arial"/>
          <w:sz w:val="18"/>
          <w:szCs w:val="18"/>
        </w:rPr>
        <w:t xml:space="preserve"> v</w:t>
      </w:r>
      <w:r w:rsidR="00A00BB8">
        <w:rPr>
          <w:rFonts w:ascii="Arial" w:hAnsi="Arial" w:cs="Arial"/>
          <w:sz w:val="18"/>
          <w:szCs w:val="18"/>
        </w:rPr>
        <w:t> </w:t>
      </w:r>
      <w:r w:rsidRPr="000568E8">
        <w:rPr>
          <w:rFonts w:ascii="Arial" w:hAnsi="Arial" w:cs="Arial"/>
          <w:sz w:val="18"/>
          <w:szCs w:val="18"/>
        </w:rPr>
        <w:t>růstu</w:t>
      </w:r>
      <w:r w:rsidR="00A00BB8">
        <w:rPr>
          <w:rFonts w:ascii="Arial" w:hAnsi="Arial" w:cs="Arial"/>
          <w:sz w:val="18"/>
          <w:szCs w:val="18"/>
        </w:rPr>
        <w:t>,</w:t>
      </w:r>
      <w:r w:rsidR="0025561E">
        <w:rPr>
          <w:rFonts w:ascii="Arial" w:hAnsi="Arial" w:cs="Arial"/>
          <w:sz w:val="18"/>
          <w:szCs w:val="18"/>
        </w:rPr>
        <w:t xml:space="preserve"> a to především díky vývozu, neboť dovoz zůstal téměř na stejné úrovni</w:t>
      </w:r>
      <w:r w:rsidR="00A00BB8">
        <w:rPr>
          <w:rFonts w:ascii="Arial" w:hAnsi="Arial" w:cs="Arial"/>
          <w:sz w:val="18"/>
          <w:szCs w:val="18"/>
        </w:rPr>
        <w:t xml:space="preserve"> předchozího roku</w:t>
      </w:r>
      <w:r w:rsidR="0025561E">
        <w:rPr>
          <w:rFonts w:ascii="Arial" w:hAnsi="Arial" w:cs="Arial"/>
          <w:sz w:val="18"/>
          <w:szCs w:val="18"/>
        </w:rPr>
        <w:t>.</w:t>
      </w:r>
      <w:r w:rsidRPr="000568E8">
        <w:rPr>
          <w:rFonts w:ascii="Arial" w:hAnsi="Arial" w:cs="Arial"/>
          <w:sz w:val="18"/>
          <w:szCs w:val="18"/>
        </w:rPr>
        <w:t xml:space="preserve"> </w:t>
      </w:r>
      <w:r w:rsidRPr="000568E8">
        <w:rPr>
          <w:rFonts w:ascii="Arial" w:hAnsi="Arial" w:cs="Arial"/>
          <w:b/>
          <w:sz w:val="18"/>
          <w:szCs w:val="18"/>
        </w:rPr>
        <w:t>Obrat zahraničního obchodu</w:t>
      </w:r>
      <w:r w:rsidR="003448F8">
        <w:rPr>
          <w:rStyle w:val="Znakapoznpodarou"/>
          <w:rFonts w:ascii="Arial" w:hAnsi="Arial" w:cs="Arial"/>
          <w:b/>
          <w:sz w:val="18"/>
          <w:szCs w:val="18"/>
        </w:rPr>
        <w:footnoteReference w:id="3"/>
      </w:r>
      <w:r w:rsidRPr="000568E8">
        <w:rPr>
          <w:rFonts w:ascii="Arial" w:hAnsi="Arial" w:cs="Arial"/>
          <w:sz w:val="18"/>
          <w:szCs w:val="18"/>
        </w:rPr>
        <w:t xml:space="preserve"> se zvýšil o 1,</w:t>
      </w:r>
      <w:r w:rsidR="00D441B8">
        <w:rPr>
          <w:rFonts w:ascii="Arial" w:hAnsi="Arial" w:cs="Arial"/>
          <w:sz w:val="18"/>
          <w:szCs w:val="18"/>
        </w:rPr>
        <w:t>5</w:t>
      </w:r>
      <w:r w:rsidRPr="000568E8">
        <w:rPr>
          <w:rFonts w:ascii="Arial" w:hAnsi="Arial" w:cs="Arial"/>
          <w:sz w:val="18"/>
          <w:szCs w:val="18"/>
        </w:rPr>
        <w:t xml:space="preserve"> %</w:t>
      </w:r>
      <w:r w:rsidR="002D1D26" w:rsidRPr="000568E8">
        <w:rPr>
          <w:rFonts w:ascii="Arial" w:hAnsi="Arial" w:cs="Arial"/>
          <w:sz w:val="18"/>
          <w:szCs w:val="18"/>
        </w:rPr>
        <w:t>, přičemž</w:t>
      </w:r>
      <w:r w:rsidRPr="000568E8">
        <w:rPr>
          <w:rFonts w:ascii="Arial" w:hAnsi="Arial" w:cs="Arial"/>
          <w:sz w:val="18"/>
          <w:szCs w:val="18"/>
        </w:rPr>
        <w:t xml:space="preserve"> absolutní přírůstek </w:t>
      </w:r>
      <w:r w:rsidR="00D441B8">
        <w:rPr>
          <w:rFonts w:ascii="Arial" w:hAnsi="Arial" w:cs="Arial"/>
          <w:sz w:val="18"/>
          <w:szCs w:val="18"/>
        </w:rPr>
        <w:t>108,5</w:t>
      </w:r>
      <w:r w:rsidRPr="000568E8">
        <w:rPr>
          <w:rFonts w:ascii="Arial" w:hAnsi="Arial" w:cs="Arial"/>
          <w:sz w:val="18"/>
          <w:szCs w:val="18"/>
        </w:rPr>
        <w:t xml:space="preserve"> mld. Kč byl ve srovnání s rokem 2015 o 42</w:t>
      </w:r>
      <w:r w:rsidR="00D441B8">
        <w:rPr>
          <w:rFonts w:ascii="Arial" w:hAnsi="Arial" w:cs="Arial"/>
          <w:sz w:val="18"/>
          <w:szCs w:val="18"/>
        </w:rPr>
        <w:t>3</w:t>
      </w:r>
      <w:r w:rsidRPr="000568E8">
        <w:rPr>
          <w:rFonts w:ascii="Arial" w:hAnsi="Arial" w:cs="Arial"/>
          <w:sz w:val="18"/>
          <w:szCs w:val="18"/>
        </w:rPr>
        <w:t>,</w:t>
      </w:r>
      <w:r w:rsidR="00D441B8">
        <w:rPr>
          <w:rFonts w:ascii="Arial" w:hAnsi="Arial" w:cs="Arial"/>
          <w:sz w:val="18"/>
          <w:szCs w:val="18"/>
        </w:rPr>
        <w:t>3</w:t>
      </w:r>
      <w:r w:rsidRPr="000568E8">
        <w:rPr>
          <w:rFonts w:ascii="Arial" w:hAnsi="Arial" w:cs="Arial"/>
          <w:sz w:val="18"/>
          <w:szCs w:val="18"/>
        </w:rPr>
        <w:t xml:space="preserve"> mld. Kč nižší. Hodnota </w:t>
      </w:r>
      <w:r w:rsidR="003448F8">
        <w:rPr>
          <w:rFonts w:ascii="Arial" w:hAnsi="Arial" w:cs="Arial"/>
          <w:sz w:val="18"/>
          <w:szCs w:val="18"/>
        </w:rPr>
        <w:t xml:space="preserve">obratu </w:t>
      </w:r>
      <w:r w:rsidRPr="000568E8">
        <w:rPr>
          <w:rFonts w:ascii="Arial" w:hAnsi="Arial" w:cs="Arial"/>
          <w:sz w:val="18"/>
          <w:szCs w:val="18"/>
        </w:rPr>
        <w:t xml:space="preserve">zahraničního obchodu podle pohybu zboží </w:t>
      </w:r>
      <w:r w:rsidR="00311FBA">
        <w:rPr>
          <w:rFonts w:ascii="Arial" w:hAnsi="Arial" w:cs="Arial"/>
          <w:sz w:val="18"/>
          <w:szCs w:val="18"/>
        </w:rPr>
        <w:t xml:space="preserve">se rovnala </w:t>
      </w:r>
      <w:r w:rsidRPr="000568E8">
        <w:rPr>
          <w:rFonts w:ascii="Arial" w:hAnsi="Arial" w:cs="Arial"/>
          <w:sz w:val="18"/>
          <w:szCs w:val="18"/>
        </w:rPr>
        <w:t>7 46</w:t>
      </w:r>
      <w:r w:rsidR="00A00BB8">
        <w:rPr>
          <w:rFonts w:ascii="Arial" w:hAnsi="Arial" w:cs="Arial"/>
          <w:sz w:val="18"/>
          <w:szCs w:val="18"/>
        </w:rPr>
        <w:t>8</w:t>
      </w:r>
      <w:r w:rsidRPr="000568E8">
        <w:rPr>
          <w:rFonts w:ascii="Arial" w:hAnsi="Arial" w:cs="Arial"/>
          <w:sz w:val="18"/>
          <w:szCs w:val="18"/>
        </w:rPr>
        <w:t>,</w:t>
      </w:r>
      <w:r w:rsidR="00A00BB8">
        <w:rPr>
          <w:rFonts w:ascii="Arial" w:hAnsi="Arial" w:cs="Arial"/>
          <w:sz w:val="18"/>
          <w:szCs w:val="18"/>
        </w:rPr>
        <w:t>7</w:t>
      </w:r>
      <w:r w:rsidRPr="000568E8">
        <w:rPr>
          <w:rFonts w:ascii="Arial" w:hAnsi="Arial" w:cs="Arial"/>
          <w:sz w:val="18"/>
          <w:szCs w:val="18"/>
        </w:rPr>
        <w:t xml:space="preserve"> mld. Kč.</w:t>
      </w:r>
    </w:p>
    <w:p w:rsidR="004C07BE" w:rsidRPr="000568E8" w:rsidRDefault="00F2609D" w:rsidP="00ED48FA">
      <w:pPr>
        <w:spacing w:after="80"/>
        <w:rPr>
          <w:rFonts w:ascii="Arial" w:hAnsi="Arial" w:cs="Arial"/>
          <w:b/>
          <w:sz w:val="18"/>
          <w:szCs w:val="18"/>
        </w:rPr>
      </w:pPr>
      <w:r w:rsidRPr="000568E8">
        <w:rPr>
          <w:rFonts w:ascii="Arial" w:hAnsi="Arial" w:cs="Arial"/>
          <w:b/>
          <w:sz w:val="18"/>
          <w:szCs w:val="18"/>
        </w:rPr>
        <w:t xml:space="preserve">Graf 1 </w:t>
      </w:r>
      <w:r w:rsidR="005654EF" w:rsidRPr="000568E8">
        <w:rPr>
          <w:rFonts w:ascii="Arial" w:hAnsi="Arial" w:cs="Arial"/>
          <w:b/>
          <w:sz w:val="18"/>
          <w:szCs w:val="18"/>
        </w:rPr>
        <w:t>-</w:t>
      </w:r>
      <w:r w:rsidRPr="000568E8">
        <w:rPr>
          <w:rFonts w:ascii="Arial" w:hAnsi="Arial" w:cs="Arial"/>
          <w:b/>
          <w:sz w:val="18"/>
          <w:szCs w:val="18"/>
        </w:rPr>
        <w:t xml:space="preserve"> </w:t>
      </w:r>
      <w:r w:rsidR="005654EF" w:rsidRPr="000568E8">
        <w:rPr>
          <w:rFonts w:ascii="Arial" w:hAnsi="Arial" w:cs="Arial"/>
          <w:b/>
          <w:sz w:val="18"/>
          <w:szCs w:val="18"/>
        </w:rPr>
        <w:t>Meziroční změny obratu zahraničního obchodu</w:t>
      </w:r>
      <w:r w:rsidRPr="000568E8">
        <w:rPr>
          <w:rFonts w:ascii="Arial" w:hAnsi="Arial" w:cs="Arial"/>
          <w:b/>
          <w:sz w:val="18"/>
          <w:szCs w:val="18"/>
        </w:rPr>
        <w:t xml:space="preserve"> </w:t>
      </w:r>
    </w:p>
    <w:p w:rsidR="005654EF" w:rsidRPr="000568E8" w:rsidRDefault="005E2C18" w:rsidP="00DB1D98">
      <w:pPr>
        <w:spacing w:after="0"/>
        <w:rPr>
          <w:rFonts w:ascii="Arial" w:hAnsi="Arial" w:cs="Arial"/>
          <w:b/>
          <w:color w:val="FF0000"/>
          <w:sz w:val="18"/>
          <w:szCs w:val="18"/>
        </w:rPr>
      </w:pPr>
      <w:r>
        <w:rPr>
          <w:rFonts w:ascii="Arial" w:hAnsi="Arial" w:cs="Arial"/>
          <w:b/>
          <w:color w:val="FF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149.25pt">
            <v:imagedata r:id="rId9" o:title=""/>
          </v:shape>
        </w:pict>
      </w:r>
    </w:p>
    <w:p w:rsidR="00765D26" w:rsidRPr="000568E8" w:rsidRDefault="00765D26" w:rsidP="00765D26">
      <w:pPr>
        <w:spacing w:after="0"/>
        <w:jc w:val="both"/>
        <w:rPr>
          <w:rFonts w:ascii="Arial" w:hAnsi="Arial" w:cs="Arial"/>
          <w:b/>
          <w:color w:val="FF0000"/>
          <w:sz w:val="6"/>
          <w:szCs w:val="6"/>
        </w:rPr>
      </w:pPr>
    </w:p>
    <w:p w:rsidR="00192431" w:rsidRPr="000568E8" w:rsidRDefault="007C366F" w:rsidP="003448F8">
      <w:pPr>
        <w:spacing w:before="120" w:after="160"/>
        <w:jc w:val="both"/>
        <w:rPr>
          <w:rFonts w:ascii="Arial" w:hAnsi="Arial" w:cs="Arial"/>
          <w:sz w:val="18"/>
          <w:szCs w:val="18"/>
        </w:rPr>
      </w:pPr>
      <w:r w:rsidRPr="000568E8">
        <w:rPr>
          <w:rFonts w:ascii="Arial" w:hAnsi="Arial" w:cs="Arial"/>
          <w:sz w:val="18"/>
          <w:szCs w:val="18"/>
        </w:rPr>
        <w:t xml:space="preserve">Celková hodnota </w:t>
      </w:r>
      <w:r w:rsidRPr="004354AC">
        <w:rPr>
          <w:rFonts w:ascii="Arial" w:hAnsi="Arial" w:cs="Arial"/>
          <w:b/>
          <w:sz w:val="18"/>
          <w:szCs w:val="18"/>
        </w:rPr>
        <w:t>vývozu</w:t>
      </w:r>
      <w:r w:rsidRPr="000568E8">
        <w:rPr>
          <w:rFonts w:ascii="Arial" w:hAnsi="Arial" w:cs="Arial"/>
          <w:sz w:val="18"/>
          <w:szCs w:val="18"/>
        </w:rPr>
        <w:t xml:space="preserve"> </w:t>
      </w:r>
      <w:r w:rsidR="00145C93">
        <w:rPr>
          <w:rFonts w:ascii="Arial" w:hAnsi="Arial" w:cs="Arial"/>
          <w:sz w:val="18"/>
          <w:szCs w:val="18"/>
        </w:rPr>
        <w:t xml:space="preserve">zboží z České republiky </w:t>
      </w:r>
      <w:r w:rsidRPr="000568E8">
        <w:rPr>
          <w:rFonts w:ascii="Arial" w:hAnsi="Arial" w:cs="Arial"/>
          <w:sz w:val="18"/>
          <w:szCs w:val="18"/>
        </w:rPr>
        <w:t xml:space="preserve">dosáhla v roce 2016 </w:t>
      </w:r>
      <w:r w:rsidR="00192431">
        <w:rPr>
          <w:rFonts w:ascii="Arial" w:hAnsi="Arial" w:cs="Arial"/>
          <w:sz w:val="18"/>
          <w:szCs w:val="18"/>
        </w:rPr>
        <w:t>výše</w:t>
      </w:r>
      <w:r w:rsidRPr="000568E8">
        <w:rPr>
          <w:rFonts w:ascii="Arial" w:hAnsi="Arial" w:cs="Arial"/>
          <w:sz w:val="18"/>
          <w:szCs w:val="18"/>
        </w:rPr>
        <w:t xml:space="preserve"> 3 97</w:t>
      </w:r>
      <w:r w:rsidR="00D441B8">
        <w:rPr>
          <w:rFonts w:ascii="Arial" w:hAnsi="Arial" w:cs="Arial"/>
          <w:sz w:val="18"/>
          <w:szCs w:val="18"/>
        </w:rPr>
        <w:t>4</w:t>
      </w:r>
      <w:r w:rsidRPr="000568E8">
        <w:rPr>
          <w:rFonts w:ascii="Arial" w:hAnsi="Arial" w:cs="Arial"/>
          <w:sz w:val="18"/>
          <w:szCs w:val="18"/>
        </w:rPr>
        <w:t>,</w:t>
      </w:r>
      <w:r w:rsidR="00D441B8">
        <w:rPr>
          <w:rFonts w:ascii="Arial" w:hAnsi="Arial" w:cs="Arial"/>
          <w:sz w:val="18"/>
          <w:szCs w:val="18"/>
        </w:rPr>
        <w:t>0</w:t>
      </w:r>
      <w:r w:rsidRPr="000568E8">
        <w:rPr>
          <w:rFonts w:ascii="Arial" w:hAnsi="Arial" w:cs="Arial"/>
          <w:sz w:val="18"/>
          <w:szCs w:val="18"/>
        </w:rPr>
        <w:t xml:space="preserve"> mld. Kč, kdy absolutní i relativní meziroční přírůstek </w:t>
      </w:r>
      <w:r w:rsidR="00B22F5E" w:rsidRPr="000568E8">
        <w:rPr>
          <w:rFonts w:ascii="Arial" w:hAnsi="Arial" w:cs="Arial"/>
          <w:sz w:val="18"/>
          <w:szCs w:val="18"/>
        </w:rPr>
        <w:t>se stal nejnižším za posledních sedm let</w:t>
      </w:r>
      <w:r w:rsidR="00FC178C">
        <w:rPr>
          <w:rFonts w:ascii="Arial" w:hAnsi="Arial" w:cs="Arial"/>
          <w:sz w:val="18"/>
          <w:szCs w:val="18"/>
        </w:rPr>
        <w:t>, přičemž p</w:t>
      </w:r>
      <w:r w:rsidR="004354AC">
        <w:rPr>
          <w:rFonts w:ascii="Arial" w:hAnsi="Arial" w:cs="Arial"/>
          <w:sz w:val="18"/>
          <w:szCs w:val="18"/>
        </w:rPr>
        <w:t>odobný vývoj v zahraničním obchodu nastal jen v roce 2013</w:t>
      </w:r>
      <w:r w:rsidR="00FC178C">
        <w:rPr>
          <w:rFonts w:ascii="Arial" w:hAnsi="Arial" w:cs="Arial"/>
          <w:sz w:val="18"/>
          <w:szCs w:val="18"/>
        </w:rPr>
        <w:t xml:space="preserve"> (růst o 3,3 %). </w:t>
      </w:r>
      <w:r w:rsidR="00192431">
        <w:rPr>
          <w:rFonts w:ascii="Arial" w:hAnsi="Arial" w:cs="Arial"/>
          <w:sz w:val="18"/>
          <w:szCs w:val="18"/>
        </w:rPr>
        <w:t xml:space="preserve">Výsledný meziroční růst vývozu o </w:t>
      </w:r>
      <w:r w:rsidR="00A00BB8">
        <w:rPr>
          <w:rFonts w:ascii="Arial" w:hAnsi="Arial" w:cs="Arial"/>
          <w:sz w:val="18"/>
          <w:szCs w:val="18"/>
        </w:rPr>
        <w:t>90,8</w:t>
      </w:r>
      <w:r w:rsidR="00A00BB8" w:rsidRPr="000568E8">
        <w:rPr>
          <w:rFonts w:ascii="Arial" w:hAnsi="Arial" w:cs="Arial"/>
          <w:sz w:val="18"/>
          <w:szCs w:val="18"/>
        </w:rPr>
        <w:t xml:space="preserve"> mld. Kč </w:t>
      </w:r>
      <w:r w:rsidR="00192431" w:rsidRPr="000568E8">
        <w:rPr>
          <w:rFonts w:ascii="Arial" w:hAnsi="Arial" w:cs="Arial"/>
          <w:sz w:val="18"/>
          <w:szCs w:val="18"/>
        </w:rPr>
        <w:t xml:space="preserve">(o </w:t>
      </w:r>
      <w:r w:rsidR="00A00BB8" w:rsidRPr="000568E8">
        <w:rPr>
          <w:rFonts w:ascii="Arial" w:hAnsi="Arial" w:cs="Arial"/>
          <w:sz w:val="18"/>
          <w:szCs w:val="18"/>
        </w:rPr>
        <w:t>2,</w:t>
      </w:r>
      <w:r w:rsidR="00A00BB8">
        <w:rPr>
          <w:rFonts w:ascii="Arial" w:hAnsi="Arial" w:cs="Arial"/>
          <w:sz w:val="18"/>
          <w:szCs w:val="18"/>
        </w:rPr>
        <w:t>3</w:t>
      </w:r>
      <w:r w:rsidR="00A00BB8" w:rsidRPr="000568E8">
        <w:rPr>
          <w:rFonts w:ascii="Arial" w:hAnsi="Arial" w:cs="Arial"/>
          <w:sz w:val="18"/>
          <w:szCs w:val="18"/>
        </w:rPr>
        <w:t xml:space="preserve"> %</w:t>
      </w:r>
      <w:r w:rsidR="00192431" w:rsidRPr="000568E8">
        <w:rPr>
          <w:rFonts w:ascii="Arial" w:hAnsi="Arial" w:cs="Arial"/>
          <w:sz w:val="18"/>
          <w:szCs w:val="18"/>
        </w:rPr>
        <w:t>)</w:t>
      </w:r>
      <w:r w:rsidR="00192431">
        <w:rPr>
          <w:rFonts w:ascii="Arial" w:hAnsi="Arial" w:cs="Arial"/>
          <w:sz w:val="18"/>
          <w:szCs w:val="18"/>
        </w:rPr>
        <w:t xml:space="preserve"> byl ve srovnání s rokem 2015 o 163,6</w:t>
      </w:r>
      <w:r w:rsidR="00192431" w:rsidRPr="000568E8">
        <w:rPr>
          <w:rFonts w:ascii="Arial" w:hAnsi="Arial" w:cs="Arial"/>
          <w:sz w:val="18"/>
          <w:szCs w:val="18"/>
        </w:rPr>
        <w:t xml:space="preserve"> mld. Kč nižší. </w:t>
      </w:r>
    </w:p>
    <w:p w:rsidR="002D1D26" w:rsidRPr="00FE08E0" w:rsidRDefault="002D1D26" w:rsidP="00702897">
      <w:pPr>
        <w:spacing w:before="120" w:after="80"/>
        <w:jc w:val="both"/>
        <w:rPr>
          <w:rFonts w:ascii="Arial" w:hAnsi="Arial" w:cs="Arial"/>
          <w:b/>
          <w:sz w:val="18"/>
          <w:szCs w:val="18"/>
        </w:rPr>
      </w:pPr>
      <w:r w:rsidRPr="00FE08E0">
        <w:rPr>
          <w:rFonts w:ascii="Arial" w:hAnsi="Arial" w:cs="Arial"/>
          <w:b/>
          <w:sz w:val="18"/>
          <w:szCs w:val="18"/>
        </w:rPr>
        <w:t xml:space="preserve">Graf </w:t>
      </w:r>
      <w:r w:rsidR="00FA6C0C" w:rsidRPr="00FE08E0">
        <w:rPr>
          <w:rFonts w:ascii="Arial" w:hAnsi="Arial" w:cs="Arial"/>
          <w:b/>
          <w:sz w:val="18"/>
          <w:szCs w:val="18"/>
        </w:rPr>
        <w:t>2</w:t>
      </w:r>
      <w:r w:rsidRPr="00FE08E0">
        <w:rPr>
          <w:rFonts w:ascii="Arial" w:hAnsi="Arial" w:cs="Arial"/>
          <w:b/>
          <w:sz w:val="18"/>
          <w:szCs w:val="18"/>
        </w:rPr>
        <w:t xml:space="preserve"> - Meziroční změny vývozu a dovozu v % </w:t>
      </w:r>
    </w:p>
    <w:p w:rsidR="002D1D26" w:rsidRPr="00FE08E0" w:rsidRDefault="002D1D26" w:rsidP="002D1D26">
      <w:pPr>
        <w:spacing w:after="40"/>
        <w:jc w:val="both"/>
        <w:rPr>
          <w:rFonts w:ascii="Arial" w:hAnsi="Arial" w:cs="Arial"/>
          <w:sz w:val="18"/>
          <w:szCs w:val="18"/>
        </w:rPr>
      </w:pPr>
      <w:r w:rsidRPr="00FE08E0">
        <w:rPr>
          <w:rFonts w:ascii="Arial" w:hAnsi="Arial" w:cs="Arial"/>
          <w:sz w:val="18"/>
          <w:szCs w:val="18"/>
        </w:rPr>
        <w:tab/>
      </w:r>
      <w:r w:rsidRPr="00FE08E0">
        <w:rPr>
          <w:rFonts w:ascii="Arial" w:hAnsi="Arial" w:cs="Arial"/>
          <w:sz w:val="18"/>
          <w:szCs w:val="18"/>
        </w:rPr>
        <w:tab/>
      </w:r>
      <w:r w:rsidRPr="00FE08E0">
        <w:rPr>
          <w:rFonts w:ascii="Arial" w:hAnsi="Arial" w:cs="Arial"/>
          <w:sz w:val="18"/>
          <w:szCs w:val="18"/>
        </w:rPr>
        <w:tab/>
        <w:t xml:space="preserve"> vývoz</w:t>
      </w:r>
      <w:r w:rsidRPr="00FE08E0">
        <w:rPr>
          <w:rFonts w:ascii="Arial" w:hAnsi="Arial" w:cs="Arial"/>
          <w:sz w:val="18"/>
          <w:szCs w:val="18"/>
        </w:rPr>
        <w:tab/>
      </w:r>
      <w:r w:rsidRPr="00FE08E0">
        <w:rPr>
          <w:rFonts w:ascii="Arial" w:hAnsi="Arial" w:cs="Arial"/>
          <w:sz w:val="18"/>
          <w:szCs w:val="18"/>
        </w:rPr>
        <w:tab/>
      </w:r>
      <w:r w:rsidRPr="00FE08E0">
        <w:rPr>
          <w:rFonts w:ascii="Arial" w:hAnsi="Arial" w:cs="Arial"/>
          <w:sz w:val="18"/>
          <w:szCs w:val="18"/>
        </w:rPr>
        <w:tab/>
      </w:r>
      <w:r w:rsidRPr="00FE08E0">
        <w:rPr>
          <w:rFonts w:ascii="Arial" w:hAnsi="Arial" w:cs="Arial"/>
          <w:sz w:val="18"/>
          <w:szCs w:val="18"/>
        </w:rPr>
        <w:tab/>
      </w:r>
      <w:r w:rsidRPr="00FE08E0">
        <w:rPr>
          <w:rFonts w:ascii="Arial" w:hAnsi="Arial" w:cs="Arial"/>
          <w:sz w:val="18"/>
          <w:szCs w:val="18"/>
        </w:rPr>
        <w:tab/>
      </w:r>
      <w:r w:rsidRPr="00FE08E0">
        <w:rPr>
          <w:rFonts w:ascii="Arial" w:hAnsi="Arial" w:cs="Arial"/>
          <w:sz w:val="18"/>
          <w:szCs w:val="18"/>
        </w:rPr>
        <w:tab/>
      </w:r>
      <w:r w:rsidRPr="00FE08E0">
        <w:rPr>
          <w:rFonts w:ascii="Arial" w:hAnsi="Arial" w:cs="Arial"/>
          <w:sz w:val="18"/>
          <w:szCs w:val="18"/>
        </w:rPr>
        <w:tab/>
        <w:t>dovoz</w:t>
      </w:r>
    </w:p>
    <w:p w:rsidR="002D1D26" w:rsidRPr="000568E8" w:rsidRDefault="005E2C18" w:rsidP="002D1D26">
      <w:pPr>
        <w:spacing w:after="120"/>
        <w:rPr>
          <w:rFonts w:ascii="Arial" w:hAnsi="Arial" w:cs="Arial"/>
          <w:color w:val="FF0000"/>
        </w:rPr>
      </w:pPr>
      <w:r>
        <w:rPr>
          <w:rFonts w:ascii="Arial" w:hAnsi="Arial" w:cs="Arial"/>
          <w:noProof/>
          <w:lang w:eastAsia="cs-CZ"/>
        </w:rPr>
        <w:pict>
          <v:shape id="_x0000_i1026" type="#_x0000_t75" style="width:237.75pt;height:180.75pt">
            <v:imagedata r:id="rId10" o:title=""/>
          </v:shape>
        </w:pict>
      </w:r>
      <w:r w:rsidR="00FE08E0">
        <w:rPr>
          <w:rFonts w:ascii="Arial" w:hAnsi="Arial" w:cs="Arial"/>
          <w:noProof/>
          <w:color w:val="FF0000"/>
          <w:lang w:eastAsia="cs-CZ"/>
        </w:rPr>
        <w:t xml:space="preserve">  </w:t>
      </w:r>
      <w:r>
        <w:rPr>
          <w:rFonts w:ascii="Arial" w:hAnsi="Arial" w:cs="Arial"/>
          <w:noProof/>
          <w:color w:val="FF0000"/>
          <w:lang w:eastAsia="cs-CZ"/>
        </w:rPr>
        <w:pict>
          <v:shape id="_x0000_i1027" type="#_x0000_t75" style="width:237.75pt;height:180.75pt">
            <v:imagedata r:id="rId11" o:title=""/>
          </v:shape>
        </w:pict>
      </w:r>
    </w:p>
    <w:p w:rsidR="000A6F26" w:rsidRPr="000A6F26" w:rsidRDefault="002D1D26" w:rsidP="00022208">
      <w:pPr>
        <w:spacing w:before="200" w:after="120"/>
        <w:jc w:val="both"/>
        <w:rPr>
          <w:rFonts w:ascii="Arial" w:hAnsi="Arial" w:cs="Arial"/>
          <w:sz w:val="18"/>
          <w:szCs w:val="18"/>
        </w:rPr>
      </w:pPr>
      <w:r w:rsidRPr="00FB7BC6">
        <w:rPr>
          <w:rFonts w:ascii="Arial" w:hAnsi="Arial" w:cs="Arial"/>
          <w:sz w:val="18"/>
          <w:szCs w:val="18"/>
        </w:rPr>
        <w:t xml:space="preserve">Vývoz </w:t>
      </w:r>
      <w:r w:rsidR="00F56A8F">
        <w:rPr>
          <w:rFonts w:ascii="Arial" w:hAnsi="Arial" w:cs="Arial"/>
          <w:sz w:val="18"/>
          <w:szCs w:val="18"/>
        </w:rPr>
        <w:t xml:space="preserve">i dovoz </w:t>
      </w:r>
      <w:r w:rsidRPr="00FB7BC6">
        <w:rPr>
          <w:rFonts w:ascii="Arial" w:hAnsi="Arial" w:cs="Arial"/>
          <w:sz w:val="18"/>
          <w:szCs w:val="18"/>
        </w:rPr>
        <w:t>vyjádřený v eurech</w:t>
      </w:r>
      <w:r w:rsidR="000A6F26" w:rsidRPr="00FB7BC6">
        <w:rPr>
          <w:rStyle w:val="Znakapoznpodarou"/>
          <w:rFonts w:ascii="Arial" w:hAnsi="Arial" w:cs="Arial"/>
          <w:sz w:val="18"/>
          <w:szCs w:val="18"/>
        </w:rPr>
        <w:footnoteReference w:id="4"/>
      </w:r>
      <w:r w:rsidRPr="00FB7BC6">
        <w:rPr>
          <w:rFonts w:ascii="Arial" w:hAnsi="Arial" w:cs="Arial"/>
          <w:sz w:val="18"/>
          <w:szCs w:val="18"/>
        </w:rPr>
        <w:t xml:space="preserve"> zaznamenal v roce 201</w:t>
      </w:r>
      <w:r w:rsidR="00FB7BC6">
        <w:rPr>
          <w:rFonts w:ascii="Arial" w:hAnsi="Arial" w:cs="Arial"/>
          <w:sz w:val="18"/>
          <w:szCs w:val="18"/>
        </w:rPr>
        <w:t>6</w:t>
      </w:r>
      <w:r w:rsidR="001E37C4">
        <w:rPr>
          <w:rFonts w:ascii="Arial" w:hAnsi="Arial" w:cs="Arial"/>
          <w:sz w:val="18"/>
          <w:szCs w:val="18"/>
        </w:rPr>
        <w:t xml:space="preserve"> </w:t>
      </w:r>
      <w:r w:rsidRPr="00FB7BC6">
        <w:rPr>
          <w:rFonts w:ascii="Arial" w:hAnsi="Arial" w:cs="Arial"/>
          <w:sz w:val="18"/>
          <w:szCs w:val="18"/>
        </w:rPr>
        <w:t xml:space="preserve">meziroční </w:t>
      </w:r>
      <w:r w:rsidRPr="000A6F26">
        <w:rPr>
          <w:rFonts w:ascii="Arial" w:hAnsi="Arial" w:cs="Arial"/>
          <w:sz w:val="18"/>
          <w:szCs w:val="18"/>
        </w:rPr>
        <w:t>navýšení o </w:t>
      </w:r>
      <w:r w:rsidR="00F56A8F" w:rsidRPr="000A6F26">
        <w:rPr>
          <w:rFonts w:ascii="Arial" w:hAnsi="Arial" w:cs="Arial"/>
          <w:sz w:val="18"/>
          <w:szCs w:val="18"/>
        </w:rPr>
        <w:t>3,</w:t>
      </w:r>
      <w:r w:rsidR="000A6F26" w:rsidRPr="000A6F26">
        <w:rPr>
          <w:rFonts w:ascii="Arial" w:hAnsi="Arial" w:cs="Arial"/>
          <w:sz w:val="18"/>
          <w:szCs w:val="18"/>
        </w:rPr>
        <w:t>3</w:t>
      </w:r>
      <w:r w:rsidRPr="000A6F26">
        <w:rPr>
          <w:rFonts w:ascii="Arial" w:hAnsi="Arial" w:cs="Arial"/>
          <w:sz w:val="18"/>
          <w:szCs w:val="18"/>
        </w:rPr>
        <w:t xml:space="preserve"> % a </w:t>
      </w:r>
      <w:r w:rsidR="00F56A8F" w:rsidRPr="000A6F26">
        <w:rPr>
          <w:rFonts w:ascii="Arial" w:hAnsi="Arial" w:cs="Arial"/>
          <w:sz w:val="18"/>
          <w:szCs w:val="18"/>
        </w:rPr>
        <w:t>1,</w:t>
      </w:r>
      <w:r w:rsidR="000A6F26" w:rsidRPr="000A6F26">
        <w:rPr>
          <w:rFonts w:ascii="Arial" w:hAnsi="Arial" w:cs="Arial"/>
          <w:sz w:val="18"/>
          <w:szCs w:val="18"/>
        </w:rPr>
        <w:t>4</w:t>
      </w:r>
      <w:r w:rsidR="00F56A8F" w:rsidRPr="000A6F26">
        <w:rPr>
          <w:rFonts w:ascii="Arial" w:hAnsi="Arial" w:cs="Arial"/>
          <w:sz w:val="18"/>
          <w:szCs w:val="18"/>
        </w:rPr>
        <w:t xml:space="preserve"> %. </w:t>
      </w:r>
      <w:r w:rsidR="00215FA5">
        <w:rPr>
          <w:rFonts w:ascii="Arial" w:hAnsi="Arial" w:cs="Arial"/>
          <w:sz w:val="18"/>
          <w:szCs w:val="18"/>
        </w:rPr>
        <w:t>Podobně rostl vývoz a </w:t>
      </w:r>
      <w:r w:rsidR="000A6F26" w:rsidRPr="000A6F26">
        <w:rPr>
          <w:rFonts w:ascii="Arial" w:hAnsi="Arial" w:cs="Arial"/>
          <w:sz w:val="18"/>
          <w:szCs w:val="18"/>
        </w:rPr>
        <w:t>dovoz vyjádřený v USD o 3,1 % a o 1,2 %.</w:t>
      </w:r>
    </w:p>
    <w:p w:rsidR="00941430" w:rsidRPr="00FC178C" w:rsidRDefault="00941430" w:rsidP="008E7107">
      <w:pPr>
        <w:spacing w:after="0"/>
        <w:jc w:val="both"/>
        <w:rPr>
          <w:rFonts w:ascii="Arial" w:hAnsi="Arial" w:cs="Arial"/>
          <w:sz w:val="18"/>
          <w:szCs w:val="18"/>
        </w:rPr>
      </w:pPr>
      <w:r>
        <w:rPr>
          <w:rFonts w:ascii="Arial" w:hAnsi="Arial" w:cs="Arial"/>
          <w:b/>
          <w:sz w:val="18"/>
          <w:szCs w:val="18"/>
        </w:rPr>
        <w:t xml:space="preserve">Dovoz </w:t>
      </w:r>
      <w:r>
        <w:rPr>
          <w:rFonts w:ascii="Arial" w:hAnsi="Arial" w:cs="Arial"/>
          <w:sz w:val="18"/>
          <w:szCs w:val="18"/>
        </w:rPr>
        <w:t xml:space="preserve">v roce 2016 sice vzrostl na 3 494,7 mld. Kč z 3 477,0 Kč v roce 2015, avšak konečný meziroční přírůstek o 0,5 % byl stejně jako u vývozu nejnižší od roku 2010. </w:t>
      </w:r>
      <w:r w:rsidR="00A00BB8">
        <w:rPr>
          <w:rFonts w:ascii="Arial" w:hAnsi="Arial" w:cs="Arial"/>
          <w:sz w:val="18"/>
          <w:szCs w:val="18"/>
        </w:rPr>
        <w:t>Absolutní</w:t>
      </w:r>
      <w:r>
        <w:rPr>
          <w:rFonts w:ascii="Arial" w:hAnsi="Arial" w:cs="Arial"/>
          <w:sz w:val="18"/>
          <w:szCs w:val="18"/>
        </w:rPr>
        <w:t xml:space="preserve"> meziroční přírůstek o 17,7 mld. </w:t>
      </w:r>
      <w:r w:rsidR="00D945AD">
        <w:rPr>
          <w:rFonts w:ascii="Arial" w:hAnsi="Arial" w:cs="Arial"/>
          <w:sz w:val="18"/>
          <w:szCs w:val="18"/>
        </w:rPr>
        <w:t>Kč byl oproti roku 2015 o 259,7 </w:t>
      </w:r>
      <w:r>
        <w:rPr>
          <w:rFonts w:ascii="Arial" w:hAnsi="Arial" w:cs="Arial"/>
          <w:sz w:val="18"/>
          <w:szCs w:val="18"/>
        </w:rPr>
        <w:t>mld. Kč nižší.</w:t>
      </w:r>
    </w:p>
    <w:p w:rsidR="002D1D26" w:rsidRPr="00454DD8" w:rsidRDefault="002D1D26" w:rsidP="002D1D26">
      <w:pPr>
        <w:spacing w:before="120" w:after="80"/>
        <w:jc w:val="both"/>
        <w:rPr>
          <w:rFonts w:ascii="Arial" w:hAnsi="Arial" w:cs="Arial"/>
          <w:b/>
          <w:sz w:val="18"/>
          <w:szCs w:val="18"/>
        </w:rPr>
      </w:pPr>
      <w:r w:rsidRPr="00454DD8">
        <w:rPr>
          <w:rFonts w:ascii="Arial" w:hAnsi="Arial" w:cs="Arial"/>
          <w:b/>
          <w:sz w:val="18"/>
          <w:szCs w:val="18"/>
        </w:rPr>
        <w:lastRenderedPageBreak/>
        <w:t xml:space="preserve">Graf 3 - Meziroční změny vývozu a dovozu v % </w:t>
      </w:r>
    </w:p>
    <w:p w:rsidR="002D1D26" w:rsidRPr="000568E8" w:rsidRDefault="005E2C18" w:rsidP="002D1D26">
      <w:pPr>
        <w:spacing w:after="80"/>
        <w:jc w:val="both"/>
        <w:rPr>
          <w:rFonts w:ascii="Arial" w:hAnsi="Arial" w:cs="Arial"/>
          <w:b/>
          <w:color w:val="FF0000"/>
          <w:sz w:val="18"/>
          <w:szCs w:val="18"/>
        </w:rPr>
      </w:pPr>
      <w:r>
        <w:rPr>
          <w:rFonts w:ascii="Arial" w:hAnsi="Arial" w:cs="Arial"/>
          <w:b/>
          <w:noProof/>
          <w:color w:val="FF0000"/>
          <w:sz w:val="18"/>
          <w:szCs w:val="18"/>
          <w:lang w:eastAsia="cs-CZ"/>
        </w:rPr>
        <w:pict>
          <v:shape id="_x0000_i1028" type="#_x0000_t75" style="width:478.5pt;height:143.25pt">
            <v:imagedata r:id="rId12" o:title=""/>
          </v:shape>
        </w:pict>
      </w:r>
    </w:p>
    <w:p w:rsidR="00CD41EB" w:rsidRDefault="00CD41EB" w:rsidP="00454DD8">
      <w:pPr>
        <w:spacing w:before="240" w:after="240"/>
        <w:jc w:val="both"/>
        <w:rPr>
          <w:rFonts w:ascii="Arial" w:hAnsi="Arial" w:cs="Arial"/>
          <w:sz w:val="18"/>
          <w:szCs w:val="18"/>
        </w:rPr>
      </w:pPr>
      <w:r w:rsidRPr="004E4B3C">
        <w:rPr>
          <w:rFonts w:ascii="Arial" w:hAnsi="Arial" w:cs="Arial"/>
          <w:sz w:val="18"/>
          <w:szCs w:val="18"/>
        </w:rPr>
        <w:t xml:space="preserve">Z krátkodobějšího pohledu na vývoj zahraničního obchodu </w:t>
      </w:r>
      <w:r w:rsidRPr="004E4B3C">
        <w:rPr>
          <w:rFonts w:ascii="Arial" w:hAnsi="Arial" w:cs="Arial"/>
          <w:b/>
          <w:sz w:val="18"/>
          <w:szCs w:val="18"/>
        </w:rPr>
        <w:t>v jednotlivých měsících</w:t>
      </w:r>
      <w:r>
        <w:rPr>
          <w:rFonts w:ascii="Arial" w:hAnsi="Arial" w:cs="Arial"/>
          <w:sz w:val="18"/>
          <w:szCs w:val="18"/>
        </w:rPr>
        <w:t xml:space="preserve"> roku 2016 vyplývá, že nejvíce se vyváželo i dováželo zboží v listopadu (</w:t>
      </w:r>
      <w:r w:rsidRPr="004E4B3C">
        <w:rPr>
          <w:rFonts w:ascii="Arial" w:hAnsi="Arial" w:cs="Arial"/>
          <w:sz w:val="18"/>
          <w:szCs w:val="18"/>
        </w:rPr>
        <w:t>363,7 mld. Kč</w:t>
      </w:r>
      <w:r>
        <w:rPr>
          <w:rFonts w:ascii="Arial" w:hAnsi="Arial" w:cs="Arial"/>
          <w:sz w:val="18"/>
          <w:szCs w:val="18"/>
        </w:rPr>
        <w:t xml:space="preserve"> a </w:t>
      </w:r>
      <w:r w:rsidRPr="004E4B3C">
        <w:rPr>
          <w:rFonts w:ascii="Arial" w:hAnsi="Arial" w:cs="Arial"/>
          <w:sz w:val="18"/>
          <w:szCs w:val="18"/>
        </w:rPr>
        <w:t>327,1 mld. Kč</w:t>
      </w:r>
      <w:r>
        <w:rPr>
          <w:rFonts w:ascii="Arial" w:hAnsi="Arial" w:cs="Arial"/>
          <w:sz w:val="18"/>
          <w:szCs w:val="18"/>
        </w:rPr>
        <w:t xml:space="preserve">). </w:t>
      </w:r>
      <w:r w:rsidR="00427BB2">
        <w:rPr>
          <w:rFonts w:ascii="Arial" w:hAnsi="Arial" w:cs="Arial"/>
          <w:sz w:val="18"/>
          <w:szCs w:val="18"/>
        </w:rPr>
        <w:t>Vlivem čerpání celozávodních dovolených ve významných podnicích byly n</w:t>
      </w:r>
      <w:r>
        <w:rPr>
          <w:rFonts w:ascii="Arial" w:hAnsi="Arial" w:cs="Arial"/>
          <w:sz w:val="18"/>
          <w:szCs w:val="18"/>
        </w:rPr>
        <w:t>ejnižší hodnoty vývozu i dovozu dosaženy shodně v</w:t>
      </w:r>
      <w:r w:rsidR="00427BB2">
        <w:rPr>
          <w:rFonts w:ascii="Arial" w:hAnsi="Arial" w:cs="Arial"/>
          <w:sz w:val="18"/>
          <w:szCs w:val="18"/>
        </w:rPr>
        <w:t> </w:t>
      </w:r>
      <w:r>
        <w:rPr>
          <w:rFonts w:ascii="Arial" w:hAnsi="Arial" w:cs="Arial"/>
          <w:sz w:val="18"/>
          <w:szCs w:val="18"/>
        </w:rPr>
        <w:t>červenci</w:t>
      </w:r>
      <w:r w:rsidR="00427BB2">
        <w:rPr>
          <w:rFonts w:ascii="Arial" w:hAnsi="Arial" w:cs="Arial"/>
          <w:sz w:val="18"/>
          <w:szCs w:val="18"/>
        </w:rPr>
        <w:t xml:space="preserve"> </w:t>
      </w:r>
      <w:r w:rsidR="00427BB2" w:rsidRPr="004E4B3C">
        <w:rPr>
          <w:rFonts w:ascii="Arial" w:hAnsi="Arial" w:cs="Arial"/>
          <w:sz w:val="18"/>
          <w:szCs w:val="18"/>
        </w:rPr>
        <w:t>(</w:t>
      </w:r>
      <w:r w:rsidR="00427BB2">
        <w:rPr>
          <w:rFonts w:ascii="Arial" w:hAnsi="Arial" w:cs="Arial"/>
          <w:sz w:val="18"/>
          <w:szCs w:val="18"/>
        </w:rPr>
        <w:t>278,5</w:t>
      </w:r>
      <w:r w:rsidR="00427BB2" w:rsidRPr="004E4B3C">
        <w:rPr>
          <w:rFonts w:ascii="Arial" w:hAnsi="Arial" w:cs="Arial"/>
          <w:sz w:val="18"/>
          <w:szCs w:val="18"/>
        </w:rPr>
        <w:t xml:space="preserve"> mld. Kč</w:t>
      </w:r>
      <w:r w:rsidR="00427BB2">
        <w:rPr>
          <w:rFonts w:ascii="Arial" w:hAnsi="Arial" w:cs="Arial"/>
          <w:sz w:val="18"/>
          <w:szCs w:val="18"/>
        </w:rPr>
        <w:t xml:space="preserve"> a 253,7 mld. </w:t>
      </w:r>
      <w:r w:rsidR="00427BB2" w:rsidRPr="004E4B3C">
        <w:rPr>
          <w:rFonts w:ascii="Arial" w:hAnsi="Arial" w:cs="Arial"/>
          <w:sz w:val="18"/>
          <w:szCs w:val="18"/>
        </w:rPr>
        <w:t>Kč).</w:t>
      </w:r>
    </w:p>
    <w:p w:rsidR="002D1D26" w:rsidRPr="00124501" w:rsidRDefault="002D1D26" w:rsidP="002D1D26">
      <w:pPr>
        <w:spacing w:after="80"/>
        <w:jc w:val="both"/>
        <w:rPr>
          <w:rFonts w:ascii="Arial" w:hAnsi="Arial" w:cs="Arial"/>
          <w:b/>
          <w:sz w:val="18"/>
          <w:szCs w:val="18"/>
        </w:rPr>
      </w:pPr>
      <w:r w:rsidRPr="00124501">
        <w:rPr>
          <w:rFonts w:ascii="Arial" w:hAnsi="Arial" w:cs="Arial"/>
          <w:b/>
          <w:sz w:val="18"/>
          <w:szCs w:val="18"/>
        </w:rPr>
        <w:t xml:space="preserve">Graf </w:t>
      </w:r>
      <w:r w:rsidR="00FA6C0C" w:rsidRPr="00124501">
        <w:rPr>
          <w:rFonts w:ascii="Arial" w:hAnsi="Arial" w:cs="Arial"/>
          <w:b/>
          <w:sz w:val="18"/>
          <w:szCs w:val="18"/>
        </w:rPr>
        <w:t>4</w:t>
      </w:r>
      <w:r w:rsidRPr="00124501">
        <w:rPr>
          <w:rFonts w:ascii="Arial" w:hAnsi="Arial" w:cs="Arial"/>
          <w:b/>
          <w:sz w:val="18"/>
          <w:szCs w:val="18"/>
        </w:rPr>
        <w:t xml:space="preserve"> - Zahraniční obchod v jednotlivých měsících roku 201</w:t>
      </w:r>
      <w:r w:rsidR="00124501" w:rsidRPr="00124501">
        <w:rPr>
          <w:rFonts w:ascii="Arial" w:hAnsi="Arial" w:cs="Arial"/>
          <w:b/>
          <w:sz w:val="18"/>
          <w:szCs w:val="18"/>
        </w:rPr>
        <w:t>6</w:t>
      </w:r>
      <w:r w:rsidRPr="00124501">
        <w:rPr>
          <w:rFonts w:ascii="Arial" w:hAnsi="Arial" w:cs="Arial"/>
          <w:b/>
          <w:sz w:val="18"/>
          <w:szCs w:val="18"/>
        </w:rPr>
        <w:t xml:space="preserve"> (v mld. Kč)</w:t>
      </w:r>
    </w:p>
    <w:p w:rsidR="00124501" w:rsidRDefault="005E2C18" w:rsidP="00124501">
      <w:pPr>
        <w:spacing w:before="120" w:after="0"/>
        <w:jc w:val="both"/>
        <w:rPr>
          <w:rFonts w:ascii="Arial" w:hAnsi="Arial" w:cs="Arial"/>
          <w:b/>
          <w:noProof/>
          <w:color w:val="FF0000"/>
          <w:sz w:val="18"/>
          <w:szCs w:val="18"/>
          <w:lang w:eastAsia="cs-CZ"/>
        </w:rPr>
      </w:pPr>
      <w:r>
        <w:rPr>
          <w:rFonts w:ascii="Arial" w:hAnsi="Arial" w:cs="Arial"/>
          <w:b/>
          <w:noProof/>
          <w:color w:val="FF0000"/>
          <w:sz w:val="18"/>
          <w:szCs w:val="18"/>
          <w:lang w:eastAsia="cs-CZ"/>
        </w:rPr>
        <w:pict>
          <v:shape id="_x0000_i1029" type="#_x0000_t75" style="width:482.25pt;height:226.5pt">
            <v:imagedata r:id="rId13" o:title=""/>
          </v:shape>
        </w:pict>
      </w:r>
    </w:p>
    <w:p w:rsidR="004354AC" w:rsidRPr="000568E8" w:rsidRDefault="004354AC" w:rsidP="00AF084D">
      <w:pPr>
        <w:spacing w:before="240" w:after="240"/>
        <w:jc w:val="both"/>
        <w:rPr>
          <w:rFonts w:ascii="Arial" w:hAnsi="Arial" w:cs="Arial"/>
          <w:sz w:val="18"/>
          <w:szCs w:val="18"/>
        </w:rPr>
      </w:pPr>
      <w:r w:rsidRPr="000568E8">
        <w:rPr>
          <w:rFonts w:ascii="Arial" w:hAnsi="Arial" w:cs="Arial"/>
          <w:sz w:val="18"/>
          <w:szCs w:val="18"/>
        </w:rPr>
        <w:t xml:space="preserve">Celoroční vývoj vývozu by ovlivněn rozdílnou dynamikou v jednotlivých čtvrtletích roku 2016. Zatímco pro první dvě čtvrtletí byl charakteristický růst (+5,1 % a +5,7 %), </w:t>
      </w:r>
      <w:r w:rsidR="00105BD5">
        <w:rPr>
          <w:rFonts w:ascii="Arial" w:hAnsi="Arial" w:cs="Arial"/>
          <w:sz w:val="18"/>
          <w:szCs w:val="18"/>
        </w:rPr>
        <w:t>tak</w:t>
      </w:r>
      <w:r w:rsidRPr="000568E8">
        <w:rPr>
          <w:rFonts w:ascii="Arial" w:hAnsi="Arial" w:cs="Arial"/>
          <w:sz w:val="18"/>
          <w:szCs w:val="18"/>
        </w:rPr>
        <w:t xml:space="preserve"> v třetím i čtvrtém kvartálu nastal pokles vývozu (</w:t>
      </w:r>
      <w:r w:rsidR="00FC178C">
        <w:rPr>
          <w:rFonts w:ascii="Arial" w:hAnsi="Arial" w:cs="Arial"/>
          <w:sz w:val="18"/>
          <w:szCs w:val="18"/>
        </w:rPr>
        <w:t>-0,</w:t>
      </w:r>
      <w:r w:rsidR="00B74F49">
        <w:rPr>
          <w:rFonts w:ascii="Arial" w:hAnsi="Arial" w:cs="Arial"/>
          <w:sz w:val="18"/>
          <w:szCs w:val="18"/>
        </w:rPr>
        <w:t>8</w:t>
      </w:r>
      <w:r w:rsidR="00FC178C">
        <w:rPr>
          <w:rFonts w:ascii="Arial" w:hAnsi="Arial" w:cs="Arial"/>
          <w:sz w:val="18"/>
          <w:szCs w:val="18"/>
        </w:rPr>
        <w:t xml:space="preserve"> % a </w:t>
      </w:r>
      <w:r w:rsidR="00FC178C">
        <w:rPr>
          <w:rFonts w:ascii="Arial" w:hAnsi="Arial" w:cs="Arial"/>
          <w:sz w:val="18"/>
          <w:szCs w:val="18"/>
        </w:rPr>
        <w:noBreakHyphen/>
      </w:r>
      <w:r w:rsidRPr="000568E8">
        <w:rPr>
          <w:rFonts w:ascii="Arial" w:hAnsi="Arial" w:cs="Arial"/>
          <w:sz w:val="18"/>
          <w:szCs w:val="18"/>
        </w:rPr>
        <w:t>0,</w:t>
      </w:r>
      <w:r w:rsidR="00B74F49">
        <w:rPr>
          <w:rFonts w:ascii="Arial" w:hAnsi="Arial" w:cs="Arial"/>
          <w:sz w:val="18"/>
          <w:szCs w:val="18"/>
        </w:rPr>
        <w:t>5</w:t>
      </w:r>
      <w:r w:rsidRPr="000568E8">
        <w:rPr>
          <w:rFonts w:ascii="Arial" w:hAnsi="Arial" w:cs="Arial"/>
          <w:sz w:val="18"/>
          <w:szCs w:val="18"/>
        </w:rPr>
        <w:t>%).</w:t>
      </w:r>
      <w:r>
        <w:rPr>
          <w:rFonts w:ascii="Arial" w:hAnsi="Arial" w:cs="Arial"/>
          <w:sz w:val="18"/>
          <w:szCs w:val="18"/>
        </w:rPr>
        <w:t xml:space="preserve"> V dovoz</w:t>
      </w:r>
      <w:r w:rsidR="00FC178C">
        <w:rPr>
          <w:rFonts w:ascii="Arial" w:hAnsi="Arial" w:cs="Arial"/>
          <w:sz w:val="18"/>
          <w:szCs w:val="18"/>
        </w:rPr>
        <w:t>u</w:t>
      </w:r>
      <w:r>
        <w:rPr>
          <w:rFonts w:ascii="Arial" w:hAnsi="Arial" w:cs="Arial"/>
          <w:sz w:val="18"/>
          <w:szCs w:val="18"/>
        </w:rPr>
        <w:t xml:space="preserve"> byly tendence stejné, jen v prvních dvou čtvrtletích byl růst slabší (</w:t>
      </w:r>
      <w:r w:rsidR="00FC178C">
        <w:rPr>
          <w:rFonts w:ascii="Arial" w:hAnsi="Arial" w:cs="Arial"/>
          <w:sz w:val="18"/>
          <w:szCs w:val="18"/>
        </w:rPr>
        <w:t xml:space="preserve">+1,8 % a </w:t>
      </w:r>
      <w:r w:rsidR="00B74F49">
        <w:rPr>
          <w:rFonts w:ascii="Arial" w:hAnsi="Arial" w:cs="Arial"/>
          <w:sz w:val="18"/>
          <w:szCs w:val="18"/>
        </w:rPr>
        <w:t>+</w:t>
      </w:r>
      <w:r w:rsidR="00FC178C">
        <w:rPr>
          <w:rFonts w:ascii="Arial" w:hAnsi="Arial" w:cs="Arial"/>
          <w:sz w:val="18"/>
          <w:szCs w:val="18"/>
        </w:rPr>
        <w:t>2,7 %)</w:t>
      </w:r>
      <w:r>
        <w:rPr>
          <w:rFonts w:ascii="Arial" w:hAnsi="Arial" w:cs="Arial"/>
          <w:sz w:val="18"/>
          <w:szCs w:val="18"/>
        </w:rPr>
        <w:t xml:space="preserve"> </w:t>
      </w:r>
      <w:r w:rsidR="00311FBA">
        <w:rPr>
          <w:rFonts w:ascii="Arial" w:hAnsi="Arial" w:cs="Arial"/>
          <w:sz w:val="18"/>
          <w:szCs w:val="18"/>
        </w:rPr>
        <w:t xml:space="preserve">a </w:t>
      </w:r>
      <w:r>
        <w:rPr>
          <w:rFonts w:ascii="Arial" w:hAnsi="Arial" w:cs="Arial"/>
          <w:sz w:val="18"/>
          <w:szCs w:val="18"/>
        </w:rPr>
        <w:t>v druhé polovině roku pokles znatelnější (</w:t>
      </w:r>
      <w:r w:rsidR="00FC178C">
        <w:rPr>
          <w:rFonts w:ascii="Arial" w:hAnsi="Arial" w:cs="Arial"/>
          <w:sz w:val="18"/>
          <w:szCs w:val="18"/>
        </w:rPr>
        <w:t>-1,7 % a -0,7%)</w:t>
      </w:r>
      <w:r>
        <w:rPr>
          <w:rFonts w:ascii="Arial" w:hAnsi="Arial" w:cs="Arial"/>
          <w:sz w:val="18"/>
          <w:szCs w:val="18"/>
        </w:rPr>
        <w:t>.</w:t>
      </w:r>
    </w:p>
    <w:p w:rsidR="009E4E62" w:rsidRPr="00D945AD" w:rsidRDefault="009E4E62" w:rsidP="009E4E62">
      <w:pPr>
        <w:spacing w:before="120" w:after="80"/>
        <w:rPr>
          <w:rFonts w:ascii="Arial" w:hAnsi="Arial" w:cs="Arial"/>
          <w:b/>
          <w:sz w:val="18"/>
          <w:szCs w:val="18"/>
        </w:rPr>
      </w:pPr>
      <w:r w:rsidRPr="00D945AD">
        <w:rPr>
          <w:rFonts w:ascii="Arial" w:hAnsi="Arial" w:cs="Arial"/>
          <w:b/>
          <w:sz w:val="18"/>
          <w:szCs w:val="18"/>
        </w:rPr>
        <w:t xml:space="preserve">Graf </w:t>
      </w:r>
      <w:r w:rsidR="00F12CFB" w:rsidRPr="00D945AD">
        <w:rPr>
          <w:rFonts w:ascii="Arial" w:hAnsi="Arial" w:cs="Arial"/>
          <w:b/>
          <w:sz w:val="18"/>
          <w:szCs w:val="18"/>
        </w:rPr>
        <w:t>5</w:t>
      </w:r>
      <w:r w:rsidRPr="00D945AD">
        <w:rPr>
          <w:rFonts w:ascii="Arial" w:hAnsi="Arial" w:cs="Arial"/>
          <w:b/>
          <w:sz w:val="18"/>
          <w:szCs w:val="18"/>
        </w:rPr>
        <w:t xml:space="preserve"> </w:t>
      </w:r>
      <w:r w:rsidR="004D0CA0">
        <w:rPr>
          <w:rFonts w:ascii="Arial" w:hAnsi="Arial" w:cs="Arial"/>
          <w:b/>
          <w:sz w:val="18"/>
          <w:szCs w:val="18"/>
        </w:rPr>
        <w:t>-</w:t>
      </w:r>
      <w:r w:rsidRPr="00D945AD">
        <w:rPr>
          <w:rFonts w:ascii="Arial" w:hAnsi="Arial" w:cs="Arial"/>
          <w:b/>
          <w:sz w:val="18"/>
          <w:szCs w:val="18"/>
        </w:rPr>
        <w:t xml:space="preserve"> </w:t>
      </w:r>
      <w:r w:rsidR="004D0CA0">
        <w:rPr>
          <w:rFonts w:ascii="Arial" w:hAnsi="Arial" w:cs="Arial"/>
          <w:b/>
          <w:sz w:val="18"/>
          <w:szCs w:val="18"/>
        </w:rPr>
        <w:t>Vývoz a dovoz České republiky</w:t>
      </w:r>
      <w:r w:rsidR="00D945AD" w:rsidRPr="00D945AD">
        <w:rPr>
          <w:rFonts w:ascii="Arial" w:hAnsi="Arial" w:cs="Arial"/>
          <w:b/>
          <w:sz w:val="18"/>
          <w:szCs w:val="18"/>
        </w:rPr>
        <w:t xml:space="preserve"> </w:t>
      </w:r>
    </w:p>
    <w:p w:rsidR="00454DD8" w:rsidRDefault="00B77CB0" w:rsidP="00124501">
      <w:pPr>
        <w:spacing w:before="120" w:after="0"/>
        <w:rPr>
          <w:rFonts w:ascii="Arial" w:hAnsi="Arial" w:cs="Arial"/>
          <w:noProof/>
          <w:color w:val="FF0000"/>
          <w:lang w:eastAsia="cs-CZ"/>
        </w:rPr>
      </w:pPr>
      <w:r>
        <w:rPr>
          <w:rFonts w:ascii="Arial" w:hAnsi="Arial" w:cs="Arial"/>
          <w:noProof/>
          <w:color w:val="FF0000"/>
          <w:lang w:eastAsia="cs-CZ"/>
        </w:rPr>
        <w:pict>
          <v:shape id="_x0000_i1030" type="#_x0000_t75" style="width:477.75pt;height:2in">
            <v:imagedata r:id="rId14" o:title=""/>
          </v:shape>
        </w:pict>
      </w:r>
    </w:p>
    <w:p w:rsidR="000759EC" w:rsidRPr="00110587" w:rsidRDefault="000759EC" w:rsidP="000759EC">
      <w:pPr>
        <w:numPr>
          <w:ilvl w:val="0"/>
          <w:numId w:val="1"/>
        </w:numPr>
        <w:spacing w:after="120"/>
        <w:ind w:left="284" w:hanging="284"/>
        <w:rPr>
          <w:rFonts w:ascii="Arial" w:hAnsi="Arial" w:cs="Arial"/>
          <w:b/>
        </w:rPr>
      </w:pPr>
      <w:r w:rsidRPr="00110587">
        <w:rPr>
          <w:rFonts w:ascii="Arial" w:hAnsi="Arial" w:cs="Arial"/>
          <w:b/>
        </w:rPr>
        <w:lastRenderedPageBreak/>
        <w:t>Teritoriální struktura</w:t>
      </w:r>
    </w:p>
    <w:p w:rsidR="000759EC" w:rsidRPr="00110587" w:rsidRDefault="000759EC" w:rsidP="000759EC">
      <w:pPr>
        <w:numPr>
          <w:ilvl w:val="1"/>
          <w:numId w:val="1"/>
        </w:numPr>
        <w:spacing w:after="120"/>
        <w:ind w:left="426"/>
        <w:rPr>
          <w:rFonts w:ascii="Arial" w:hAnsi="Arial" w:cs="Arial"/>
          <w:b/>
          <w:sz w:val="21"/>
          <w:szCs w:val="21"/>
        </w:rPr>
      </w:pPr>
      <w:r w:rsidRPr="00110587">
        <w:rPr>
          <w:rFonts w:ascii="Arial" w:hAnsi="Arial" w:cs="Arial"/>
          <w:b/>
          <w:sz w:val="19"/>
          <w:szCs w:val="19"/>
        </w:rPr>
        <w:t xml:space="preserve"> </w:t>
      </w:r>
      <w:r w:rsidRPr="00110587">
        <w:rPr>
          <w:rFonts w:ascii="Arial" w:hAnsi="Arial" w:cs="Arial"/>
          <w:b/>
          <w:sz w:val="21"/>
          <w:szCs w:val="21"/>
        </w:rPr>
        <w:t>Zahraniční obchod České republiky se státy EU</w:t>
      </w:r>
      <w:r w:rsidRPr="00110587">
        <w:rPr>
          <w:rStyle w:val="Znakapoznpodarou"/>
          <w:rFonts w:ascii="Arial" w:hAnsi="Arial" w:cs="Arial"/>
          <w:sz w:val="21"/>
          <w:szCs w:val="21"/>
        </w:rPr>
        <w:footnoteReference w:id="5"/>
      </w:r>
      <w:r w:rsidRPr="00110587">
        <w:rPr>
          <w:rFonts w:ascii="Arial" w:hAnsi="Arial" w:cs="Arial"/>
          <w:b/>
          <w:sz w:val="21"/>
          <w:szCs w:val="21"/>
        </w:rPr>
        <w:t xml:space="preserve"> a mimo EU</w:t>
      </w:r>
    </w:p>
    <w:p w:rsidR="000759EC" w:rsidRPr="000568E8" w:rsidRDefault="000759EC" w:rsidP="00B51DA6">
      <w:pPr>
        <w:jc w:val="both"/>
        <w:rPr>
          <w:rFonts w:ascii="Arial" w:hAnsi="Arial" w:cs="Arial"/>
          <w:color w:val="FF0000"/>
          <w:sz w:val="18"/>
          <w:szCs w:val="18"/>
        </w:rPr>
      </w:pPr>
      <w:r w:rsidRPr="00C06206">
        <w:rPr>
          <w:rFonts w:ascii="Arial" w:hAnsi="Arial" w:cs="Arial"/>
          <w:sz w:val="18"/>
          <w:szCs w:val="18"/>
        </w:rPr>
        <w:t xml:space="preserve">Podíl zahraničního obchodu se státy EU na celkovém </w:t>
      </w:r>
      <w:r w:rsidRPr="00C06206">
        <w:rPr>
          <w:rFonts w:ascii="Arial" w:hAnsi="Arial" w:cs="Arial"/>
          <w:b/>
          <w:sz w:val="18"/>
          <w:szCs w:val="18"/>
        </w:rPr>
        <w:t>obratu</w:t>
      </w:r>
      <w:r w:rsidRPr="00C06206">
        <w:rPr>
          <w:rFonts w:ascii="Arial" w:hAnsi="Arial" w:cs="Arial"/>
          <w:sz w:val="18"/>
          <w:szCs w:val="18"/>
        </w:rPr>
        <w:t xml:space="preserve"> zahraničního obchodu České republiky v roce 201</w:t>
      </w:r>
      <w:r w:rsidR="00110587" w:rsidRPr="00C06206">
        <w:rPr>
          <w:rFonts w:ascii="Arial" w:hAnsi="Arial" w:cs="Arial"/>
          <w:sz w:val="18"/>
          <w:szCs w:val="18"/>
        </w:rPr>
        <w:t>6</w:t>
      </w:r>
      <w:r w:rsidRPr="00C06206">
        <w:rPr>
          <w:rFonts w:ascii="Arial" w:hAnsi="Arial" w:cs="Arial"/>
          <w:sz w:val="18"/>
          <w:szCs w:val="18"/>
        </w:rPr>
        <w:t xml:space="preserve"> dosáhl </w:t>
      </w:r>
      <w:r w:rsidR="00CB0375" w:rsidRPr="00C06206">
        <w:rPr>
          <w:rFonts w:ascii="Arial" w:hAnsi="Arial" w:cs="Arial"/>
          <w:sz w:val="18"/>
          <w:szCs w:val="18"/>
        </w:rPr>
        <w:t>7</w:t>
      </w:r>
      <w:r w:rsidR="00124501" w:rsidRPr="00C06206">
        <w:rPr>
          <w:rFonts w:ascii="Arial" w:hAnsi="Arial" w:cs="Arial"/>
          <w:sz w:val="18"/>
          <w:szCs w:val="18"/>
        </w:rPr>
        <w:t>5,9</w:t>
      </w:r>
      <w:r w:rsidRPr="00C06206">
        <w:rPr>
          <w:rFonts w:ascii="Arial" w:hAnsi="Arial" w:cs="Arial"/>
          <w:sz w:val="18"/>
          <w:szCs w:val="18"/>
        </w:rPr>
        <w:t xml:space="preserve"> % (</w:t>
      </w:r>
      <w:r w:rsidR="00CB0375" w:rsidRPr="00C06206">
        <w:rPr>
          <w:rFonts w:ascii="Arial" w:hAnsi="Arial" w:cs="Arial"/>
          <w:sz w:val="18"/>
          <w:szCs w:val="18"/>
        </w:rPr>
        <w:t>5</w:t>
      </w:r>
      <w:r w:rsidR="00C06206" w:rsidRPr="00C06206">
        <w:rPr>
          <w:rFonts w:ascii="Arial" w:hAnsi="Arial" w:cs="Arial"/>
          <w:sz w:val="18"/>
          <w:szCs w:val="18"/>
        </w:rPr>
        <w:t> 668,7</w:t>
      </w:r>
      <w:r w:rsidRPr="00C06206">
        <w:rPr>
          <w:rFonts w:ascii="Arial" w:hAnsi="Arial" w:cs="Arial"/>
          <w:sz w:val="18"/>
          <w:szCs w:val="18"/>
        </w:rPr>
        <w:t xml:space="preserve"> mld. Kč) proti podílu předchozího roku </w:t>
      </w:r>
      <w:r w:rsidR="006C6397" w:rsidRPr="00C06206">
        <w:rPr>
          <w:rFonts w:ascii="Arial" w:hAnsi="Arial" w:cs="Arial"/>
          <w:sz w:val="18"/>
          <w:szCs w:val="18"/>
        </w:rPr>
        <w:t>74,</w:t>
      </w:r>
      <w:r w:rsidR="00C06206" w:rsidRPr="00C06206">
        <w:rPr>
          <w:rFonts w:ascii="Arial" w:hAnsi="Arial" w:cs="Arial"/>
          <w:sz w:val="18"/>
          <w:szCs w:val="18"/>
        </w:rPr>
        <w:t>8</w:t>
      </w:r>
      <w:r w:rsidRPr="00C06206">
        <w:rPr>
          <w:rFonts w:ascii="Arial" w:hAnsi="Arial" w:cs="Arial"/>
          <w:sz w:val="18"/>
          <w:szCs w:val="18"/>
        </w:rPr>
        <w:t xml:space="preserve"> % (</w:t>
      </w:r>
      <w:r w:rsidR="00C06206" w:rsidRPr="00C06206">
        <w:rPr>
          <w:rFonts w:ascii="Arial" w:hAnsi="Arial" w:cs="Arial"/>
          <w:sz w:val="18"/>
          <w:szCs w:val="18"/>
        </w:rPr>
        <w:t>5 507,8</w:t>
      </w:r>
      <w:r w:rsidR="002951E0">
        <w:rPr>
          <w:rFonts w:ascii="Arial" w:hAnsi="Arial" w:cs="Arial"/>
          <w:sz w:val="18"/>
          <w:szCs w:val="18"/>
        </w:rPr>
        <w:t xml:space="preserve"> </w:t>
      </w:r>
      <w:r w:rsidRPr="00C06206">
        <w:rPr>
          <w:rFonts w:ascii="Arial" w:hAnsi="Arial" w:cs="Arial"/>
          <w:sz w:val="18"/>
          <w:szCs w:val="18"/>
        </w:rPr>
        <w:t xml:space="preserve">mld. Kč), přičemž na obchod se státy mimo EU připadlo </w:t>
      </w:r>
      <w:r w:rsidR="006C6397" w:rsidRPr="00C06206">
        <w:rPr>
          <w:rFonts w:ascii="Arial" w:hAnsi="Arial" w:cs="Arial"/>
          <w:sz w:val="18"/>
          <w:szCs w:val="18"/>
        </w:rPr>
        <w:t>2</w:t>
      </w:r>
      <w:r w:rsidR="00C06206" w:rsidRPr="00C06206">
        <w:rPr>
          <w:rFonts w:ascii="Arial" w:hAnsi="Arial" w:cs="Arial"/>
          <w:sz w:val="18"/>
          <w:szCs w:val="18"/>
        </w:rPr>
        <w:t>3</w:t>
      </w:r>
      <w:r w:rsidR="006C6397" w:rsidRPr="00C06206">
        <w:rPr>
          <w:rFonts w:ascii="Arial" w:hAnsi="Arial" w:cs="Arial"/>
          <w:sz w:val="18"/>
          <w:szCs w:val="18"/>
        </w:rPr>
        <w:t>,8</w:t>
      </w:r>
      <w:r w:rsidRPr="00C06206">
        <w:rPr>
          <w:rFonts w:ascii="Arial" w:hAnsi="Arial" w:cs="Arial"/>
          <w:sz w:val="18"/>
          <w:szCs w:val="18"/>
        </w:rPr>
        <w:t xml:space="preserve"> %</w:t>
      </w:r>
      <w:r w:rsidR="00B26EB3">
        <w:rPr>
          <w:rFonts w:ascii="Arial" w:hAnsi="Arial" w:cs="Arial"/>
          <w:sz w:val="18"/>
          <w:szCs w:val="18"/>
        </w:rPr>
        <w:t xml:space="preserve"> </w:t>
      </w:r>
      <w:r w:rsidR="00B26EB3" w:rsidRPr="00C06206">
        <w:rPr>
          <w:rStyle w:val="Znakapoznpodarou"/>
          <w:rFonts w:ascii="Arial" w:hAnsi="Arial" w:cs="Arial"/>
          <w:sz w:val="18"/>
          <w:szCs w:val="18"/>
        </w:rPr>
        <w:footnoteReference w:id="6"/>
      </w:r>
      <w:r w:rsidR="000C6001" w:rsidRPr="00C06206">
        <w:rPr>
          <w:rFonts w:ascii="Arial" w:hAnsi="Arial" w:cs="Arial"/>
          <w:sz w:val="18"/>
          <w:szCs w:val="18"/>
        </w:rPr>
        <w:t xml:space="preserve"> </w:t>
      </w:r>
      <w:r w:rsidRPr="00C06206">
        <w:rPr>
          <w:rFonts w:ascii="Arial" w:hAnsi="Arial" w:cs="Arial"/>
          <w:sz w:val="18"/>
          <w:szCs w:val="18"/>
        </w:rPr>
        <w:t>(1</w:t>
      </w:r>
      <w:r w:rsidR="00C06206" w:rsidRPr="00C06206">
        <w:rPr>
          <w:rFonts w:ascii="Arial" w:hAnsi="Arial" w:cs="Arial"/>
          <w:sz w:val="18"/>
          <w:szCs w:val="18"/>
        </w:rPr>
        <w:t> 774,6</w:t>
      </w:r>
      <w:r w:rsidRPr="00C06206">
        <w:rPr>
          <w:rFonts w:ascii="Arial" w:hAnsi="Arial" w:cs="Arial"/>
          <w:sz w:val="18"/>
          <w:szCs w:val="18"/>
        </w:rPr>
        <w:t xml:space="preserve"> mld. Kč) </w:t>
      </w:r>
      <w:r w:rsidR="0099171C" w:rsidRPr="00C06206">
        <w:rPr>
          <w:rFonts w:ascii="Arial" w:hAnsi="Arial" w:cs="Arial"/>
          <w:sz w:val="18"/>
          <w:szCs w:val="18"/>
        </w:rPr>
        <w:t>ve srovnání s</w:t>
      </w:r>
      <w:r w:rsidRPr="00C06206">
        <w:rPr>
          <w:rFonts w:ascii="Arial" w:hAnsi="Arial" w:cs="Arial"/>
          <w:sz w:val="18"/>
          <w:szCs w:val="18"/>
        </w:rPr>
        <w:t xml:space="preserve"> </w:t>
      </w:r>
      <w:r w:rsidR="00C06206" w:rsidRPr="00C06206">
        <w:rPr>
          <w:rFonts w:ascii="Arial" w:hAnsi="Arial" w:cs="Arial"/>
          <w:sz w:val="18"/>
          <w:szCs w:val="18"/>
        </w:rPr>
        <w:t xml:space="preserve">24,8 % (1 825,7 mld. Kč) </w:t>
      </w:r>
      <w:r w:rsidRPr="00C06206">
        <w:rPr>
          <w:rFonts w:ascii="Arial" w:hAnsi="Arial" w:cs="Arial"/>
          <w:sz w:val="18"/>
          <w:szCs w:val="18"/>
        </w:rPr>
        <w:t>v roce 201</w:t>
      </w:r>
      <w:r w:rsidR="00C06206" w:rsidRPr="00C06206">
        <w:rPr>
          <w:rFonts w:ascii="Arial" w:hAnsi="Arial" w:cs="Arial"/>
          <w:sz w:val="18"/>
          <w:szCs w:val="18"/>
        </w:rPr>
        <w:t>5</w:t>
      </w:r>
      <w:r w:rsidRPr="00C06206">
        <w:rPr>
          <w:rFonts w:ascii="Arial" w:hAnsi="Arial" w:cs="Arial"/>
          <w:sz w:val="18"/>
          <w:szCs w:val="18"/>
        </w:rPr>
        <w:t>.</w:t>
      </w:r>
    </w:p>
    <w:p w:rsidR="000759EC" w:rsidRPr="00B26EB3" w:rsidRDefault="000759EC" w:rsidP="000759EC">
      <w:pPr>
        <w:spacing w:after="80"/>
        <w:jc w:val="both"/>
        <w:rPr>
          <w:rFonts w:ascii="Arial" w:hAnsi="Arial" w:cs="Arial"/>
          <w:b/>
          <w:sz w:val="18"/>
          <w:szCs w:val="18"/>
        </w:rPr>
      </w:pPr>
      <w:r w:rsidRPr="00B26EB3">
        <w:rPr>
          <w:rFonts w:ascii="Arial" w:hAnsi="Arial" w:cs="Arial"/>
          <w:b/>
          <w:sz w:val="18"/>
          <w:szCs w:val="18"/>
        </w:rPr>
        <w:t xml:space="preserve">Graf </w:t>
      </w:r>
      <w:r w:rsidR="003602C2" w:rsidRPr="00B26EB3">
        <w:rPr>
          <w:rFonts w:ascii="Arial" w:hAnsi="Arial" w:cs="Arial"/>
          <w:b/>
          <w:sz w:val="18"/>
          <w:szCs w:val="18"/>
        </w:rPr>
        <w:t>6</w:t>
      </w:r>
      <w:r w:rsidRPr="00B26EB3">
        <w:rPr>
          <w:rFonts w:ascii="Arial" w:hAnsi="Arial" w:cs="Arial"/>
          <w:b/>
          <w:sz w:val="18"/>
          <w:szCs w:val="18"/>
        </w:rPr>
        <w:t xml:space="preserve"> - Teritoriální struktura </w:t>
      </w:r>
      <w:r w:rsidR="00C00A67" w:rsidRPr="00B26EB3">
        <w:rPr>
          <w:rFonts w:ascii="Arial" w:hAnsi="Arial" w:cs="Arial"/>
          <w:b/>
          <w:sz w:val="18"/>
          <w:szCs w:val="18"/>
        </w:rPr>
        <w:t>zahraničního obchodu</w:t>
      </w:r>
      <w:r w:rsidRPr="00B26EB3">
        <w:rPr>
          <w:rFonts w:ascii="Arial" w:hAnsi="Arial" w:cs="Arial"/>
          <w:b/>
          <w:sz w:val="18"/>
          <w:szCs w:val="18"/>
        </w:rPr>
        <w:t xml:space="preserve"> v roce 201</w:t>
      </w:r>
      <w:r w:rsidR="00B26EB3" w:rsidRPr="00B26EB3">
        <w:rPr>
          <w:rFonts w:ascii="Arial" w:hAnsi="Arial" w:cs="Arial"/>
          <w:b/>
          <w:sz w:val="18"/>
          <w:szCs w:val="18"/>
        </w:rPr>
        <w:t>6</w:t>
      </w:r>
      <w:r w:rsidRPr="00B26EB3">
        <w:rPr>
          <w:rFonts w:ascii="Arial" w:hAnsi="Arial" w:cs="Arial"/>
          <w:b/>
          <w:sz w:val="18"/>
          <w:szCs w:val="18"/>
        </w:rPr>
        <w:t xml:space="preserve"> (podíly v %)</w:t>
      </w:r>
    </w:p>
    <w:p w:rsidR="000759EC" w:rsidRPr="000568E8" w:rsidRDefault="005E2C18" w:rsidP="00514722">
      <w:pPr>
        <w:spacing w:after="120"/>
        <w:jc w:val="both"/>
        <w:rPr>
          <w:rFonts w:ascii="Arial" w:hAnsi="Arial" w:cs="Arial"/>
          <w:color w:val="FF0000"/>
          <w:sz w:val="18"/>
          <w:szCs w:val="18"/>
        </w:rPr>
      </w:pPr>
      <w:r>
        <w:rPr>
          <w:rFonts w:ascii="Arial" w:hAnsi="Arial" w:cs="Arial"/>
          <w:color w:val="FF0000"/>
          <w:sz w:val="18"/>
          <w:szCs w:val="18"/>
        </w:rPr>
        <w:pict>
          <v:shape id="_x0000_i1031" type="#_x0000_t75" style="width:483.75pt;height:152.25pt">
            <v:imagedata r:id="rId15" o:title=""/>
          </v:shape>
        </w:pict>
      </w:r>
      <w:r w:rsidR="000759EC" w:rsidRPr="000568E8">
        <w:rPr>
          <w:rFonts w:ascii="Arial" w:hAnsi="Arial" w:cs="Arial"/>
          <w:color w:val="FF0000"/>
          <w:sz w:val="18"/>
          <w:szCs w:val="18"/>
        </w:rPr>
        <w:tab/>
      </w:r>
      <w:r w:rsidR="000759EC" w:rsidRPr="000568E8">
        <w:rPr>
          <w:rFonts w:ascii="Arial" w:hAnsi="Arial" w:cs="Arial"/>
          <w:color w:val="FF0000"/>
          <w:sz w:val="18"/>
          <w:szCs w:val="18"/>
        </w:rPr>
        <w:tab/>
      </w:r>
      <w:r w:rsidR="000759EC" w:rsidRPr="000568E8">
        <w:rPr>
          <w:rFonts w:ascii="Arial" w:hAnsi="Arial" w:cs="Arial"/>
          <w:color w:val="FF0000"/>
          <w:sz w:val="18"/>
          <w:szCs w:val="18"/>
        </w:rPr>
        <w:tab/>
      </w:r>
    </w:p>
    <w:p w:rsidR="00E87EC7" w:rsidRDefault="00E87EC7" w:rsidP="00C37BD3">
      <w:pPr>
        <w:spacing w:after="120"/>
        <w:jc w:val="both"/>
        <w:rPr>
          <w:rFonts w:ascii="Arial" w:hAnsi="Arial" w:cs="Arial"/>
          <w:spacing w:val="4"/>
          <w:sz w:val="18"/>
          <w:szCs w:val="18"/>
        </w:rPr>
      </w:pPr>
      <w:r w:rsidRPr="00E87EC7">
        <w:rPr>
          <w:rFonts w:ascii="Arial" w:hAnsi="Arial" w:cs="Arial"/>
          <w:b/>
          <w:spacing w:val="4"/>
          <w:sz w:val="18"/>
          <w:szCs w:val="18"/>
        </w:rPr>
        <w:t>Vývoz</w:t>
      </w:r>
      <w:r>
        <w:rPr>
          <w:rFonts w:ascii="Arial" w:hAnsi="Arial" w:cs="Arial"/>
          <w:b/>
          <w:spacing w:val="4"/>
          <w:sz w:val="18"/>
          <w:szCs w:val="18"/>
        </w:rPr>
        <w:t xml:space="preserve"> </w:t>
      </w:r>
      <w:r w:rsidRPr="00E87EC7">
        <w:rPr>
          <w:rFonts w:ascii="Arial" w:hAnsi="Arial" w:cs="Arial"/>
          <w:spacing w:val="4"/>
          <w:sz w:val="18"/>
          <w:szCs w:val="18"/>
        </w:rPr>
        <w:t>zboží</w:t>
      </w:r>
      <w:r>
        <w:rPr>
          <w:rFonts w:ascii="Arial" w:hAnsi="Arial" w:cs="Arial"/>
          <w:spacing w:val="4"/>
          <w:sz w:val="18"/>
          <w:szCs w:val="18"/>
        </w:rPr>
        <w:t xml:space="preserve"> do </w:t>
      </w:r>
      <w:r w:rsidRPr="00970810">
        <w:rPr>
          <w:rFonts w:ascii="Arial" w:hAnsi="Arial" w:cs="Arial"/>
          <w:b/>
          <w:spacing w:val="4"/>
          <w:sz w:val="18"/>
          <w:szCs w:val="18"/>
        </w:rPr>
        <w:t>států EU</w:t>
      </w:r>
      <w:r>
        <w:rPr>
          <w:rFonts w:ascii="Arial" w:hAnsi="Arial" w:cs="Arial"/>
          <w:spacing w:val="4"/>
          <w:sz w:val="18"/>
          <w:szCs w:val="18"/>
        </w:rPr>
        <w:t xml:space="preserve"> v roce 2016 vzrostl o 2,9 % na 3 323,7 mld. Kč. Absolutní přírůstek 92,5 mld. Kč </w:t>
      </w:r>
      <w:r w:rsidR="00115370">
        <w:rPr>
          <w:rFonts w:ascii="Arial" w:hAnsi="Arial" w:cs="Arial"/>
          <w:spacing w:val="4"/>
          <w:sz w:val="18"/>
          <w:szCs w:val="18"/>
        </w:rPr>
        <w:t xml:space="preserve">kladně </w:t>
      </w:r>
      <w:r>
        <w:rPr>
          <w:rFonts w:ascii="Arial" w:hAnsi="Arial" w:cs="Arial"/>
          <w:spacing w:val="4"/>
          <w:sz w:val="18"/>
          <w:szCs w:val="18"/>
        </w:rPr>
        <w:t>ovlivnil především obchod s</w:t>
      </w:r>
      <w:r w:rsidR="00115370">
        <w:rPr>
          <w:rFonts w:ascii="Arial" w:hAnsi="Arial" w:cs="Arial"/>
          <w:spacing w:val="4"/>
          <w:sz w:val="18"/>
          <w:szCs w:val="18"/>
        </w:rPr>
        <w:t> </w:t>
      </w:r>
      <w:r>
        <w:rPr>
          <w:rFonts w:ascii="Arial" w:hAnsi="Arial" w:cs="Arial"/>
          <w:spacing w:val="4"/>
          <w:sz w:val="18"/>
          <w:szCs w:val="18"/>
        </w:rPr>
        <w:t>Německem</w:t>
      </w:r>
      <w:r w:rsidR="00115370">
        <w:rPr>
          <w:rFonts w:ascii="Arial" w:hAnsi="Arial" w:cs="Arial"/>
          <w:spacing w:val="4"/>
          <w:sz w:val="18"/>
          <w:szCs w:val="18"/>
        </w:rPr>
        <w:t xml:space="preserve"> (navýšení o 38,4 mld. Kč), Itálií (o 22,9 mld. Kč),</w:t>
      </w:r>
      <w:r w:rsidR="00970810">
        <w:rPr>
          <w:rFonts w:ascii="Arial" w:hAnsi="Arial" w:cs="Arial"/>
          <w:spacing w:val="4"/>
          <w:sz w:val="18"/>
          <w:szCs w:val="18"/>
        </w:rPr>
        <w:t xml:space="preserve"> Španělskem (o 9,7 mld. </w:t>
      </w:r>
      <w:r w:rsidR="00115370">
        <w:rPr>
          <w:rFonts w:ascii="Arial" w:hAnsi="Arial" w:cs="Arial"/>
          <w:spacing w:val="4"/>
          <w:sz w:val="18"/>
          <w:szCs w:val="18"/>
        </w:rPr>
        <w:t xml:space="preserve">Kč) a Francií (o 6,8 mld. Kč). Negativně se projevil pokles vývozu </w:t>
      </w:r>
      <w:r w:rsidR="00970810">
        <w:rPr>
          <w:rFonts w:ascii="Arial" w:hAnsi="Arial" w:cs="Arial"/>
          <w:spacing w:val="4"/>
          <w:sz w:val="18"/>
          <w:szCs w:val="18"/>
        </w:rPr>
        <w:t xml:space="preserve">Česka </w:t>
      </w:r>
      <w:r w:rsidR="00115370">
        <w:rPr>
          <w:rFonts w:ascii="Arial" w:hAnsi="Arial" w:cs="Arial"/>
          <w:spacing w:val="4"/>
          <w:sz w:val="18"/>
          <w:szCs w:val="18"/>
        </w:rPr>
        <w:t xml:space="preserve">na Slovensko o 16,7 mld. Kč. </w:t>
      </w:r>
    </w:p>
    <w:p w:rsidR="00115370" w:rsidRPr="00E87EC7" w:rsidRDefault="00884F17" w:rsidP="00B51DA6">
      <w:pPr>
        <w:jc w:val="both"/>
        <w:rPr>
          <w:rFonts w:ascii="Arial" w:hAnsi="Arial" w:cs="Arial"/>
          <w:spacing w:val="4"/>
          <w:sz w:val="18"/>
          <w:szCs w:val="18"/>
        </w:rPr>
      </w:pPr>
      <w:r>
        <w:rPr>
          <w:rFonts w:ascii="Arial" w:hAnsi="Arial" w:cs="Arial"/>
          <w:spacing w:val="4"/>
          <w:sz w:val="18"/>
          <w:szCs w:val="18"/>
        </w:rPr>
        <w:t xml:space="preserve">Nepřetržitý růst vývozu od roku 2010 do </w:t>
      </w:r>
      <w:r w:rsidRPr="00970810">
        <w:rPr>
          <w:rFonts w:ascii="Arial" w:hAnsi="Arial" w:cs="Arial"/>
          <w:b/>
          <w:spacing w:val="4"/>
          <w:sz w:val="18"/>
          <w:szCs w:val="18"/>
        </w:rPr>
        <w:t>států mimo EU</w:t>
      </w:r>
      <w:r>
        <w:rPr>
          <w:rFonts w:ascii="Arial" w:hAnsi="Arial" w:cs="Arial"/>
          <w:spacing w:val="4"/>
          <w:sz w:val="18"/>
          <w:szCs w:val="18"/>
        </w:rPr>
        <w:t xml:space="preserve"> </w:t>
      </w:r>
      <w:r w:rsidR="000B58B9">
        <w:rPr>
          <w:rFonts w:ascii="Arial" w:hAnsi="Arial" w:cs="Arial"/>
          <w:spacing w:val="4"/>
          <w:sz w:val="18"/>
          <w:szCs w:val="18"/>
        </w:rPr>
        <w:t>se</w:t>
      </w:r>
      <w:r>
        <w:rPr>
          <w:rFonts w:ascii="Arial" w:hAnsi="Arial" w:cs="Arial"/>
          <w:spacing w:val="4"/>
          <w:sz w:val="18"/>
          <w:szCs w:val="18"/>
        </w:rPr>
        <w:t xml:space="preserve"> v roce 2016 zastav</w:t>
      </w:r>
      <w:r w:rsidR="000B58B9">
        <w:rPr>
          <w:rFonts w:ascii="Arial" w:hAnsi="Arial" w:cs="Arial"/>
          <w:spacing w:val="4"/>
          <w:sz w:val="18"/>
          <w:szCs w:val="18"/>
        </w:rPr>
        <w:t>il</w:t>
      </w:r>
      <w:r>
        <w:rPr>
          <w:rFonts w:ascii="Arial" w:hAnsi="Arial" w:cs="Arial"/>
          <w:spacing w:val="4"/>
          <w:sz w:val="18"/>
          <w:szCs w:val="18"/>
        </w:rPr>
        <w:t xml:space="preserve">. </w:t>
      </w:r>
      <w:r w:rsidR="00315772">
        <w:rPr>
          <w:rFonts w:ascii="Arial" w:hAnsi="Arial" w:cs="Arial"/>
          <w:spacing w:val="4"/>
          <w:sz w:val="18"/>
          <w:szCs w:val="18"/>
        </w:rPr>
        <w:t>Na mírném meziročním pokles</w:t>
      </w:r>
      <w:r>
        <w:rPr>
          <w:rFonts w:ascii="Arial" w:hAnsi="Arial" w:cs="Arial"/>
          <w:spacing w:val="4"/>
          <w:sz w:val="18"/>
          <w:szCs w:val="18"/>
        </w:rPr>
        <w:t>u</w:t>
      </w:r>
      <w:r w:rsidR="00315772">
        <w:rPr>
          <w:rFonts w:ascii="Arial" w:hAnsi="Arial" w:cs="Arial"/>
          <w:spacing w:val="4"/>
          <w:sz w:val="18"/>
          <w:szCs w:val="18"/>
        </w:rPr>
        <w:t xml:space="preserve"> vývozu </w:t>
      </w:r>
      <w:r>
        <w:rPr>
          <w:rFonts w:ascii="Arial" w:hAnsi="Arial" w:cs="Arial"/>
          <w:spacing w:val="4"/>
          <w:sz w:val="18"/>
          <w:szCs w:val="18"/>
        </w:rPr>
        <w:t xml:space="preserve">České republiky </w:t>
      </w:r>
      <w:r w:rsidR="00315772">
        <w:rPr>
          <w:rFonts w:ascii="Arial" w:hAnsi="Arial" w:cs="Arial"/>
          <w:spacing w:val="4"/>
          <w:sz w:val="18"/>
          <w:szCs w:val="18"/>
        </w:rPr>
        <w:t xml:space="preserve">do </w:t>
      </w:r>
      <w:r w:rsidR="00315772" w:rsidRPr="00315772">
        <w:rPr>
          <w:rFonts w:ascii="Arial" w:hAnsi="Arial" w:cs="Arial"/>
          <w:spacing w:val="4"/>
          <w:sz w:val="18"/>
          <w:szCs w:val="18"/>
        </w:rPr>
        <w:t>mimoevropských států</w:t>
      </w:r>
      <w:r w:rsidR="00315772">
        <w:rPr>
          <w:rFonts w:ascii="Arial" w:hAnsi="Arial" w:cs="Arial"/>
          <w:spacing w:val="4"/>
          <w:sz w:val="18"/>
          <w:szCs w:val="18"/>
        </w:rPr>
        <w:t xml:space="preserve"> o 0,1 % (0,9 mld. Kč) se podílel</w:t>
      </w:r>
      <w:r>
        <w:rPr>
          <w:rFonts w:ascii="Arial" w:hAnsi="Arial" w:cs="Arial"/>
          <w:spacing w:val="4"/>
          <w:sz w:val="18"/>
          <w:szCs w:val="18"/>
        </w:rPr>
        <w:t>o</w:t>
      </w:r>
      <w:r w:rsidR="00315772">
        <w:rPr>
          <w:rFonts w:ascii="Arial" w:hAnsi="Arial" w:cs="Arial"/>
          <w:spacing w:val="4"/>
          <w:sz w:val="18"/>
          <w:szCs w:val="18"/>
        </w:rPr>
        <w:t xml:space="preserve"> hlavně </w:t>
      </w:r>
      <w:r>
        <w:rPr>
          <w:rFonts w:ascii="Arial" w:hAnsi="Arial" w:cs="Arial"/>
          <w:spacing w:val="4"/>
          <w:sz w:val="18"/>
          <w:szCs w:val="18"/>
        </w:rPr>
        <w:t>snížení</w:t>
      </w:r>
      <w:r w:rsidR="00970810">
        <w:rPr>
          <w:rFonts w:ascii="Arial" w:hAnsi="Arial" w:cs="Arial"/>
          <w:spacing w:val="4"/>
          <w:sz w:val="18"/>
          <w:szCs w:val="18"/>
        </w:rPr>
        <w:t xml:space="preserve"> vývozu do </w:t>
      </w:r>
      <w:r w:rsidR="00315772">
        <w:rPr>
          <w:rFonts w:ascii="Arial" w:hAnsi="Arial" w:cs="Arial"/>
          <w:spacing w:val="4"/>
          <w:sz w:val="18"/>
          <w:szCs w:val="18"/>
        </w:rPr>
        <w:t>Spojených států (o 5,6 mld. Kč)</w:t>
      </w:r>
      <w:r w:rsidR="00970810">
        <w:rPr>
          <w:rFonts w:ascii="Arial" w:hAnsi="Arial" w:cs="Arial"/>
          <w:spacing w:val="4"/>
          <w:sz w:val="18"/>
          <w:szCs w:val="18"/>
        </w:rPr>
        <w:t>,</w:t>
      </w:r>
      <w:r w:rsidR="00315772">
        <w:rPr>
          <w:rFonts w:ascii="Arial" w:hAnsi="Arial" w:cs="Arial"/>
          <w:spacing w:val="4"/>
          <w:sz w:val="18"/>
          <w:szCs w:val="18"/>
        </w:rPr>
        <w:t xml:space="preserve"> Ruské federace (o 3,6 mld. Kč)</w:t>
      </w:r>
      <w:r w:rsidR="00970810">
        <w:rPr>
          <w:rFonts w:ascii="Arial" w:hAnsi="Arial" w:cs="Arial"/>
          <w:spacing w:val="4"/>
          <w:sz w:val="18"/>
          <w:szCs w:val="18"/>
        </w:rPr>
        <w:t xml:space="preserve"> a do Saúdské Arábie (o 3,3 mld. Kč)</w:t>
      </w:r>
      <w:r w:rsidR="00315772">
        <w:rPr>
          <w:rFonts w:ascii="Arial" w:hAnsi="Arial" w:cs="Arial"/>
          <w:spacing w:val="4"/>
          <w:sz w:val="18"/>
          <w:szCs w:val="18"/>
        </w:rPr>
        <w:t xml:space="preserve">. Naopak růst pokračoval například u vývozu </w:t>
      </w:r>
      <w:r>
        <w:rPr>
          <w:rFonts w:ascii="Arial" w:hAnsi="Arial" w:cs="Arial"/>
          <w:spacing w:val="4"/>
          <w:sz w:val="18"/>
          <w:szCs w:val="18"/>
        </w:rPr>
        <w:t>do</w:t>
      </w:r>
      <w:r w:rsidR="00315772">
        <w:rPr>
          <w:rFonts w:ascii="Arial" w:hAnsi="Arial" w:cs="Arial"/>
          <w:spacing w:val="4"/>
          <w:sz w:val="18"/>
          <w:szCs w:val="18"/>
        </w:rPr>
        <w:t xml:space="preserve"> Turecka </w:t>
      </w:r>
      <w:r>
        <w:rPr>
          <w:rFonts w:ascii="Arial" w:hAnsi="Arial" w:cs="Arial"/>
          <w:spacing w:val="4"/>
          <w:sz w:val="18"/>
          <w:szCs w:val="18"/>
        </w:rPr>
        <w:t xml:space="preserve">(o 6,2 mld. Kč). </w:t>
      </w:r>
      <w:r w:rsidR="00970810">
        <w:rPr>
          <w:rFonts w:ascii="Arial" w:hAnsi="Arial" w:cs="Arial"/>
          <w:spacing w:val="4"/>
          <w:sz w:val="18"/>
          <w:szCs w:val="18"/>
        </w:rPr>
        <w:t>Pokles vývozu v roce 2015 na Ukrajinu o 5,3 mld. Kč byl vystřídán růstem v roce 2016 o 6,5 mld. Kč.</w:t>
      </w:r>
    </w:p>
    <w:p w:rsidR="00D32637" w:rsidRPr="006D6E69" w:rsidRDefault="00C77352" w:rsidP="00C77352">
      <w:pPr>
        <w:spacing w:after="80"/>
        <w:jc w:val="both"/>
        <w:rPr>
          <w:rFonts w:ascii="Arial" w:hAnsi="Arial" w:cs="Arial"/>
          <w:b/>
          <w:sz w:val="18"/>
          <w:szCs w:val="18"/>
        </w:rPr>
      </w:pPr>
      <w:r w:rsidRPr="006D6E69">
        <w:rPr>
          <w:rFonts w:ascii="Arial" w:hAnsi="Arial" w:cs="Arial"/>
          <w:b/>
          <w:sz w:val="18"/>
          <w:szCs w:val="18"/>
        </w:rPr>
        <w:t xml:space="preserve">Graf </w:t>
      </w:r>
      <w:r w:rsidR="00FC7AE3" w:rsidRPr="006D6E69">
        <w:rPr>
          <w:rFonts w:ascii="Arial" w:hAnsi="Arial" w:cs="Arial"/>
          <w:b/>
          <w:sz w:val="18"/>
          <w:szCs w:val="18"/>
        </w:rPr>
        <w:t>7</w:t>
      </w:r>
      <w:r w:rsidRPr="006D6E69">
        <w:rPr>
          <w:rFonts w:ascii="Arial" w:hAnsi="Arial" w:cs="Arial"/>
          <w:b/>
          <w:sz w:val="18"/>
          <w:szCs w:val="18"/>
        </w:rPr>
        <w:t xml:space="preserve"> </w:t>
      </w:r>
      <w:r w:rsidR="00E267F8" w:rsidRPr="006D6E69">
        <w:rPr>
          <w:rFonts w:ascii="Arial" w:hAnsi="Arial" w:cs="Arial"/>
          <w:b/>
          <w:sz w:val="18"/>
          <w:szCs w:val="18"/>
        </w:rPr>
        <w:t>-</w:t>
      </w:r>
      <w:r w:rsidRPr="006D6E69">
        <w:rPr>
          <w:rFonts w:ascii="Arial" w:hAnsi="Arial" w:cs="Arial"/>
          <w:b/>
          <w:sz w:val="18"/>
          <w:szCs w:val="18"/>
        </w:rPr>
        <w:t xml:space="preserve"> </w:t>
      </w:r>
      <w:r w:rsidR="00E267F8" w:rsidRPr="006D6E69">
        <w:rPr>
          <w:rFonts w:ascii="Arial" w:hAnsi="Arial" w:cs="Arial"/>
          <w:b/>
          <w:sz w:val="18"/>
          <w:szCs w:val="18"/>
        </w:rPr>
        <w:t>Zahraniční obchod se státy</w:t>
      </w:r>
      <w:r w:rsidRPr="006D6E69">
        <w:rPr>
          <w:rFonts w:ascii="Arial" w:hAnsi="Arial" w:cs="Arial"/>
          <w:b/>
          <w:sz w:val="18"/>
          <w:szCs w:val="18"/>
        </w:rPr>
        <w:t xml:space="preserve"> EU v roce 201</w:t>
      </w:r>
      <w:r w:rsidR="006D6E69" w:rsidRPr="006D6E69">
        <w:rPr>
          <w:rFonts w:ascii="Arial" w:hAnsi="Arial" w:cs="Arial"/>
          <w:b/>
          <w:sz w:val="18"/>
          <w:szCs w:val="18"/>
        </w:rPr>
        <w:t>6</w:t>
      </w:r>
      <w:r w:rsidR="00AE096D" w:rsidRPr="006D6E69">
        <w:rPr>
          <w:rFonts w:ascii="Arial" w:hAnsi="Arial" w:cs="Arial"/>
          <w:b/>
          <w:sz w:val="18"/>
          <w:szCs w:val="18"/>
        </w:rPr>
        <w:t xml:space="preserve"> (podíly v %)</w:t>
      </w:r>
    </w:p>
    <w:p w:rsidR="00EF5458" w:rsidRPr="006D6E69" w:rsidRDefault="00EF5458" w:rsidP="002924FE">
      <w:pPr>
        <w:spacing w:after="40"/>
        <w:jc w:val="both"/>
        <w:rPr>
          <w:rFonts w:ascii="Arial" w:hAnsi="Arial" w:cs="Arial"/>
          <w:b/>
          <w:sz w:val="18"/>
          <w:szCs w:val="18"/>
        </w:rPr>
      </w:pPr>
      <w:r w:rsidRPr="006D6E69">
        <w:rPr>
          <w:rFonts w:ascii="Arial" w:hAnsi="Arial" w:cs="Arial"/>
          <w:b/>
          <w:sz w:val="18"/>
          <w:szCs w:val="18"/>
        </w:rPr>
        <w:tab/>
      </w:r>
      <w:r w:rsidRPr="006D6E69">
        <w:rPr>
          <w:rFonts w:ascii="Arial" w:hAnsi="Arial" w:cs="Arial"/>
          <w:b/>
          <w:sz w:val="18"/>
          <w:szCs w:val="18"/>
        </w:rPr>
        <w:tab/>
      </w:r>
      <w:r w:rsidR="00D32637" w:rsidRPr="006D6E69">
        <w:rPr>
          <w:rFonts w:ascii="Arial" w:hAnsi="Arial" w:cs="Arial"/>
          <w:b/>
          <w:sz w:val="18"/>
          <w:szCs w:val="18"/>
        </w:rPr>
        <w:tab/>
        <w:t xml:space="preserve">     </w:t>
      </w:r>
      <w:r w:rsidR="002A4E60">
        <w:rPr>
          <w:rFonts w:ascii="Arial" w:hAnsi="Arial" w:cs="Arial"/>
          <w:b/>
          <w:sz w:val="18"/>
          <w:szCs w:val="18"/>
        </w:rPr>
        <w:t xml:space="preserve">  </w:t>
      </w:r>
      <w:r w:rsidR="00E03C95" w:rsidRPr="006D6E69">
        <w:rPr>
          <w:rFonts w:ascii="Arial" w:hAnsi="Arial" w:cs="Arial"/>
          <w:sz w:val="18"/>
          <w:szCs w:val="18"/>
        </w:rPr>
        <w:t>v</w:t>
      </w:r>
      <w:r w:rsidRPr="006D6E69">
        <w:rPr>
          <w:rFonts w:ascii="Arial" w:hAnsi="Arial" w:cs="Arial"/>
          <w:sz w:val="18"/>
          <w:szCs w:val="18"/>
        </w:rPr>
        <w:t>ývoz</w:t>
      </w:r>
      <w:r w:rsidRPr="006D6E69">
        <w:rPr>
          <w:rFonts w:ascii="Arial" w:hAnsi="Arial" w:cs="Arial"/>
          <w:sz w:val="18"/>
          <w:szCs w:val="18"/>
        </w:rPr>
        <w:tab/>
      </w:r>
      <w:r w:rsidRPr="006D6E69">
        <w:rPr>
          <w:rFonts w:ascii="Arial" w:hAnsi="Arial" w:cs="Arial"/>
          <w:sz w:val="18"/>
          <w:szCs w:val="18"/>
        </w:rPr>
        <w:tab/>
      </w:r>
      <w:r w:rsidRPr="006D6E69">
        <w:rPr>
          <w:rFonts w:ascii="Arial" w:hAnsi="Arial" w:cs="Arial"/>
          <w:b/>
          <w:sz w:val="18"/>
          <w:szCs w:val="18"/>
        </w:rPr>
        <w:tab/>
      </w:r>
      <w:r w:rsidRPr="006D6E69">
        <w:rPr>
          <w:rFonts w:ascii="Arial" w:hAnsi="Arial" w:cs="Arial"/>
          <w:b/>
          <w:sz w:val="18"/>
          <w:szCs w:val="18"/>
        </w:rPr>
        <w:tab/>
      </w:r>
      <w:r w:rsidRPr="006D6E69">
        <w:rPr>
          <w:rFonts w:ascii="Arial" w:hAnsi="Arial" w:cs="Arial"/>
          <w:b/>
          <w:sz w:val="18"/>
          <w:szCs w:val="18"/>
        </w:rPr>
        <w:tab/>
      </w:r>
      <w:r w:rsidRPr="006D6E69">
        <w:rPr>
          <w:rFonts w:ascii="Arial" w:hAnsi="Arial" w:cs="Arial"/>
          <w:b/>
          <w:sz w:val="18"/>
          <w:szCs w:val="18"/>
        </w:rPr>
        <w:tab/>
      </w:r>
      <w:r w:rsidR="00D32637" w:rsidRPr="006D6E69">
        <w:rPr>
          <w:rFonts w:ascii="Arial" w:hAnsi="Arial" w:cs="Arial"/>
          <w:b/>
          <w:sz w:val="18"/>
          <w:szCs w:val="18"/>
        </w:rPr>
        <w:t xml:space="preserve">    </w:t>
      </w:r>
      <w:r w:rsidR="002A4E60">
        <w:rPr>
          <w:rFonts w:ascii="Arial" w:hAnsi="Arial" w:cs="Arial"/>
          <w:b/>
          <w:sz w:val="18"/>
          <w:szCs w:val="18"/>
        </w:rPr>
        <w:t xml:space="preserve"> </w:t>
      </w:r>
      <w:r w:rsidR="00D32637" w:rsidRPr="006D6E69">
        <w:rPr>
          <w:rFonts w:ascii="Arial" w:hAnsi="Arial" w:cs="Arial"/>
          <w:b/>
          <w:sz w:val="18"/>
          <w:szCs w:val="18"/>
        </w:rPr>
        <w:t xml:space="preserve">   </w:t>
      </w:r>
      <w:r w:rsidRPr="006D6E69">
        <w:rPr>
          <w:rFonts w:ascii="Arial" w:hAnsi="Arial" w:cs="Arial"/>
          <w:sz w:val="18"/>
          <w:szCs w:val="18"/>
        </w:rPr>
        <w:t>dovoz</w:t>
      </w:r>
    </w:p>
    <w:p w:rsidR="007E725F" w:rsidRPr="000568E8" w:rsidRDefault="005E2C18" w:rsidP="00B51DA6">
      <w:pPr>
        <w:spacing w:after="0"/>
        <w:jc w:val="both"/>
        <w:rPr>
          <w:rFonts w:ascii="Arial" w:hAnsi="Arial" w:cs="Arial"/>
          <w:color w:val="FF0000"/>
          <w:sz w:val="18"/>
          <w:szCs w:val="18"/>
        </w:rPr>
      </w:pPr>
      <w:r>
        <w:rPr>
          <w:rFonts w:ascii="Arial" w:hAnsi="Arial" w:cs="Arial"/>
          <w:color w:val="FF0000"/>
          <w:sz w:val="18"/>
          <w:szCs w:val="18"/>
        </w:rPr>
        <w:pict>
          <v:shape id="_x0000_i1032" type="#_x0000_t75" style="width:235.5pt;height:195.75pt">
            <v:imagedata r:id="rId16" o:title=""/>
          </v:shape>
        </w:pict>
      </w:r>
      <w:r w:rsidR="006D6E69">
        <w:rPr>
          <w:rFonts w:ascii="Arial" w:hAnsi="Arial" w:cs="Arial"/>
          <w:color w:val="FF0000"/>
          <w:sz w:val="18"/>
          <w:szCs w:val="18"/>
        </w:rPr>
        <w:t xml:space="preserve">   </w:t>
      </w:r>
      <w:r>
        <w:rPr>
          <w:rFonts w:ascii="Arial" w:hAnsi="Arial" w:cs="Arial"/>
          <w:color w:val="FF0000"/>
          <w:sz w:val="18"/>
          <w:szCs w:val="18"/>
        </w:rPr>
        <w:pict>
          <v:shape id="_x0000_i1033" type="#_x0000_t75" style="width:235.5pt;height:195.75pt">
            <v:imagedata r:id="rId17" o:title=""/>
          </v:shape>
        </w:pict>
      </w:r>
    </w:p>
    <w:p w:rsidR="00F93CC4" w:rsidRPr="00ED4166" w:rsidRDefault="008177D8" w:rsidP="00F93CC4">
      <w:pPr>
        <w:spacing w:before="200" w:after="120"/>
        <w:jc w:val="both"/>
        <w:rPr>
          <w:rFonts w:ascii="Arial" w:hAnsi="Arial" w:cs="Arial"/>
          <w:sz w:val="18"/>
          <w:szCs w:val="18"/>
        </w:rPr>
      </w:pPr>
      <w:r w:rsidRPr="008177D8">
        <w:rPr>
          <w:rFonts w:ascii="Arial" w:hAnsi="Arial" w:cs="Arial"/>
          <w:sz w:val="18"/>
          <w:szCs w:val="18"/>
        </w:rPr>
        <w:t>V roce 2016</w:t>
      </w:r>
      <w:r>
        <w:rPr>
          <w:rFonts w:ascii="Arial" w:hAnsi="Arial" w:cs="Arial"/>
          <w:b/>
          <w:sz w:val="18"/>
          <w:szCs w:val="18"/>
        </w:rPr>
        <w:t xml:space="preserve"> d</w:t>
      </w:r>
      <w:r w:rsidR="00F93CC4" w:rsidRPr="00F93CC4">
        <w:rPr>
          <w:rFonts w:ascii="Arial" w:hAnsi="Arial" w:cs="Arial"/>
          <w:b/>
          <w:sz w:val="18"/>
          <w:szCs w:val="18"/>
        </w:rPr>
        <w:t xml:space="preserve">ovoz </w:t>
      </w:r>
      <w:r w:rsidR="00ED4166" w:rsidRPr="00ED4166">
        <w:rPr>
          <w:rFonts w:ascii="Arial" w:hAnsi="Arial" w:cs="Arial"/>
          <w:sz w:val="18"/>
          <w:szCs w:val="18"/>
        </w:rPr>
        <w:t xml:space="preserve">zboží </w:t>
      </w:r>
      <w:r w:rsidR="00F93CC4" w:rsidRPr="00ED4166">
        <w:rPr>
          <w:rFonts w:ascii="Arial" w:hAnsi="Arial" w:cs="Arial"/>
          <w:sz w:val="18"/>
          <w:szCs w:val="18"/>
        </w:rPr>
        <w:t xml:space="preserve">ze </w:t>
      </w:r>
      <w:r w:rsidR="00F93CC4" w:rsidRPr="008177D8">
        <w:rPr>
          <w:rFonts w:ascii="Arial" w:hAnsi="Arial" w:cs="Arial"/>
          <w:b/>
          <w:sz w:val="18"/>
          <w:szCs w:val="18"/>
        </w:rPr>
        <w:t>států EU</w:t>
      </w:r>
      <w:r w:rsidR="00F93CC4" w:rsidRPr="00ED4166">
        <w:rPr>
          <w:rFonts w:ascii="Arial" w:hAnsi="Arial" w:cs="Arial"/>
          <w:b/>
          <w:sz w:val="18"/>
          <w:szCs w:val="18"/>
        </w:rPr>
        <w:t xml:space="preserve"> </w:t>
      </w:r>
      <w:r w:rsidR="00F93CC4" w:rsidRPr="00ED4166">
        <w:rPr>
          <w:rFonts w:ascii="Arial" w:hAnsi="Arial" w:cs="Arial"/>
          <w:sz w:val="18"/>
          <w:szCs w:val="18"/>
        </w:rPr>
        <w:t xml:space="preserve">meziročně vzrostl o </w:t>
      </w:r>
      <w:r w:rsidR="006855C8" w:rsidRPr="00ED4166">
        <w:rPr>
          <w:rFonts w:ascii="Arial" w:hAnsi="Arial" w:cs="Arial"/>
          <w:sz w:val="18"/>
          <w:szCs w:val="18"/>
        </w:rPr>
        <w:t>3,0</w:t>
      </w:r>
      <w:r w:rsidR="00F93CC4" w:rsidRPr="00ED4166">
        <w:rPr>
          <w:rFonts w:ascii="Arial" w:hAnsi="Arial" w:cs="Arial"/>
          <w:sz w:val="18"/>
          <w:szCs w:val="18"/>
        </w:rPr>
        <w:t xml:space="preserve"> % (</w:t>
      </w:r>
      <w:r w:rsidR="001A46F0" w:rsidRPr="00ED4166">
        <w:rPr>
          <w:rFonts w:ascii="Arial" w:hAnsi="Arial" w:cs="Arial"/>
          <w:sz w:val="18"/>
          <w:szCs w:val="18"/>
        </w:rPr>
        <w:t>68,4</w:t>
      </w:r>
      <w:r w:rsidR="00F93CC4" w:rsidRPr="00ED4166">
        <w:rPr>
          <w:rFonts w:ascii="Arial" w:hAnsi="Arial" w:cs="Arial"/>
          <w:sz w:val="18"/>
          <w:szCs w:val="18"/>
        </w:rPr>
        <w:t xml:space="preserve"> mld. Kč) a činil 2</w:t>
      </w:r>
      <w:r w:rsidR="001A46F0" w:rsidRPr="00ED4166">
        <w:rPr>
          <w:rFonts w:ascii="Arial" w:hAnsi="Arial" w:cs="Arial"/>
          <w:sz w:val="18"/>
          <w:szCs w:val="18"/>
        </w:rPr>
        <w:t> 345,0</w:t>
      </w:r>
      <w:r w:rsidR="00F93CC4" w:rsidRPr="00ED4166">
        <w:rPr>
          <w:rFonts w:ascii="Arial" w:hAnsi="Arial" w:cs="Arial"/>
          <w:sz w:val="18"/>
          <w:szCs w:val="18"/>
        </w:rPr>
        <w:t xml:space="preserve"> mld. Kč. </w:t>
      </w:r>
      <w:r w:rsidR="001A46F0" w:rsidRPr="00ED4166">
        <w:rPr>
          <w:rFonts w:ascii="Arial" w:hAnsi="Arial" w:cs="Arial"/>
          <w:sz w:val="18"/>
          <w:szCs w:val="18"/>
        </w:rPr>
        <w:t>Zatímco</w:t>
      </w:r>
      <w:r w:rsidR="00F93CC4" w:rsidRPr="00ED4166">
        <w:rPr>
          <w:rFonts w:ascii="Arial" w:hAnsi="Arial" w:cs="Arial"/>
          <w:sz w:val="18"/>
          <w:szCs w:val="18"/>
        </w:rPr>
        <w:t xml:space="preserve"> dovoz ze států </w:t>
      </w:r>
      <w:r w:rsidR="00F93CC4" w:rsidRPr="00E52E4A">
        <w:rPr>
          <w:rFonts w:ascii="Arial" w:hAnsi="Arial" w:cs="Arial"/>
          <w:sz w:val="18"/>
          <w:szCs w:val="18"/>
        </w:rPr>
        <w:t>mimo EU</w:t>
      </w:r>
      <w:r w:rsidR="00F93CC4" w:rsidRPr="00ED4166">
        <w:rPr>
          <w:rFonts w:ascii="Arial" w:hAnsi="Arial" w:cs="Arial"/>
          <w:sz w:val="18"/>
          <w:szCs w:val="18"/>
        </w:rPr>
        <w:t xml:space="preserve"> v roce 201</w:t>
      </w:r>
      <w:r w:rsidR="006855C8" w:rsidRPr="00ED4166">
        <w:rPr>
          <w:rFonts w:ascii="Arial" w:hAnsi="Arial" w:cs="Arial"/>
          <w:sz w:val="18"/>
          <w:szCs w:val="18"/>
        </w:rPr>
        <w:t>5</w:t>
      </w:r>
      <w:r w:rsidR="001A46F0" w:rsidRPr="00ED4166">
        <w:rPr>
          <w:rFonts w:ascii="Arial" w:hAnsi="Arial" w:cs="Arial"/>
          <w:sz w:val="18"/>
          <w:szCs w:val="18"/>
        </w:rPr>
        <w:t xml:space="preserve"> vzrostl</w:t>
      </w:r>
      <w:r w:rsidR="00F93CC4" w:rsidRPr="00ED4166">
        <w:rPr>
          <w:rFonts w:ascii="Arial" w:hAnsi="Arial" w:cs="Arial"/>
          <w:sz w:val="18"/>
          <w:szCs w:val="18"/>
        </w:rPr>
        <w:t xml:space="preserve"> </w:t>
      </w:r>
      <w:r w:rsidR="001A46F0" w:rsidRPr="00ED4166">
        <w:rPr>
          <w:rFonts w:ascii="Arial" w:hAnsi="Arial" w:cs="Arial"/>
          <w:sz w:val="18"/>
          <w:szCs w:val="18"/>
        </w:rPr>
        <w:t>o</w:t>
      </w:r>
      <w:r w:rsidR="00F93CC4" w:rsidRPr="00ED4166">
        <w:rPr>
          <w:rFonts w:ascii="Arial" w:hAnsi="Arial" w:cs="Arial"/>
          <w:sz w:val="18"/>
          <w:szCs w:val="18"/>
        </w:rPr>
        <w:t xml:space="preserve"> </w:t>
      </w:r>
      <w:r w:rsidR="001A46F0" w:rsidRPr="00ED4166">
        <w:rPr>
          <w:rFonts w:ascii="Arial" w:hAnsi="Arial" w:cs="Arial"/>
          <w:sz w:val="18"/>
          <w:szCs w:val="18"/>
        </w:rPr>
        <w:t>10,6</w:t>
      </w:r>
      <w:r w:rsidR="00F93CC4" w:rsidRPr="00ED4166">
        <w:rPr>
          <w:rFonts w:ascii="Arial" w:hAnsi="Arial" w:cs="Arial"/>
          <w:sz w:val="18"/>
          <w:szCs w:val="18"/>
        </w:rPr>
        <w:t xml:space="preserve"> % (</w:t>
      </w:r>
      <w:r w:rsidR="001A46F0" w:rsidRPr="00ED4166">
        <w:rPr>
          <w:rFonts w:ascii="Arial" w:hAnsi="Arial" w:cs="Arial"/>
          <w:sz w:val="18"/>
          <w:szCs w:val="18"/>
        </w:rPr>
        <w:t>112,7</w:t>
      </w:r>
      <w:r w:rsidR="00F93CC4" w:rsidRPr="00ED4166">
        <w:rPr>
          <w:rFonts w:ascii="Arial" w:hAnsi="Arial" w:cs="Arial"/>
          <w:sz w:val="18"/>
          <w:szCs w:val="18"/>
        </w:rPr>
        <w:t xml:space="preserve"> mld. Kč) na </w:t>
      </w:r>
      <w:r w:rsidR="001A46F0" w:rsidRPr="00ED4166">
        <w:rPr>
          <w:rFonts w:ascii="Arial" w:hAnsi="Arial" w:cs="Arial"/>
          <w:sz w:val="18"/>
          <w:szCs w:val="18"/>
        </w:rPr>
        <w:t>1 126,4</w:t>
      </w:r>
      <w:r w:rsidR="00F93CC4" w:rsidRPr="00ED4166">
        <w:rPr>
          <w:rFonts w:ascii="Arial" w:hAnsi="Arial" w:cs="Arial"/>
          <w:sz w:val="18"/>
          <w:szCs w:val="18"/>
        </w:rPr>
        <w:t xml:space="preserve"> mld. Kč, </w:t>
      </w:r>
      <w:r w:rsidR="00ED4166" w:rsidRPr="00ED4166">
        <w:rPr>
          <w:rFonts w:ascii="Arial" w:hAnsi="Arial" w:cs="Arial"/>
          <w:sz w:val="18"/>
          <w:szCs w:val="18"/>
        </w:rPr>
        <w:t>tak</w:t>
      </w:r>
      <w:r w:rsidR="00F93CC4" w:rsidRPr="00ED4166">
        <w:rPr>
          <w:rFonts w:ascii="Arial" w:hAnsi="Arial" w:cs="Arial"/>
          <w:sz w:val="18"/>
          <w:szCs w:val="18"/>
        </w:rPr>
        <w:t xml:space="preserve"> v roce 201</w:t>
      </w:r>
      <w:r w:rsidR="001A46F0" w:rsidRPr="00ED4166">
        <w:rPr>
          <w:rFonts w:ascii="Arial" w:hAnsi="Arial" w:cs="Arial"/>
          <w:sz w:val="18"/>
          <w:szCs w:val="18"/>
        </w:rPr>
        <w:t>6</w:t>
      </w:r>
      <w:r w:rsidR="00F93CC4" w:rsidRPr="00ED4166">
        <w:rPr>
          <w:rFonts w:ascii="Arial" w:hAnsi="Arial" w:cs="Arial"/>
          <w:sz w:val="18"/>
          <w:szCs w:val="18"/>
        </w:rPr>
        <w:t xml:space="preserve"> naopak zaznamenal </w:t>
      </w:r>
      <w:r w:rsidR="001A46F0" w:rsidRPr="00ED4166">
        <w:rPr>
          <w:rFonts w:ascii="Arial" w:hAnsi="Arial" w:cs="Arial"/>
          <w:sz w:val="18"/>
          <w:szCs w:val="18"/>
        </w:rPr>
        <w:t>pokles</w:t>
      </w:r>
      <w:r w:rsidR="00F93CC4" w:rsidRPr="00ED4166">
        <w:rPr>
          <w:rFonts w:ascii="Arial" w:hAnsi="Arial" w:cs="Arial"/>
          <w:sz w:val="18"/>
          <w:szCs w:val="18"/>
        </w:rPr>
        <w:t xml:space="preserve"> o </w:t>
      </w:r>
      <w:r w:rsidR="001A46F0" w:rsidRPr="00ED4166">
        <w:rPr>
          <w:rFonts w:ascii="Arial" w:hAnsi="Arial" w:cs="Arial"/>
          <w:sz w:val="18"/>
          <w:szCs w:val="18"/>
        </w:rPr>
        <w:t>4,3</w:t>
      </w:r>
      <w:r w:rsidR="00F93CC4" w:rsidRPr="00ED4166">
        <w:rPr>
          <w:rFonts w:ascii="Arial" w:hAnsi="Arial" w:cs="Arial"/>
          <w:sz w:val="18"/>
          <w:szCs w:val="18"/>
        </w:rPr>
        <w:t xml:space="preserve"> % (</w:t>
      </w:r>
      <w:r w:rsidR="001A46F0" w:rsidRPr="00ED4166">
        <w:rPr>
          <w:rFonts w:ascii="Arial" w:hAnsi="Arial" w:cs="Arial"/>
          <w:sz w:val="18"/>
          <w:szCs w:val="18"/>
        </w:rPr>
        <w:t>50,2</w:t>
      </w:r>
      <w:r w:rsidR="00F93CC4" w:rsidRPr="00ED4166">
        <w:rPr>
          <w:rFonts w:ascii="Arial" w:hAnsi="Arial" w:cs="Arial"/>
          <w:sz w:val="18"/>
          <w:szCs w:val="18"/>
        </w:rPr>
        <w:t> mld. Kč).</w:t>
      </w:r>
    </w:p>
    <w:p w:rsidR="0062312D" w:rsidRPr="000568E8" w:rsidRDefault="00872CBF" w:rsidP="00A344A5">
      <w:pPr>
        <w:spacing w:after="160"/>
        <w:jc w:val="both"/>
        <w:rPr>
          <w:rFonts w:ascii="Arial" w:hAnsi="Arial" w:cs="Arial"/>
          <w:color w:val="FF0000"/>
          <w:sz w:val="18"/>
          <w:szCs w:val="18"/>
        </w:rPr>
      </w:pPr>
      <w:r w:rsidRPr="00ED4166">
        <w:rPr>
          <w:rFonts w:ascii="Arial" w:hAnsi="Arial" w:cs="Arial"/>
          <w:sz w:val="18"/>
          <w:szCs w:val="18"/>
        </w:rPr>
        <w:lastRenderedPageBreak/>
        <w:t>Na navýšení c</w:t>
      </w:r>
      <w:r w:rsidR="0062312D" w:rsidRPr="00ED4166">
        <w:rPr>
          <w:rFonts w:ascii="Arial" w:hAnsi="Arial" w:cs="Arial"/>
          <w:sz w:val="18"/>
          <w:szCs w:val="18"/>
        </w:rPr>
        <w:t>elkov</w:t>
      </w:r>
      <w:r w:rsidRPr="00ED4166">
        <w:rPr>
          <w:rFonts w:ascii="Arial" w:hAnsi="Arial" w:cs="Arial"/>
          <w:sz w:val="18"/>
          <w:szCs w:val="18"/>
        </w:rPr>
        <w:t>é</w:t>
      </w:r>
      <w:r w:rsidR="0062312D" w:rsidRPr="00ED4166">
        <w:rPr>
          <w:rFonts w:ascii="Arial" w:hAnsi="Arial" w:cs="Arial"/>
          <w:sz w:val="18"/>
          <w:szCs w:val="18"/>
        </w:rPr>
        <w:t xml:space="preserve"> roční hodnot</w:t>
      </w:r>
      <w:r w:rsidRPr="00ED4166">
        <w:rPr>
          <w:rFonts w:ascii="Arial" w:hAnsi="Arial" w:cs="Arial"/>
          <w:sz w:val="18"/>
          <w:szCs w:val="18"/>
        </w:rPr>
        <w:t>y</w:t>
      </w:r>
      <w:r w:rsidR="0062312D" w:rsidRPr="00ED4166">
        <w:rPr>
          <w:rFonts w:ascii="Arial" w:hAnsi="Arial" w:cs="Arial"/>
          <w:sz w:val="18"/>
          <w:szCs w:val="18"/>
        </w:rPr>
        <w:t xml:space="preserve"> </w:t>
      </w:r>
      <w:r w:rsidR="0062312D" w:rsidRPr="00ED4166">
        <w:rPr>
          <w:rFonts w:ascii="Arial" w:hAnsi="Arial" w:cs="Arial"/>
          <w:b/>
          <w:sz w:val="18"/>
          <w:szCs w:val="18"/>
        </w:rPr>
        <w:t>dovozu ze států E</w:t>
      </w:r>
      <w:r w:rsidR="00DF4D31" w:rsidRPr="00ED4166">
        <w:rPr>
          <w:rFonts w:ascii="Arial" w:hAnsi="Arial" w:cs="Arial"/>
          <w:b/>
          <w:sz w:val="18"/>
          <w:szCs w:val="18"/>
        </w:rPr>
        <w:t>vropské unie</w:t>
      </w:r>
      <w:r w:rsidR="0062312D" w:rsidRPr="00ED4166">
        <w:rPr>
          <w:rFonts w:ascii="Arial" w:hAnsi="Arial" w:cs="Arial"/>
          <w:sz w:val="18"/>
          <w:szCs w:val="18"/>
        </w:rPr>
        <w:t xml:space="preserve"> </w:t>
      </w:r>
      <w:r w:rsidRPr="00ED4166">
        <w:rPr>
          <w:rFonts w:ascii="Arial" w:hAnsi="Arial" w:cs="Arial"/>
          <w:sz w:val="18"/>
          <w:szCs w:val="18"/>
        </w:rPr>
        <w:t xml:space="preserve">kladně působil především růst </w:t>
      </w:r>
      <w:r w:rsidRPr="00E52E4A">
        <w:rPr>
          <w:rFonts w:ascii="Arial" w:hAnsi="Arial" w:cs="Arial"/>
          <w:sz w:val="18"/>
          <w:szCs w:val="18"/>
        </w:rPr>
        <w:t xml:space="preserve">dovozu z Německa </w:t>
      </w:r>
      <w:r w:rsidR="00DF4D31" w:rsidRPr="00E52E4A">
        <w:rPr>
          <w:rFonts w:ascii="Arial" w:hAnsi="Arial" w:cs="Arial"/>
          <w:sz w:val="18"/>
          <w:szCs w:val="18"/>
        </w:rPr>
        <w:t>(o </w:t>
      </w:r>
      <w:r w:rsidR="00E52E4A" w:rsidRPr="00E52E4A">
        <w:rPr>
          <w:rFonts w:ascii="Arial" w:hAnsi="Arial" w:cs="Arial"/>
          <w:sz w:val="18"/>
          <w:szCs w:val="18"/>
        </w:rPr>
        <w:t>22,6</w:t>
      </w:r>
      <w:r w:rsidRPr="00E52E4A">
        <w:rPr>
          <w:rFonts w:ascii="Arial" w:hAnsi="Arial" w:cs="Arial"/>
          <w:sz w:val="18"/>
          <w:szCs w:val="18"/>
        </w:rPr>
        <w:t xml:space="preserve"> mld. Kč), </w:t>
      </w:r>
      <w:r w:rsidR="00E52E4A">
        <w:rPr>
          <w:rFonts w:ascii="Arial" w:hAnsi="Arial" w:cs="Arial"/>
          <w:sz w:val="18"/>
          <w:szCs w:val="18"/>
        </w:rPr>
        <w:t xml:space="preserve">Spojeného království (o 18,7 mld. Kč), </w:t>
      </w:r>
      <w:r w:rsidRPr="00E52E4A">
        <w:rPr>
          <w:rFonts w:ascii="Arial" w:hAnsi="Arial" w:cs="Arial"/>
          <w:sz w:val="18"/>
          <w:szCs w:val="18"/>
        </w:rPr>
        <w:t xml:space="preserve">Polska (o </w:t>
      </w:r>
      <w:r w:rsidR="00E52E4A" w:rsidRPr="00E52E4A">
        <w:rPr>
          <w:rFonts w:ascii="Arial" w:hAnsi="Arial" w:cs="Arial"/>
          <w:sz w:val="18"/>
          <w:szCs w:val="18"/>
        </w:rPr>
        <w:t>13,3</w:t>
      </w:r>
      <w:r w:rsidRPr="00E52E4A">
        <w:rPr>
          <w:rFonts w:ascii="Arial" w:hAnsi="Arial" w:cs="Arial"/>
          <w:sz w:val="18"/>
          <w:szCs w:val="18"/>
        </w:rPr>
        <w:t xml:space="preserve"> mld. Kč)</w:t>
      </w:r>
      <w:r w:rsidR="00E52E4A">
        <w:rPr>
          <w:rFonts w:ascii="Arial" w:hAnsi="Arial" w:cs="Arial"/>
          <w:sz w:val="18"/>
          <w:szCs w:val="18"/>
        </w:rPr>
        <w:t xml:space="preserve"> a</w:t>
      </w:r>
      <w:r w:rsidRPr="00E52E4A">
        <w:rPr>
          <w:rFonts w:ascii="Arial" w:hAnsi="Arial" w:cs="Arial"/>
          <w:sz w:val="18"/>
          <w:szCs w:val="18"/>
        </w:rPr>
        <w:t xml:space="preserve"> Itálie (o 9,</w:t>
      </w:r>
      <w:r w:rsidR="00E52E4A" w:rsidRPr="00E52E4A">
        <w:rPr>
          <w:rFonts w:ascii="Arial" w:hAnsi="Arial" w:cs="Arial"/>
          <w:sz w:val="18"/>
          <w:szCs w:val="18"/>
        </w:rPr>
        <w:t>7</w:t>
      </w:r>
      <w:r w:rsidRPr="00E52E4A">
        <w:rPr>
          <w:rFonts w:ascii="Arial" w:hAnsi="Arial" w:cs="Arial"/>
          <w:sz w:val="18"/>
          <w:szCs w:val="18"/>
        </w:rPr>
        <w:t xml:space="preserve"> mld. Kč). </w:t>
      </w:r>
      <w:r w:rsidR="00D8409D" w:rsidRPr="00E52E4A">
        <w:rPr>
          <w:rFonts w:ascii="Arial" w:hAnsi="Arial" w:cs="Arial"/>
          <w:sz w:val="18"/>
          <w:szCs w:val="18"/>
        </w:rPr>
        <w:t>Výrazné sn</w:t>
      </w:r>
      <w:r w:rsidR="00794EEF" w:rsidRPr="00E52E4A">
        <w:rPr>
          <w:rFonts w:ascii="Arial" w:hAnsi="Arial" w:cs="Arial"/>
          <w:sz w:val="18"/>
          <w:szCs w:val="18"/>
        </w:rPr>
        <w:t>ížení dovozu</w:t>
      </w:r>
      <w:r w:rsidRPr="00E52E4A">
        <w:rPr>
          <w:rFonts w:ascii="Arial" w:hAnsi="Arial" w:cs="Arial"/>
          <w:sz w:val="18"/>
          <w:szCs w:val="18"/>
        </w:rPr>
        <w:t xml:space="preserve"> nastal</w:t>
      </w:r>
      <w:r w:rsidR="00794EEF" w:rsidRPr="00E52E4A">
        <w:rPr>
          <w:rFonts w:ascii="Arial" w:hAnsi="Arial" w:cs="Arial"/>
          <w:sz w:val="18"/>
          <w:szCs w:val="18"/>
        </w:rPr>
        <w:t>o</w:t>
      </w:r>
      <w:r w:rsidR="002A3029" w:rsidRPr="00E52E4A">
        <w:rPr>
          <w:rFonts w:ascii="Arial" w:hAnsi="Arial" w:cs="Arial"/>
          <w:sz w:val="18"/>
          <w:szCs w:val="18"/>
        </w:rPr>
        <w:t xml:space="preserve"> u </w:t>
      </w:r>
      <w:r w:rsidRPr="00E52E4A">
        <w:rPr>
          <w:rFonts w:ascii="Arial" w:hAnsi="Arial" w:cs="Arial"/>
          <w:sz w:val="18"/>
          <w:szCs w:val="18"/>
        </w:rPr>
        <w:t xml:space="preserve">obchodu </w:t>
      </w:r>
      <w:r w:rsidR="00794EEF" w:rsidRPr="00E52E4A">
        <w:rPr>
          <w:rFonts w:ascii="Arial" w:hAnsi="Arial" w:cs="Arial"/>
          <w:sz w:val="18"/>
          <w:szCs w:val="18"/>
        </w:rPr>
        <w:t xml:space="preserve">České republiky </w:t>
      </w:r>
      <w:r w:rsidRPr="00E52E4A">
        <w:rPr>
          <w:rFonts w:ascii="Arial" w:hAnsi="Arial" w:cs="Arial"/>
          <w:sz w:val="18"/>
          <w:szCs w:val="18"/>
        </w:rPr>
        <w:t>s Nizozemskem (</w:t>
      </w:r>
      <w:r w:rsidR="00E52E4A">
        <w:rPr>
          <w:rFonts w:ascii="Arial" w:hAnsi="Arial" w:cs="Arial"/>
          <w:sz w:val="18"/>
          <w:szCs w:val="18"/>
        </w:rPr>
        <w:t>3,9</w:t>
      </w:r>
      <w:r w:rsidRPr="00E52E4A">
        <w:rPr>
          <w:rFonts w:ascii="Arial" w:hAnsi="Arial" w:cs="Arial"/>
          <w:sz w:val="18"/>
          <w:szCs w:val="18"/>
        </w:rPr>
        <w:t xml:space="preserve"> mld. Kč)</w:t>
      </w:r>
      <w:r w:rsidR="00E52E4A">
        <w:rPr>
          <w:rFonts w:ascii="Arial" w:hAnsi="Arial" w:cs="Arial"/>
          <w:sz w:val="18"/>
          <w:szCs w:val="18"/>
        </w:rPr>
        <w:t xml:space="preserve"> a Rakouskem (o 2,1 mld. Kč</w:t>
      </w:r>
      <w:r w:rsidR="00E52E4A" w:rsidRPr="00E52E4A">
        <w:rPr>
          <w:rFonts w:ascii="Arial" w:hAnsi="Arial" w:cs="Arial"/>
          <w:sz w:val="18"/>
          <w:szCs w:val="18"/>
        </w:rPr>
        <w:t>)</w:t>
      </w:r>
      <w:r w:rsidR="00D8409D" w:rsidRPr="00E52E4A">
        <w:rPr>
          <w:rFonts w:ascii="Arial" w:hAnsi="Arial" w:cs="Arial"/>
          <w:sz w:val="18"/>
          <w:szCs w:val="18"/>
        </w:rPr>
        <w:t xml:space="preserve">, </w:t>
      </w:r>
      <w:r w:rsidR="00E52E4A">
        <w:rPr>
          <w:rFonts w:ascii="Arial" w:hAnsi="Arial" w:cs="Arial"/>
          <w:sz w:val="18"/>
          <w:szCs w:val="18"/>
        </w:rPr>
        <w:t>dále pak s Dánskem, Slovenskem a Maďarskem</w:t>
      </w:r>
      <w:r w:rsidRPr="000568E8">
        <w:rPr>
          <w:rFonts w:ascii="Arial" w:hAnsi="Arial" w:cs="Arial"/>
          <w:color w:val="FF0000"/>
          <w:sz w:val="18"/>
          <w:szCs w:val="18"/>
        </w:rPr>
        <w:t>.</w:t>
      </w:r>
      <w:r w:rsidR="00EF1B1D" w:rsidRPr="000568E8">
        <w:rPr>
          <w:rFonts w:ascii="Arial" w:hAnsi="Arial" w:cs="Arial"/>
          <w:color w:val="FF0000"/>
          <w:sz w:val="18"/>
          <w:szCs w:val="18"/>
        </w:rPr>
        <w:t xml:space="preserve"> </w:t>
      </w:r>
    </w:p>
    <w:p w:rsidR="00C77352" w:rsidRPr="00BA352B" w:rsidRDefault="00C77352" w:rsidP="00C77352">
      <w:pPr>
        <w:spacing w:after="80"/>
        <w:jc w:val="both"/>
        <w:rPr>
          <w:rFonts w:ascii="Arial" w:hAnsi="Arial" w:cs="Arial"/>
          <w:b/>
          <w:sz w:val="18"/>
          <w:szCs w:val="18"/>
        </w:rPr>
      </w:pPr>
      <w:r w:rsidRPr="00BA352B">
        <w:rPr>
          <w:rFonts w:ascii="Arial" w:hAnsi="Arial" w:cs="Arial"/>
          <w:b/>
          <w:sz w:val="18"/>
          <w:szCs w:val="18"/>
        </w:rPr>
        <w:t xml:space="preserve">Graf </w:t>
      </w:r>
      <w:r w:rsidR="00FC7AE3" w:rsidRPr="00BA352B">
        <w:rPr>
          <w:rFonts w:ascii="Arial" w:hAnsi="Arial" w:cs="Arial"/>
          <w:b/>
          <w:sz w:val="18"/>
          <w:szCs w:val="18"/>
        </w:rPr>
        <w:t>8</w:t>
      </w:r>
      <w:r w:rsidRPr="00BA352B">
        <w:rPr>
          <w:rFonts w:ascii="Arial" w:hAnsi="Arial" w:cs="Arial"/>
          <w:b/>
          <w:sz w:val="18"/>
          <w:szCs w:val="18"/>
        </w:rPr>
        <w:t xml:space="preserve"> </w:t>
      </w:r>
      <w:r w:rsidR="00E267F8" w:rsidRPr="00BA352B">
        <w:rPr>
          <w:rFonts w:ascii="Arial" w:hAnsi="Arial" w:cs="Arial"/>
          <w:b/>
          <w:sz w:val="18"/>
          <w:szCs w:val="18"/>
        </w:rPr>
        <w:t>-</w:t>
      </w:r>
      <w:r w:rsidRPr="00BA352B">
        <w:rPr>
          <w:rFonts w:ascii="Arial" w:hAnsi="Arial" w:cs="Arial"/>
          <w:b/>
          <w:sz w:val="18"/>
          <w:szCs w:val="18"/>
        </w:rPr>
        <w:t xml:space="preserve"> </w:t>
      </w:r>
      <w:r w:rsidR="00E267F8" w:rsidRPr="00BA352B">
        <w:rPr>
          <w:rFonts w:ascii="Arial" w:hAnsi="Arial" w:cs="Arial"/>
          <w:b/>
          <w:sz w:val="18"/>
          <w:szCs w:val="18"/>
        </w:rPr>
        <w:t>Zahraniční obchod se státy</w:t>
      </w:r>
      <w:r w:rsidRPr="00BA352B">
        <w:rPr>
          <w:rFonts w:ascii="Arial" w:hAnsi="Arial" w:cs="Arial"/>
          <w:b/>
          <w:sz w:val="18"/>
          <w:szCs w:val="18"/>
        </w:rPr>
        <w:t xml:space="preserve"> </w:t>
      </w:r>
      <w:r w:rsidR="00C00A67" w:rsidRPr="00BA352B">
        <w:rPr>
          <w:rFonts w:ascii="Arial" w:hAnsi="Arial" w:cs="Arial"/>
          <w:b/>
          <w:sz w:val="18"/>
          <w:szCs w:val="18"/>
        </w:rPr>
        <w:t xml:space="preserve">mimo </w:t>
      </w:r>
      <w:r w:rsidRPr="00BA352B">
        <w:rPr>
          <w:rFonts w:ascii="Arial" w:hAnsi="Arial" w:cs="Arial"/>
          <w:b/>
          <w:sz w:val="18"/>
          <w:szCs w:val="18"/>
        </w:rPr>
        <w:t>EU v roce 201</w:t>
      </w:r>
      <w:r w:rsidR="00BA352B" w:rsidRPr="00BA352B">
        <w:rPr>
          <w:rFonts w:ascii="Arial" w:hAnsi="Arial" w:cs="Arial"/>
          <w:b/>
          <w:sz w:val="18"/>
          <w:szCs w:val="18"/>
        </w:rPr>
        <w:t>6</w:t>
      </w:r>
      <w:r w:rsidRPr="00BA352B">
        <w:rPr>
          <w:rFonts w:ascii="Arial" w:hAnsi="Arial" w:cs="Arial"/>
          <w:b/>
          <w:sz w:val="18"/>
          <w:szCs w:val="18"/>
        </w:rPr>
        <w:t xml:space="preserve"> (podíly v %)</w:t>
      </w:r>
    </w:p>
    <w:p w:rsidR="00EF5458" w:rsidRPr="00BA352B" w:rsidRDefault="00EF5458" w:rsidP="00794EEF">
      <w:pPr>
        <w:spacing w:after="40"/>
        <w:jc w:val="both"/>
        <w:rPr>
          <w:rFonts w:ascii="Arial" w:hAnsi="Arial" w:cs="Arial"/>
          <w:sz w:val="18"/>
          <w:szCs w:val="18"/>
        </w:rPr>
      </w:pPr>
      <w:r w:rsidRPr="00BA352B">
        <w:rPr>
          <w:rFonts w:ascii="Arial" w:hAnsi="Arial" w:cs="Arial"/>
          <w:b/>
          <w:sz w:val="18"/>
          <w:szCs w:val="18"/>
        </w:rPr>
        <w:tab/>
      </w:r>
      <w:r w:rsidRPr="00BA352B">
        <w:rPr>
          <w:rFonts w:ascii="Arial" w:hAnsi="Arial" w:cs="Arial"/>
          <w:b/>
          <w:sz w:val="18"/>
          <w:szCs w:val="18"/>
        </w:rPr>
        <w:tab/>
      </w:r>
      <w:r w:rsidR="00FC7AE3" w:rsidRPr="0063110E">
        <w:rPr>
          <w:rFonts w:ascii="Arial" w:hAnsi="Arial" w:cs="Arial"/>
          <w:sz w:val="18"/>
          <w:szCs w:val="18"/>
        </w:rPr>
        <w:t xml:space="preserve">    v</w:t>
      </w:r>
      <w:r w:rsidRPr="0063110E">
        <w:rPr>
          <w:rFonts w:ascii="Arial" w:hAnsi="Arial" w:cs="Arial"/>
          <w:sz w:val="18"/>
          <w:szCs w:val="18"/>
        </w:rPr>
        <w:t>ývoz</w:t>
      </w:r>
      <w:r w:rsidRPr="0063110E">
        <w:rPr>
          <w:rFonts w:ascii="Arial" w:hAnsi="Arial" w:cs="Arial"/>
          <w:sz w:val="18"/>
          <w:szCs w:val="18"/>
        </w:rPr>
        <w:tab/>
      </w:r>
      <w:r w:rsidRPr="00BA352B">
        <w:rPr>
          <w:rFonts w:ascii="Arial" w:hAnsi="Arial" w:cs="Arial"/>
          <w:b/>
          <w:sz w:val="18"/>
          <w:szCs w:val="18"/>
        </w:rPr>
        <w:tab/>
      </w:r>
      <w:r w:rsidRPr="00BA352B">
        <w:rPr>
          <w:rFonts w:ascii="Arial" w:hAnsi="Arial" w:cs="Arial"/>
          <w:b/>
          <w:sz w:val="18"/>
          <w:szCs w:val="18"/>
        </w:rPr>
        <w:tab/>
      </w:r>
      <w:r w:rsidRPr="00BA352B">
        <w:rPr>
          <w:rFonts w:ascii="Arial" w:hAnsi="Arial" w:cs="Arial"/>
          <w:b/>
          <w:sz w:val="18"/>
          <w:szCs w:val="18"/>
        </w:rPr>
        <w:tab/>
      </w:r>
      <w:r w:rsidRPr="00BA352B">
        <w:rPr>
          <w:rFonts w:ascii="Arial" w:hAnsi="Arial" w:cs="Arial"/>
          <w:b/>
          <w:sz w:val="18"/>
          <w:szCs w:val="18"/>
        </w:rPr>
        <w:tab/>
      </w:r>
      <w:r w:rsidRPr="00BA352B">
        <w:rPr>
          <w:rFonts w:ascii="Arial" w:hAnsi="Arial" w:cs="Arial"/>
          <w:b/>
          <w:sz w:val="18"/>
          <w:szCs w:val="18"/>
        </w:rPr>
        <w:tab/>
      </w:r>
      <w:r w:rsidRPr="00BA352B">
        <w:rPr>
          <w:rFonts w:ascii="Arial" w:hAnsi="Arial" w:cs="Arial"/>
          <w:b/>
          <w:sz w:val="18"/>
          <w:szCs w:val="18"/>
        </w:rPr>
        <w:tab/>
      </w:r>
      <w:r w:rsidR="00FC7AE3" w:rsidRPr="00BA352B">
        <w:rPr>
          <w:rFonts w:ascii="Arial" w:hAnsi="Arial" w:cs="Arial"/>
          <w:b/>
          <w:sz w:val="18"/>
          <w:szCs w:val="18"/>
        </w:rPr>
        <w:tab/>
        <w:t xml:space="preserve">       </w:t>
      </w:r>
      <w:r w:rsidRPr="00BA352B">
        <w:rPr>
          <w:rFonts w:ascii="Arial" w:hAnsi="Arial" w:cs="Arial"/>
          <w:sz w:val="18"/>
          <w:szCs w:val="18"/>
        </w:rPr>
        <w:t>dovoz</w:t>
      </w:r>
    </w:p>
    <w:p w:rsidR="00C77352" w:rsidRPr="000568E8" w:rsidRDefault="005E2C18" w:rsidP="00EF5458">
      <w:pPr>
        <w:spacing w:after="0"/>
        <w:jc w:val="both"/>
        <w:rPr>
          <w:rFonts w:ascii="Arial" w:hAnsi="Arial" w:cs="Arial"/>
          <w:color w:val="FF0000"/>
          <w:sz w:val="18"/>
          <w:szCs w:val="18"/>
        </w:rPr>
      </w:pPr>
      <w:r>
        <w:rPr>
          <w:rFonts w:ascii="Arial" w:hAnsi="Arial" w:cs="Arial"/>
          <w:color w:val="FF0000"/>
          <w:sz w:val="18"/>
          <w:szCs w:val="18"/>
        </w:rPr>
        <w:pict>
          <v:shape id="_x0000_i1034" type="#_x0000_t75" style="width:235.5pt;height:195.75pt">
            <v:imagedata r:id="rId18" o:title=""/>
          </v:shape>
        </w:pict>
      </w:r>
      <w:r w:rsidR="00BA352B">
        <w:rPr>
          <w:rFonts w:ascii="Arial" w:hAnsi="Arial" w:cs="Arial"/>
          <w:color w:val="FF0000"/>
          <w:sz w:val="18"/>
          <w:szCs w:val="18"/>
        </w:rPr>
        <w:t xml:space="preserve">    </w:t>
      </w:r>
      <w:r>
        <w:rPr>
          <w:rFonts w:ascii="Arial" w:hAnsi="Arial" w:cs="Arial"/>
          <w:color w:val="FF0000"/>
          <w:sz w:val="18"/>
          <w:szCs w:val="18"/>
        </w:rPr>
        <w:pict>
          <v:shape id="_x0000_i1035" type="#_x0000_t75" style="width:235.5pt;height:195.75pt">
            <v:imagedata r:id="rId19" o:title=""/>
          </v:shape>
        </w:pict>
      </w:r>
      <w:r w:rsidR="00FC7AE3" w:rsidRPr="000568E8">
        <w:rPr>
          <w:rFonts w:ascii="Arial" w:hAnsi="Arial" w:cs="Arial"/>
          <w:color w:val="FF0000"/>
          <w:sz w:val="18"/>
          <w:szCs w:val="18"/>
        </w:rPr>
        <w:t xml:space="preserve">    </w:t>
      </w:r>
    </w:p>
    <w:p w:rsidR="00273B49" w:rsidRPr="000568E8" w:rsidRDefault="00273B49" w:rsidP="00A344A5">
      <w:pPr>
        <w:spacing w:before="120" w:after="160"/>
        <w:jc w:val="both"/>
        <w:rPr>
          <w:rFonts w:ascii="Arial" w:hAnsi="Arial" w:cs="Arial"/>
          <w:color w:val="FF0000"/>
          <w:sz w:val="18"/>
          <w:szCs w:val="18"/>
        </w:rPr>
      </w:pPr>
      <w:r w:rsidRPr="00273B49">
        <w:rPr>
          <w:rFonts w:ascii="Arial" w:hAnsi="Arial" w:cs="Arial"/>
          <w:b/>
          <w:sz w:val="18"/>
          <w:szCs w:val="18"/>
        </w:rPr>
        <w:t>Ze států mimo EU</w:t>
      </w:r>
      <w:r w:rsidRPr="00273B49">
        <w:rPr>
          <w:rFonts w:ascii="Arial" w:hAnsi="Arial" w:cs="Arial"/>
          <w:sz w:val="18"/>
          <w:szCs w:val="18"/>
        </w:rPr>
        <w:t xml:space="preserve"> stojí za zaznamenání meziroční změna </w:t>
      </w:r>
      <w:r w:rsidRPr="00273B49">
        <w:rPr>
          <w:rFonts w:ascii="Arial" w:hAnsi="Arial" w:cs="Arial"/>
          <w:b/>
          <w:sz w:val="18"/>
          <w:szCs w:val="18"/>
        </w:rPr>
        <w:t>dovozu</w:t>
      </w:r>
      <w:r w:rsidRPr="00273B49">
        <w:rPr>
          <w:rFonts w:ascii="Arial" w:hAnsi="Arial" w:cs="Arial"/>
          <w:sz w:val="18"/>
          <w:szCs w:val="18"/>
        </w:rPr>
        <w:t xml:space="preserve"> z Číny (pokles o 7,6 % proti nárůstu 28,7 % v roce 2015), pokračující pokles obchodu s Ruskou federací o 19,1 % (19,8 mld. Kč) a Ázerbájdžánem o 54,3 % (13,9 mld. Kč).</w:t>
      </w:r>
      <w:r w:rsidRPr="000568E8">
        <w:rPr>
          <w:rFonts w:ascii="Arial" w:hAnsi="Arial" w:cs="Arial"/>
          <w:color w:val="FF0000"/>
          <w:sz w:val="18"/>
          <w:szCs w:val="18"/>
        </w:rPr>
        <w:t xml:space="preserve"> </w:t>
      </w:r>
      <w:r w:rsidRPr="00E40C65">
        <w:rPr>
          <w:rFonts w:ascii="Arial" w:hAnsi="Arial" w:cs="Arial"/>
          <w:sz w:val="18"/>
          <w:szCs w:val="18"/>
        </w:rPr>
        <w:t xml:space="preserve">Naopak rostl dovoz </w:t>
      </w:r>
      <w:r w:rsidR="00E40C65" w:rsidRPr="00E40C65">
        <w:rPr>
          <w:rFonts w:ascii="Arial" w:hAnsi="Arial" w:cs="Arial"/>
          <w:sz w:val="18"/>
          <w:szCs w:val="18"/>
        </w:rPr>
        <w:t xml:space="preserve">hlavně </w:t>
      </w:r>
      <w:r w:rsidRPr="00E40C65">
        <w:rPr>
          <w:rFonts w:ascii="Arial" w:hAnsi="Arial" w:cs="Arial"/>
          <w:sz w:val="18"/>
          <w:szCs w:val="18"/>
        </w:rPr>
        <w:t>z Japonska, Turecka a</w:t>
      </w:r>
      <w:r w:rsidR="00E40C65" w:rsidRPr="00E40C65">
        <w:rPr>
          <w:rFonts w:ascii="Arial" w:hAnsi="Arial" w:cs="Arial"/>
          <w:sz w:val="18"/>
          <w:szCs w:val="18"/>
        </w:rPr>
        <w:t xml:space="preserve"> Korejské republiky</w:t>
      </w:r>
      <w:r w:rsidRPr="00E40C65">
        <w:rPr>
          <w:rFonts w:ascii="Arial" w:hAnsi="Arial" w:cs="Arial"/>
          <w:sz w:val="18"/>
          <w:szCs w:val="18"/>
        </w:rPr>
        <w:t>.</w:t>
      </w:r>
    </w:p>
    <w:p w:rsidR="00BA7845" w:rsidRPr="00205813" w:rsidRDefault="00BA7845" w:rsidP="004D0CA0">
      <w:pPr>
        <w:spacing w:before="120" w:after="0"/>
        <w:jc w:val="both"/>
        <w:rPr>
          <w:rFonts w:ascii="Arial" w:hAnsi="Arial" w:cs="Arial"/>
          <w:b/>
          <w:sz w:val="18"/>
          <w:szCs w:val="18"/>
        </w:rPr>
      </w:pPr>
      <w:r w:rsidRPr="00205813">
        <w:rPr>
          <w:rFonts w:ascii="Arial" w:hAnsi="Arial" w:cs="Arial"/>
          <w:b/>
          <w:sz w:val="18"/>
          <w:szCs w:val="18"/>
        </w:rPr>
        <w:t xml:space="preserve">Graf </w:t>
      </w:r>
      <w:r w:rsidR="00E42A03" w:rsidRPr="00205813">
        <w:rPr>
          <w:rFonts w:ascii="Arial" w:hAnsi="Arial" w:cs="Arial"/>
          <w:b/>
          <w:sz w:val="18"/>
          <w:szCs w:val="18"/>
        </w:rPr>
        <w:t>9</w:t>
      </w:r>
      <w:r w:rsidRPr="00205813">
        <w:rPr>
          <w:rFonts w:ascii="Arial" w:hAnsi="Arial" w:cs="Arial"/>
          <w:b/>
          <w:sz w:val="18"/>
          <w:szCs w:val="18"/>
        </w:rPr>
        <w:t xml:space="preserve"> - Zahraniční obchod s</w:t>
      </w:r>
      <w:r w:rsidR="00EF5458" w:rsidRPr="00205813">
        <w:rPr>
          <w:rFonts w:ascii="Arial" w:hAnsi="Arial" w:cs="Arial"/>
          <w:b/>
          <w:sz w:val="18"/>
          <w:szCs w:val="18"/>
        </w:rPr>
        <w:t xml:space="preserve">e státy EU a se státy mimo EU </w:t>
      </w:r>
      <w:r w:rsidR="004D0CA0">
        <w:rPr>
          <w:rFonts w:ascii="Arial" w:hAnsi="Arial" w:cs="Arial"/>
          <w:b/>
          <w:sz w:val="18"/>
          <w:szCs w:val="18"/>
        </w:rPr>
        <w:t>(</w:t>
      </w:r>
      <w:r w:rsidRPr="00205813">
        <w:rPr>
          <w:rFonts w:ascii="Arial" w:hAnsi="Arial" w:cs="Arial"/>
          <w:b/>
          <w:sz w:val="18"/>
          <w:szCs w:val="18"/>
        </w:rPr>
        <w:t>v mld. Kč</w:t>
      </w:r>
      <w:r w:rsidR="004D0CA0">
        <w:rPr>
          <w:rFonts w:ascii="Arial" w:hAnsi="Arial" w:cs="Arial"/>
          <w:b/>
          <w:sz w:val="18"/>
          <w:szCs w:val="18"/>
        </w:rPr>
        <w:t>)</w:t>
      </w:r>
    </w:p>
    <w:p w:rsidR="00BA7845" w:rsidRPr="00205813" w:rsidRDefault="00BA7845" w:rsidP="00E9010E">
      <w:pPr>
        <w:spacing w:after="0"/>
        <w:ind w:left="1416" w:firstLine="708"/>
        <w:jc w:val="both"/>
        <w:rPr>
          <w:rFonts w:ascii="Arial" w:hAnsi="Arial" w:cs="Arial"/>
          <w:sz w:val="18"/>
          <w:szCs w:val="18"/>
        </w:rPr>
      </w:pPr>
      <w:r w:rsidRPr="00205813">
        <w:rPr>
          <w:rFonts w:ascii="Arial" w:hAnsi="Arial" w:cs="Arial"/>
          <w:sz w:val="18"/>
          <w:szCs w:val="18"/>
        </w:rPr>
        <w:t xml:space="preserve">      vývoz</w:t>
      </w:r>
      <w:r w:rsidRPr="00205813">
        <w:rPr>
          <w:rFonts w:ascii="Arial" w:hAnsi="Arial" w:cs="Arial"/>
          <w:sz w:val="18"/>
          <w:szCs w:val="18"/>
        </w:rPr>
        <w:tab/>
      </w:r>
      <w:r w:rsidRPr="00205813">
        <w:rPr>
          <w:rFonts w:ascii="Arial" w:hAnsi="Arial" w:cs="Arial"/>
          <w:sz w:val="18"/>
          <w:szCs w:val="18"/>
        </w:rPr>
        <w:tab/>
      </w:r>
      <w:r w:rsidRPr="00205813">
        <w:rPr>
          <w:rFonts w:ascii="Arial" w:hAnsi="Arial" w:cs="Arial"/>
          <w:sz w:val="18"/>
          <w:szCs w:val="18"/>
        </w:rPr>
        <w:tab/>
      </w:r>
      <w:r w:rsidRPr="00205813">
        <w:rPr>
          <w:rFonts w:ascii="Arial" w:hAnsi="Arial" w:cs="Arial"/>
          <w:sz w:val="18"/>
          <w:szCs w:val="18"/>
        </w:rPr>
        <w:tab/>
      </w:r>
      <w:r w:rsidRPr="00205813">
        <w:rPr>
          <w:rFonts w:ascii="Arial" w:hAnsi="Arial" w:cs="Arial"/>
          <w:sz w:val="18"/>
          <w:szCs w:val="18"/>
        </w:rPr>
        <w:tab/>
      </w:r>
      <w:r w:rsidRPr="00205813">
        <w:rPr>
          <w:rFonts w:ascii="Arial" w:hAnsi="Arial" w:cs="Arial"/>
          <w:sz w:val="18"/>
          <w:szCs w:val="18"/>
        </w:rPr>
        <w:tab/>
        <w:t>dovoz</w:t>
      </w:r>
    </w:p>
    <w:p w:rsidR="00E9010E" w:rsidRPr="000568E8" w:rsidRDefault="005E2C18" w:rsidP="00E9010E">
      <w:pPr>
        <w:spacing w:after="0"/>
        <w:ind w:left="1416" w:hanging="1416"/>
        <w:jc w:val="both"/>
        <w:rPr>
          <w:rFonts w:ascii="Arial" w:hAnsi="Arial" w:cs="Arial"/>
          <w:color w:val="FF0000"/>
          <w:sz w:val="18"/>
          <w:szCs w:val="18"/>
        </w:rPr>
      </w:pPr>
      <w:r>
        <w:rPr>
          <w:rFonts w:ascii="Arial" w:hAnsi="Arial" w:cs="Arial"/>
          <w:color w:val="FF0000"/>
          <w:sz w:val="18"/>
          <w:szCs w:val="18"/>
        </w:rPr>
        <w:pict>
          <v:shape id="_x0000_i1036" type="#_x0000_t75" style="width:255pt;height:156.75pt">
            <v:imagedata r:id="rId20" o:title=""/>
          </v:shape>
        </w:pict>
      </w:r>
      <w:r w:rsidR="00205813">
        <w:rPr>
          <w:rFonts w:ascii="Arial" w:hAnsi="Arial" w:cs="Arial"/>
          <w:color w:val="FF0000"/>
          <w:sz w:val="18"/>
          <w:szCs w:val="18"/>
        </w:rPr>
        <w:t xml:space="preserve">  </w:t>
      </w:r>
      <w:r>
        <w:rPr>
          <w:rFonts w:ascii="Arial" w:hAnsi="Arial" w:cs="Arial"/>
          <w:color w:val="FF0000"/>
          <w:sz w:val="18"/>
          <w:szCs w:val="18"/>
        </w:rPr>
        <w:pict>
          <v:shape id="_x0000_i1037" type="#_x0000_t75" style="width:219.75pt;height:156.75pt">
            <v:imagedata r:id="rId21" o:title=""/>
          </v:shape>
        </w:pict>
      </w:r>
      <w:r w:rsidR="00D72E17" w:rsidRPr="000568E8">
        <w:rPr>
          <w:rFonts w:ascii="Arial" w:hAnsi="Arial" w:cs="Arial"/>
          <w:color w:val="FF0000"/>
          <w:sz w:val="18"/>
          <w:szCs w:val="18"/>
        </w:rPr>
        <w:t xml:space="preserve">  </w:t>
      </w:r>
      <w:r w:rsidR="00E9010E" w:rsidRPr="000568E8">
        <w:rPr>
          <w:rFonts w:ascii="Arial" w:hAnsi="Arial" w:cs="Arial"/>
          <w:color w:val="FF0000"/>
          <w:sz w:val="18"/>
          <w:szCs w:val="18"/>
        </w:rPr>
        <w:t xml:space="preserve">  </w:t>
      </w:r>
    </w:p>
    <w:p w:rsidR="00BA7845" w:rsidRPr="000568E8" w:rsidRDefault="00BA7845" w:rsidP="00A11BA6">
      <w:pPr>
        <w:spacing w:before="240" w:after="160"/>
        <w:jc w:val="both"/>
        <w:rPr>
          <w:rFonts w:ascii="Arial" w:hAnsi="Arial" w:cs="Arial"/>
          <w:color w:val="FF0000"/>
          <w:sz w:val="18"/>
          <w:szCs w:val="18"/>
        </w:rPr>
      </w:pPr>
      <w:r w:rsidRPr="002C40D9">
        <w:rPr>
          <w:rFonts w:ascii="Arial" w:hAnsi="Arial" w:cs="Arial"/>
          <w:b/>
          <w:sz w:val="18"/>
          <w:szCs w:val="18"/>
        </w:rPr>
        <w:t xml:space="preserve">Saldo zahraničního obchodu </w:t>
      </w:r>
      <w:r w:rsidR="00D2102D">
        <w:rPr>
          <w:rFonts w:ascii="Arial" w:hAnsi="Arial" w:cs="Arial"/>
          <w:b/>
          <w:sz w:val="18"/>
          <w:szCs w:val="18"/>
        </w:rPr>
        <w:t xml:space="preserve">podle pohybu zboží </w:t>
      </w:r>
      <w:r w:rsidRPr="002C40D9">
        <w:rPr>
          <w:rFonts w:ascii="Arial" w:hAnsi="Arial" w:cs="Arial"/>
          <w:sz w:val="18"/>
          <w:szCs w:val="18"/>
        </w:rPr>
        <w:t xml:space="preserve">se státy EU skončilo přebytkem </w:t>
      </w:r>
      <w:r w:rsidR="002C40D9" w:rsidRPr="002C40D9">
        <w:rPr>
          <w:rFonts w:ascii="Arial" w:hAnsi="Arial" w:cs="Arial"/>
          <w:sz w:val="18"/>
          <w:szCs w:val="18"/>
        </w:rPr>
        <w:t>978,7</w:t>
      </w:r>
      <w:r w:rsidRPr="002C40D9">
        <w:rPr>
          <w:rFonts w:ascii="Arial" w:hAnsi="Arial" w:cs="Arial"/>
          <w:sz w:val="18"/>
          <w:szCs w:val="18"/>
        </w:rPr>
        <w:t xml:space="preserve"> mld. Kč, který byl meziročně o </w:t>
      </w:r>
      <w:r w:rsidR="002C40D9" w:rsidRPr="002C40D9">
        <w:rPr>
          <w:rFonts w:ascii="Arial" w:hAnsi="Arial" w:cs="Arial"/>
          <w:sz w:val="18"/>
          <w:szCs w:val="18"/>
        </w:rPr>
        <w:t>24,1</w:t>
      </w:r>
      <w:r w:rsidRPr="002C40D9">
        <w:rPr>
          <w:rFonts w:ascii="Arial" w:hAnsi="Arial" w:cs="Arial"/>
          <w:sz w:val="18"/>
          <w:szCs w:val="18"/>
        </w:rPr>
        <w:t xml:space="preserve"> mld. Kč vyšší, a se státy mimo EU schodkem </w:t>
      </w:r>
      <w:r w:rsidR="002C40D9" w:rsidRPr="002C40D9">
        <w:rPr>
          <w:rFonts w:ascii="Arial" w:hAnsi="Arial" w:cs="Arial"/>
          <w:sz w:val="18"/>
          <w:szCs w:val="18"/>
        </w:rPr>
        <w:t>478,2</w:t>
      </w:r>
      <w:r w:rsidRPr="002C40D9">
        <w:rPr>
          <w:rFonts w:ascii="Arial" w:hAnsi="Arial" w:cs="Arial"/>
          <w:sz w:val="18"/>
          <w:szCs w:val="18"/>
        </w:rPr>
        <w:t xml:space="preserve"> mld. Kč, jenž se </w:t>
      </w:r>
      <w:r w:rsidRPr="00E52E4A">
        <w:rPr>
          <w:rFonts w:ascii="Arial" w:hAnsi="Arial" w:cs="Arial"/>
          <w:sz w:val="18"/>
          <w:szCs w:val="18"/>
        </w:rPr>
        <w:t xml:space="preserve">meziročně </w:t>
      </w:r>
      <w:r w:rsidR="002C40D9" w:rsidRPr="00E52E4A">
        <w:rPr>
          <w:rFonts w:ascii="Arial" w:hAnsi="Arial" w:cs="Arial"/>
          <w:sz w:val="18"/>
          <w:szCs w:val="18"/>
        </w:rPr>
        <w:t>zmenšil</w:t>
      </w:r>
      <w:r w:rsidRPr="00E52E4A">
        <w:rPr>
          <w:rFonts w:ascii="Arial" w:hAnsi="Arial" w:cs="Arial"/>
          <w:sz w:val="18"/>
          <w:szCs w:val="18"/>
        </w:rPr>
        <w:t xml:space="preserve"> o </w:t>
      </w:r>
      <w:r w:rsidR="002C40D9" w:rsidRPr="00E52E4A">
        <w:rPr>
          <w:rFonts w:ascii="Arial" w:hAnsi="Arial" w:cs="Arial"/>
          <w:sz w:val="18"/>
          <w:szCs w:val="18"/>
        </w:rPr>
        <w:t>49,3</w:t>
      </w:r>
      <w:r w:rsidRPr="00E52E4A">
        <w:rPr>
          <w:rFonts w:ascii="Arial" w:hAnsi="Arial" w:cs="Arial"/>
          <w:sz w:val="18"/>
          <w:szCs w:val="18"/>
        </w:rPr>
        <w:t xml:space="preserve"> mld. Kč.</w:t>
      </w:r>
      <w:r w:rsidRPr="000568E8">
        <w:rPr>
          <w:rFonts w:ascii="Arial" w:hAnsi="Arial" w:cs="Arial"/>
          <w:color w:val="FF0000"/>
          <w:sz w:val="18"/>
          <w:szCs w:val="18"/>
        </w:rPr>
        <w:t xml:space="preserve"> </w:t>
      </w:r>
    </w:p>
    <w:p w:rsidR="00BA7845" w:rsidRPr="00A344A5" w:rsidRDefault="00BA7845" w:rsidP="00F54368">
      <w:pPr>
        <w:spacing w:after="80"/>
        <w:jc w:val="both"/>
        <w:rPr>
          <w:rFonts w:ascii="Arial" w:hAnsi="Arial" w:cs="Arial"/>
          <w:b/>
          <w:sz w:val="18"/>
          <w:szCs w:val="18"/>
        </w:rPr>
      </w:pPr>
      <w:r w:rsidRPr="00A344A5">
        <w:rPr>
          <w:rFonts w:ascii="Arial" w:hAnsi="Arial" w:cs="Arial"/>
          <w:b/>
          <w:sz w:val="18"/>
          <w:szCs w:val="18"/>
        </w:rPr>
        <w:t xml:space="preserve">Graf </w:t>
      </w:r>
      <w:r w:rsidR="00A47390" w:rsidRPr="00A344A5">
        <w:rPr>
          <w:rFonts w:ascii="Arial" w:hAnsi="Arial" w:cs="Arial"/>
          <w:b/>
          <w:sz w:val="18"/>
          <w:szCs w:val="18"/>
        </w:rPr>
        <w:t>1</w:t>
      </w:r>
      <w:r w:rsidR="00794EEF" w:rsidRPr="00A344A5">
        <w:rPr>
          <w:rFonts w:ascii="Arial" w:hAnsi="Arial" w:cs="Arial"/>
          <w:b/>
          <w:sz w:val="18"/>
          <w:szCs w:val="18"/>
        </w:rPr>
        <w:t>0</w:t>
      </w:r>
      <w:r w:rsidRPr="00A344A5">
        <w:rPr>
          <w:rFonts w:ascii="Arial" w:hAnsi="Arial" w:cs="Arial"/>
          <w:b/>
          <w:sz w:val="18"/>
          <w:szCs w:val="18"/>
        </w:rPr>
        <w:t xml:space="preserve"> - Obchodní bilance celkem, se státy EU a se státy mimo EU</w:t>
      </w:r>
      <w:r w:rsidR="00794EEF" w:rsidRPr="00A344A5">
        <w:rPr>
          <w:rFonts w:ascii="Arial" w:hAnsi="Arial" w:cs="Arial"/>
          <w:b/>
          <w:sz w:val="18"/>
          <w:szCs w:val="18"/>
        </w:rPr>
        <w:t xml:space="preserve"> </w:t>
      </w:r>
    </w:p>
    <w:p w:rsidR="00A344A5" w:rsidRPr="000568E8" w:rsidRDefault="005E2C18" w:rsidP="00F54368">
      <w:pPr>
        <w:spacing w:after="80"/>
        <w:jc w:val="both"/>
        <w:rPr>
          <w:rFonts w:ascii="Arial" w:hAnsi="Arial" w:cs="Arial"/>
          <w:b/>
          <w:color w:val="FF0000"/>
          <w:sz w:val="18"/>
          <w:szCs w:val="18"/>
        </w:rPr>
      </w:pPr>
      <w:r>
        <w:rPr>
          <w:rFonts w:ascii="Arial" w:hAnsi="Arial" w:cs="Arial"/>
          <w:b/>
          <w:color w:val="FF0000"/>
          <w:sz w:val="18"/>
          <w:szCs w:val="18"/>
        </w:rPr>
        <w:pict>
          <v:shape id="_x0000_i1038" type="#_x0000_t75" style="width:481.5pt;height:137.25pt">
            <v:imagedata r:id="rId22" o:title=""/>
          </v:shape>
        </w:pict>
      </w:r>
    </w:p>
    <w:p w:rsidR="00BA7845" w:rsidRPr="000568E8" w:rsidRDefault="00BA7845" w:rsidP="00BA7845">
      <w:pPr>
        <w:numPr>
          <w:ilvl w:val="1"/>
          <w:numId w:val="1"/>
        </w:numPr>
        <w:spacing w:after="120"/>
        <w:ind w:left="426"/>
        <w:rPr>
          <w:rFonts w:ascii="Arial" w:hAnsi="Arial" w:cs="Arial"/>
          <w:b/>
          <w:sz w:val="21"/>
          <w:szCs w:val="21"/>
        </w:rPr>
      </w:pPr>
      <w:r w:rsidRPr="000568E8">
        <w:rPr>
          <w:rFonts w:ascii="Arial" w:hAnsi="Arial" w:cs="Arial"/>
          <w:b/>
          <w:sz w:val="21"/>
          <w:szCs w:val="21"/>
        </w:rPr>
        <w:lastRenderedPageBreak/>
        <w:t xml:space="preserve">Zahraniční obchod se sousedními státy </w:t>
      </w:r>
    </w:p>
    <w:p w:rsidR="00167D1F" w:rsidRPr="000568E8" w:rsidRDefault="00167D1F" w:rsidP="00167D1F">
      <w:pPr>
        <w:spacing w:after="120"/>
        <w:jc w:val="both"/>
        <w:rPr>
          <w:rFonts w:ascii="Arial" w:hAnsi="Arial" w:cs="Arial"/>
          <w:color w:val="FF0000"/>
          <w:sz w:val="18"/>
          <w:szCs w:val="18"/>
        </w:rPr>
      </w:pPr>
      <w:r w:rsidRPr="000568E8">
        <w:rPr>
          <w:rFonts w:ascii="Arial" w:hAnsi="Arial" w:cs="Arial"/>
          <w:sz w:val="18"/>
          <w:szCs w:val="18"/>
        </w:rPr>
        <w:t xml:space="preserve">Rozhodující část zahraničního obchodu České republiky připadá na sousední státy (Německo, </w:t>
      </w:r>
      <w:r w:rsidR="00B51DA6" w:rsidRPr="000568E8">
        <w:rPr>
          <w:rFonts w:ascii="Arial" w:hAnsi="Arial" w:cs="Arial"/>
          <w:sz w:val="18"/>
          <w:szCs w:val="18"/>
        </w:rPr>
        <w:t>Polsko</w:t>
      </w:r>
      <w:r w:rsidR="00B51DA6">
        <w:rPr>
          <w:rFonts w:ascii="Arial" w:hAnsi="Arial" w:cs="Arial"/>
          <w:sz w:val="18"/>
          <w:szCs w:val="18"/>
        </w:rPr>
        <w:t>,</w:t>
      </w:r>
      <w:r w:rsidR="00B51DA6" w:rsidRPr="000568E8">
        <w:rPr>
          <w:rFonts w:ascii="Arial" w:hAnsi="Arial" w:cs="Arial"/>
          <w:sz w:val="18"/>
          <w:szCs w:val="18"/>
        </w:rPr>
        <w:t xml:space="preserve"> Rakousko </w:t>
      </w:r>
      <w:r w:rsidR="00B51DA6">
        <w:rPr>
          <w:rFonts w:ascii="Arial" w:hAnsi="Arial" w:cs="Arial"/>
          <w:sz w:val="18"/>
          <w:szCs w:val="18"/>
        </w:rPr>
        <w:t>a </w:t>
      </w:r>
      <w:r w:rsidRPr="000568E8">
        <w:rPr>
          <w:rFonts w:ascii="Arial" w:hAnsi="Arial" w:cs="Arial"/>
          <w:sz w:val="18"/>
          <w:szCs w:val="18"/>
        </w:rPr>
        <w:t>Slovensko). Uvedené státy významně ovlivňují dynamiku celkového vývozu a dovozu a tím i celkovou bilanci zahraničního obchodu. V roce 201</w:t>
      </w:r>
      <w:r w:rsidR="00AD2486" w:rsidRPr="000568E8">
        <w:rPr>
          <w:rFonts w:ascii="Arial" w:hAnsi="Arial" w:cs="Arial"/>
          <w:sz w:val="18"/>
          <w:szCs w:val="18"/>
        </w:rPr>
        <w:t>6</w:t>
      </w:r>
      <w:r w:rsidRPr="000568E8">
        <w:rPr>
          <w:rFonts w:ascii="Arial" w:hAnsi="Arial" w:cs="Arial"/>
          <w:sz w:val="18"/>
          <w:szCs w:val="18"/>
        </w:rPr>
        <w:t xml:space="preserve"> činil podíl zahraničního obchodu se sousedními státy na celkovém obratu zahraničního obchodu České </w:t>
      </w:r>
      <w:r w:rsidRPr="00C7375C">
        <w:rPr>
          <w:rFonts w:ascii="Arial" w:hAnsi="Arial" w:cs="Arial"/>
          <w:sz w:val="18"/>
          <w:szCs w:val="18"/>
        </w:rPr>
        <w:t xml:space="preserve">republiky </w:t>
      </w:r>
      <w:r w:rsidR="00C7375C" w:rsidRPr="00C7375C">
        <w:rPr>
          <w:rFonts w:ascii="Arial" w:hAnsi="Arial" w:cs="Arial"/>
          <w:sz w:val="18"/>
          <w:szCs w:val="18"/>
        </w:rPr>
        <w:t>47,0</w:t>
      </w:r>
      <w:r w:rsidRPr="00C7375C">
        <w:rPr>
          <w:rFonts w:ascii="Arial" w:hAnsi="Arial" w:cs="Arial"/>
          <w:sz w:val="18"/>
          <w:szCs w:val="18"/>
        </w:rPr>
        <w:t xml:space="preserve"> % (z toho na celkovém vývozu </w:t>
      </w:r>
      <w:r w:rsidR="00C7375C" w:rsidRPr="00C7375C">
        <w:rPr>
          <w:rFonts w:ascii="Arial" w:hAnsi="Arial" w:cs="Arial"/>
          <w:sz w:val="18"/>
          <w:szCs w:val="18"/>
        </w:rPr>
        <w:t>50,7</w:t>
      </w:r>
      <w:r w:rsidRPr="00C7375C">
        <w:rPr>
          <w:rFonts w:ascii="Arial" w:hAnsi="Arial" w:cs="Arial"/>
          <w:sz w:val="18"/>
          <w:szCs w:val="18"/>
        </w:rPr>
        <w:t xml:space="preserve"> % a na celkovém dovozu 42,</w:t>
      </w:r>
      <w:r w:rsidR="00C7375C" w:rsidRPr="00C7375C">
        <w:rPr>
          <w:rFonts w:ascii="Arial" w:hAnsi="Arial" w:cs="Arial"/>
          <w:sz w:val="18"/>
          <w:szCs w:val="18"/>
        </w:rPr>
        <w:t>7</w:t>
      </w:r>
      <w:r w:rsidRPr="00C7375C">
        <w:rPr>
          <w:rFonts w:ascii="Arial" w:hAnsi="Arial" w:cs="Arial"/>
          <w:sz w:val="18"/>
          <w:szCs w:val="18"/>
        </w:rPr>
        <w:t xml:space="preserve"> %).</w:t>
      </w:r>
      <w:r w:rsidRPr="000568E8">
        <w:rPr>
          <w:rFonts w:ascii="Arial" w:hAnsi="Arial" w:cs="Arial"/>
          <w:color w:val="FF0000"/>
          <w:sz w:val="18"/>
          <w:szCs w:val="18"/>
        </w:rPr>
        <w:t xml:space="preserve"> </w:t>
      </w:r>
    </w:p>
    <w:p w:rsidR="00167D1F" w:rsidRPr="000568E8" w:rsidRDefault="00167D1F" w:rsidP="00167D1F">
      <w:pPr>
        <w:spacing w:after="240"/>
        <w:jc w:val="both"/>
        <w:rPr>
          <w:rFonts w:ascii="Arial" w:hAnsi="Arial" w:cs="Arial"/>
          <w:color w:val="FF0000"/>
          <w:sz w:val="18"/>
          <w:szCs w:val="18"/>
        </w:rPr>
      </w:pPr>
      <w:r w:rsidRPr="000568E8">
        <w:rPr>
          <w:rFonts w:ascii="Arial" w:hAnsi="Arial" w:cs="Arial"/>
          <w:sz w:val="18"/>
          <w:szCs w:val="18"/>
        </w:rPr>
        <w:t>V roce 201</w:t>
      </w:r>
      <w:r w:rsidR="00AD2486" w:rsidRPr="000568E8">
        <w:rPr>
          <w:rFonts w:ascii="Arial" w:hAnsi="Arial" w:cs="Arial"/>
          <w:sz w:val="18"/>
          <w:szCs w:val="18"/>
        </w:rPr>
        <w:t>6</w:t>
      </w:r>
      <w:r w:rsidRPr="000568E8">
        <w:rPr>
          <w:rFonts w:ascii="Arial" w:hAnsi="Arial" w:cs="Arial"/>
          <w:sz w:val="18"/>
          <w:szCs w:val="18"/>
        </w:rPr>
        <w:t xml:space="preserve"> proti roku 201</w:t>
      </w:r>
      <w:r w:rsidR="00AD2486" w:rsidRPr="000568E8">
        <w:rPr>
          <w:rFonts w:ascii="Arial" w:hAnsi="Arial" w:cs="Arial"/>
          <w:sz w:val="18"/>
          <w:szCs w:val="18"/>
        </w:rPr>
        <w:t>5</w:t>
      </w:r>
      <w:r w:rsidRPr="000568E8">
        <w:rPr>
          <w:rFonts w:ascii="Arial" w:hAnsi="Arial" w:cs="Arial"/>
          <w:sz w:val="18"/>
          <w:szCs w:val="18"/>
        </w:rPr>
        <w:t xml:space="preserve"> vzrostl obrat zahraničního obchodu České republiky se sousedními </w:t>
      </w:r>
      <w:r w:rsidRPr="00C7375C">
        <w:rPr>
          <w:rFonts w:ascii="Arial" w:hAnsi="Arial" w:cs="Arial"/>
          <w:sz w:val="18"/>
          <w:szCs w:val="18"/>
        </w:rPr>
        <w:t xml:space="preserve">státy o </w:t>
      </w:r>
      <w:r w:rsidR="00C7375C" w:rsidRPr="00C7375C">
        <w:rPr>
          <w:rFonts w:ascii="Arial" w:hAnsi="Arial" w:cs="Arial"/>
          <w:sz w:val="18"/>
          <w:szCs w:val="18"/>
        </w:rPr>
        <w:t>1,9</w:t>
      </w:r>
      <w:r w:rsidRPr="00C7375C">
        <w:rPr>
          <w:rFonts w:ascii="Arial" w:hAnsi="Arial" w:cs="Arial"/>
          <w:sz w:val="18"/>
          <w:szCs w:val="18"/>
        </w:rPr>
        <w:t xml:space="preserve"> % </w:t>
      </w:r>
      <w:r w:rsidRPr="00C7375C">
        <w:rPr>
          <w:rFonts w:ascii="Arial" w:hAnsi="Arial" w:cs="Arial"/>
          <w:spacing w:val="-2"/>
          <w:sz w:val="18"/>
          <w:szCs w:val="18"/>
        </w:rPr>
        <w:t>(z </w:t>
      </w:r>
      <w:r w:rsidR="00C7375C">
        <w:rPr>
          <w:rFonts w:ascii="Arial" w:hAnsi="Arial" w:cs="Arial"/>
          <w:spacing w:val="-2"/>
          <w:sz w:val="18"/>
          <w:szCs w:val="18"/>
        </w:rPr>
        <w:t>3 441,4 </w:t>
      </w:r>
      <w:r w:rsidRPr="00C7375C">
        <w:rPr>
          <w:rFonts w:ascii="Arial" w:hAnsi="Arial" w:cs="Arial"/>
          <w:spacing w:val="-2"/>
          <w:sz w:val="18"/>
          <w:szCs w:val="18"/>
        </w:rPr>
        <w:t>mld. Kč na 3</w:t>
      </w:r>
      <w:r w:rsidR="00C7375C" w:rsidRPr="00C7375C">
        <w:rPr>
          <w:rFonts w:ascii="Arial" w:hAnsi="Arial" w:cs="Arial"/>
          <w:spacing w:val="-2"/>
          <w:sz w:val="18"/>
          <w:szCs w:val="18"/>
        </w:rPr>
        <w:t> 507,6</w:t>
      </w:r>
      <w:r w:rsidRPr="00C7375C">
        <w:rPr>
          <w:rFonts w:ascii="Arial" w:hAnsi="Arial" w:cs="Arial"/>
          <w:spacing w:val="-2"/>
          <w:sz w:val="18"/>
          <w:szCs w:val="18"/>
        </w:rPr>
        <w:t xml:space="preserve"> mld. Kč). Růst </w:t>
      </w:r>
      <w:r w:rsidRPr="00F8281C">
        <w:rPr>
          <w:rFonts w:ascii="Arial" w:hAnsi="Arial" w:cs="Arial"/>
          <w:spacing w:val="-2"/>
          <w:sz w:val="18"/>
          <w:szCs w:val="18"/>
        </w:rPr>
        <w:t xml:space="preserve">vývozu do sousedních států o </w:t>
      </w:r>
      <w:r w:rsidR="00C7375C" w:rsidRPr="00F8281C">
        <w:rPr>
          <w:rFonts w:ascii="Arial" w:hAnsi="Arial" w:cs="Arial"/>
          <w:spacing w:val="-2"/>
          <w:sz w:val="18"/>
          <w:szCs w:val="18"/>
        </w:rPr>
        <w:t>1,7</w:t>
      </w:r>
      <w:r w:rsidRPr="00F8281C">
        <w:rPr>
          <w:rFonts w:ascii="Arial" w:hAnsi="Arial" w:cs="Arial"/>
          <w:spacing w:val="-2"/>
          <w:sz w:val="18"/>
          <w:szCs w:val="18"/>
        </w:rPr>
        <w:t xml:space="preserve"> % (z </w:t>
      </w:r>
      <w:r w:rsidR="00C7375C" w:rsidRPr="00F8281C">
        <w:rPr>
          <w:rFonts w:ascii="Arial" w:hAnsi="Arial" w:cs="Arial"/>
          <w:spacing w:val="-2"/>
          <w:sz w:val="18"/>
          <w:szCs w:val="18"/>
        </w:rPr>
        <w:t xml:space="preserve">1 982,5 </w:t>
      </w:r>
      <w:r w:rsidRPr="00F8281C">
        <w:rPr>
          <w:rFonts w:ascii="Arial" w:hAnsi="Arial" w:cs="Arial"/>
          <w:spacing w:val="-2"/>
          <w:sz w:val="18"/>
          <w:szCs w:val="18"/>
        </w:rPr>
        <w:t xml:space="preserve">mld. Kč na </w:t>
      </w:r>
      <w:r w:rsidR="00C7375C" w:rsidRPr="00F8281C">
        <w:rPr>
          <w:rFonts w:ascii="Arial" w:hAnsi="Arial" w:cs="Arial"/>
          <w:spacing w:val="-2"/>
          <w:sz w:val="18"/>
          <w:szCs w:val="18"/>
        </w:rPr>
        <w:t>2 015,7</w:t>
      </w:r>
      <w:r w:rsidRPr="00F8281C">
        <w:rPr>
          <w:rFonts w:ascii="Arial" w:hAnsi="Arial" w:cs="Arial"/>
          <w:spacing w:val="-2"/>
          <w:sz w:val="18"/>
          <w:szCs w:val="18"/>
        </w:rPr>
        <w:t xml:space="preserve"> mld. Kč)</w:t>
      </w:r>
      <w:r w:rsidRPr="00F8281C">
        <w:rPr>
          <w:rFonts w:ascii="Arial" w:hAnsi="Arial" w:cs="Arial"/>
          <w:sz w:val="18"/>
          <w:szCs w:val="18"/>
        </w:rPr>
        <w:t xml:space="preserve"> a současně dovozu ze sousedních států o </w:t>
      </w:r>
      <w:r w:rsidR="00C7375C" w:rsidRPr="00F8281C">
        <w:rPr>
          <w:rFonts w:ascii="Arial" w:hAnsi="Arial" w:cs="Arial"/>
          <w:sz w:val="18"/>
          <w:szCs w:val="18"/>
        </w:rPr>
        <w:t>2,3</w:t>
      </w:r>
      <w:r w:rsidRPr="00F8281C">
        <w:rPr>
          <w:rFonts w:ascii="Arial" w:hAnsi="Arial" w:cs="Arial"/>
          <w:sz w:val="18"/>
          <w:szCs w:val="18"/>
        </w:rPr>
        <w:t xml:space="preserve"> % (z </w:t>
      </w:r>
      <w:r w:rsidR="00F8281C" w:rsidRPr="00F8281C">
        <w:rPr>
          <w:rFonts w:ascii="Arial" w:hAnsi="Arial" w:cs="Arial"/>
          <w:sz w:val="18"/>
          <w:szCs w:val="18"/>
        </w:rPr>
        <w:t xml:space="preserve">1 458,9 </w:t>
      </w:r>
      <w:r w:rsidRPr="00F8281C">
        <w:rPr>
          <w:rFonts w:ascii="Arial" w:hAnsi="Arial" w:cs="Arial"/>
          <w:sz w:val="18"/>
          <w:szCs w:val="18"/>
        </w:rPr>
        <w:t>mld. Kč na 1 4</w:t>
      </w:r>
      <w:r w:rsidR="00F8281C" w:rsidRPr="00F8281C">
        <w:rPr>
          <w:rFonts w:ascii="Arial" w:hAnsi="Arial" w:cs="Arial"/>
          <w:sz w:val="18"/>
          <w:szCs w:val="18"/>
        </w:rPr>
        <w:t>92</w:t>
      </w:r>
      <w:r w:rsidRPr="00F8281C">
        <w:rPr>
          <w:rFonts w:ascii="Arial" w:hAnsi="Arial" w:cs="Arial"/>
          <w:sz w:val="18"/>
          <w:szCs w:val="18"/>
        </w:rPr>
        <w:t>,</w:t>
      </w:r>
      <w:r w:rsidR="00F8281C" w:rsidRPr="00F8281C">
        <w:rPr>
          <w:rFonts w:ascii="Arial" w:hAnsi="Arial" w:cs="Arial"/>
          <w:sz w:val="18"/>
          <w:szCs w:val="18"/>
        </w:rPr>
        <w:t>0</w:t>
      </w:r>
      <w:r w:rsidRPr="00F8281C">
        <w:rPr>
          <w:rFonts w:ascii="Arial" w:hAnsi="Arial" w:cs="Arial"/>
          <w:sz w:val="18"/>
          <w:szCs w:val="18"/>
        </w:rPr>
        <w:t xml:space="preserve"> mld. Kč) vedl v roce 201</w:t>
      </w:r>
      <w:r w:rsidR="00F8281C">
        <w:rPr>
          <w:rFonts w:ascii="Arial" w:hAnsi="Arial" w:cs="Arial"/>
          <w:sz w:val="18"/>
          <w:szCs w:val="18"/>
        </w:rPr>
        <w:t>6</w:t>
      </w:r>
      <w:r w:rsidRPr="00F8281C">
        <w:rPr>
          <w:rFonts w:ascii="Arial" w:hAnsi="Arial" w:cs="Arial"/>
          <w:sz w:val="18"/>
          <w:szCs w:val="18"/>
        </w:rPr>
        <w:t xml:space="preserve"> k navýšení přebytku celkové obchodní bilance se sousedními státy proti roku 201</w:t>
      </w:r>
      <w:r w:rsidR="00F8281C">
        <w:rPr>
          <w:rFonts w:ascii="Arial" w:hAnsi="Arial" w:cs="Arial"/>
          <w:sz w:val="18"/>
          <w:szCs w:val="18"/>
        </w:rPr>
        <w:t>5</w:t>
      </w:r>
      <w:r w:rsidRPr="00F8281C">
        <w:rPr>
          <w:rFonts w:ascii="Arial" w:hAnsi="Arial" w:cs="Arial"/>
          <w:sz w:val="18"/>
          <w:szCs w:val="18"/>
        </w:rPr>
        <w:t xml:space="preserve"> </w:t>
      </w:r>
      <w:r w:rsidR="00B51DA6">
        <w:rPr>
          <w:rFonts w:ascii="Arial" w:hAnsi="Arial" w:cs="Arial"/>
          <w:sz w:val="18"/>
          <w:szCs w:val="18"/>
        </w:rPr>
        <w:t xml:space="preserve">pouze </w:t>
      </w:r>
      <w:r w:rsidRPr="00E60AFD">
        <w:rPr>
          <w:rFonts w:ascii="Arial" w:hAnsi="Arial" w:cs="Arial"/>
          <w:sz w:val="18"/>
          <w:szCs w:val="18"/>
        </w:rPr>
        <w:t xml:space="preserve">o </w:t>
      </w:r>
      <w:r w:rsidR="00E60AFD" w:rsidRPr="00E60AFD">
        <w:rPr>
          <w:rFonts w:ascii="Arial" w:hAnsi="Arial" w:cs="Arial"/>
          <w:sz w:val="18"/>
          <w:szCs w:val="18"/>
        </w:rPr>
        <w:t>0,1</w:t>
      </w:r>
      <w:r w:rsidRPr="00E60AFD">
        <w:rPr>
          <w:rFonts w:ascii="Arial" w:hAnsi="Arial" w:cs="Arial"/>
          <w:sz w:val="18"/>
          <w:szCs w:val="18"/>
        </w:rPr>
        <w:t xml:space="preserve"> mld. Kč.</w:t>
      </w:r>
      <w:r w:rsidRPr="000568E8">
        <w:rPr>
          <w:rFonts w:ascii="Arial" w:hAnsi="Arial" w:cs="Arial"/>
          <w:color w:val="FF0000"/>
          <w:sz w:val="18"/>
          <w:szCs w:val="18"/>
        </w:rPr>
        <w:t xml:space="preserve"> </w:t>
      </w:r>
    </w:p>
    <w:p w:rsidR="00167D1F" w:rsidRPr="00E60AFD" w:rsidRDefault="00167D1F" w:rsidP="00167D1F">
      <w:pPr>
        <w:spacing w:after="80"/>
        <w:jc w:val="both"/>
        <w:rPr>
          <w:rFonts w:ascii="Arial" w:hAnsi="Arial" w:cs="Arial"/>
          <w:b/>
          <w:sz w:val="18"/>
          <w:szCs w:val="18"/>
        </w:rPr>
      </w:pPr>
      <w:r w:rsidRPr="00E60AFD">
        <w:rPr>
          <w:rFonts w:ascii="Arial" w:hAnsi="Arial" w:cs="Arial"/>
          <w:b/>
          <w:sz w:val="18"/>
          <w:szCs w:val="18"/>
        </w:rPr>
        <w:t>Graf 11 - Zahraniční obchod se sousedními státy ČR v roce 201</w:t>
      </w:r>
      <w:r w:rsidR="00E60AFD" w:rsidRPr="00E60AFD">
        <w:rPr>
          <w:rFonts w:ascii="Arial" w:hAnsi="Arial" w:cs="Arial"/>
          <w:b/>
          <w:sz w:val="18"/>
          <w:szCs w:val="18"/>
        </w:rPr>
        <w:t>6</w:t>
      </w:r>
      <w:r w:rsidRPr="00E60AFD">
        <w:rPr>
          <w:rFonts w:ascii="Arial" w:hAnsi="Arial" w:cs="Arial"/>
          <w:b/>
          <w:sz w:val="18"/>
          <w:szCs w:val="18"/>
        </w:rPr>
        <w:t xml:space="preserve"> (podíly v %) </w:t>
      </w:r>
    </w:p>
    <w:p w:rsidR="00167D1F" w:rsidRPr="000568E8" w:rsidRDefault="005E2C18" w:rsidP="00167D1F">
      <w:pPr>
        <w:spacing w:after="80"/>
        <w:jc w:val="both"/>
        <w:rPr>
          <w:rFonts w:ascii="Arial" w:hAnsi="Arial" w:cs="Arial"/>
          <w:b/>
          <w:color w:val="FF0000"/>
          <w:sz w:val="18"/>
          <w:szCs w:val="18"/>
        </w:rPr>
      </w:pPr>
      <w:r>
        <w:rPr>
          <w:rFonts w:ascii="Arial" w:hAnsi="Arial" w:cs="Arial"/>
          <w:b/>
          <w:noProof/>
          <w:color w:val="FF0000"/>
          <w:sz w:val="18"/>
          <w:szCs w:val="18"/>
          <w:lang w:eastAsia="cs-CZ"/>
        </w:rPr>
        <w:pict>
          <v:shape id="_x0000_i1039" type="#_x0000_t75" style="width:483.75pt;height:139.5pt">
            <v:imagedata r:id="rId23" o:title=""/>
          </v:shape>
        </w:pict>
      </w:r>
    </w:p>
    <w:p w:rsidR="00167D1F" w:rsidRPr="000568E8" w:rsidRDefault="00167D1F" w:rsidP="00167D1F">
      <w:pPr>
        <w:spacing w:after="0"/>
        <w:jc w:val="both"/>
        <w:rPr>
          <w:rFonts w:ascii="Arial" w:hAnsi="Arial" w:cs="Arial"/>
          <w:color w:val="FF0000"/>
          <w:sz w:val="18"/>
          <w:szCs w:val="18"/>
        </w:rPr>
      </w:pPr>
      <w:r w:rsidRPr="000568E8">
        <w:rPr>
          <w:rFonts w:ascii="Arial" w:hAnsi="Arial" w:cs="Arial"/>
          <w:b/>
          <w:color w:val="FF0000"/>
          <w:sz w:val="18"/>
          <w:szCs w:val="18"/>
        </w:rPr>
        <w:tab/>
      </w:r>
      <w:r w:rsidRPr="000568E8">
        <w:rPr>
          <w:rFonts w:ascii="Arial" w:hAnsi="Arial" w:cs="Arial"/>
          <w:b/>
          <w:color w:val="FF0000"/>
          <w:sz w:val="18"/>
          <w:szCs w:val="18"/>
        </w:rPr>
        <w:tab/>
      </w:r>
      <w:r w:rsidRPr="000568E8">
        <w:rPr>
          <w:rFonts w:ascii="Arial" w:hAnsi="Arial" w:cs="Arial"/>
          <w:b/>
          <w:color w:val="FF0000"/>
          <w:sz w:val="18"/>
          <w:szCs w:val="18"/>
        </w:rPr>
        <w:tab/>
      </w:r>
      <w:r w:rsidRPr="000568E8">
        <w:rPr>
          <w:rFonts w:ascii="Arial" w:hAnsi="Arial" w:cs="Arial"/>
          <w:b/>
          <w:color w:val="FF0000"/>
          <w:sz w:val="18"/>
          <w:szCs w:val="18"/>
        </w:rPr>
        <w:tab/>
      </w:r>
    </w:p>
    <w:p w:rsidR="00167D1F" w:rsidRPr="000568E8" w:rsidRDefault="00167D1F" w:rsidP="00167D1F">
      <w:pPr>
        <w:spacing w:after="240"/>
        <w:jc w:val="both"/>
        <w:rPr>
          <w:rFonts w:ascii="Arial" w:hAnsi="Arial" w:cs="Arial"/>
          <w:color w:val="FF0000"/>
          <w:spacing w:val="-2"/>
          <w:sz w:val="18"/>
          <w:szCs w:val="18"/>
        </w:rPr>
      </w:pPr>
      <w:r w:rsidRPr="000568E8">
        <w:rPr>
          <w:rFonts w:ascii="Arial" w:hAnsi="Arial" w:cs="Arial"/>
          <w:b/>
          <w:sz w:val="18"/>
          <w:szCs w:val="18"/>
        </w:rPr>
        <w:t>Hlavním</w:t>
      </w:r>
      <w:r w:rsidRPr="000568E8">
        <w:rPr>
          <w:rFonts w:ascii="Arial" w:hAnsi="Arial" w:cs="Arial"/>
          <w:sz w:val="18"/>
          <w:szCs w:val="18"/>
        </w:rPr>
        <w:t xml:space="preserve"> obchodním </w:t>
      </w:r>
      <w:r w:rsidRPr="000568E8">
        <w:rPr>
          <w:rFonts w:ascii="Arial" w:hAnsi="Arial" w:cs="Arial"/>
          <w:b/>
          <w:sz w:val="18"/>
          <w:szCs w:val="18"/>
        </w:rPr>
        <w:t>partnerem</w:t>
      </w:r>
      <w:r w:rsidRPr="000568E8">
        <w:rPr>
          <w:rFonts w:ascii="Arial" w:hAnsi="Arial" w:cs="Arial"/>
          <w:sz w:val="18"/>
          <w:szCs w:val="18"/>
        </w:rPr>
        <w:t xml:space="preserve"> České republiky ze sousedních států je </w:t>
      </w:r>
      <w:r w:rsidRPr="000568E8">
        <w:rPr>
          <w:rFonts w:ascii="Arial" w:hAnsi="Arial" w:cs="Arial"/>
          <w:b/>
          <w:sz w:val="18"/>
          <w:szCs w:val="18"/>
        </w:rPr>
        <w:t>Německo</w:t>
      </w:r>
      <w:r w:rsidRPr="000568E8">
        <w:rPr>
          <w:rFonts w:ascii="Arial" w:hAnsi="Arial" w:cs="Arial"/>
          <w:sz w:val="18"/>
          <w:szCs w:val="18"/>
        </w:rPr>
        <w:t>, které je pochopitelně současně i nejvýznamnějším zahraničněobchodním partnerem České republiky. Na celkovém obratu zahraničního obchodu v roce 201</w:t>
      </w:r>
      <w:r w:rsidR="00AD2486" w:rsidRPr="000568E8">
        <w:rPr>
          <w:rFonts w:ascii="Arial" w:hAnsi="Arial" w:cs="Arial"/>
          <w:sz w:val="18"/>
          <w:szCs w:val="18"/>
        </w:rPr>
        <w:t>6</w:t>
      </w:r>
      <w:r w:rsidRPr="000568E8">
        <w:rPr>
          <w:rFonts w:ascii="Arial" w:hAnsi="Arial" w:cs="Arial"/>
          <w:sz w:val="18"/>
          <w:szCs w:val="18"/>
        </w:rPr>
        <w:t xml:space="preserve"> se </w:t>
      </w:r>
      <w:r w:rsidRPr="00F8281C">
        <w:rPr>
          <w:rFonts w:ascii="Arial" w:hAnsi="Arial" w:cs="Arial"/>
          <w:sz w:val="18"/>
          <w:szCs w:val="18"/>
        </w:rPr>
        <w:t>podílelo 29,</w:t>
      </w:r>
      <w:r w:rsidR="00F8281C" w:rsidRPr="00F8281C">
        <w:rPr>
          <w:rFonts w:ascii="Arial" w:hAnsi="Arial" w:cs="Arial"/>
          <w:sz w:val="18"/>
          <w:szCs w:val="18"/>
        </w:rPr>
        <w:t>6</w:t>
      </w:r>
      <w:r w:rsidRPr="00F8281C">
        <w:rPr>
          <w:rFonts w:ascii="Arial" w:hAnsi="Arial" w:cs="Arial"/>
          <w:sz w:val="18"/>
          <w:szCs w:val="18"/>
        </w:rPr>
        <w:t xml:space="preserve"> %, </w:t>
      </w:r>
      <w:r w:rsidRPr="00AF0E90">
        <w:rPr>
          <w:rFonts w:ascii="Arial" w:hAnsi="Arial" w:cs="Arial"/>
          <w:sz w:val="18"/>
          <w:szCs w:val="18"/>
        </w:rPr>
        <w:t>zatímco na celkovém obratu zahraničního obchodu se sousedními státy 6</w:t>
      </w:r>
      <w:r w:rsidR="00F8281C" w:rsidRPr="00AF0E90">
        <w:rPr>
          <w:rFonts w:ascii="Arial" w:hAnsi="Arial" w:cs="Arial"/>
          <w:sz w:val="18"/>
          <w:szCs w:val="18"/>
        </w:rPr>
        <w:t>3</w:t>
      </w:r>
      <w:r w:rsidRPr="00AF0E90">
        <w:rPr>
          <w:rFonts w:ascii="Arial" w:hAnsi="Arial" w:cs="Arial"/>
          <w:sz w:val="18"/>
          <w:szCs w:val="18"/>
        </w:rPr>
        <w:t>,</w:t>
      </w:r>
      <w:r w:rsidR="00F8281C" w:rsidRPr="00AF0E90">
        <w:rPr>
          <w:rFonts w:ascii="Arial" w:hAnsi="Arial" w:cs="Arial"/>
          <w:sz w:val="18"/>
          <w:szCs w:val="18"/>
        </w:rPr>
        <w:t>0</w:t>
      </w:r>
      <w:r w:rsidRPr="00AF0E90">
        <w:rPr>
          <w:rFonts w:ascii="Arial" w:hAnsi="Arial" w:cs="Arial"/>
          <w:sz w:val="18"/>
          <w:szCs w:val="18"/>
        </w:rPr>
        <w:t xml:space="preserve"> %. Podíl </w:t>
      </w:r>
      <w:r w:rsidRPr="00AF0E90">
        <w:rPr>
          <w:rFonts w:ascii="Arial" w:hAnsi="Arial" w:cs="Arial"/>
          <w:spacing w:val="-2"/>
          <w:sz w:val="18"/>
          <w:szCs w:val="18"/>
        </w:rPr>
        <w:t xml:space="preserve">Německa na vývozu do sousedních států </w:t>
      </w:r>
      <w:r w:rsidR="00AF0E90" w:rsidRPr="00AF0E90">
        <w:rPr>
          <w:rFonts w:ascii="Arial" w:hAnsi="Arial" w:cs="Arial"/>
          <w:spacing w:val="-2"/>
          <w:sz w:val="18"/>
          <w:szCs w:val="18"/>
        </w:rPr>
        <w:t xml:space="preserve">se rovnal 63,8 % a na dovozu </w:t>
      </w:r>
      <w:r w:rsidR="00B51DA6">
        <w:rPr>
          <w:rFonts w:ascii="Arial" w:hAnsi="Arial" w:cs="Arial"/>
          <w:spacing w:val="-2"/>
          <w:sz w:val="18"/>
          <w:szCs w:val="18"/>
        </w:rPr>
        <w:t xml:space="preserve">ze sousedních států </w:t>
      </w:r>
      <w:r w:rsidR="00AF0E90" w:rsidRPr="00AF0E90">
        <w:rPr>
          <w:rFonts w:ascii="Arial" w:hAnsi="Arial" w:cs="Arial"/>
          <w:spacing w:val="-2"/>
          <w:sz w:val="18"/>
          <w:szCs w:val="18"/>
        </w:rPr>
        <w:t>61,9</w:t>
      </w:r>
      <w:r w:rsidRPr="00AF0E90">
        <w:rPr>
          <w:rFonts w:ascii="Arial" w:hAnsi="Arial" w:cs="Arial"/>
          <w:spacing w:val="-2"/>
          <w:sz w:val="18"/>
          <w:szCs w:val="18"/>
        </w:rPr>
        <w:t xml:space="preserve"> %.</w:t>
      </w:r>
    </w:p>
    <w:p w:rsidR="00167D1F" w:rsidRPr="00876658" w:rsidRDefault="00167D1F" w:rsidP="00167D1F">
      <w:pPr>
        <w:spacing w:before="240" w:after="80"/>
        <w:jc w:val="both"/>
        <w:rPr>
          <w:rFonts w:ascii="Arial" w:hAnsi="Arial" w:cs="Arial"/>
          <w:b/>
          <w:sz w:val="18"/>
          <w:szCs w:val="18"/>
        </w:rPr>
      </w:pPr>
      <w:r w:rsidRPr="00876658">
        <w:rPr>
          <w:rFonts w:ascii="Arial" w:hAnsi="Arial" w:cs="Arial"/>
          <w:b/>
          <w:sz w:val="18"/>
          <w:szCs w:val="18"/>
        </w:rPr>
        <w:t>Graf 12 - Zahraniční obchod ČR se sousedními státy v roce 201</w:t>
      </w:r>
      <w:r w:rsidR="00876658" w:rsidRPr="00876658">
        <w:rPr>
          <w:rFonts w:ascii="Arial" w:hAnsi="Arial" w:cs="Arial"/>
          <w:b/>
          <w:sz w:val="18"/>
          <w:szCs w:val="18"/>
        </w:rPr>
        <w:t>6</w:t>
      </w:r>
      <w:r w:rsidRPr="00876658">
        <w:rPr>
          <w:rFonts w:ascii="Arial" w:hAnsi="Arial" w:cs="Arial"/>
          <w:b/>
          <w:sz w:val="18"/>
          <w:szCs w:val="18"/>
        </w:rPr>
        <w:t xml:space="preserve"> </w:t>
      </w:r>
    </w:p>
    <w:p w:rsidR="00167D1F" w:rsidRPr="000568E8" w:rsidRDefault="005E2C18" w:rsidP="00167D1F">
      <w:pPr>
        <w:spacing w:after="120"/>
        <w:jc w:val="both"/>
        <w:rPr>
          <w:rFonts w:ascii="Arial" w:hAnsi="Arial" w:cs="Arial"/>
          <w:color w:val="FF0000"/>
          <w:spacing w:val="-2"/>
          <w:sz w:val="18"/>
          <w:szCs w:val="18"/>
        </w:rPr>
      </w:pPr>
      <w:r>
        <w:rPr>
          <w:rFonts w:ascii="Arial" w:hAnsi="Arial" w:cs="Arial"/>
          <w:noProof/>
          <w:color w:val="FF0000"/>
          <w:spacing w:val="-2"/>
          <w:sz w:val="18"/>
          <w:szCs w:val="18"/>
          <w:lang w:eastAsia="cs-CZ"/>
        </w:rPr>
        <w:pict>
          <v:shape id="_x0000_i1040" type="#_x0000_t75" style="width:480.75pt;height:136.5pt">
            <v:imagedata r:id="rId24" o:title=""/>
          </v:shape>
        </w:pict>
      </w:r>
    </w:p>
    <w:p w:rsidR="000F335B" w:rsidRPr="00B715F4" w:rsidRDefault="00167D1F" w:rsidP="000F335B">
      <w:pPr>
        <w:spacing w:before="400" w:after="120"/>
        <w:jc w:val="both"/>
        <w:rPr>
          <w:rFonts w:ascii="Arial" w:hAnsi="Arial" w:cs="Arial"/>
          <w:sz w:val="18"/>
          <w:szCs w:val="18"/>
        </w:rPr>
      </w:pPr>
      <w:r w:rsidRPr="00B715F4">
        <w:rPr>
          <w:rFonts w:ascii="Arial" w:hAnsi="Arial" w:cs="Arial"/>
          <w:b/>
          <w:sz w:val="18"/>
          <w:szCs w:val="18"/>
        </w:rPr>
        <w:t>Druhý</w:t>
      </w:r>
      <w:r w:rsidR="00B715F4">
        <w:rPr>
          <w:rFonts w:ascii="Arial" w:hAnsi="Arial" w:cs="Arial"/>
          <w:b/>
          <w:sz w:val="18"/>
          <w:szCs w:val="18"/>
        </w:rPr>
        <w:t>m</w:t>
      </w:r>
      <w:r w:rsidRPr="00B715F4">
        <w:rPr>
          <w:rFonts w:ascii="Arial" w:hAnsi="Arial" w:cs="Arial"/>
          <w:sz w:val="18"/>
          <w:szCs w:val="18"/>
        </w:rPr>
        <w:t xml:space="preserve"> největší</w:t>
      </w:r>
      <w:r w:rsidR="00B715F4">
        <w:rPr>
          <w:rFonts w:ascii="Arial" w:hAnsi="Arial" w:cs="Arial"/>
          <w:sz w:val="18"/>
          <w:szCs w:val="18"/>
        </w:rPr>
        <w:t>m</w:t>
      </w:r>
      <w:r w:rsidR="00D31D34" w:rsidRPr="00B715F4">
        <w:rPr>
          <w:rFonts w:ascii="Arial" w:hAnsi="Arial" w:cs="Arial"/>
          <w:sz w:val="18"/>
          <w:szCs w:val="18"/>
        </w:rPr>
        <w:t xml:space="preserve"> </w:t>
      </w:r>
      <w:r w:rsidR="00B715F4">
        <w:rPr>
          <w:rFonts w:ascii="Arial" w:hAnsi="Arial" w:cs="Arial"/>
          <w:sz w:val="18"/>
          <w:szCs w:val="18"/>
        </w:rPr>
        <w:t xml:space="preserve">zahraničněobchodním </w:t>
      </w:r>
      <w:r w:rsidR="00B715F4" w:rsidRPr="00B715F4">
        <w:rPr>
          <w:rFonts w:ascii="Arial" w:hAnsi="Arial" w:cs="Arial"/>
          <w:b/>
          <w:sz w:val="18"/>
          <w:szCs w:val="18"/>
        </w:rPr>
        <w:t>partnerem</w:t>
      </w:r>
      <w:r w:rsidRPr="00B715F4">
        <w:rPr>
          <w:rFonts w:ascii="Arial" w:hAnsi="Arial" w:cs="Arial"/>
          <w:sz w:val="18"/>
          <w:szCs w:val="18"/>
        </w:rPr>
        <w:t xml:space="preserve"> České republiky </w:t>
      </w:r>
      <w:r w:rsidR="00B715F4">
        <w:rPr>
          <w:rFonts w:ascii="Arial" w:hAnsi="Arial" w:cs="Arial"/>
          <w:sz w:val="18"/>
          <w:szCs w:val="18"/>
        </w:rPr>
        <w:t>ze</w:t>
      </w:r>
      <w:r w:rsidRPr="00B715F4">
        <w:rPr>
          <w:rFonts w:ascii="Arial" w:hAnsi="Arial" w:cs="Arial"/>
          <w:sz w:val="18"/>
          <w:szCs w:val="18"/>
        </w:rPr>
        <w:t xml:space="preserve"> sousední</w:t>
      </w:r>
      <w:r w:rsidR="00B715F4">
        <w:rPr>
          <w:rFonts w:ascii="Arial" w:hAnsi="Arial" w:cs="Arial"/>
          <w:sz w:val="18"/>
          <w:szCs w:val="18"/>
        </w:rPr>
        <w:t>ch</w:t>
      </w:r>
      <w:r w:rsidRPr="00B715F4">
        <w:rPr>
          <w:rFonts w:ascii="Arial" w:hAnsi="Arial" w:cs="Arial"/>
          <w:sz w:val="18"/>
          <w:szCs w:val="18"/>
        </w:rPr>
        <w:t xml:space="preserve"> stát</w:t>
      </w:r>
      <w:r w:rsidR="00B715F4">
        <w:rPr>
          <w:rFonts w:ascii="Arial" w:hAnsi="Arial" w:cs="Arial"/>
          <w:sz w:val="18"/>
          <w:szCs w:val="18"/>
        </w:rPr>
        <w:t>ů je</w:t>
      </w:r>
      <w:r w:rsidRPr="00B715F4">
        <w:rPr>
          <w:rFonts w:ascii="Arial" w:hAnsi="Arial" w:cs="Arial"/>
          <w:sz w:val="18"/>
          <w:szCs w:val="18"/>
        </w:rPr>
        <w:t xml:space="preserve"> </w:t>
      </w:r>
      <w:r w:rsidR="00AF0E90" w:rsidRPr="00B715F4">
        <w:rPr>
          <w:rFonts w:ascii="Arial" w:hAnsi="Arial" w:cs="Arial"/>
          <w:sz w:val="18"/>
          <w:szCs w:val="18"/>
        </w:rPr>
        <w:t xml:space="preserve">nově </w:t>
      </w:r>
      <w:r w:rsidR="00AF0E90" w:rsidRPr="00B715F4">
        <w:rPr>
          <w:rFonts w:ascii="Arial" w:hAnsi="Arial" w:cs="Arial"/>
          <w:b/>
          <w:sz w:val="18"/>
          <w:szCs w:val="18"/>
        </w:rPr>
        <w:t>Polsko</w:t>
      </w:r>
      <w:r w:rsidR="00B310D7" w:rsidRPr="00B715F4">
        <w:rPr>
          <w:rFonts w:ascii="Arial" w:hAnsi="Arial" w:cs="Arial"/>
          <w:sz w:val="18"/>
          <w:szCs w:val="18"/>
        </w:rPr>
        <w:t xml:space="preserve"> (14,8 %)</w:t>
      </w:r>
      <w:r w:rsidR="000F335B" w:rsidRPr="00B715F4">
        <w:rPr>
          <w:rFonts w:ascii="Arial" w:hAnsi="Arial" w:cs="Arial"/>
          <w:sz w:val="18"/>
          <w:szCs w:val="18"/>
        </w:rPr>
        <w:t>, které mělo i druhý největší podíl (6,9</w:t>
      </w:r>
      <w:r w:rsidR="00B51DA6" w:rsidRPr="00B715F4">
        <w:rPr>
          <w:rFonts w:ascii="Arial" w:hAnsi="Arial" w:cs="Arial"/>
          <w:sz w:val="18"/>
          <w:szCs w:val="18"/>
        </w:rPr>
        <w:t xml:space="preserve"> </w:t>
      </w:r>
      <w:r w:rsidR="00005885" w:rsidRPr="00B715F4">
        <w:rPr>
          <w:rFonts w:ascii="Arial" w:hAnsi="Arial" w:cs="Arial"/>
          <w:sz w:val="18"/>
          <w:szCs w:val="18"/>
        </w:rPr>
        <w:t>%</w:t>
      </w:r>
      <w:r w:rsidR="000F335B" w:rsidRPr="00B715F4">
        <w:rPr>
          <w:rFonts w:ascii="Arial" w:hAnsi="Arial" w:cs="Arial"/>
          <w:sz w:val="18"/>
          <w:szCs w:val="18"/>
        </w:rPr>
        <w:t>) na celkovém zahraničním obchodu ČR</w:t>
      </w:r>
      <w:r w:rsidR="00005885" w:rsidRPr="00B715F4">
        <w:rPr>
          <w:rFonts w:ascii="Arial" w:hAnsi="Arial" w:cs="Arial"/>
          <w:sz w:val="18"/>
          <w:szCs w:val="18"/>
        </w:rPr>
        <w:t xml:space="preserve"> v roce 2016</w:t>
      </w:r>
      <w:r w:rsidR="000F335B" w:rsidRPr="00B715F4">
        <w:rPr>
          <w:rFonts w:ascii="Arial" w:hAnsi="Arial" w:cs="Arial"/>
          <w:sz w:val="18"/>
          <w:szCs w:val="18"/>
        </w:rPr>
        <w:t xml:space="preserve">. Hodnota </w:t>
      </w:r>
      <w:r w:rsidR="000F335B" w:rsidRPr="00B715F4">
        <w:rPr>
          <w:rFonts w:ascii="Arial" w:hAnsi="Arial" w:cs="Arial"/>
          <w:b/>
          <w:sz w:val="18"/>
          <w:szCs w:val="18"/>
        </w:rPr>
        <w:t>obratu</w:t>
      </w:r>
      <w:r w:rsidR="000F335B" w:rsidRPr="00B715F4">
        <w:rPr>
          <w:rFonts w:ascii="Arial" w:hAnsi="Arial" w:cs="Arial"/>
          <w:sz w:val="18"/>
          <w:szCs w:val="18"/>
        </w:rPr>
        <w:t xml:space="preserve"> zahraničního obchodu Česka s </w:t>
      </w:r>
      <w:r w:rsidR="00B310D7" w:rsidRPr="00B715F4">
        <w:rPr>
          <w:rFonts w:ascii="Arial" w:hAnsi="Arial" w:cs="Arial"/>
          <w:sz w:val="18"/>
          <w:szCs w:val="18"/>
        </w:rPr>
        <w:t>Polskem</w:t>
      </w:r>
      <w:r w:rsidR="000F335B" w:rsidRPr="00B715F4">
        <w:rPr>
          <w:rFonts w:ascii="Arial" w:hAnsi="Arial" w:cs="Arial"/>
          <w:sz w:val="18"/>
          <w:szCs w:val="18"/>
        </w:rPr>
        <w:t xml:space="preserve"> byla však v porovnání s hodnotou obratu zahraničního obchodu s Německem výrazně nižší (zhruba na úrovni jedné čtvrtiny), takže i vliv obchodu s Polskem na celkový zahraniční obchod ČR byl podstatně slabší (ve srovnání s Německem). </w:t>
      </w:r>
    </w:p>
    <w:p w:rsidR="00167D1F" w:rsidRPr="004422E7" w:rsidRDefault="00167D1F" w:rsidP="00167D1F">
      <w:pPr>
        <w:spacing w:after="120"/>
        <w:jc w:val="both"/>
        <w:rPr>
          <w:rFonts w:ascii="Arial" w:hAnsi="Arial" w:cs="Arial"/>
          <w:color w:val="FF0000"/>
          <w:sz w:val="18"/>
          <w:szCs w:val="18"/>
        </w:rPr>
      </w:pPr>
      <w:r w:rsidRPr="000F335B">
        <w:rPr>
          <w:rFonts w:ascii="Arial" w:hAnsi="Arial" w:cs="Arial"/>
          <w:sz w:val="18"/>
          <w:szCs w:val="18"/>
        </w:rPr>
        <w:t>Zahraniční obchod České republiky s</w:t>
      </w:r>
      <w:r w:rsidR="000F335B">
        <w:rPr>
          <w:rFonts w:ascii="Arial" w:hAnsi="Arial" w:cs="Arial"/>
          <w:sz w:val="18"/>
          <w:szCs w:val="18"/>
        </w:rPr>
        <w:t>e</w:t>
      </w:r>
      <w:r w:rsidRPr="000F335B">
        <w:rPr>
          <w:rFonts w:ascii="Arial" w:hAnsi="Arial" w:cs="Arial"/>
          <w:sz w:val="18"/>
          <w:szCs w:val="18"/>
        </w:rPr>
        <w:t> </w:t>
      </w:r>
      <w:r w:rsidR="000F335B" w:rsidRPr="000F335B">
        <w:rPr>
          <w:rFonts w:ascii="Arial" w:hAnsi="Arial" w:cs="Arial"/>
          <w:b/>
          <w:sz w:val="18"/>
          <w:szCs w:val="18"/>
        </w:rPr>
        <w:t>Slovenskem</w:t>
      </w:r>
      <w:r w:rsidRPr="000F335B">
        <w:rPr>
          <w:rFonts w:ascii="Arial" w:hAnsi="Arial" w:cs="Arial"/>
          <w:sz w:val="18"/>
          <w:szCs w:val="18"/>
        </w:rPr>
        <w:t xml:space="preserve"> se v roce 201</w:t>
      </w:r>
      <w:r w:rsidR="000F335B" w:rsidRPr="000F335B">
        <w:rPr>
          <w:rFonts w:ascii="Arial" w:hAnsi="Arial" w:cs="Arial"/>
          <w:sz w:val="18"/>
          <w:szCs w:val="18"/>
        </w:rPr>
        <w:t>6</w:t>
      </w:r>
      <w:r w:rsidRPr="000F335B">
        <w:rPr>
          <w:rFonts w:ascii="Arial" w:hAnsi="Arial" w:cs="Arial"/>
          <w:sz w:val="18"/>
          <w:szCs w:val="18"/>
        </w:rPr>
        <w:t xml:space="preserve"> řadí na </w:t>
      </w:r>
      <w:r w:rsidRPr="000F335B">
        <w:rPr>
          <w:rFonts w:ascii="Arial" w:hAnsi="Arial" w:cs="Arial"/>
          <w:b/>
          <w:sz w:val="18"/>
          <w:szCs w:val="18"/>
        </w:rPr>
        <w:t>třetí místo</w:t>
      </w:r>
      <w:r w:rsidRPr="000F335B">
        <w:rPr>
          <w:rFonts w:ascii="Arial" w:hAnsi="Arial" w:cs="Arial"/>
          <w:sz w:val="18"/>
          <w:szCs w:val="18"/>
        </w:rPr>
        <w:t>, a to jak podílem (14,</w:t>
      </w:r>
      <w:r w:rsidR="000F335B" w:rsidRPr="000F335B">
        <w:rPr>
          <w:rFonts w:ascii="Arial" w:hAnsi="Arial" w:cs="Arial"/>
          <w:sz w:val="18"/>
          <w:szCs w:val="18"/>
        </w:rPr>
        <w:t>5</w:t>
      </w:r>
      <w:r w:rsidRPr="000F335B">
        <w:rPr>
          <w:rFonts w:ascii="Arial" w:hAnsi="Arial" w:cs="Arial"/>
          <w:sz w:val="18"/>
          <w:szCs w:val="18"/>
        </w:rPr>
        <w:t xml:space="preserve"> %) na zahraničním obchodu Česka se sousedními státy, tak i na celkovém zahraničním obchodu ČR (6,8 %). </w:t>
      </w:r>
      <w:r w:rsidR="000F335B" w:rsidRPr="004422E7">
        <w:rPr>
          <w:rFonts w:ascii="Arial" w:hAnsi="Arial" w:cs="Arial"/>
          <w:b/>
          <w:sz w:val="18"/>
          <w:szCs w:val="18"/>
        </w:rPr>
        <w:t xml:space="preserve">Poprvé od vzniku samostatné České republiky v roce 1993 se </w:t>
      </w:r>
      <w:r w:rsidR="004422E7">
        <w:rPr>
          <w:rFonts w:ascii="Arial" w:hAnsi="Arial" w:cs="Arial"/>
          <w:b/>
          <w:sz w:val="18"/>
          <w:szCs w:val="18"/>
        </w:rPr>
        <w:t xml:space="preserve">Slovensko celkovým součtem hodnoty </w:t>
      </w:r>
      <w:r w:rsidR="00215FA5">
        <w:rPr>
          <w:rFonts w:ascii="Arial" w:hAnsi="Arial" w:cs="Arial"/>
          <w:b/>
          <w:sz w:val="18"/>
          <w:szCs w:val="18"/>
        </w:rPr>
        <w:t>vyvezeného a </w:t>
      </w:r>
      <w:r w:rsidR="00592D30">
        <w:rPr>
          <w:rFonts w:ascii="Arial" w:hAnsi="Arial" w:cs="Arial"/>
          <w:b/>
          <w:sz w:val="18"/>
          <w:szCs w:val="18"/>
        </w:rPr>
        <w:t>dovezeného zboží</w:t>
      </w:r>
      <w:r w:rsidR="004422E7">
        <w:rPr>
          <w:rFonts w:ascii="Arial" w:hAnsi="Arial" w:cs="Arial"/>
          <w:b/>
          <w:sz w:val="18"/>
          <w:szCs w:val="18"/>
        </w:rPr>
        <w:t xml:space="preserve"> nezařadilo </w:t>
      </w:r>
      <w:r w:rsidR="004422E7" w:rsidRPr="004422E7">
        <w:rPr>
          <w:rFonts w:ascii="Arial" w:hAnsi="Arial" w:cs="Arial"/>
          <w:b/>
          <w:sz w:val="18"/>
          <w:szCs w:val="18"/>
        </w:rPr>
        <w:t>na stabilní druhou příčku.</w:t>
      </w:r>
      <w:r w:rsidR="004422E7">
        <w:rPr>
          <w:rFonts w:ascii="Arial" w:hAnsi="Arial" w:cs="Arial"/>
          <w:b/>
          <w:sz w:val="18"/>
          <w:szCs w:val="18"/>
        </w:rPr>
        <w:t xml:space="preserve"> </w:t>
      </w:r>
      <w:r w:rsidR="004422E7">
        <w:rPr>
          <w:rFonts w:ascii="Arial" w:hAnsi="Arial" w:cs="Arial"/>
          <w:sz w:val="18"/>
          <w:szCs w:val="18"/>
        </w:rPr>
        <w:t xml:space="preserve">V roce 2016 český </w:t>
      </w:r>
      <w:r w:rsidR="00876658">
        <w:rPr>
          <w:rFonts w:ascii="Arial" w:hAnsi="Arial" w:cs="Arial"/>
          <w:sz w:val="18"/>
          <w:szCs w:val="18"/>
        </w:rPr>
        <w:t xml:space="preserve">obchod s tímto státem </w:t>
      </w:r>
      <w:r w:rsidR="004422E7">
        <w:rPr>
          <w:rFonts w:ascii="Arial" w:hAnsi="Arial" w:cs="Arial"/>
          <w:sz w:val="18"/>
          <w:szCs w:val="18"/>
        </w:rPr>
        <w:t xml:space="preserve">nedosáhl hodnot předcházejícího roku a meziročně klesl o </w:t>
      </w:r>
      <w:r w:rsidR="00876658">
        <w:rPr>
          <w:rFonts w:ascii="Arial" w:hAnsi="Arial" w:cs="Arial"/>
          <w:sz w:val="18"/>
          <w:szCs w:val="18"/>
        </w:rPr>
        <w:t>3,3</w:t>
      </w:r>
      <w:r w:rsidR="00592D30">
        <w:rPr>
          <w:rFonts w:ascii="Arial" w:hAnsi="Arial" w:cs="Arial"/>
          <w:sz w:val="18"/>
          <w:szCs w:val="18"/>
        </w:rPr>
        <w:t>%</w:t>
      </w:r>
      <w:r w:rsidR="004422E7">
        <w:rPr>
          <w:rFonts w:ascii="Arial" w:hAnsi="Arial" w:cs="Arial"/>
          <w:sz w:val="18"/>
          <w:szCs w:val="18"/>
        </w:rPr>
        <w:t>.</w:t>
      </w:r>
      <w:r w:rsidR="00876658">
        <w:rPr>
          <w:rFonts w:ascii="Arial" w:hAnsi="Arial" w:cs="Arial"/>
          <w:sz w:val="18"/>
          <w:szCs w:val="18"/>
        </w:rPr>
        <w:t xml:space="preserve"> </w:t>
      </w:r>
    </w:p>
    <w:p w:rsidR="00167D1F" w:rsidRPr="00AF0E90" w:rsidRDefault="00167D1F" w:rsidP="00167D1F">
      <w:pPr>
        <w:spacing w:after="120"/>
        <w:rPr>
          <w:rFonts w:ascii="Arial" w:hAnsi="Arial" w:cs="Arial"/>
          <w:sz w:val="18"/>
          <w:szCs w:val="18"/>
        </w:rPr>
      </w:pPr>
      <w:r w:rsidRPr="00AF0E90">
        <w:rPr>
          <w:rFonts w:ascii="Arial" w:hAnsi="Arial" w:cs="Arial"/>
          <w:b/>
          <w:sz w:val="18"/>
          <w:szCs w:val="18"/>
        </w:rPr>
        <w:t>Nejnižší</w:t>
      </w:r>
      <w:r w:rsidRPr="00AF0E90">
        <w:rPr>
          <w:rFonts w:ascii="Arial" w:hAnsi="Arial" w:cs="Arial"/>
          <w:sz w:val="18"/>
          <w:szCs w:val="18"/>
        </w:rPr>
        <w:t xml:space="preserve"> zastoupení (7,</w:t>
      </w:r>
      <w:r w:rsidR="00AF0E90">
        <w:rPr>
          <w:rFonts w:ascii="Arial" w:hAnsi="Arial" w:cs="Arial"/>
          <w:sz w:val="18"/>
          <w:szCs w:val="18"/>
        </w:rPr>
        <w:t>7</w:t>
      </w:r>
      <w:r w:rsidRPr="00AF0E90">
        <w:rPr>
          <w:rFonts w:ascii="Arial" w:hAnsi="Arial" w:cs="Arial"/>
          <w:sz w:val="18"/>
          <w:szCs w:val="18"/>
        </w:rPr>
        <w:t xml:space="preserve"> % v roce 201</w:t>
      </w:r>
      <w:r w:rsidR="00AF0E90">
        <w:rPr>
          <w:rFonts w:ascii="Arial" w:hAnsi="Arial" w:cs="Arial"/>
          <w:sz w:val="18"/>
          <w:szCs w:val="18"/>
        </w:rPr>
        <w:t>6</w:t>
      </w:r>
      <w:r w:rsidRPr="00AF0E90">
        <w:rPr>
          <w:rFonts w:ascii="Arial" w:hAnsi="Arial" w:cs="Arial"/>
          <w:sz w:val="18"/>
          <w:szCs w:val="18"/>
        </w:rPr>
        <w:t xml:space="preserve">) na zahraničním obchodu České republiky se sousedními státy mělo </w:t>
      </w:r>
      <w:r w:rsidRPr="00AF0E90">
        <w:rPr>
          <w:rFonts w:ascii="Arial" w:hAnsi="Arial" w:cs="Arial"/>
          <w:b/>
          <w:sz w:val="18"/>
          <w:szCs w:val="18"/>
        </w:rPr>
        <w:t>Rakousko</w:t>
      </w:r>
      <w:r w:rsidRPr="00AF0E90">
        <w:rPr>
          <w:rFonts w:ascii="Arial" w:hAnsi="Arial" w:cs="Arial"/>
          <w:sz w:val="18"/>
          <w:szCs w:val="18"/>
        </w:rPr>
        <w:t>, které se s podílem 3,6 % na celkovém obratu zahraničního obchodu ČR umístilo na osmém místě.</w:t>
      </w:r>
    </w:p>
    <w:p w:rsidR="00167D1F" w:rsidRPr="000568E8" w:rsidRDefault="00167D1F" w:rsidP="00167D1F">
      <w:pPr>
        <w:spacing w:after="120"/>
        <w:rPr>
          <w:rFonts w:ascii="Arial" w:hAnsi="Arial" w:cs="Arial"/>
          <w:color w:val="FF0000"/>
          <w:sz w:val="18"/>
          <w:szCs w:val="18"/>
        </w:rPr>
      </w:pPr>
    </w:p>
    <w:p w:rsidR="00167D1F" w:rsidRPr="00232712" w:rsidRDefault="00D31D34" w:rsidP="00BA7845">
      <w:pPr>
        <w:numPr>
          <w:ilvl w:val="1"/>
          <w:numId w:val="1"/>
        </w:numPr>
        <w:spacing w:after="120"/>
        <w:ind w:left="426"/>
        <w:rPr>
          <w:rFonts w:ascii="Arial" w:hAnsi="Arial" w:cs="Arial"/>
          <w:b/>
          <w:sz w:val="21"/>
          <w:szCs w:val="21"/>
        </w:rPr>
      </w:pPr>
      <w:r>
        <w:rPr>
          <w:rFonts w:ascii="Arial" w:hAnsi="Arial" w:cs="Arial"/>
          <w:b/>
          <w:sz w:val="21"/>
          <w:szCs w:val="21"/>
        </w:rPr>
        <w:lastRenderedPageBreak/>
        <w:t>Vývoz a dovoz</w:t>
      </w:r>
      <w:r w:rsidR="00167D1F" w:rsidRPr="00232712">
        <w:rPr>
          <w:rFonts w:ascii="Arial" w:hAnsi="Arial" w:cs="Arial"/>
          <w:b/>
          <w:sz w:val="21"/>
          <w:szCs w:val="21"/>
        </w:rPr>
        <w:t xml:space="preserve"> České republiky </w:t>
      </w:r>
      <w:r>
        <w:rPr>
          <w:rFonts w:ascii="Arial" w:hAnsi="Arial" w:cs="Arial"/>
          <w:b/>
          <w:sz w:val="21"/>
          <w:szCs w:val="21"/>
        </w:rPr>
        <w:t>podle</w:t>
      </w:r>
      <w:r w:rsidR="00167D1F" w:rsidRPr="00232712">
        <w:rPr>
          <w:rFonts w:ascii="Arial" w:hAnsi="Arial" w:cs="Arial"/>
          <w:b/>
          <w:sz w:val="21"/>
          <w:szCs w:val="21"/>
        </w:rPr>
        <w:t xml:space="preserve"> stát</w:t>
      </w:r>
      <w:r>
        <w:rPr>
          <w:rFonts w:ascii="Arial" w:hAnsi="Arial" w:cs="Arial"/>
          <w:b/>
          <w:sz w:val="21"/>
          <w:szCs w:val="21"/>
        </w:rPr>
        <w:t>ů</w:t>
      </w:r>
    </w:p>
    <w:p w:rsidR="00CE2275" w:rsidRPr="00232712" w:rsidRDefault="005E2C18" w:rsidP="00174C78">
      <w:pPr>
        <w:spacing w:after="120"/>
        <w:jc w:val="both"/>
        <w:rPr>
          <w:rFonts w:ascii="Arial" w:hAnsi="Arial" w:cs="Arial"/>
          <w:sz w:val="18"/>
          <w:szCs w:val="18"/>
        </w:rPr>
      </w:pPr>
      <w:r>
        <w:rPr>
          <w:rFonts w:ascii="Arial" w:hAnsi="Arial" w:cs="Arial"/>
          <w:noProof/>
          <w:sz w:val="18"/>
          <w:szCs w:val="18"/>
        </w:rPr>
        <w:pict>
          <v:shapetype id="_x0000_t202" coordsize="21600,21600" o:spt="202" path="m,l,21600r21600,l21600,xe">
            <v:stroke joinstyle="miter"/>
            <v:path gradientshapeok="t" o:connecttype="rect"/>
          </v:shapetype>
          <v:shape id="_x0000_s1040" type="#_x0000_t202" style="position:absolute;left:0;text-align:left;margin-left:-163.5pt;margin-top:14.45pt;width:56.45pt;height:45.55pt;z-index:251660288;mso-width-relative:margin;mso-height-relative:margin" wrapcoords="-182 0 -182 21246 21600 21246 21600 0 -182 0" stroked="f">
            <v:textbox style="mso-next-textbox:#_x0000_s1040">
              <w:txbxContent>
                <w:p w:rsidR="00652816" w:rsidRPr="00652816" w:rsidRDefault="00652816" w:rsidP="00652816">
                  <w:pPr>
                    <w:spacing w:after="0"/>
                    <w:rPr>
                      <w:rFonts w:ascii="Arial" w:hAnsi="Arial" w:cs="Arial"/>
                      <w:sz w:val="15"/>
                      <w:szCs w:val="15"/>
                    </w:rPr>
                  </w:pPr>
                  <w:r w:rsidRPr="00652816">
                    <w:rPr>
                      <w:rFonts w:ascii="Arial" w:hAnsi="Arial" w:cs="Arial"/>
                      <w:sz w:val="15"/>
                      <w:szCs w:val="15"/>
                    </w:rPr>
                    <w:t>Něme</w:t>
                  </w:r>
                  <w:r>
                    <w:rPr>
                      <w:rFonts w:ascii="Arial" w:hAnsi="Arial" w:cs="Arial"/>
                      <w:sz w:val="15"/>
                      <w:szCs w:val="15"/>
                    </w:rPr>
                    <w:t>c</w:t>
                  </w:r>
                  <w:r w:rsidRPr="00652816">
                    <w:rPr>
                      <w:rFonts w:ascii="Arial" w:hAnsi="Arial" w:cs="Arial"/>
                      <w:sz w:val="15"/>
                      <w:szCs w:val="15"/>
                    </w:rPr>
                    <w:t>ko</w:t>
                  </w:r>
                </w:p>
                <w:p w:rsidR="00652816" w:rsidRPr="00652816" w:rsidRDefault="00652816" w:rsidP="00652816">
                  <w:pPr>
                    <w:spacing w:after="0"/>
                    <w:rPr>
                      <w:rFonts w:ascii="Arial" w:hAnsi="Arial" w:cs="Arial"/>
                      <w:sz w:val="15"/>
                      <w:szCs w:val="15"/>
                    </w:rPr>
                  </w:pPr>
                  <w:r w:rsidRPr="00652816">
                    <w:rPr>
                      <w:rFonts w:ascii="Arial" w:hAnsi="Arial" w:cs="Arial"/>
                      <w:sz w:val="15"/>
                      <w:szCs w:val="15"/>
                    </w:rPr>
                    <w:t>Polsko</w:t>
                  </w:r>
                </w:p>
                <w:p w:rsidR="00652816" w:rsidRPr="00652816" w:rsidRDefault="00652816" w:rsidP="00652816">
                  <w:pPr>
                    <w:spacing w:after="0"/>
                    <w:rPr>
                      <w:rFonts w:ascii="Arial" w:hAnsi="Arial" w:cs="Arial"/>
                      <w:sz w:val="15"/>
                      <w:szCs w:val="15"/>
                    </w:rPr>
                  </w:pPr>
                  <w:r w:rsidRPr="00652816">
                    <w:rPr>
                      <w:rFonts w:ascii="Arial" w:hAnsi="Arial" w:cs="Arial"/>
                      <w:sz w:val="15"/>
                      <w:szCs w:val="15"/>
                    </w:rPr>
                    <w:t>Slovensko</w:t>
                  </w:r>
                </w:p>
              </w:txbxContent>
            </v:textbox>
          </v:shape>
        </w:pict>
      </w:r>
      <w:r w:rsidR="00BA7845" w:rsidRPr="00232712">
        <w:rPr>
          <w:rFonts w:ascii="Arial" w:hAnsi="Arial" w:cs="Arial"/>
          <w:b/>
          <w:sz w:val="18"/>
          <w:szCs w:val="18"/>
        </w:rPr>
        <w:t>Rozhodující část vývozu</w:t>
      </w:r>
      <w:r w:rsidR="00BA7845" w:rsidRPr="00232712">
        <w:rPr>
          <w:rFonts w:ascii="Arial" w:hAnsi="Arial" w:cs="Arial"/>
          <w:sz w:val="18"/>
          <w:szCs w:val="18"/>
        </w:rPr>
        <w:t xml:space="preserve"> </w:t>
      </w:r>
      <w:r w:rsidR="0050610D" w:rsidRPr="00232712">
        <w:rPr>
          <w:rFonts w:ascii="Arial" w:hAnsi="Arial" w:cs="Arial"/>
          <w:sz w:val="18"/>
          <w:szCs w:val="18"/>
        </w:rPr>
        <w:t xml:space="preserve">Česka </w:t>
      </w:r>
      <w:r w:rsidR="00BA7845" w:rsidRPr="00232712">
        <w:rPr>
          <w:rFonts w:ascii="Arial" w:hAnsi="Arial" w:cs="Arial"/>
          <w:sz w:val="18"/>
          <w:szCs w:val="18"/>
        </w:rPr>
        <w:t>(</w:t>
      </w:r>
      <w:r w:rsidR="00CE2275" w:rsidRPr="00232712">
        <w:rPr>
          <w:rFonts w:ascii="Arial" w:hAnsi="Arial" w:cs="Arial"/>
          <w:sz w:val="18"/>
          <w:szCs w:val="18"/>
        </w:rPr>
        <w:t>více než</w:t>
      </w:r>
      <w:r w:rsidR="00BA7845" w:rsidRPr="00232712">
        <w:rPr>
          <w:rFonts w:ascii="Arial" w:hAnsi="Arial" w:cs="Arial"/>
          <w:sz w:val="18"/>
          <w:szCs w:val="18"/>
        </w:rPr>
        <w:t xml:space="preserve"> 8</w:t>
      </w:r>
      <w:r w:rsidR="006348AE" w:rsidRPr="00232712">
        <w:rPr>
          <w:rFonts w:ascii="Arial" w:hAnsi="Arial" w:cs="Arial"/>
          <w:sz w:val="18"/>
          <w:szCs w:val="18"/>
        </w:rPr>
        <w:t>0</w:t>
      </w:r>
      <w:r w:rsidR="00BA7845" w:rsidRPr="00232712">
        <w:rPr>
          <w:rFonts w:ascii="Arial" w:hAnsi="Arial" w:cs="Arial"/>
          <w:sz w:val="18"/>
          <w:szCs w:val="18"/>
        </w:rPr>
        <w:t xml:space="preserve"> %) směřovala v roce 201</w:t>
      </w:r>
      <w:r w:rsidR="00232712">
        <w:rPr>
          <w:rFonts w:ascii="Arial" w:hAnsi="Arial" w:cs="Arial"/>
          <w:sz w:val="18"/>
          <w:szCs w:val="18"/>
        </w:rPr>
        <w:t>6</w:t>
      </w:r>
      <w:r w:rsidR="00BA7845" w:rsidRPr="00232712">
        <w:rPr>
          <w:rFonts w:ascii="Arial" w:hAnsi="Arial" w:cs="Arial"/>
          <w:sz w:val="18"/>
          <w:szCs w:val="18"/>
        </w:rPr>
        <w:t xml:space="preserve"> do </w:t>
      </w:r>
      <w:r w:rsidR="003E5298" w:rsidRPr="00232712">
        <w:rPr>
          <w:rFonts w:ascii="Arial" w:hAnsi="Arial" w:cs="Arial"/>
          <w:sz w:val="18"/>
          <w:szCs w:val="18"/>
        </w:rPr>
        <w:t>třinácti</w:t>
      </w:r>
      <w:r w:rsidR="00BA7845" w:rsidRPr="00232712">
        <w:rPr>
          <w:rFonts w:ascii="Arial" w:hAnsi="Arial" w:cs="Arial"/>
          <w:sz w:val="18"/>
          <w:szCs w:val="18"/>
        </w:rPr>
        <w:t xml:space="preserve"> států</w:t>
      </w:r>
      <w:r w:rsidR="00642FF0">
        <w:rPr>
          <w:rFonts w:ascii="Arial" w:hAnsi="Arial" w:cs="Arial"/>
          <w:sz w:val="18"/>
          <w:szCs w:val="18"/>
        </w:rPr>
        <w:t xml:space="preserve"> (tabulka 2.1)</w:t>
      </w:r>
      <w:r w:rsidR="00CE2275" w:rsidRPr="00232712">
        <w:rPr>
          <w:rFonts w:ascii="Arial" w:hAnsi="Arial" w:cs="Arial"/>
          <w:sz w:val="18"/>
          <w:szCs w:val="18"/>
        </w:rPr>
        <w:t xml:space="preserve">, z čehož bylo </w:t>
      </w:r>
      <w:r w:rsidR="00B810B8" w:rsidRPr="00232712">
        <w:rPr>
          <w:rFonts w:ascii="Arial" w:hAnsi="Arial" w:cs="Arial"/>
          <w:sz w:val="18"/>
          <w:szCs w:val="18"/>
        </w:rPr>
        <w:t>jedenáct</w:t>
      </w:r>
      <w:r w:rsidR="00CE2275" w:rsidRPr="00232712">
        <w:rPr>
          <w:rFonts w:ascii="Arial" w:hAnsi="Arial" w:cs="Arial"/>
          <w:sz w:val="18"/>
          <w:szCs w:val="18"/>
        </w:rPr>
        <w:t xml:space="preserve"> států unijních a </w:t>
      </w:r>
      <w:r w:rsidR="00B810B8" w:rsidRPr="00232712">
        <w:rPr>
          <w:rFonts w:ascii="Arial" w:hAnsi="Arial" w:cs="Arial"/>
          <w:sz w:val="18"/>
          <w:szCs w:val="18"/>
        </w:rPr>
        <w:t>dva</w:t>
      </w:r>
      <w:r w:rsidR="00CE2275" w:rsidRPr="00232712">
        <w:rPr>
          <w:rFonts w:ascii="Arial" w:hAnsi="Arial" w:cs="Arial"/>
          <w:sz w:val="18"/>
          <w:szCs w:val="18"/>
        </w:rPr>
        <w:t xml:space="preserve"> státy</w:t>
      </w:r>
      <w:r w:rsidR="0050610D" w:rsidRPr="00232712">
        <w:rPr>
          <w:rFonts w:ascii="Arial" w:hAnsi="Arial" w:cs="Arial"/>
          <w:sz w:val="18"/>
          <w:szCs w:val="18"/>
        </w:rPr>
        <w:t xml:space="preserve"> ležící mimo hranici EU (Spojené státy a </w:t>
      </w:r>
      <w:r w:rsidR="00B810B8" w:rsidRPr="00232712">
        <w:rPr>
          <w:rFonts w:ascii="Arial" w:hAnsi="Arial" w:cs="Arial"/>
          <w:sz w:val="18"/>
          <w:szCs w:val="18"/>
        </w:rPr>
        <w:t>Ruská federace</w:t>
      </w:r>
      <w:r w:rsidR="0050610D" w:rsidRPr="00232712">
        <w:rPr>
          <w:rFonts w:ascii="Arial" w:hAnsi="Arial" w:cs="Arial"/>
          <w:sz w:val="18"/>
          <w:szCs w:val="18"/>
        </w:rPr>
        <w:t>).</w:t>
      </w:r>
    </w:p>
    <w:p w:rsidR="0050610D" w:rsidRPr="00232712" w:rsidRDefault="0010799A" w:rsidP="00174C78">
      <w:pPr>
        <w:spacing w:after="120"/>
        <w:jc w:val="both"/>
        <w:rPr>
          <w:rFonts w:ascii="Arial" w:hAnsi="Arial" w:cs="Arial"/>
          <w:sz w:val="18"/>
          <w:szCs w:val="18"/>
        </w:rPr>
      </w:pPr>
      <w:r w:rsidRPr="00232712">
        <w:rPr>
          <w:rFonts w:ascii="Arial" w:hAnsi="Arial" w:cs="Arial"/>
          <w:sz w:val="18"/>
          <w:szCs w:val="18"/>
        </w:rPr>
        <w:t xml:space="preserve">Stejně jako v předchozích letech bylo </w:t>
      </w:r>
      <w:r w:rsidR="00FF20A8" w:rsidRPr="00232712">
        <w:rPr>
          <w:rFonts w:ascii="Arial" w:hAnsi="Arial" w:cs="Arial"/>
          <w:sz w:val="18"/>
          <w:szCs w:val="18"/>
        </w:rPr>
        <w:t>zboží v největší hodnotě (1</w:t>
      </w:r>
      <w:r w:rsidR="00232712">
        <w:rPr>
          <w:rFonts w:ascii="Arial" w:hAnsi="Arial" w:cs="Arial"/>
          <w:sz w:val="18"/>
          <w:szCs w:val="18"/>
        </w:rPr>
        <w:t> </w:t>
      </w:r>
      <w:r w:rsidR="00FF20A8" w:rsidRPr="00232712">
        <w:rPr>
          <w:rFonts w:ascii="Arial" w:hAnsi="Arial" w:cs="Arial"/>
          <w:sz w:val="18"/>
          <w:szCs w:val="18"/>
        </w:rPr>
        <w:t>2</w:t>
      </w:r>
      <w:r w:rsidR="00232712">
        <w:rPr>
          <w:rFonts w:ascii="Arial" w:hAnsi="Arial" w:cs="Arial"/>
          <w:sz w:val="18"/>
          <w:szCs w:val="18"/>
        </w:rPr>
        <w:t>86,7</w:t>
      </w:r>
      <w:r w:rsidR="00FF20A8" w:rsidRPr="00232712">
        <w:rPr>
          <w:rFonts w:ascii="Arial" w:hAnsi="Arial" w:cs="Arial"/>
          <w:sz w:val="18"/>
          <w:szCs w:val="18"/>
        </w:rPr>
        <w:t xml:space="preserve"> mld. Kč) vyvezeno </w:t>
      </w:r>
      <w:r w:rsidRPr="00232712">
        <w:rPr>
          <w:rFonts w:ascii="Arial" w:hAnsi="Arial" w:cs="Arial"/>
          <w:sz w:val="18"/>
          <w:szCs w:val="18"/>
        </w:rPr>
        <w:t xml:space="preserve">do Německa. </w:t>
      </w:r>
      <w:r w:rsidR="00616FC9" w:rsidRPr="00232712">
        <w:rPr>
          <w:rFonts w:ascii="Arial" w:hAnsi="Arial" w:cs="Arial"/>
          <w:sz w:val="18"/>
          <w:szCs w:val="18"/>
        </w:rPr>
        <w:t>Žádný z d</w:t>
      </w:r>
      <w:r w:rsidR="0050610D" w:rsidRPr="00232712">
        <w:rPr>
          <w:rFonts w:ascii="Arial" w:hAnsi="Arial" w:cs="Arial"/>
          <w:sz w:val="18"/>
          <w:szCs w:val="18"/>
        </w:rPr>
        <w:t xml:space="preserve">alších </w:t>
      </w:r>
      <w:r w:rsidR="003E5298" w:rsidRPr="00232712">
        <w:rPr>
          <w:rFonts w:ascii="Arial" w:hAnsi="Arial" w:cs="Arial"/>
          <w:sz w:val="18"/>
          <w:szCs w:val="18"/>
        </w:rPr>
        <w:t>dvanácti</w:t>
      </w:r>
      <w:r w:rsidR="0050610D" w:rsidRPr="00232712">
        <w:rPr>
          <w:rFonts w:ascii="Arial" w:hAnsi="Arial" w:cs="Arial"/>
          <w:sz w:val="18"/>
          <w:szCs w:val="18"/>
        </w:rPr>
        <w:t xml:space="preserve"> států nedosahoval již tak vysoký podíl na celkovém </w:t>
      </w:r>
      <w:r w:rsidRPr="00232712">
        <w:rPr>
          <w:rFonts w:ascii="Arial" w:hAnsi="Arial" w:cs="Arial"/>
          <w:sz w:val="18"/>
          <w:szCs w:val="18"/>
        </w:rPr>
        <w:t xml:space="preserve">českém </w:t>
      </w:r>
      <w:r w:rsidR="0050610D" w:rsidRPr="00232712">
        <w:rPr>
          <w:rFonts w:ascii="Arial" w:hAnsi="Arial" w:cs="Arial"/>
          <w:sz w:val="18"/>
          <w:szCs w:val="18"/>
        </w:rPr>
        <w:t xml:space="preserve">vývozu jako </w:t>
      </w:r>
      <w:r w:rsidRPr="00232712">
        <w:rPr>
          <w:rFonts w:ascii="Arial" w:hAnsi="Arial" w:cs="Arial"/>
          <w:sz w:val="18"/>
          <w:szCs w:val="18"/>
        </w:rPr>
        <w:t xml:space="preserve">uvedené </w:t>
      </w:r>
      <w:r w:rsidR="0050610D" w:rsidRPr="00232712">
        <w:rPr>
          <w:rFonts w:ascii="Arial" w:hAnsi="Arial" w:cs="Arial"/>
          <w:sz w:val="18"/>
          <w:szCs w:val="18"/>
        </w:rPr>
        <w:t>Něm</w:t>
      </w:r>
      <w:r w:rsidR="00E74848" w:rsidRPr="00232712">
        <w:rPr>
          <w:rFonts w:ascii="Arial" w:hAnsi="Arial" w:cs="Arial"/>
          <w:sz w:val="18"/>
          <w:szCs w:val="18"/>
        </w:rPr>
        <w:t>ecko (32,</w:t>
      </w:r>
      <w:r w:rsidR="00232712">
        <w:rPr>
          <w:rFonts w:ascii="Arial" w:hAnsi="Arial" w:cs="Arial"/>
          <w:sz w:val="18"/>
          <w:szCs w:val="18"/>
        </w:rPr>
        <w:t>4</w:t>
      </w:r>
      <w:r w:rsidR="00E74848" w:rsidRPr="00232712">
        <w:rPr>
          <w:rFonts w:ascii="Arial" w:hAnsi="Arial" w:cs="Arial"/>
          <w:sz w:val="18"/>
          <w:szCs w:val="18"/>
        </w:rPr>
        <w:t xml:space="preserve"> %) a </w:t>
      </w:r>
      <w:r w:rsidR="00616FC9" w:rsidRPr="00232712">
        <w:rPr>
          <w:rFonts w:ascii="Arial" w:hAnsi="Arial" w:cs="Arial"/>
          <w:sz w:val="18"/>
          <w:szCs w:val="18"/>
        </w:rPr>
        <w:t>jejich</w:t>
      </w:r>
      <w:r w:rsidR="00616FC9" w:rsidRPr="000568E8">
        <w:rPr>
          <w:rFonts w:ascii="Arial" w:hAnsi="Arial" w:cs="Arial"/>
          <w:color w:val="FF0000"/>
          <w:sz w:val="18"/>
          <w:szCs w:val="18"/>
        </w:rPr>
        <w:t xml:space="preserve"> </w:t>
      </w:r>
      <w:r w:rsidR="00616FC9" w:rsidRPr="00232712">
        <w:rPr>
          <w:rFonts w:ascii="Arial" w:hAnsi="Arial" w:cs="Arial"/>
          <w:sz w:val="18"/>
          <w:szCs w:val="18"/>
        </w:rPr>
        <w:t xml:space="preserve">zastoupení se </w:t>
      </w:r>
      <w:r w:rsidR="00E74848" w:rsidRPr="00232712">
        <w:rPr>
          <w:rFonts w:ascii="Arial" w:hAnsi="Arial" w:cs="Arial"/>
          <w:sz w:val="18"/>
          <w:szCs w:val="18"/>
        </w:rPr>
        <w:t xml:space="preserve">pohybovalo </w:t>
      </w:r>
      <w:r w:rsidR="00616FC9" w:rsidRPr="00232712">
        <w:rPr>
          <w:rFonts w:ascii="Arial" w:hAnsi="Arial" w:cs="Arial"/>
          <w:sz w:val="18"/>
          <w:szCs w:val="18"/>
        </w:rPr>
        <w:t xml:space="preserve">v </w:t>
      </w:r>
      <w:r w:rsidR="00FF20A8" w:rsidRPr="00232712">
        <w:rPr>
          <w:rFonts w:ascii="Arial" w:hAnsi="Arial" w:cs="Arial"/>
          <w:sz w:val="18"/>
          <w:szCs w:val="18"/>
        </w:rPr>
        <w:t>rozmezí</w:t>
      </w:r>
      <w:r w:rsidR="0050610D" w:rsidRPr="00232712">
        <w:rPr>
          <w:rFonts w:ascii="Arial" w:hAnsi="Arial" w:cs="Arial"/>
          <w:sz w:val="18"/>
          <w:szCs w:val="18"/>
        </w:rPr>
        <w:t xml:space="preserve"> od </w:t>
      </w:r>
      <w:r w:rsidR="00232712" w:rsidRPr="00232712">
        <w:rPr>
          <w:rFonts w:ascii="Arial" w:hAnsi="Arial" w:cs="Arial"/>
          <w:sz w:val="18"/>
          <w:szCs w:val="18"/>
        </w:rPr>
        <w:t>1,9</w:t>
      </w:r>
      <w:r w:rsidR="0050610D" w:rsidRPr="00232712">
        <w:rPr>
          <w:rFonts w:ascii="Arial" w:hAnsi="Arial" w:cs="Arial"/>
          <w:sz w:val="18"/>
          <w:szCs w:val="18"/>
        </w:rPr>
        <w:t xml:space="preserve"> % u </w:t>
      </w:r>
      <w:r w:rsidR="003E5298" w:rsidRPr="00232712">
        <w:rPr>
          <w:rFonts w:ascii="Arial" w:hAnsi="Arial" w:cs="Arial"/>
          <w:sz w:val="18"/>
          <w:szCs w:val="18"/>
        </w:rPr>
        <w:t>třinácté Ruské federace</w:t>
      </w:r>
      <w:r w:rsidR="0050610D" w:rsidRPr="00232712">
        <w:rPr>
          <w:rFonts w:ascii="Arial" w:hAnsi="Arial" w:cs="Arial"/>
          <w:sz w:val="18"/>
          <w:szCs w:val="18"/>
        </w:rPr>
        <w:t xml:space="preserve"> do </w:t>
      </w:r>
      <w:r w:rsidR="00232712" w:rsidRPr="00232712">
        <w:rPr>
          <w:rFonts w:ascii="Arial" w:hAnsi="Arial" w:cs="Arial"/>
          <w:sz w:val="18"/>
          <w:szCs w:val="18"/>
        </w:rPr>
        <w:t>8,3</w:t>
      </w:r>
      <w:r w:rsidR="0050610D" w:rsidRPr="00232712">
        <w:rPr>
          <w:rFonts w:ascii="Arial" w:hAnsi="Arial" w:cs="Arial"/>
          <w:sz w:val="18"/>
          <w:szCs w:val="18"/>
        </w:rPr>
        <w:t xml:space="preserve"> % u druhého Slovenska.</w:t>
      </w:r>
    </w:p>
    <w:p w:rsidR="00B0609A" w:rsidRDefault="0010799A" w:rsidP="00556ED2">
      <w:pPr>
        <w:jc w:val="both"/>
        <w:rPr>
          <w:rFonts w:ascii="Arial" w:hAnsi="Arial" w:cs="Arial"/>
          <w:sz w:val="18"/>
          <w:szCs w:val="18"/>
        </w:rPr>
      </w:pPr>
      <w:r w:rsidRPr="00032FE2">
        <w:rPr>
          <w:rFonts w:ascii="Arial" w:hAnsi="Arial" w:cs="Arial"/>
          <w:sz w:val="18"/>
          <w:szCs w:val="18"/>
        </w:rPr>
        <w:t>N</w:t>
      </w:r>
      <w:r w:rsidR="00BA7845" w:rsidRPr="00032FE2">
        <w:rPr>
          <w:rFonts w:ascii="Arial" w:hAnsi="Arial" w:cs="Arial"/>
          <w:sz w:val="18"/>
          <w:szCs w:val="18"/>
        </w:rPr>
        <w:t xml:space="preserve">ejvýraznější meziroční relativní růst zaznamenal vývoz </w:t>
      </w:r>
      <w:r w:rsidR="00A41D02" w:rsidRPr="00032FE2">
        <w:rPr>
          <w:rFonts w:ascii="Arial" w:hAnsi="Arial" w:cs="Arial"/>
          <w:sz w:val="18"/>
          <w:szCs w:val="18"/>
        </w:rPr>
        <w:t xml:space="preserve">České republiky </w:t>
      </w:r>
      <w:r w:rsidR="00453048" w:rsidRPr="00032FE2">
        <w:rPr>
          <w:rFonts w:ascii="Arial" w:hAnsi="Arial" w:cs="Arial"/>
          <w:sz w:val="18"/>
          <w:szCs w:val="18"/>
        </w:rPr>
        <w:t xml:space="preserve">do </w:t>
      </w:r>
      <w:r w:rsidR="00032FE2" w:rsidRPr="00032FE2">
        <w:rPr>
          <w:rFonts w:ascii="Arial" w:hAnsi="Arial" w:cs="Arial"/>
          <w:sz w:val="18"/>
          <w:szCs w:val="18"/>
        </w:rPr>
        <w:t>Itálie</w:t>
      </w:r>
      <w:r w:rsidR="00453048" w:rsidRPr="00032FE2">
        <w:rPr>
          <w:rFonts w:ascii="Arial" w:hAnsi="Arial" w:cs="Arial"/>
          <w:sz w:val="18"/>
          <w:szCs w:val="18"/>
        </w:rPr>
        <w:t xml:space="preserve"> (</w:t>
      </w:r>
      <w:r w:rsidR="000873D4" w:rsidRPr="00032FE2">
        <w:rPr>
          <w:rFonts w:ascii="Arial" w:hAnsi="Arial" w:cs="Arial"/>
          <w:sz w:val="18"/>
          <w:szCs w:val="18"/>
        </w:rPr>
        <w:t xml:space="preserve">o </w:t>
      </w:r>
      <w:r w:rsidR="00032FE2" w:rsidRPr="00032FE2">
        <w:rPr>
          <w:rFonts w:ascii="Arial" w:hAnsi="Arial" w:cs="Arial"/>
          <w:sz w:val="18"/>
          <w:szCs w:val="18"/>
        </w:rPr>
        <w:t>15,6</w:t>
      </w:r>
      <w:r w:rsidR="00453048" w:rsidRPr="00032FE2">
        <w:rPr>
          <w:rFonts w:ascii="Arial" w:hAnsi="Arial" w:cs="Arial"/>
          <w:sz w:val="18"/>
          <w:szCs w:val="18"/>
        </w:rPr>
        <w:t xml:space="preserve"> %), </w:t>
      </w:r>
      <w:r w:rsidR="00032FE2" w:rsidRPr="00032FE2">
        <w:rPr>
          <w:rFonts w:ascii="Arial" w:hAnsi="Arial" w:cs="Arial"/>
          <w:sz w:val="18"/>
          <w:szCs w:val="18"/>
        </w:rPr>
        <w:t>Španělska</w:t>
      </w:r>
      <w:r w:rsidR="00BA7845" w:rsidRPr="00032FE2">
        <w:rPr>
          <w:rFonts w:ascii="Arial" w:hAnsi="Arial" w:cs="Arial"/>
          <w:sz w:val="18"/>
          <w:szCs w:val="18"/>
        </w:rPr>
        <w:t xml:space="preserve"> (</w:t>
      </w:r>
      <w:r w:rsidR="00A41D02" w:rsidRPr="00032FE2">
        <w:rPr>
          <w:rFonts w:ascii="Arial" w:hAnsi="Arial" w:cs="Arial"/>
          <w:sz w:val="18"/>
          <w:szCs w:val="18"/>
        </w:rPr>
        <w:t>o </w:t>
      </w:r>
      <w:r w:rsidR="00032FE2" w:rsidRPr="00032FE2">
        <w:rPr>
          <w:rFonts w:ascii="Arial" w:hAnsi="Arial" w:cs="Arial"/>
          <w:sz w:val="18"/>
          <w:szCs w:val="18"/>
        </w:rPr>
        <w:t>9,5</w:t>
      </w:r>
      <w:r w:rsidR="00A41D02" w:rsidRPr="00032FE2">
        <w:rPr>
          <w:rFonts w:ascii="Arial" w:hAnsi="Arial" w:cs="Arial"/>
          <w:sz w:val="18"/>
          <w:szCs w:val="18"/>
        </w:rPr>
        <w:t> </w:t>
      </w:r>
      <w:r w:rsidR="00BA7845" w:rsidRPr="00032FE2">
        <w:rPr>
          <w:rFonts w:ascii="Arial" w:hAnsi="Arial" w:cs="Arial"/>
          <w:sz w:val="18"/>
          <w:szCs w:val="18"/>
        </w:rPr>
        <w:t>%)</w:t>
      </w:r>
      <w:r w:rsidR="00A41D02" w:rsidRPr="000568E8">
        <w:rPr>
          <w:rFonts w:ascii="Arial" w:hAnsi="Arial" w:cs="Arial"/>
          <w:color w:val="FF0000"/>
          <w:sz w:val="18"/>
          <w:szCs w:val="18"/>
        </w:rPr>
        <w:t xml:space="preserve"> </w:t>
      </w:r>
      <w:r w:rsidR="00A41D02" w:rsidRPr="00B0609A">
        <w:rPr>
          <w:rFonts w:ascii="Arial" w:hAnsi="Arial" w:cs="Arial"/>
          <w:sz w:val="18"/>
          <w:szCs w:val="18"/>
        </w:rPr>
        <w:t>a </w:t>
      </w:r>
      <w:r w:rsidR="00B0609A" w:rsidRPr="00B0609A">
        <w:rPr>
          <w:rFonts w:ascii="Arial" w:hAnsi="Arial" w:cs="Arial"/>
          <w:sz w:val="18"/>
          <w:szCs w:val="18"/>
        </w:rPr>
        <w:t>Nizozemska</w:t>
      </w:r>
      <w:r w:rsidR="00453048" w:rsidRPr="00B0609A">
        <w:rPr>
          <w:rFonts w:ascii="Arial" w:hAnsi="Arial" w:cs="Arial"/>
          <w:sz w:val="18"/>
          <w:szCs w:val="18"/>
        </w:rPr>
        <w:t xml:space="preserve"> (</w:t>
      </w:r>
      <w:r w:rsidR="00A41D02" w:rsidRPr="00B0609A">
        <w:rPr>
          <w:rFonts w:ascii="Arial" w:hAnsi="Arial" w:cs="Arial"/>
          <w:sz w:val="18"/>
          <w:szCs w:val="18"/>
        </w:rPr>
        <w:t xml:space="preserve">o </w:t>
      </w:r>
      <w:r w:rsidR="00B0609A" w:rsidRPr="00B0609A">
        <w:rPr>
          <w:rFonts w:ascii="Arial" w:hAnsi="Arial" w:cs="Arial"/>
          <w:sz w:val="18"/>
          <w:szCs w:val="18"/>
        </w:rPr>
        <w:t>6,1</w:t>
      </w:r>
      <w:r w:rsidR="0051699D" w:rsidRPr="00B0609A">
        <w:rPr>
          <w:rFonts w:ascii="Arial" w:hAnsi="Arial" w:cs="Arial"/>
          <w:sz w:val="18"/>
          <w:szCs w:val="18"/>
        </w:rPr>
        <w:t xml:space="preserve"> </w:t>
      </w:r>
      <w:r w:rsidR="00453048" w:rsidRPr="00B0609A">
        <w:rPr>
          <w:rFonts w:ascii="Arial" w:hAnsi="Arial" w:cs="Arial"/>
          <w:sz w:val="18"/>
          <w:szCs w:val="18"/>
        </w:rPr>
        <w:t xml:space="preserve">%). </w:t>
      </w:r>
      <w:r w:rsidR="00B0609A">
        <w:rPr>
          <w:rFonts w:ascii="Arial" w:hAnsi="Arial" w:cs="Arial"/>
          <w:sz w:val="18"/>
          <w:szCs w:val="18"/>
        </w:rPr>
        <w:t xml:space="preserve"> U čtyř států z uvedené třináctky došlo v roce 2016 k poklesu vývozu (Spojené státy o 6,1 %, Slovensko o 4,8 %, Ruská federace o 4,6 % a Maďarsko o 1,0 %), u ostatních devíti států se v porovnání s rokem 2015 vývoz navýšil.</w:t>
      </w:r>
    </w:p>
    <w:p w:rsidR="00BA7845" w:rsidRPr="00803DE5" w:rsidRDefault="00BA7845" w:rsidP="0065350B">
      <w:pPr>
        <w:spacing w:after="80"/>
        <w:jc w:val="both"/>
        <w:rPr>
          <w:rFonts w:ascii="Arial" w:hAnsi="Arial" w:cs="Arial"/>
          <w:sz w:val="18"/>
          <w:szCs w:val="18"/>
        </w:rPr>
      </w:pPr>
      <w:r w:rsidRPr="00803DE5">
        <w:rPr>
          <w:rFonts w:ascii="Arial" w:hAnsi="Arial" w:cs="Arial"/>
          <w:b/>
          <w:sz w:val="18"/>
          <w:szCs w:val="18"/>
        </w:rPr>
        <w:t>Graf 1</w:t>
      </w:r>
      <w:r w:rsidR="00FA6C0C" w:rsidRPr="00803DE5">
        <w:rPr>
          <w:rFonts w:ascii="Arial" w:hAnsi="Arial" w:cs="Arial"/>
          <w:b/>
          <w:sz w:val="18"/>
          <w:szCs w:val="18"/>
        </w:rPr>
        <w:t>3</w:t>
      </w:r>
      <w:r w:rsidRPr="00803DE5">
        <w:rPr>
          <w:rFonts w:ascii="Arial" w:hAnsi="Arial" w:cs="Arial"/>
          <w:b/>
          <w:sz w:val="18"/>
          <w:szCs w:val="18"/>
        </w:rPr>
        <w:t xml:space="preserve"> - Nejvýznamnější obchodní partneři</w:t>
      </w:r>
      <w:r w:rsidR="00060BD0" w:rsidRPr="00803DE5">
        <w:rPr>
          <w:rFonts w:ascii="Arial" w:hAnsi="Arial" w:cs="Arial"/>
          <w:b/>
          <w:sz w:val="18"/>
          <w:szCs w:val="18"/>
        </w:rPr>
        <w:t xml:space="preserve"> </w:t>
      </w:r>
      <w:r w:rsidR="00060BD0" w:rsidRPr="00803DE5">
        <w:rPr>
          <w:rStyle w:val="Znakapoznpodarou"/>
          <w:rFonts w:ascii="Arial" w:hAnsi="Arial" w:cs="Arial"/>
          <w:sz w:val="18"/>
          <w:szCs w:val="18"/>
        </w:rPr>
        <w:footnoteReference w:id="7"/>
      </w:r>
      <w:r w:rsidRPr="00803DE5">
        <w:rPr>
          <w:rFonts w:ascii="Arial" w:hAnsi="Arial" w:cs="Arial"/>
          <w:b/>
          <w:sz w:val="18"/>
          <w:szCs w:val="18"/>
        </w:rPr>
        <w:t xml:space="preserve"> </w:t>
      </w:r>
      <w:r w:rsidR="00E74848" w:rsidRPr="00803DE5">
        <w:rPr>
          <w:rFonts w:ascii="Arial" w:hAnsi="Arial" w:cs="Arial"/>
          <w:b/>
          <w:sz w:val="18"/>
          <w:szCs w:val="18"/>
        </w:rPr>
        <w:t xml:space="preserve">České republiky </w:t>
      </w:r>
      <w:r w:rsidRPr="00803DE5">
        <w:rPr>
          <w:rFonts w:ascii="Arial" w:hAnsi="Arial" w:cs="Arial"/>
          <w:b/>
          <w:sz w:val="18"/>
          <w:szCs w:val="18"/>
        </w:rPr>
        <w:t>v roce 201</w:t>
      </w:r>
      <w:r w:rsidR="00803DE5" w:rsidRPr="00803DE5">
        <w:rPr>
          <w:rFonts w:ascii="Arial" w:hAnsi="Arial" w:cs="Arial"/>
          <w:b/>
          <w:sz w:val="18"/>
          <w:szCs w:val="18"/>
        </w:rPr>
        <w:t>6</w:t>
      </w:r>
      <w:r w:rsidR="00B0609A" w:rsidRPr="00803DE5">
        <w:rPr>
          <w:rFonts w:ascii="Arial" w:hAnsi="Arial" w:cs="Arial"/>
          <w:b/>
          <w:sz w:val="18"/>
          <w:szCs w:val="18"/>
        </w:rPr>
        <w:t xml:space="preserve"> </w:t>
      </w:r>
    </w:p>
    <w:p w:rsidR="00BA7845" w:rsidRPr="00803DE5" w:rsidRDefault="00174C78" w:rsidP="00642FF0">
      <w:pPr>
        <w:spacing w:after="0"/>
        <w:jc w:val="both"/>
        <w:rPr>
          <w:rFonts w:ascii="Arial" w:hAnsi="Arial" w:cs="Arial"/>
          <w:sz w:val="18"/>
          <w:szCs w:val="18"/>
        </w:rPr>
      </w:pPr>
      <w:r w:rsidRPr="00803DE5">
        <w:rPr>
          <w:rFonts w:ascii="Arial" w:hAnsi="Arial" w:cs="Arial"/>
          <w:sz w:val="18"/>
          <w:szCs w:val="18"/>
        </w:rPr>
        <w:tab/>
      </w:r>
      <w:r w:rsidRPr="00803DE5">
        <w:rPr>
          <w:rFonts w:ascii="Arial" w:hAnsi="Arial" w:cs="Arial"/>
          <w:sz w:val="18"/>
          <w:szCs w:val="18"/>
        </w:rPr>
        <w:tab/>
      </w:r>
      <w:r w:rsidR="00BA7845" w:rsidRPr="00803DE5">
        <w:rPr>
          <w:rFonts w:ascii="Arial" w:hAnsi="Arial" w:cs="Arial"/>
          <w:sz w:val="18"/>
          <w:szCs w:val="18"/>
        </w:rPr>
        <w:t xml:space="preserve"> </w:t>
      </w:r>
      <w:r w:rsidR="0065350B" w:rsidRPr="00803DE5">
        <w:rPr>
          <w:rFonts w:ascii="Arial" w:hAnsi="Arial" w:cs="Arial"/>
          <w:sz w:val="18"/>
          <w:szCs w:val="18"/>
        </w:rPr>
        <w:t xml:space="preserve">         </w:t>
      </w:r>
      <w:r w:rsidR="00BA7845" w:rsidRPr="00803DE5">
        <w:rPr>
          <w:rFonts w:ascii="Arial" w:hAnsi="Arial" w:cs="Arial"/>
          <w:sz w:val="18"/>
          <w:szCs w:val="18"/>
        </w:rPr>
        <w:t>vývoz</w:t>
      </w:r>
      <w:r w:rsidR="00BA7845" w:rsidRPr="00803DE5">
        <w:rPr>
          <w:rFonts w:ascii="Arial" w:hAnsi="Arial" w:cs="Arial"/>
          <w:sz w:val="18"/>
          <w:szCs w:val="18"/>
        </w:rPr>
        <w:tab/>
      </w:r>
      <w:r w:rsidR="00BA7845" w:rsidRPr="00803DE5">
        <w:rPr>
          <w:rFonts w:ascii="Arial" w:hAnsi="Arial" w:cs="Arial"/>
          <w:sz w:val="18"/>
          <w:szCs w:val="18"/>
        </w:rPr>
        <w:tab/>
      </w:r>
      <w:r w:rsidR="00BA7845" w:rsidRPr="00803DE5">
        <w:rPr>
          <w:rFonts w:ascii="Arial" w:hAnsi="Arial" w:cs="Arial"/>
          <w:sz w:val="18"/>
          <w:szCs w:val="18"/>
        </w:rPr>
        <w:tab/>
      </w:r>
      <w:r w:rsidRPr="00803DE5">
        <w:rPr>
          <w:rFonts w:ascii="Arial" w:hAnsi="Arial" w:cs="Arial"/>
          <w:sz w:val="18"/>
          <w:szCs w:val="18"/>
        </w:rPr>
        <w:t xml:space="preserve">                                             </w:t>
      </w:r>
      <w:r w:rsidR="00BA7845" w:rsidRPr="00803DE5">
        <w:rPr>
          <w:rFonts w:ascii="Arial" w:hAnsi="Arial" w:cs="Arial"/>
          <w:sz w:val="18"/>
          <w:szCs w:val="18"/>
        </w:rPr>
        <w:t xml:space="preserve"> </w:t>
      </w:r>
      <w:r w:rsidR="0065350B" w:rsidRPr="00803DE5">
        <w:rPr>
          <w:rFonts w:ascii="Arial" w:hAnsi="Arial" w:cs="Arial"/>
          <w:sz w:val="18"/>
          <w:szCs w:val="18"/>
        </w:rPr>
        <w:t xml:space="preserve">  </w:t>
      </w:r>
      <w:r w:rsidR="00803DE5">
        <w:rPr>
          <w:rFonts w:ascii="Arial" w:hAnsi="Arial" w:cs="Arial"/>
          <w:sz w:val="18"/>
          <w:szCs w:val="18"/>
        </w:rPr>
        <w:t xml:space="preserve"> </w:t>
      </w:r>
      <w:r w:rsidR="0065350B" w:rsidRPr="00803DE5">
        <w:rPr>
          <w:rFonts w:ascii="Arial" w:hAnsi="Arial" w:cs="Arial"/>
          <w:sz w:val="18"/>
          <w:szCs w:val="18"/>
        </w:rPr>
        <w:t xml:space="preserve"> </w:t>
      </w:r>
      <w:r w:rsidR="00BA7845" w:rsidRPr="00803DE5">
        <w:rPr>
          <w:rFonts w:ascii="Arial" w:hAnsi="Arial" w:cs="Arial"/>
          <w:sz w:val="18"/>
          <w:szCs w:val="18"/>
        </w:rPr>
        <w:t>dovoz</w:t>
      </w:r>
    </w:p>
    <w:p w:rsidR="00BA7845" w:rsidRPr="000568E8" w:rsidRDefault="005E2C18" w:rsidP="00174C78">
      <w:pPr>
        <w:spacing w:after="0"/>
        <w:jc w:val="both"/>
        <w:rPr>
          <w:rFonts w:ascii="Arial" w:hAnsi="Arial" w:cs="Arial"/>
          <w:b/>
          <w:color w:val="FF0000"/>
          <w:sz w:val="19"/>
          <w:szCs w:val="19"/>
        </w:rPr>
      </w:pPr>
      <w:r>
        <w:rPr>
          <w:rFonts w:ascii="Arial" w:hAnsi="Arial" w:cs="Arial"/>
          <w:color w:val="FF0000"/>
          <w:sz w:val="18"/>
          <w:szCs w:val="18"/>
        </w:rPr>
        <w:pict>
          <v:shape id="_x0000_i1041" type="#_x0000_t75" style="width:235.5pt;height:186.75pt">
            <v:imagedata r:id="rId25" o:title=""/>
          </v:shape>
        </w:pict>
      </w:r>
      <w:r w:rsidR="00875B62">
        <w:rPr>
          <w:rFonts w:ascii="Arial" w:hAnsi="Arial" w:cs="Arial"/>
          <w:color w:val="FF0000"/>
          <w:sz w:val="18"/>
          <w:szCs w:val="18"/>
        </w:rPr>
        <w:t xml:space="preserve">    </w:t>
      </w:r>
      <w:r>
        <w:rPr>
          <w:rFonts w:ascii="Arial" w:hAnsi="Arial" w:cs="Arial"/>
          <w:color w:val="FF0000"/>
          <w:sz w:val="18"/>
          <w:szCs w:val="18"/>
        </w:rPr>
        <w:pict>
          <v:shape id="_x0000_i1042" type="#_x0000_t75" style="width:235.5pt;height:186.75pt">
            <v:imagedata r:id="rId26" o:title=""/>
          </v:shape>
        </w:pict>
      </w:r>
      <w:r w:rsidR="00803DE5">
        <w:rPr>
          <w:rFonts w:ascii="Arial" w:hAnsi="Arial" w:cs="Arial"/>
          <w:color w:val="FF0000"/>
          <w:sz w:val="18"/>
          <w:szCs w:val="18"/>
        </w:rPr>
        <w:t xml:space="preserve">    </w:t>
      </w:r>
      <w:r w:rsidR="0065350B" w:rsidRPr="000568E8">
        <w:rPr>
          <w:rFonts w:ascii="Arial" w:hAnsi="Arial" w:cs="Arial"/>
          <w:color w:val="FF0000"/>
          <w:sz w:val="18"/>
          <w:szCs w:val="18"/>
        </w:rPr>
        <w:t xml:space="preserve">    </w:t>
      </w:r>
      <w:r w:rsidR="00C670C7" w:rsidRPr="000568E8">
        <w:rPr>
          <w:rFonts w:ascii="Arial" w:hAnsi="Arial" w:cs="Arial"/>
          <w:noProof/>
          <w:color w:val="FF0000"/>
          <w:sz w:val="18"/>
          <w:szCs w:val="18"/>
          <w:lang w:eastAsia="cs-CZ"/>
        </w:rPr>
        <w:t xml:space="preserve">   </w:t>
      </w:r>
      <w:r w:rsidR="00BA7845" w:rsidRPr="000568E8">
        <w:rPr>
          <w:rFonts w:ascii="Arial" w:hAnsi="Arial" w:cs="Arial"/>
          <w:color w:val="FF0000"/>
          <w:sz w:val="18"/>
          <w:szCs w:val="18"/>
        </w:rPr>
        <w:t xml:space="preserve">   </w:t>
      </w:r>
    </w:p>
    <w:p w:rsidR="00330050" w:rsidRPr="000568E8" w:rsidRDefault="00330050" w:rsidP="004F3D8E">
      <w:pPr>
        <w:spacing w:after="0"/>
        <w:jc w:val="both"/>
        <w:rPr>
          <w:rFonts w:ascii="Arial" w:hAnsi="Arial" w:cs="Arial"/>
          <w:b/>
          <w:color w:val="FF0000"/>
          <w:sz w:val="4"/>
          <w:szCs w:val="4"/>
        </w:rPr>
      </w:pPr>
    </w:p>
    <w:p w:rsidR="00BA7845" w:rsidRPr="000568E8" w:rsidRDefault="00BA7845" w:rsidP="00556ED2">
      <w:pPr>
        <w:spacing w:before="240" w:after="120"/>
        <w:jc w:val="both"/>
        <w:rPr>
          <w:rFonts w:ascii="Arial" w:hAnsi="Arial" w:cs="Arial"/>
          <w:color w:val="FF0000"/>
          <w:sz w:val="18"/>
          <w:szCs w:val="18"/>
        </w:rPr>
      </w:pPr>
      <w:r w:rsidRPr="00CC6051">
        <w:rPr>
          <w:rFonts w:ascii="Arial" w:hAnsi="Arial" w:cs="Arial"/>
          <w:b/>
          <w:sz w:val="18"/>
          <w:szCs w:val="18"/>
        </w:rPr>
        <w:t>Převažující díl dovozu</w:t>
      </w:r>
      <w:r w:rsidRPr="00CC6051">
        <w:rPr>
          <w:rFonts w:ascii="Arial" w:hAnsi="Arial" w:cs="Arial"/>
          <w:sz w:val="18"/>
          <w:szCs w:val="18"/>
        </w:rPr>
        <w:t xml:space="preserve"> (</w:t>
      </w:r>
      <w:r w:rsidR="00412D1C" w:rsidRPr="00CC6051">
        <w:rPr>
          <w:rFonts w:ascii="Arial" w:hAnsi="Arial" w:cs="Arial"/>
          <w:sz w:val="18"/>
          <w:szCs w:val="18"/>
        </w:rPr>
        <w:t>více než tři čtvrtiny)</w:t>
      </w:r>
      <w:r w:rsidRPr="00CC6051">
        <w:rPr>
          <w:rFonts w:ascii="Arial" w:hAnsi="Arial" w:cs="Arial"/>
          <w:sz w:val="18"/>
          <w:szCs w:val="18"/>
        </w:rPr>
        <w:t xml:space="preserve"> byl v roce 201</w:t>
      </w:r>
      <w:r w:rsidR="00CC6051">
        <w:rPr>
          <w:rFonts w:ascii="Arial" w:hAnsi="Arial" w:cs="Arial"/>
          <w:sz w:val="18"/>
          <w:szCs w:val="18"/>
        </w:rPr>
        <w:t>6</w:t>
      </w:r>
      <w:r w:rsidRPr="00CC6051">
        <w:rPr>
          <w:rFonts w:ascii="Arial" w:hAnsi="Arial" w:cs="Arial"/>
          <w:sz w:val="18"/>
          <w:szCs w:val="18"/>
        </w:rPr>
        <w:t xml:space="preserve"> též </w:t>
      </w:r>
      <w:r w:rsidRPr="00CC6051">
        <w:rPr>
          <w:rFonts w:ascii="Arial" w:hAnsi="Arial" w:cs="Arial"/>
          <w:b/>
          <w:sz w:val="18"/>
          <w:szCs w:val="18"/>
        </w:rPr>
        <w:t xml:space="preserve">realizován z </w:t>
      </w:r>
      <w:r w:rsidR="003E5298" w:rsidRPr="00CC6051">
        <w:rPr>
          <w:rFonts w:ascii="Arial" w:hAnsi="Arial" w:cs="Arial"/>
          <w:b/>
          <w:sz w:val="18"/>
          <w:szCs w:val="18"/>
        </w:rPr>
        <w:t>třinácti</w:t>
      </w:r>
      <w:r w:rsidRPr="00CC6051">
        <w:rPr>
          <w:rFonts w:ascii="Arial" w:hAnsi="Arial" w:cs="Arial"/>
          <w:b/>
          <w:sz w:val="18"/>
          <w:szCs w:val="18"/>
        </w:rPr>
        <w:t xml:space="preserve"> států</w:t>
      </w:r>
      <w:r w:rsidRPr="00CC6051">
        <w:rPr>
          <w:rFonts w:ascii="Arial" w:hAnsi="Arial" w:cs="Arial"/>
          <w:sz w:val="18"/>
          <w:szCs w:val="18"/>
        </w:rPr>
        <w:t>. Nejsilnější pozici (</w:t>
      </w:r>
      <w:r w:rsidR="007A4A57" w:rsidRPr="00CC6051">
        <w:rPr>
          <w:rFonts w:ascii="Arial" w:hAnsi="Arial" w:cs="Arial"/>
          <w:sz w:val="18"/>
          <w:szCs w:val="18"/>
        </w:rPr>
        <w:t>2</w:t>
      </w:r>
      <w:r w:rsidR="00CC6051" w:rsidRPr="00CC6051">
        <w:rPr>
          <w:rFonts w:ascii="Arial" w:hAnsi="Arial" w:cs="Arial"/>
          <w:sz w:val="18"/>
          <w:szCs w:val="18"/>
        </w:rPr>
        <w:t>6,4</w:t>
      </w:r>
      <w:r w:rsidR="003A76BB" w:rsidRPr="00CC6051">
        <w:rPr>
          <w:rFonts w:ascii="Arial" w:hAnsi="Arial" w:cs="Arial"/>
          <w:sz w:val="18"/>
          <w:szCs w:val="18"/>
        </w:rPr>
        <w:t xml:space="preserve"> %) na </w:t>
      </w:r>
      <w:r w:rsidRPr="00CC6051">
        <w:rPr>
          <w:rFonts w:ascii="Arial" w:hAnsi="Arial" w:cs="Arial"/>
          <w:sz w:val="18"/>
          <w:szCs w:val="18"/>
        </w:rPr>
        <w:t>celkovém dovozu zaznamenalo s me</w:t>
      </w:r>
      <w:r w:rsidR="001C6A82" w:rsidRPr="00CC6051">
        <w:rPr>
          <w:rFonts w:ascii="Arial" w:hAnsi="Arial" w:cs="Arial"/>
          <w:sz w:val="18"/>
          <w:szCs w:val="18"/>
        </w:rPr>
        <w:t xml:space="preserve">ziročně vyšší </w:t>
      </w:r>
      <w:r w:rsidR="001C6A82" w:rsidRPr="003606E8">
        <w:rPr>
          <w:rFonts w:ascii="Arial" w:hAnsi="Arial" w:cs="Arial"/>
          <w:sz w:val="18"/>
          <w:szCs w:val="18"/>
        </w:rPr>
        <w:t>hodnotou o </w:t>
      </w:r>
      <w:r w:rsidR="003606E8" w:rsidRPr="003606E8">
        <w:rPr>
          <w:rFonts w:ascii="Arial" w:hAnsi="Arial" w:cs="Arial"/>
          <w:sz w:val="18"/>
          <w:szCs w:val="18"/>
        </w:rPr>
        <w:t>22,6</w:t>
      </w:r>
      <w:r w:rsidR="001C6A82" w:rsidRPr="003606E8">
        <w:rPr>
          <w:rFonts w:ascii="Arial" w:hAnsi="Arial" w:cs="Arial"/>
          <w:sz w:val="18"/>
          <w:szCs w:val="18"/>
        </w:rPr>
        <w:t> mld. </w:t>
      </w:r>
      <w:r w:rsidRPr="003606E8">
        <w:rPr>
          <w:rFonts w:ascii="Arial" w:hAnsi="Arial" w:cs="Arial"/>
          <w:sz w:val="18"/>
          <w:szCs w:val="18"/>
        </w:rPr>
        <w:t>Kč Německo. Postavení</w:t>
      </w:r>
      <w:r w:rsidRPr="00CC6051">
        <w:rPr>
          <w:rFonts w:ascii="Arial" w:hAnsi="Arial" w:cs="Arial"/>
          <w:sz w:val="18"/>
          <w:szCs w:val="18"/>
        </w:rPr>
        <w:t xml:space="preserve"> zbývajících </w:t>
      </w:r>
      <w:r w:rsidR="003E5298" w:rsidRPr="00CC6051">
        <w:rPr>
          <w:rFonts w:ascii="Arial" w:hAnsi="Arial" w:cs="Arial"/>
          <w:sz w:val="18"/>
          <w:szCs w:val="18"/>
        </w:rPr>
        <w:t>dvanácti</w:t>
      </w:r>
      <w:r w:rsidRPr="00CC6051">
        <w:rPr>
          <w:rFonts w:ascii="Arial" w:hAnsi="Arial" w:cs="Arial"/>
          <w:sz w:val="18"/>
          <w:szCs w:val="18"/>
        </w:rPr>
        <w:t xml:space="preserve"> států na celkovém dovozu se pohybovalo od </w:t>
      </w:r>
      <w:r w:rsidR="003E5298" w:rsidRPr="00CC6051">
        <w:rPr>
          <w:rFonts w:ascii="Arial" w:hAnsi="Arial" w:cs="Arial"/>
          <w:sz w:val="18"/>
          <w:szCs w:val="18"/>
        </w:rPr>
        <w:t>2,</w:t>
      </w:r>
      <w:r w:rsidR="00CC6051" w:rsidRPr="00CC6051">
        <w:rPr>
          <w:rFonts w:ascii="Arial" w:hAnsi="Arial" w:cs="Arial"/>
          <w:sz w:val="18"/>
          <w:szCs w:val="18"/>
        </w:rPr>
        <w:t>3</w:t>
      </w:r>
      <w:r w:rsidR="001C6A82" w:rsidRPr="00CC6051">
        <w:rPr>
          <w:rFonts w:ascii="Arial" w:hAnsi="Arial" w:cs="Arial"/>
          <w:sz w:val="18"/>
          <w:szCs w:val="18"/>
        </w:rPr>
        <w:t xml:space="preserve"> % u </w:t>
      </w:r>
      <w:r w:rsidR="003E5298" w:rsidRPr="00CC6051">
        <w:rPr>
          <w:rFonts w:ascii="Arial" w:hAnsi="Arial" w:cs="Arial"/>
          <w:sz w:val="18"/>
          <w:szCs w:val="18"/>
        </w:rPr>
        <w:t>Spojen</w:t>
      </w:r>
      <w:r w:rsidR="00CC6051" w:rsidRPr="00CC6051">
        <w:rPr>
          <w:rFonts w:ascii="Arial" w:hAnsi="Arial" w:cs="Arial"/>
          <w:sz w:val="18"/>
          <w:szCs w:val="18"/>
        </w:rPr>
        <w:t>ých států</w:t>
      </w:r>
      <w:r w:rsidRPr="00CC6051">
        <w:rPr>
          <w:rFonts w:ascii="Arial" w:hAnsi="Arial" w:cs="Arial"/>
          <w:sz w:val="18"/>
          <w:szCs w:val="18"/>
        </w:rPr>
        <w:t xml:space="preserve"> do </w:t>
      </w:r>
      <w:r w:rsidR="003E5298" w:rsidRPr="00CC6051">
        <w:rPr>
          <w:rFonts w:ascii="Arial" w:hAnsi="Arial" w:cs="Arial"/>
          <w:sz w:val="18"/>
          <w:szCs w:val="18"/>
        </w:rPr>
        <w:t>1</w:t>
      </w:r>
      <w:r w:rsidR="00CC6051" w:rsidRPr="00CC6051">
        <w:rPr>
          <w:rFonts w:ascii="Arial" w:hAnsi="Arial" w:cs="Arial"/>
          <w:sz w:val="18"/>
          <w:szCs w:val="18"/>
        </w:rPr>
        <w:t>2</w:t>
      </w:r>
      <w:r w:rsidR="003E5298" w:rsidRPr="00CC6051">
        <w:rPr>
          <w:rFonts w:ascii="Arial" w:hAnsi="Arial" w:cs="Arial"/>
          <w:sz w:val="18"/>
          <w:szCs w:val="18"/>
        </w:rPr>
        <w:t>,4</w:t>
      </w:r>
      <w:r w:rsidRPr="00CC6051">
        <w:rPr>
          <w:rFonts w:ascii="Arial" w:hAnsi="Arial" w:cs="Arial"/>
          <w:sz w:val="18"/>
          <w:szCs w:val="18"/>
        </w:rPr>
        <w:t xml:space="preserve"> % u Číny.</w:t>
      </w:r>
      <w:r w:rsidRPr="000568E8">
        <w:rPr>
          <w:rFonts w:ascii="Arial" w:hAnsi="Arial" w:cs="Arial"/>
          <w:color w:val="FF0000"/>
          <w:sz w:val="18"/>
          <w:szCs w:val="18"/>
        </w:rPr>
        <w:t xml:space="preserve"> </w:t>
      </w:r>
    </w:p>
    <w:p w:rsidR="003D00EE" w:rsidRDefault="00BA7845" w:rsidP="00E41CC5">
      <w:pPr>
        <w:spacing w:after="120"/>
        <w:jc w:val="both"/>
        <w:rPr>
          <w:rFonts w:ascii="Arial" w:hAnsi="Arial" w:cs="Arial"/>
          <w:sz w:val="18"/>
          <w:szCs w:val="18"/>
        </w:rPr>
      </w:pPr>
      <w:r w:rsidRPr="00CC6051">
        <w:rPr>
          <w:rFonts w:ascii="Arial" w:hAnsi="Arial" w:cs="Arial"/>
          <w:sz w:val="18"/>
          <w:szCs w:val="18"/>
        </w:rPr>
        <w:t>Mezi </w:t>
      </w:r>
      <w:r w:rsidR="003E5298" w:rsidRPr="00CC6051">
        <w:rPr>
          <w:rFonts w:ascii="Arial" w:hAnsi="Arial" w:cs="Arial"/>
          <w:sz w:val="18"/>
          <w:szCs w:val="18"/>
        </w:rPr>
        <w:t>třinácti</w:t>
      </w:r>
      <w:r w:rsidRPr="00CC6051">
        <w:rPr>
          <w:rFonts w:ascii="Arial" w:hAnsi="Arial" w:cs="Arial"/>
          <w:sz w:val="18"/>
          <w:szCs w:val="18"/>
        </w:rPr>
        <w:t xml:space="preserve"> hlavními dovozními partnery </w:t>
      </w:r>
      <w:r w:rsidRPr="003D3240">
        <w:rPr>
          <w:rFonts w:ascii="Arial" w:hAnsi="Arial" w:cs="Arial"/>
          <w:sz w:val="18"/>
          <w:szCs w:val="18"/>
        </w:rPr>
        <w:t xml:space="preserve">bylo </w:t>
      </w:r>
      <w:r w:rsidR="00B810B8" w:rsidRPr="003D3240">
        <w:rPr>
          <w:rFonts w:ascii="Arial" w:hAnsi="Arial" w:cs="Arial"/>
          <w:sz w:val="18"/>
          <w:szCs w:val="18"/>
        </w:rPr>
        <w:t>devět</w:t>
      </w:r>
      <w:r w:rsidRPr="003D3240">
        <w:rPr>
          <w:rFonts w:ascii="Arial" w:hAnsi="Arial" w:cs="Arial"/>
          <w:sz w:val="18"/>
          <w:szCs w:val="18"/>
        </w:rPr>
        <w:t xml:space="preserve"> států EU a </w:t>
      </w:r>
      <w:r w:rsidR="007A4A57" w:rsidRPr="003D3240">
        <w:rPr>
          <w:rFonts w:ascii="Arial" w:hAnsi="Arial" w:cs="Arial"/>
          <w:sz w:val="18"/>
          <w:szCs w:val="18"/>
        </w:rPr>
        <w:t>čtyři státy</w:t>
      </w:r>
      <w:r w:rsidRPr="003D3240">
        <w:rPr>
          <w:rFonts w:ascii="Arial" w:hAnsi="Arial" w:cs="Arial"/>
          <w:sz w:val="18"/>
          <w:szCs w:val="18"/>
        </w:rPr>
        <w:t xml:space="preserve"> mimo EU</w:t>
      </w:r>
      <w:r w:rsidR="00C4722B">
        <w:rPr>
          <w:rFonts w:ascii="Arial" w:hAnsi="Arial" w:cs="Arial"/>
          <w:sz w:val="18"/>
          <w:szCs w:val="18"/>
        </w:rPr>
        <w:t xml:space="preserve">. </w:t>
      </w:r>
      <w:r w:rsidR="003D00EE">
        <w:rPr>
          <w:rFonts w:ascii="Arial" w:hAnsi="Arial" w:cs="Arial"/>
          <w:sz w:val="18"/>
          <w:szCs w:val="18"/>
        </w:rPr>
        <w:t>Pouze šest států provázel meziroční růst, u sedmi států se naopak hodnota dovezeného zboží snížila (např</w:t>
      </w:r>
      <w:r w:rsidR="00C4722B">
        <w:rPr>
          <w:rFonts w:ascii="Arial" w:hAnsi="Arial" w:cs="Arial"/>
          <w:sz w:val="18"/>
          <w:szCs w:val="18"/>
        </w:rPr>
        <w:t>íklad</w:t>
      </w:r>
      <w:r w:rsidR="003D00EE">
        <w:rPr>
          <w:rFonts w:ascii="Arial" w:hAnsi="Arial" w:cs="Arial"/>
          <w:sz w:val="18"/>
          <w:szCs w:val="18"/>
        </w:rPr>
        <w:t xml:space="preserve"> Ruská federace, Čína a Slovensko). </w:t>
      </w:r>
    </w:p>
    <w:p w:rsidR="00BA7845" w:rsidRPr="000568E8" w:rsidRDefault="00BA7845" w:rsidP="00556ED2">
      <w:pPr>
        <w:jc w:val="both"/>
        <w:rPr>
          <w:rFonts w:ascii="Arial" w:hAnsi="Arial" w:cs="Arial"/>
          <w:color w:val="FF0000"/>
          <w:sz w:val="18"/>
          <w:szCs w:val="18"/>
        </w:rPr>
      </w:pPr>
      <w:r w:rsidRPr="003606E8">
        <w:rPr>
          <w:rFonts w:ascii="Arial" w:hAnsi="Arial" w:cs="Arial"/>
          <w:sz w:val="18"/>
          <w:szCs w:val="18"/>
        </w:rPr>
        <w:t xml:space="preserve">S podílem </w:t>
      </w:r>
      <w:r w:rsidR="003606E8" w:rsidRPr="003606E8">
        <w:rPr>
          <w:rFonts w:ascii="Arial" w:hAnsi="Arial" w:cs="Arial"/>
          <w:sz w:val="18"/>
          <w:szCs w:val="18"/>
        </w:rPr>
        <w:t>8,3</w:t>
      </w:r>
      <w:r w:rsidRPr="003606E8">
        <w:rPr>
          <w:rFonts w:ascii="Arial" w:hAnsi="Arial" w:cs="Arial"/>
          <w:sz w:val="18"/>
          <w:szCs w:val="18"/>
        </w:rPr>
        <w:t xml:space="preserve"> % a hodnotou dovozu </w:t>
      </w:r>
      <w:r w:rsidR="003606E8">
        <w:rPr>
          <w:rFonts w:ascii="Arial" w:hAnsi="Arial" w:cs="Arial"/>
          <w:sz w:val="18"/>
          <w:szCs w:val="18"/>
        </w:rPr>
        <w:t>288</w:t>
      </w:r>
      <w:r w:rsidR="003606E8" w:rsidRPr="003606E8">
        <w:rPr>
          <w:rFonts w:ascii="Arial" w:hAnsi="Arial" w:cs="Arial"/>
          <w:sz w:val="18"/>
          <w:szCs w:val="18"/>
        </w:rPr>
        <w:t>,9</w:t>
      </w:r>
      <w:r w:rsidRPr="003606E8">
        <w:rPr>
          <w:rFonts w:ascii="Arial" w:hAnsi="Arial" w:cs="Arial"/>
          <w:sz w:val="18"/>
          <w:szCs w:val="18"/>
        </w:rPr>
        <w:t xml:space="preserve"> mld. Kč zaujalo v celkovém dovozu třetí příčku Polsko. K dalším předním dovozním partnerům ze států EU náležely Slovensko, Itálie, Francie, Rakousko</w:t>
      </w:r>
      <w:r w:rsidR="003606E8" w:rsidRPr="003606E8">
        <w:rPr>
          <w:rFonts w:ascii="Arial" w:hAnsi="Arial" w:cs="Arial"/>
          <w:sz w:val="18"/>
          <w:szCs w:val="18"/>
        </w:rPr>
        <w:t xml:space="preserve"> a</w:t>
      </w:r>
      <w:r w:rsidRPr="003606E8">
        <w:rPr>
          <w:rFonts w:ascii="Arial" w:hAnsi="Arial" w:cs="Arial"/>
          <w:sz w:val="18"/>
          <w:szCs w:val="18"/>
        </w:rPr>
        <w:t xml:space="preserve"> </w:t>
      </w:r>
      <w:r w:rsidR="006348AE" w:rsidRPr="003606E8">
        <w:rPr>
          <w:rFonts w:ascii="Arial" w:hAnsi="Arial" w:cs="Arial"/>
          <w:sz w:val="18"/>
          <w:szCs w:val="18"/>
        </w:rPr>
        <w:t>Nizozemsko</w:t>
      </w:r>
      <w:r w:rsidR="00E74848" w:rsidRPr="003606E8">
        <w:rPr>
          <w:rFonts w:ascii="Arial" w:hAnsi="Arial" w:cs="Arial"/>
          <w:sz w:val="18"/>
          <w:szCs w:val="18"/>
        </w:rPr>
        <w:t>.</w:t>
      </w:r>
    </w:p>
    <w:p w:rsidR="00B810B8" w:rsidRPr="00071C09" w:rsidRDefault="00B810B8" w:rsidP="004F3D8E">
      <w:pPr>
        <w:spacing w:after="80"/>
        <w:jc w:val="both"/>
        <w:rPr>
          <w:rFonts w:ascii="Arial" w:hAnsi="Arial" w:cs="Arial"/>
          <w:b/>
          <w:sz w:val="18"/>
          <w:szCs w:val="18"/>
        </w:rPr>
      </w:pPr>
      <w:r w:rsidRPr="00071C09">
        <w:rPr>
          <w:rFonts w:ascii="Arial" w:hAnsi="Arial" w:cs="Arial"/>
          <w:b/>
          <w:sz w:val="18"/>
          <w:szCs w:val="18"/>
        </w:rPr>
        <w:t xml:space="preserve">Graf </w:t>
      </w:r>
      <w:r w:rsidR="002A3029" w:rsidRPr="00071C09">
        <w:rPr>
          <w:rFonts w:ascii="Arial" w:hAnsi="Arial" w:cs="Arial"/>
          <w:b/>
          <w:sz w:val="18"/>
          <w:szCs w:val="18"/>
        </w:rPr>
        <w:t>1</w:t>
      </w:r>
      <w:r w:rsidR="00FA6C0C" w:rsidRPr="00071C09">
        <w:rPr>
          <w:rFonts w:ascii="Arial" w:hAnsi="Arial" w:cs="Arial"/>
          <w:b/>
          <w:sz w:val="18"/>
          <w:szCs w:val="18"/>
        </w:rPr>
        <w:t>4</w:t>
      </w:r>
      <w:r w:rsidRPr="00071C09">
        <w:rPr>
          <w:rFonts w:ascii="Arial" w:hAnsi="Arial" w:cs="Arial"/>
          <w:b/>
          <w:sz w:val="18"/>
          <w:szCs w:val="18"/>
        </w:rPr>
        <w:t xml:space="preserve"> </w:t>
      </w:r>
      <w:r w:rsidR="00807B15">
        <w:rPr>
          <w:rFonts w:ascii="Arial" w:hAnsi="Arial" w:cs="Arial"/>
          <w:b/>
          <w:sz w:val="18"/>
          <w:szCs w:val="18"/>
        </w:rPr>
        <w:t>-</w:t>
      </w:r>
      <w:r w:rsidRPr="00071C09">
        <w:rPr>
          <w:rFonts w:ascii="Arial" w:hAnsi="Arial" w:cs="Arial"/>
          <w:b/>
          <w:sz w:val="18"/>
          <w:szCs w:val="18"/>
        </w:rPr>
        <w:t xml:space="preserve"> </w:t>
      </w:r>
      <w:r w:rsidR="00807B15">
        <w:rPr>
          <w:rFonts w:ascii="Arial" w:hAnsi="Arial" w:cs="Arial"/>
          <w:b/>
          <w:sz w:val="18"/>
          <w:szCs w:val="18"/>
        </w:rPr>
        <w:t>Porovnání meziročních změn vývozu a dovozu celkem a Německa</w:t>
      </w:r>
    </w:p>
    <w:p w:rsidR="00174C78" w:rsidRPr="00071C09" w:rsidRDefault="004F3D8E" w:rsidP="00071C09">
      <w:pPr>
        <w:spacing w:after="40"/>
        <w:jc w:val="both"/>
        <w:rPr>
          <w:rFonts w:ascii="Arial" w:hAnsi="Arial" w:cs="Arial"/>
          <w:sz w:val="18"/>
          <w:szCs w:val="18"/>
        </w:rPr>
      </w:pPr>
      <w:r w:rsidRPr="00071C09">
        <w:rPr>
          <w:rFonts w:ascii="Arial" w:hAnsi="Arial" w:cs="Arial"/>
          <w:b/>
          <w:sz w:val="18"/>
          <w:szCs w:val="18"/>
        </w:rPr>
        <w:tab/>
      </w:r>
      <w:r w:rsidRPr="00071C09">
        <w:rPr>
          <w:rFonts w:ascii="Arial" w:hAnsi="Arial" w:cs="Arial"/>
          <w:b/>
          <w:sz w:val="18"/>
          <w:szCs w:val="18"/>
        </w:rPr>
        <w:tab/>
      </w:r>
      <w:r w:rsidRPr="00071C09">
        <w:rPr>
          <w:rFonts w:ascii="Arial" w:hAnsi="Arial" w:cs="Arial"/>
          <w:b/>
          <w:sz w:val="18"/>
          <w:szCs w:val="18"/>
        </w:rPr>
        <w:tab/>
      </w:r>
      <w:r w:rsidRPr="00071C09">
        <w:rPr>
          <w:rFonts w:ascii="Arial" w:hAnsi="Arial" w:cs="Arial"/>
          <w:sz w:val="18"/>
          <w:szCs w:val="18"/>
        </w:rPr>
        <w:t>vývoz</w:t>
      </w:r>
      <w:r w:rsidRPr="00071C09">
        <w:rPr>
          <w:rFonts w:ascii="Arial" w:hAnsi="Arial" w:cs="Arial"/>
          <w:sz w:val="18"/>
          <w:szCs w:val="18"/>
        </w:rPr>
        <w:tab/>
      </w:r>
      <w:r w:rsidRPr="00071C09">
        <w:rPr>
          <w:rFonts w:ascii="Arial" w:hAnsi="Arial" w:cs="Arial"/>
          <w:sz w:val="18"/>
          <w:szCs w:val="18"/>
        </w:rPr>
        <w:tab/>
      </w:r>
      <w:r w:rsidRPr="00071C09">
        <w:rPr>
          <w:rFonts w:ascii="Arial" w:hAnsi="Arial" w:cs="Arial"/>
          <w:sz w:val="18"/>
          <w:szCs w:val="18"/>
        </w:rPr>
        <w:tab/>
      </w:r>
      <w:r w:rsidRPr="00071C09">
        <w:rPr>
          <w:rFonts w:ascii="Arial" w:hAnsi="Arial" w:cs="Arial"/>
          <w:sz w:val="18"/>
          <w:szCs w:val="18"/>
        </w:rPr>
        <w:tab/>
      </w:r>
      <w:r w:rsidRPr="00071C09">
        <w:rPr>
          <w:rFonts w:ascii="Arial" w:hAnsi="Arial" w:cs="Arial"/>
          <w:sz w:val="18"/>
          <w:szCs w:val="18"/>
        </w:rPr>
        <w:tab/>
      </w:r>
      <w:r w:rsidR="00174C78" w:rsidRPr="00071C09">
        <w:rPr>
          <w:rFonts w:ascii="Arial" w:hAnsi="Arial" w:cs="Arial"/>
          <w:sz w:val="18"/>
          <w:szCs w:val="18"/>
        </w:rPr>
        <w:t xml:space="preserve">                               </w:t>
      </w:r>
      <w:r w:rsidRPr="00071C09">
        <w:rPr>
          <w:rFonts w:ascii="Arial" w:hAnsi="Arial" w:cs="Arial"/>
          <w:sz w:val="18"/>
          <w:szCs w:val="18"/>
        </w:rPr>
        <w:t>dovoz</w:t>
      </w:r>
      <w:r w:rsidRPr="00071C09">
        <w:rPr>
          <w:rFonts w:ascii="Arial" w:hAnsi="Arial" w:cs="Arial"/>
          <w:sz w:val="18"/>
          <w:szCs w:val="18"/>
        </w:rPr>
        <w:tab/>
      </w:r>
    </w:p>
    <w:p w:rsidR="0065350B" w:rsidRPr="000568E8" w:rsidRDefault="005E2C18" w:rsidP="00174C78">
      <w:pPr>
        <w:spacing w:after="0"/>
        <w:jc w:val="both"/>
        <w:rPr>
          <w:rFonts w:ascii="Arial" w:hAnsi="Arial" w:cs="Arial"/>
          <w:b/>
          <w:color w:val="FF0000"/>
          <w:sz w:val="18"/>
          <w:szCs w:val="18"/>
        </w:rPr>
      </w:pPr>
      <w:r>
        <w:rPr>
          <w:rFonts w:ascii="Arial" w:hAnsi="Arial" w:cs="Arial"/>
          <w:b/>
          <w:color w:val="FF0000"/>
          <w:sz w:val="18"/>
          <w:szCs w:val="18"/>
        </w:rPr>
        <w:pict>
          <v:shape id="_x0000_i1043" type="#_x0000_t75" style="width:237.75pt;height:155.25pt">
            <v:imagedata r:id="rId27" o:title=""/>
          </v:shape>
        </w:pict>
      </w:r>
      <w:r w:rsidR="00071C09">
        <w:rPr>
          <w:rFonts w:ascii="Arial" w:hAnsi="Arial" w:cs="Arial"/>
          <w:b/>
          <w:color w:val="FF0000"/>
          <w:sz w:val="18"/>
          <w:szCs w:val="18"/>
        </w:rPr>
        <w:t xml:space="preserve">  </w:t>
      </w:r>
      <w:r>
        <w:rPr>
          <w:rFonts w:ascii="Arial" w:hAnsi="Arial" w:cs="Arial"/>
          <w:b/>
          <w:color w:val="FF0000"/>
          <w:sz w:val="18"/>
          <w:szCs w:val="18"/>
        </w:rPr>
        <w:pict>
          <v:shape id="_x0000_i1044" type="#_x0000_t75" style="width:237.75pt;height:155.25pt">
            <v:imagedata r:id="rId28" o:title=""/>
          </v:shape>
        </w:pict>
      </w:r>
      <w:r w:rsidR="0065350B" w:rsidRPr="000568E8">
        <w:rPr>
          <w:rFonts w:ascii="Arial" w:hAnsi="Arial" w:cs="Arial"/>
          <w:b/>
          <w:color w:val="FF0000"/>
          <w:sz w:val="18"/>
          <w:szCs w:val="18"/>
        </w:rPr>
        <w:t xml:space="preserve">  </w:t>
      </w:r>
    </w:p>
    <w:p w:rsidR="00BA7845" w:rsidRPr="00232712" w:rsidRDefault="00BA7845" w:rsidP="00352753">
      <w:pPr>
        <w:numPr>
          <w:ilvl w:val="0"/>
          <w:numId w:val="1"/>
        </w:numPr>
        <w:spacing w:after="120"/>
        <w:ind w:left="567" w:hanging="567"/>
        <w:rPr>
          <w:rFonts w:ascii="Arial" w:hAnsi="Arial" w:cs="Arial"/>
          <w:b/>
        </w:rPr>
      </w:pPr>
      <w:r w:rsidRPr="00232712">
        <w:rPr>
          <w:rFonts w:ascii="Arial" w:hAnsi="Arial" w:cs="Arial"/>
          <w:b/>
        </w:rPr>
        <w:lastRenderedPageBreak/>
        <w:t>Zbožová struktura</w:t>
      </w:r>
    </w:p>
    <w:p w:rsidR="00BA7845" w:rsidRPr="00232712" w:rsidRDefault="00BA7845" w:rsidP="00BA7845">
      <w:pPr>
        <w:numPr>
          <w:ilvl w:val="1"/>
          <w:numId w:val="1"/>
        </w:numPr>
        <w:tabs>
          <w:tab w:val="left" w:pos="567"/>
        </w:tabs>
        <w:spacing w:after="120"/>
        <w:ind w:hanging="792"/>
        <w:rPr>
          <w:rFonts w:ascii="Arial" w:hAnsi="Arial" w:cs="Arial"/>
          <w:b/>
          <w:sz w:val="21"/>
          <w:szCs w:val="21"/>
        </w:rPr>
      </w:pPr>
      <w:r w:rsidRPr="00232712">
        <w:rPr>
          <w:rFonts w:ascii="Arial" w:hAnsi="Arial" w:cs="Arial"/>
          <w:b/>
          <w:sz w:val="21"/>
          <w:szCs w:val="21"/>
        </w:rPr>
        <w:t>Vývoj zahraničního obchodu České republiky v jednotlivých zbožových třídách SITC</w:t>
      </w:r>
    </w:p>
    <w:p w:rsidR="006017DC" w:rsidRPr="00A575B8" w:rsidRDefault="006017DC" w:rsidP="00EE2983">
      <w:pPr>
        <w:spacing w:after="240"/>
        <w:jc w:val="both"/>
        <w:rPr>
          <w:rFonts w:ascii="Arial" w:hAnsi="Arial" w:cs="Arial"/>
          <w:sz w:val="18"/>
          <w:szCs w:val="18"/>
        </w:rPr>
      </w:pPr>
      <w:r w:rsidRPr="00A575B8">
        <w:rPr>
          <w:rFonts w:ascii="Arial" w:hAnsi="Arial" w:cs="Arial"/>
          <w:b/>
          <w:sz w:val="18"/>
          <w:szCs w:val="18"/>
        </w:rPr>
        <w:t>Zbožová struktura</w:t>
      </w:r>
      <w:r w:rsidRPr="00A575B8">
        <w:rPr>
          <w:rFonts w:ascii="Arial" w:hAnsi="Arial" w:cs="Arial"/>
          <w:sz w:val="18"/>
          <w:szCs w:val="18"/>
        </w:rPr>
        <w:t xml:space="preserve"> zahraničního obchodu </w:t>
      </w:r>
      <w:r w:rsidR="0060202C" w:rsidRPr="00A575B8">
        <w:rPr>
          <w:rFonts w:ascii="Arial" w:hAnsi="Arial" w:cs="Arial"/>
          <w:sz w:val="18"/>
          <w:szCs w:val="18"/>
        </w:rPr>
        <w:t>v roce 201</w:t>
      </w:r>
      <w:r w:rsidR="00232712" w:rsidRPr="00A575B8">
        <w:rPr>
          <w:rFonts w:ascii="Arial" w:hAnsi="Arial" w:cs="Arial"/>
          <w:sz w:val="18"/>
          <w:szCs w:val="18"/>
        </w:rPr>
        <w:t>6</w:t>
      </w:r>
      <w:r w:rsidR="0060202C" w:rsidRPr="00A575B8">
        <w:rPr>
          <w:rFonts w:ascii="Arial" w:hAnsi="Arial" w:cs="Arial"/>
          <w:sz w:val="18"/>
          <w:szCs w:val="18"/>
        </w:rPr>
        <w:t xml:space="preserve"> </w:t>
      </w:r>
      <w:r w:rsidRPr="00A575B8">
        <w:rPr>
          <w:rFonts w:ascii="Arial" w:hAnsi="Arial" w:cs="Arial"/>
          <w:sz w:val="18"/>
          <w:szCs w:val="18"/>
        </w:rPr>
        <w:t xml:space="preserve">byla provázena meziročním růstem </w:t>
      </w:r>
      <w:r w:rsidRPr="00A575B8">
        <w:rPr>
          <w:rFonts w:ascii="Arial" w:hAnsi="Arial" w:cs="Arial"/>
          <w:b/>
          <w:sz w:val="18"/>
          <w:szCs w:val="18"/>
        </w:rPr>
        <w:t xml:space="preserve">vývozu i dovozu </w:t>
      </w:r>
      <w:r w:rsidRPr="00A575B8">
        <w:rPr>
          <w:rFonts w:ascii="Arial" w:hAnsi="Arial" w:cs="Arial"/>
          <w:sz w:val="18"/>
          <w:szCs w:val="18"/>
        </w:rPr>
        <w:t>většiny tříd Standardní mezinárodní klasifikace zboží</w:t>
      </w:r>
      <w:r w:rsidR="00803DE5">
        <w:rPr>
          <w:rStyle w:val="Znakapoznpodarou"/>
          <w:rFonts w:ascii="Arial" w:hAnsi="Arial" w:cs="Arial"/>
          <w:sz w:val="18"/>
          <w:szCs w:val="18"/>
        </w:rPr>
        <w:footnoteReference w:id="8"/>
      </w:r>
      <w:r w:rsidRPr="00A575B8">
        <w:rPr>
          <w:rFonts w:ascii="Arial" w:hAnsi="Arial" w:cs="Arial"/>
          <w:sz w:val="18"/>
          <w:szCs w:val="18"/>
        </w:rPr>
        <w:t xml:space="preserve">. </w:t>
      </w:r>
    </w:p>
    <w:p w:rsidR="00BA7845" w:rsidRPr="00213DFC" w:rsidRDefault="00BA7845" w:rsidP="00BA7845">
      <w:pPr>
        <w:spacing w:after="80"/>
        <w:jc w:val="both"/>
        <w:rPr>
          <w:rFonts w:ascii="Arial" w:hAnsi="Arial" w:cs="Arial"/>
          <w:b/>
          <w:sz w:val="18"/>
          <w:szCs w:val="18"/>
        </w:rPr>
      </w:pPr>
      <w:r w:rsidRPr="00213DFC">
        <w:rPr>
          <w:rFonts w:ascii="Arial" w:hAnsi="Arial" w:cs="Arial"/>
          <w:b/>
          <w:sz w:val="18"/>
          <w:szCs w:val="18"/>
        </w:rPr>
        <w:t>Graf 1</w:t>
      </w:r>
      <w:r w:rsidR="00FA6C0C" w:rsidRPr="00213DFC">
        <w:rPr>
          <w:rFonts w:ascii="Arial" w:hAnsi="Arial" w:cs="Arial"/>
          <w:b/>
          <w:sz w:val="18"/>
          <w:szCs w:val="18"/>
        </w:rPr>
        <w:t>5</w:t>
      </w:r>
      <w:r w:rsidRPr="00213DFC">
        <w:rPr>
          <w:rFonts w:ascii="Arial" w:hAnsi="Arial" w:cs="Arial"/>
          <w:b/>
          <w:sz w:val="18"/>
          <w:szCs w:val="18"/>
        </w:rPr>
        <w:t xml:space="preserve"> - Zbožová struktura zahraničního obchodu </w:t>
      </w:r>
      <w:r w:rsidR="00D225E2" w:rsidRPr="00213DFC">
        <w:rPr>
          <w:rFonts w:ascii="Arial" w:hAnsi="Arial" w:cs="Arial"/>
          <w:b/>
          <w:sz w:val="18"/>
          <w:szCs w:val="18"/>
        </w:rPr>
        <w:t xml:space="preserve">podle SITC </w:t>
      </w:r>
      <w:r w:rsidRPr="00213DFC">
        <w:rPr>
          <w:rFonts w:ascii="Arial" w:hAnsi="Arial" w:cs="Arial"/>
          <w:b/>
          <w:sz w:val="18"/>
          <w:szCs w:val="18"/>
        </w:rPr>
        <w:t>v roce 201</w:t>
      </w:r>
      <w:r w:rsidR="00213DFC">
        <w:rPr>
          <w:rFonts w:ascii="Arial" w:hAnsi="Arial" w:cs="Arial"/>
          <w:b/>
          <w:sz w:val="18"/>
          <w:szCs w:val="18"/>
        </w:rPr>
        <w:t>6</w:t>
      </w:r>
      <w:r w:rsidRPr="00213DFC">
        <w:rPr>
          <w:rFonts w:ascii="Arial" w:hAnsi="Arial" w:cs="Arial"/>
          <w:b/>
          <w:sz w:val="18"/>
          <w:szCs w:val="18"/>
        </w:rPr>
        <w:t xml:space="preserve"> (podíly v %)</w:t>
      </w:r>
    </w:p>
    <w:p w:rsidR="00BA7845" w:rsidRPr="000568E8" w:rsidRDefault="00B77CB0" w:rsidP="00BA7845">
      <w:pPr>
        <w:spacing w:after="0"/>
        <w:jc w:val="both"/>
        <w:rPr>
          <w:rFonts w:ascii="Arial" w:hAnsi="Arial" w:cs="Arial"/>
          <w:color w:val="FF0000"/>
          <w:sz w:val="16"/>
          <w:szCs w:val="16"/>
        </w:rPr>
      </w:pPr>
      <w:r>
        <w:rPr>
          <w:rFonts w:ascii="Arial" w:hAnsi="Arial" w:cs="Arial"/>
          <w:b/>
          <w:noProof/>
          <w:color w:val="FF0000"/>
          <w:sz w:val="18"/>
          <w:szCs w:val="18"/>
          <w:lang w:eastAsia="cs-CZ"/>
        </w:rPr>
        <w:pict>
          <v:shape id="_x0000_i1045" type="#_x0000_t75" style="width:477.75pt;height:208.5pt">
            <v:imagedata r:id="rId29" o:title=""/>
          </v:shape>
        </w:pict>
      </w:r>
    </w:p>
    <w:p w:rsidR="009A7B8F" w:rsidRPr="000568E8" w:rsidRDefault="009A7B8F" w:rsidP="009A7B8F">
      <w:pPr>
        <w:spacing w:after="120"/>
        <w:jc w:val="both"/>
        <w:rPr>
          <w:rFonts w:ascii="Arial" w:hAnsi="Arial" w:cs="Arial"/>
          <w:color w:val="FF0000"/>
          <w:sz w:val="18"/>
          <w:szCs w:val="18"/>
        </w:rPr>
      </w:pPr>
    </w:p>
    <w:p w:rsidR="00FC1C46" w:rsidRDefault="009A7B8F" w:rsidP="008D0756">
      <w:pPr>
        <w:spacing w:after="240"/>
        <w:jc w:val="both"/>
        <w:rPr>
          <w:rFonts w:ascii="Arial" w:hAnsi="Arial" w:cs="Arial"/>
          <w:sz w:val="18"/>
          <w:szCs w:val="18"/>
        </w:rPr>
      </w:pPr>
      <w:r w:rsidRPr="00A575B8">
        <w:rPr>
          <w:rFonts w:ascii="Arial" w:hAnsi="Arial" w:cs="Arial"/>
          <w:sz w:val="18"/>
          <w:szCs w:val="18"/>
        </w:rPr>
        <w:t xml:space="preserve">Největší absolutní meziroční navýšení </w:t>
      </w:r>
      <w:r w:rsidR="00C06EB2" w:rsidRPr="00A575B8">
        <w:rPr>
          <w:rFonts w:ascii="Arial" w:hAnsi="Arial" w:cs="Arial"/>
          <w:sz w:val="18"/>
          <w:szCs w:val="18"/>
        </w:rPr>
        <w:t>nastalo</w:t>
      </w:r>
      <w:r w:rsidRPr="00A575B8">
        <w:rPr>
          <w:rFonts w:ascii="Arial" w:hAnsi="Arial" w:cs="Arial"/>
          <w:sz w:val="18"/>
          <w:szCs w:val="18"/>
        </w:rPr>
        <w:t xml:space="preserve"> u </w:t>
      </w:r>
      <w:r w:rsidRPr="00A575B8">
        <w:rPr>
          <w:rFonts w:ascii="Arial" w:hAnsi="Arial" w:cs="Arial"/>
          <w:b/>
          <w:sz w:val="18"/>
          <w:szCs w:val="18"/>
        </w:rPr>
        <w:t>vývozu strojů a dopravních prostředků</w:t>
      </w:r>
      <w:r w:rsidRPr="00A575B8">
        <w:rPr>
          <w:rFonts w:ascii="Arial" w:hAnsi="Arial" w:cs="Arial"/>
          <w:sz w:val="18"/>
          <w:szCs w:val="18"/>
        </w:rPr>
        <w:t xml:space="preserve"> (o </w:t>
      </w:r>
      <w:r w:rsidR="00A575B8">
        <w:rPr>
          <w:rFonts w:ascii="Arial" w:hAnsi="Arial" w:cs="Arial"/>
          <w:sz w:val="18"/>
          <w:szCs w:val="18"/>
        </w:rPr>
        <w:t>83,8</w:t>
      </w:r>
      <w:r w:rsidRPr="00A575B8">
        <w:rPr>
          <w:rFonts w:ascii="Arial" w:hAnsi="Arial" w:cs="Arial"/>
          <w:sz w:val="18"/>
          <w:szCs w:val="18"/>
        </w:rPr>
        <w:t xml:space="preserve"> mld. Kč). </w:t>
      </w:r>
      <w:r w:rsidR="00FC1C46">
        <w:rPr>
          <w:rFonts w:ascii="Arial" w:hAnsi="Arial" w:cs="Arial"/>
          <w:sz w:val="18"/>
          <w:szCs w:val="18"/>
        </w:rPr>
        <w:t xml:space="preserve">Velká část tohoto </w:t>
      </w:r>
      <w:r w:rsidR="006D2262">
        <w:rPr>
          <w:rFonts w:ascii="Arial" w:hAnsi="Arial" w:cs="Arial"/>
          <w:sz w:val="18"/>
          <w:szCs w:val="18"/>
        </w:rPr>
        <w:t>přírůstku</w:t>
      </w:r>
      <w:r w:rsidR="00FC1C46">
        <w:rPr>
          <w:rFonts w:ascii="Arial" w:hAnsi="Arial" w:cs="Arial"/>
          <w:sz w:val="18"/>
          <w:szCs w:val="18"/>
        </w:rPr>
        <w:t xml:space="preserve"> </w:t>
      </w:r>
      <w:r w:rsidR="00471975">
        <w:rPr>
          <w:rFonts w:ascii="Arial" w:hAnsi="Arial" w:cs="Arial"/>
          <w:sz w:val="18"/>
          <w:szCs w:val="18"/>
        </w:rPr>
        <w:t xml:space="preserve">(71,9 mld. Kč) </w:t>
      </w:r>
      <w:r w:rsidR="00FC1C46">
        <w:rPr>
          <w:rFonts w:ascii="Arial" w:hAnsi="Arial" w:cs="Arial"/>
          <w:sz w:val="18"/>
          <w:szCs w:val="18"/>
        </w:rPr>
        <w:t>patřila vývozu zboží do států Evropské unie, jmenovitě hlavně do Německa,</w:t>
      </w:r>
      <w:r w:rsidR="00471975">
        <w:rPr>
          <w:rFonts w:ascii="Arial" w:hAnsi="Arial" w:cs="Arial"/>
          <w:sz w:val="18"/>
          <w:szCs w:val="18"/>
        </w:rPr>
        <w:t xml:space="preserve"> Spojeného království, Francie, Slovenska a Polska. V roce 2016 se z České republiky odeslala hlavně motorová vozidla k dopravě osob, díly a příslušenství motorových vozidel, zařízení k automatizovanému zpracování dat, telefonní přístroje, klimatizační zařízení a čerpadla paliv.</w:t>
      </w:r>
    </w:p>
    <w:p w:rsidR="00B16E97" w:rsidRPr="000D3370" w:rsidRDefault="00B16E97" w:rsidP="00B16E97">
      <w:pPr>
        <w:spacing w:after="80"/>
        <w:jc w:val="both"/>
        <w:rPr>
          <w:rFonts w:ascii="Arial" w:hAnsi="Arial" w:cs="Arial"/>
          <w:b/>
          <w:sz w:val="18"/>
          <w:szCs w:val="18"/>
        </w:rPr>
      </w:pPr>
      <w:r w:rsidRPr="000D3370">
        <w:rPr>
          <w:rFonts w:ascii="Arial" w:hAnsi="Arial" w:cs="Arial"/>
          <w:b/>
          <w:sz w:val="18"/>
          <w:szCs w:val="18"/>
        </w:rPr>
        <w:t xml:space="preserve">Graf </w:t>
      </w:r>
      <w:r w:rsidR="00386472" w:rsidRPr="000D3370">
        <w:rPr>
          <w:rFonts w:ascii="Arial" w:hAnsi="Arial" w:cs="Arial"/>
          <w:b/>
          <w:sz w:val="18"/>
          <w:szCs w:val="18"/>
        </w:rPr>
        <w:t>1</w:t>
      </w:r>
      <w:r w:rsidR="00FA6C0C" w:rsidRPr="000D3370">
        <w:rPr>
          <w:rFonts w:ascii="Arial" w:hAnsi="Arial" w:cs="Arial"/>
          <w:b/>
          <w:sz w:val="18"/>
          <w:szCs w:val="18"/>
        </w:rPr>
        <w:t>6</w:t>
      </w:r>
      <w:r w:rsidRPr="000D3370">
        <w:rPr>
          <w:rFonts w:ascii="Arial" w:hAnsi="Arial" w:cs="Arial"/>
          <w:b/>
          <w:sz w:val="18"/>
          <w:szCs w:val="18"/>
        </w:rPr>
        <w:t xml:space="preserve"> </w:t>
      </w:r>
      <w:r w:rsidR="00793E3C" w:rsidRPr="000D3370">
        <w:rPr>
          <w:rFonts w:ascii="Arial" w:hAnsi="Arial" w:cs="Arial"/>
          <w:b/>
          <w:sz w:val="18"/>
          <w:szCs w:val="18"/>
        </w:rPr>
        <w:t>-</w:t>
      </w:r>
      <w:r w:rsidRPr="000D3370">
        <w:rPr>
          <w:rFonts w:ascii="Arial" w:hAnsi="Arial" w:cs="Arial"/>
          <w:b/>
          <w:sz w:val="18"/>
          <w:szCs w:val="18"/>
        </w:rPr>
        <w:t xml:space="preserve"> Teritoriální struktura obchodu se stroji a dopravními prostředky v roce 201</w:t>
      </w:r>
      <w:r w:rsidR="000D3370" w:rsidRPr="000D3370">
        <w:rPr>
          <w:rFonts w:ascii="Arial" w:hAnsi="Arial" w:cs="Arial"/>
          <w:b/>
          <w:sz w:val="18"/>
          <w:szCs w:val="18"/>
        </w:rPr>
        <w:t>6</w:t>
      </w:r>
      <w:r w:rsidRPr="000D3370">
        <w:rPr>
          <w:rFonts w:ascii="Arial" w:hAnsi="Arial" w:cs="Arial"/>
          <w:b/>
          <w:sz w:val="18"/>
          <w:szCs w:val="18"/>
        </w:rPr>
        <w:t xml:space="preserve"> (podíly v %)</w:t>
      </w:r>
    </w:p>
    <w:p w:rsidR="004C5904" w:rsidRPr="000568E8" w:rsidRDefault="005E2C18" w:rsidP="00B16E97">
      <w:pPr>
        <w:spacing w:after="80"/>
        <w:jc w:val="both"/>
        <w:rPr>
          <w:rFonts w:ascii="Arial" w:hAnsi="Arial" w:cs="Arial"/>
          <w:b/>
          <w:color w:val="FF0000"/>
          <w:sz w:val="18"/>
          <w:szCs w:val="18"/>
        </w:rPr>
      </w:pPr>
      <w:r>
        <w:rPr>
          <w:rFonts w:ascii="Arial" w:hAnsi="Arial" w:cs="Arial"/>
          <w:b/>
          <w:color w:val="FF0000"/>
          <w:sz w:val="18"/>
          <w:szCs w:val="18"/>
        </w:rPr>
        <w:pict>
          <v:shape id="_x0000_i1046" type="#_x0000_t75" style="width:483.75pt;height:147.75pt">
            <v:imagedata r:id="rId30" o:title=""/>
          </v:shape>
        </w:pict>
      </w:r>
    </w:p>
    <w:p w:rsidR="009A7B8F" w:rsidRPr="000C426B" w:rsidRDefault="009A7B8F" w:rsidP="008D0756">
      <w:pPr>
        <w:spacing w:before="360" w:after="120"/>
        <w:jc w:val="both"/>
        <w:rPr>
          <w:rFonts w:ascii="Arial" w:hAnsi="Arial" w:cs="Arial"/>
          <w:sz w:val="18"/>
          <w:szCs w:val="18"/>
        </w:rPr>
      </w:pPr>
      <w:r w:rsidRPr="00A575B8">
        <w:rPr>
          <w:rFonts w:ascii="Arial" w:hAnsi="Arial" w:cs="Arial"/>
          <w:sz w:val="18"/>
          <w:szCs w:val="18"/>
        </w:rPr>
        <w:t xml:space="preserve">Druhý nejvyšší růst vývozu (o </w:t>
      </w:r>
      <w:r w:rsidR="00A575B8">
        <w:rPr>
          <w:rFonts w:ascii="Arial" w:hAnsi="Arial" w:cs="Arial"/>
          <w:sz w:val="18"/>
          <w:szCs w:val="18"/>
        </w:rPr>
        <w:t>50,8</w:t>
      </w:r>
      <w:r w:rsidRPr="00A575B8">
        <w:rPr>
          <w:rFonts w:ascii="Arial" w:hAnsi="Arial" w:cs="Arial"/>
          <w:sz w:val="18"/>
          <w:szCs w:val="18"/>
        </w:rPr>
        <w:t xml:space="preserve"> mld. Kč) zaznamenalo </w:t>
      </w:r>
      <w:r w:rsidRPr="00A575B8">
        <w:rPr>
          <w:rFonts w:ascii="Arial" w:hAnsi="Arial" w:cs="Arial"/>
          <w:b/>
          <w:sz w:val="18"/>
          <w:szCs w:val="18"/>
        </w:rPr>
        <w:t xml:space="preserve">průmyslové spotřební </w:t>
      </w:r>
      <w:r w:rsidRPr="000C426B">
        <w:rPr>
          <w:rFonts w:ascii="Arial" w:hAnsi="Arial" w:cs="Arial"/>
          <w:b/>
          <w:sz w:val="18"/>
          <w:szCs w:val="18"/>
        </w:rPr>
        <w:t>zboží</w:t>
      </w:r>
      <w:r w:rsidRPr="000C426B">
        <w:rPr>
          <w:rFonts w:ascii="Arial" w:hAnsi="Arial" w:cs="Arial"/>
          <w:sz w:val="18"/>
          <w:szCs w:val="18"/>
        </w:rPr>
        <w:t xml:space="preserve">, které </w:t>
      </w:r>
      <w:r w:rsidR="004904DD" w:rsidRPr="000C426B">
        <w:rPr>
          <w:rFonts w:ascii="Arial" w:hAnsi="Arial" w:cs="Arial"/>
          <w:sz w:val="18"/>
          <w:szCs w:val="18"/>
        </w:rPr>
        <w:t>z</w:t>
      </w:r>
      <w:r w:rsidR="000C426B" w:rsidRPr="000C426B">
        <w:rPr>
          <w:rFonts w:ascii="Arial" w:hAnsi="Arial" w:cs="Arial"/>
          <w:sz w:val="18"/>
          <w:szCs w:val="18"/>
        </w:rPr>
        <w:t> téměř 85</w:t>
      </w:r>
      <w:r w:rsidRPr="000C426B">
        <w:rPr>
          <w:rFonts w:ascii="Arial" w:hAnsi="Arial" w:cs="Arial"/>
          <w:sz w:val="18"/>
          <w:szCs w:val="18"/>
        </w:rPr>
        <w:t xml:space="preserve"> % směřovalo</w:t>
      </w:r>
      <w:r w:rsidRPr="00EC032F">
        <w:rPr>
          <w:rFonts w:ascii="Arial" w:hAnsi="Arial" w:cs="Arial"/>
          <w:sz w:val="18"/>
          <w:szCs w:val="18"/>
        </w:rPr>
        <w:t xml:space="preserve"> do států EU, nejvíce pak do Německa, na Slovensko, do </w:t>
      </w:r>
      <w:r w:rsidR="00EC032F" w:rsidRPr="00EC032F">
        <w:rPr>
          <w:rFonts w:ascii="Arial" w:hAnsi="Arial" w:cs="Arial"/>
          <w:sz w:val="18"/>
          <w:szCs w:val="18"/>
        </w:rPr>
        <w:t xml:space="preserve">Rakouska a </w:t>
      </w:r>
      <w:r w:rsidRPr="00EC032F">
        <w:rPr>
          <w:rFonts w:ascii="Arial" w:hAnsi="Arial" w:cs="Arial"/>
          <w:sz w:val="18"/>
          <w:szCs w:val="18"/>
        </w:rPr>
        <w:t xml:space="preserve">Francie. </w:t>
      </w:r>
      <w:r w:rsidRPr="000C426B">
        <w:rPr>
          <w:rFonts w:ascii="Arial" w:hAnsi="Arial" w:cs="Arial"/>
          <w:sz w:val="18"/>
          <w:szCs w:val="18"/>
        </w:rPr>
        <w:t xml:space="preserve">Vyvážely </w:t>
      </w:r>
      <w:r w:rsidR="004904DD" w:rsidRPr="000C426B">
        <w:rPr>
          <w:rFonts w:ascii="Arial" w:hAnsi="Arial" w:cs="Arial"/>
          <w:sz w:val="18"/>
          <w:szCs w:val="18"/>
        </w:rPr>
        <w:t xml:space="preserve">se </w:t>
      </w:r>
      <w:r w:rsidRPr="000C426B">
        <w:rPr>
          <w:rFonts w:ascii="Arial" w:hAnsi="Arial" w:cs="Arial"/>
          <w:sz w:val="18"/>
          <w:szCs w:val="18"/>
        </w:rPr>
        <w:t>především hračky, sedadla do motorových vozidel a jejich díly a výrobky z plastů.</w:t>
      </w:r>
    </w:p>
    <w:p w:rsidR="00E5178A" w:rsidRDefault="009A7B8F" w:rsidP="009A7B8F">
      <w:pPr>
        <w:spacing w:after="120"/>
        <w:jc w:val="both"/>
        <w:rPr>
          <w:rFonts w:ascii="Arial" w:hAnsi="Arial" w:cs="Arial"/>
          <w:color w:val="FF0000"/>
          <w:sz w:val="18"/>
          <w:szCs w:val="18"/>
        </w:rPr>
      </w:pPr>
      <w:r w:rsidRPr="000C426B">
        <w:rPr>
          <w:rFonts w:ascii="Arial" w:hAnsi="Arial" w:cs="Arial"/>
          <w:sz w:val="18"/>
          <w:szCs w:val="18"/>
        </w:rPr>
        <w:t>V porovnání s předchozím rokem byl v roce 201</w:t>
      </w:r>
      <w:r w:rsidR="000C426B" w:rsidRPr="000C426B">
        <w:rPr>
          <w:rFonts w:ascii="Arial" w:hAnsi="Arial" w:cs="Arial"/>
          <w:sz w:val="18"/>
          <w:szCs w:val="18"/>
        </w:rPr>
        <w:t>6</w:t>
      </w:r>
      <w:r w:rsidRPr="000C426B">
        <w:rPr>
          <w:rFonts w:ascii="Arial" w:hAnsi="Arial" w:cs="Arial"/>
          <w:sz w:val="18"/>
          <w:szCs w:val="18"/>
        </w:rPr>
        <w:t xml:space="preserve"> v absolutním měřítku vyšší vývoz </w:t>
      </w:r>
      <w:r w:rsidR="000C426B" w:rsidRPr="000C426B">
        <w:rPr>
          <w:rFonts w:ascii="Arial" w:hAnsi="Arial" w:cs="Arial"/>
          <w:sz w:val="18"/>
          <w:szCs w:val="18"/>
        </w:rPr>
        <w:t xml:space="preserve">už </w:t>
      </w:r>
      <w:r w:rsidR="00215FA5">
        <w:rPr>
          <w:rFonts w:ascii="Arial" w:hAnsi="Arial" w:cs="Arial"/>
          <w:sz w:val="18"/>
          <w:szCs w:val="18"/>
        </w:rPr>
        <w:t>jen nápojů a tabáku (o 2,9 mld. </w:t>
      </w:r>
      <w:r w:rsidR="000C426B" w:rsidRPr="00E5178A">
        <w:rPr>
          <w:rFonts w:ascii="Arial" w:hAnsi="Arial" w:cs="Arial"/>
          <w:sz w:val="18"/>
          <w:szCs w:val="18"/>
        </w:rPr>
        <w:t xml:space="preserve">Kč) a </w:t>
      </w:r>
      <w:r w:rsidR="00E5178A" w:rsidRPr="00E5178A">
        <w:rPr>
          <w:rFonts w:ascii="Arial" w:hAnsi="Arial" w:cs="Arial"/>
          <w:sz w:val="18"/>
          <w:szCs w:val="18"/>
        </w:rPr>
        <w:t xml:space="preserve">živočišných a rostlinných tuků (o 1,2 mld. Kč). </w:t>
      </w:r>
      <w:r w:rsidR="00E5178A">
        <w:rPr>
          <w:rFonts w:ascii="Arial" w:hAnsi="Arial" w:cs="Arial"/>
          <w:sz w:val="18"/>
          <w:szCs w:val="18"/>
        </w:rPr>
        <w:t>V o</w:t>
      </w:r>
      <w:r w:rsidR="00E5178A" w:rsidRPr="00E5178A">
        <w:rPr>
          <w:rFonts w:ascii="Arial" w:hAnsi="Arial" w:cs="Arial"/>
          <w:sz w:val="18"/>
          <w:szCs w:val="18"/>
        </w:rPr>
        <w:t>st</w:t>
      </w:r>
      <w:r w:rsidR="00E5178A">
        <w:rPr>
          <w:rFonts w:ascii="Arial" w:hAnsi="Arial" w:cs="Arial"/>
          <w:sz w:val="18"/>
          <w:szCs w:val="18"/>
        </w:rPr>
        <w:t xml:space="preserve">atních třídách SITC bylo zboží </w:t>
      </w:r>
      <w:r w:rsidR="00471975">
        <w:rPr>
          <w:rFonts w:ascii="Arial" w:hAnsi="Arial" w:cs="Arial"/>
          <w:sz w:val="18"/>
          <w:szCs w:val="18"/>
        </w:rPr>
        <w:t>vy</w:t>
      </w:r>
      <w:r w:rsidR="00E5178A">
        <w:rPr>
          <w:rFonts w:ascii="Arial" w:hAnsi="Arial" w:cs="Arial"/>
          <w:sz w:val="18"/>
          <w:szCs w:val="18"/>
        </w:rPr>
        <w:t xml:space="preserve">vezeno méně. </w:t>
      </w:r>
    </w:p>
    <w:p w:rsidR="00E5178A" w:rsidRPr="00E5178A" w:rsidRDefault="009A7B8F" w:rsidP="0011055B">
      <w:pPr>
        <w:spacing w:after="0"/>
        <w:jc w:val="both"/>
        <w:rPr>
          <w:rFonts w:ascii="Arial" w:hAnsi="Arial" w:cs="Arial"/>
          <w:sz w:val="18"/>
          <w:szCs w:val="18"/>
        </w:rPr>
      </w:pPr>
      <w:r w:rsidRPr="00E5178A">
        <w:rPr>
          <w:rFonts w:ascii="Arial" w:hAnsi="Arial" w:cs="Arial"/>
          <w:sz w:val="18"/>
          <w:szCs w:val="18"/>
        </w:rPr>
        <w:t>Meziroční pokles oproti růstu v roce 201</w:t>
      </w:r>
      <w:r w:rsidR="00E5178A">
        <w:rPr>
          <w:rFonts w:ascii="Arial" w:hAnsi="Arial" w:cs="Arial"/>
          <w:sz w:val="18"/>
          <w:szCs w:val="18"/>
        </w:rPr>
        <w:t>5</w:t>
      </w:r>
      <w:r w:rsidRPr="00E5178A">
        <w:rPr>
          <w:rFonts w:ascii="Arial" w:hAnsi="Arial" w:cs="Arial"/>
          <w:sz w:val="18"/>
          <w:szCs w:val="18"/>
        </w:rPr>
        <w:t xml:space="preserve"> byl zřetelný </w:t>
      </w:r>
      <w:r w:rsidR="00E5178A">
        <w:rPr>
          <w:rFonts w:ascii="Arial" w:hAnsi="Arial" w:cs="Arial"/>
          <w:sz w:val="18"/>
          <w:szCs w:val="18"/>
        </w:rPr>
        <w:t xml:space="preserve">u </w:t>
      </w:r>
      <w:r w:rsidR="0008795A">
        <w:rPr>
          <w:rFonts w:ascii="Arial" w:hAnsi="Arial" w:cs="Arial"/>
          <w:sz w:val="18"/>
          <w:szCs w:val="18"/>
        </w:rPr>
        <w:t xml:space="preserve">vývozu </w:t>
      </w:r>
      <w:r w:rsidR="00E5178A">
        <w:rPr>
          <w:rFonts w:ascii="Arial" w:hAnsi="Arial" w:cs="Arial"/>
          <w:sz w:val="18"/>
          <w:szCs w:val="18"/>
        </w:rPr>
        <w:t xml:space="preserve">minerálních </w:t>
      </w:r>
      <w:r w:rsidR="00E5178A" w:rsidRPr="00E5178A">
        <w:rPr>
          <w:rFonts w:ascii="Arial" w:hAnsi="Arial" w:cs="Arial"/>
          <w:sz w:val="18"/>
          <w:szCs w:val="18"/>
        </w:rPr>
        <w:t>paliv</w:t>
      </w:r>
      <w:r w:rsidR="0011055B">
        <w:rPr>
          <w:rFonts w:ascii="Arial" w:hAnsi="Arial" w:cs="Arial"/>
          <w:sz w:val="18"/>
          <w:szCs w:val="18"/>
        </w:rPr>
        <w:t>, maziv a příbuzných materiálů</w:t>
      </w:r>
      <w:r w:rsidR="00215FA5">
        <w:rPr>
          <w:rFonts w:ascii="Arial" w:hAnsi="Arial" w:cs="Arial"/>
          <w:sz w:val="18"/>
          <w:szCs w:val="18"/>
        </w:rPr>
        <w:t xml:space="preserve"> (</w:t>
      </w:r>
      <w:r w:rsidR="00215FA5">
        <w:rPr>
          <w:rFonts w:ascii="Arial" w:hAnsi="Arial" w:cs="Arial"/>
          <w:sz w:val="18"/>
          <w:szCs w:val="18"/>
        </w:rPr>
        <w:noBreakHyphen/>
      </w:r>
      <w:r w:rsidR="00E5178A" w:rsidRPr="00E5178A">
        <w:rPr>
          <w:rFonts w:ascii="Arial" w:hAnsi="Arial" w:cs="Arial"/>
          <w:sz w:val="18"/>
          <w:szCs w:val="18"/>
        </w:rPr>
        <w:t>39,4 mld. Kč proti +17,7 mld. Kč v roce 2015)</w:t>
      </w:r>
      <w:r w:rsidR="0011055B">
        <w:rPr>
          <w:rFonts w:ascii="Arial" w:hAnsi="Arial" w:cs="Arial"/>
          <w:sz w:val="18"/>
          <w:szCs w:val="18"/>
        </w:rPr>
        <w:t xml:space="preserve"> a u polotovarů a materiálů </w:t>
      </w:r>
      <w:r w:rsidR="0011055B" w:rsidRPr="00E5178A">
        <w:rPr>
          <w:rFonts w:ascii="Arial" w:hAnsi="Arial" w:cs="Arial"/>
          <w:sz w:val="18"/>
          <w:szCs w:val="18"/>
        </w:rPr>
        <w:t>(-</w:t>
      </w:r>
      <w:r w:rsidR="0011055B">
        <w:rPr>
          <w:rFonts w:ascii="Arial" w:hAnsi="Arial" w:cs="Arial"/>
          <w:sz w:val="18"/>
          <w:szCs w:val="18"/>
        </w:rPr>
        <w:t>1,3</w:t>
      </w:r>
      <w:r w:rsidR="0011055B" w:rsidRPr="00E5178A">
        <w:rPr>
          <w:rFonts w:ascii="Arial" w:hAnsi="Arial" w:cs="Arial"/>
          <w:sz w:val="18"/>
          <w:szCs w:val="18"/>
        </w:rPr>
        <w:t> mld. Kč proti +</w:t>
      </w:r>
      <w:r w:rsidR="0011055B">
        <w:rPr>
          <w:rFonts w:ascii="Arial" w:hAnsi="Arial" w:cs="Arial"/>
          <w:sz w:val="18"/>
          <w:szCs w:val="18"/>
        </w:rPr>
        <w:t>15,5</w:t>
      </w:r>
      <w:r w:rsidR="0011055B" w:rsidRPr="00E5178A">
        <w:rPr>
          <w:rFonts w:ascii="Arial" w:hAnsi="Arial" w:cs="Arial"/>
          <w:sz w:val="18"/>
          <w:szCs w:val="18"/>
        </w:rPr>
        <w:t xml:space="preserve"> mld. Kč v roce 2015)</w:t>
      </w:r>
      <w:r w:rsidR="0011055B">
        <w:rPr>
          <w:rFonts w:ascii="Arial" w:hAnsi="Arial" w:cs="Arial"/>
          <w:sz w:val="18"/>
          <w:szCs w:val="18"/>
        </w:rPr>
        <w:t>.</w:t>
      </w:r>
    </w:p>
    <w:p w:rsidR="009A7B8F" w:rsidRDefault="009A7B8F" w:rsidP="00AB4223">
      <w:pPr>
        <w:spacing w:after="120"/>
        <w:jc w:val="both"/>
        <w:rPr>
          <w:rFonts w:ascii="Arial" w:hAnsi="Arial" w:cs="Arial"/>
          <w:color w:val="FF0000"/>
          <w:sz w:val="18"/>
          <w:szCs w:val="18"/>
        </w:rPr>
      </w:pPr>
      <w:r w:rsidRPr="00A8197F">
        <w:rPr>
          <w:rFonts w:ascii="Arial" w:hAnsi="Arial" w:cs="Arial"/>
          <w:sz w:val="18"/>
          <w:szCs w:val="18"/>
        </w:rPr>
        <w:lastRenderedPageBreak/>
        <w:t xml:space="preserve">Nejvyšší meziroční navýšení </w:t>
      </w:r>
      <w:r w:rsidRPr="00A8197F">
        <w:rPr>
          <w:rFonts w:ascii="Arial" w:hAnsi="Arial" w:cs="Arial"/>
          <w:b/>
          <w:sz w:val="18"/>
          <w:szCs w:val="18"/>
        </w:rPr>
        <w:t>dovozu</w:t>
      </w:r>
      <w:r w:rsidRPr="00A8197F">
        <w:rPr>
          <w:rFonts w:ascii="Arial" w:hAnsi="Arial" w:cs="Arial"/>
          <w:sz w:val="18"/>
          <w:szCs w:val="18"/>
        </w:rPr>
        <w:t xml:space="preserve"> bylo patrné</w:t>
      </w:r>
      <w:r w:rsidR="00A8197F">
        <w:rPr>
          <w:rFonts w:ascii="Arial" w:hAnsi="Arial" w:cs="Arial"/>
          <w:sz w:val="18"/>
          <w:szCs w:val="18"/>
        </w:rPr>
        <w:t xml:space="preserve"> </w:t>
      </w:r>
      <w:r w:rsidR="00A8197F" w:rsidRPr="00F13265">
        <w:rPr>
          <w:rFonts w:ascii="Arial" w:hAnsi="Arial" w:cs="Arial"/>
          <w:sz w:val="18"/>
          <w:szCs w:val="18"/>
        </w:rPr>
        <w:t xml:space="preserve">u </w:t>
      </w:r>
      <w:r w:rsidR="00A8197F" w:rsidRPr="00F13265">
        <w:rPr>
          <w:rFonts w:ascii="Arial" w:hAnsi="Arial" w:cs="Arial"/>
          <w:b/>
          <w:sz w:val="18"/>
          <w:szCs w:val="18"/>
        </w:rPr>
        <w:t>průmyslového spotřebního zboží</w:t>
      </w:r>
      <w:r w:rsidRPr="00A8197F">
        <w:rPr>
          <w:rFonts w:ascii="Arial" w:hAnsi="Arial" w:cs="Arial"/>
          <w:sz w:val="18"/>
          <w:szCs w:val="18"/>
        </w:rPr>
        <w:t xml:space="preserve"> (o </w:t>
      </w:r>
      <w:r w:rsidR="00A8197F">
        <w:rPr>
          <w:rFonts w:ascii="Arial" w:hAnsi="Arial" w:cs="Arial"/>
          <w:sz w:val="18"/>
          <w:szCs w:val="18"/>
        </w:rPr>
        <w:t>48,3</w:t>
      </w:r>
      <w:r w:rsidRPr="00A8197F">
        <w:rPr>
          <w:rFonts w:ascii="Arial" w:hAnsi="Arial" w:cs="Arial"/>
          <w:sz w:val="18"/>
          <w:szCs w:val="18"/>
        </w:rPr>
        <w:t xml:space="preserve"> mld. Kč</w:t>
      </w:r>
      <w:r w:rsidR="004F3689">
        <w:rPr>
          <w:rFonts w:ascii="Arial" w:hAnsi="Arial" w:cs="Arial"/>
          <w:sz w:val="18"/>
          <w:szCs w:val="18"/>
        </w:rPr>
        <w:t xml:space="preserve">). V roce 2016 bylo do Česka dovezeno toto zboží v hodnotě 527,1 mld. Kč, z čehož největší část tvořily </w:t>
      </w:r>
      <w:r w:rsidR="00C7653C">
        <w:rPr>
          <w:rFonts w:ascii="Arial" w:hAnsi="Arial" w:cs="Arial"/>
          <w:sz w:val="18"/>
          <w:szCs w:val="18"/>
        </w:rPr>
        <w:t>díly sedadel, předměty z plastu, hračky, polovodičová média pro záznam, oděvy a obuv. Dováželo se hlavně z Německa, Číny, Polska a Itálie.</w:t>
      </w:r>
    </w:p>
    <w:p w:rsidR="0008795A" w:rsidRPr="00273816" w:rsidRDefault="004C340D" w:rsidP="004C340D">
      <w:pPr>
        <w:spacing w:after="120"/>
        <w:jc w:val="both"/>
        <w:rPr>
          <w:rFonts w:ascii="Arial" w:hAnsi="Arial" w:cs="Arial"/>
          <w:sz w:val="18"/>
          <w:szCs w:val="18"/>
        </w:rPr>
      </w:pPr>
      <w:r w:rsidRPr="004C340D">
        <w:rPr>
          <w:rFonts w:ascii="Arial" w:hAnsi="Arial" w:cs="Arial"/>
          <w:sz w:val="18"/>
          <w:szCs w:val="18"/>
        </w:rPr>
        <w:t>Druhý největší absolutní meziroční přírůstek dovozu byl zaznamenán</w:t>
      </w:r>
      <w:r>
        <w:rPr>
          <w:rFonts w:ascii="Arial" w:hAnsi="Arial" w:cs="Arial"/>
          <w:sz w:val="18"/>
          <w:szCs w:val="18"/>
        </w:rPr>
        <w:t xml:space="preserve"> </w:t>
      </w:r>
      <w:r w:rsidRPr="00F13265">
        <w:rPr>
          <w:rFonts w:ascii="Arial" w:hAnsi="Arial" w:cs="Arial"/>
          <w:sz w:val="18"/>
          <w:szCs w:val="18"/>
        </w:rPr>
        <w:t xml:space="preserve">u </w:t>
      </w:r>
      <w:r w:rsidRPr="00F13265">
        <w:rPr>
          <w:rFonts w:ascii="Arial" w:hAnsi="Arial" w:cs="Arial"/>
          <w:b/>
          <w:sz w:val="18"/>
          <w:szCs w:val="18"/>
        </w:rPr>
        <w:t>strojů a dopravních prostředků</w:t>
      </w:r>
      <w:r w:rsidRPr="0008795A">
        <w:rPr>
          <w:rFonts w:ascii="Arial" w:hAnsi="Arial" w:cs="Arial"/>
          <w:sz w:val="18"/>
          <w:szCs w:val="18"/>
        </w:rPr>
        <w:t xml:space="preserve"> (o </w:t>
      </w:r>
      <w:r w:rsidR="0008795A" w:rsidRPr="0008795A">
        <w:rPr>
          <w:rFonts w:ascii="Arial" w:hAnsi="Arial" w:cs="Arial"/>
          <w:sz w:val="18"/>
          <w:szCs w:val="18"/>
        </w:rPr>
        <w:t>12,7</w:t>
      </w:r>
      <w:r w:rsidRPr="0008795A">
        <w:rPr>
          <w:rFonts w:ascii="Arial" w:hAnsi="Arial" w:cs="Arial"/>
          <w:sz w:val="18"/>
          <w:szCs w:val="18"/>
        </w:rPr>
        <w:t> mld. Kč).</w:t>
      </w:r>
      <w:r w:rsidR="0008795A">
        <w:rPr>
          <w:rFonts w:ascii="Arial" w:hAnsi="Arial" w:cs="Arial"/>
          <w:sz w:val="18"/>
          <w:szCs w:val="18"/>
        </w:rPr>
        <w:t xml:space="preserve"> </w:t>
      </w:r>
      <w:r w:rsidR="000B2457">
        <w:rPr>
          <w:rFonts w:ascii="Arial" w:hAnsi="Arial" w:cs="Arial"/>
          <w:sz w:val="18"/>
          <w:szCs w:val="18"/>
        </w:rPr>
        <w:t xml:space="preserve">Přestože u této třídy došlo v roce 2016 k mnohem menšímu nárůstu roční hodnoty v porovnání s nárůstem v předchozím roce (205,1 mld. Kč), patří </w:t>
      </w:r>
      <w:r w:rsidR="00D36450">
        <w:rPr>
          <w:rFonts w:ascii="Arial" w:hAnsi="Arial" w:cs="Arial"/>
          <w:sz w:val="18"/>
          <w:szCs w:val="18"/>
        </w:rPr>
        <w:t>stroje</w:t>
      </w:r>
      <w:r w:rsidR="000B2457">
        <w:rPr>
          <w:rFonts w:ascii="Arial" w:hAnsi="Arial" w:cs="Arial"/>
          <w:sz w:val="18"/>
          <w:szCs w:val="18"/>
        </w:rPr>
        <w:t xml:space="preserve"> a dopravní prostředk</w:t>
      </w:r>
      <w:r w:rsidR="00D36450">
        <w:rPr>
          <w:rFonts w:ascii="Arial" w:hAnsi="Arial" w:cs="Arial"/>
          <w:sz w:val="18"/>
          <w:szCs w:val="18"/>
        </w:rPr>
        <w:t>y</w:t>
      </w:r>
      <w:r w:rsidR="000B2457">
        <w:rPr>
          <w:rFonts w:ascii="Arial" w:hAnsi="Arial" w:cs="Arial"/>
          <w:sz w:val="18"/>
          <w:szCs w:val="18"/>
        </w:rPr>
        <w:t xml:space="preserve"> svým podílem na celkovém dovozu (45,8 %) k nejvýznamnějším zbožovým komoditám</w:t>
      </w:r>
      <w:r w:rsidR="000B2457" w:rsidRPr="000B2457">
        <w:rPr>
          <w:rFonts w:ascii="Arial" w:hAnsi="Arial" w:cs="Arial"/>
          <w:sz w:val="18"/>
          <w:szCs w:val="18"/>
        </w:rPr>
        <w:t xml:space="preserve">. Mezi hlavní státy, s kterými se realizoval obchod tohoto zboží, </w:t>
      </w:r>
      <w:r w:rsidR="000B2457">
        <w:rPr>
          <w:rFonts w:ascii="Arial" w:hAnsi="Arial" w:cs="Arial"/>
          <w:sz w:val="18"/>
          <w:szCs w:val="18"/>
        </w:rPr>
        <w:t>náleží</w:t>
      </w:r>
      <w:r w:rsidR="000B2457" w:rsidRPr="000B2457">
        <w:rPr>
          <w:rFonts w:ascii="Arial" w:hAnsi="Arial" w:cs="Arial"/>
          <w:sz w:val="18"/>
          <w:szCs w:val="18"/>
        </w:rPr>
        <w:t xml:space="preserve">  Německo, Čína, Polsko, Slovensko, Korejská </w:t>
      </w:r>
      <w:r w:rsidR="000B2457" w:rsidRPr="00273816">
        <w:rPr>
          <w:rFonts w:ascii="Arial" w:hAnsi="Arial" w:cs="Arial"/>
          <w:sz w:val="18"/>
          <w:szCs w:val="18"/>
        </w:rPr>
        <w:t>republika a Itálie.</w:t>
      </w:r>
    </w:p>
    <w:p w:rsidR="009A7B8F" w:rsidRPr="00273816" w:rsidRDefault="009A7B8F" w:rsidP="009A7B8F">
      <w:pPr>
        <w:spacing w:after="120"/>
        <w:jc w:val="both"/>
        <w:rPr>
          <w:rFonts w:ascii="Arial" w:hAnsi="Arial" w:cs="Arial"/>
          <w:sz w:val="18"/>
          <w:szCs w:val="18"/>
        </w:rPr>
      </w:pPr>
      <w:r w:rsidRPr="00273816">
        <w:rPr>
          <w:rFonts w:ascii="Arial" w:hAnsi="Arial" w:cs="Arial"/>
          <w:sz w:val="18"/>
          <w:szCs w:val="18"/>
        </w:rPr>
        <w:t>Dovoz polotovarů a materiálů</w:t>
      </w:r>
      <w:r w:rsidR="003F5E7F">
        <w:rPr>
          <w:rStyle w:val="Znakapoznpodarou"/>
          <w:rFonts w:ascii="Arial" w:hAnsi="Arial" w:cs="Arial"/>
          <w:sz w:val="18"/>
          <w:szCs w:val="18"/>
        </w:rPr>
        <w:footnoteReference w:id="9"/>
      </w:r>
      <w:r w:rsidRPr="00273816">
        <w:rPr>
          <w:rFonts w:ascii="Arial" w:hAnsi="Arial" w:cs="Arial"/>
          <w:sz w:val="18"/>
          <w:szCs w:val="18"/>
        </w:rPr>
        <w:t xml:space="preserve"> meziročně </w:t>
      </w:r>
      <w:r w:rsidR="00273816" w:rsidRPr="00273816">
        <w:rPr>
          <w:rFonts w:ascii="Arial" w:hAnsi="Arial" w:cs="Arial"/>
          <w:sz w:val="18"/>
          <w:szCs w:val="18"/>
        </w:rPr>
        <w:t>klesl</w:t>
      </w:r>
      <w:r w:rsidRPr="00273816">
        <w:rPr>
          <w:rFonts w:ascii="Arial" w:hAnsi="Arial" w:cs="Arial"/>
          <w:sz w:val="18"/>
          <w:szCs w:val="18"/>
        </w:rPr>
        <w:t xml:space="preserve"> o </w:t>
      </w:r>
      <w:r w:rsidR="00273816" w:rsidRPr="00273816">
        <w:rPr>
          <w:rFonts w:ascii="Arial" w:hAnsi="Arial" w:cs="Arial"/>
          <w:sz w:val="18"/>
          <w:szCs w:val="18"/>
        </w:rPr>
        <w:t>1,3</w:t>
      </w:r>
      <w:r w:rsidRPr="00273816">
        <w:rPr>
          <w:rFonts w:ascii="Arial" w:hAnsi="Arial" w:cs="Arial"/>
          <w:sz w:val="18"/>
          <w:szCs w:val="18"/>
        </w:rPr>
        <w:t xml:space="preserve"> mld. Kč</w:t>
      </w:r>
      <w:r w:rsidR="00273816" w:rsidRPr="00273816">
        <w:rPr>
          <w:rFonts w:ascii="Arial" w:hAnsi="Arial" w:cs="Arial"/>
          <w:sz w:val="18"/>
          <w:szCs w:val="18"/>
        </w:rPr>
        <w:t xml:space="preserve">. </w:t>
      </w:r>
      <w:r w:rsidRPr="00273816">
        <w:rPr>
          <w:rFonts w:ascii="Arial" w:hAnsi="Arial" w:cs="Arial"/>
          <w:sz w:val="18"/>
          <w:szCs w:val="18"/>
        </w:rPr>
        <w:t>V roce 201</w:t>
      </w:r>
      <w:r w:rsidR="00273816">
        <w:rPr>
          <w:rFonts w:ascii="Arial" w:hAnsi="Arial" w:cs="Arial"/>
          <w:sz w:val="18"/>
          <w:szCs w:val="18"/>
        </w:rPr>
        <w:t>6</w:t>
      </w:r>
      <w:r w:rsidRPr="00273816">
        <w:rPr>
          <w:rFonts w:ascii="Arial" w:hAnsi="Arial" w:cs="Arial"/>
          <w:sz w:val="18"/>
          <w:szCs w:val="18"/>
        </w:rPr>
        <w:t xml:space="preserve"> byly </w:t>
      </w:r>
      <w:r w:rsidR="00267AF6">
        <w:rPr>
          <w:rFonts w:ascii="Arial" w:hAnsi="Arial" w:cs="Arial"/>
          <w:sz w:val="18"/>
          <w:szCs w:val="18"/>
        </w:rPr>
        <w:t>častými</w:t>
      </w:r>
      <w:r w:rsidRPr="00273816">
        <w:rPr>
          <w:rFonts w:ascii="Arial" w:hAnsi="Arial" w:cs="Arial"/>
          <w:sz w:val="18"/>
          <w:szCs w:val="18"/>
        </w:rPr>
        <w:t xml:space="preserve"> dovozními položkami této třídy výrobky ze základních kovů, hliník, papír a lepenka a výrobky ze železa a oceli. Největší část dovozu byl</w:t>
      </w:r>
      <w:r w:rsidR="00EE2983" w:rsidRPr="00273816">
        <w:rPr>
          <w:rFonts w:ascii="Arial" w:hAnsi="Arial" w:cs="Arial"/>
          <w:sz w:val="18"/>
          <w:szCs w:val="18"/>
        </w:rPr>
        <w:t>a</w:t>
      </w:r>
      <w:r w:rsidRPr="00273816">
        <w:rPr>
          <w:rFonts w:ascii="Arial" w:hAnsi="Arial" w:cs="Arial"/>
          <w:sz w:val="18"/>
          <w:szCs w:val="18"/>
        </w:rPr>
        <w:t xml:space="preserve"> </w:t>
      </w:r>
      <w:r w:rsidR="00471401" w:rsidRPr="00273816">
        <w:rPr>
          <w:rFonts w:ascii="Arial" w:hAnsi="Arial" w:cs="Arial"/>
          <w:sz w:val="18"/>
          <w:szCs w:val="18"/>
        </w:rPr>
        <w:t>přivezena</w:t>
      </w:r>
      <w:r w:rsidRPr="00273816">
        <w:rPr>
          <w:rFonts w:ascii="Arial" w:hAnsi="Arial" w:cs="Arial"/>
          <w:sz w:val="18"/>
          <w:szCs w:val="18"/>
        </w:rPr>
        <w:t xml:space="preserve"> z Německa, Polska a ze Slovenska.</w:t>
      </w:r>
    </w:p>
    <w:p w:rsidR="009A7B8F" w:rsidRPr="00273816" w:rsidRDefault="009A7B8F" w:rsidP="00CA0A02">
      <w:pPr>
        <w:jc w:val="both"/>
        <w:rPr>
          <w:rFonts w:ascii="Arial" w:hAnsi="Arial" w:cs="Arial"/>
          <w:sz w:val="18"/>
          <w:szCs w:val="18"/>
        </w:rPr>
      </w:pPr>
      <w:r w:rsidRPr="00273816">
        <w:rPr>
          <w:rFonts w:ascii="Arial" w:hAnsi="Arial" w:cs="Arial"/>
          <w:sz w:val="18"/>
          <w:szCs w:val="18"/>
        </w:rPr>
        <w:t>V porovnání s rokem 201</w:t>
      </w:r>
      <w:r w:rsidR="00273816" w:rsidRPr="00273816">
        <w:rPr>
          <w:rFonts w:ascii="Arial" w:hAnsi="Arial" w:cs="Arial"/>
          <w:sz w:val="18"/>
          <w:szCs w:val="18"/>
        </w:rPr>
        <w:t>5</w:t>
      </w:r>
      <w:r w:rsidRPr="00273816">
        <w:rPr>
          <w:rFonts w:ascii="Arial" w:hAnsi="Arial" w:cs="Arial"/>
          <w:sz w:val="18"/>
          <w:szCs w:val="18"/>
        </w:rPr>
        <w:t xml:space="preserve"> se v roce 201</w:t>
      </w:r>
      <w:r w:rsidR="00273816" w:rsidRPr="00273816">
        <w:rPr>
          <w:rFonts w:ascii="Arial" w:hAnsi="Arial" w:cs="Arial"/>
          <w:sz w:val="18"/>
          <w:szCs w:val="18"/>
        </w:rPr>
        <w:t>6</w:t>
      </w:r>
      <w:r w:rsidRPr="00273816">
        <w:rPr>
          <w:rFonts w:ascii="Arial" w:hAnsi="Arial" w:cs="Arial"/>
          <w:sz w:val="18"/>
          <w:szCs w:val="18"/>
        </w:rPr>
        <w:t xml:space="preserve"> dovezlo do Česka o 9,</w:t>
      </w:r>
      <w:r w:rsidR="00273816">
        <w:rPr>
          <w:rFonts w:ascii="Arial" w:hAnsi="Arial" w:cs="Arial"/>
          <w:sz w:val="18"/>
          <w:szCs w:val="18"/>
        </w:rPr>
        <w:t>3</w:t>
      </w:r>
      <w:r w:rsidRPr="00273816">
        <w:rPr>
          <w:rFonts w:ascii="Arial" w:hAnsi="Arial" w:cs="Arial"/>
          <w:sz w:val="18"/>
          <w:szCs w:val="18"/>
        </w:rPr>
        <w:t xml:space="preserve"> mld. Kč více chemikálií a příbuzných materiálů</w:t>
      </w:r>
      <w:r w:rsidR="00215FA5">
        <w:rPr>
          <w:rFonts w:ascii="Arial" w:hAnsi="Arial" w:cs="Arial"/>
          <w:sz w:val="18"/>
          <w:szCs w:val="18"/>
        </w:rPr>
        <w:t xml:space="preserve"> a o </w:t>
      </w:r>
      <w:r w:rsidR="00273816" w:rsidRPr="00273816">
        <w:rPr>
          <w:rFonts w:ascii="Arial" w:hAnsi="Arial" w:cs="Arial"/>
          <w:sz w:val="18"/>
          <w:szCs w:val="18"/>
        </w:rPr>
        <w:t>1,9</w:t>
      </w:r>
      <w:r w:rsidR="00215FA5">
        <w:rPr>
          <w:rFonts w:ascii="Arial" w:hAnsi="Arial" w:cs="Arial"/>
          <w:sz w:val="18"/>
          <w:szCs w:val="18"/>
        </w:rPr>
        <w:t> </w:t>
      </w:r>
      <w:r w:rsidRPr="00273816">
        <w:rPr>
          <w:rFonts w:ascii="Arial" w:hAnsi="Arial" w:cs="Arial"/>
          <w:sz w:val="18"/>
          <w:szCs w:val="18"/>
        </w:rPr>
        <w:t xml:space="preserve">mld. Kč nápojů a tabáku. </w:t>
      </w:r>
    </w:p>
    <w:p w:rsidR="009A7B8F" w:rsidRPr="00246E05" w:rsidRDefault="009A7B8F" w:rsidP="009A7B8F">
      <w:pPr>
        <w:spacing w:after="80"/>
        <w:jc w:val="both"/>
        <w:rPr>
          <w:rFonts w:ascii="Arial" w:hAnsi="Arial" w:cs="Arial"/>
          <w:b/>
          <w:sz w:val="18"/>
          <w:szCs w:val="18"/>
        </w:rPr>
      </w:pPr>
      <w:r w:rsidRPr="00246E05">
        <w:rPr>
          <w:rFonts w:ascii="Arial" w:hAnsi="Arial" w:cs="Arial"/>
          <w:b/>
          <w:sz w:val="18"/>
          <w:szCs w:val="18"/>
        </w:rPr>
        <w:t>Graf 1</w:t>
      </w:r>
      <w:r w:rsidR="00215FA5">
        <w:rPr>
          <w:rFonts w:ascii="Arial" w:hAnsi="Arial" w:cs="Arial"/>
          <w:b/>
          <w:sz w:val="18"/>
          <w:szCs w:val="18"/>
        </w:rPr>
        <w:t>7</w:t>
      </w:r>
      <w:r w:rsidR="00135680" w:rsidRPr="00246E05">
        <w:rPr>
          <w:rFonts w:ascii="Arial" w:hAnsi="Arial" w:cs="Arial"/>
          <w:b/>
          <w:sz w:val="18"/>
          <w:szCs w:val="18"/>
        </w:rPr>
        <w:t xml:space="preserve"> -</w:t>
      </w:r>
      <w:r w:rsidRPr="00246E05">
        <w:rPr>
          <w:rFonts w:ascii="Arial" w:hAnsi="Arial" w:cs="Arial"/>
          <w:b/>
          <w:sz w:val="18"/>
          <w:szCs w:val="18"/>
        </w:rPr>
        <w:t xml:space="preserve"> </w:t>
      </w:r>
      <w:r w:rsidR="008B7857" w:rsidRPr="00246E05">
        <w:rPr>
          <w:rFonts w:ascii="Arial" w:hAnsi="Arial" w:cs="Arial"/>
          <w:b/>
          <w:sz w:val="18"/>
          <w:szCs w:val="18"/>
        </w:rPr>
        <w:t>P</w:t>
      </w:r>
      <w:r w:rsidRPr="00246E05">
        <w:rPr>
          <w:rFonts w:ascii="Arial" w:hAnsi="Arial" w:cs="Arial"/>
          <w:b/>
          <w:sz w:val="18"/>
          <w:szCs w:val="18"/>
        </w:rPr>
        <w:t>otravin</w:t>
      </w:r>
      <w:r w:rsidR="008B7857" w:rsidRPr="00246E05">
        <w:rPr>
          <w:rFonts w:ascii="Arial" w:hAnsi="Arial" w:cs="Arial"/>
          <w:b/>
          <w:sz w:val="18"/>
          <w:szCs w:val="18"/>
        </w:rPr>
        <w:t>y</w:t>
      </w:r>
      <w:r w:rsidRPr="00246E05">
        <w:rPr>
          <w:rFonts w:ascii="Arial" w:hAnsi="Arial" w:cs="Arial"/>
          <w:b/>
          <w:sz w:val="18"/>
          <w:szCs w:val="18"/>
        </w:rPr>
        <w:t xml:space="preserve"> a živ</w:t>
      </w:r>
      <w:r w:rsidR="008B7857" w:rsidRPr="00246E05">
        <w:rPr>
          <w:rFonts w:ascii="Arial" w:hAnsi="Arial" w:cs="Arial"/>
          <w:b/>
          <w:sz w:val="18"/>
          <w:szCs w:val="18"/>
        </w:rPr>
        <w:t>á</w:t>
      </w:r>
      <w:r w:rsidRPr="00246E05">
        <w:rPr>
          <w:rFonts w:ascii="Arial" w:hAnsi="Arial" w:cs="Arial"/>
          <w:b/>
          <w:sz w:val="18"/>
          <w:szCs w:val="18"/>
        </w:rPr>
        <w:t xml:space="preserve"> zvířat</w:t>
      </w:r>
      <w:r w:rsidR="008B7857" w:rsidRPr="00246E05">
        <w:rPr>
          <w:rFonts w:ascii="Arial" w:hAnsi="Arial" w:cs="Arial"/>
          <w:b/>
          <w:sz w:val="18"/>
          <w:szCs w:val="18"/>
        </w:rPr>
        <w:t>a v obchodě</w:t>
      </w:r>
      <w:r w:rsidRPr="00246E05">
        <w:rPr>
          <w:rFonts w:ascii="Arial" w:hAnsi="Arial" w:cs="Arial"/>
          <w:b/>
          <w:sz w:val="18"/>
          <w:szCs w:val="18"/>
        </w:rPr>
        <w:t xml:space="preserve"> s vybranými státy v roce 201</w:t>
      </w:r>
      <w:r w:rsidR="00273816" w:rsidRPr="00246E05">
        <w:rPr>
          <w:rFonts w:ascii="Arial" w:hAnsi="Arial" w:cs="Arial"/>
          <w:b/>
          <w:sz w:val="18"/>
          <w:szCs w:val="18"/>
        </w:rPr>
        <w:t>6</w:t>
      </w:r>
      <w:r w:rsidR="008B7857" w:rsidRPr="00246E05">
        <w:rPr>
          <w:rFonts w:ascii="Arial" w:hAnsi="Arial" w:cs="Arial"/>
          <w:b/>
          <w:sz w:val="18"/>
          <w:szCs w:val="18"/>
        </w:rPr>
        <w:t xml:space="preserve"> (</w:t>
      </w:r>
      <w:r w:rsidRPr="00246E05">
        <w:rPr>
          <w:rFonts w:ascii="Arial" w:hAnsi="Arial" w:cs="Arial"/>
          <w:b/>
          <w:sz w:val="18"/>
          <w:szCs w:val="18"/>
        </w:rPr>
        <w:t>v mld. Kč</w:t>
      </w:r>
      <w:r w:rsidR="008B7857" w:rsidRPr="00246E05">
        <w:rPr>
          <w:rFonts w:ascii="Arial" w:hAnsi="Arial" w:cs="Arial"/>
          <w:b/>
          <w:sz w:val="18"/>
          <w:szCs w:val="18"/>
        </w:rPr>
        <w:t>)</w:t>
      </w:r>
    </w:p>
    <w:p w:rsidR="009A7B8F" w:rsidRPr="000568E8" w:rsidRDefault="005E2C18" w:rsidP="009A7B8F">
      <w:pPr>
        <w:spacing w:after="120"/>
        <w:jc w:val="both"/>
        <w:rPr>
          <w:rFonts w:ascii="Arial" w:hAnsi="Arial" w:cs="Arial"/>
          <w:color w:val="FF0000"/>
          <w:sz w:val="18"/>
          <w:szCs w:val="18"/>
        </w:rPr>
      </w:pPr>
      <w:r>
        <w:rPr>
          <w:rFonts w:ascii="Arial" w:hAnsi="Arial" w:cs="Arial"/>
          <w:noProof/>
          <w:color w:val="FF0000"/>
          <w:sz w:val="18"/>
          <w:szCs w:val="18"/>
          <w:lang w:eastAsia="cs-CZ"/>
        </w:rPr>
        <w:pict>
          <v:shape id="_x0000_i1047" type="#_x0000_t75" style="width:478.5pt;height:212.25pt">
            <v:imagedata r:id="rId31" o:title=""/>
          </v:shape>
        </w:pict>
      </w:r>
    </w:p>
    <w:p w:rsidR="004F24CA" w:rsidRPr="00B86A22" w:rsidRDefault="004F24CA" w:rsidP="00A11BA6">
      <w:pPr>
        <w:spacing w:before="240" w:after="120"/>
        <w:jc w:val="both"/>
        <w:rPr>
          <w:rFonts w:ascii="Arial" w:hAnsi="Arial" w:cs="Arial"/>
          <w:sz w:val="18"/>
          <w:szCs w:val="18"/>
        </w:rPr>
      </w:pPr>
      <w:r w:rsidRPr="00B86A22">
        <w:rPr>
          <w:rFonts w:ascii="Arial" w:hAnsi="Arial" w:cs="Arial"/>
          <w:sz w:val="18"/>
          <w:szCs w:val="18"/>
        </w:rPr>
        <w:t>V roce 201</w:t>
      </w:r>
      <w:r w:rsidR="00B86A22" w:rsidRPr="00B86A22">
        <w:rPr>
          <w:rFonts w:ascii="Arial" w:hAnsi="Arial" w:cs="Arial"/>
          <w:sz w:val="18"/>
          <w:szCs w:val="18"/>
        </w:rPr>
        <w:t>6</w:t>
      </w:r>
      <w:r w:rsidRPr="00B86A22">
        <w:rPr>
          <w:rFonts w:ascii="Arial" w:hAnsi="Arial" w:cs="Arial"/>
          <w:sz w:val="18"/>
          <w:szCs w:val="18"/>
        </w:rPr>
        <w:t xml:space="preserve"> se dále prohloubil meziroční pokles českého dovozu minerálních paliv o </w:t>
      </w:r>
      <w:r w:rsidR="00B86A22">
        <w:rPr>
          <w:rFonts w:ascii="Arial" w:hAnsi="Arial" w:cs="Arial"/>
          <w:sz w:val="18"/>
          <w:szCs w:val="18"/>
        </w:rPr>
        <w:t>53,1</w:t>
      </w:r>
      <w:r w:rsidRPr="00B86A22">
        <w:rPr>
          <w:rFonts w:ascii="Arial" w:hAnsi="Arial" w:cs="Arial"/>
          <w:sz w:val="18"/>
          <w:szCs w:val="18"/>
        </w:rPr>
        <w:t xml:space="preserve"> mld. Kč (</w:t>
      </w:r>
      <w:r w:rsidR="00C1759C">
        <w:rPr>
          <w:rFonts w:ascii="Arial" w:hAnsi="Arial" w:cs="Arial"/>
          <w:sz w:val="18"/>
          <w:szCs w:val="18"/>
        </w:rPr>
        <w:t>například</w:t>
      </w:r>
      <w:r w:rsidRPr="00B86A22">
        <w:rPr>
          <w:rFonts w:ascii="Arial" w:hAnsi="Arial" w:cs="Arial"/>
          <w:sz w:val="18"/>
          <w:szCs w:val="18"/>
        </w:rPr>
        <w:t xml:space="preserve"> </w:t>
      </w:r>
      <w:r w:rsidR="00543333" w:rsidRPr="00B86A22">
        <w:rPr>
          <w:rFonts w:ascii="Arial" w:hAnsi="Arial" w:cs="Arial"/>
          <w:sz w:val="18"/>
          <w:szCs w:val="18"/>
        </w:rPr>
        <w:t>z</w:t>
      </w:r>
      <w:r w:rsidRPr="00B86A22">
        <w:rPr>
          <w:rFonts w:ascii="Arial" w:hAnsi="Arial" w:cs="Arial"/>
          <w:sz w:val="18"/>
          <w:szCs w:val="18"/>
        </w:rPr>
        <w:t xml:space="preserve"> Ruské</w:t>
      </w:r>
      <w:r w:rsidRPr="000568E8">
        <w:rPr>
          <w:rFonts w:ascii="Arial" w:hAnsi="Arial" w:cs="Arial"/>
          <w:color w:val="FF0000"/>
          <w:sz w:val="18"/>
          <w:szCs w:val="18"/>
        </w:rPr>
        <w:t xml:space="preserve"> </w:t>
      </w:r>
      <w:r w:rsidRPr="00B86A22">
        <w:rPr>
          <w:rFonts w:ascii="Arial" w:hAnsi="Arial" w:cs="Arial"/>
          <w:sz w:val="18"/>
          <w:szCs w:val="18"/>
        </w:rPr>
        <w:t xml:space="preserve">federace o </w:t>
      </w:r>
      <w:r w:rsidR="00B86A22" w:rsidRPr="00B86A22">
        <w:rPr>
          <w:rFonts w:ascii="Arial" w:hAnsi="Arial" w:cs="Arial"/>
          <w:sz w:val="18"/>
          <w:szCs w:val="18"/>
        </w:rPr>
        <w:t>19,2</w:t>
      </w:r>
      <w:r w:rsidRPr="00B86A22">
        <w:rPr>
          <w:rFonts w:ascii="Arial" w:hAnsi="Arial" w:cs="Arial"/>
          <w:sz w:val="18"/>
          <w:szCs w:val="18"/>
        </w:rPr>
        <w:t xml:space="preserve"> mld. Kč, </w:t>
      </w:r>
      <w:r w:rsidR="00B86A22">
        <w:rPr>
          <w:rFonts w:ascii="Arial" w:hAnsi="Arial" w:cs="Arial"/>
          <w:sz w:val="18"/>
          <w:szCs w:val="18"/>
        </w:rPr>
        <w:t xml:space="preserve">Německa o 17,3 mld. Kč, </w:t>
      </w:r>
      <w:r w:rsidR="00EE2983" w:rsidRPr="00B86A22">
        <w:rPr>
          <w:rFonts w:ascii="Arial" w:hAnsi="Arial" w:cs="Arial"/>
          <w:sz w:val="18"/>
          <w:szCs w:val="18"/>
        </w:rPr>
        <w:t>Á</w:t>
      </w:r>
      <w:r w:rsidRPr="00B86A22">
        <w:rPr>
          <w:rFonts w:ascii="Arial" w:hAnsi="Arial" w:cs="Arial"/>
          <w:sz w:val="18"/>
          <w:szCs w:val="18"/>
        </w:rPr>
        <w:t>zerb</w:t>
      </w:r>
      <w:r w:rsidR="00EE2983" w:rsidRPr="00B86A22">
        <w:rPr>
          <w:rFonts w:ascii="Arial" w:hAnsi="Arial" w:cs="Arial"/>
          <w:sz w:val="18"/>
          <w:szCs w:val="18"/>
        </w:rPr>
        <w:t>á</w:t>
      </w:r>
      <w:r w:rsidRPr="00B86A22">
        <w:rPr>
          <w:rFonts w:ascii="Arial" w:hAnsi="Arial" w:cs="Arial"/>
          <w:sz w:val="18"/>
          <w:szCs w:val="18"/>
        </w:rPr>
        <w:t xml:space="preserve">jdžánu o </w:t>
      </w:r>
      <w:r w:rsidR="00B86A22" w:rsidRPr="00B86A22">
        <w:rPr>
          <w:rFonts w:ascii="Arial" w:hAnsi="Arial" w:cs="Arial"/>
          <w:sz w:val="18"/>
          <w:szCs w:val="18"/>
        </w:rPr>
        <w:t>14,0</w:t>
      </w:r>
      <w:r w:rsidRPr="00B86A22">
        <w:rPr>
          <w:rFonts w:ascii="Arial" w:hAnsi="Arial" w:cs="Arial"/>
          <w:sz w:val="18"/>
          <w:szCs w:val="18"/>
        </w:rPr>
        <w:t xml:space="preserve"> mld. Kč</w:t>
      </w:r>
      <w:r w:rsidR="00EE2983" w:rsidRPr="00B86A22">
        <w:rPr>
          <w:rFonts w:ascii="Arial" w:hAnsi="Arial" w:cs="Arial"/>
          <w:sz w:val="18"/>
          <w:szCs w:val="18"/>
        </w:rPr>
        <w:t xml:space="preserve"> </w:t>
      </w:r>
      <w:r w:rsidRPr="00B86A22">
        <w:rPr>
          <w:rFonts w:ascii="Arial" w:hAnsi="Arial" w:cs="Arial"/>
          <w:sz w:val="18"/>
          <w:szCs w:val="18"/>
        </w:rPr>
        <w:t xml:space="preserve">a </w:t>
      </w:r>
      <w:r w:rsidR="00543333" w:rsidRPr="00B86A22">
        <w:rPr>
          <w:rFonts w:ascii="Arial" w:hAnsi="Arial" w:cs="Arial"/>
          <w:sz w:val="18"/>
          <w:szCs w:val="18"/>
        </w:rPr>
        <w:t>z</w:t>
      </w:r>
      <w:r w:rsidRPr="00B86A22">
        <w:rPr>
          <w:rFonts w:ascii="Arial" w:hAnsi="Arial" w:cs="Arial"/>
          <w:sz w:val="18"/>
          <w:szCs w:val="18"/>
        </w:rPr>
        <w:t xml:space="preserve"> Kazachstánu o 5,</w:t>
      </w:r>
      <w:r w:rsidR="00B86A22" w:rsidRPr="00B86A22">
        <w:rPr>
          <w:rFonts w:ascii="Arial" w:hAnsi="Arial" w:cs="Arial"/>
          <w:sz w:val="18"/>
          <w:szCs w:val="18"/>
        </w:rPr>
        <w:t>9</w:t>
      </w:r>
      <w:r w:rsidRPr="00B86A22">
        <w:rPr>
          <w:rFonts w:ascii="Arial" w:hAnsi="Arial" w:cs="Arial"/>
          <w:sz w:val="18"/>
          <w:szCs w:val="18"/>
        </w:rPr>
        <w:t xml:space="preserve"> mld. Kč) po</w:t>
      </w:r>
      <w:r w:rsidR="00EE2983" w:rsidRPr="00B86A22">
        <w:rPr>
          <w:rFonts w:ascii="Arial" w:hAnsi="Arial" w:cs="Arial"/>
          <w:sz w:val="18"/>
          <w:szCs w:val="18"/>
        </w:rPr>
        <w:t> </w:t>
      </w:r>
      <w:r w:rsidRPr="00B86A22">
        <w:rPr>
          <w:rFonts w:ascii="Arial" w:hAnsi="Arial" w:cs="Arial"/>
          <w:sz w:val="18"/>
          <w:szCs w:val="18"/>
        </w:rPr>
        <w:t xml:space="preserve">propadu o </w:t>
      </w:r>
      <w:r w:rsidR="00B86A22" w:rsidRPr="00B86A22">
        <w:rPr>
          <w:rFonts w:ascii="Arial" w:hAnsi="Arial" w:cs="Arial"/>
          <w:sz w:val="18"/>
          <w:szCs w:val="18"/>
        </w:rPr>
        <w:t>41,2</w:t>
      </w:r>
      <w:r w:rsidRPr="00B86A22">
        <w:rPr>
          <w:rFonts w:ascii="Arial" w:hAnsi="Arial" w:cs="Arial"/>
          <w:sz w:val="18"/>
          <w:szCs w:val="18"/>
        </w:rPr>
        <w:t xml:space="preserve"> mld. Kč</w:t>
      </w:r>
      <w:r w:rsidR="00CB1F98" w:rsidRPr="00B86A22">
        <w:rPr>
          <w:rFonts w:ascii="Arial" w:hAnsi="Arial" w:cs="Arial"/>
          <w:sz w:val="18"/>
          <w:szCs w:val="18"/>
        </w:rPr>
        <w:t xml:space="preserve"> v roce 201</w:t>
      </w:r>
      <w:r w:rsidR="00B86A22" w:rsidRPr="00B86A22">
        <w:rPr>
          <w:rFonts w:ascii="Arial" w:hAnsi="Arial" w:cs="Arial"/>
          <w:sz w:val="18"/>
          <w:szCs w:val="18"/>
        </w:rPr>
        <w:t>5</w:t>
      </w:r>
      <w:r w:rsidRPr="00B86A22">
        <w:rPr>
          <w:rFonts w:ascii="Arial" w:hAnsi="Arial" w:cs="Arial"/>
          <w:sz w:val="18"/>
          <w:szCs w:val="18"/>
        </w:rPr>
        <w:t>.</w:t>
      </w:r>
      <w:r w:rsidR="00B86A22">
        <w:rPr>
          <w:rFonts w:ascii="Arial" w:hAnsi="Arial" w:cs="Arial"/>
          <w:sz w:val="18"/>
          <w:szCs w:val="18"/>
        </w:rPr>
        <w:t xml:space="preserve"> Dovoz z Norska naopak vzrostl o 2,6 mld. Kč.</w:t>
      </w:r>
    </w:p>
    <w:p w:rsidR="00B16E97" w:rsidRPr="00B86A22" w:rsidRDefault="00B16E97" w:rsidP="00A11BA6">
      <w:pPr>
        <w:spacing w:after="240"/>
        <w:jc w:val="both"/>
        <w:rPr>
          <w:rFonts w:ascii="Arial" w:hAnsi="Arial" w:cs="Arial"/>
          <w:sz w:val="18"/>
          <w:szCs w:val="18"/>
        </w:rPr>
      </w:pPr>
      <w:r w:rsidRPr="00B86A22">
        <w:rPr>
          <w:rFonts w:ascii="Arial" w:hAnsi="Arial" w:cs="Arial"/>
          <w:sz w:val="18"/>
          <w:szCs w:val="18"/>
        </w:rPr>
        <w:t>Procentní zastoupení jednotlivých zbožových skupin SITC obchodu se státy EU je na vývoz</w:t>
      </w:r>
      <w:r w:rsidR="00B86A22">
        <w:rPr>
          <w:rFonts w:ascii="Arial" w:hAnsi="Arial" w:cs="Arial"/>
          <w:sz w:val="18"/>
          <w:szCs w:val="18"/>
        </w:rPr>
        <w:t>u</w:t>
      </w:r>
      <w:r w:rsidRPr="00B86A22">
        <w:rPr>
          <w:rFonts w:ascii="Arial" w:hAnsi="Arial" w:cs="Arial"/>
          <w:sz w:val="18"/>
          <w:szCs w:val="18"/>
        </w:rPr>
        <w:t xml:space="preserve"> i dovoz</w:t>
      </w:r>
      <w:r w:rsidR="00B86A22">
        <w:rPr>
          <w:rFonts w:ascii="Arial" w:hAnsi="Arial" w:cs="Arial"/>
          <w:sz w:val="18"/>
          <w:szCs w:val="18"/>
        </w:rPr>
        <w:t>u</w:t>
      </w:r>
      <w:r w:rsidRPr="00B86A22">
        <w:rPr>
          <w:rFonts w:ascii="Arial" w:hAnsi="Arial" w:cs="Arial"/>
          <w:sz w:val="18"/>
          <w:szCs w:val="18"/>
        </w:rPr>
        <w:t xml:space="preserve"> téměř shodné s rozložením celkového obchodu. Jediný výrazný rozdíl je patrný u dovozu minerálních paliv, který je z velké části určován dodávkami ruského plynu a ropy.</w:t>
      </w:r>
    </w:p>
    <w:p w:rsidR="00B16E97" w:rsidRPr="00821057" w:rsidRDefault="00B16E97" w:rsidP="00A11BA6">
      <w:pPr>
        <w:spacing w:after="80"/>
        <w:jc w:val="both"/>
        <w:rPr>
          <w:rFonts w:ascii="Arial" w:hAnsi="Arial" w:cs="Arial"/>
          <w:b/>
          <w:sz w:val="18"/>
          <w:szCs w:val="18"/>
        </w:rPr>
      </w:pPr>
      <w:r w:rsidRPr="00821057">
        <w:rPr>
          <w:rFonts w:ascii="Arial" w:hAnsi="Arial" w:cs="Arial"/>
          <w:b/>
          <w:sz w:val="18"/>
          <w:szCs w:val="18"/>
        </w:rPr>
        <w:t xml:space="preserve">Graf </w:t>
      </w:r>
      <w:r w:rsidR="00386472" w:rsidRPr="00821057">
        <w:rPr>
          <w:rFonts w:ascii="Arial" w:hAnsi="Arial" w:cs="Arial"/>
          <w:b/>
          <w:sz w:val="18"/>
          <w:szCs w:val="18"/>
        </w:rPr>
        <w:t>1</w:t>
      </w:r>
      <w:r w:rsidR="00215FA5" w:rsidRPr="00821057">
        <w:rPr>
          <w:rFonts w:ascii="Arial" w:hAnsi="Arial" w:cs="Arial"/>
          <w:b/>
          <w:sz w:val="18"/>
          <w:szCs w:val="18"/>
        </w:rPr>
        <w:t>8</w:t>
      </w:r>
      <w:r w:rsidR="00135680" w:rsidRPr="00821057">
        <w:rPr>
          <w:rFonts w:ascii="Arial" w:hAnsi="Arial" w:cs="Arial"/>
          <w:b/>
          <w:sz w:val="18"/>
          <w:szCs w:val="18"/>
        </w:rPr>
        <w:t xml:space="preserve"> -</w:t>
      </w:r>
      <w:r w:rsidRPr="00821057">
        <w:rPr>
          <w:rFonts w:ascii="Arial" w:hAnsi="Arial" w:cs="Arial"/>
          <w:b/>
          <w:sz w:val="18"/>
          <w:szCs w:val="18"/>
        </w:rPr>
        <w:t xml:space="preserve"> Dovoz minerálních paliv ze států EU a mimo EU    </w:t>
      </w:r>
    </w:p>
    <w:p w:rsidR="00B16E97" w:rsidRPr="000568E8" w:rsidRDefault="005E2C18" w:rsidP="00B16E97">
      <w:pPr>
        <w:spacing w:after="80"/>
        <w:jc w:val="both"/>
        <w:rPr>
          <w:rFonts w:ascii="Arial" w:hAnsi="Arial" w:cs="Arial"/>
          <w:b/>
          <w:color w:val="FF0000"/>
          <w:sz w:val="18"/>
          <w:szCs w:val="18"/>
        </w:rPr>
      </w:pPr>
      <w:r>
        <w:rPr>
          <w:rFonts w:ascii="Arial" w:hAnsi="Arial" w:cs="Arial"/>
          <w:b/>
          <w:noProof/>
          <w:sz w:val="18"/>
          <w:szCs w:val="18"/>
          <w:lang w:eastAsia="cs-CZ"/>
        </w:rPr>
        <w:pict>
          <v:shape id="_x0000_i1048" type="#_x0000_t75" style="width:481.5pt;height:150pt">
            <v:imagedata r:id="rId32" o:title=""/>
          </v:shape>
        </w:pict>
      </w:r>
    </w:p>
    <w:p w:rsidR="00BA7845" w:rsidRPr="00110587" w:rsidRDefault="00BA7845" w:rsidP="00BA7845">
      <w:pPr>
        <w:numPr>
          <w:ilvl w:val="1"/>
          <w:numId w:val="1"/>
        </w:numPr>
        <w:spacing w:after="120"/>
        <w:ind w:left="426"/>
        <w:rPr>
          <w:rFonts w:ascii="Arial" w:hAnsi="Arial" w:cs="Arial"/>
          <w:b/>
          <w:sz w:val="21"/>
          <w:szCs w:val="21"/>
        </w:rPr>
      </w:pPr>
      <w:r w:rsidRPr="00110587">
        <w:rPr>
          <w:rFonts w:ascii="Arial" w:hAnsi="Arial" w:cs="Arial"/>
          <w:b/>
          <w:sz w:val="21"/>
          <w:szCs w:val="21"/>
        </w:rPr>
        <w:lastRenderedPageBreak/>
        <w:t>Zahraniční obchod se silničními vozidly</w:t>
      </w:r>
      <w:r w:rsidR="00745050" w:rsidRPr="00110587">
        <w:rPr>
          <w:rFonts w:ascii="Arial" w:hAnsi="Arial" w:cs="Arial"/>
          <w:b/>
          <w:sz w:val="21"/>
          <w:szCs w:val="21"/>
        </w:rPr>
        <w:t xml:space="preserve"> (SITC 78)</w:t>
      </w:r>
    </w:p>
    <w:p w:rsidR="002D7F28" w:rsidRPr="00B00C4C" w:rsidRDefault="00BA7845" w:rsidP="00A11BA6">
      <w:pPr>
        <w:pStyle w:val="Zkladntext"/>
        <w:spacing w:after="200" w:line="276" w:lineRule="auto"/>
        <w:rPr>
          <w:sz w:val="18"/>
          <w:szCs w:val="20"/>
        </w:rPr>
      </w:pPr>
      <w:r w:rsidRPr="00110587">
        <w:rPr>
          <w:b/>
          <w:bCs/>
          <w:sz w:val="18"/>
          <w:szCs w:val="20"/>
        </w:rPr>
        <w:t xml:space="preserve">Hlavní položkou vývozu </w:t>
      </w:r>
      <w:r w:rsidR="0040123B" w:rsidRPr="00110587">
        <w:rPr>
          <w:b/>
          <w:bCs/>
          <w:sz w:val="18"/>
          <w:szCs w:val="20"/>
        </w:rPr>
        <w:t>České republiky</w:t>
      </w:r>
      <w:r w:rsidRPr="00110587">
        <w:rPr>
          <w:sz w:val="18"/>
          <w:szCs w:val="20"/>
        </w:rPr>
        <w:t xml:space="preserve"> v roce 201</w:t>
      </w:r>
      <w:r w:rsidR="00CD1E42">
        <w:rPr>
          <w:sz w:val="18"/>
          <w:szCs w:val="20"/>
        </w:rPr>
        <w:t>6</w:t>
      </w:r>
      <w:r w:rsidRPr="00110587">
        <w:rPr>
          <w:sz w:val="18"/>
          <w:szCs w:val="20"/>
        </w:rPr>
        <w:t xml:space="preserve"> byla i nadále </w:t>
      </w:r>
      <w:r w:rsidRPr="00110587">
        <w:rPr>
          <w:b/>
          <w:bCs/>
          <w:sz w:val="18"/>
          <w:szCs w:val="20"/>
        </w:rPr>
        <w:t>silniční vozidla</w:t>
      </w:r>
      <w:r w:rsidRPr="00110587">
        <w:rPr>
          <w:sz w:val="18"/>
          <w:szCs w:val="20"/>
        </w:rPr>
        <w:t xml:space="preserve"> (SITC 78)</w:t>
      </w:r>
      <w:r w:rsidR="001D1E4A">
        <w:rPr>
          <w:rStyle w:val="Znakapoznpodarou"/>
          <w:sz w:val="18"/>
          <w:szCs w:val="20"/>
        </w:rPr>
        <w:footnoteReference w:id="10"/>
      </w:r>
      <w:r w:rsidR="0040123B" w:rsidRPr="00110587">
        <w:rPr>
          <w:sz w:val="18"/>
          <w:szCs w:val="20"/>
        </w:rPr>
        <w:t>,</w:t>
      </w:r>
      <w:r w:rsidRPr="00110587">
        <w:rPr>
          <w:sz w:val="18"/>
          <w:szCs w:val="20"/>
        </w:rPr>
        <w:t xml:space="preserve"> z nich pak </w:t>
      </w:r>
      <w:r w:rsidRPr="00110587">
        <w:rPr>
          <w:b/>
          <w:bCs/>
          <w:sz w:val="18"/>
          <w:szCs w:val="20"/>
        </w:rPr>
        <w:t xml:space="preserve">osobní automobily </w:t>
      </w:r>
      <w:r w:rsidRPr="00110587">
        <w:rPr>
          <w:sz w:val="18"/>
          <w:szCs w:val="20"/>
        </w:rPr>
        <w:t xml:space="preserve">(SITC 781) a </w:t>
      </w:r>
      <w:r w:rsidRPr="00110587">
        <w:rPr>
          <w:b/>
          <w:bCs/>
          <w:sz w:val="18"/>
          <w:szCs w:val="20"/>
        </w:rPr>
        <w:t xml:space="preserve">díly a </w:t>
      </w:r>
      <w:r w:rsidRPr="00A2213C">
        <w:rPr>
          <w:b/>
          <w:bCs/>
          <w:sz w:val="18"/>
          <w:szCs w:val="20"/>
        </w:rPr>
        <w:t>příslušenství motorových vozidel</w:t>
      </w:r>
      <w:r w:rsidRPr="00A2213C">
        <w:rPr>
          <w:sz w:val="18"/>
          <w:szCs w:val="20"/>
        </w:rPr>
        <w:t xml:space="preserve"> (SITC 784). </w:t>
      </w:r>
      <w:r w:rsidR="0040123B" w:rsidRPr="00A2213C">
        <w:rPr>
          <w:sz w:val="18"/>
          <w:szCs w:val="20"/>
        </w:rPr>
        <w:t>Vývoz</w:t>
      </w:r>
      <w:r w:rsidRPr="00A2213C">
        <w:rPr>
          <w:sz w:val="18"/>
          <w:szCs w:val="20"/>
        </w:rPr>
        <w:t> silniční</w:t>
      </w:r>
      <w:r w:rsidR="0040123B" w:rsidRPr="00A2213C">
        <w:rPr>
          <w:sz w:val="18"/>
          <w:szCs w:val="20"/>
        </w:rPr>
        <w:t>ch</w:t>
      </w:r>
      <w:r w:rsidRPr="00A2213C">
        <w:rPr>
          <w:sz w:val="18"/>
          <w:szCs w:val="20"/>
        </w:rPr>
        <w:t xml:space="preserve"> vozid</w:t>
      </w:r>
      <w:r w:rsidR="0040123B" w:rsidRPr="00A2213C">
        <w:rPr>
          <w:sz w:val="18"/>
          <w:szCs w:val="20"/>
        </w:rPr>
        <w:t>el</w:t>
      </w:r>
      <w:r w:rsidRPr="00A2213C">
        <w:rPr>
          <w:sz w:val="18"/>
          <w:szCs w:val="20"/>
        </w:rPr>
        <w:t xml:space="preserve"> byl ze všech oddíl</w:t>
      </w:r>
      <w:r w:rsidR="001871D5" w:rsidRPr="00A2213C">
        <w:rPr>
          <w:sz w:val="18"/>
          <w:szCs w:val="20"/>
        </w:rPr>
        <w:t>ů</w:t>
      </w:r>
      <w:r w:rsidRPr="00A2213C">
        <w:rPr>
          <w:sz w:val="18"/>
          <w:szCs w:val="20"/>
        </w:rPr>
        <w:t xml:space="preserve"> SITC </w:t>
      </w:r>
      <w:r w:rsidR="00EA6EDE" w:rsidRPr="00A2213C">
        <w:rPr>
          <w:sz w:val="18"/>
          <w:szCs w:val="20"/>
        </w:rPr>
        <w:t>nadále</w:t>
      </w:r>
      <w:r w:rsidRPr="00A2213C">
        <w:rPr>
          <w:sz w:val="18"/>
          <w:szCs w:val="20"/>
        </w:rPr>
        <w:t xml:space="preserve"> </w:t>
      </w:r>
      <w:r w:rsidR="00070A12" w:rsidRPr="00A2213C">
        <w:rPr>
          <w:sz w:val="18"/>
          <w:szCs w:val="20"/>
        </w:rPr>
        <w:t xml:space="preserve">nejdominantnější </w:t>
      </w:r>
      <w:r w:rsidRPr="00A2213C">
        <w:rPr>
          <w:sz w:val="18"/>
          <w:szCs w:val="20"/>
        </w:rPr>
        <w:t>(</w:t>
      </w:r>
      <w:r w:rsidR="00A2213C" w:rsidRPr="00A2213C">
        <w:rPr>
          <w:sz w:val="18"/>
          <w:szCs w:val="20"/>
        </w:rPr>
        <w:t>833,7</w:t>
      </w:r>
      <w:r w:rsidRPr="00A2213C">
        <w:rPr>
          <w:sz w:val="18"/>
          <w:szCs w:val="20"/>
        </w:rPr>
        <w:t xml:space="preserve"> mld. Kč) a</w:t>
      </w:r>
      <w:r w:rsidR="00A2213C">
        <w:rPr>
          <w:sz w:val="18"/>
          <w:szCs w:val="20"/>
        </w:rPr>
        <w:t xml:space="preserve"> </w:t>
      </w:r>
      <w:r w:rsidRPr="00A2213C">
        <w:rPr>
          <w:sz w:val="18"/>
          <w:szCs w:val="20"/>
        </w:rPr>
        <w:t>meziročně o</w:t>
      </w:r>
      <w:r w:rsidR="00A2213C" w:rsidRPr="00A2213C">
        <w:rPr>
          <w:sz w:val="18"/>
          <w:szCs w:val="20"/>
        </w:rPr>
        <w:t xml:space="preserve"> 63,0 </w:t>
      </w:r>
      <w:r w:rsidRPr="00A2213C">
        <w:rPr>
          <w:sz w:val="18"/>
          <w:szCs w:val="20"/>
        </w:rPr>
        <w:t xml:space="preserve">mld. Kč vyšší. </w:t>
      </w:r>
      <w:r w:rsidRPr="00B00C4C">
        <w:rPr>
          <w:sz w:val="18"/>
          <w:szCs w:val="20"/>
        </w:rPr>
        <w:t>Převážná jeho část (</w:t>
      </w:r>
      <w:r w:rsidR="00A2213C" w:rsidRPr="00B00C4C">
        <w:rPr>
          <w:sz w:val="18"/>
          <w:szCs w:val="20"/>
        </w:rPr>
        <w:t>714,4</w:t>
      </w:r>
      <w:r w:rsidR="00351A8F" w:rsidRPr="00B00C4C">
        <w:rPr>
          <w:sz w:val="18"/>
          <w:szCs w:val="20"/>
        </w:rPr>
        <w:t> mld. </w:t>
      </w:r>
      <w:r w:rsidRPr="00B00C4C">
        <w:rPr>
          <w:sz w:val="18"/>
          <w:szCs w:val="20"/>
        </w:rPr>
        <w:t xml:space="preserve">Kč), která se meziročně zvýšila o </w:t>
      </w:r>
      <w:r w:rsidR="00A2213C" w:rsidRPr="00B00C4C">
        <w:rPr>
          <w:sz w:val="18"/>
          <w:szCs w:val="20"/>
        </w:rPr>
        <w:t>57,2</w:t>
      </w:r>
      <w:r w:rsidRPr="00B00C4C">
        <w:rPr>
          <w:sz w:val="18"/>
          <w:szCs w:val="20"/>
        </w:rPr>
        <w:t xml:space="preserve"> mld. Kč, připadla na obchod se státy E</w:t>
      </w:r>
      <w:r w:rsidR="00215FA5">
        <w:rPr>
          <w:sz w:val="18"/>
          <w:szCs w:val="20"/>
        </w:rPr>
        <w:t xml:space="preserve">vropské unie a </w:t>
      </w:r>
      <w:r w:rsidR="00BD2F5D">
        <w:rPr>
          <w:sz w:val="18"/>
          <w:szCs w:val="20"/>
        </w:rPr>
        <w:t xml:space="preserve">z toho </w:t>
      </w:r>
      <w:r w:rsidR="00215FA5">
        <w:rPr>
          <w:sz w:val="18"/>
          <w:szCs w:val="20"/>
        </w:rPr>
        <w:t>jedna třetina na </w:t>
      </w:r>
      <w:r w:rsidRPr="00B00C4C">
        <w:rPr>
          <w:sz w:val="18"/>
          <w:szCs w:val="20"/>
        </w:rPr>
        <w:t>obchod s</w:t>
      </w:r>
      <w:r w:rsidR="00592252" w:rsidRPr="00B00C4C">
        <w:rPr>
          <w:sz w:val="18"/>
          <w:szCs w:val="20"/>
        </w:rPr>
        <w:t> </w:t>
      </w:r>
      <w:r w:rsidRPr="00B00C4C">
        <w:rPr>
          <w:sz w:val="18"/>
          <w:szCs w:val="20"/>
        </w:rPr>
        <w:t>Německem</w:t>
      </w:r>
      <w:r w:rsidR="00592252" w:rsidRPr="00B00C4C">
        <w:rPr>
          <w:sz w:val="18"/>
          <w:szCs w:val="20"/>
        </w:rPr>
        <w:t>.</w:t>
      </w:r>
    </w:p>
    <w:p w:rsidR="0040123B" w:rsidRPr="00D614CD" w:rsidRDefault="0040123B" w:rsidP="0040123B">
      <w:pPr>
        <w:spacing w:after="80"/>
        <w:jc w:val="both"/>
        <w:rPr>
          <w:rFonts w:ascii="Arial" w:hAnsi="Arial" w:cs="Arial"/>
          <w:b/>
          <w:sz w:val="18"/>
          <w:szCs w:val="18"/>
        </w:rPr>
      </w:pPr>
      <w:r w:rsidRPr="00D614CD">
        <w:rPr>
          <w:rFonts w:ascii="Arial" w:hAnsi="Arial" w:cs="Arial"/>
          <w:b/>
          <w:sz w:val="18"/>
          <w:szCs w:val="18"/>
        </w:rPr>
        <w:t xml:space="preserve">Graf </w:t>
      </w:r>
      <w:r w:rsidR="00215FA5">
        <w:rPr>
          <w:rFonts w:ascii="Arial" w:hAnsi="Arial" w:cs="Arial"/>
          <w:b/>
          <w:sz w:val="18"/>
          <w:szCs w:val="18"/>
        </w:rPr>
        <w:t>19</w:t>
      </w:r>
      <w:r w:rsidRPr="00D614CD">
        <w:rPr>
          <w:rFonts w:ascii="Arial" w:hAnsi="Arial" w:cs="Arial"/>
          <w:b/>
          <w:sz w:val="18"/>
          <w:szCs w:val="18"/>
        </w:rPr>
        <w:t xml:space="preserve"> – Vývoz a dovoz silničních vozidel </w:t>
      </w:r>
      <w:r w:rsidR="00821057">
        <w:rPr>
          <w:rFonts w:ascii="Arial" w:hAnsi="Arial" w:cs="Arial"/>
          <w:b/>
          <w:sz w:val="18"/>
          <w:szCs w:val="18"/>
        </w:rPr>
        <w:t>s</w:t>
      </w:r>
      <w:r w:rsidR="008B7857" w:rsidRPr="00D614CD">
        <w:rPr>
          <w:rFonts w:ascii="Arial" w:hAnsi="Arial" w:cs="Arial"/>
          <w:b/>
          <w:sz w:val="18"/>
          <w:szCs w:val="18"/>
        </w:rPr>
        <w:t xml:space="preserve"> </w:t>
      </w:r>
      <w:r w:rsidRPr="00D614CD">
        <w:rPr>
          <w:rFonts w:ascii="Arial" w:hAnsi="Arial" w:cs="Arial"/>
          <w:b/>
          <w:sz w:val="18"/>
          <w:szCs w:val="18"/>
        </w:rPr>
        <w:t>vybraný</w:t>
      </w:r>
      <w:r w:rsidR="00821057">
        <w:rPr>
          <w:rFonts w:ascii="Arial" w:hAnsi="Arial" w:cs="Arial"/>
          <w:b/>
          <w:sz w:val="18"/>
          <w:szCs w:val="18"/>
        </w:rPr>
        <w:t>mi</w:t>
      </w:r>
      <w:r w:rsidRPr="00D614CD">
        <w:rPr>
          <w:rFonts w:ascii="Arial" w:hAnsi="Arial" w:cs="Arial"/>
          <w:b/>
          <w:sz w:val="18"/>
          <w:szCs w:val="18"/>
        </w:rPr>
        <w:t xml:space="preserve"> stát</w:t>
      </w:r>
      <w:r w:rsidR="00821057">
        <w:rPr>
          <w:rFonts w:ascii="Arial" w:hAnsi="Arial" w:cs="Arial"/>
          <w:b/>
          <w:sz w:val="18"/>
          <w:szCs w:val="18"/>
        </w:rPr>
        <w:t>y</w:t>
      </w:r>
      <w:r w:rsidRPr="00D614CD">
        <w:rPr>
          <w:rFonts w:ascii="Arial" w:hAnsi="Arial" w:cs="Arial"/>
          <w:b/>
          <w:sz w:val="18"/>
          <w:szCs w:val="18"/>
        </w:rPr>
        <w:t xml:space="preserve"> v roce 201</w:t>
      </w:r>
      <w:r w:rsidR="00D614CD">
        <w:rPr>
          <w:rFonts w:ascii="Arial" w:hAnsi="Arial" w:cs="Arial"/>
          <w:b/>
          <w:sz w:val="18"/>
          <w:szCs w:val="18"/>
        </w:rPr>
        <w:t>6</w:t>
      </w:r>
      <w:r w:rsidRPr="00D614CD">
        <w:rPr>
          <w:rFonts w:ascii="Arial" w:hAnsi="Arial" w:cs="Arial"/>
          <w:b/>
          <w:sz w:val="18"/>
          <w:szCs w:val="18"/>
        </w:rPr>
        <w:t xml:space="preserve"> </w:t>
      </w:r>
      <w:r w:rsidR="00857BB6">
        <w:rPr>
          <w:rFonts w:ascii="Arial" w:hAnsi="Arial" w:cs="Arial"/>
          <w:b/>
          <w:sz w:val="18"/>
          <w:szCs w:val="18"/>
        </w:rPr>
        <w:t>(</w:t>
      </w:r>
      <w:r w:rsidRPr="00D614CD">
        <w:rPr>
          <w:rFonts w:ascii="Arial" w:hAnsi="Arial" w:cs="Arial"/>
          <w:b/>
          <w:sz w:val="18"/>
          <w:szCs w:val="18"/>
        </w:rPr>
        <w:t>v m</w:t>
      </w:r>
      <w:r w:rsidR="00ED2B95" w:rsidRPr="00D614CD">
        <w:rPr>
          <w:rFonts w:ascii="Arial" w:hAnsi="Arial" w:cs="Arial"/>
          <w:b/>
          <w:sz w:val="18"/>
          <w:szCs w:val="18"/>
        </w:rPr>
        <w:t>ld</w:t>
      </w:r>
      <w:r w:rsidRPr="00D614CD">
        <w:rPr>
          <w:rFonts w:ascii="Arial" w:hAnsi="Arial" w:cs="Arial"/>
          <w:b/>
          <w:sz w:val="18"/>
          <w:szCs w:val="18"/>
        </w:rPr>
        <w:t>. Kč</w:t>
      </w:r>
      <w:r w:rsidR="00857BB6">
        <w:rPr>
          <w:rFonts w:ascii="Arial" w:hAnsi="Arial" w:cs="Arial"/>
          <w:b/>
          <w:sz w:val="18"/>
          <w:szCs w:val="18"/>
        </w:rPr>
        <w:t>)</w:t>
      </w:r>
    </w:p>
    <w:p w:rsidR="0040123B" w:rsidRPr="000568E8" w:rsidRDefault="005E2C18" w:rsidP="0040123B">
      <w:pPr>
        <w:spacing w:before="120" w:after="120"/>
        <w:jc w:val="both"/>
        <w:rPr>
          <w:rFonts w:ascii="Arial" w:hAnsi="Arial" w:cs="Arial"/>
          <w:color w:val="FF0000"/>
          <w:sz w:val="18"/>
          <w:szCs w:val="18"/>
        </w:rPr>
      </w:pPr>
      <w:r>
        <w:rPr>
          <w:rFonts w:ascii="Arial" w:hAnsi="Arial" w:cs="Arial"/>
          <w:noProof/>
          <w:color w:val="FF0000"/>
          <w:sz w:val="18"/>
          <w:szCs w:val="18"/>
          <w:lang w:eastAsia="cs-CZ"/>
        </w:rPr>
        <w:pict>
          <v:shape id="_x0000_i1049" type="#_x0000_t75" style="width:478.5pt;height:207pt">
            <v:imagedata r:id="rId33" o:title=""/>
          </v:shape>
        </w:pict>
      </w:r>
    </w:p>
    <w:p w:rsidR="00BA7845" w:rsidRPr="000568E8" w:rsidRDefault="00BA7845" w:rsidP="00A11BA6">
      <w:pPr>
        <w:spacing w:before="240" w:after="120"/>
        <w:jc w:val="both"/>
        <w:rPr>
          <w:rFonts w:ascii="Arial" w:eastAsia="Times New Roman" w:hAnsi="Arial" w:cs="Arial"/>
          <w:color w:val="FF0000"/>
          <w:sz w:val="18"/>
          <w:szCs w:val="20"/>
          <w:lang w:eastAsia="cs-CZ"/>
        </w:rPr>
      </w:pPr>
      <w:r w:rsidRPr="00D91DD5">
        <w:rPr>
          <w:rFonts w:ascii="Arial" w:eastAsia="Times New Roman" w:hAnsi="Arial" w:cs="Arial"/>
          <w:sz w:val="18"/>
          <w:szCs w:val="20"/>
          <w:lang w:eastAsia="cs-CZ"/>
        </w:rPr>
        <w:t xml:space="preserve">Na celkovém </w:t>
      </w:r>
      <w:r w:rsidRPr="00D91DD5">
        <w:rPr>
          <w:rFonts w:ascii="Arial" w:eastAsia="Times New Roman" w:hAnsi="Arial" w:cs="Arial"/>
          <w:b/>
          <w:sz w:val="18"/>
          <w:szCs w:val="20"/>
          <w:lang w:eastAsia="cs-CZ"/>
        </w:rPr>
        <w:t>vývozu</w:t>
      </w:r>
      <w:r w:rsidRPr="00D91DD5">
        <w:rPr>
          <w:rFonts w:ascii="Arial" w:eastAsia="Times New Roman" w:hAnsi="Arial" w:cs="Arial"/>
          <w:sz w:val="18"/>
          <w:szCs w:val="20"/>
          <w:lang w:eastAsia="cs-CZ"/>
        </w:rPr>
        <w:t xml:space="preserve"> </w:t>
      </w:r>
      <w:r w:rsidR="00F13265">
        <w:rPr>
          <w:rFonts w:ascii="Arial" w:eastAsia="Times New Roman" w:hAnsi="Arial" w:cs="Arial"/>
          <w:sz w:val="18"/>
          <w:szCs w:val="20"/>
          <w:lang w:eastAsia="cs-CZ"/>
        </w:rPr>
        <w:t xml:space="preserve">zboží z Česka </w:t>
      </w:r>
      <w:r w:rsidRPr="00D91DD5">
        <w:rPr>
          <w:rFonts w:ascii="Arial" w:eastAsia="Times New Roman" w:hAnsi="Arial" w:cs="Arial"/>
          <w:sz w:val="18"/>
          <w:szCs w:val="20"/>
          <w:lang w:eastAsia="cs-CZ"/>
        </w:rPr>
        <w:t xml:space="preserve">se silniční vozidla podílela </w:t>
      </w:r>
      <w:r w:rsidR="00D91DD5" w:rsidRPr="00D91DD5">
        <w:rPr>
          <w:rFonts w:ascii="Arial" w:eastAsia="Times New Roman" w:hAnsi="Arial" w:cs="Arial"/>
          <w:sz w:val="18"/>
          <w:szCs w:val="20"/>
          <w:lang w:eastAsia="cs-CZ"/>
        </w:rPr>
        <w:t>21,0</w:t>
      </w:r>
      <w:r w:rsidRPr="00D91DD5">
        <w:rPr>
          <w:rFonts w:ascii="Arial" w:eastAsia="Times New Roman" w:hAnsi="Arial" w:cs="Arial"/>
          <w:sz w:val="18"/>
          <w:szCs w:val="20"/>
          <w:lang w:eastAsia="cs-CZ"/>
        </w:rPr>
        <w:t xml:space="preserve"> % (</w:t>
      </w:r>
      <w:r w:rsidR="00193523" w:rsidRPr="00D91DD5">
        <w:rPr>
          <w:rFonts w:ascii="Arial" w:eastAsia="Times New Roman" w:hAnsi="Arial" w:cs="Arial"/>
          <w:sz w:val="18"/>
          <w:szCs w:val="20"/>
          <w:lang w:eastAsia="cs-CZ"/>
        </w:rPr>
        <w:t>1</w:t>
      </w:r>
      <w:r w:rsidR="00D91DD5" w:rsidRPr="00D91DD5">
        <w:rPr>
          <w:rFonts w:ascii="Arial" w:eastAsia="Times New Roman" w:hAnsi="Arial" w:cs="Arial"/>
          <w:sz w:val="18"/>
          <w:szCs w:val="20"/>
          <w:lang w:eastAsia="cs-CZ"/>
        </w:rPr>
        <w:t>9</w:t>
      </w:r>
      <w:r w:rsidR="00592252" w:rsidRPr="00D91DD5">
        <w:rPr>
          <w:rFonts w:ascii="Arial" w:eastAsia="Times New Roman" w:hAnsi="Arial" w:cs="Arial"/>
          <w:sz w:val="18"/>
          <w:szCs w:val="20"/>
          <w:lang w:eastAsia="cs-CZ"/>
        </w:rPr>
        <w:t>,8</w:t>
      </w:r>
      <w:r w:rsidRPr="00D91DD5">
        <w:rPr>
          <w:rFonts w:ascii="Arial" w:eastAsia="Times New Roman" w:hAnsi="Arial" w:cs="Arial"/>
          <w:sz w:val="18"/>
          <w:szCs w:val="20"/>
          <w:lang w:eastAsia="cs-CZ"/>
        </w:rPr>
        <w:t xml:space="preserve"> % v roce 201</w:t>
      </w:r>
      <w:r w:rsidR="00D91DD5" w:rsidRPr="00D91DD5">
        <w:rPr>
          <w:rFonts w:ascii="Arial" w:eastAsia="Times New Roman" w:hAnsi="Arial" w:cs="Arial"/>
          <w:sz w:val="18"/>
          <w:szCs w:val="20"/>
          <w:lang w:eastAsia="cs-CZ"/>
        </w:rPr>
        <w:t>5</w:t>
      </w:r>
      <w:r w:rsidRPr="00D91DD5">
        <w:rPr>
          <w:rFonts w:ascii="Arial" w:eastAsia="Times New Roman" w:hAnsi="Arial" w:cs="Arial"/>
          <w:sz w:val="18"/>
          <w:szCs w:val="20"/>
          <w:lang w:eastAsia="cs-CZ"/>
        </w:rPr>
        <w:t xml:space="preserve">), z </w:t>
      </w:r>
      <w:r w:rsidRPr="00D36450">
        <w:rPr>
          <w:rFonts w:ascii="Arial" w:eastAsia="Times New Roman" w:hAnsi="Arial" w:cs="Arial"/>
          <w:sz w:val="18"/>
          <w:szCs w:val="20"/>
          <w:lang w:eastAsia="cs-CZ"/>
        </w:rPr>
        <w:t xml:space="preserve">toho osobní automobily </w:t>
      </w:r>
      <w:r w:rsidR="00491F05" w:rsidRPr="00D36450">
        <w:rPr>
          <w:rFonts w:ascii="Arial" w:eastAsia="Times New Roman" w:hAnsi="Arial" w:cs="Arial"/>
          <w:sz w:val="18"/>
          <w:szCs w:val="20"/>
          <w:lang w:eastAsia="cs-CZ"/>
        </w:rPr>
        <w:t>1</w:t>
      </w:r>
      <w:r w:rsidR="00D36450" w:rsidRPr="00D36450">
        <w:rPr>
          <w:rFonts w:ascii="Arial" w:eastAsia="Times New Roman" w:hAnsi="Arial" w:cs="Arial"/>
          <w:sz w:val="18"/>
          <w:szCs w:val="20"/>
          <w:lang w:eastAsia="cs-CZ"/>
        </w:rPr>
        <w:t>1,5</w:t>
      </w:r>
      <w:r w:rsidRPr="00D36450">
        <w:rPr>
          <w:rFonts w:ascii="Arial" w:eastAsia="Times New Roman" w:hAnsi="Arial" w:cs="Arial"/>
          <w:sz w:val="18"/>
          <w:szCs w:val="20"/>
          <w:lang w:eastAsia="cs-CZ"/>
        </w:rPr>
        <w:t xml:space="preserve"> % (</w:t>
      </w:r>
      <w:r w:rsidR="00592252" w:rsidRPr="00D36450">
        <w:rPr>
          <w:rFonts w:ascii="Arial" w:eastAsia="Times New Roman" w:hAnsi="Arial" w:cs="Arial"/>
          <w:sz w:val="18"/>
          <w:szCs w:val="20"/>
          <w:lang w:eastAsia="cs-CZ"/>
        </w:rPr>
        <w:t>10,</w:t>
      </w:r>
      <w:r w:rsidR="00D36450" w:rsidRPr="00D36450">
        <w:rPr>
          <w:rFonts w:ascii="Arial" w:eastAsia="Times New Roman" w:hAnsi="Arial" w:cs="Arial"/>
          <w:sz w:val="18"/>
          <w:szCs w:val="20"/>
          <w:lang w:eastAsia="cs-CZ"/>
        </w:rPr>
        <w:t>8</w:t>
      </w:r>
      <w:r w:rsidRPr="00D36450">
        <w:rPr>
          <w:rFonts w:ascii="Arial" w:eastAsia="Times New Roman" w:hAnsi="Arial" w:cs="Arial"/>
          <w:sz w:val="18"/>
          <w:szCs w:val="20"/>
          <w:lang w:eastAsia="cs-CZ"/>
        </w:rPr>
        <w:t xml:space="preserve"> % v roce 201</w:t>
      </w:r>
      <w:r w:rsidR="00D36450" w:rsidRPr="00D36450">
        <w:rPr>
          <w:rFonts w:ascii="Arial" w:eastAsia="Times New Roman" w:hAnsi="Arial" w:cs="Arial"/>
          <w:sz w:val="18"/>
          <w:szCs w:val="20"/>
          <w:lang w:eastAsia="cs-CZ"/>
        </w:rPr>
        <w:t>5</w:t>
      </w:r>
      <w:r w:rsidRPr="00D36450">
        <w:rPr>
          <w:rFonts w:ascii="Arial" w:eastAsia="Times New Roman" w:hAnsi="Arial" w:cs="Arial"/>
          <w:sz w:val="18"/>
          <w:szCs w:val="20"/>
          <w:lang w:eastAsia="cs-CZ"/>
        </w:rPr>
        <w:t xml:space="preserve">) a díly a příslušenství motorových </w:t>
      </w:r>
      <w:r w:rsidRPr="00516E19">
        <w:rPr>
          <w:rFonts w:ascii="Arial" w:eastAsia="Times New Roman" w:hAnsi="Arial" w:cs="Arial"/>
          <w:sz w:val="18"/>
          <w:szCs w:val="20"/>
          <w:lang w:eastAsia="cs-CZ"/>
        </w:rPr>
        <w:t xml:space="preserve">vozidel </w:t>
      </w:r>
      <w:r w:rsidR="00FE4973" w:rsidRPr="00516E19">
        <w:rPr>
          <w:rFonts w:ascii="Arial" w:eastAsia="Times New Roman" w:hAnsi="Arial" w:cs="Arial"/>
          <w:sz w:val="18"/>
          <w:szCs w:val="20"/>
          <w:lang w:eastAsia="cs-CZ"/>
        </w:rPr>
        <w:t>8,</w:t>
      </w:r>
      <w:r w:rsidR="00516E19" w:rsidRPr="00516E19">
        <w:rPr>
          <w:rFonts w:ascii="Arial" w:eastAsia="Times New Roman" w:hAnsi="Arial" w:cs="Arial"/>
          <w:sz w:val="18"/>
          <w:szCs w:val="20"/>
          <w:lang w:eastAsia="cs-CZ"/>
        </w:rPr>
        <w:t>4</w:t>
      </w:r>
      <w:r w:rsidRPr="00516E19">
        <w:rPr>
          <w:rFonts w:ascii="Arial" w:eastAsia="Times New Roman" w:hAnsi="Arial" w:cs="Arial"/>
          <w:sz w:val="18"/>
          <w:szCs w:val="20"/>
          <w:lang w:eastAsia="cs-CZ"/>
        </w:rPr>
        <w:t xml:space="preserve"> % (</w:t>
      </w:r>
      <w:r w:rsidR="00D36450" w:rsidRPr="00516E19">
        <w:rPr>
          <w:rFonts w:ascii="Arial" w:eastAsia="Times New Roman" w:hAnsi="Arial" w:cs="Arial"/>
          <w:sz w:val="18"/>
          <w:szCs w:val="20"/>
          <w:lang w:eastAsia="cs-CZ"/>
        </w:rPr>
        <w:t>8,0</w:t>
      </w:r>
      <w:r w:rsidRPr="00516E19">
        <w:rPr>
          <w:rFonts w:ascii="Arial" w:eastAsia="Times New Roman" w:hAnsi="Arial" w:cs="Arial"/>
          <w:sz w:val="18"/>
          <w:szCs w:val="20"/>
          <w:lang w:eastAsia="cs-CZ"/>
        </w:rPr>
        <w:t xml:space="preserve"> % v roce</w:t>
      </w:r>
      <w:r w:rsidRPr="00D36450">
        <w:rPr>
          <w:rFonts w:ascii="Arial" w:eastAsia="Times New Roman" w:hAnsi="Arial" w:cs="Arial"/>
          <w:sz w:val="18"/>
          <w:szCs w:val="20"/>
          <w:lang w:eastAsia="cs-CZ"/>
        </w:rPr>
        <w:t xml:space="preserve"> 201</w:t>
      </w:r>
      <w:r w:rsidR="00D36450" w:rsidRPr="00D36450">
        <w:rPr>
          <w:rFonts w:ascii="Arial" w:eastAsia="Times New Roman" w:hAnsi="Arial" w:cs="Arial"/>
          <w:sz w:val="18"/>
          <w:szCs w:val="20"/>
          <w:lang w:eastAsia="cs-CZ"/>
        </w:rPr>
        <w:t>5</w:t>
      </w:r>
      <w:r w:rsidRPr="00D36450">
        <w:rPr>
          <w:rFonts w:ascii="Arial" w:eastAsia="Times New Roman" w:hAnsi="Arial" w:cs="Arial"/>
          <w:sz w:val="18"/>
          <w:szCs w:val="20"/>
          <w:lang w:eastAsia="cs-CZ"/>
        </w:rPr>
        <w:t xml:space="preserve">). Vývoz osobních automobilů meziročně </w:t>
      </w:r>
      <w:r w:rsidRPr="00516E19">
        <w:rPr>
          <w:rFonts w:ascii="Arial" w:eastAsia="Times New Roman" w:hAnsi="Arial" w:cs="Arial"/>
          <w:sz w:val="18"/>
          <w:szCs w:val="20"/>
          <w:lang w:eastAsia="cs-CZ"/>
        </w:rPr>
        <w:t xml:space="preserve">vzrostl o </w:t>
      </w:r>
      <w:r w:rsidR="00516E19" w:rsidRPr="00516E19">
        <w:rPr>
          <w:rFonts w:ascii="Arial" w:eastAsia="Times New Roman" w:hAnsi="Arial" w:cs="Arial"/>
          <w:sz w:val="18"/>
          <w:szCs w:val="20"/>
          <w:lang w:eastAsia="cs-CZ"/>
        </w:rPr>
        <w:t>9,2</w:t>
      </w:r>
      <w:r w:rsidR="00491F05" w:rsidRPr="00516E19">
        <w:rPr>
          <w:rFonts w:ascii="Arial" w:eastAsia="Times New Roman" w:hAnsi="Arial" w:cs="Arial"/>
          <w:sz w:val="18"/>
          <w:szCs w:val="20"/>
          <w:lang w:eastAsia="cs-CZ"/>
        </w:rPr>
        <w:t xml:space="preserve"> </w:t>
      </w:r>
      <w:r w:rsidRPr="00516E19">
        <w:rPr>
          <w:rFonts w:ascii="Arial" w:eastAsia="Times New Roman" w:hAnsi="Arial" w:cs="Arial"/>
          <w:sz w:val="18"/>
          <w:szCs w:val="20"/>
          <w:lang w:eastAsia="cs-CZ"/>
        </w:rPr>
        <w:t xml:space="preserve">% a vývoz dílů a příslušenství motorových vozidel se meziročně zvýšil o </w:t>
      </w:r>
      <w:r w:rsidR="00516E19" w:rsidRPr="00516E19">
        <w:rPr>
          <w:rFonts w:ascii="Arial" w:eastAsia="Times New Roman" w:hAnsi="Arial" w:cs="Arial"/>
          <w:sz w:val="18"/>
          <w:szCs w:val="20"/>
          <w:lang w:eastAsia="cs-CZ"/>
        </w:rPr>
        <w:t>7,3</w:t>
      </w:r>
      <w:r w:rsidRPr="00516E19">
        <w:rPr>
          <w:rFonts w:ascii="Arial" w:eastAsia="Times New Roman" w:hAnsi="Arial" w:cs="Arial"/>
          <w:sz w:val="18"/>
          <w:szCs w:val="20"/>
          <w:lang w:eastAsia="cs-CZ"/>
        </w:rPr>
        <w:t xml:space="preserve"> %.</w:t>
      </w:r>
    </w:p>
    <w:p w:rsidR="00DE5CA3" w:rsidRPr="00DE5CA3" w:rsidRDefault="00DE5CA3" w:rsidP="00DE5CA3">
      <w:pPr>
        <w:pStyle w:val="Zkladntext"/>
        <w:spacing w:after="240" w:line="276" w:lineRule="auto"/>
        <w:rPr>
          <w:sz w:val="18"/>
          <w:szCs w:val="20"/>
        </w:rPr>
      </w:pPr>
      <w:r w:rsidRPr="007A7E89">
        <w:rPr>
          <w:b/>
          <w:bCs/>
          <w:sz w:val="18"/>
          <w:szCs w:val="20"/>
        </w:rPr>
        <w:t>Vývoz osobní</w:t>
      </w:r>
      <w:r>
        <w:rPr>
          <w:b/>
          <w:bCs/>
          <w:sz w:val="18"/>
          <w:szCs w:val="20"/>
        </w:rPr>
        <w:t>ch</w:t>
      </w:r>
      <w:r w:rsidRPr="007A7E89">
        <w:rPr>
          <w:b/>
          <w:bCs/>
          <w:sz w:val="18"/>
          <w:szCs w:val="20"/>
        </w:rPr>
        <w:t xml:space="preserve"> automobil</w:t>
      </w:r>
      <w:r>
        <w:rPr>
          <w:b/>
          <w:bCs/>
          <w:sz w:val="18"/>
          <w:szCs w:val="20"/>
        </w:rPr>
        <w:t>ů</w:t>
      </w:r>
      <w:r w:rsidRPr="007A7E89">
        <w:rPr>
          <w:b/>
          <w:bCs/>
          <w:sz w:val="18"/>
          <w:szCs w:val="20"/>
        </w:rPr>
        <w:t xml:space="preserve"> a </w:t>
      </w:r>
      <w:r w:rsidR="001C1E30">
        <w:rPr>
          <w:b/>
          <w:bCs/>
          <w:sz w:val="18"/>
          <w:szCs w:val="20"/>
        </w:rPr>
        <w:t xml:space="preserve">zároveň </w:t>
      </w:r>
      <w:r>
        <w:rPr>
          <w:b/>
          <w:bCs/>
          <w:sz w:val="18"/>
          <w:szCs w:val="20"/>
        </w:rPr>
        <w:t>dílů</w:t>
      </w:r>
      <w:r w:rsidRPr="007A7E89">
        <w:rPr>
          <w:b/>
          <w:bCs/>
          <w:sz w:val="18"/>
          <w:szCs w:val="20"/>
        </w:rPr>
        <w:t xml:space="preserve"> a příslušenství motorových vozidel</w:t>
      </w:r>
      <w:r w:rsidRPr="007A7E89">
        <w:rPr>
          <w:sz w:val="18"/>
          <w:szCs w:val="20"/>
        </w:rPr>
        <w:t xml:space="preserve"> v</w:t>
      </w:r>
      <w:r>
        <w:rPr>
          <w:sz w:val="18"/>
          <w:szCs w:val="20"/>
        </w:rPr>
        <w:t xml:space="preserve">e všech </w:t>
      </w:r>
      <w:r w:rsidRPr="007A7E89">
        <w:rPr>
          <w:sz w:val="18"/>
          <w:szCs w:val="20"/>
        </w:rPr>
        <w:t>jednotlivých čtvrtletích roku 201</w:t>
      </w:r>
      <w:r>
        <w:rPr>
          <w:sz w:val="18"/>
          <w:szCs w:val="20"/>
        </w:rPr>
        <w:t>6</w:t>
      </w:r>
      <w:r w:rsidRPr="007A7E89">
        <w:rPr>
          <w:sz w:val="18"/>
          <w:szCs w:val="20"/>
        </w:rPr>
        <w:t xml:space="preserve"> </w:t>
      </w:r>
      <w:r>
        <w:rPr>
          <w:sz w:val="18"/>
          <w:szCs w:val="20"/>
        </w:rPr>
        <w:t>meziročně vzrost</w:t>
      </w:r>
      <w:r w:rsidR="00267AF6">
        <w:rPr>
          <w:sz w:val="18"/>
          <w:szCs w:val="20"/>
        </w:rPr>
        <w:t>l</w:t>
      </w:r>
      <w:r>
        <w:rPr>
          <w:sz w:val="18"/>
          <w:szCs w:val="20"/>
        </w:rPr>
        <w:t>. Stejně jako v předchozích letech byl</w:t>
      </w:r>
      <w:r w:rsidR="001C1E30">
        <w:rPr>
          <w:sz w:val="18"/>
          <w:szCs w:val="20"/>
        </w:rPr>
        <w:t>o</w:t>
      </w:r>
      <w:r>
        <w:rPr>
          <w:sz w:val="18"/>
          <w:szCs w:val="20"/>
        </w:rPr>
        <w:t xml:space="preserve"> hodnotově </w:t>
      </w:r>
      <w:r w:rsidRPr="00DE5CA3">
        <w:rPr>
          <w:sz w:val="18"/>
          <w:szCs w:val="20"/>
        </w:rPr>
        <w:t>nejslabší</w:t>
      </w:r>
      <w:r>
        <w:rPr>
          <w:sz w:val="18"/>
          <w:szCs w:val="20"/>
        </w:rPr>
        <w:t xml:space="preserve"> třetí </w:t>
      </w:r>
      <w:r w:rsidR="001C1E30">
        <w:rPr>
          <w:sz w:val="18"/>
          <w:szCs w:val="20"/>
        </w:rPr>
        <w:t>čtvrtletí</w:t>
      </w:r>
      <w:r>
        <w:rPr>
          <w:sz w:val="18"/>
          <w:szCs w:val="20"/>
        </w:rPr>
        <w:t xml:space="preserve"> </w:t>
      </w:r>
      <w:r w:rsidR="001D1E4A">
        <w:rPr>
          <w:sz w:val="18"/>
          <w:szCs w:val="20"/>
        </w:rPr>
        <w:t>roku 2016, naopak n</w:t>
      </w:r>
      <w:r w:rsidR="00C1759C">
        <w:rPr>
          <w:sz w:val="18"/>
          <w:szCs w:val="20"/>
        </w:rPr>
        <w:t xml:space="preserve">ejvíce se vyvezlo osobních automobilů i dílů a příslušenství motorových vozidel </w:t>
      </w:r>
      <w:r>
        <w:rPr>
          <w:sz w:val="18"/>
          <w:szCs w:val="20"/>
        </w:rPr>
        <w:t>v druhém čtvrtletí</w:t>
      </w:r>
      <w:r w:rsidR="001D1E4A">
        <w:rPr>
          <w:sz w:val="18"/>
          <w:szCs w:val="20"/>
        </w:rPr>
        <w:t>.</w:t>
      </w:r>
    </w:p>
    <w:p w:rsidR="00BA7845" w:rsidRPr="000B4A92" w:rsidRDefault="00BA7845" w:rsidP="00A11BA6">
      <w:pPr>
        <w:spacing w:after="80"/>
        <w:rPr>
          <w:rFonts w:ascii="Arial" w:hAnsi="Arial" w:cs="Arial"/>
          <w:b/>
          <w:sz w:val="18"/>
          <w:szCs w:val="18"/>
        </w:rPr>
      </w:pPr>
      <w:r w:rsidRPr="000B4A92">
        <w:rPr>
          <w:rFonts w:ascii="Arial" w:hAnsi="Arial" w:cs="Arial"/>
          <w:b/>
          <w:sz w:val="18"/>
          <w:szCs w:val="18"/>
        </w:rPr>
        <w:t xml:space="preserve">Graf </w:t>
      </w:r>
      <w:r w:rsidR="00B50B36" w:rsidRPr="000B4A92">
        <w:rPr>
          <w:rFonts w:ascii="Arial" w:hAnsi="Arial" w:cs="Arial"/>
          <w:b/>
          <w:sz w:val="18"/>
          <w:szCs w:val="18"/>
        </w:rPr>
        <w:t>2</w:t>
      </w:r>
      <w:r w:rsidR="00215FA5" w:rsidRPr="000B4A92">
        <w:rPr>
          <w:rFonts w:ascii="Arial" w:hAnsi="Arial" w:cs="Arial"/>
          <w:b/>
          <w:sz w:val="18"/>
          <w:szCs w:val="18"/>
        </w:rPr>
        <w:t>0</w:t>
      </w:r>
      <w:r w:rsidRPr="000B4A92">
        <w:rPr>
          <w:rFonts w:ascii="Arial" w:hAnsi="Arial" w:cs="Arial"/>
          <w:b/>
          <w:sz w:val="18"/>
          <w:szCs w:val="18"/>
        </w:rPr>
        <w:t xml:space="preserve"> - Zahraniční obchod s osobními automobily a díly a příslušenstvím motorových vozidel </w:t>
      </w:r>
      <w:r w:rsidR="00A11BA6">
        <w:rPr>
          <w:rFonts w:ascii="Arial" w:hAnsi="Arial" w:cs="Arial"/>
          <w:b/>
          <w:sz w:val="18"/>
          <w:szCs w:val="18"/>
        </w:rPr>
        <w:t>(</w:t>
      </w:r>
      <w:r w:rsidRPr="000B4A92">
        <w:rPr>
          <w:rFonts w:ascii="Arial" w:hAnsi="Arial" w:cs="Arial"/>
          <w:b/>
          <w:sz w:val="18"/>
          <w:szCs w:val="18"/>
        </w:rPr>
        <w:t>v mld. Kč</w:t>
      </w:r>
      <w:r w:rsidR="00A11BA6">
        <w:rPr>
          <w:rFonts w:ascii="Arial" w:hAnsi="Arial" w:cs="Arial"/>
          <w:b/>
          <w:sz w:val="18"/>
          <w:szCs w:val="18"/>
        </w:rPr>
        <w:t>)</w:t>
      </w:r>
    </w:p>
    <w:p w:rsidR="00BA7845" w:rsidRPr="000B4A92" w:rsidRDefault="00BA7845" w:rsidP="0040123B">
      <w:pPr>
        <w:spacing w:after="40"/>
        <w:ind w:left="1416" w:firstLine="708"/>
        <w:jc w:val="both"/>
        <w:rPr>
          <w:rFonts w:ascii="Arial" w:hAnsi="Arial" w:cs="Arial"/>
          <w:sz w:val="18"/>
          <w:szCs w:val="18"/>
        </w:rPr>
      </w:pPr>
      <w:r w:rsidRPr="000B4A92">
        <w:rPr>
          <w:rFonts w:ascii="Arial" w:hAnsi="Arial" w:cs="Arial"/>
          <w:sz w:val="18"/>
          <w:szCs w:val="18"/>
        </w:rPr>
        <w:t xml:space="preserve">      vývoz</w:t>
      </w:r>
      <w:r w:rsidRPr="000B4A92">
        <w:rPr>
          <w:rFonts w:ascii="Arial" w:hAnsi="Arial" w:cs="Arial"/>
          <w:sz w:val="18"/>
          <w:szCs w:val="18"/>
        </w:rPr>
        <w:tab/>
      </w:r>
      <w:r w:rsidRPr="000B4A92">
        <w:rPr>
          <w:rFonts w:ascii="Arial" w:hAnsi="Arial" w:cs="Arial"/>
          <w:sz w:val="18"/>
          <w:szCs w:val="18"/>
        </w:rPr>
        <w:tab/>
      </w:r>
      <w:r w:rsidRPr="000B4A92">
        <w:rPr>
          <w:rFonts w:ascii="Arial" w:hAnsi="Arial" w:cs="Arial"/>
          <w:sz w:val="18"/>
          <w:szCs w:val="18"/>
        </w:rPr>
        <w:tab/>
      </w:r>
      <w:r w:rsidRPr="000B4A92">
        <w:rPr>
          <w:rFonts w:ascii="Arial" w:hAnsi="Arial" w:cs="Arial"/>
          <w:sz w:val="18"/>
          <w:szCs w:val="18"/>
        </w:rPr>
        <w:tab/>
      </w:r>
      <w:r w:rsidRPr="000B4A92">
        <w:rPr>
          <w:rFonts w:ascii="Arial" w:hAnsi="Arial" w:cs="Arial"/>
          <w:sz w:val="18"/>
          <w:szCs w:val="18"/>
        </w:rPr>
        <w:tab/>
      </w:r>
      <w:r w:rsidRPr="000B4A92">
        <w:rPr>
          <w:rFonts w:ascii="Arial" w:hAnsi="Arial" w:cs="Arial"/>
          <w:sz w:val="18"/>
          <w:szCs w:val="18"/>
        </w:rPr>
        <w:tab/>
        <w:t>dovoz</w:t>
      </w:r>
    </w:p>
    <w:p w:rsidR="00BA7845" w:rsidRPr="000568E8" w:rsidRDefault="005E2C18" w:rsidP="00FC675E">
      <w:pPr>
        <w:spacing w:after="0"/>
        <w:rPr>
          <w:rFonts w:ascii="Arial" w:hAnsi="Arial" w:cs="Arial"/>
          <w:color w:val="FF0000"/>
          <w:sz w:val="18"/>
          <w:szCs w:val="18"/>
        </w:rPr>
      </w:pPr>
      <w:r>
        <w:rPr>
          <w:rFonts w:ascii="Arial" w:hAnsi="Arial" w:cs="Arial"/>
          <w:noProof/>
          <w:color w:val="FF0000"/>
          <w:sz w:val="18"/>
          <w:szCs w:val="18"/>
          <w:lang w:eastAsia="cs-CZ"/>
        </w:rPr>
        <w:pict>
          <v:shape id="_x0000_i1050" type="#_x0000_t75" style="width:252pt;height:170.25pt">
            <v:imagedata r:id="rId34" o:title=""/>
          </v:shape>
        </w:pict>
      </w:r>
      <w:r w:rsidR="000B4A92">
        <w:rPr>
          <w:rFonts w:ascii="Arial" w:hAnsi="Arial" w:cs="Arial"/>
          <w:noProof/>
          <w:color w:val="FF0000"/>
          <w:sz w:val="18"/>
          <w:szCs w:val="18"/>
          <w:lang w:eastAsia="cs-CZ"/>
        </w:rPr>
        <w:t xml:space="preserve">  </w:t>
      </w:r>
      <w:r>
        <w:rPr>
          <w:rFonts w:ascii="Arial" w:hAnsi="Arial" w:cs="Arial"/>
          <w:noProof/>
          <w:color w:val="FF0000"/>
          <w:sz w:val="18"/>
          <w:szCs w:val="18"/>
          <w:lang w:eastAsia="cs-CZ"/>
        </w:rPr>
        <w:pict>
          <v:shape id="_x0000_i1051" type="#_x0000_t75" style="width:224.25pt;height:169.5pt">
            <v:imagedata r:id="rId35" o:title=""/>
          </v:shape>
        </w:pict>
      </w:r>
      <w:r w:rsidR="00BA7845" w:rsidRPr="000568E8">
        <w:rPr>
          <w:rFonts w:ascii="Arial" w:hAnsi="Arial" w:cs="Arial"/>
          <w:color w:val="FF0000"/>
          <w:sz w:val="18"/>
          <w:szCs w:val="18"/>
        </w:rPr>
        <w:t xml:space="preserve">  </w:t>
      </w:r>
    </w:p>
    <w:p w:rsidR="00FC675E" w:rsidRPr="00D91DD5" w:rsidRDefault="00FC675E" w:rsidP="00FC675E">
      <w:pPr>
        <w:spacing w:after="0"/>
        <w:rPr>
          <w:rFonts w:ascii="Arial" w:hAnsi="Arial" w:cs="Arial"/>
          <w:b/>
          <w:sz w:val="19"/>
          <w:szCs w:val="19"/>
        </w:rPr>
      </w:pPr>
    </w:p>
    <w:p w:rsidR="002F2CC1" w:rsidRDefault="00BA7845" w:rsidP="0086683D">
      <w:pPr>
        <w:spacing w:after="0" w:line="240" w:lineRule="auto"/>
        <w:jc w:val="both"/>
        <w:rPr>
          <w:rFonts w:ascii="Arial" w:eastAsia="Times New Roman" w:hAnsi="Arial" w:cs="Arial"/>
          <w:color w:val="FF0000"/>
          <w:sz w:val="18"/>
          <w:szCs w:val="20"/>
          <w:lang w:eastAsia="cs-CZ"/>
        </w:rPr>
      </w:pPr>
      <w:r w:rsidRPr="00D91DD5">
        <w:rPr>
          <w:rFonts w:ascii="Arial" w:eastAsia="Times New Roman" w:hAnsi="Arial" w:cs="Arial"/>
          <w:sz w:val="18"/>
          <w:szCs w:val="20"/>
          <w:lang w:eastAsia="cs-CZ"/>
        </w:rPr>
        <w:t xml:space="preserve">Silniční vozidla měla na vývoj celkového </w:t>
      </w:r>
      <w:r w:rsidRPr="00D91DD5">
        <w:rPr>
          <w:rFonts w:ascii="Arial" w:eastAsia="Times New Roman" w:hAnsi="Arial" w:cs="Arial"/>
          <w:b/>
          <w:sz w:val="18"/>
          <w:szCs w:val="20"/>
          <w:lang w:eastAsia="cs-CZ"/>
        </w:rPr>
        <w:t>dovozu</w:t>
      </w:r>
      <w:r w:rsidRPr="00D91DD5">
        <w:rPr>
          <w:rFonts w:ascii="Arial" w:eastAsia="Times New Roman" w:hAnsi="Arial" w:cs="Arial"/>
          <w:sz w:val="18"/>
          <w:szCs w:val="20"/>
          <w:lang w:eastAsia="cs-CZ"/>
        </w:rPr>
        <w:t xml:space="preserve"> i dovozu strojů a dopravních prostředků v roce 201</w:t>
      </w:r>
      <w:r w:rsidR="00D91DD5">
        <w:rPr>
          <w:rFonts w:ascii="Arial" w:eastAsia="Times New Roman" w:hAnsi="Arial" w:cs="Arial"/>
          <w:sz w:val="18"/>
          <w:szCs w:val="20"/>
          <w:lang w:eastAsia="cs-CZ"/>
        </w:rPr>
        <w:t>6</w:t>
      </w:r>
      <w:r w:rsidRPr="00D91DD5">
        <w:rPr>
          <w:rFonts w:ascii="Arial" w:eastAsia="Times New Roman" w:hAnsi="Arial" w:cs="Arial"/>
          <w:sz w:val="18"/>
          <w:szCs w:val="20"/>
          <w:lang w:eastAsia="cs-CZ"/>
        </w:rPr>
        <w:t xml:space="preserve"> podstatně slabší vliv než u vývozu. Dovoz silničních vozidel se meziročně zvýšil o </w:t>
      </w:r>
      <w:r w:rsidR="00D91DD5" w:rsidRPr="00D91DD5">
        <w:rPr>
          <w:rFonts w:ascii="Arial" w:eastAsia="Times New Roman" w:hAnsi="Arial" w:cs="Arial"/>
          <w:sz w:val="18"/>
          <w:szCs w:val="20"/>
          <w:lang w:eastAsia="cs-CZ"/>
        </w:rPr>
        <w:t>12,2</w:t>
      </w:r>
      <w:r w:rsidRPr="00D91DD5">
        <w:rPr>
          <w:rFonts w:ascii="Arial" w:eastAsia="Times New Roman" w:hAnsi="Arial" w:cs="Arial"/>
          <w:sz w:val="18"/>
          <w:szCs w:val="20"/>
          <w:lang w:eastAsia="cs-CZ"/>
        </w:rPr>
        <w:t xml:space="preserve"> % (</w:t>
      </w:r>
      <w:r w:rsidR="001C3360" w:rsidRPr="00D91DD5">
        <w:rPr>
          <w:rFonts w:ascii="Arial" w:eastAsia="Times New Roman" w:hAnsi="Arial" w:cs="Arial"/>
          <w:sz w:val="18"/>
          <w:szCs w:val="20"/>
          <w:lang w:eastAsia="cs-CZ"/>
        </w:rPr>
        <w:t xml:space="preserve">o </w:t>
      </w:r>
      <w:r w:rsidR="00D91DD5" w:rsidRPr="00D91DD5">
        <w:rPr>
          <w:rFonts w:ascii="Arial" w:eastAsia="Times New Roman" w:hAnsi="Arial" w:cs="Arial"/>
          <w:sz w:val="18"/>
          <w:szCs w:val="20"/>
          <w:lang w:eastAsia="cs-CZ"/>
        </w:rPr>
        <w:t>40,9</w:t>
      </w:r>
      <w:r w:rsidRPr="00D91DD5">
        <w:rPr>
          <w:rFonts w:ascii="Arial" w:eastAsia="Times New Roman" w:hAnsi="Arial" w:cs="Arial"/>
          <w:sz w:val="18"/>
          <w:szCs w:val="20"/>
          <w:lang w:eastAsia="cs-CZ"/>
        </w:rPr>
        <w:t xml:space="preserve"> mld. Kč). </w:t>
      </w:r>
      <w:r w:rsidR="007F2DDC" w:rsidRPr="00D91DD5">
        <w:rPr>
          <w:rFonts w:ascii="Arial" w:eastAsia="Times New Roman" w:hAnsi="Arial" w:cs="Arial"/>
          <w:sz w:val="18"/>
          <w:szCs w:val="20"/>
          <w:lang w:eastAsia="cs-CZ"/>
        </w:rPr>
        <w:t>Podíl tohoto zboží na </w:t>
      </w:r>
      <w:r w:rsidR="00D76D9B" w:rsidRPr="00D91DD5">
        <w:rPr>
          <w:rFonts w:ascii="Arial" w:eastAsia="Times New Roman" w:hAnsi="Arial" w:cs="Arial"/>
          <w:sz w:val="18"/>
          <w:szCs w:val="20"/>
          <w:lang w:eastAsia="cs-CZ"/>
        </w:rPr>
        <w:t xml:space="preserve">celkovém dovozu dosáhl </w:t>
      </w:r>
      <w:r w:rsidR="00D91DD5" w:rsidRPr="00D91DD5">
        <w:rPr>
          <w:rFonts w:ascii="Arial" w:eastAsia="Times New Roman" w:hAnsi="Arial" w:cs="Arial"/>
          <w:sz w:val="18"/>
          <w:szCs w:val="20"/>
          <w:lang w:eastAsia="cs-CZ"/>
        </w:rPr>
        <w:t>10,8</w:t>
      </w:r>
      <w:r w:rsidR="00D76D9B" w:rsidRPr="00D91DD5">
        <w:rPr>
          <w:rFonts w:ascii="Arial" w:eastAsia="Times New Roman" w:hAnsi="Arial" w:cs="Arial"/>
          <w:sz w:val="18"/>
          <w:szCs w:val="20"/>
          <w:lang w:eastAsia="cs-CZ"/>
        </w:rPr>
        <w:t xml:space="preserve"> % a na dovozu strojů a dopravních prostředků </w:t>
      </w:r>
      <w:r w:rsidR="00D91DD5" w:rsidRPr="00D91DD5">
        <w:rPr>
          <w:rFonts w:ascii="Arial" w:eastAsia="Times New Roman" w:hAnsi="Arial" w:cs="Arial"/>
          <w:sz w:val="18"/>
          <w:szCs w:val="20"/>
          <w:lang w:eastAsia="cs-CZ"/>
        </w:rPr>
        <w:t>23,5</w:t>
      </w:r>
      <w:r w:rsidR="00D76D9B" w:rsidRPr="00D91DD5">
        <w:rPr>
          <w:rFonts w:ascii="Arial" w:eastAsia="Times New Roman" w:hAnsi="Arial" w:cs="Arial"/>
          <w:sz w:val="18"/>
          <w:szCs w:val="20"/>
          <w:lang w:eastAsia="cs-CZ"/>
        </w:rPr>
        <w:t xml:space="preserve"> %.</w:t>
      </w:r>
    </w:p>
    <w:p w:rsidR="002F2CC1" w:rsidRDefault="002F2CC1">
      <w:pPr>
        <w:rPr>
          <w:rFonts w:ascii="Arial" w:eastAsia="Times New Roman" w:hAnsi="Arial" w:cs="Arial"/>
          <w:color w:val="FF0000"/>
          <w:sz w:val="18"/>
          <w:szCs w:val="20"/>
          <w:lang w:eastAsia="cs-CZ"/>
        </w:rPr>
      </w:pPr>
      <w:r>
        <w:rPr>
          <w:rFonts w:ascii="Arial" w:eastAsia="Times New Roman" w:hAnsi="Arial" w:cs="Arial"/>
          <w:color w:val="FF0000"/>
          <w:sz w:val="18"/>
          <w:szCs w:val="20"/>
          <w:lang w:eastAsia="cs-CZ"/>
        </w:rPr>
        <w:br w:type="page"/>
      </w:r>
    </w:p>
    <w:p w:rsidR="00A477DA" w:rsidRPr="005F244C" w:rsidRDefault="001F2588" w:rsidP="00A477DA">
      <w:pPr>
        <w:numPr>
          <w:ilvl w:val="1"/>
          <w:numId w:val="1"/>
        </w:numPr>
        <w:spacing w:after="120"/>
        <w:ind w:left="426"/>
        <w:rPr>
          <w:rFonts w:ascii="Arial" w:hAnsi="Arial" w:cs="Arial"/>
          <w:b/>
          <w:sz w:val="21"/>
          <w:szCs w:val="21"/>
        </w:rPr>
      </w:pPr>
      <w:r w:rsidRPr="005F244C">
        <w:rPr>
          <w:rFonts w:ascii="Arial" w:hAnsi="Arial" w:cs="Arial"/>
          <w:b/>
          <w:sz w:val="21"/>
          <w:szCs w:val="21"/>
        </w:rPr>
        <w:lastRenderedPageBreak/>
        <w:t>Graf</w:t>
      </w:r>
      <w:r w:rsidR="002F2CC1" w:rsidRPr="005F244C">
        <w:rPr>
          <w:rFonts w:ascii="Arial" w:hAnsi="Arial" w:cs="Arial"/>
          <w:b/>
          <w:sz w:val="21"/>
          <w:szCs w:val="21"/>
        </w:rPr>
        <w:t>ické znázornění z</w:t>
      </w:r>
      <w:r w:rsidR="005D329C" w:rsidRPr="005F244C">
        <w:rPr>
          <w:rFonts w:ascii="Arial" w:hAnsi="Arial" w:cs="Arial"/>
          <w:b/>
          <w:sz w:val="21"/>
          <w:szCs w:val="21"/>
        </w:rPr>
        <w:t>ahraniční</w:t>
      </w:r>
      <w:r w:rsidR="002F2CC1" w:rsidRPr="005F244C">
        <w:rPr>
          <w:rFonts w:ascii="Arial" w:hAnsi="Arial" w:cs="Arial"/>
          <w:b/>
          <w:sz w:val="21"/>
          <w:szCs w:val="21"/>
        </w:rPr>
        <w:t>ho</w:t>
      </w:r>
      <w:r w:rsidR="005D329C" w:rsidRPr="005F244C">
        <w:rPr>
          <w:rFonts w:ascii="Arial" w:hAnsi="Arial" w:cs="Arial"/>
          <w:b/>
          <w:sz w:val="21"/>
          <w:szCs w:val="21"/>
        </w:rPr>
        <w:t xml:space="preserve"> o</w:t>
      </w:r>
      <w:r w:rsidR="00A477DA" w:rsidRPr="005F244C">
        <w:rPr>
          <w:rFonts w:ascii="Arial" w:hAnsi="Arial" w:cs="Arial"/>
          <w:b/>
          <w:sz w:val="21"/>
          <w:szCs w:val="21"/>
        </w:rPr>
        <w:t>bchod</w:t>
      </w:r>
      <w:r w:rsidR="002F2CC1" w:rsidRPr="005F244C">
        <w:rPr>
          <w:rFonts w:ascii="Arial" w:hAnsi="Arial" w:cs="Arial"/>
          <w:b/>
          <w:sz w:val="21"/>
          <w:szCs w:val="21"/>
        </w:rPr>
        <w:t>u</w:t>
      </w:r>
      <w:r w:rsidR="00A477DA" w:rsidRPr="005F244C">
        <w:rPr>
          <w:rFonts w:ascii="Arial" w:hAnsi="Arial" w:cs="Arial"/>
          <w:b/>
          <w:sz w:val="21"/>
          <w:szCs w:val="21"/>
        </w:rPr>
        <w:t xml:space="preserve"> </w:t>
      </w:r>
      <w:r w:rsidR="002F2CC1" w:rsidRPr="005F244C">
        <w:rPr>
          <w:rFonts w:ascii="Arial" w:hAnsi="Arial" w:cs="Arial"/>
          <w:b/>
          <w:sz w:val="21"/>
          <w:szCs w:val="21"/>
        </w:rPr>
        <w:t xml:space="preserve">ČR </w:t>
      </w:r>
      <w:r w:rsidR="00A477DA" w:rsidRPr="005F244C">
        <w:rPr>
          <w:rFonts w:ascii="Arial" w:hAnsi="Arial" w:cs="Arial"/>
          <w:b/>
          <w:sz w:val="21"/>
          <w:szCs w:val="21"/>
        </w:rPr>
        <w:t>v roce 201</w:t>
      </w:r>
      <w:r w:rsidR="002F2CC1" w:rsidRPr="005F244C">
        <w:rPr>
          <w:rFonts w:ascii="Arial" w:hAnsi="Arial" w:cs="Arial"/>
          <w:b/>
          <w:sz w:val="21"/>
          <w:szCs w:val="21"/>
        </w:rPr>
        <w:t>6</w:t>
      </w:r>
      <w:r w:rsidR="00882C0B" w:rsidRPr="005F244C">
        <w:rPr>
          <w:rFonts w:ascii="Arial" w:hAnsi="Arial" w:cs="Arial"/>
          <w:b/>
          <w:sz w:val="21"/>
          <w:szCs w:val="21"/>
        </w:rPr>
        <w:t xml:space="preserve"> (v mld. Kč)</w:t>
      </w:r>
    </w:p>
    <w:p w:rsidR="00470ED6" w:rsidRPr="00F94EA3" w:rsidRDefault="00470ED6" w:rsidP="005F244C">
      <w:pPr>
        <w:spacing w:before="240" w:after="20"/>
        <w:ind w:left="3540" w:firstLine="708"/>
        <w:rPr>
          <w:rFonts w:ascii="Arial" w:hAnsi="Arial" w:cs="Arial"/>
          <w:sz w:val="18"/>
          <w:szCs w:val="18"/>
        </w:rPr>
      </w:pPr>
      <w:r w:rsidRPr="00F94EA3">
        <w:rPr>
          <w:rFonts w:ascii="Arial" w:hAnsi="Arial" w:cs="Arial"/>
          <w:sz w:val="18"/>
          <w:szCs w:val="18"/>
        </w:rPr>
        <w:t>Německo</w:t>
      </w:r>
    </w:p>
    <w:p w:rsidR="00470ED6" w:rsidRDefault="005E2C18" w:rsidP="0047465B">
      <w:pPr>
        <w:spacing w:after="0"/>
        <w:ind w:left="708" w:hanging="708"/>
        <w:rPr>
          <w:rFonts w:ascii="Arial" w:hAnsi="Arial" w:cs="Arial"/>
          <w:color w:val="FF0000"/>
          <w:sz w:val="19"/>
          <w:szCs w:val="19"/>
        </w:rPr>
      </w:pPr>
      <w:r>
        <w:rPr>
          <w:rFonts w:ascii="Arial" w:hAnsi="Arial" w:cs="Arial"/>
          <w:color w:val="FF0000"/>
          <w:sz w:val="19"/>
          <w:szCs w:val="19"/>
        </w:rPr>
        <w:pict>
          <v:shape id="_x0000_i1052" type="#_x0000_t75" style="width:478.5pt;height:177pt">
            <v:imagedata r:id="rId36" o:title=""/>
          </v:shape>
        </w:pict>
      </w:r>
    </w:p>
    <w:p w:rsidR="002F2CC1" w:rsidRPr="00F94EA3" w:rsidRDefault="005F244C" w:rsidP="0047465B">
      <w:pPr>
        <w:spacing w:before="360" w:after="20"/>
        <w:ind w:left="708" w:firstLine="708"/>
        <w:rPr>
          <w:rFonts w:ascii="Arial" w:hAnsi="Arial" w:cs="Arial"/>
          <w:sz w:val="18"/>
          <w:szCs w:val="18"/>
        </w:rPr>
      </w:pPr>
      <w:r w:rsidRPr="00F94EA3">
        <w:rPr>
          <w:rFonts w:ascii="Arial" w:hAnsi="Arial" w:cs="Arial"/>
          <w:sz w:val="18"/>
          <w:szCs w:val="18"/>
        </w:rPr>
        <w:t xml:space="preserve">         </w:t>
      </w:r>
      <w:r w:rsidR="002F2CC1" w:rsidRPr="00F94EA3">
        <w:rPr>
          <w:rFonts w:ascii="Arial" w:hAnsi="Arial" w:cs="Arial"/>
          <w:sz w:val="18"/>
          <w:szCs w:val="18"/>
        </w:rPr>
        <w:t>Francie</w:t>
      </w:r>
      <w:r w:rsidR="002F2CC1" w:rsidRPr="00F94EA3">
        <w:rPr>
          <w:rFonts w:ascii="Arial" w:hAnsi="Arial" w:cs="Arial"/>
          <w:sz w:val="18"/>
          <w:szCs w:val="18"/>
        </w:rPr>
        <w:tab/>
      </w:r>
      <w:r w:rsidR="002F2CC1" w:rsidRPr="00F94EA3">
        <w:rPr>
          <w:rFonts w:ascii="Arial" w:hAnsi="Arial" w:cs="Arial"/>
          <w:sz w:val="18"/>
          <w:szCs w:val="18"/>
        </w:rPr>
        <w:tab/>
      </w:r>
      <w:r w:rsidR="002F2CC1" w:rsidRPr="00F94EA3">
        <w:rPr>
          <w:rFonts w:ascii="Arial" w:hAnsi="Arial" w:cs="Arial"/>
          <w:sz w:val="18"/>
          <w:szCs w:val="18"/>
        </w:rPr>
        <w:tab/>
      </w:r>
      <w:r w:rsidR="002F2CC1" w:rsidRPr="00F94EA3">
        <w:rPr>
          <w:rFonts w:ascii="Arial" w:hAnsi="Arial" w:cs="Arial"/>
          <w:sz w:val="18"/>
          <w:szCs w:val="18"/>
        </w:rPr>
        <w:tab/>
      </w:r>
      <w:r w:rsidR="002F2CC1" w:rsidRPr="00F94EA3">
        <w:rPr>
          <w:rFonts w:ascii="Arial" w:hAnsi="Arial" w:cs="Arial"/>
          <w:sz w:val="18"/>
          <w:szCs w:val="18"/>
        </w:rPr>
        <w:tab/>
      </w:r>
      <w:r w:rsidR="002F2CC1" w:rsidRPr="00F94EA3">
        <w:rPr>
          <w:rFonts w:ascii="Arial" w:hAnsi="Arial" w:cs="Arial"/>
          <w:sz w:val="18"/>
          <w:szCs w:val="18"/>
        </w:rPr>
        <w:tab/>
      </w:r>
      <w:r w:rsidR="002F2CC1" w:rsidRPr="00F94EA3">
        <w:rPr>
          <w:rFonts w:ascii="Arial" w:hAnsi="Arial" w:cs="Arial"/>
          <w:sz w:val="18"/>
          <w:szCs w:val="18"/>
        </w:rPr>
        <w:tab/>
      </w:r>
      <w:r w:rsidRPr="00F94EA3">
        <w:rPr>
          <w:rFonts w:ascii="Arial" w:hAnsi="Arial" w:cs="Arial"/>
          <w:sz w:val="18"/>
          <w:szCs w:val="18"/>
        </w:rPr>
        <w:t>I</w:t>
      </w:r>
      <w:r w:rsidR="002F2CC1" w:rsidRPr="00F94EA3">
        <w:rPr>
          <w:rFonts w:ascii="Arial" w:hAnsi="Arial" w:cs="Arial"/>
          <w:sz w:val="18"/>
          <w:szCs w:val="18"/>
        </w:rPr>
        <w:t>tálie</w:t>
      </w:r>
      <w:r w:rsidR="00514928" w:rsidRPr="00F94EA3">
        <w:rPr>
          <w:rFonts w:ascii="Arial" w:hAnsi="Arial" w:cs="Arial"/>
          <w:sz w:val="18"/>
          <w:szCs w:val="18"/>
        </w:rPr>
        <w:t xml:space="preserve">   </w:t>
      </w:r>
    </w:p>
    <w:p w:rsidR="00F546FC" w:rsidRPr="000568E8" w:rsidRDefault="005E2C18" w:rsidP="0047465B">
      <w:pPr>
        <w:spacing w:after="0"/>
        <w:ind w:left="708" w:hanging="708"/>
        <w:rPr>
          <w:rFonts w:ascii="Arial" w:hAnsi="Arial" w:cs="Arial"/>
          <w:color w:val="FF0000"/>
          <w:sz w:val="19"/>
          <w:szCs w:val="19"/>
        </w:rPr>
      </w:pPr>
      <w:r>
        <w:rPr>
          <w:rFonts w:ascii="Arial" w:hAnsi="Arial" w:cs="Arial"/>
          <w:color w:val="FF0000"/>
          <w:sz w:val="19"/>
          <w:szCs w:val="19"/>
        </w:rPr>
        <w:pict>
          <v:shape id="_x0000_i1053" type="#_x0000_t75" style="width:228.75pt;height:220.5pt">
            <v:imagedata r:id="rId37" o:title=""/>
          </v:shape>
        </w:pict>
      </w:r>
      <w:r w:rsidR="005F244C">
        <w:rPr>
          <w:rFonts w:ascii="Arial" w:hAnsi="Arial" w:cs="Arial"/>
          <w:color w:val="FF0000"/>
          <w:sz w:val="19"/>
          <w:szCs w:val="19"/>
        </w:rPr>
        <w:t xml:space="preserve">         </w:t>
      </w:r>
      <w:r>
        <w:rPr>
          <w:rFonts w:ascii="Arial" w:hAnsi="Arial" w:cs="Arial"/>
          <w:color w:val="FF0000"/>
          <w:sz w:val="19"/>
          <w:szCs w:val="19"/>
        </w:rPr>
        <w:pict>
          <v:shape id="_x0000_i1054" type="#_x0000_t75" style="width:228.75pt;height:220.5pt">
            <v:imagedata r:id="rId38" o:title=""/>
          </v:shape>
        </w:pict>
      </w:r>
      <w:r w:rsidR="00AC40E5">
        <w:rPr>
          <w:rFonts w:ascii="Arial" w:hAnsi="Arial" w:cs="Arial"/>
          <w:color w:val="FF0000"/>
          <w:sz w:val="19"/>
          <w:szCs w:val="19"/>
        </w:rPr>
        <w:t xml:space="preserve">        </w:t>
      </w:r>
    </w:p>
    <w:p w:rsidR="00A477DA" w:rsidRPr="005F244C" w:rsidRDefault="00CE01AD" w:rsidP="0047465B">
      <w:pPr>
        <w:spacing w:before="480" w:after="20"/>
        <w:rPr>
          <w:rFonts w:ascii="Arial" w:hAnsi="Arial" w:cs="Arial"/>
          <w:sz w:val="18"/>
          <w:szCs w:val="18"/>
        </w:rPr>
      </w:pPr>
      <w:r w:rsidRPr="000568E8">
        <w:rPr>
          <w:rFonts w:ascii="Arial" w:hAnsi="Arial" w:cs="Arial"/>
          <w:color w:val="FF0000"/>
          <w:sz w:val="19"/>
          <w:szCs w:val="19"/>
        </w:rPr>
        <w:t xml:space="preserve">     </w:t>
      </w:r>
      <w:r w:rsidR="005171CB" w:rsidRPr="000568E8">
        <w:rPr>
          <w:rFonts w:ascii="Arial" w:hAnsi="Arial" w:cs="Arial"/>
          <w:color w:val="FF0000"/>
          <w:sz w:val="19"/>
          <w:szCs w:val="19"/>
        </w:rPr>
        <w:t xml:space="preserve"> </w:t>
      </w:r>
      <w:r w:rsidRPr="000568E8">
        <w:rPr>
          <w:rFonts w:ascii="Arial" w:hAnsi="Arial" w:cs="Arial"/>
          <w:color w:val="FF0000"/>
          <w:sz w:val="19"/>
          <w:szCs w:val="19"/>
        </w:rPr>
        <w:t xml:space="preserve">  </w:t>
      </w:r>
      <w:r w:rsidR="00514928" w:rsidRPr="000568E8">
        <w:rPr>
          <w:rFonts w:ascii="Arial" w:hAnsi="Arial" w:cs="Arial"/>
          <w:color w:val="FF0000"/>
          <w:sz w:val="18"/>
          <w:szCs w:val="18"/>
        </w:rPr>
        <w:t xml:space="preserve">            </w:t>
      </w:r>
      <w:r w:rsidR="005F244C">
        <w:rPr>
          <w:rFonts w:ascii="Arial" w:hAnsi="Arial" w:cs="Arial"/>
          <w:color w:val="FF0000"/>
          <w:sz w:val="18"/>
          <w:szCs w:val="18"/>
        </w:rPr>
        <w:tab/>
      </w:r>
      <w:r w:rsidR="005F244C">
        <w:rPr>
          <w:rFonts w:ascii="Arial" w:hAnsi="Arial" w:cs="Arial"/>
          <w:color w:val="FF0000"/>
          <w:sz w:val="18"/>
          <w:szCs w:val="18"/>
        </w:rPr>
        <w:tab/>
      </w:r>
      <w:r w:rsidR="005F244C">
        <w:rPr>
          <w:rFonts w:ascii="Arial" w:hAnsi="Arial" w:cs="Arial"/>
          <w:color w:val="FF0000"/>
          <w:sz w:val="18"/>
          <w:szCs w:val="18"/>
        </w:rPr>
        <w:tab/>
      </w:r>
      <w:r w:rsidR="005F244C">
        <w:rPr>
          <w:rFonts w:ascii="Arial" w:hAnsi="Arial" w:cs="Arial"/>
          <w:color w:val="FF0000"/>
          <w:sz w:val="18"/>
          <w:szCs w:val="18"/>
        </w:rPr>
        <w:tab/>
      </w:r>
      <w:r w:rsidR="005F244C">
        <w:rPr>
          <w:rFonts w:ascii="Arial" w:hAnsi="Arial" w:cs="Arial"/>
          <w:color w:val="FF0000"/>
          <w:sz w:val="18"/>
          <w:szCs w:val="18"/>
        </w:rPr>
        <w:tab/>
      </w:r>
      <w:r w:rsidR="00514928" w:rsidRPr="000568E8">
        <w:rPr>
          <w:rFonts w:ascii="Arial" w:hAnsi="Arial" w:cs="Arial"/>
          <w:color w:val="FF0000"/>
          <w:sz w:val="18"/>
          <w:szCs w:val="18"/>
        </w:rPr>
        <w:t xml:space="preserve">   </w:t>
      </w:r>
      <w:r w:rsidR="0047465B" w:rsidRPr="005F244C">
        <w:rPr>
          <w:rFonts w:ascii="Arial" w:hAnsi="Arial" w:cs="Arial"/>
          <w:sz w:val="18"/>
          <w:szCs w:val="18"/>
        </w:rPr>
        <w:t>Slovensko</w:t>
      </w:r>
    </w:p>
    <w:p w:rsidR="00AC40E5" w:rsidRDefault="005E2C18" w:rsidP="00AC40E5">
      <w:pPr>
        <w:spacing w:after="20"/>
        <w:ind w:left="2832" w:hanging="2832"/>
        <w:rPr>
          <w:rFonts w:ascii="Arial" w:hAnsi="Arial" w:cs="Arial"/>
          <w:color w:val="FF0000"/>
          <w:sz w:val="18"/>
          <w:szCs w:val="18"/>
        </w:rPr>
      </w:pPr>
      <w:r>
        <w:rPr>
          <w:rFonts w:ascii="Arial" w:hAnsi="Arial" w:cs="Arial"/>
          <w:color w:val="FF0000"/>
          <w:sz w:val="18"/>
          <w:szCs w:val="18"/>
        </w:rPr>
        <w:pict>
          <v:shape id="_x0000_i1055" type="#_x0000_t75" style="width:478.5pt;height:177pt">
            <v:imagedata r:id="rId39" o:title=""/>
          </v:shape>
        </w:pict>
      </w:r>
    </w:p>
    <w:p w:rsidR="0047465B" w:rsidRDefault="0047465B">
      <w:pPr>
        <w:rPr>
          <w:rFonts w:ascii="Arial" w:hAnsi="Arial" w:cs="Arial"/>
          <w:b/>
          <w:color w:val="FF0000"/>
          <w:sz w:val="19"/>
          <w:szCs w:val="19"/>
        </w:rPr>
      </w:pPr>
      <w:r>
        <w:rPr>
          <w:rFonts w:ascii="Arial" w:hAnsi="Arial" w:cs="Arial"/>
          <w:b/>
          <w:color w:val="FF0000"/>
          <w:sz w:val="19"/>
          <w:szCs w:val="19"/>
        </w:rPr>
        <w:br w:type="page"/>
      </w:r>
    </w:p>
    <w:p w:rsidR="00470ED6" w:rsidRPr="005F244C" w:rsidRDefault="00470ED6" w:rsidP="00470ED6">
      <w:pPr>
        <w:spacing w:before="240" w:after="20"/>
        <w:ind w:left="708" w:hanging="708"/>
        <w:rPr>
          <w:rFonts w:ascii="Arial" w:hAnsi="Arial" w:cs="Arial"/>
          <w:b/>
          <w:sz w:val="19"/>
          <w:szCs w:val="19"/>
        </w:rPr>
      </w:pPr>
      <w:r w:rsidRPr="005F244C">
        <w:rPr>
          <w:rFonts w:ascii="Arial" w:hAnsi="Arial" w:cs="Arial"/>
          <w:b/>
          <w:sz w:val="19"/>
          <w:szCs w:val="19"/>
        </w:rPr>
        <w:lastRenderedPageBreak/>
        <w:t>Zahraniční obchod ČR s vybranými státy v roce 2016 (v mld. Kč)</w:t>
      </w:r>
    </w:p>
    <w:p w:rsidR="002F2CC1" w:rsidRPr="00F94EA3" w:rsidRDefault="0047465B" w:rsidP="00AC40E5">
      <w:pPr>
        <w:spacing w:before="240" w:after="20"/>
        <w:ind w:left="708" w:firstLine="708"/>
        <w:rPr>
          <w:rFonts w:ascii="Arial" w:hAnsi="Arial" w:cs="Arial"/>
          <w:color w:val="FF0000"/>
          <w:sz w:val="18"/>
          <w:szCs w:val="18"/>
        </w:rPr>
      </w:pPr>
      <w:r w:rsidRPr="00F94EA3">
        <w:rPr>
          <w:rFonts w:ascii="Arial" w:hAnsi="Arial" w:cs="Arial"/>
          <w:sz w:val="18"/>
          <w:szCs w:val="18"/>
        </w:rPr>
        <w:t>Rakousko</w:t>
      </w:r>
      <w:r w:rsidR="002F2CC1" w:rsidRPr="00F94EA3">
        <w:rPr>
          <w:rFonts w:ascii="Arial" w:hAnsi="Arial" w:cs="Arial"/>
          <w:color w:val="FF0000"/>
          <w:sz w:val="18"/>
          <w:szCs w:val="18"/>
        </w:rPr>
        <w:tab/>
      </w:r>
      <w:r w:rsidR="002F2CC1" w:rsidRPr="00F94EA3">
        <w:rPr>
          <w:rFonts w:ascii="Arial" w:hAnsi="Arial" w:cs="Arial"/>
          <w:color w:val="FF0000"/>
          <w:sz w:val="18"/>
          <w:szCs w:val="18"/>
        </w:rPr>
        <w:tab/>
      </w:r>
      <w:r w:rsidR="002F2CC1" w:rsidRPr="00F94EA3">
        <w:rPr>
          <w:rFonts w:ascii="Arial" w:hAnsi="Arial" w:cs="Arial"/>
          <w:color w:val="FF0000"/>
          <w:sz w:val="18"/>
          <w:szCs w:val="18"/>
        </w:rPr>
        <w:tab/>
      </w:r>
      <w:r w:rsidR="002F2CC1" w:rsidRPr="00F94EA3">
        <w:rPr>
          <w:rFonts w:ascii="Arial" w:hAnsi="Arial" w:cs="Arial"/>
          <w:color w:val="FF0000"/>
          <w:sz w:val="18"/>
          <w:szCs w:val="18"/>
        </w:rPr>
        <w:tab/>
      </w:r>
      <w:r w:rsidR="002F2CC1" w:rsidRPr="00F94EA3">
        <w:rPr>
          <w:rFonts w:ascii="Arial" w:hAnsi="Arial" w:cs="Arial"/>
          <w:color w:val="FF0000"/>
          <w:sz w:val="18"/>
          <w:szCs w:val="18"/>
        </w:rPr>
        <w:tab/>
      </w:r>
      <w:r w:rsidR="002F2CC1" w:rsidRPr="00F94EA3">
        <w:rPr>
          <w:rFonts w:ascii="Arial" w:hAnsi="Arial" w:cs="Arial"/>
          <w:color w:val="FF0000"/>
          <w:sz w:val="18"/>
          <w:szCs w:val="18"/>
        </w:rPr>
        <w:tab/>
      </w:r>
      <w:r w:rsidRPr="00F94EA3">
        <w:rPr>
          <w:rFonts w:ascii="Arial" w:hAnsi="Arial" w:cs="Arial"/>
          <w:sz w:val="18"/>
          <w:szCs w:val="18"/>
        </w:rPr>
        <w:t>Spojené království</w:t>
      </w:r>
    </w:p>
    <w:p w:rsidR="00AC40E5" w:rsidRPr="000568E8" w:rsidRDefault="005E2C18" w:rsidP="00AC40E5">
      <w:pPr>
        <w:spacing w:after="20"/>
        <w:ind w:left="708" w:hanging="708"/>
        <w:rPr>
          <w:rFonts w:ascii="Arial" w:hAnsi="Arial" w:cs="Arial"/>
          <w:color w:val="FF0000"/>
          <w:sz w:val="19"/>
          <w:szCs w:val="19"/>
        </w:rPr>
      </w:pPr>
      <w:r>
        <w:rPr>
          <w:rFonts w:ascii="Arial" w:hAnsi="Arial" w:cs="Arial"/>
          <w:color w:val="FF0000"/>
          <w:sz w:val="19"/>
          <w:szCs w:val="19"/>
        </w:rPr>
        <w:pict>
          <v:shape id="_x0000_i1056" type="#_x0000_t75" style="width:228.75pt;height:220.5pt">
            <v:imagedata r:id="rId40" o:title=""/>
          </v:shape>
        </w:pict>
      </w:r>
      <w:r w:rsidR="00AC40E5">
        <w:rPr>
          <w:rFonts w:ascii="Arial" w:hAnsi="Arial" w:cs="Arial"/>
          <w:color w:val="FF0000"/>
          <w:sz w:val="19"/>
          <w:szCs w:val="19"/>
        </w:rPr>
        <w:t xml:space="preserve">       </w:t>
      </w:r>
      <w:r>
        <w:rPr>
          <w:rFonts w:ascii="Arial" w:hAnsi="Arial" w:cs="Arial"/>
          <w:color w:val="FF0000"/>
          <w:sz w:val="19"/>
          <w:szCs w:val="19"/>
        </w:rPr>
        <w:pict>
          <v:shape id="_x0000_i1057" type="#_x0000_t75" style="width:228.75pt;height:220.5pt">
            <v:imagedata r:id="rId41" o:title=""/>
          </v:shape>
        </w:pict>
      </w:r>
    </w:p>
    <w:p w:rsidR="00A477DA" w:rsidRPr="00B227ED" w:rsidRDefault="0047465B" w:rsidP="008A5250">
      <w:pPr>
        <w:spacing w:before="240" w:after="20"/>
        <w:jc w:val="center"/>
        <w:rPr>
          <w:rFonts w:ascii="Arial" w:hAnsi="Arial" w:cs="Arial"/>
          <w:sz w:val="18"/>
          <w:szCs w:val="18"/>
        </w:rPr>
      </w:pPr>
      <w:r w:rsidRPr="00B227ED">
        <w:rPr>
          <w:rFonts w:ascii="Arial" w:hAnsi="Arial" w:cs="Arial"/>
          <w:sz w:val="18"/>
          <w:szCs w:val="18"/>
        </w:rPr>
        <w:t>Polsko</w:t>
      </w:r>
    </w:p>
    <w:p w:rsidR="002F2CC1" w:rsidRDefault="005E2C18" w:rsidP="00470ED6">
      <w:pPr>
        <w:spacing w:after="120"/>
        <w:rPr>
          <w:rFonts w:ascii="Arial" w:hAnsi="Arial" w:cs="Arial"/>
          <w:color w:val="FF0000"/>
          <w:sz w:val="18"/>
          <w:szCs w:val="18"/>
        </w:rPr>
      </w:pPr>
      <w:r>
        <w:rPr>
          <w:rFonts w:ascii="Arial" w:hAnsi="Arial" w:cs="Arial"/>
          <w:color w:val="FF0000"/>
          <w:sz w:val="18"/>
          <w:szCs w:val="18"/>
        </w:rPr>
        <w:pict>
          <v:shape id="_x0000_i1058" type="#_x0000_t75" style="width:478.5pt;height:177pt">
            <v:imagedata r:id="rId42" o:title=""/>
          </v:shape>
        </w:pict>
      </w:r>
      <w:r w:rsidR="00600C8B">
        <w:rPr>
          <w:rFonts w:ascii="Arial" w:hAnsi="Arial" w:cs="Arial"/>
          <w:color w:val="FF0000"/>
          <w:sz w:val="18"/>
          <w:szCs w:val="18"/>
        </w:rPr>
        <w:t xml:space="preserve">   </w:t>
      </w:r>
      <w:r w:rsidR="001F2588" w:rsidRPr="000568E8">
        <w:rPr>
          <w:rFonts w:ascii="Arial" w:hAnsi="Arial" w:cs="Arial"/>
          <w:color w:val="FF0000"/>
          <w:sz w:val="18"/>
          <w:szCs w:val="18"/>
        </w:rPr>
        <w:t xml:space="preserve">                </w:t>
      </w:r>
    </w:p>
    <w:p w:rsidR="00A477DA" w:rsidRDefault="00AC40E5" w:rsidP="00470ED6">
      <w:pPr>
        <w:spacing w:before="240" w:after="20"/>
        <w:ind w:left="1416" w:firstLine="708"/>
        <w:rPr>
          <w:rFonts w:ascii="Arial" w:hAnsi="Arial" w:cs="Arial"/>
          <w:color w:val="FF0000"/>
          <w:sz w:val="18"/>
          <w:szCs w:val="18"/>
        </w:rPr>
      </w:pPr>
      <w:r w:rsidRPr="00EF7A6D">
        <w:rPr>
          <w:rFonts w:ascii="Arial" w:hAnsi="Arial" w:cs="Arial"/>
          <w:sz w:val="18"/>
          <w:szCs w:val="18"/>
        </w:rPr>
        <w:t>Čína</w:t>
      </w:r>
      <w:r>
        <w:rPr>
          <w:rFonts w:ascii="Arial" w:hAnsi="Arial" w:cs="Arial"/>
          <w:color w:val="FF0000"/>
          <w:sz w:val="18"/>
          <w:szCs w:val="18"/>
        </w:rPr>
        <w:tab/>
      </w:r>
      <w:r>
        <w:rPr>
          <w:rFonts w:ascii="Arial" w:hAnsi="Arial" w:cs="Arial"/>
          <w:color w:val="FF0000"/>
          <w:sz w:val="18"/>
          <w:szCs w:val="18"/>
        </w:rPr>
        <w:tab/>
      </w:r>
      <w:r>
        <w:rPr>
          <w:rFonts w:ascii="Arial" w:hAnsi="Arial" w:cs="Arial"/>
          <w:color w:val="FF0000"/>
          <w:sz w:val="18"/>
          <w:szCs w:val="18"/>
        </w:rPr>
        <w:tab/>
      </w:r>
      <w:r>
        <w:rPr>
          <w:rFonts w:ascii="Arial" w:hAnsi="Arial" w:cs="Arial"/>
          <w:color w:val="FF0000"/>
          <w:sz w:val="18"/>
          <w:szCs w:val="18"/>
        </w:rPr>
        <w:tab/>
      </w:r>
      <w:r w:rsidR="00EF7A6D">
        <w:rPr>
          <w:rFonts w:ascii="Arial" w:hAnsi="Arial" w:cs="Arial"/>
          <w:color w:val="FF0000"/>
          <w:sz w:val="18"/>
          <w:szCs w:val="18"/>
        </w:rPr>
        <w:tab/>
      </w:r>
      <w:r w:rsidR="00EF7A6D">
        <w:rPr>
          <w:rFonts w:ascii="Arial" w:hAnsi="Arial" w:cs="Arial"/>
          <w:color w:val="FF0000"/>
          <w:sz w:val="18"/>
          <w:szCs w:val="18"/>
        </w:rPr>
        <w:tab/>
      </w:r>
      <w:r w:rsidRPr="00EF7A6D">
        <w:rPr>
          <w:rFonts w:ascii="Arial" w:hAnsi="Arial" w:cs="Arial"/>
          <w:sz w:val="18"/>
          <w:szCs w:val="18"/>
        </w:rPr>
        <w:t xml:space="preserve"> </w:t>
      </w:r>
      <w:r w:rsidR="00FD23CB" w:rsidRPr="00EF7A6D">
        <w:rPr>
          <w:rFonts w:ascii="Arial" w:hAnsi="Arial" w:cs="Arial"/>
          <w:sz w:val="18"/>
          <w:szCs w:val="18"/>
        </w:rPr>
        <w:t>Ruská federace</w:t>
      </w:r>
    </w:p>
    <w:p w:rsidR="00600C8B" w:rsidRPr="000568E8" w:rsidRDefault="005E2C18" w:rsidP="00470ED6">
      <w:pPr>
        <w:spacing w:after="20"/>
        <w:ind w:left="1416" w:hanging="1416"/>
        <w:rPr>
          <w:rFonts w:ascii="Arial" w:hAnsi="Arial" w:cs="Arial"/>
          <w:color w:val="FF0000"/>
          <w:sz w:val="18"/>
          <w:szCs w:val="18"/>
        </w:rPr>
      </w:pPr>
      <w:r>
        <w:rPr>
          <w:rFonts w:ascii="Arial" w:hAnsi="Arial" w:cs="Arial"/>
          <w:color w:val="FF0000"/>
          <w:sz w:val="18"/>
          <w:szCs w:val="18"/>
        </w:rPr>
        <w:pict>
          <v:shape id="_x0000_i1059" type="#_x0000_t75" style="width:228.75pt;height:220.5pt">
            <v:imagedata r:id="rId43" o:title=""/>
          </v:shape>
        </w:pict>
      </w:r>
      <w:r w:rsidR="00600C8B">
        <w:rPr>
          <w:rFonts w:ascii="Arial" w:hAnsi="Arial" w:cs="Arial"/>
          <w:color w:val="FF0000"/>
          <w:sz w:val="18"/>
          <w:szCs w:val="18"/>
        </w:rPr>
        <w:t xml:space="preserve"> </w:t>
      </w:r>
      <w:r w:rsidR="00D86113">
        <w:rPr>
          <w:rFonts w:ascii="Arial" w:hAnsi="Arial" w:cs="Arial"/>
          <w:color w:val="FF0000"/>
          <w:sz w:val="18"/>
          <w:szCs w:val="18"/>
        </w:rPr>
        <w:t xml:space="preserve">      </w:t>
      </w:r>
      <w:r w:rsidR="00600C8B">
        <w:rPr>
          <w:rFonts w:ascii="Arial" w:hAnsi="Arial" w:cs="Arial"/>
          <w:color w:val="FF0000"/>
          <w:sz w:val="18"/>
          <w:szCs w:val="18"/>
        </w:rPr>
        <w:t xml:space="preserve">  </w:t>
      </w:r>
      <w:r>
        <w:rPr>
          <w:rFonts w:ascii="Arial" w:hAnsi="Arial" w:cs="Arial"/>
          <w:color w:val="FF0000"/>
          <w:sz w:val="18"/>
          <w:szCs w:val="18"/>
        </w:rPr>
        <w:pict>
          <v:shape id="_x0000_i1060" type="#_x0000_t75" style="width:228.75pt;height:220.5pt">
            <v:imagedata r:id="rId44" o:title=""/>
          </v:shape>
        </w:pict>
      </w:r>
    </w:p>
    <w:p w:rsidR="00BA7845" w:rsidRPr="00D70B55" w:rsidRDefault="00BA7845" w:rsidP="00BA7845">
      <w:pPr>
        <w:numPr>
          <w:ilvl w:val="0"/>
          <w:numId w:val="1"/>
        </w:numPr>
        <w:spacing w:after="120"/>
        <w:ind w:left="284" w:hanging="284"/>
        <w:rPr>
          <w:rFonts w:ascii="Arial" w:hAnsi="Arial" w:cs="Arial"/>
          <w:b/>
        </w:rPr>
      </w:pPr>
      <w:r w:rsidRPr="00D70B55">
        <w:rPr>
          <w:rFonts w:ascii="Arial" w:hAnsi="Arial" w:cs="Arial"/>
          <w:b/>
        </w:rPr>
        <w:lastRenderedPageBreak/>
        <w:t>Údaje Eurostatu</w:t>
      </w:r>
      <w:r w:rsidRPr="00D70B55">
        <w:rPr>
          <w:rStyle w:val="Znakapoznpodarou"/>
          <w:rFonts w:ascii="Arial" w:hAnsi="Arial" w:cs="Arial"/>
        </w:rPr>
        <w:footnoteReference w:id="11"/>
      </w:r>
    </w:p>
    <w:p w:rsidR="00237392" w:rsidRPr="00237392" w:rsidRDefault="00237392" w:rsidP="00237392">
      <w:pPr>
        <w:spacing w:after="120"/>
        <w:jc w:val="both"/>
        <w:rPr>
          <w:rFonts w:ascii="Arial" w:hAnsi="Arial" w:cs="Arial"/>
          <w:sz w:val="18"/>
          <w:szCs w:val="18"/>
        </w:rPr>
      </w:pPr>
      <w:r w:rsidRPr="00237392">
        <w:rPr>
          <w:rFonts w:ascii="Arial" w:hAnsi="Arial" w:cs="Arial"/>
          <w:sz w:val="18"/>
          <w:szCs w:val="18"/>
        </w:rPr>
        <w:t xml:space="preserve">Celkový </w:t>
      </w:r>
      <w:r w:rsidRPr="00237392">
        <w:rPr>
          <w:rFonts w:ascii="Arial" w:hAnsi="Arial" w:cs="Arial"/>
          <w:b/>
          <w:sz w:val="18"/>
          <w:szCs w:val="18"/>
        </w:rPr>
        <w:t>vývoz E</w:t>
      </w:r>
      <w:r w:rsidR="00765582">
        <w:rPr>
          <w:rFonts w:ascii="Arial" w:hAnsi="Arial" w:cs="Arial"/>
          <w:b/>
          <w:sz w:val="18"/>
          <w:szCs w:val="18"/>
        </w:rPr>
        <w:t>U</w:t>
      </w:r>
      <w:r w:rsidRPr="00237392">
        <w:rPr>
          <w:rStyle w:val="Znakapoznpodarou"/>
          <w:rFonts w:ascii="Arial" w:hAnsi="Arial" w:cs="Arial"/>
          <w:b/>
          <w:sz w:val="18"/>
          <w:szCs w:val="18"/>
        </w:rPr>
        <w:footnoteReference w:id="12"/>
      </w:r>
      <w:r w:rsidRPr="00237392">
        <w:rPr>
          <w:rFonts w:ascii="Arial" w:hAnsi="Arial" w:cs="Arial"/>
          <w:sz w:val="18"/>
          <w:szCs w:val="18"/>
        </w:rPr>
        <w:t xml:space="preserve"> se v roce 2016 v absolutním vyjádření zvýšil pouze o </w:t>
      </w:r>
      <w:r>
        <w:rPr>
          <w:rFonts w:ascii="Arial" w:hAnsi="Arial" w:cs="Arial"/>
          <w:sz w:val="18"/>
          <w:szCs w:val="18"/>
        </w:rPr>
        <w:t>0,3 mld. EUR na </w:t>
      </w:r>
      <w:r w:rsidRPr="00237392">
        <w:rPr>
          <w:rFonts w:ascii="Arial" w:hAnsi="Arial" w:cs="Arial"/>
          <w:sz w:val="18"/>
          <w:szCs w:val="18"/>
        </w:rPr>
        <w:t>4 859,</w:t>
      </w:r>
      <w:r>
        <w:rPr>
          <w:rFonts w:ascii="Arial" w:hAnsi="Arial" w:cs="Arial"/>
          <w:sz w:val="18"/>
          <w:szCs w:val="18"/>
        </w:rPr>
        <w:t>8 mld. </w:t>
      </w:r>
      <w:r w:rsidR="00765582">
        <w:rPr>
          <w:rFonts w:ascii="Arial" w:hAnsi="Arial" w:cs="Arial"/>
          <w:sz w:val="18"/>
          <w:szCs w:val="18"/>
        </w:rPr>
        <w:t>EUR po </w:t>
      </w:r>
      <w:r w:rsidRPr="00237392">
        <w:rPr>
          <w:rFonts w:ascii="Arial" w:hAnsi="Arial" w:cs="Arial"/>
          <w:sz w:val="18"/>
          <w:szCs w:val="18"/>
        </w:rPr>
        <w:t>přírůstku o 4,8 % (222,9 mld. EUR) v roce 2015. Příčinou stagnace celkového vývozu EU byl nízký přírůstek obchodu v rámci Unie (intra EU) o 1,5 % (ve srovnání s 4,7 % v roce 2015) a hlavně pokles obchodu se státy mimo EU (extra EU) o 2,6 % (oproti růstu o 5,1 % v roce 2015). Vývoz devatenácti států eurozóny v roce 20</w:t>
      </w:r>
      <w:r w:rsidR="00765582">
        <w:rPr>
          <w:rFonts w:ascii="Arial" w:hAnsi="Arial" w:cs="Arial"/>
          <w:sz w:val="18"/>
          <w:szCs w:val="18"/>
        </w:rPr>
        <w:t>16 meziročně stoupl pouze o 0,8 </w:t>
      </w:r>
      <w:r w:rsidRPr="00237392">
        <w:rPr>
          <w:rFonts w:ascii="Arial" w:hAnsi="Arial" w:cs="Arial"/>
          <w:sz w:val="18"/>
          <w:szCs w:val="18"/>
        </w:rPr>
        <w:t>% v porovnání s růstem o 4,2 % v předchozím roce. Největší podíl na celkovém vývozu EU v</w:t>
      </w:r>
      <w:r w:rsidR="00765582">
        <w:rPr>
          <w:rFonts w:ascii="Arial" w:hAnsi="Arial" w:cs="Arial"/>
          <w:sz w:val="18"/>
          <w:szCs w:val="18"/>
        </w:rPr>
        <w:t xml:space="preserve"> </w:t>
      </w:r>
      <w:r w:rsidRPr="00237392">
        <w:rPr>
          <w:rFonts w:ascii="Arial" w:hAnsi="Arial" w:cs="Arial"/>
          <w:sz w:val="18"/>
          <w:szCs w:val="18"/>
        </w:rPr>
        <w:t>roce 2016 patřil Německu (24,9 %), Nizozemsku (10,6 %), Francii (9,3 %) a Itálii</w:t>
      </w:r>
      <w:r>
        <w:rPr>
          <w:rFonts w:ascii="Arial" w:hAnsi="Arial" w:cs="Arial"/>
          <w:sz w:val="18"/>
          <w:szCs w:val="18"/>
        </w:rPr>
        <w:t xml:space="preserve"> (8,6 %). Česká republika se na</w:t>
      </w:r>
      <w:r w:rsidR="00765582">
        <w:rPr>
          <w:rFonts w:ascii="Arial" w:hAnsi="Arial" w:cs="Arial"/>
          <w:sz w:val="18"/>
          <w:szCs w:val="18"/>
        </w:rPr>
        <w:t xml:space="preserve"> </w:t>
      </w:r>
      <w:r w:rsidRPr="00237392">
        <w:rPr>
          <w:rFonts w:ascii="Arial" w:hAnsi="Arial" w:cs="Arial"/>
          <w:sz w:val="18"/>
          <w:szCs w:val="18"/>
        </w:rPr>
        <w:t xml:space="preserve">vývozu EU celkem podílela 3,0 %, což bylo o 0,1 p. b. více než v předešlém roce. </w:t>
      </w:r>
    </w:p>
    <w:p w:rsidR="00237392" w:rsidRPr="00237392" w:rsidRDefault="00237392" w:rsidP="00655210">
      <w:pPr>
        <w:spacing w:after="160"/>
        <w:jc w:val="both"/>
        <w:rPr>
          <w:rFonts w:ascii="Arial" w:hAnsi="Arial" w:cs="Arial"/>
          <w:sz w:val="18"/>
          <w:szCs w:val="18"/>
        </w:rPr>
      </w:pPr>
      <w:r w:rsidRPr="00237392">
        <w:rPr>
          <w:rFonts w:ascii="Arial" w:hAnsi="Arial" w:cs="Arial"/>
          <w:sz w:val="18"/>
          <w:szCs w:val="18"/>
        </w:rPr>
        <w:t xml:space="preserve">Po přírůstku o 3,9 % v roce 2015 tempo růstu celkového </w:t>
      </w:r>
      <w:r w:rsidRPr="00237392">
        <w:rPr>
          <w:rFonts w:ascii="Arial" w:hAnsi="Arial" w:cs="Arial"/>
          <w:b/>
          <w:sz w:val="18"/>
          <w:szCs w:val="18"/>
        </w:rPr>
        <w:t>dovozu zboží do EU</w:t>
      </w:r>
      <w:r w:rsidRPr="00237392">
        <w:rPr>
          <w:rFonts w:ascii="Arial" w:hAnsi="Arial" w:cs="Arial"/>
          <w:sz w:val="18"/>
          <w:szCs w:val="18"/>
        </w:rPr>
        <w:t xml:space="preserve"> v roce 2016 zpomalilo na 0,5 %. Dovoz vzrostl na 4 748,7 mld. EUR, což bylo o 25,3 mld. EUR více než v předchozím roce. Růst vnitrounijního dovozu se snížil na 1,5 % ve srovnání s přírůstkem o 4,9 % v roce 2015. Dovoz ze států mimo EU do Unie v roce 2016 klesl</w:t>
      </w:r>
      <w:r>
        <w:rPr>
          <w:rFonts w:ascii="Arial" w:hAnsi="Arial" w:cs="Arial"/>
          <w:sz w:val="18"/>
          <w:szCs w:val="18"/>
        </w:rPr>
        <w:t xml:space="preserve"> o 1,1 </w:t>
      </w:r>
      <w:r w:rsidRPr="00237392">
        <w:rPr>
          <w:rFonts w:ascii="Arial" w:hAnsi="Arial" w:cs="Arial"/>
          <w:sz w:val="18"/>
          <w:szCs w:val="18"/>
        </w:rPr>
        <w:t>% po růstu o 2,2 % v předešlém roce. Slabší byl také dovoz do států eurozóny, kter</w:t>
      </w:r>
      <w:r w:rsidR="00765582">
        <w:rPr>
          <w:rFonts w:ascii="Arial" w:hAnsi="Arial" w:cs="Arial"/>
          <w:sz w:val="18"/>
          <w:szCs w:val="18"/>
        </w:rPr>
        <w:t>ý vykázal přírůstek pouze o 0,1 </w:t>
      </w:r>
      <w:r w:rsidRPr="00237392">
        <w:rPr>
          <w:rFonts w:ascii="Arial" w:hAnsi="Arial" w:cs="Arial"/>
          <w:sz w:val="18"/>
          <w:szCs w:val="18"/>
        </w:rPr>
        <w:t>% ve srovnání s navýšením o 2,9 % v roce 2015. Na celkovém dovozu EU se v roce 2016 nejvíce podílelo Německo (20,1 %), Spojené království (12,1 %), Francie (10,9 %), Nizozemsko (9,6 %) a Itálie (7,7 %). Podíl České republiky na celkovém dovozu států EU zůstal v roce 2016 stejný jako v pře</w:t>
      </w:r>
      <w:r w:rsidR="00C44DDC">
        <w:rPr>
          <w:rFonts w:ascii="Arial" w:hAnsi="Arial" w:cs="Arial"/>
          <w:sz w:val="18"/>
          <w:szCs w:val="18"/>
        </w:rPr>
        <w:t>d</w:t>
      </w:r>
      <w:r w:rsidRPr="00237392">
        <w:rPr>
          <w:rFonts w:ascii="Arial" w:hAnsi="Arial" w:cs="Arial"/>
          <w:sz w:val="18"/>
          <w:szCs w:val="18"/>
        </w:rPr>
        <w:t xml:space="preserve">cházejícím roce (2,7 %). </w:t>
      </w:r>
    </w:p>
    <w:p w:rsidR="00E5471B" w:rsidRPr="00237392" w:rsidRDefault="00BA7845" w:rsidP="00E5471B">
      <w:pPr>
        <w:spacing w:after="0"/>
        <w:jc w:val="both"/>
        <w:rPr>
          <w:rFonts w:ascii="Arial" w:hAnsi="Arial" w:cs="Arial"/>
          <w:b/>
          <w:sz w:val="18"/>
          <w:szCs w:val="18"/>
        </w:rPr>
      </w:pPr>
      <w:r w:rsidRPr="00237392">
        <w:rPr>
          <w:rFonts w:ascii="Arial" w:hAnsi="Arial" w:cs="Arial"/>
          <w:b/>
          <w:sz w:val="18"/>
          <w:szCs w:val="18"/>
        </w:rPr>
        <w:t xml:space="preserve">Graf </w:t>
      </w:r>
      <w:r w:rsidR="00B50B36" w:rsidRPr="00237392">
        <w:rPr>
          <w:rFonts w:ascii="Arial" w:hAnsi="Arial" w:cs="Arial"/>
          <w:b/>
          <w:sz w:val="18"/>
          <w:szCs w:val="18"/>
        </w:rPr>
        <w:t>2</w:t>
      </w:r>
      <w:r w:rsidR="00215FA5">
        <w:rPr>
          <w:rFonts w:ascii="Arial" w:hAnsi="Arial" w:cs="Arial"/>
          <w:b/>
          <w:sz w:val="18"/>
          <w:szCs w:val="18"/>
        </w:rPr>
        <w:t>1</w:t>
      </w:r>
      <w:r w:rsidRPr="00237392">
        <w:rPr>
          <w:rFonts w:ascii="Arial" w:hAnsi="Arial" w:cs="Arial"/>
          <w:b/>
          <w:sz w:val="18"/>
          <w:szCs w:val="18"/>
        </w:rPr>
        <w:t xml:space="preserve"> - Podíl České republiky a jejích sousedních států</w:t>
      </w:r>
      <w:r w:rsidR="003E3F70" w:rsidRPr="00237392">
        <w:rPr>
          <w:rFonts w:ascii="Arial" w:hAnsi="Arial" w:cs="Arial"/>
          <w:b/>
          <w:sz w:val="18"/>
          <w:szCs w:val="18"/>
        </w:rPr>
        <w:t xml:space="preserve"> </w:t>
      </w:r>
    </w:p>
    <w:p w:rsidR="00BA7845" w:rsidRPr="00237392" w:rsidRDefault="00E5471B" w:rsidP="00A73C7B">
      <w:pPr>
        <w:spacing w:after="60"/>
        <w:jc w:val="both"/>
        <w:rPr>
          <w:rFonts w:ascii="Arial" w:hAnsi="Arial" w:cs="Arial"/>
          <w:b/>
          <w:sz w:val="18"/>
          <w:szCs w:val="18"/>
        </w:rPr>
      </w:pPr>
      <w:r w:rsidRPr="00237392">
        <w:rPr>
          <w:rFonts w:ascii="Arial" w:hAnsi="Arial" w:cs="Arial"/>
          <w:b/>
          <w:sz w:val="18"/>
          <w:szCs w:val="18"/>
        </w:rPr>
        <w:tab/>
      </w:r>
      <w:r w:rsidR="004E1A15" w:rsidRPr="00237392">
        <w:rPr>
          <w:rFonts w:ascii="Arial" w:hAnsi="Arial" w:cs="Arial"/>
          <w:b/>
          <w:sz w:val="18"/>
          <w:szCs w:val="18"/>
        </w:rPr>
        <w:t xml:space="preserve"> </w:t>
      </w:r>
      <w:r w:rsidR="00BA7845" w:rsidRPr="00237392">
        <w:rPr>
          <w:rFonts w:ascii="Arial" w:hAnsi="Arial" w:cs="Arial"/>
          <w:b/>
          <w:sz w:val="18"/>
          <w:szCs w:val="18"/>
        </w:rPr>
        <w:t>na vývozu a dovozu států EU jako celku v roce 201</w:t>
      </w:r>
      <w:r w:rsidR="00237392">
        <w:rPr>
          <w:rFonts w:ascii="Arial" w:hAnsi="Arial" w:cs="Arial"/>
          <w:b/>
          <w:sz w:val="18"/>
          <w:szCs w:val="18"/>
        </w:rPr>
        <w:t>6</w:t>
      </w:r>
    </w:p>
    <w:p w:rsidR="00BA7845" w:rsidRPr="008A7A4E" w:rsidRDefault="00BA7845" w:rsidP="00BA7845">
      <w:pPr>
        <w:spacing w:after="0"/>
        <w:jc w:val="both"/>
        <w:rPr>
          <w:rFonts w:ascii="Arial" w:hAnsi="Arial" w:cs="Arial"/>
          <w:sz w:val="18"/>
          <w:szCs w:val="18"/>
        </w:rPr>
      </w:pPr>
      <w:r w:rsidRPr="000568E8">
        <w:rPr>
          <w:rFonts w:ascii="Arial" w:hAnsi="Arial" w:cs="Arial"/>
          <w:color w:val="FF0000"/>
          <w:sz w:val="18"/>
          <w:szCs w:val="18"/>
        </w:rPr>
        <w:tab/>
      </w:r>
      <w:r w:rsidRPr="000568E8">
        <w:rPr>
          <w:rFonts w:ascii="Arial" w:hAnsi="Arial" w:cs="Arial"/>
          <w:color w:val="FF0000"/>
          <w:sz w:val="18"/>
          <w:szCs w:val="18"/>
        </w:rPr>
        <w:tab/>
      </w:r>
      <w:r w:rsidRPr="008A7A4E">
        <w:rPr>
          <w:rFonts w:ascii="Arial" w:hAnsi="Arial" w:cs="Arial"/>
          <w:sz w:val="18"/>
          <w:szCs w:val="18"/>
        </w:rPr>
        <w:t xml:space="preserve">     </w:t>
      </w:r>
      <w:r w:rsidR="00F30639">
        <w:rPr>
          <w:rFonts w:ascii="Arial" w:hAnsi="Arial" w:cs="Arial"/>
          <w:sz w:val="18"/>
          <w:szCs w:val="18"/>
        </w:rPr>
        <w:t xml:space="preserve">   </w:t>
      </w:r>
      <w:r w:rsidRPr="008A7A4E">
        <w:rPr>
          <w:rFonts w:ascii="Arial" w:hAnsi="Arial" w:cs="Arial"/>
          <w:sz w:val="18"/>
          <w:szCs w:val="18"/>
        </w:rPr>
        <w:t xml:space="preserve"> vývoz</w:t>
      </w:r>
      <w:r w:rsidRPr="008A7A4E">
        <w:rPr>
          <w:rFonts w:ascii="Arial" w:hAnsi="Arial" w:cs="Arial"/>
          <w:sz w:val="18"/>
          <w:szCs w:val="18"/>
        </w:rPr>
        <w:tab/>
      </w:r>
      <w:r w:rsidRPr="008A7A4E">
        <w:rPr>
          <w:rFonts w:ascii="Arial" w:hAnsi="Arial" w:cs="Arial"/>
          <w:sz w:val="18"/>
          <w:szCs w:val="18"/>
        </w:rPr>
        <w:tab/>
      </w:r>
      <w:r w:rsidRPr="008A7A4E">
        <w:rPr>
          <w:rFonts w:ascii="Arial" w:hAnsi="Arial" w:cs="Arial"/>
          <w:sz w:val="18"/>
          <w:szCs w:val="18"/>
        </w:rPr>
        <w:tab/>
      </w:r>
      <w:r w:rsidRPr="008A7A4E">
        <w:rPr>
          <w:rFonts w:ascii="Arial" w:hAnsi="Arial" w:cs="Arial"/>
          <w:sz w:val="18"/>
          <w:szCs w:val="18"/>
        </w:rPr>
        <w:tab/>
      </w:r>
      <w:r w:rsidRPr="008A7A4E">
        <w:rPr>
          <w:rFonts w:ascii="Arial" w:hAnsi="Arial" w:cs="Arial"/>
          <w:sz w:val="18"/>
          <w:szCs w:val="18"/>
        </w:rPr>
        <w:tab/>
      </w:r>
      <w:r w:rsidRPr="008A7A4E">
        <w:rPr>
          <w:rFonts w:ascii="Arial" w:hAnsi="Arial" w:cs="Arial"/>
          <w:sz w:val="18"/>
          <w:szCs w:val="18"/>
        </w:rPr>
        <w:tab/>
        <w:t xml:space="preserve">     </w:t>
      </w:r>
      <w:r w:rsidR="00F30639">
        <w:rPr>
          <w:rFonts w:ascii="Arial" w:hAnsi="Arial" w:cs="Arial"/>
          <w:sz w:val="18"/>
          <w:szCs w:val="18"/>
        </w:rPr>
        <w:t xml:space="preserve">     </w:t>
      </w:r>
      <w:r w:rsidRPr="008A7A4E">
        <w:rPr>
          <w:rFonts w:ascii="Arial" w:hAnsi="Arial" w:cs="Arial"/>
          <w:sz w:val="18"/>
          <w:szCs w:val="18"/>
        </w:rPr>
        <w:t xml:space="preserve"> dovoz</w:t>
      </w:r>
    </w:p>
    <w:p w:rsidR="00BA7845" w:rsidRPr="000568E8" w:rsidRDefault="005E2C18" w:rsidP="00655210">
      <w:pPr>
        <w:spacing w:after="160"/>
        <w:jc w:val="both"/>
        <w:rPr>
          <w:rFonts w:ascii="Arial" w:hAnsi="Arial" w:cs="Arial"/>
          <w:color w:val="FF0000"/>
          <w:sz w:val="18"/>
          <w:szCs w:val="18"/>
        </w:rPr>
      </w:pPr>
      <w:r>
        <w:rPr>
          <w:rFonts w:ascii="Arial" w:hAnsi="Arial" w:cs="Arial"/>
          <w:noProof/>
          <w:color w:val="FF0000"/>
          <w:sz w:val="18"/>
          <w:szCs w:val="18"/>
          <w:lang w:eastAsia="cs-CZ"/>
        </w:rPr>
        <w:pict>
          <v:shape id="_x0000_i1061" type="#_x0000_t75" style="width:221.25pt;height:137.25pt">
            <v:imagedata r:id="rId45" o:title=""/>
          </v:shape>
        </w:pict>
      </w:r>
      <w:r w:rsidR="00BA7845" w:rsidRPr="000568E8">
        <w:rPr>
          <w:rFonts w:ascii="Arial" w:hAnsi="Arial" w:cs="Arial"/>
          <w:color w:val="FF0000"/>
          <w:sz w:val="18"/>
          <w:szCs w:val="18"/>
        </w:rPr>
        <w:t xml:space="preserve">         </w:t>
      </w:r>
      <w:r w:rsidR="00F30639">
        <w:rPr>
          <w:rFonts w:ascii="Arial" w:hAnsi="Arial" w:cs="Arial"/>
          <w:color w:val="FF0000"/>
          <w:sz w:val="18"/>
          <w:szCs w:val="18"/>
        </w:rPr>
        <w:t xml:space="preserve">     </w:t>
      </w:r>
      <w:r>
        <w:rPr>
          <w:rFonts w:ascii="Arial" w:hAnsi="Arial" w:cs="Arial"/>
          <w:color w:val="FF0000"/>
          <w:sz w:val="18"/>
          <w:szCs w:val="18"/>
        </w:rPr>
        <w:pict>
          <v:shape id="_x0000_i1062" type="#_x0000_t75" style="width:221.25pt;height:137.25pt">
            <v:imagedata r:id="rId46" o:title=""/>
          </v:shape>
        </w:pict>
      </w:r>
      <w:r w:rsidR="00BA7845" w:rsidRPr="000568E8">
        <w:rPr>
          <w:rFonts w:ascii="Arial" w:hAnsi="Arial" w:cs="Arial"/>
          <w:color w:val="FF0000"/>
          <w:sz w:val="18"/>
          <w:szCs w:val="18"/>
        </w:rPr>
        <w:t xml:space="preserve"> </w:t>
      </w:r>
    </w:p>
    <w:p w:rsidR="00237392" w:rsidRPr="00237392" w:rsidRDefault="00237392" w:rsidP="00A73C7B">
      <w:pPr>
        <w:spacing w:after="160"/>
        <w:jc w:val="both"/>
        <w:rPr>
          <w:rFonts w:ascii="Arial" w:hAnsi="Arial" w:cs="Arial"/>
          <w:sz w:val="18"/>
          <w:szCs w:val="18"/>
        </w:rPr>
      </w:pPr>
      <w:r w:rsidRPr="00765582">
        <w:rPr>
          <w:rFonts w:ascii="Arial" w:hAnsi="Arial" w:cs="Arial"/>
          <w:b/>
          <w:sz w:val="18"/>
          <w:szCs w:val="18"/>
        </w:rPr>
        <w:t>Bilance států Evropské unie</w:t>
      </w:r>
      <w:r w:rsidRPr="00237392">
        <w:rPr>
          <w:rFonts w:ascii="Arial" w:hAnsi="Arial" w:cs="Arial"/>
          <w:sz w:val="18"/>
          <w:szCs w:val="18"/>
        </w:rPr>
        <w:t xml:space="preserve"> celkem skončila přebytkem 111,1 mld. EUR, který byl ve srovnání s rokem 2015 o 24,9</w:t>
      </w:r>
      <w:r w:rsidR="00765582">
        <w:rPr>
          <w:rFonts w:ascii="Arial" w:hAnsi="Arial" w:cs="Arial"/>
          <w:sz w:val="18"/>
          <w:szCs w:val="18"/>
        </w:rPr>
        <w:t> </w:t>
      </w:r>
      <w:r w:rsidRPr="00237392">
        <w:rPr>
          <w:rFonts w:ascii="Arial" w:hAnsi="Arial" w:cs="Arial"/>
          <w:sz w:val="18"/>
          <w:szCs w:val="18"/>
        </w:rPr>
        <w:t>mld. EUR nižší. Kladné saldo v rámci států EU se meziročn</w:t>
      </w:r>
      <w:r w:rsidR="00E02356">
        <w:rPr>
          <w:rFonts w:ascii="Arial" w:hAnsi="Arial" w:cs="Arial"/>
          <w:sz w:val="18"/>
          <w:szCs w:val="18"/>
        </w:rPr>
        <w:t>ě</w:t>
      </w:r>
      <w:r w:rsidRPr="00237392">
        <w:rPr>
          <w:rFonts w:ascii="Arial" w:hAnsi="Arial" w:cs="Arial"/>
          <w:sz w:val="18"/>
          <w:szCs w:val="18"/>
        </w:rPr>
        <w:t xml:space="preserve"> zvýšilo o 1,6 mld. EUR, zatímco přebytek bilance se státy mimo EU klesl o 26,5 mld. EUR. Nejvyšší celkovou kladnou bilanci zaznamenalo v roce 2016 Německo (255,1</w:t>
      </w:r>
      <w:r w:rsidR="00765582">
        <w:rPr>
          <w:rFonts w:ascii="Arial" w:hAnsi="Arial" w:cs="Arial"/>
          <w:sz w:val="18"/>
          <w:szCs w:val="18"/>
        </w:rPr>
        <w:t> mld. </w:t>
      </w:r>
      <w:r w:rsidRPr="00237392">
        <w:rPr>
          <w:rFonts w:ascii="Arial" w:hAnsi="Arial" w:cs="Arial"/>
          <w:sz w:val="18"/>
          <w:szCs w:val="18"/>
        </w:rPr>
        <w:t>EUR), Nizozemsko (60,0 mld. EUR), Itálie (51,5 mld. EUR), a Irsko (45,3 mld. EUR). Deficitem skončily bilance zejména Spojeného království (204,7 mld. EUR), Francie (64,8 mld. EUR), Španělska (20,4</w:t>
      </w:r>
      <w:r w:rsidR="00765582">
        <w:rPr>
          <w:rFonts w:ascii="Arial" w:hAnsi="Arial" w:cs="Arial"/>
          <w:sz w:val="18"/>
          <w:szCs w:val="18"/>
        </w:rPr>
        <w:t xml:space="preserve"> mld. EUR) a Řecka </w:t>
      </w:r>
      <w:r w:rsidRPr="00237392">
        <w:rPr>
          <w:rFonts w:ascii="Arial" w:hAnsi="Arial" w:cs="Arial"/>
          <w:sz w:val="18"/>
          <w:szCs w:val="18"/>
        </w:rPr>
        <w:t>(18,7 mld. EUR).</w:t>
      </w:r>
    </w:p>
    <w:p w:rsidR="00BA7845" w:rsidRPr="00A73C7B" w:rsidRDefault="00BA7845" w:rsidP="00691FB0">
      <w:pPr>
        <w:spacing w:after="80"/>
        <w:jc w:val="both"/>
        <w:rPr>
          <w:rFonts w:ascii="Arial" w:hAnsi="Arial" w:cs="Arial"/>
          <w:b/>
          <w:sz w:val="18"/>
          <w:szCs w:val="18"/>
        </w:rPr>
      </w:pPr>
      <w:r w:rsidRPr="00A73C7B">
        <w:rPr>
          <w:rFonts w:ascii="Arial" w:hAnsi="Arial" w:cs="Arial"/>
          <w:b/>
          <w:sz w:val="18"/>
          <w:szCs w:val="18"/>
        </w:rPr>
        <w:t xml:space="preserve">Graf </w:t>
      </w:r>
      <w:r w:rsidR="00B50B36" w:rsidRPr="00A73C7B">
        <w:rPr>
          <w:rFonts w:ascii="Arial" w:hAnsi="Arial" w:cs="Arial"/>
          <w:b/>
          <w:sz w:val="18"/>
          <w:szCs w:val="18"/>
        </w:rPr>
        <w:t>2</w:t>
      </w:r>
      <w:r w:rsidR="00215FA5">
        <w:rPr>
          <w:rFonts w:ascii="Arial" w:hAnsi="Arial" w:cs="Arial"/>
          <w:b/>
          <w:sz w:val="18"/>
          <w:szCs w:val="18"/>
        </w:rPr>
        <w:t>2</w:t>
      </w:r>
      <w:r w:rsidRPr="00A73C7B">
        <w:rPr>
          <w:rFonts w:ascii="Arial" w:hAnsi="Arial" w:cs="Arial"/>
          <w:b/>
          <w:sz w:val="18"/>
          <w:szCs w:val="18"/>
        </w:rPr>
        <w:t xml:space="preserve"> - Zahraniční obchod jednotlivých států EU v roce 201</w:t>
      </w:r>
      <w:r w:rsidR="00A73C7B">
        <w:rPr>
          <w:rFonts w:ascii="Arial" w:hAnsi="Arial" w:cs="Arial"/>
          <w:b/>
          <w:sz w:val="18"/>
          <w:szCs w:val="18"/>
        </w:rPr>
        <w:t>6</w:t>
      </w:r>
      <w:r w:rsidRPr="00A73C7B">
        <w:rPr>
          <w:rFonts w:ascii="Arial" w:hAnsi="Arial" w:cs="Arial"/>
          <w:b/>
          <w:sz w:val="18"/>
          <w:szCs w:val="18"/>
        </w:rPr>
        <w:t xml:space="preserve"> </w:t>
      </w:r>
    </w:p>
    <w:p w:rsidR="00B53190" w:rsidRPr="000568E8" w:rsidRDefault="005E2C18" w:rsidP="00A73C7B">
      <w:pPr>
        <w:spacing w:after="0"/>
        <w:jc w:val="both"/>
        <w:rPr>
          <w:rFonts w:ascii="Arial" w:hAnsi="Arial" w:cs="Arial"/>
          <w:color w:val="FF0000"/>
          <w:sz w:val="4"/>
          <w:szCs w:val="4"/>
        </w:rPr>
      </w:pPr>
      <w:r>
        <w:rPr>
          <w:rFonts w:ascii="Arial" w:hAnsi="Arial" w:cs="Arial"/>
          <w:b/>
          <w:color w:val="FF0000"/>
          <w:sz w:val="18"/>
          <w:szCs w:val="18"/>
        </w:rPr>
        <w:pict>
          <v:shape id="_x0000_i1063" type="#_x0000_t75" style="width:490.5pt;height:168pt">
            <v:imagedata r:id="rId47" o:title=""/>
          </v:shape>
        </w:pict>
      </w:r>
    </w:p>
    <w:sectPr w:rsidR="00B53190" w:rsidRPr="000568E8" w:rsidSect="00444030">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C18" w:rsidRDefault="005E2C18" w:rsidP="00F2609D">
      <w:pPr>
        <w:spacing w:after="0" w:line="240" w:lineRule="auto"/>
      </w:pPr>
      <w:r>
        <w:separator/>
      </w:r>
    </w:p>
  </w:endnote>
  <w:endnote w:type="continuationSeparator" w:id="0">
    <w:p w:rsidR="005E2C18" w:rsidRDefault="005E2C18" w:rsidP="00F26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C18" w:rsidRDefault="005E2C18" w:rsidP="00F2609D">
      <w:pPr>
        <w:spacing w:after="0" w:line="240" w:lineRule="auto"/>
      </w:pPr>
      <w:r>
        <w:separator/>
      </w:r>
    </w:p>
  </w:footnote>
  <w:footnote w:type="continuationSeparator" w:id="0">
    <w:p w:rsidR="005E2C18" w:rsidRDefault="005E2C18" w:rsidP="00F2609D">
      <w:pPr>
        <w:spacing w:after="0" w:line="240" w:lineRule="auto"/>
      </w:pPr>
      <w:r>
        <w:continuationSeparator/>
      </w:r>
    </w:p>
  </w:footnote>
  <w:footnote w:id="1">
    <w:p w:rsidR="00246346" w:rsidRPr="003448F8" w:rsidRDefault="00246346" w:rsidP="003448F8">
      <w:pPr>
        <w:pStyle w:val="Textpoznpodarou"/>
        <w:spacing w:after="80"/>
        <w:jc w:val="both"/>
        <w:rPr>
          <w:rFonts w:ascii="Arial" w:hAnsi="Arial" w:cs="Arial"/>
          <w:sz w:val="16"/>
          <w:szCs w:val="16"/>
        </w:rPr>
      </w:pPr>
      <w:r w:rsidRPr="003448F8">
        <w:rPr>
          <w:rStyle w:val="Znakapoznpodarou"/>
          <w:rFonts w:ascii="Arial" w:hAnsi="Arial" w:cs="Arial"/>
          <w:sz w:val="16"/>
          <w:szCs w:val="16"/>
        </w:rPr>
        <w:footnoteRef/>
      </w:r>
      <w:r w:rsidRPr="003448F8">
        <w:rPr>
          <w:rFonts w:ascii="Arial" w:hAnsi="Arial" w:cs="Arial"/>
          <w:sz w:val="16"/>
          <w:szCs w:val="16"/>
        </w:rPr>
        <w:t xml:space="preserve"> </w:t>
      </w:r>
      <w:r w:rsidR="008E7107" w:rsidRPr="003448F8">
        <w:rPr>
          <w:rFonts w:ascii="Arial" w:hAnsi="Arial" w:cs="Arial"/>
          <w:sz w:val="16"/>
          <w:szCs w:val="16"/>
        </w:rPr>
        <w:t xml:space="preserve">Publikace „Zahraniční obchod České republiky se zbožím v roce 2016“ </w:t>
      </w:r>
      <w:r w:rsidR="002B6B2E" w:rsidRPr="003448F8">
        <w:rPr>
          <w:rFonts w:ascii="Arial" w:hAnsi="Arial" w:cs="Arial"/>
          <w:sz w:val="16"/>
          <w:szCs w:val="16"/>
        </w:rPr>
        <w:t>obsahuje data</w:t>
      </w:r>
      <w:r w:rsidR="008E7107" w:rsidRPr="003448F8">
        <w:rPr>
          <w:rFonts w:ascii="Arial" w:hAnsi="Arial" w:cs="Arial"/>
          <w:sz w:val="16"/>
          <w:szCs w:val="16"/>
        </w:rPr>
        <w:t xml:space="preserve"> přeshraničního </w:t>
      </w:r>
      <w:r w:rsidRPr="003448F8">
        <w:rPr>
          <w:rFonts w:ascii="Arial" w:hAnsi="Arial" w:cs="Arial"/>
          <w:sz w:val="16"/>
          <w:szCs w:val="16"/>
        </w:rPr>
        <w:t xml:space="preserve">pojetí zahraničního obchodu </w:t>
      </w:r>
      <w:r w:rsidR="00721A0F" w:rsidRPr="003448F8">
        <w:rPr>
          <w:rFonts w:ascii="Arial" w:hAnsi="Arial" w:cs="Arial"/>
          <w:sz w:val="16"/>
          <w:szCs w:val="16"/>
        </w:rPr>
        <w:t>(podle pohybu zboží)</w:t>
      </w:r>
      <w:r w:rsidR="008E7107" w:rsidRPr="003448F8">
        <w:rPr>
          <w:rFonts w:ascii="Arial" w:hAnsi="Arial" w:cs="Arial"/>
          <w:sz w:val="16"/>
          <w:szCs w:val="16"/>
        </w:rPr>
        <w:t>, které</w:t>
      </w:r>
      <w:r w:rsidR="00721A0F" w:rsidRPr="003448F8">
        <w:rPr>
          <w:rFonts w:ascii="Arial" w:hAnsi="Arial" w:cs="Arial"/>
          <w:sz w:val="16"/>
          <w:szCs w:val="16"/>
        </w:rPr>
        <w:t xml:space="preserve"> </w:t>
      </w:r>
      <w:r w:rsidRPr="003448F8">
        <w:rPr>
          <w:rFonts w:ascii="Arial" w:hAnsi="Arial" w:cs="Arial"/>
          <w:sz w:val="16"/>
          <w:szCs w:val="16"/>
        </w:rPr>
        <w:t>vypovídá výhradně o fyzickém pohybu zboží přes hranice bez ohledu na to, zda dochází k obchodu mezi českými a zahraničními subjekty. Tyto údaje jsou mezinárodně srovnatelné a mohou sloužit jako indikátor vývoje hodnoty obchodu.</w:t>
      </w:r>
    </w:p>
  </w:footnote>
  <w:footnote w:id="2">
    <w:p w:rsidR="002D1D26" w:rsidRPr="003448F8" w:rsidRDefault="002D1D26" w:rsidP="003448F8">
      <w:pPr>
        <w:pStyle w:val="Textpoznpodarou"/>
        <w:spacing w:after="80"/>
        <w:jc w:val="both"/>
        <w:rPr>
          <w:rFonts w:ascii="Arial" w:hAnsi="Arial" w:cs="Arial"/>
          <w:sz w:val="16"/>
          <w:szCs w:val="16"/>
        </w:rPr>
      </w:pPr>
      <w:r w:rsidRPr="003448F8">
        <w:rPr>
          <w:rStyle w:val="Znakapoznpodarou"/>
          <w:rFonts w:ascii="Arial" w:hAnsi="Arial" w:cs="Arial"/>
          <w:sz w:val="16"/>
          <w:szCs w:val="16"/>
        </w:rPr>
        <w:footnoteRef/>
      </w:r>
      <w:r w:rsidRPr="003448F8">
        <w:rPr>
          <w:rFonts w:ascii="Arial" w:hAnsi="Arial" w:cs="Arial"/>
          <w:sz w:val="16"/>
          <w:szCs w:val="16"/>
        </w:rPr>
        <w:t xml:space="preserve"> Údaje za rok 2015 a 2016 jsou definitivní.</w:t>
      </w:r>
    </w:p>
  </w:footnote>
  <w:footnote w:id="3">
    <w:p w:rsidR="003448F8" w:rsidRPr="003448F8" w:rsidRDefault="003448F8" w:rsidP="003448F8">
      <w:pPr>
        <w:pStyle w:val="Textpoznpodarou"/>
        <w:spacing w:after="80"/>
        <w:jc w:val="both"/>
        <w:rPr>
          <w:rFonts w:ascii="Arial" w:hAnsi="Arial" w:cs="Arial"/>
          <w:sz w:val="16"/>
          <w:szCs w:val="16"/>
        </w:rPr>
      </w:pPr>
      <w:r w:rsidRPr="003448F8">
        <w:rPr>
          <w:rStyle w:val="Znakapoznpodarou"/>
          <w:rFonts w:ascii="Arial" w:hAnsi="Arial" w:cs="Arial"/>
          <w:sz w:val="16"/>
          <w:szCs w:val="16"/>
        </w:rPr>
        <w:footnoteRef/>
      </w:r>
      <w:r w:rsidRPr="003448F8">
        <w:rPr>
          <w:rFonts w:ascii="Arial" w:hAnsi="Arial" w:cs="Arial"/>
          <w:sz w:val="16"/>
          <w:szCs w:val="16"/>
        </w:rPr>
        <w:t xml:space="preserve"> Od roku 2016 byla aktualizována metodika zahraničního obchodu pro zachycení dovozu zemního plynu. V datech není zohledněn dopad v letech 2014 (v odhadované hodnotě 4,4 mld. Kč) a 2015 (v odhadované hodnotě 16,2 mld. Kč).</w:t>
      </w:r>
    </w:p>
  </w:footnote>
  <w:footnote w:id="4">
    <w:p w:rsidR="000A6F26" w:rsidRPr="003448F8" w:rsidRDefault="000A6F26" w:rsidP="003448F8">
      <w:pPr>
        <w:pStyle w:val="Textpoznpodarou"/>
        <w:jc w:val="both"/>
        <w:rPr>
          <w:rFonts w:ascii="Arial" w:hAnsi="Arial" w:cs="Arial"/>
          <w:sz w:val="16"/>
          <w:szCs w:val="16"/>
        </w:rPr>
      </w:pPr>
      <w:r w:rsidRPr="003448F8">
        <w:rPr>
          <w:rStyle w:val="Znakapoznpodarou"/>
          <w:rFonts w:ascii="Arial" w:hAnsi="Arial" w:cs="Arial"/>
          <w:sz w:val="16"/>
          <w:szCs w:val="16"/>
        </w:rPr>
        <w:footnoteRef/>
      </w:r>
      <w:r w:rsidRPr="003448F8">
        <w:rPr>
          <w:rFonts w:ascii="Arial" w:hAnsi="Arial" w:cs="Arial"/>
          <w:sz w:val="16"/>
          <w:szCs w:val="16"/>
        </w:rPr>
        <w:t xml:space="preserve">  V lednu až prosinci 2016 proti lednu až prosinci 2015</w:t>
      </w:r>
      <w:r w:rsidRPr="003448F8">
        <w:rPr>
          <w:rFonts w:ascii="Arial" w:hAnsi="Arial" w:cs="Arial"/>
          <w:color w:val="FF0000"/>
          <w:sz w:val="16"/>
          <w:szCs w:val="16"/>
        </w:rPr>
        <w:t xml:space="preserve"> </w:t>
      </w:r>
      <w:r w:rsidR="00AA4CAC" w:rsidRPr="003448F8">
        <w:rPr>
          <w:rFonts w:ascii="Arial" w:hAnsi="Arial" w:cs="Arial"/>
          <w:sz w:val="16"/>
          <w:szCs w:val="16"/>
        </w:rPr>
        <w:t>posílila</w:t>
      </w:r>
      <w:r w:rsidRPr="003448F8">
        <w:rPr>
          <w:rFonts w:ascii="Arial" w:hAnsi="Arial" w:cs="Arial"/>
          <w:sz w:val="16"/>
          <w:szCs w:val="16"/>
        </w:rPr>
        <w:t xml:space="preserve"> Kč vůči </w:t>
      </w:r>
      <w:proofErr w:type="gramStart"/>
      <w:r w:rsidRPr="003448F8">
        <w:rPr>
          <w:rFonts w:ascii="Arial" w:hAnsi="Arial" w:cs="Arial"/>
          <w:sz w:val="16"/>
          <w:szCs w:val="16"/>
        </w:rPr>
        <w:t>EUR</w:t>
      </w:r>
      <w:proofErr w:type="gramEnd"/>
      <w:r w:rsidRPr="003448F8">
        <w:rPr>
          <w:rFonts w:ascii="Arial" w:hAnsi="Arial" w:cs="Arial"/>
          <w:sz w:val="16"/>
          <w:szCs w:val="16"/>
        </w:rPr>
        <w:t xml:space="preserve"> o 0,9 % a vůči USD o </w:t>
      </w:r>
      <w:r w:rsidR="00AA4CAC" w:rsidRPr="003448F8">
        <w:rPr>
          <w:rFonts w:ascii="Arial" w:hAnsi="Arial" w:cs="Arial"/>
          <w:sz w:val="16"/>
          <w:szCs w:val="16"/>
        </w:rPr>
        <w:t>0</w:t>
      </w:r>
      <w:r w:rsidRPr="003448F8">
        <w:rPr>
          <w:rFonts w:ascii="Arial" w:hAnsi="Arial" w:cs="Arial"/>
          <w:sz w:val="16"/>
          <w:szCs w:val="16"/>
        </w:rPr>
        <w:t xml:space="preserve">,7 %. </w:t>
      </w:r>
    </w:p>
  </w:footnote>
  <w:footnote w:id="5">
    <w:p w:rsidR="000759EC" w:rsidRPr="007C5401" w:rsidRDefault="000759EC" w:rsidP="002F7146">
      <w:pPr>
        <w:pStyle w:val="Textpoznpodarou"/>
        <w:spacing w:after="80"/>
        <w:jc w:val="both"/>
        <w:rPr>
          <w:rFonts w:ascii="Arial" w:hAnsi="Arial" w:cs="Arial"/>
          <w:sz w:val="16"/>
          <w:szCs w:val="16"/>
        </w:rPr>
      </w:pPr>
      <w:r w:rsidRPr="007C5401">
        <w:rPr>
          <w:rStyle w:val="Znakapoznpodarou"/>
          <w:rFonts w:ascii="Arial" w:hAnsi="Arial" w:cs="Arial"/>
          <w:sz w:val="16"/>
          <w:szCs w:val="16"/>
        </w:rPr>
        <w:footnoteRef/>
      </w:r>
      <w:r w:rsidRPr="007C5401">
        <w:rPr>
          <w:rFonts w:ascii="Arial" w:hAnsi="Arial" w:cs="Arial"/>
          <w:sz w:val="16"/>
          <w:szCs w:val="16"/>
        </w:rPr>
        <w:t xml:space="preserve"> Státy EU </w:t>
      </w:r>
      <w:r>
        <w:rPr>
          <w:rFonts w:ascii="Arial" w:hAnsi="Arial" w:cs="Arial"/>
          <w:sz w:val="16"/>
          <w:szCs w:val="16"/>
        </w:rPr>
        <w:t>-</w:t>
      </w:r>
      <w:r w:rsidRPr="007C5401">
        <w:rPr>
          <w:rFonts w:ascii="Arial" w:hAnsi="Arial" w:cs="Arial"/>
          <w:sz w:val="16"/>
          <w:szCs w:val="16"/>
        </w:rPr>
        <w:t xml:space="preserve"> státy Evropské unie (28 členských států): Belgie, Bulharsko, Česká republika, Dánsko, Estonsko, Finsko, Francie, </w:t>
      </w:r>
      <w:r>
        <w:rPr>
          <w:rFonts w:ascii="Arial" w:hAnsi="Arial" w:cs="Arial"/>
          <w:sz w:val="16"/>
          <w:szCs w:val="16"/>
        </w:rPr>
        <w:t xml:space="preserve">Chorvatsko, </w:t>
      </w:r>
      <w:r w:rsidRPr="007C5401">
        <w:rPr>
          <w:rFonts w:ascii="Arial" w:hAnsi="Arial" w:cs="Arial"/>
          <w:sz w:val="16"/>
          <w:szCs w:val="16"/>
        </w:rPr>
        <w:t>Irsko, Itálie, Kypr, Litva, Lotyšsko, Lucembursko, Maďarsko, Malta, Německo, Nizozemsko, Polsko, Portugalsko, Rakousko, Rumunsko, Řecko, Slovensko, Slovinsko, Spojené království, Španělsko, Švédsko.</w:t>
      </w:r>
    </w:p>
  </w:footnote>
  <w:footnote w:id="6">
    <w:p w:rsidR="00B26EB3" w:rsidRPr="003B7C15" w:rsidRDefault="00B26EB3" w:rsidP="00B26EB3">
      <w:pPr>
        <w:pStyle w:val="Textpoznpodarou"/>
        <w:rPr>
          <w:rFonts w:ascii="Arial" w:hAnsi="Arial" w:cs="Arial"/>
          <w:sz w:val="16"/>
          <w:szCs w:val="16"/>
        </w:rPr>
      </w:pPr>
      <w:r>
        <w:rPr>
          <w:rStyle w:val="Znakapoznpodarou"/>
        </w:rPr>
        <w:footnoteRef/>
      </w:r>
      <w:r>
        <w:t xml:space="preserve">  </w:t>
      </w:r>
      <w:r w:rsidRPr="003B7C15">
        <w:rPr>
          <w:rFonts w:ascii="Arial" w:hAnsi="Arial" w:cs="Arial"/>
          <w:sz w:val="16"/>
          <w:szCs w:val="16"/>
        </w:rPr>
        <w:t>Podíl nespecifikovaných států v roce 201</w:t>
      </w:r>
      <w:r>
        <w:rPr>
          <w:rFonts w:ascii="Arial" w:hAnsi="Arial" w:cs="Arial"/>
          <w:sz w:val="16"/>
          <w:szCs w:val="16"/>
        </w:rPr>
        <w:t>6</w:t>
      </w:r>
      <w:r w:rsidRPr="003B7C15">
        <w:rPr>
          <w:rFonts w:ascii="Arial" w:hAnsi="Arial" w:cs="Arial"/>
          <w:sz w:val="16"/>
          <w:szCs w:val="16"/>
        </w:rPr>
        <w:t xml:space="preserve"> na celkovém obratu zahraničního obchodu</w:t>
      </w:r>
      <w:r>
        <w:rPr>
          <w:rFonts w:ascii="Arial" w:hAnsi="Arial" w:cs="Arial"/>
          <w:sz w:val="16"/>
          <w:szCs w:val="16"/>
        </w:rPr>
        <w:t xml:space="preserve"> tvořil</w:t>
      </w:r>
      <w:r w:rsidRPr="00CB0375">
        <w:rPr>
          <w:rFonts w:ascii="Arial" w:hAnsi="Arial" w:cs="Arial"/>
          <w:sz w:val="16"/>
          <w:szCs w:val="16"/>
        </w:rPr>
        <w:t xml:space="preserve"> 0,</w:t>
      </w:r>
      <w:r>
        <w:rPr>
          <w:rFonts w:ascii="Arial" w:hAnsi="Arial" w:cs="Arial"/>
          <w:sz w:val="16"/>
          <w:szCs w:val="16"/>
        </w:rPr>
        <w:t>3</w:t>
      </w:r>
      <w:r w:rsidRPr="00CB0375">
        <w:rPr>
          <w:rFonts w:ascii="Arial" w:hAnsi="Arial" w:cs="Arial"/>
          <w:sz w:val="16"/>
          <w:szCs w:val="16"/>
        </w:rPr>
        <w:t xml:space="preserve"> %.</w:t>
      </w:r>
    </w:p>
  </w:footnote>
  <w:footnote w:id="7">
    <w:p w:rsidR="00060BD0" w:rsidRPr="007C5401" w:rsidRDefault="00060BD0" w:rsidP="00060BD0">
      <w:pPr>
        <w:pStyle w:val="Textpoznpodarou"/>
        <w:spacing w:after="80"/>
        <w:jc w:val="both"/>
        <w:rPr>
          <w:rFonts w:ascii="Arial" w:hAnsi="Arial" w:cs="Arial"/>
          <w:sz w:val="16"/>
          <w:szCs w:val="16"/>
        </w:rPr>
      </w:pPr>
      <w:r w:rsidRPr="007C5401">
        <w:rPr>
          <w:rStyle w:val="Znakapoznpodarou"/>
          <w:rFonts w:ascii="Arial" w:hAnsi="Arial" w:cs="Arial"/>
          <w:sz w:val="16"/>
          <w:szCs w:val="16"/>
        </w:rPr>
        <w:footnoteRef/>
      </w:r>
      <w:r w:rsidRPr="007C5401">
        <w:rPr>
          <w:rFonts w:ascii="Arial" w:hAnsi="Arial" w:cs="Arial"/>
          <w:sz w:val="16"/>
          <w:szCs w:val="16"/>
        </w:rPr>
        <w:t xml:space="preserve"> </w:t>
      </w:r>
      <w:r w:rsidR="00BD0F40">
        <w:rPr>
          <w:rFonts w:ascii="Arial" w:hAnsi="Arial" w:cs="Arial"/>
          <w:sz w:val="16"/>
          <w:szCs w:val="16"/>
        </w:rPr>
        <w:t xml:space="preserve">Belgie (BE), </w:t>
      </w:r>
      <w:r>
        <w:rPr>
          <w:rFonts w:ascii="Arial" w:hAnsi="Arial" w:cs="Arial"/>
          <w:sz w:val="16"/>
          <w:szCs w:val="16"/>
        </w:rPr>
        <w:t xml:space="preserve">Čína (CN), </w:t>
      </w:r>
      <w:r w:rsidRPr="00B05445">
        <w:rPr>
          <w:rFonts w:ascii="Arial" w:hAnsi="Arial" w:cs="Arial"/>
          <w:sz w:val="16"/>
          <w:szCs w:val="16"/>
        </w:rPr>
        <w:t>Francie</w:t>
      </w:r>
      <w:r>
        <w:rPr>
          <w:rFonts w:ascii="Arial" w:hAnsi="Arial" w:cs="Arial"/>
          <w:sz w:val="16"/>
          <w:szCs w:val="16"/>
        </w:rPr>
        <w:t xml:space="preserve"> (FR)</w:t>
      </w:r>
      <w:r w:rsidRPr="00B05445">
        <w:rPr>
          <w:rFonts w:ascii="Arial" w:hAnsi="Arial" w:cs="Arial"/>
          <w:sz w:val="16"/>
          <w:szCs w:val="16"/>
        </w:rPr>
        <w:t>, Itálie</w:t>
      </w:r>
      <w:r>
        <w:rPr>
          <w:rFonts w:ascii="Arial" w:hAnsi="Arial" w:cs="Arial"/>
          <w:sz w:val="16"/>
          <w:szCs w:val="16"/>
        </w:rPr>
        <w:t xml:space="preserve"> (IT)</w:t>
      </w:r>
      <w:r w:rsidRPr="00B05445">
        <w:rPr>
          <w:rFonts w:ascii="Arial" w:hAnsi="Arial" w:cs="Arial"/>
          <w:sz w:val="16"/>
          <w:szCs w:val="16"/>
        </w:rPr>
        <w:t xml:space="preserve">, </w:t>
      </w:r>
      <w:r>
        <w:rPr>
          <w:rFonts w:ascii="Arial" w:hAnsi="Arial" w:cs="Arial"/>
          <w:sz w:val="16"/>
          <w:szCs w:val="16"/>
        </w:rPr>
        <w:t>Korejská republika (</w:t>
      </w:r>
      <w:r w:rsidR="00BD0F40">
        <w:rPr>
          <w:rFonts w:ascii="Arial" w:hAnsi="Arial" w:cs="Arial"/>
          <w:sz w:val="16"/>
          <w:szCs w:val="16"/>
        </w:rPr>
        <w:t>KR</w:t>
      </w:r>
      <w:r>
        <w:rPr>
          <w:rFonts w:ascii="Arial" w:hAnsi="Arial" w:cs="Arial"/>
          <w:sz w:val="16"/>
          <w:szCs w:val="16"/>
        </w:rPr>
        <w:t xml:space="preserve">), </w:t>
      </w:r>
      <w:r w:rsidRPr="00B05445">
        <w:rPr>
          <w:rFonts w:ascii="Arial" w:hAnsi="Arial" w:cs="Arial"/>
          <w:sz w:val="16"/>
          <w:szCs w:val="16"/>
        </w:rPr>
        <w:t>Maďarsko</w:t>
      </w:r>
      <w:r>
        <w:rPr>
          <w:rFonts w:ascii="Arial" w:hAnsi="Arial" w:cs="Arial"/>
          <w:sz w:val="16"/>
          <w:szCs w:val="16"/>
        </w:rPr>
        <w:t xml:space="preserve"> (HU)</w:t>
      </w:r>
      <w:r w:rsidRPr="00B05445">
        <w:rPr>
          <w:rFonts w:ascii="Arial" w:hAnsi="Arial" w:cs="Arial"/>
          <w:sz w:val="16"/>
          <w:szCs w:val="16"/>
        </w:rPr>
        <w:t>, Německo</w:t>
      </w:r>
      <w:r>
        <w:rPr>
          <w:rFonts w:ascii="Arial" w:hAnsi="Arial" w:cs="Arial"/>
          <w:sz w:val="16"/>
          <w:szCs w:val="16"/>
        </w:rPr>
        <w:t xml:space="preserve"> (DE)</w:t>
      </w:r>
      <w:r w:rsidRPr="00B05445">
        <w:rPr>
          <w:rFonts w:ascii="Arial" w:hAnsi="Arial" w:cs="Arial"/>
          <w:sz w:val="16"/>
          <w:szCs w:val="16"/>
        </w:rPr>
        <w:t>, Nizozemsko</w:t>
      </w:r>
      <w:r>
        <w:rPr>
          <w:rFonts w:ascii="Arial" w:hAnsi="Arial" w:cs="Arial"/>
          <w:sz w:val="16"/>
          <w:szCs w:val="16"/>
        </w:rPr>
        <w:t xml:space="preserve"> (NL)</w:t>
      </w:r>
      <w:r w:rsidRPr="00B05445">
        <w:rPr>
          <w:rFonts w:ascii="Arial" w:hAnsi="Arial" w:cs="Arial"/>
          <w:sz w:val="16"/>
          <w:szCs w:val="16"/>
        </w:rPr>
        <w:t>,</w:t>
      </w:r>
      <w:r w:rsidRPr="007C5401">
        <w:rPr>
          <w:rFonts w:ascii="Arial" w:hAnsi="Arial" w:cs="Arial"/>
          <w:sz w:val="16"/>
          <w:szCs w:val="16"/>
        </w:rPr>
        <w:t xml:space="preserve"> Polsko</w:t>
      </w:r>
      <w:r>
        <w:rPr>
          <w:rFonts w:ascii="Arial" w:hAnsi="Arial" w:cs="Arial"/>
          <w:sz w:val="16"/>
          <w:szCs w:val="16"/>
        </w:rPr>
        <w:t xml:space="preserve"> (PL)</w:t>
      </w:r>
      <w:r w:rsidRPr="007C5401">
        <w:rPr>
          <w:rFonts w:ascii="Arial" w:hAnsi="Arial" w:cs="Arial"/>
          <w:sz w:val="16"/>
          <w:szCs w:val="16"/>
        </w:rPr>
        <w:t>, Rakousko</w:t>
      </w:r>
      <w:r>
        <w:rPr>
          <w:rFonts w:ascii="Arial" w:hAnsi="Arial" w:cs="Arial"/>
          <w:sz w:val="16"/>
          <w:szCs w:val="16"/>
        </w:rPr>
        <w:t xml:space="preserve"> (AT)</w:t>
      </w:r>
      <w:r w:rsidRPr="007C5401">
        <w:rPr>
          <w:rFonts w:ascii="Arial" w:hAnsi="Arial" w:cs="Arial"/>
          <w:sz w:val="16"/>
          <w:szCs w:val="16"/>
        </w:rPr>
        <w:t xml:space="preserve">, </w:t>
      </w:r>
      <w:r w:rsidR="00BD0F40">
        <w:rPr>
          <w:rFonts w:ascii="Arial" w:hAnsi="Arial" w:cs="Arial"/>
          <w:sz w:val="16"/>
          <w:szCs w:val="16"/>
        </w:rPr>
        <w:t xml:space="preserve">Ruská federace (RU), </w:t>
      </w:r>
      <w:r w:rsidRPr="007C5401">
        <w:rPr>
          <w:rFonts w:ascii="Arial" w:hAnsi="Arial" w:cs="Arial"/>
          <w:sz w:val="16"/>
          <w:szCs w:val="16"/>
        </w:rPr>
        <w:t>Slovensko</w:t>
      </w:r>
      <w:r>
        <w:rPr>
          <w:rFonts w:ascii="Arial" w:hAnsi="Arial" w:cs="Arial"/>
          <w:sz w:val="16"/>
          <w:szCs w:val="16"/>
        </w:rPr>
        <w:t xml:space="preserve"> (SK)</w:t>
      </w:r>
      <w:r w:rsidRPr="007C5401">
        <w:rPr>
          <w:rFonts w:ascii="Arial" w:hAnsi="Arial" w:cs="Arial"/>
          <w:sz w:val="16"/>
          <w:szCs w:val="16"/>
        </w:rPr>
        <w:t>,</w:t>
      </w:r>
      <w:r w:rsidR="00BD0F40">
        <w:rPr>
          <w:rFonts w:ascii="Arial" w:hAnsi="Arial" w:cs="Arial"/>
          <w:sz w:val="16"/>
          <w:szCs w:val="16"/>
        </w:rPr>
        <w:t xml:space="preserve"> </w:t>
      </w:r>
      <w:r w:rsidRPr="007C5401">
        <w:rPr>
          <w:rFonts w:ascii="Arial" w:hAnsi="Arial" w:cs="Arial"/>
          <w:sz w:val="16"/>
          <w:szCs w:val="16"/>
        </w:rPr>
        <w:t>Spojené království</w:t>
      </w:r>
      <w:r>
        <w:rPr>
          <w:rFonts w:ascii="Arial" w:hAnsi="Arial" w:cs="Arial"/>
          <w:sz w:val="16"/>
          <w:szCs w:val="16"/>
        </w:rPr>
        <w:t xml:space="preserve"> (GB)</w:t>
      </w:r>
      <w:r w:rsidRPr="007C5401">
        <w:rPr>
          <w:rFonts w:ascii="Arial" w:hAnsi="Arial" w:cs="Arial"/>
          <w:sz w:val="16"/>
          <w:szCs w:val="16"/>
        </w:rPr>
        <w:t xml:space="preserve">, </w:t>
      </w:r>
      <w:r>
        <w:rPr>
          <w:rFonts w:ascii="Arial" w:hAnsi="Arial" w:cs="Arial"/>
          <w:sz w:val="16"/>
          <w:szCs w:val="16"/>
        </w:rPr>
        <w:t xml:space="preserve">Spojené státy (US), </w:t>
      </w:r>
      <w:r w:rsidRPr="007C5401">
        <w:rPr>
          <w:rFonts w:ascii="Arial" w:hAnsi="Arial" w:cs="Arial"/>
          <w:sz w:val="16"/>
          <w:szCs w:val="16"/>
        </w:rPr>
        <w:t>Španělsko</w:t>
      </w:r>
      <w:r>
        <w:rPr>
          <w:rFonts w:ascii="Arial" w:hAnsi="Arial" w:cs="Arial"/>
          <w:sz w:val="16"/>
          <w:szCs w:val="16"/>
        </w:rPr>
        <w:t xml:space="preserve"> (ES)</w:t>
      </w:r>
      <w:r w:rsidRPr="007C5401">
        <w:rPr>
          <w:rFonts w:ascii="Arial" w:hAnsi="Arial" w:cs="Arial"/>
          <w:sz w:val="16"/>
          <w:szCs w:val="16"/>
        </w:rPr>
        <w:t>.</w:t>
      </w:r>
    </w:p>
  </w:footnote>
  <w:footnote w:id="8">
    <w:p w:rsidR="008D0756" w:rsidRPr="00803DE5" w:rsidRDefault="00803DE5" w:rsidP="0011055B">
      <w:pPr>
        <w:pStyle w:val="Textpoznpodarou"/>
        <w:spacing w:after="80"/>
        <w:jc w:val="both"/>
        <w:rPr>
          <w:rFonts w:ascii="Arial" w:hAnsi="Arial" w:cs="Arial"/>
          <w:sz w:val="16"/>
          <w:szCs w:val="16"/>
        </w:rPr>
      </w:pPr>
      <w:r w:rsidRPr="00803DE5">
        <w:rPr>
          <w:rStyle w:val="Znakapoznpodarou"/>
          <w:rFonts w:ascii="Arial" w:hAnsi="Arial" w:cs="Arial"/>
          <w:sz w:val="16"/>
          <w:szCs w:val="16"/>
        </w:rPr>
        <w:footnoteRef/>
      </w:r>
      <w:r w:rsidRPr="00803DE5">
        <w:rPr>
          <w:rFonts w:ascii="Arial" w:hAnsi="Arial" w:cs="Arial"/>
          <w:sz w:val="16"/>
          <w:szCs w:val="16"/>
        </w:rPr>
        <w:t xml:space="preserve"> Standardní me</w:t>
      </w:r>
      <w:r>
        <w:rPr>
          <w:rFonts w:ascii="Arial" w:hAnsi="Arial" w:cs="Arial"/>
          <w:sz w:val="16"/>
          <w:szCs w:val="16"/>
        </w:rPr>
        <w:t>zinárodní klasifikace zboží (SITC) je mezinárodní klasifikace zboží vypracovaná Statistickým úřadem O</w:t>
      </w:r>
      <w:r w:rsidR="008D0756">
        <w:rPr>
          <w:rFonts w:ascii="Arial" w:hAnsi="Arial" w:cs="Arial"/>
          <w:sz w:val="16"/>
          <w:szCs w:val="16"/>
        </w:rPr>
        <w:t>rganizace spojených národů</w:t>
      </w:r>
      <w:r>
        <w:rPr>
          <w:rFonts w:ascii="Arial" w:hAnsi="Arial" w:cs="Arial"/>
          <w:sz w:val="16"/>
          <w:szCs w:val="16"/>
        </w:rPr>
        <w:t>. Poslední 4. revize byla v roce 20</w:t>
      </w:r>
      <w:r w:rsidR="0015251B">
        <w:rPr>
          <w:rFonts w:ascii="Arial" w:hAnsi="Arial" w:cs="Arial"/>
          <w:sz w:val="16"/>
          <w:szCs w:val="16"/>
        </w:rPr>
        <w:t>0</w:t>
      </w:r>
      <w:r>
        <w:rPr>
          <w:rFonts w:ascii="Arial" w:hAnsi="Arial" w:cs="Arial"/>
          <w:sz w:val="16"/>
          <w:szCs w:val="16"/>
        </w:rPr>
        <w:t>6. Cílem je uspořádání zboží v rámci mezinárodního obchodu.</w:t>
      </w:r>
      <w:r w:rsidR="008D0756">
        <w:rPr>
          <w:rFonts w:ascii="Arial" w:hAnsi="Arial" w:cs="Arial"/>
          <w:sz w:val="16"/>
          <w:szCs w:val="16"/>
        </w:rPr>
        <w:t xml:space="preserve"> Současná verze SITC, Rev. 4 se skládá z 10 </w:t>
      </w:r>
      <w:r w:rsidR="00394544">
        <w:rPr>
          <w:rFonts w:ascii="Arial" w:hAnsi="Arial" w:cs="Arial"/>
          <w:sz w:val="16"/>
          <w:szCs w:val="16"/>
        </w:rPr>
        <w:t>tříd,</w:t>
      </w:r>
      <w:r w:rsidR="008D0756">
        <w:rPr>
          <w:rFonts w:ascii="Arial" w:hAnsi="Arial" w:cs="Arial"/>
          <w:sz w:val="16"/>
          <w:szCs w:val="16"/>
        </w:rPr>
        <w:t xml:space="preserve"> 67 </w:t>
      </w:r>
      <w:r w:rsidR="00394544">
        <w:rPr>
          <w:rFonts w:ascii="Arial" w:hAnsi="Arial" w:cs="Arial"/>
          <w:sz w:val="16"/>
          <w:szCs w:val="16"/>
        </w:rPr>
        <w:t xml:space="preserve">oddílů, 262 </w:t>
      </w:r>
      <w:r w:rsidR="008D0756">
        <w:rPr>
          <w:rFonts w:ascii="Arial" w:hAnsi="Arial" w:cs="Arial"/>
          <w:sz w:val="16"/>
          <w:szCs w:val="16"/>
        </w:rPr>
        <w:t xml:space="preserve">skupin, </w:t>
      </w:r>
      <w:r w:rsidR="00394544">
        <w:rPr>
          <w:rFonts w:ascii="Arial" w:hAnsi="Arial" w:cs="Arial"/>
          <w:sz w:val="16"/>
          <w:szCs w:val="16"/>
        </w:rPr>
        <w:t>1 023</w:t>
      </w:r>
      <w:r w:rsidR="008D0756">
        <w:rPr>
          <w:rFonts w:ascii="Arial" w:hAnsi="Arial" w:cs="Arial"/>
          <w:sz w:val="16"/>
          <w:szCs w:val="16"/>
        </w:rPr>
        <w:t xml:space="preserve"> podskupin a </w:t>
      </w:r>
      <w:r w:rsidR="0092455D">
        <w:rPr>
          <w:rFonts w:ascii="Arial" w:hAnsi="Arial" w:cs="Arial"/>
          <w:sz w:val="16"/>
          <w:szCs w:val="16"/>
        </w:rPr>
        <w:t>2 970</w:t>
      </w:r>
      <w:r w:rsidR="008D0756">
        <w:rPr>
          <w:rFonts w:ascii="Arial" w:hAnsi="Arial" w:cs="Arial"/>
          <w:sz w:val="16"/>
          <w:szCs w:val="16"/>
        </w:rPr>
        <w:t xml:space="preserve"> položek.</w:t>
      </w:r>
    </w:p>
  </w:footnote>
  <w:footnote w:id="9">
    <w:p w:rsidR="003F5E7F" w:rsidRPr="0011055B" w:rsidRDefault="003F5E7F" w:rsidP="003F5E7F">
      <w:pPr>
        <w:pStyle w:val="Textpoznpodarou"/>
        <w:rPr>
          <w:rFonts w:ascii="Arial" w:hAnsi="Arial" w:cs="Arial"/>
          <w:sz w:val="16"/>
          <w:szCs w:val="16"/>
        </w:rPr>
      </w:pPr>
      <w:r w:rsidRPr="0011055B">
        <w:rPr>
          <w:rStyle w:val="Znakapoznpodarou"/>
          <w:rFonts w:ascii="Arial" w:hAnsi="Arial" w:cs="Arial"/>
          <w:sz w:val="16"/>
          <w:szCs w:val="16"/>
        </w:rPr>
        <w:footnoteRef/>
      </w:r>
      <w:r w:rsidRPr="0011055B">
        <w:rPr>
          <w:rFonts w:ascii="Arial" w:hAnsi="Arial" w:cs="Arial"/>
          <w:sz w:val="16"/>
          <w:szCs w:val="16"/>
        </w:rPr>
        <w:t xml:space="preserve"> Polotovary a materiály = tržní výrobky</w:t>
      </w:r>
      <w:r>
        <w:rPr>
          <w:rFonts w:ascii="Arial" w:hAnsi="Arial" w:cs="Arial"/>
          <w:sz w:val="16"/>
          <w:szCs w:val="16"/>
        </w:rPr>
        <w:t xml:space="preserve"> tříděné hlavně podle materiálu (SITC 6).</w:t>
      </w:r>
    </w:p>
  </w:footnote>
  <w:footnote w:id="10">
    <w:p w:rsidR="001D1E4A" w:rsidRPr="001D1E4A" w:rsidRDefault="001D1E4A" w:rsidP="00C047C8">
      <w:pPr>
        <w:pStyle w:val="Textpoznpodarou"/>
        <w:jc w:val="both"/>
        <w:rPr>
          <w:rFonts w:ascii="Arial" w:hAnsi="Arial" w:cs="Arial"/>
          <w:sz w:val="16"/>
          <w:szCs w:val="16"/>
        </w:rPr>
      </w:pPr>
      <w:r w:rsidRPr="001D1E4A">
        <w:rPr>
          <w:rStyle w:val="Znakapoznpodarou"/>
          <w:rFonts w:ascii="Arial" w:hAnsi="Arial" w:cs="Arial"/>
          <w:sz w:val="16"/>
          <w:szCs w:val="16"/>
        </w:rPr>
        <w:footnoteRef/>
      </w:r>
      <w:r w:rsidRPr="001D1E4A">
        <w:rPr>
          <w:rFonts w:ascii="Arial" w:hAnsi="Arial" w:cs="Arial"/>
          <w:sz w:val="16"/>
          <w:szCs w:val="16"/>
        </w:rPr>
        <w:t xml:space="preserve"> </w:t>
      </w:r>
      <w:r w:rsidR="00B77CB0">
        <w:rPr>
          <w:rFonts w:ascii="Arial" w:hAnsi="Arial" w:cs="Arial"/>
          <w:sz w:val="16"/>
          <w:szCs w:val="16"/>
        </w:rPr>
        <w:t>Oddíl</w:t>
      </w:r>
      <w:r w:rsidRPr="001D1E4A">
        <w:rPr>
          <w:rFonts w:ascii="Arial" w:hAnsi="Arial" w:cs="Arial"/>
          <w:sz w:val="16"/>
          <w:szCs w:val="16"/>
        </w:rPr>
        <w:t xml:space="preserve"> SITC 78 (silniční vozidla) se skládá z 6 skupin (781 </w:t>
      </w:r>
      <w:r w:rsidR="00C047C8">
        <w:rPr>
          <w:rFonts w:ascii="Arial" w:hAnsi="Arial" w:cs="Arial"/>
          <w:sz w:val="16"/>
          <w:szCs w:val="16"/>
        </w:rPr>
        <w:t xml:space="preserve">- </w:t>
      </w:r>
      <w:r w:rsidRPr="001D1E4A">
        <w:rPr>
          <w:rFonts w:ascii="Arial" w:hAnsi="Arial" w:cs="Arial"/>
          <w:sz w:val="16"/>
          <w:szCs w:val="16"/>
        </w:rPr>
        <w:t>osobní automobily</w:t>
      </w:r>
      <w:r w:rsidR="00C047C8">
        <w:rPr>
          <w:rFonts w:ascii="Arial" w:hAnsi="Arial" w:cs="Arial"/>
          <w:sz w:val="16"/>
          <w:szCs w:val="16"/>
        </w:rPr>
        <w:t>, včetně dodávkových vozů</w:t>
      </w:r>
      <w:r w:rsidRPr="001D1E4A">
        <w:rPr>
          <w:rFonts w:ascii="Arial" w:hAnsi="Arial" w:cs="Arial"/>
          <w:sz w:val="16"/>
          <w:szCs w:val="16"/>
        </w:rPr>
        <w:t>,</w:t>
      </w:r>
      <w:r>
        <w:rPr>
          <w:rFonts w:ascii="Arial" w:hAnsi="Arial" w:cs="Arial"/>
          <w:sz w:val="16"/>
          <w:szCs w:val="16"/>
        </w:rPr>
        <w:t xml:space="preserve"> 782 </w:t>
      </w:r>
      <w:r w:rsidR="00C047C8">
        <w:rPr>
          <w:rFonts w:ascii="Arial" w:hAnsi="Arial" w:cs="Arial"/>
          <w:sz w:val="16"/>
          <w:szCs w:val="16"/>
        </w:rPr>
        <w:t xml:space="preserve">- </w:t>
      </w:r>
      <w:r>
        <w:rPr>
          <w:rFonts w:ascii="Arial" w:hAnsi="Arial" w:cs="Arial"/>
          <w:sz w:val="16"/>
          <w:szCs w:val="16"/>
        </w:rPr>
        <w:t xml:space="preserve">motorová vozidla k dopravě zboží a pro speciální účely, 783 </w:t>
      </w:r>
      <w:r w:rsidR="00C047C8">
        <w:rPr>
          <w:rFonts w:ascii="Arial" w:hAnsi="Arial" w:cs="Arial"/>
          <w:sz w:val="16"/>
          <w:szCs w:val="16"/>
        </w:rPr>
        <w:t xml:space="preserve">- </w:t>
      </w:r>
      <w:r>
        <w:rPr>
          <w:rFonts w:ascii="Arial" w:hAnsi="Arial" w:cs="Arial"/>
          <w:sz w:val="16"/>
          <w:szCs w:val="16"/>
        </w:rPr>
        <w:t>motorová silniční vozidla pro veřejnou dopravu</w:t>
      </w:r>
      <w:r w:rsidR="00C047C8">
        <w:rPr>
          <w:rFonts w:ascii="Arial" w:hAnsi="Arial" w:cs="Arial"/>
          <w:sz w:val="16"/>
          <w:szCs w:val="16"/>
        </w:rPr>
        <w:t>, traktory</w:t>
      </w:r>
      <w:r>
        <w:rPr>
          <w:rFonts w:ascii="Arial" w:hAnsi="Arial" w:cs="Arial"/>
          <w:sz w:val="16"/>
          <w:szCs w:val="16"/>
        </w:rPr>
        <w:t xml:space="preserve">, 784 </w:t>
      </w:r>
      <w:r w:rsidR="00C047C8">
        <w:rPr>
          <w:rFonts w:ascii="Arial" w:hAnsi="Arial" w:cs="Arial"/>
          <w:sz w:val="16"/>
          <w:szCs w:val="16"/>
        </w:rPr>
        <w:t xml:space="preserve">- </w:t>
      </w:r>
      <w:r>
        <w:rPr>
          <w:rFonts w:ascii="Arial" w:hAnsi="Arial" w:cs="Arial"/>
          <w:sz w:val="16"/>
          <w:szCs w:val="16"/>
        </w:rPr>
        <w:t xml:space="preserve">díly a příslušenství motorových vozidel, 785 </w:t>
      </w:r>
      <w:r w:rsidR="00C047C8">
        <w:rPr>
          <w:rFonts w:ascii="Arial" w:hAnsi="Arial" w:cs="Arial"/>
          <w:sz w:val="16"/>
          <w:szCs w:val="16"/>
        </w:rPr>
        <w:t xml:space="preserve"> - </w:t>
      </w:r>
      <w:r>
        <w:rPr>
          <w:rFonts w:ascii="Arial" w:hAnsi="Arial" w:cs="Arial"/>
          <w:sz w:val="16"/>
          <w:szCs w:val="16"/>
        </w:rPr>
        <w:t>motocykly, jízdní kola, invalidní vozíky, 786</w:t>
      </w:r>
      <w:bookmarkStart w:id="0" w:name="_GoBack"/>
      <w:bookmarkEnd w:id="0"/>
      <w:r>
        <w:rPr>
          <w:rFonts w:ascii="Arial" w:hAnsi="Arial" w:cs="Arial"/>
          <w:sz w:val="16"/>
          <w:szCs w:val="16"/>
        </w:rPr>
        <w:t xml:space="preserve"> </w:t>
      </w:r>
      <w:r w:rsidR="00C047C8">
        <w:rPr>
          <w:rFonts w:ascii="Arial" w:hAnsi="Arial" w:cs="Arial"/>
          <w:sz w:val="16"/>
          <w:szCs w:val="16"/>
        </w:rPr>
        <w:t xml:space="preserve">- </w:t>
      </w:r>
      <w:r>
        <w:rPr>
          <w:rFonts w:ascii="Arial" w:hAnsi="Arial" w:cs="Arial"/>
          <w:sz w:val="16"/>
          <w:szCs w:val="16"/>
        </w:rPr>
        <w:t>přívěsy, návěsy; ostatní vozidla bez mechanického pohonu)</w:t>
      </w:r>
    </w:p>
  </w:footnote>
  <w:footnote w:id="11">
    <w:p w:rsidR="00BA7845" w:rsidRPr="00351A8F" w:rsidRDefault="00BA7845" w:rsidP="000C02AA">
      <w:pPr>
        <w:pStyle w:val="Textpoznpodarou"/>
        <w:spacing w:after="80"/>
        <w:rPr>
          <w:rFonts w:ascii="Arial" w:hAnsi="Arial" w:cs="Arial"/>
          <w:sz w:val="16"/>
          <w:szCs w:val="16"/>
        </w:rPr>
      </w:pPr>
      <w:r w:rsidRPr="00641C6A">
        <w:rPr>
          <w:rStyle w:val="Znakapoznpodarou"/>
          <w:rFonts w:ascii="Arial" w:hAnsi="Arial" w:cs="Arial"/>
          <w:sz w:val="16"/>
          <w:szCs w:val="16"/>
        </w:rPr>
        <w:footnoteRef/>
      </w:r>
      <w:r w:rsidRPr="00641C6A">
        <w:rPr>
          <w:rFonts w:ascii="Arial" w:hAnsi="Arial" w:cs="Arial"/>
          <w:sz w:val="16"/>
          <w:szCs w:val="16"/>
        </w:rPr>
        <w:t xml:space="preserve"> </w:t>
      </w:r>
      <w:r w:rsidRPr="00351A8F">
        <w:rPr>
          <w:rFonts w:ascii="Arial" w:hAnsi="Arial" w:cs="Arial"/>
          <w:sz w:val="16"/>
          <w:szCs w:val="16"/>
        </w:rPr>
        <w:t xml:space="preserve">Údaje </w:t>
      </w:r>
      <w:proofErr w:type="spellStart"/>
      <w:r w:rsidRPr="00351A8F">
        <w:rPr>
          <w:rFonts w:ascii="Arial" w:hAnsi="Arial" w:cs="Arial"/>
          <w:sz w:val="16"/>
          <w:szCs w:val="16"/>
        </w:rPr>
        <w:t>Eurostatu</w:t>
      </w:r>
      <w:proofErr w:type="spellEnd"/>
      <w:r w:rsidR="00930ED1">
        <w:rPr>
          <w:rFonts w:ascii="Arial" w:hAnsi="Arial" w:cs="Arial"/>
          <w:sz w:val="16"/>
          <w:szCs w:val="16"/>
        </w:rPr>
        <w:t xml:space="preserve"> (statistický úřad Evropské unie)</w:t>
      </w:r>
      <w:r w:rsidRPr="00351A8F">
        <w:rPr>
          <w:rFonts w:ascii="Arial" w:hAnsi="Arial" w:cs="Arial"/>
          <w:sz w:val="16"/>
          <w:szCs w:val="16"/>
        </w:rPr>
        <w:t xml:space="preserve">, </w:t>
      </w:r>
      <w:r w:rsidR="00930ED1">
        <w:rPr>
          <w:rFonts w:ascii="Arial" w:hAnsi="Arial" w:cs="Arial"/>
          <w:sz w:val="16"/>
          <w:szCs w:val="16"/>
        </w:rPr>
        <w:t>15</w:t>
      </w:r>
      <w:r w:rsidRPr="00351A8F">
        <w:rPr>
          <w:rFonts w:ascii="Arial" w:hAnsi="Arial" w:cs="Arial"/>
          <w:sz w:val="16"/>
          <w:szCs w:val="16"/>
        </w:rPr>
        <w:t>. srpen 201</w:t>
      </w:r>
      <w:r w:rsidR="00930ED1">
        <w:rPr>
          <w:rFonts w:ascii="Arial" w:hAnsi="Arial" w:cs="Arial"/>
          <w:sz w:val="16"/>
          <w:szCs w:val="16"/>
        </w:rPr>
        <w:t>7</w:t>
      </w:r>
      <w:r w:rsidRPr="00351A8F">
        <w:rPr>
          <w:rFonts w:ascii="Arial" w:hAnsi="Arial" w:cs="Arial"/>
          <w:sz w:val="16"/>
          <w:szCs w:val="16"/>
        </w:rPr>
        <w:t>.</w:t>
      </w:r>
    </w:p>
  </w:footnote>
  <w:footnote w:id="12">
    <w:p w:rsidR="00237392" w:rsidRPr="00351A8F" w:rsidRDefault="00237392" w:rsidP="00237392">
      <w:pPr>
        <w:pStyle w:val="Textpoznpodarou"/>
        <w:jc w:val="both"/>
        <w:rPr>
          <w:rFonts w:ascii="Arial" w:hAnsi="Arial" w:cs="Arial"/>
          <w:sz w:val="16"/>
          <w:szCs w:val="16"/>
        </w:rPr>
      </w:pPr>
      <w:r w:rsidRPr="00351A8F">
        <w:rPr>
          <w:rStyle w:val="Znakapoznpodarou"/>
          <w:rFonts w:ascii="Arial" w:hAnsi="Arial" w:cs="Arial"/>
          <w:sz w:val="16"/>
          <w:szCs w:val="16"/>
        </w:rPr>
        <w:footnoteRef/>
      </w:r>
      <w:r w:rsidRPr="00351A8F">
        <w:rPr>
          <w:rFonts w:ascii="Arial" w:hAnsi="Arial" w:cs="Arial"/>
          <w:sz w:val="16"/>
          <w:szCs w:val="16"/>
        </w:rPr>
        <w:t xml:space="preserve"> Státy EU - státy Evropské unie (28 členských států): Belgie (BE), Bulharsko (BG), Česká republika (CZ), Dánsko (DK), Estonsko (EE), Finsko (FI), Francie (FR), Chorvatsko (HR), Irsko (IE), Itálie (IT), Kypr (CY), Litva (LT), Lotyšsko (LV), Lucembursko (LU), Maďarsko (HU), Malta (MT), Německo (DE), Nizozemsko (NL), Polsko (PL), Portugalsko (PT), Rakousko (AT), Rumunsko (RO), Řecko (GR), Slovensko (SK), Slovinsko (SI), Spojené království (GB), Španělsko (ES), Švédsko (SE).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29A"/>
    <w:multiLevelType w:val="multilevel"/>
    <w:tmpl w:val="F54647A8"/>
    <w:lvl w:ilvl="0">
      <w:start w:val="1"/>
      <w:numFmt w:val="decimal"/>
      <w:lvlText w:val="%1."/>
      <w:lvlJc w:val="left"/>
      <w:pPr>
        <w:ind w:left="2204" w:hanging="360"/>
      </w:pPr>
      <w:rPr>
        <w:rFonts w:hint="default"/>
        <w:sz w:val="22"/>
        <w:szCs w:val="22"/>
      </w:rPr>
    </w:lvl>
    <w:lvl w:ilvl="1">
      <w:start w:val="1"/>
      <w:numFmt w:val="decimal"/>
      <w:lvlText w:val="%1.%2."/>
      <w:lvlJc w:val="left"/>
      <w:pPr>
        <w:ind w:left="792" w:hanging="432"/>
      </w:pPr>
      <w:rPr>
        <w:sz w:val="21"/>
        <w:szCs w:val="21"/>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95363"/>
    <w:rsid w:val="000016A9"/>
    <w:rsid w:val="00004D30"/>
    <w:rsid w:val="00005885"/>
    <w:rsid w:val="00006749"/>
    <w:rsid w:val="00010C22"/>
    <w:rsid w:val="00011E31"/>
    <w:rsid w:val="00021725"/>
    <w:rsid w:val="00022208"/>
    <w:rsid w:val="00024BFA"/>
    <w:rsid w:val="00024C99"/>
    <w:rsid w:val="00026CA6"/>
    <w:rsid w:val="000276A3"/>
    <w:rsid w:val="0003011D"/>
    <w:rsid w:val="000305AF"/>
    <w:rsid w:val="00032FE2"/>
    <w:rsid w:val="000357CA"/>
    <w:rsid w:val="00035B89"/>
    <w:rsid w:val="00036167"/>
    <w:rsid w:val="00041DE9"/>
    <w:rsid w:val="00047CFB"/>
    <w:rsid w:val="000511DC"/>
    <w:rsid w:val="000547CE"/>
    <w:rsid w:val="00054A26"/>
    <w:rsid w:val="000568E8"/>
    <w:rsid w:val="00060BD0"/>
    <w:rsid w:val="00061D1E"/>
    <w:rsid w:val="00065FCB"/>
    <w:rsid w:val="00070A12"/>
    <w:rsid w:val="00071C09"/>
    <w:rsid w:val="000725F3"/>
    <w:rsid w:val="000759EC"/>
    <w:rsid w:val="00077226"/>
    <w:rsid w:val="000831EB"/>
    <w:rsid w:val="000873D4"/>
    <w:rsid w:val="0008795A"/>
    <w:rsid w:val="000907B7"/>
    <w:rsid w:val="00096287"/>
    <w:rsid w:val="000A3ACC"/>
    <w:rsid w:val="000A5ABA"/>
    <w:rsid w:val="000A6F26"/>
    <w:rsid w:val="000B0634"/>
    <w:rsid w:val="000B2457"/>
    <w:rsid w:val="000B4A92"/>
    <w:rsid w:val="000B58B9"/>
    <w:rsid w:val="000C02AA"/>
    <w:rsid w:val="000C13F4"/>
    <w:rsid w:val="000C24C8"/>
    <w:rsid w:val="000C426B"/>
    <w:rsid w:val="000C44D3"/>
    <w:rsid w:val="000C6001"/>
    <w:rsid w:val="000D3370"/>
    <w:rsid w:val="000D3EF5"/>
    <w:rsid w:val="000D4275"/>
    <w:rsid w:val="000E19E8"/>
    <w:rsid w:val="000E1EBE"/>
    <w:rsid w:val="000E429E"/>
    <w:rsid w:val="000E5690"/>
    <w:rsid w:val="000E58CE"/>
    <w:rsid w:val="000E6646"/>
    <w:rsid w:val="000F1A46"/>
    <w:rsid w:val="000F335B"/>
    <w:rsid w:val="000F3A6D"/>
    <w:rsid w:val="000F3D88"/>
    <w:rsid w:val="001022E6"/>
    <w:rsid w:val="00102E58"/>
    <w:rsid w:val="00105648"/>
    <w:rsid w:val="00105BD5"/>
    <w:rsid w:val="00105FFE"/>
    <w:rsid w:val="00106E2C"/>
    <w:rsid w:val="0010799A"/>
    <w:rsid w:val="0011055B"/>
    <w:rsid w:val="00110587"/>
    <w:rsid w:val="001123B6"/>
    <w:rsid w:val="0011438E"/>
    <w:rsid w:val="00115370"/>
    <w:rsid w:val="00116A42"/>
    <w:rsid w:val="00123618"/>
    <w:rsid w:val="00124501"/>
    <w:rsid w:val="00131CB9"/>
    <w:rsid w:val="001322D1"/>
    <w:rsid w:val="00135680"/>
    <w:rsid w:val="0013574B"/>
    <w:rsid w:val="00137488"/>
    <w:rsid w:val="001432D2"/>
    <w:rsid w:val="00143E5D"/>
    <w:rsid w:val="00145608"/>
    <w:rsid w:val="00145C93"/>
    <w:rsid w:val="0014665F"/>
    <w:rsid w:val="0015251B"/>
    <w:rsid w:val="00152787"/>
    <w:rsid w:val="00153698"/>
    <w:rsid w:val="00157C53"/>
    <w:rsid w:val="0016207B"/>
    <w:rsid w:val="001643F0"/>
    <w:rsid w:val="00167D1F"/>
    <w:rsid w:val="001711F3"/>
    <w:rsid w:val="00174C78"/>
    <w:rsid w:val="001759B5"/>
    <w:rsid w:val="001833EC"/>
    <w:rsid w:val="001871D5"/>
    <w:rsid w:val="00191CDD"/>
    <w:rsid w:val="00192431"/>
    <w:rsid w:val="00193523"/>
    <w:rsid w:val="001939CF"/>
    <w:rsid w:val="001A46F0"/>
    <w:rsid w:val="001B04FD"/>
    <w:rsid w:val="001B21BA"/>
    <w:rsid w:val="001B3225"/>
    <w:rsid w:val="001B588E"/>
    <w:rsid w:val="001B5FCA"/>
    <w:rsid w:val="001B748A"/>
    <w:rsid w:val="001C1E30"/>
    <w:rsid w:val="001C3360"/>
    <w:rsid w:val="001C6A82"/>
    <w:rsid w:val="001D1E4A"/>
    <w:rsid w:val="001D48AD"/>
    <w:rsid w:val="001D7C6C"/>
    <w:rsid w:val="001D7E42"/>
    <w:rsid w:val="001E37C4"/>
    <w:rsid w:val="001F2588"/>
    <w:rsid w:val="001F27E3"/>
    <w:rsid w:val="001F2900"/>
    <w:rsid w:val="001F53AA"/>
    <w:rsid w:val="001F79CA"/>
    <w:rsid w:val="00200D2C"/>
    <w:rsid w:val="002052AC"/>
    <w:rsid w:val="00205813"/>
    <w:rsid w:val="00205FFE"/>
    <w:rsid w:val="00207542"/>
    <w:rsid w:val="00213628"/>
    <w:rsid w:val="00213DFC"/>
    <w:rsid w:val="0021504A"/>
    <w:rsid w:val="002151D1"/>
    <w:rsid w:val="002157FF"/>
    <w:rsid w:val="00215FA5"/>
    <w:rsid w:val="002162F7"/>
    <w:rsid w:val="00221BD7"/>
    <w:rsid w:val="0022516C"/>
    <w:rsid w:val="00225ECC"/>
    <w:rsid w:val="00226346"/>
    <w:rsid w:val="002268AB"/>
    <w:rsid w:val="00232712"/>
    <w:rsid w:val="002329C3"/>
    <w:rsid w:val="00234708"/>
    <w:rsid w:val="00236418"/>
    <w:rsid w:val="00237392"/>
    <w:rsid w:val="00241781"/>
    <w:rsid w:val="00241F84"/>
    <w:rsid w:val="00246346"/>
    <w:rsid w:val="00246E05"/>
    <w:rsid w:val="00251705"/>
    <w:rsid w:val="00252020"/>
    <w:rsid w:val="0025561E"/>
    <w:rsid w:val="00262597"/>
    <w:rsid w:val="00262B63"/>
    <w:rsid w:val="002662A1"/>
    <w:rsid w:val="00267AF6"/>
    <w:rsid w:val="00273816"/>
    <w:rsid w:val="00273B49"/>
    <w:rsid w:val="002924FE"/>
    <w:rsid w:val="00292CD1"/>
    <w:rsid w:val="002951E0"/>
    <w:rsid w:val="002A1E3E"/>
    <w:rsid w:val="002A3029"/>
    <w:rsid w:val="002A3AAF"/>
    <w:rsid w:val="002A4E60"/>
    <w:rsid w:val="002B2E3F"/>
    <w:rsid w:val="002B3294"/>
    <w:rsid w:val="002B3F3C"/>
    <w:rsid w:val="002B6024"/>
    <w:rsid w:val="002B692C"/>
    <w:rsid w:val="002B6B2E"/>
    <w:rsid w:val="002C026A"/>
    <w:rsid w:val="002C168B"/>
    <w:rsid w:val="002C3987"/>
    <w:rsid w:val="002C40D9"/>
    <w:rsid w:val="002C45F8"/>
    <w:rsid w:val="002C525D"/>
    <w:rsid w:val="002D1D26"/>
    <w:rsid w:val="002D4303"/>
    <w:rsid w:val="002D7F28"/>
    <w:rsid w:val="002E2D12"/>
    <w:rsid w:val="002E38B6"/>
    <w:rsid w:val="002E483A"/>
    <w:rsid w:val="002E7775"/>
    <w:rsid w:val="002F1038"/>
    <w:rsid w:val="002F2245"/>
    <w:rsid w:val="002F2CC1"/>
    <w:rsid w:val="002F5881"/>
    <w:rsid w:val="002F7146"/>
    <w:rsid w:val="002F726F"/>
    <w:rsid w:val="00300CE4"/>
    <w:rsid w:val="00300D5D"/>
    <w:rsid w:val="00311FBA"/>
    <w:rsid w:val="00313268"/>
    <w:rsid w:val="00315772"/>
    <w:rsid w:val="00316C09"/>
    <w:rsid w:val="00320DB0"/>
    <w:rsid w:val="00321A38"/>
    <w:rsid w:val="003233C0"/>
    <w:rsid w:val="00325DD8"/>
    <w:rsid w:val="003278C8"/>
    <w:rsid w:val="00330050"/>
    <w:rsid w:val="00342CC4"/>
    <w:rsid w:val="003448F8"/>
    <w:rsid w:val="0034507A"/>
    <w:rsid w:val="0034645A"/>
    <w:rsid w:val="00351A8F"/>
    <w:rsid w:val="00352753"/>
    <w:rsid w:val="00353F09"/>
    <w:rsid w:val="003551DC"/>
    <w:rsid w:val="00356318"/>
    <w:rsid w:val="00356433"/>
    <w:rsid w:val="00357459"/>
    <w:rsid w:val="003602C2"/>
    <w:rsid w:val="00360539"/>
    <w:rsid w:val="003606E8"/>
    <w:rsid w:val="00363DB8"/>
    <w:rsid w:val="003649FF"/>
    <w:rsid w:val="003659B1"/>
    <w:rsid w:val="003669E3"/>
    <w:rsid w:val="0037296F"/>
    <w:rsid w:val="00376469"/>
    <w:rsid w:val="003765C5"/>
    <w:rsid w:val="00376D0E"/>
    <w:rsid w:val="00386472"/>
    <w:rsid w:val="00392189"/>
    <w:rsid w:val="00394544"/>
    <w:rsid w:val="00394D75"/>
    <w:rsid w:val="003A0828"/>
    <w:rsid w:val="003A42B3"/>
    <w:rsid w:val="003A61FA"/>
    <w:rsid w:val="003A76BB"/>
    <w:rsid w:val="003B05CF"/>
    <w:rsid w:val="003B24D8"/>
    <w:rsid w:val="003B2E1D"/>
    <w:rsid w:val="003C1B43"/>
    <w:rsid w:val="003C2869"/>
    <w:rsid w:val="003C3AC6"/>
    <w:rsid w:val="003C4819"/>
    <w:rsid w:val="003C6197"/>
    <w:rsid w:val="003C67BF"/>
    <w:rsid w:val="003D00EE"/>
    <w:rsid w:val="003D223A"/>
    <w:rsid w:val="003D22C3"/>
    <w:rsid w:val="003D3240"/>
    <w:rsid w:val="003D34A7"/>
    <w:rsid w:val="003E3AD0"/>
    <w:rsid w:val="003E3F70"/>
    <w:rsid w:val="003E5298"/>
    <w:rsid w:val="003E67CB"/>
    <w:rsid w:val="003E71A4"/>
    <w:rsid w:val="003E724A"/>
    <w:rsid w:val="003F5E7F"/>
    <w:rsid w:val="003F60AA"/>
    <w:rsid w:val="003F6191"/>
    <w:rsid w:val="003F66E2"/>
    <w:rsid w:val="003F7481"/>
    <w:rsid w:val="0040123B"/>
    <w:rsid w:val="00401FC2"/>
    <w:rsid w:val="00406D87"/>
    <w:rsid w:val="00412D1C"/>
    <w:rsid w:val="00415B1D"/>
    <w:rsid w:val="004172A7"/>
    <w:rsid w:val="00417DAF"/>
    <w:rsid w:val="004210AB"/>
    <w:rsid w:val="00425743"/>
    <w:rsid w:val="0042772E"/>
    <w:rsid w:val="00427BB2"/>
    <w:rsid w:val="00430A0A"/>
    <w:rsid w:val="004354AC"/>
    <w:rsid w:val="004368B2"/>
    <w:rsid w:val="00437651"/>
    <w:rsid w:val="004411FE"/>
    <w:rsid w:val="00441ABA"/>
    <w:rsid w:val="004422E7"/>
    <w:rsid w:val="00442DD1"/>
    <w:rsid w:val="00444030"/>
    <w:rsid w:val="00445829"/>
    <w:rsid w:val="00453048"/>
    <w:rsid w:val="00453E0B"/>
    <w:rsid w:val="00454DD8"/>
    <w:rsid w:val="00454F7B"/>
    <w:rsid w:val="00455F32"/>
    <w:rsid w:val="0045718A"/>
    <w:rsid w:val="00457D95"/>
    <w:rsid w:val="00466E5D"/>
    <w:rsid w:val="00470133"/>
    <w:rsid w:val="004702B5"/>
    <w:rsid w:val="00470ED6"/>
    <w:rsid w:val="00471401"/>
    <w:rsid w:val="00471975"/>
    <w:rsid w:val="00472719"/>
    <w:rsid w:val="0047465B"/>
    <w:rsid w:val="004808C2"/>
    <w:rsid w:val="0048233B"/>
    <w:rsid w:val="00483F8A"/>
    <w:rsid w:val="00484163"/>
    <w:rsid w:val="00486883"/>
    <w:rsid w:val="0048779F"/>
    <w:rsid w:val="004904DD"/>
    <w:rsid w:val="00491F05"/>
    <w:rsid w:val="00495E20"/>
    <w:rsid w:val="004A12A9"/>
    <w:rsid w:val="004A20EF"/>
    <w:rsid w:val="004A30BD"/>
    <w:rsid w:val="004A5AF7"/>
    <w:rsid w:val="004B02D6"/>
    <w:rsid w:val="004B478C"/>
    <w:rsid w:val="004B4FE8"/>
    <w:rsid w:val="004C039F"/>
    <w:rsid w:val="004C07BE"/>
    <w:rsid w:val="004C0CCF"/>
    <w:rsid w:val="004C340D"/>
    <w:rsid w:val="004C5904"/>
    <w:rsid w:val="004C6F9E"/>
    <w:rsid w:val="004C766D"/>
    <w:rsid w:val="004D0CA0"/>
    <w:rsid w:val="004D4262"/>
    <w:rsid w:val="004D53C5"/>
    <w:rsid w:val="004D66C6"/>
    <w:rsid w:val="004E0A48"/>
    <w:rsid w:val="004E1A15"/>
    <w:rsid w:val="004E4156"/>
    <w:rsid w:val="004E4B3C"/>
    <w:rsid w:val="004F05E4"/>
    <w:rsid w:val="004F24CA"/>
    <w:rsid w:val="004F3689"/>
    <w:rsid w:val="004F3D8E"/>
    <w:rsid w:val="00501A65"/>
    <w:rsid w:val="00501BE8"/>
    <w:rsid w:val="00503141"/>
    <w:rsid w:val="005042E1"/>
    <w:rsid w:val="0050610D"/>
    <w:rsid w:val="00506396"/>
    <w:rsid w:val="005100A4"/>
    <w:rsid w:val="00510963"/>
    <w:rsid w:val="00514722"/>
    <w:rsid w:val="00514928"/>
    <w:rsid w:val="0051699D"/>
    <w:rsid w:val="00516E19"/>
    <w:rsid w:val="005171CB"/>
    <w:rsid w:val="00517C8B"/>
    <w:rsid w:val="00530D47"/>
    <w:rsid w:val="00533400"/>
    <w:rsid w:val="005340DE"/>
    <w:rsid w:val="005354E2"/>
    <w:rsid w:val="0053723A"/>
    <w:rsid w:val="00537671"/>
    <w:rsid w:val="00543333"/>
    <w:rsid w:val="00545B01"/>
    <w:rsid w:val="005461D8"/>
    <w:rsid w:val="0054715B"/>
    <w:rsid w:val="005471FC"/>
    <w:rsid w:val="00550C9D"/>
    <w:rsid w:val="005535D8"/>
    <w:rsid w:val="00556358"/>
    <w:rsid w:val="00556C61"/>
    <w:rsid w:val="00556ED2"/>
    <w:rsid w:val="005607E6"/>
    <w:rsid w:val="005654EF"/>
    <w:rsid w:val="00566248"/>
    <w:rsid w:val="005670AC"/>
    <w:rsid w:val="005677E0"/>
    <w:rsid w:val="00570B62"/>
    <w:rsid w:val="00571B8D"/>
    <w:rsid w:val="005734D3"/>
    <w:rsid w:val="00575D7D"/>
    <w:rsid w:val="00575E33"/>
    <w:rsid w:val="005760C8"/>
    <w:rsid w:val="00577F4F"/>
    <w:rsid w:val="0058041A"/>
    <w:rsid w:val="00591A7D"/>
    <w:rsid w:val="00592252"/>
    <w:rsid w:val="00592D30"/>
    <w:rsid w:val="005A318E"/>
    <w:rsid w:val="005A593C"/>
    <w:rsid w:val="005B0CE4"/>
    <w:rsid w:val="005B3B3D"/>
    <w:rsid w:val="005B4F4C"/>
    <w:rsid w:val="005C11BD"/>
    <w:rsid w:val="005C1302"/>
    <w:rsid w:val="005C510C"/>
    <w:rsid w:val="005C63D4"/>
    <w:rsid w:val="005D2418"/>
    <w:rsid w:val="005D329C"/>
    <w:rsid w:val="005D45DA"/>
    <w:rsid w:val="005E1640"/>
    <w:rsid w:val="005E2C18"/>
    <w:rsid w:val="005E3A4A"/>
    <w:rsid w:val="005E3EE0"/>
    <w:rsid w:val="005F244C"/>
    <w:rsid w:val="005F41B9"/>
    <w:rsid w:val="005F6E73"/>
    <w:rsid w:val="00600C8B"/>
    <w:rsid w:val="006017DC"/>
    <w:rsid w:val="00601FD6"/>
    <w:rsid w:val="0060202C"/>
    <w:rsid w:val="00603F05"/>
    <w:rsid w:val="0060668C"/>
    <w:rsid w:val="006129E3"/>
    <w:rsid w:val="00614B83"/>
    <w:rsid w:val="006151C1"/>
    <w:rsid w:val="006154B8"/>
    <w:rsid w:val="00616FC9"/>
    <w:rsid w:val="0062312D"/>
    <w:rsid w:val="00626E1B"/>
    <w:rsid w:val="006274F2"/>
    <w:rsid w:val="0063110E"/>
    <w:rsid w:val="00631937"/>
    <w:rsid w:val="006348AE"/>
    <w:rsid w:val="00642FF0"/>
    <w:rsid w:val="00645309"/>
    <w:rsid w:val="006459DC"/>
    <w:rsid w:val="006463CF"/>
    <w:rsid w:val="00651DD3"/>
    <w:rsid w:val="00652816"/>
    <w:rsid w:val="0065350B"/>
    <w:rsid w:val="0065503C"/>
    <w:rsid w:val="00655210"/>
    <w:rsid w:val="006611C9"/>
    <w:rsid w:val="0067414B"/>
    <w:rsid w:val="006769F6"/>
    <w:rsid w:val="00676F78"/>
    <w:rsid w:val="006847DE"/>
    <w:rsid w:val="006855C8"/>
    <w:rsid w:val="00686D1F"/>
    <w:rsid w:val="00687955"/>
    <w:rsid w:val="00690F6D"/>
    <w:rsid w:val="00691FB0"/>
    <w:rsid w:val="00694989"/>
    <w:rsid w:val="00694E44"/>
    <w:rsid w:val="00695007"/>
    <w:rsid w:val="006A0F54"/>
    <w:rsid w:val="006A2B1B"/>
    <w:rsid w:val="006A38C9"/>
    <w:rsid w:val="006A6084"/>
    <w:rsid w:val="006B032B"/>
    <w:rsid w:val="006B3351"/>
    <w:rsid w:val="006B4068"/>
    <w:rsid w:val="006C17E5"/>
    <w:rsid w:val="006C47E1"/>
    <w:rsid w:val="006C6397"/>
    <w:rsid w:val="006D0F60"/>
    <w:rsid w:val="006D2262"/>
    <w:rsid w:val="006D69AE"/>
    <w:rsid w:val="006D6E69"/>
    <w:rsid w:val="006E27B0"/>
    <w:rsid w:val="006E4596"/>
    <w:rsid w:val="006E70C6"/>
    <w:rsid w:val="00702897"/>
    <w:rsid w:val="007039D1"/>
    <w:rsid w:val="0071103F"/>
    <w:rsid w:val="00712D1C"/>
    <w:rsid w:val="007137F8"/>
    <w:rsid w:val="00715028"/>
    <w:rsid w:val="00715626"/>
    <w:rsid w:val="00721A0F"/>
    <w:rsid w:val="00725FED"/>
    <w:rsid w:val="007279AE"/>
    <w:rsid w:val="00730099"/>
    <w:rsid w:val="00740AE0"/>
    <w:rsid w:val="00741E3D"/>
    <w:rsid w:val="0074351B"/>
    <w:rsid w:val="00744A93"/>
    <w:rsid w:val="00745050"/>
    <w:rsid w:val="007518EE"/>
    <w:rsid w:val="007570AB"/>
    <w:rsid w:val="00762385"/>
    <w:rsid w:val="00764DDA"/>
    <w:rsid w:val="00765582"/>
    <w:rsid w:val="00765D26"/>
    <w:rsid w:val="00765F81"/>
    <w:rsid w:val="00780CF7"/>
    <w:rsid w:val="00783454"/>
    <w:rsid w:val="00784ADA"/>
    <w:rsid w:val="00785C1C"/>
    <w:rsid w:val="00786848"/>
    <w:rsid w:val="00791941"/>
    <w:rsid w:val="007936D0"/>
    <w:rsid w:val="0079396E"/>
    <w:rsid w:val="00793E3C"/>
    <w:rsid w:val="00794EEF"/>
    <w:rsid w:val="007974E7"/>
    <w:rsid w:val="007A2FCB"/>
    <w:rsid w:val="007A3CF6"/>
    <w:rsid w:val="007A4A57"/>
    <w:rsid w:val="007A7E89"/>
    <w:rsid w:val="007B0DDF"/>
    <w:rsid w:val="007B682F"/>
    <w:rsid w:val="007B6DA8"/>
    <w:rsid w:val="007C01CC"/>
    <w:rsid w:val="007C0A7E"/>
    <w:rsid w:val="007C19D2"/>
    <w:rsid w:val="007C30DF"/>
    <w:rsid w:val="007C34E7"/>
    <w:rsid w:val="007C366F"/>
    <w:rsid w:val="007D4248"/>
    <w:rsid w:val="007D687B"/>
    <w:rsid w:val="007E36BB"/>
    <w:rsid w:val="007E725F"/>
    <w:rsid w:val="007E77DA"/>
    <w:rsid w:val="007F27EB"/>
    <w:rsid w:val="007F2DDC"/>
    <w:rsid w:val="00803DE5"/>
    <w:rsid w:val="00807715"/>
    <w:rsid w:val="00807B15"/>
    <w:rsid w:val="00810A31"/>
    <w:rsid w:val="00813F4C"/>
    <w:rsid w:val="008145F7"/>
    <w:rsid w:val="008177D8"/>
    <w:rsid w:val="008208F7"/>
    <w:rsid w:val="00821057"/>
    <w:rsid w:val="0082794C"/>
    <w:rsid w:val="00830658"/>
    <w:rsid w:val="00832C7D"/>
    <w:rsid w:val="008339AB"/>
    <w:rsid w:val="00833C68"/>
    <w:rsid w:val="00834195"/>
    <w:rsid w:val="00835AD6"/>
    <w:rsid w:val="00842AFA"/>
    <w:rsid w:val="008432AB"/>
    <w:rsid w:val="0084501C"/>
    <w:rsid w:val="0085119F"/>
    <w:rsid w:val="00851655"/>
    <w:rsid w:val="00852932"/>
    <w:rsid w:val="0085431A"/>
    <w:rsid w:val="008576BC"/>
    <w:rsid w:val="00857BB6"/>
    <w:rsid w:val="00863263"/>
    <w:rsid w:val="0086683D"/>
    <w:rsid w:val="008676E5"/>
    <w:rsid w:val="00870F29"/>
    <w:rsid w:val="00872CBF"/>
    <w:rsid w:val="008734DA"/>
    <w:rsid w:val="008748A8"/>
    <w:rsid w:val="00874D9A"/>
    <w:rsid w:val="00875B62"/>
    <w:rsid w:val="0087644E"/>
    <w:rsid w:val="0087660F"/>
    <w:rsid w:val="00876658"/>
    <w:rsid w:val="00882173"/>
    <w:rsid w:val="00882C0B"/>
    <w:rsid w:val="00884F17"/>
    <w:rsid w:val="008864BA"/>
    <w:rsid w:val="00886CC4"/>
    <w:rsid w:val="00887192"/>
    <w:rsid w:val="008907BE"/>
    <w:rsid w:val="0089131D"/>
    <w:rsid w:val="00897233"/>
    <w:rsid w:val="008A0A5C"/>
    <w:rsid w:val="008A0D06"/>
    <w:rsid w:val="008A3820"/>
    <w:rsid w:val="008A3EE5"/>
    <w:rsid w:val="008A5250"/>
    <w:rsid w:val="008A7A4E"/>
    <w:rsid w:val="008B22E5"/>
    <w:rsid w:val="008B2840"/>
    <w:rsid w:val="008B7857"/>
    <w:rsid w:val="008C12D9"/>
    <w:rsid w:val="008C2E42"/>
    <w:rsid w:val="008C54BF"/>
    <w:rsid w:val="008D0756"/>
    <w:rsid w:val="008D3095"/>
    <w:rsid w:val="008E0F19"/>
    <w:rsid w:val="008E1300"/>
    <w:rsid w:val="008E1E2A"/>
    <w:rsid w:val="008E4C13"/>
    <w:rsid w:val="008E4C5E"/>
    <w:rsid w:val="008E7107"/>
    <w:rsid w:val="008F01A2"/>
    <w:rsid w:val="008F0604"/>
    <w:rsid w:val="00902121"/>
    <w:rsid w:val="009021F6"/>
    <w:rsid w:val="0091013B"/>
    <w:rsid w:val="0091158A"/>
    <w:rsid w:val="0091572E"/>
    <w:rsid w:val="0091625A"/>
    <w:rsid w:val="009164D6"/>
    <w:rsid w:val="009200D9"/>
    <w:rsid w:val="0092455D"/>
    <w:rsid w:val="00924AE2"/>
    <w:rsid w:val="00930607"/>
    <w:rsid w:val="00930ED1"/>
    <w:rsid w:val="0093289C"/>
    <w:rsid w:val="00932BF3"/>
    <w:rsid w:val="009335CB"/>
    <w:rsid w:val="00936CBA"/>
    <w:rsid w:val="00941430"/>
    <w:rsid w:val="00946937"/>
    <w:rsid w:val="0095100A"/>
    <w:rsid w:val="0095264B"/>
    <w:rsid w:val="009550E5"/>
    <w:rsid w:val="00966B4B"/>
    <w:rsid w:val="00970810"/>
    <w:rsid w:val="00982C2B"/>
    <w:rsid w:val="00983410"/>
    <w:rsid w:val="00984EBF"/>
    <w:rsid w:val="009859CC"/>
    <w:rsid w:val="00987DDD"/>
    <w:rsid w:val="0099171C"/>
    <w:rsid w:val="0099469F"/>
    <w:rsid w:val="00994BE6"/>
    <w:rsid w:val="00995363"/>
    <w:rsid w:val="009A027A"/>
    <w:rsid w:val="009A40A9"/>
    <w:rsid w:val="009A5644"/>
    <w:rsid w:val="009A7000"/>
    <w:rsid w:val="009A7B8F"/>
    <w:rsid w:val="009B4C7A"/>
    <w:rsid w:val="009C0B6C"/>
    <w:rsid w:val="009D0818"/>
    <w:rsid w:val="009D0B49"/>
    <w:rsid w:val="009D1516"/>
    <w:rsid w:val="009D4BCE"/>
    <w:rsid w:val="009D4F23"/>
    <w:rsid w:val="009D6E2F"/>
    <w:rsid w:val="009D76BB"/>
    <w:rsid w:val="009E13E5"/>
    <w:rsid w:val="009E1534"/>
    <w:rsid w:val="009E32A1"/>
    <w:rsid w:val="009E3864"/>
    <w:rsid w:val="009E4E62"/>
    <w:rsid w:val="009E5229"/>
    <w:rsid w:val="009E60DB"/>
    <w:rsid w:val="009E6EB7"/>
    <w:rsid w:val="009F31B7"/>
    <w:rsid w:val="009F6C1C"/>
    <w:rsid w:val="00A00BB8"/>
    <w:rsid w:val="00A031F5"/>
    <w:rsid w:val="00A079F1"/>
    <w:rsid w:val="00A07AB1"/>
    <w:rsid w:val="00A11A24"/>
    <w:rsid w:val="00A11BA6"/>
    <w:rsid w:val="00A123EC"/>
    <w:rsid w:val="00A14E13"/>
    <w:rsid w:val="00A16130"/>
    <w:rsid w:val="00A168CC"/>
    <w:rsid w:val="00A2213C"/>
    <w:rsid w:val="00A25788"/>
    <w:rsid w:val="00A26926"/>
    <w:rsid w:val="00A31EFE"/>
    <w:rsid w:val="00A32BC2"/>
    <w:rsid w:val="00A344A5"/>
    <w:rsid w:val="00A3657D"/>
    <w:rsid w:val="00A36F03"/>
    <w:rsid w:val="00A41D02"/>
    <w:rsid w:val="00A42047"/>
    <w:rsid w:val="00A46840"/>
    <w:rsid w:val="00A46C98"/>
    <w:rsid w:val="00A46F20"/>
    <w:rsid w:val="00A47390"/>
    <w:rsid w:val="00A477DA"/>
    <w:rsid w:val="00A502AB"/>
    <w:rsid w:val="00A5193A"/>
    <w:rsid w:val="00A5664C"/>
    <w:rsid w:val="00A575B8"/>
    <w:rsid w:val="00A60580"/>
    <w:rsid w:val="00A63208"/>
    <w:rsid w:val="00A6507F"/>
    <w:rsid w:val="00A72224"/>
    <w:rsid w:val="00A73C7B"/>
    <w:rsid w:val="00A8197F"/>
    <w:rsid w:val="00A82180"/>
    <w:rsid w:val="00A90F21"/>
    <w:rsid w:val="00A92BC6"/>
    <w:rsid w:val="00A94FBB"/>
    <w:rsid w:val="00A950FE"/>
    <w:rsid w:val="00A96ABF"/>
    <w:rsid w:val="00AA4CAC"/>
    <w:rsid w:val="00AA5AD8"/>
    <w:rsid w:val="00AB03D0"/>
    <w:rsid w:val="00AB25E4"/>
    <w:rsid w:val="00AB28E5"/>
    <w:rsid w:val="00AB2ED5"/>
    <w:rsid w:val="00AB4223"/>
    <w:rsid w:val="00AB5704"/>
    <w:rsid w:val="00AC40E5"/>
    <w:rsid w:val="00AC734C"/>
    <w:rsid w:val="00AD1B0D"/>
    <w:rsid w:val="00AD2486"/>
    <w:rsid w:val="00AE0310"/>
    <w:rsid w:val="00AE096D"/>
    <w:rsid w:val="00AE5918"/>
    <w:rsid w:val="00AF084D"/>
    <w:rsid w:val="00AF0E90"/>
    <w:rsid w:val="00AF6E92"/>
    <w:rsid w:val="00AF7E51"/>
    <w:rsid w:val="00B00AB3"/>
    <w:rsid w:val="00B00C4C"/>
    <w:rsid w:val="00B04FAD"/>
    <w:rsid w:val="00B0609A"/>
    <w:rsid w:val="00B0659B"/>
    <w:rsid w:val="00B07380"/>
    <w:rsid w:val="00B12861"/>
    <w:rsid w:val="00B16E97"/>
    <w:rsid w:val="00B20E79"/>
    <w:rsid w:val="00B22108"/>
    <w:rsid w:val="00B227ED"/>
    <w:rsid w:val="00B22F5E"/>
    <w:rsid w:val="00B26EB3"/>
    <w:rsid w:val="00B2709F"/>
    <w:rsid w:val="00B310D7"/>
    <w:rsid w:val="00B35CF2"/>
    <w:rsid w:val="00B40A00"/>
    <w:rsid w:val="00B410D1"/>
    <w:rsid w:val="00B424DC"/>
    <w:rsid w:val="00B50B36"/>
    <w:rsid w:val="00B51DA6"/>
    <w:rsid w:val="00B53190"/>
    <w:rsid w:val="00B60B0A"/>
    <w:rsid w:val="00B6712C"/>
    <w:rsid w:val="00B70231"/>
    <w:rsid w:val="00B715F4"/>
    <w:rsid w:val="00B74F49"/>
    <w:rsid w:val="00B77CB0"/>
    <w:rsid w:val="00B80F88"/>
    <w:rsid w:val="00B810B8"/>
    <w:rsid w:val="00B8196E"/>
    <w:rsid w:val="00B8319D"/>
    <w:rsid w:val="00B83DD8"/>
    <w:rsid w:val="00B84A41"/>
    <w:rsid w:val="00B86A22"/>
    <w:rsid w:val="00B92ECE"/>
    <w:rsid w:val="00B93E7D"/>
    <w:rsid w:val="00B95D4E"/>
    <w:rsid w:val="00BA342B"/>
    <w:rsid w:val="00BA352B"/>
    <w:rsid w:val="00BA38C5"/>
    <w:rsid w:val="00BA6416"/>
    <w:rsid w:val="00BA7845"/>
    <w:rsid w:val="00BB0713"/>
    <w:rsid w:val="00BB3E1F"/>
    <w:rsid w:val="00BB6135"/>
    <w:rsid w:val="00BC034D"/>
    <w:rsid w:val="00BC5C54"/>
    <w:rsid w:val="00BC5E46"/>
    <w:rsid w:val="00BC5F46"/>
    <w:rsid w:val="00BD0F40"/>
    <w:rsid w:val="00BD10E6"/>
    <w:rsid w:val="00BD2F5D"/>
    <w:rsid w:val="00BD382A"/>
    <w:rsid w:val="00BD59C3"/>
    <w:rsid w:val="00BE02ED"/>
    <w:rsid w:val="00BE08DC"/>
    <w:rsid w:val="00BE104D"/>
    <w:rsid w:val="00BE13AD"/>
    <w:rsid w:val="00BE160A"/>
    <w:rsid w:val="00BE4F8D"/>
    <w:rsid w:val="00BE7455"/>
    <w:rsid w:val="00BF3416"/>
    <w:rsid w:val="00C00A67"/>
    <w:rsid w:val="00C04033"/>
    <w:rsid w:val="00C047C8"/>
    <w:rsid w:val="00C05C43"/>
    <w:rsid w:val="00C06206"/>
    <w:rsid w:val="00C06EB2"/>
    <w:rsid w:val="00C101F3"/>
    <w:rsid w:val="00C10499"/>
    <w:rsid w:val="00C12BE6"/>
    <w:rsid w:val="00C1759C"/>
    <w:rsid w:val="00C23275"/>
    <w:rsid w:val="00C25474"/>
    <w:rsid w:val="00C31D1D"/>
    <w:rsid w:val="00C31EA5"/>
    <w:rsid w:val="00C37BD3"/>
    <w:rsid w:val="00C427BA"/>
    <w:rsid w:val="00C44DDC"/>
    <w:rsid w:val="00C4722B"/>
    <w:rsid w:val="00C50828"/>
    <w:rsid w:val="00C53580"/>
    <w:rsid w:val="00C663D0"/>
    <w:rsid w:val="00C665DC"/>
    <w:rsid w:val="00C669CC"/>
    <w:rsid w:val="00C670C7"/>
    <w:rsid w:val="00C7375C"/>
    <w:rsid w:val="00C7653C"/>
    <w:rsid w:val="00C76C67"/>
    <w:rsid w:val="00C77352"/>
    <w:rsid w:val="00C817E0"/>
    <w:rsid w:val="00C877EB"/>
    <w:rsid w:val="00C90468"/>
    <w:rsid w:val="00C91E8D"/>
    <w:rsid w:val="00C92688"/>
    <w:rsid w:val="00C93CF9"/>
    <w:rsid w:val="00CA0A02"/>
    <w:rsid w:val="00CA2085"/>
    <w:rsid w:val="00CA46A1"/>
    <w:rsid w:val="00CB0375"/>
    <w:rsid w:val="00CB0507"/>
    <w:rsid w:val="00CB1F98"/>
    <w:rsid w:val="00CB3C74"/>
    <w:rsid w:val="00CB52A4"/>
    <w:rsid w:val="00CB76A0"/>
    <w:rsid w:val="00CC0E9B"/>
    <w:rsid w:val="00CC2FD2"/>
    <w:rsid w:val="00CC330C"/>
    <w:rsid w:val="00CC3E52"/>
    <w:rsid w:val="00CC5700"/>
    <w:rsid w:val="00CC6051"/>
    <w:rsid w:val="00CD004C"/>
    <w:rsid w:val="00CD1E42"/>
    <w:rsid w:val="00CD219D"/>
    <w:rsid w:val="00CD41EB"/>
    <w:rsid w:val="00CE01AD"/>
    <w:rsid w:val="00CE2275"/>
    <w:rsid w:val="00CE3754"/>
    <w:rsid w:val="00CE5289"/>
    <w:rsid w:val="00CE53BE"/>
    <w:rsid w:val="00CE7235"/>
    <w:rsid w:val="00CF0B57"/>
    <w:rsid w:val="00CF1895"/>
    <w:rsid w:val="00CF358A"/>
    <w:rsid w:val="00CF3E15"/>
    <w:rsid w:val="00CF5507"/>
    <w:rsid w:val="00CF5BA4"/>
    <w:rsid w:val="00CF7E37"/>
    <w:rsid w:val="00D01B14"/>
    <w:rsid w:val="00D20DB8"/>
    <w:rsid w:val="00D2102D"/>
    <w:rsid w:val="00D225E2"/>
    <w:rsid w:val="00D22DFB"/>
    <w:rsid w:val="00D23B51"/>
    <w:rsid w:val="00D3081D"/>
    <w:rsid w:val="00D30FDA"/>
    <w:rsid w:val="00D31D34"/>
    <w:rsid w:val="00D32637"/>
    <w:rsid w:val="00D333FD"/>
    <w:rsid w:val="00D34DC0"/>
    <w:rsid w:val="00D35AA9"/>
    <w:rsid w:val="00D36450"/>
    <w:rsid w:val="00D434D8"/>
    <w:rsid w:val="00D441B8"/>
    <w:rsid w:val="00D44F81"/>
    <w:rsid w:val="00D476EC"/>
    <w:rsid w:val="00D52E2D"/>
    <w:rsid w:val="00D53892"/>
    <w:rsid w:val="00D56B60"/>
    <w:rsid w:val="00D57F6E"/>
    <w:rsid w:val="00D60367"/>
    <w:rsid w:val="00D614CD"/>
    <w:rsid w:val="00D628B6"/>
    <w:rsid w:val="00D70B55"/>
    <w:rsid w:val="00D72E17"/>
    <w:rsid w:val="00D76D6C"/>
    <w:rsid w:val="00D76D9B"/>
    <w:rsid w:val="00D8409D"/>
    <w:rsid w:val="00D84DCC"/>
    <w:rsid w:val="00D86113"/>
    <w:rsid w:val="00D87BF4"/>
    <w:rsid w:val="00D91DD5"/>
    <w:rsid w:val="00D92E03"/>
    <w:rsid w:val="00D9362D"/>
    <w:rsid w:val="00D945AD"/>
    <w:rsid w:val="00D94EB1"/>
    <w:rsid w:val="00D954BC"/>
    <w:rsid w:val="00DA06FD"/>
    <w:rsid w:val="00DA18F2"/>
    <w:rsid w:val="00DA782E"/>
    <w:rsid w:val="00DB1D98"/>
    <w:rsid w:val="00DB27C2"/>
    <w:rsid w:val="00DB44AE"/>
    <w:rsid w:val="00DB6FEC"/>
    <w:rsid w:val="00DC31A8"/>
    <w:rsid w:val="00DC4453"/>
    <w:rsid w:val="00DC4B86"/>
    <w:rsid w:val="00DC6262"/>
    <w:rsid w:val="00DD2794"/>
    <w:rsid w:val="00DD2A7C"/>
    <w:rsid w:val="00DD3034"/>
    <w:rsid w:val="00DD4862"/>
    <w:rsid w:val="00DE4F61"/>
    <w:rsid w:val="00DE56A3"/>
    <w:rsid w:val="00DE5CA3"/>
    <w:rsid w:val="00DE780B"/>
    <w:rsid w:val="00DF0C26"/>
    <w:rsid w:val="00DF0ECE"/>
    <w:rsid w:val="00DF1069"/>
    <w:rsid w:val="00DF1296"/>
    <w:rsid w:val="00DF4D31"/>
    <w:rsid w:val="00DF50F3"/>
    <w:rsid w:val="00DF5E30"/>
    <w:rsid w:val="00E00180"/>
    <w:rsid w:val="00E002B3"/>
    <w:rsid w:val="00E02356"/>
    <w:rsid w:val="00E024DF"/>
    <w:rsid w:val="00E03C95"/>
    <w:rsid w:val="00E1653B"/>
    <w:rsid w:val="00E23214"/>
    <w:rsid w:val="00E24B02"/>
    <w:rsid w:val="00E267F8"/>
    <w:rsid w:val="00E27947"/>
    <w:rsid w:val="00E30130"/>
    <w:rsid w:val="00E30310"/>
    <w:rsid w:val="00E311D7"/>
    <w:rsid w:val="00E3604A"/>
    <w:rsid w:val="00E40662"/>
    <w:rsid w:val="00E40C65"/>
    <w:rsid w:val="00E41CC5"/>
    <w:rsid w:val="00E42A03"/>
    <w:rsid w:val="00E47AD9"/>
    <w:rsid w:val="00E47B98"/>
    <w:rsid w:val="00E513C3"/>
    <w:rsid w:val="00E5178A"/>
    <w:rsid w:val="00E52E4A"/>
    <w:rsid w:val="00E5471B"/>
    <w:rsid w:val="00E60AFD"/>
    <w:rsid w:val="00E65A44"/>
    <w:rsid w:val="00E71568"/>
    <w:rsid w:val="00E74848"/>
    <w:rsid w:val="00E74B66"/>
    <w:rsid w:val="00E751EB"/>
    <w:rsid w:val="00E77521"/>
    <w:rsid w:val="00E838B6"/>
    <w:rsid w:val="00E84FB0"/>
    <w:rsid w:val="00E8792B"/>
    <w:rsid w:val="00E87EC7"/>
    <w:rsid w:val="00E87FE5"/>
    <w:rsid w:val="00E9010E"/>
    <w:rsid w:val="00E92201"/>
    <w:rsid w:val="00E92824"/>
    <w:rsid w:val="00E92B5E"/>
    <w:rsid w:val="00E93FB8"/>
    <w:rsid w:val="00E9416B"/>
    <w:rsid w:val="00E9534C"/>
    <w:rsid w:val="00E96303"/>
    <w:rsid w:val="00EA1431"/>
    <w:rsid w:val="00EA1F10"/>
    <w:rsid w:val="00EA29DB"/>
    <w:rsid w:val="00EA2F93"/>
    <w:rsid w:val="00EA6EDE"/>
    <w:rsid w:val="00EB174B"/>
    <w:rsid w:val="00EB2FEC"/>
    <w:rsid w:val="00EB7748"/>
    <w:rsid w:val="00EC032F"/>
    <w:rsid w:val="00EC5139"/>
    <w:rsid w:val="00ED2B95"/>
    <w:rsid w:val="00ED3E34"/>
    <w:rsid w:val="00ED4166"/>
    <w:rsid w:val="00ED48FA"/>
    <w:rsid w:val="00ED4AFA"/>
    <w:rsid w:val="00ED78F7"/>
    <w:rsid w:val="00ED7AAF"/>
    <w:rsid w:val="00EE11C7"/>
    <w:rsid w:val="00EE212C"/>
    <w:rsid w:val="00EE2983"/>
    <w:rsid w:val="00EE5743"/>
    <w:rsid w:val="00EF0BEF"/>
    <w:rsid w:val="00EF1B1D"/>
    <w:rsid w:val="00EF5458"/>
    <w:rsid w:val="00EF7A6D"/>
    <w:rsid w:val="00F008A4"/>
    <w:rsid w:val="00F01540"/>
    <w:rsid w:val="00F06B3A"/>
    <w:rsid w:val="00F0763B"/>
    <w:rsid w:val="00F07B19"/>
    <w:rsid w:val="00F115A0"/>
    <w:rsid w:val="00F12CFB"/>
    <w:rsid w:val="00F13265"/>
    <w:rsid w:val="00F2609D"/>
    <w:rsid w:val="00F30639"/>
    <w:rsid w:val="00F30BEB"/>
    <w:rsid w:val="00F30BF9"/>
    <w:rsid w:val="00F314EC"/>
    <w:rsid w:val="00F43576"/>
    <w:rsid w:val="00F52D0E"/>
    <w:rsid w:val="00F5357E"/>
    <w:rsid w:val="00F54368"/>
    <w:rsid w:val="00F546DB"/>
    <w:rsid w:val="00F546FC"/>
    <w:rsid w:val="00F556B3"/>
    <w:rsid w:val="00F56A8F"/>
    <w:rsid w:val="00F60448"/>
    <w:rsid w:val="00F666EC"/>
    <w:rsid w:val="00F77F99"/>
    <w:rsid w:val="00F819B0"/>
    <w:rsid w:val="00F8281C"/>
    <w:rsid w:val="00F83350"/>
    <w:rsid w:val="00F838AE"/>
    <w:rsid w:val="00F8403A"/>
    <w:rsid w:val="00F845E4"/>
    <w:rsid w:val="00F8657D"/>
    <w:rsid w:val="00F913DB"/>
    <w:rsid w:val="00F93CC4"/>
    <w:rsid w:val="00F94EA3"/>
    <w:rsid w:val="00F9501B"/>
    <w:rsid w:val="00F95700"/>
    <w:rsid w:val="00F9580B"/>
    <w:rsid w:val="00FA2CB1"/>
    <w:rsid w:val="00FA6C0C"/>
    <w:rsid w:val="00FB002C"/>
    <w:rsid w:val="00FB5DFF"/>
    <w:rsid w:val="00FB7BC6"/>
    <w:rsid w:val="00FC02ED"/>
    <w:rsid w:val="00FC178C"/>
    <w:rsid w:val="00FC1C46"/>
    <w:rsid w:val="00FC1EA4"/>
    <w:rsid w:val="00FC2DFD"/>
    <w:rsid w:val="00FC5D65"/>
    <w:rsid w:val="00FC675E"/>
    <w:rsid w:val="00FC7466"/>
    <w:rsid w:val="00FC7AE3"/>
    <w:rsid w:val="00FD23CB"/>
    <w:rsid w:val="00FD3280"/>
    <w:rsid w:val="00FD4A08"/>
    <w:rsid w:val="00FD4EFB"/>
    <w:rsid w:val="00FD6CD2"/>
    <w:rsid w:val="00FE08E0"/>
    <w:rsid w:val="00FE0BF6"/>
    <w:rsid w:val="00FE3105"/>
    <w:rsid w:val="00FE4973"/>
    <w:rsid w:val="00FF1132"/>
    <w:rsid w:val="00FF20A8"/>
    <w:rsid w:val="00FF3ECE"/>
    <w:rsid w:val="00FF67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609D"/>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F2609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2609D"/>
    <w:rPr>
      <w:rFonts w:ascii="Calibri" w:eastAsia="Calibri" w:hAnsi="Calibri" w:cs="Times New Roman"/>
      <w:sz w:val="20"/>
      <w:szCs w:val="20"/>
    </w:rPr>
  </w:style>
  <w:style w:type="character" w:styleId="Znakapoznpodarou">
    <w:name w:val="footnote reference"/>
    <w:uiPriority w:val="99"/>
    <w:semiHidden/>
    <w:unhideWhenUsed/>
    <w:rsid w:val="00F2609D"/>
    <w:rPr>
      <w:vertAlign w:val="superscript"/>
    </w:rPr>
  </w:style>
  <w:style w:type="paragraph" w:styleId="Zkladntext">
    <w:name w:val="Body Text"/>
    <w:basedOn w:val="Normln"/>
    <w:link w:val="ZkladntextChar"/>
    <w:semiHidden/>
    <w:rsid w:val="00BA7845"/>
    <w:pPr>
      <w:spacing w:after="0" w:line="240" w:lineRule="auto"/>
      <w:jc w:val="both"/>
    </w:pPr>
    <w:rPr>
      <w:rFonts w:ascii="Arial" w:eastAsia="Times New Roman" w:hAnsi="Arial" w:cs="Arial"/>
      <w:sz w:val="20"/>
      <w:szCs w:val="24"/>
      <w:lang w:eastAsia="cs-CZ"/>
    </w:rPr>
  </w:style>
  <w:style w:type="character" w:customStyle="1" w:styleId="ZkladntextChar">
    <w:name w:val="Základní text Char"/>
    <w:basedOn w:val="Standardnpsmoodstavce"/>
    <w:link w:val="Zkladntext"/>
    <w:semiHidden/>
    <w:rsid w:val="00BA7845"/>
    <w:rPr>
      <w:rFonts w:ascii="Arial" w:eastAsia="Times New Roman" w:hAnsi="Arial" w:cs="Arial"/>
      <w:sz w:val="20"/>
      <w:szCs w:val="24"/>
      <w:lang w:eastAsia="cs-CZ"/>
    </w:rPr>
  </w:style>
  <w:style w:type="paragraph" w:styleId="Textbubliny">
    <w:name w:val="Balloon Text"/>
    <w:basedOn w:val="Normln"/>
    <w:link w:val="TextbublinyChar"/>
    <w:uiPriority w:val="99"/>
    <w:semiHidden/>
    <w:unhideWhenUsed/>
    <w:rsid w:val="002417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41781"/>
    <w:rPr>
      <w:rFonts w:ascii="Tahoma" w:eastAsia="Calibri" w:hAnsi="Tahoma" w:cs="Tahoma"/>
      <w:sz w:val="16"/>
      <w:szCs w:val="16"/>
    </w:rPr>
  </w:style>
  <w:style w:type="paragraph" w:styleId="Odstavecseseznamem">
    <w:name w:val="List Paragraph"/>
    <w:basedOn w:val="Normln"/>
    <w:uiPriority w:val="34"/>
    <w:qFormat/>
    <w:rsid w:val="006017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778753">
      <w:bodyDiv w:val="1"/>
      <w:marLeft w:val="0"/>
      <w:marRight w:val="0"/>
      <w:marTop w:val="0"/>
      <w:marBottom w:val="0"/>
      <w:divBdr>
        <w:top w:val="none" w:sz="0" w:space="0" w:color="auto"/>
        <w:left w:val="none" w:sz="0" w:space="0" w:color="auto"/>
        <w:bottom w:val="none" w:sz="0" w:space="0" w:color="auto"/>
        <w:right w:val="none" w:sz="0" w:space="0" w:color="auto"/>
      </w:divBdr>
      <w:divsChild>
        <w:div w:id="1006401613">
          <w:marLeft w:val="0"/>
          <w:marRight w:val="0"/>
          <w:marTop w:val="0"/>
          <w:marBottom w:val="0"/>
          <w:divBdr>
            <w:top w:val="none" w:sz="0" w:space="0" w:color="auto"/>
            <w:left w:val="none" w:sz="0" w:space="0" w:color="auto"/>
            <w:bottom w:val="none" w:sz="0" w:space="0" w:color="auto"/>
            <w:right w:val="none" w:sz="0" w:space="0" w:color="auto"/>
          </w:divBdr>
        </w:div>
        <w:div w:id="1247687205">
          <w:marLeft w:val="0"/>
          <w:marRight w:val="0"/>
          <w:marTop w:val="0"/>
          <w:marBottom w:val="0"/>
          <w:divBdr>
            <w:top w:val="none" w:sz="0" w:space="0" w:color="auto"/>
            <w:left w:val="none" w:sz="0" w:space="0" w:color="auto"/>
            <w:bottom w:val="none" w:sz="0" w:space="0" w:color="auto"/>
            <w:right w:val="none" w:sz="0" w:space="0" w:color="auto"/>
          </w:divBdr>
        </w:div>
        <w:div w:id="1170827318">
          <w:marLeft w:val="0"/>
          <w:marRight w:val="0"/>
          <w:marTop w:val="0"/>
          <w:marBottom w:val="0"/>
          <w:divBdr>
            <w:top w:val="none" w:sz="0" w:space="0" w:color="auto"/>
            <w:left w:val="none" w:sz="0" w:space="0" w:color="auto"/>
            <w:bottom w:val="none" w:sz="0" w:space="0" w:color="auto"/>
            <w:right w:val="none" w:sz="0" w:space="0" w:color="auto"/>
          </w:divBdr>
        </w:div>
        <w:div w:id="1980725146">
          <w:marLeft w:val="0"/>
          <w:marRight w:val="0"/>
          <w:marTop w:val="0"/>
          <w:marBottom w:val="0"/>
          <w:divBdr>
            <w:top w:val="none" w:sz="0" w:space="0" w:color="auto"/>
            <w:left w:val="none" w:sz="0" w:space="0" w:color="auto"/>
            <w:bottom w:val="none" w:sz="0" w:space="0" w:color="auto"/>
            <w:right w:val="none" w:sz="0" w:space="0" w:color="auto"/>
          </w:divBdr>
        </w:div>
        <w:div w:id="160631919">
          <w:marLeft w:val="0"/>
          <w:marRight w:val="0"/>
          <w:marTop w:val="0"/>
          <w:marBottom w:val="0"/>
          <w:divBdr>
            <w:top w:val="none" w:sz="0" w:space="0" w:color="auto"/>
            <w:left w:val="none" w:sz="0" w:space="0" w:color="auto"/>
            <w:bottom w:val="none" w:sz="0" w:space="0" w:color="auto"/>
            <w:right w:val="none" w:sz="0" w:space="0" w:color="auto"/>
          </w:divBdr>
        </w:div>
      </w:divsChild>
    </w:div>
    <w:div w:id="888540754">
      <w:bodyDiv w:val="1"/>
      <w:marLeft w:val="0"/>
      <w:marRight w:val="0"/>
      <w:marTop w:val="0"/>
      <w:marBottom w:val="0"/>
      <w:divBdr>
        <w:top w:val="none" w:sz="0" w:space="0" w:color="auto"/>
        <w:left w:val="none" w:sz="0" w:space="0" w:color="auto"/>
        <w:bottom w:val="none" w:sz="0" w:space="0" w:color="auto"/>
        <w:right w:val="none" w:sz="0" w:space="0" w:color="auto"/>
      </w:divBdr>
      <w:divsChild>
        <w:div w:id="1251231551">
          <w:marLeft w:val="0"/>
          <w:marRight w:val="0"/>
          <w:marTop w:val="0"/>
          <w:marBottom w:val="0"/>
          <w:divBdr>
            <w:top w:val="none" w:sz="0" w:space="0" w:color="auto"/>
            <w:left w:val="none" w:sz="0" w:space="0" w:color="auto"/>
            <w:bottom w:val="none" w:sz="0" w:space="0" w:color="auto"/>
            <w:right w:val="none" w:sz="0" w:space="0" w:color="auto"/>
          </w:divBdr>
        </w:div>
        <w:div w:id="1792553502">
          <w:marLeft w:val="0"/>
          <w:marRight w:val="0"/>
          <w:marTop w:val="0"/>
          <w:marBottom w:val="0"/>
          <w:divBdr>
            <w:top w:val="none" w:sz="0" w:space="0" w:color="auto"/>
            <w:left w:val="none" w:sz="0" w:space="0" w:color="auto"/>
            <w:bottom w:val="none" w:sz="0" w:space="0" w:color="auto"/>
            <w:right w:val="none" w:sz="0" w:space="0" w:color="auto"/>
          </w:divBdr>
        </w:div>
      </w:divsChild>
    </w:div>
    <w:div w:id="900822160">
      <w:bodyDiv w:val="1"/>
      <w:marLeft w:val="0"/>
      <w:marRight w:val="0"/>
      <w:marTop w:val="0"/>
      <w:marBottom w:val="0"/>
      <w:divBdr>
        <w:top w:val="none" w:sz="0" w:space="0" w:color="auto"/>
        <w:left w:val="none" w:sz="0" w:space="0" w:color="auto"/>
        <w:bottom w:val="none" w:sz="0" w:space="0" w:color="auto"/>
        <w:right w:val="none" w:sz="0" w:space="0" w:color="auto"/>
      </w:divBdr>
      <w:divsChild>
        <w:div w:id="1223711970">
          <w:marLeft w:val="0"/>
          <w:marRight w:val="0"/>
          <w:marTop w:val="0"/>
          <w:marBottom w:val="0"/>
          <w:divBdr>
            <w:top w:val="none" w:sz="0" w:space="0" w:color="auto"/>
            <w:left w:val="none" w:sz="0" w:space="0" w:color="auto"/>
            <w:bottom w:val="none" w:sz="0" w:space="0" w:color="auto"/>
            <w:right w:val="none" w:sz="0" w:space="0" w:color="auto"/>
          </w:divBdr>
        </w:div>
        <w:div w:id="1750694960">
          <w:marLeft w:val="0"/>
          <w:marRight w:val="0"/>
          <w:marTop w:val="0"/>
          <w:marBottom w:val="0"/>
          <w:divBdr>
            <w:top w:val="none" w:sz="0" w:space="0" w:color="auto"/>
            <w:left w:val="none" w:sz="0" w:space="0" w:color="auto"/>
            <w:bottom w:val="none" w:sz="0" w:space="0" w:color="auto"/>
            <w:right w:val="none" w:sz="0" w:space="0" w:color="auto"/>
          </w:divBdr>
        </w:div>
        <w:div w:id="1480077826">
          <w:marLeft w:val="0"/>
          <w:marRight w:val="0"/>
          <w:marTop w:val="0"/>
          <w:marBottom w:val="0"/>
          <w:divBdr>
            <w:top w:val="none" w:sz="0" w:space="0" w:color="auto"/>
            <w:left w:val="none" w:sz="0" w:space="0" w:color="auto"/>
            <w:bottom w:val="none" w:sz="0" w:space="0" w:color="auto"/>
            <w:right w:val="none" w:sz="0" w:space="0" w:color="auto"/>
          </w:divBdr>
        </w:div>
        <w:div w:id="343167435">
          <w:marLeft w:val="0"/>
          <w:marRight w:val="0"/>
          <w:marTop w:val="0"/>
          <w:marBottom w:val="0"/>
          <w:divBdr>
            <w:top w:val="none" w:sz="0" w:space="0" w:color="auto"/>
            <w:left w:val="none" w:sz="0" w:space="0" w:color="auto"/>
            <w:bottom w:val="none" w:sz="0" w:space="0" w:color="auto"/>
            <w:right w:val="none" w:sz="0" w:space="0" w:color="auto"/>
          </w:divBdr>
        </w:div>
        <w:div w:id="1739472091">
          <w:marLeft w:val="0"/>
          <w:marRight w:val="0"/>
          <w:marTop w:val="0"/>
          <w:marBottom w:val="0"/>
          <w:divBdr>
            <w:top w:val="none" w:sz="0" w:space="0" w:color="auto"/>
            <w:left w:val="none" w:sz="0" w:space="0" w:color="auto"/>
            <w:bottom w:val="none" w:sz="0" w:space="0" w:color="auto"/>
            <w:right w:val="none" w:sz="0" w:space="0" w:color="auto"/>
          </w:divBdr>
        </w:div>
      </w:divsChild>
    </w:div>
    <w:div w:id="1452477768">
      <w:bodyDiv w:val="1"/>
      <w:marLeft w:val="0"/>
      <w:marRight w:val="0"/>
      <w:marTop w:val="0"/>
      <w:marBottom w:val="0"/>
      <w:divBdr>
        <w:top w:val="none" w:sz="0" w:space="0" w:color="auto"/>
        <w:left w:val="none" w:sz="0" w:space="0" w:color="auto"/>
        <w:bottom w:val="none" w:sz="0" w:space="0" w:color="auto"/>
        <w:right w:val="none" w:sz="0" w:space="0" w:color="auto"/>
      </w:divBdr>
      <w:divsChild>
        <w:div w:id="1540240499">
          <w:marLeft w:val="0"/>
          <w:marRight w:val="0"/>
          <w:marTop w:val="0"/>
          <w:marBottom w:val="0"/>
          <w:divBdr>
            <w:top w:val="none" w:sz="0" w:space="0" w:color="auto"/>
            <w:left w:val="none" w:sz="0" w:space="0" w:color="auto"/>
            <w:bottom w:val="none" w:sz="0" w:space="0" w:color="auto"/>
            <w:right w:val="none" w:sz="0" w:space="0" w:color="auto"/>
          </w:divBdr>
        </w:div>
        <w:div w:id="785467523">
          <w:marLeft w:val="0"/>
          <w:marRight w:val="0"/>
          <w:marTop w:val="0"/>
          <w:marBottom w:val="0"/>
          <w:divBdr>
            <w:top w:val="none" w:sz="0" w:space="0" w:color="auto"/>
            <w:left w:val="none" w:sz="0" w:space="0" w:color="auto"/>
            <w:bottom w:val="none" w:sz="0" w:space="0" w:color="auto"/>
            <w:right w:val="none" w:sz="0" w:space="0" w:color="auto"/>
          </w:divBdr>
        </w:div>
        <w:div w:id="1437287759">
          <w:marLeft w:val="0"/>
          <w:marRight w:val="0"/>
          <w:marTop w:val="0"/>
          <w:marBottom w:val="0"/>
          <w:divBdr>
            <w:top w:val="none" w:sz="0" w:space="0" w:color="auto"/>
            <w:left w:val="none" w:sz="0" w:space="0" w:color="auto"/>
            <w:bottom w:val="none" w:sz="0" w:space="0" w:color="auto"/>
            <w:right w:val="none" w:sz="0" w:space="0" w:color="auto"/>
          </w:divBdr>
        </w:div>
        <w:div w:id="369232094">
          <w:marLeft w:val="0"/>
          <w:marRight w:val="0"/>
          <w:marTop w:val="0"/>
          <w:marBottom w:val="0"/>
          <w:divBdr>
            <w:top w:val="none" w:sz="0" w:space="0" w:color="auto"/>
            <w:left w:val="none" w:sz="0" w:space="0" w:color="auto"/>
            <w:bottom w:val="none" w:sz="0" w:space="0" w:color="auto"/>
            <w:right w:val="none" w:sz="0" w:space="0" w:color="auto"/>
          </w:divBdr>
        </w:div>
        <w:div w:id="963002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image" Target="media/image39.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image" Target="media/image36.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F6EB8-FC8C-4870-BC11-920A436A7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6825</TotalTime>
  <Pages>12</Pages>
  <Words>2586</Words>
  <Characters>15258</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bartlova327</dc:creator>
  <cp:lastModifiedBy>Monika Bartlová</cp:lastModifiedBy>
  <cp:revision>619</cp:revision>
  <cp:lastPrinted>2017-09-20T10:21:00Z</cp:lastPrinted>
  <dcterms:created xsi:type="dcterms:W3CDTF">2015-06-12T06:36:00Z</dcterms:created>
  <dcterms:modified xsi:type="dcterms:W3CDTF">2017-09-21T11:05:00Z</dcterms:modified>
</cp:coreProperties>
</file>