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22" w:rsidRDefault="00C97F22" w:rsidP="007C7F51">
      <w:pPr>
        <w:autoSpaceDE w:val="0"/>
        <w:autoSpaceDN w:val="0"/>
        <w:adjustRightInd w:val="0"/>
        <w:rPr>
          <w:rFonts w:cs="Arial"/>
          <w:szCs w:val="20"/>
        </w:rPr>
      </w:pPr>
    </w:p>
    <w:p w:rsidR="00927583" w:rsidRDefault="00927583" w:rsidP="00927583">
      <w:pPr>
        <w:pStyle w:val="Nadpis2"/>
      </w:pPr>
      <w:r>
        <w:t>Podnikající v roce 2016</w:t>
      </w:r>
    </w:p>
    <w:p w:rsidR="00927583" w:rsidRPr="00C97F22" w:rsidRDefault="00927583" w:rsidP="00C97F22">
      <w:pPr>
        <w:autoSpaceDE w:val="0"/>
        <w:autoSpaceDN w:val="0"/>
        <w:adjustRightInd w:val="0"/>
        <w:ind w:firstLine="567"/>
        <w:jc w:val="both"/>
        <w:rPr>
          <w:rFonts w:cs="Arial"/>
          <w:iCs/>
          <w:color w:val="FF0000"/>
          <w:szCs w:val="16"/>
          <w:highlight w:val="yellow"/>
        </w:rPr>
      </w:pPr>
      <w:r w:rsidRPr="008E7346">
        <w:rPr>
          <w:rFonts w:cs="Arial"/>
          <w:iCs/>
          <w:color w:val="000000"/>
          <w:szCs w:val="16"/>
        </w:rPr>
        <w:t>(Graf 21)</w:t>
      </w:r>
    </w:p>
    <w:p w:rsidR="00927583" w:rsidRDefault="00927583" w:rsidP="00C97F22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 w:rsidRPr="008E6B80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>VŠPS, ČSÚ (průměry za rok 2016)</w:t>
      </w: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 xml:space="preserve">Podnikateli se rozumí jak osoby samostatně výdělečně činné (OSVČ), které podnikají na vlastní účet a jsou tedy </w:t>
      </w:r>
      <w:proofErr w:type="spellStart"/>
      <w:r>
        <w:rPr>
          <w:rFonts w:cs="Arial"/>
          <w:color w:val="000000"/>
          <w:szCs w:val="16"/>
        </w:rPr>
        <w:t>sebezaměstnané</w:t>
      </w:r>
      <w:proofErr w:type="spellEnd"/>
      <w:r>
        <w:rPr>
          <w:rFonts w:cs="Arial"/>
          <w:color w:val="000000"/>
          <w:szCs w:val="16"/>
        </w:rPr>
        <w:t xml:space="preserve">, tak i podnikatelé se zaměstnanci. Také sem spadají pomáhající rodinní příslušníci. Podíl těchto osob se počítá z pracujících celkem. </w:t>
      </w:r>
    </w:p>
    <w:p w:rsidR="00927583" w:rsidRPr="00453376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szCs w:val="20"/>
        </w:rPr>
      </w:pPr>
      <w:r w:rsidRPr="00453376">
        <w:rPr>
          <w:rFonts w:cs="Arial"/>
          <w:szCs w:val="20"/>
        </w:rPr>
        <w:t xml:space="preserve">Podle statistických údajů za průměr jednotlivých čtvrtletí roku 2016 uvedených na </w:t>
      </w:r>
      <w:hyperlink r:id="rId8" w:history="1">
        <w:r w:rsidRPr="00453376">
          <w:rPr>
            <w:rFonts w:cs="Arial"/>
            <w:szCs w:val="20"/>
          </w:rPr>
          <w:t>www.czso.cz</w:t>
        </w:r>
      </w:hyperlink>
      <w:r w:rsidRPr="00453376">
        <w:rPr>
          <w:rFonts w:cs="Arial"/>
          <w:szCs w:val="20"/>
        </w:rPr>
        <w:t xml:space="preserve"> představují v České republice ženy 32,5 % z celkového počtu podnikatelských subjektů (854,7 tisíc osob), což je zhruba o pět procentních bodů vyšší údaj než za rok 2010. Z pracujících žen tvoří podnikatelky 12,3 % (v roce 2005 činil tento podíl 9,2 % a v roce 2013 to bylo 13,5 %) a z celkového počtu pracujících mužů představují podnikatelé jednu pětinu (v podstatě beze změny oproti roku 2005). </w:t>
      </w:r>
    </w:p>
    <w:p w:rsidR="00927583" w:rsidRPr="00453376" w:rsidRDefault="00927583" w:rsidP="00927583">
      <w:pPr>
        <w:pStyle w:val="Zkladntext3"/>
        <w:spacing w:before="120"/>
        <w:ind w:firstLine="425"/>
        <w:jc w:val="both"/>
        <w:rPr>
          <w:rFonts w:ascii="Arial" w:hAnsi="Arial" w:cs="Arial"/>
          <w:sz w:val="20"/>
        </w:rPr>
      </w:pPr>
      <w:r w:rsidRPr="00453376">
        <w:rPr>
          <w:rFonts w:ascii="Arial" w:hAnsi="Arial" w:cs="Arial"/>
          <w:sz w:val="20"/>
        </w:rPr>
        <w:t>Nejvíce pracujících (zaměstnanců a podnikajících dohromady) bylo zjištěno ve zpracovatelském průmyslu (1 428,7 tisíc osob), ve velkoobchodu a maloobchodu a opravě motorových vozidel (605,8</w:t>
      </w:r>
      <w:r>
        <w:rPr>
          <w:rFonts w:ascii="Arial" w:hAnsi="Arial" w:cs="Arial"/>
          <w:sz w:val="20"/>
        </w:rPr>
        <w:t> </w:t>
      </w:r>
      <w:r w:rsidRPr="00453376">
        <w:rPr>
          <w:rFonts w:ascii="Arial" w:hAnsi="Arial" w:cs="Arial"/>
          <w:sz w:val="20"/>
        </w:rPr>
        <w:t>tisíc osob) a stavebnictví (368,3 tisíc osob).</w:t>
      </w:r>
    </w:p>
    <w:p w:rsidR="00927583" w:rsidRPr="00453376" w:rsidRDefault="00927583" w:rsidP="00927583">
      <w:pPr>
        <w:pStyle w:val="Zkladntext3"/>
        <w:spacing w:before="120"/>
        <w:ind w:firstLine="425"/>
        <w:jc w:val="both"/>
        <w:rPr>
          <w:rFonts w:ascii="Arial" w:hAnsi="Arial" w:cs="Arial"/>
          <w:sz w:val="20"/>
        </w:rPr>
      </w:pPr>
      <w:r w:rsidRPr="00453376">
        <w:rPr>
          <w:rFonts w:ascii="Arial" w:hAnsi="Arial" w:cs="Arial"/>
          <w:sz w:val="20"/>
        </w:rPr>
        <w:t>V případě pracujících mužů se na druhé místo dostalo stavebnictví (353,1 tisíc mužů) a předstihlo velkoobchod a maloobchod (273,9 tisíc mužů). Pracující ženy kopírovaly na prvních dvou místech celkový trend. Na třetí místo se u nich dostala zdravotní a sociální péče (285,3 tisíc žen).</w:t>
      </w:r>
    </w:p>
    <w:p w:rsidR="00927583" w:rsidRPr="00453376" w:rsidRDefault="00927583" w:rsidP="00927583">
      <w:pPr>
        <w:pStyle w:val="Zkladntext3"/>
        <w:spacing w:before="120"/>
        <w:ind w:firstLine="425"/>
        <w:jc w:val="both"/>
        <w:rPr>
          <w:rFonts w:ascii="Arial" w:hAnsi="Arial" w:cs="Arial"/>
          <w:sz w:val="20"/>
        </w:rPr>
      </w:pPr>
      <w:r w:rsidRPr="00453376">
        <w:rPr>
          <w:rFonts w:ascii="Arial" w:hAnsi="Arial" w:cs="Arial"/>
          <w:sz w:val="20"/>
        </w:rPr>
        <w:t>Nejvyšší podíly podnikajících na celkové zaměstnanosti vykazovala odvětví: činnosti v oblasti nemovitostí (46,2 %), profesní, vědecké a technické činnosti (46,1 %), a stavebnictví (41,1 %).</w:t>
      </w:r>
    </w:p>
    <w:p w:rsidR="00927583" w:rsidRPr="00453376" w:rsidRDefault="00927583" w:rsidP="00927583">
      <w:pPr>
        <w:pStyle w:val="Zkladntext3"/>
        <w:spacing w:before="120"/>
        <w:ind w:firstLine="425"/>
        <w:jc w:val="both"/>
        <w:rPr>
          <w:rFonts w:ascii="Arial" w:hAnsi="Arial" w:cs="Arial"/>
          <w:sz w:val="20"/>
        </w:rPr>
      </w:pPr>
      <w:r w:rsidRPr="00453376">
        <w:rPr>
          <w:rFonts w:ascii="Arial" w:hAnsi="Arial" w:cs="Arial"/>
          <w:sz w:val="20"/>
        </w:rPr>
        <w:t xml:space="preserve"> Nejvyšší podíly podnikajících žen se, podobně jako u mužů a celkově, vyskytovaly v odvětvích: profesní, vědecké a technické činnosti a činnosti v oblasti nemovitostí. Třetí nejvýraznější podíl podnikajících (ze všech pracujících) žen byl zaznamenán u peněžnictví a pojišťovnictví (více než</w:t>
      </w:r>
      <w:r>
        <w:rPr>
          <w:rFonts w:ascii="Arial" w:hAnsi="Arial" w:cs="Arial"/>
          <w:sz w:val="20"/>
        </w:rPr>
        <w:t> </w:t>
      </w:r>
      <w:r w:rsidRPr="00453376">
        <w:rPr>
          <w:rFonts w:ascii="Arial" w:hAnsi="Arial" w:cs="Arial"/>
          <w:sz w:val="20"/>
        </w:rPr>
        <w:t>pětina).</w:t>
      </w:r>
    </w:p>
    <w:p w:rsidR="00927583" w:rsidRPr="00453376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szCs w:val="20"/>
        </w:rPr>
      </w:pPr>
      <w:r w:rsidRPr="00453376">
        <w:rPr>
          <w:rFonts w:cs="Arial"/>
          <w:szCs w:val="20"/>
        </w:rPr>
        <w:t xml:space="preserve"> Poměrně výrazně rostl podíl žen mezi podnikajícími s vysokoškolským titulem</w:t>
      </w:r>
      <w:r>
        <w:rPr>
          <w:rFonts w:cs="Arial"/>
          <w:szCs w:val="20"/>
        </w:rPr>
        <w:t>, a to zejména do </w:t>
      </w:r>
      <w:r w:rsidRPr="00453376">
        <w:rPr>
          <w:rFonts w:cs="Arial"/>
          <w:szCs w:val="20"/>
        </w:rPr>
        <w:t>roku 2013.  Ještě v roce 2005 představoval tento podíl 28 %, v roce 2013 dosahovala jeho hodnota 40 %. V roce následujícím došlo k poklesu na hodnotu 36 %, ale již v roce 2016 se podíl žen mezi</w:t>
      </w:r>
      <w:r>
        <w:rPr>
          <w:rFonts w:cs="Arial"/>
          <w:szCs w:val="20"/>
        </w:rPr>
        <w:t> p</w:t>
      </w:r>
      <w:r w:rsidRPr="00453376">
        <w:rPr>
          <w:rFonts w:cs="Arial"/>
          <w:szCs w:val="20"/>
        </w:rPr>
        <w:t xml:space="preserve">odnikajícími vysokoškoláky zvýšil na 38 %. </w:t>
      </w:r>
    </w:p>
    <w:p w:rsidR="007C7F51" w:rsidRDefault="00927583" w:rsidP="007C7F51">
      <w:pPr>
        <w:autoSpaceDE w:val="0"/>
        <w:autoSpaceDN w:val="0"/>
        <w:adjustRightInd w:val="0"/>
        <w:ind w:firstLine="567"/>
        <w:rPr>
          <w:rFonts w:cs="Arial"/>
          <w:szCs w:val="20"/>
        </w:rPr>
      </w:pPr>
      <w:r w:rsidRPr="00453376">
        <w:rPr>
          <w:rFonts w:cs="Arial"/>
          <w:szCs w:val="20"/>
        </w:rPr>
        <w:t>Podíl vysokoškolaček ze všech podnikajících žen zaznamenal v období 2005-2014 nárůst z 2</w:t>
      </w:r>
      <w:r>
        <w:rPr>
          <w:rFonts w:cs="Arial"/>
          <w:szCs w:val="20"/>
        </w:rPr>
        <w:t>0,3 % </w:t>
      </w:r>
      <w:r w:rsidRPr="00453376">
        <w:rPr>
          <w:rFonts w:cs="Arial"/>
          <w:szCs w:val="20"/>
        </w:rPr>
        <w:t>na</w:t>
      </w:r>
      <w:r w:rsidR="007C7F51">
        <w:rPr>
          <w:rFonts w:cs="Arial"/>
          <w:szCs w:val="20"/>
        </w:rPr>
        <w:t> </w:t>
      </w:r>
      <w:r w:rsidRPr="00453376">
        <w:rPr>
          <w:rFonts w:cs="Arial"/>
          <w:szCs w:val="20"/>
        </w:rPr>
        <w:t xml:space="preserve">30,4 %, tedy o více než deset procentních bodů. Po poklesu v roce 2015 následoval opětný nárůst tohoto podílu na hodnotu blížící se 30 %. Podíl vysokoškolsky vzdělaných </w:t>
      </w:r>
      <w:r>
        <w:rPr>
          <w:rFonts w:cs="Arial"/>
          <w:szCs w:val="20"/>
        </w:rPr>
        <w:t xml:space="preserve">se mezi podnikajícími muži </w:t>
      </w:r>
      <w:r>
        <w:rPr>
          <w:rFonts w:cs="Arial"/>
          <w:szCs w:val="20"/>
        </w:rPr>
        <w:lastRenderedPageBreak/>
        <w:t>pohyb</w:t>
      </w:r>
      <w:r w:rsidRPr="00453376">
        <w:rPr>
          <w:rFonts w:cs="Arial"/>
          <w:szCs w:val="20"/>
        </w:rPr>
        <w:t xml:space="preserve">oval mezi 20-22 %. </w:t>
      </w:r>
      <w:r w:rsidR="007C7F51">
        <w:rPr>
          <w:rFonts w:cs="Arial"/>
          <w:noProof/>
          <w:szCs w:val="20"/>
        </w:rPr>
        <w:drawing>
          <wp:inline distT="0" distB="0" distL="0" distR="0">
            <wp:extent cx="5277485" cy="2729865"/>
            <wp:effectExtent l="19050" t="0" r="0" b="0"/>
            <wp:docPr id="44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272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Pr="00453376" w:rsidRDefault="00927583" w:rsidP="007C7F51">
      <w:pPr>
        <w:autoSpaceDE w:val="0"/>
        <w:autoSpaceDN w:val="0"/>
        <w:adjustRightInd w:val="0"/>
        <w:ind w:firstLine="567"/>
        <w:jc w:val="both"/>
        <w:rPr>
          <w:rFonts w:cs="Arial"/>
          <w:szCs w:val="20"/>
        </w:rPr>
      </w:pPr>
      <w:r w:rsidRPr="00453376">
        <w:rPr>
          <w:rFonts w:cs="Arial"/>
          <w:szCs w:val="20"/>
        </w:rPr>
        <w:t>V roce 2016 dosáhl úrovně 23 %. Vysokoškolsky vzděl</w:t>
      </w:r>
      <w:r w:rsidR="007C7F51">
        <w:rPr>
          <w:rFonts w:cs="Arial"/>
          <w:szCs w:val="20"/>
        </w:rPr>
        <w:t xml:space="preserve">ané ženy </w:t>
      </w:r>
      <w:r w:rsidRPr="00453376">
        <w:rPr>
          <w:rFonts w:cs="Arial"/>
          <w:szCs w:val="20"/>
        </w:rPr>
        <w:t xml:space="preserve">podnikají častěji než muži s tímto </w:t>
      </w:r>
      <w:r>
        <w:rPr>
          <w:rFonts w:cs="Arial"/>
          <w:szCs w:val="20"/>
        </w:rPr>
        <w:t xml:space="preserve">stupněm </w:t>
      </w:r>
      <w:r w:rsidRPr="00453376">
        <w:rPr>
          <w:rFonts w:cs="Arial"/>
          <w:szCs w:val="20"/>
        </w:rPr>
        <w:t>vzdělání.</w:t>
      </w:r>
    </w:p>
    <w:p w:rsidR="00927583" w:rsidRDefault="00927583" w:rsidP="0092758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27583" w:rsidRDefault="00927583" w:rsidP="0092758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7C7F51" w:rsidRDefault="007C7F51" w:rsidP="00927583">
      <w:pPr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7C7F51" w:rsidRDefault="007C7F51" w:rsidP="00927583">
      <w:pPr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7C7F51" w:rsidRDefault="007C7F51" w:rsidP="00927583">
      <w:pPr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7C7F51" w:rsidRDefault="007C7F51" w:rsidP="00927583">
      <w:pPr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7C7F51" w:rsidRDefault="007C7F51" w:rsidP="00927583">
      <w:pPr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7C7F51" w:rsidRDefault="007C7F51" w:rsidP="00927583">
      <w:pPr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7C7F51" w:rsidRDefault="007C7F51" w:rsidP="00927583">
      <w:pPr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7C7F51" w:rsidRDefault="007C7F51" w:rsidP="00927583">
      <w:pPr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7C7F51" w:rsidRDefault="007C7F51" w:rsidP="00927583">
      <w:pPr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7C7F51" w:rsidRDefault="007C7F51" w:rsidP="00927583">
      <w:pPr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7C7F51" w:rsidRDefault="007C7F51" w:rsidP="00927583">
      <w:pPr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7C7F51" w:rsidRDefault="007C7F51" w:rsidP="00927583">
      <w:pPr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7C7F51" w:rsidRDefault="007C7F51" w:rsidP="00927583">
      <w:pPr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7C7F51" w:rsidRDefault="007C7F51" w:rsidP="00712DC4">
      <w:pPr>
        <w:autoSpaceDE w:val="0"/>
        <w:autoSpaceDN w:val="0"/>
        <w:adjustRightInd w:val="0"/>
        <w:jc w:val="both"/>
        <w:rPr>
          <w:rFonts w:cs="Arial"/>
        </w:rPr>
      </w:pPr>
    </w:p>
    <w:p w:rsidR="00927583" w:rsidRDefault="00927583" w:rsidP="00927583">
      <w:pPr>
        <w:pStyle w:val="Nadpis2"/>
      </w:pPr>
      <w:r>
        <w:lastRenderedPageBreak/>
        <w:t>Zaměstnanci v roce 2016</w:t>
      </w:r>
    </w:p>
    <w:p w:rsidR="00927583" w:rsidRPr="007C7F51" w:rsidRDefault="00927583" w:rsidP="007C7F51">
      <w:pPr>
        <w:autoSpaceDE w:val="0"/>
        <w:autoSpaceDN w:val="0"/>
        <w:adjustRightInd w:val="0"/>
        <w:ind w:firstLine="567"/>
        <w:jc w:val="both"/>
        <w:rPr>
          <w:rFonts w:cs="Arial"/>
          <w:iCs/>
          <w:color w:val="FF0000"/>
          <w:szCs w:val="16"/>
          <w:highlight w:val="yellow"/>
        </w:rPr>
      </w:pPr>
      <w:r w:rsidRPr="008E7346">
        <w:rPr>
          <w:rFonts w:cs="Arial"/>
          <w:iCs/>
          <w:color w:val="000000"/>
          <w:szCs w:val="16"/>
        </w:rPr>
        <w:t>(Graf 22)</w:t>
      </w:r>
    </w:p>
    <w:p w:rsidR="00927583" w:rsidRPr="007C7F51" w:rsidRDefault="00927583" w:rsidP="007C7F51">
      <w:pPr>
        <w:pStyle w:val="Nadpis2"/>
        <w:rPr>
          <w:b w:val="0"/>
          <w:color w:val="000000"/>
          <w:sz w:val="20"/>
          <w:szCs w:val="20"/>
        </w:rPr>
      </w:pPr>
      <w:r w:rsidRPr="007C7F51">
        <w:rPr>
          <w:b w:val="0"/>
          <w:iCs/>
          <w:color w:val="000000"/>
          <w:sz w:val="20"/>
          <w:szCs w:val="20"/>
        </w:rPr>
        <w:t>Zdroj:</w:t>
      </w:r>
      <w:r w:rsidRPr="007C7F51">
        <w:rPr>
          <w:b w:val="0"/>
          <w:i/>
          <w:iCs/>
          <w:color w:val="000000"/>
          <w:sz w:val="20"/>
          <w:szCs w:val="20"/>
        </w:rPr>
        <w:t xml:space="preserve"> </w:t>
      </w:r>
      <w:r w:rsidRPr="007C7F51">
        <w:rPr>
          <w:b w:val="0"/>
          <w:color w:val="000000"/>
          <w:sz w:val="20"/>
          <w:szCs w:val="20"/>
        </w:rPr>
        <w:t>VŠPS, ČSÚ (průměry za rok 2016)</w:t>
      </w:r>
    </w:p>
    <w:p w:rsidR="00927583" w:rsidRPr="007C7F51" w:rsidRDefault="00927583" w:rsidP="00927583">
      <w:pPr>
        <w:rPr>
          <w:rFonts w:cs="Arial"/>
          <w:szCs w:val="20"/>
        </w:rPr>
      </w:pPr>
      <w:r w:rsidRPr="00931BC3">
        <w:rPr>
          <w:rFonts w:cs="Arial"/>
          <w:szCs w:val="20"/>
        </w:rPr>
        <w:t>Data jsou za národní hospodářství.</w:t>
      </w:r>
      <w:r>
        <w:rPr>
          <w:rFonts w:cs="Arial"/>
          <w:szCs w:val="20"/>
        </w:rPr>
        <w:t xml:space="preserve"> Údaje za zaměstnance zahrnují členy produkčních družstev.</w:t>
      </w:r>
    </w:p>
    <w:p w:rsidR="00927583" w:rsidRPr="008E7346" w:rsidRDefault="00927583" w:rsidP="00927583">
      <w:pPr>
        <w:jc w:val="both"/>
        <w:rPr>
          <w:rFonts w:cs="Arial"/>
          <w:szCs w:val="20"/>
        </w:rPr>
      </w:pPr>
      <w:r w:rsidRPr="008E7346">
        <w:rPr>
          <w:rFonts w:cs="Arial"/>
          <w:szCs w:val="20"/>
        </w:rPr>
        <w:t xml:space="preserve">V roce 2016 bylo zjištěno přibližně 4 284 tisíc zaměstnanců v národním hospodářství. Zastoupení žen mezi zaměstnanci bylo 46,3%. </w:t>
      </w:r>
    </w:p>
    <w:p w:rsidR="00927583" w:rsidRPr="008E7346" w:rsidRDefault="00927583" w:rsidP="00927583">
      <w:pPr>
        <w:jc w:val="both"/>
        <w:rPr>
          <w:rFonts w:cs="Arial"/>
          <w:szCs w:val="20"/>
        </w:rPr>
      </w:pPr>
      <w:r w:rsidRPr="008E7346">
        <w:rPr>
          <w:rFonts w:cs="Arial"/>
          <w:szCs w:val="20"/>
        </w:rPr>
        <w:t>Nejvíce zaměstnanců pracovalo ve zpracovatelském průmyslu (1 323,2 tisíc osob), ve velkoobchodu a</w:t>
      </w:r>
      <w:r>
        <w:rPr>
          <w:rFonts w:cs="Arial"/>
          <w:szCs w:val="20"/>
        </w:rPr>
        <w:t> </w:t>
      </w:r>
      <w:r w:rsidRPr="008E7346">
        <w:rPr>
          <w:rFonts w:cs="Arial"/>
          <w:szCs w:val="20"/>
        </w:rPr>
        <w:t>maloobchodu a opravě motorových vozidel (474,9 tisíc osob) a zdravotní a sociální péči (337,1 tisíc osob).</w:t>
      </w:r>
    </w:p>
    <w:p w:rsidR="00927583" w:rsidRPr="008E7346" w:rsidRDefault="00927583" w:rsidP="00927583">
      <w:pPr>
        <w:jc w:val="both"/>
        <w:rPr>
          <w:rFonts w:cs="Arial"/>
          <w:szCs w:val="20"/>
        </w:rPr>
      </w:pPr>
      <w:r w:rsidRPr="008E7346">
        <w:rPr>
          <w:rFonts w:cs="Arial"/>
          <w:szCs w:val="20"/>
        </w:rPr>
        <w:t>V případě zaměstnanců-mužů se na druhé místo dostaly doprava a skladování (208,9 tisíc mužů) a na</w:t>
      </w:r>
      <w:r>
        <w:rPr>
          <w:rFonts w:cs="Arial"/>
          <w:szCs w:val="20"/>
        </w:rPr>
        <w:t> </w:t>
      </w:r>
      <w:r w:rsidRPr="008E7346">
        <w:rPr>
          <w:rFonts w:cs="Arial"/>
          <w:szCs w:val="20"/>
        </w:rPr>
        <w:t>třetí stavebnictví (198,5 tisíc mužů). Počty zaměstnaných žen kopírovaly celkový trend.</w:t>
      </w:r>
    </w:p>
    <w:p w:rsidR="00927583" w:rsidRPr="008E7346" w:rsidRDefault="00927583" w:rsidP="00927583">
      <w:pPr>
        <w:jc w:val="both"/>
        <w:rPr>
          <w:rFonts w:cs="Arial"/>
          <w:szCs w:val="20"/>
        </w:rPr>
      </w:pPr>
      <w:r w:rsidRPr="008E7346">
        <w:rPr>
          <w:rFonts w:cs="Arial"/>
          <w:szCs w:val="20"/>
        </w:rPr>
        <w:t>Největší objem zaměstnanců byl ve věku 30-44 let, a to u obou pohlaví (815,7 tisíc žen a 979,8 tisíc mužů).</w:t>
      </w:r>
    </w:p>
    <w:p w:rsidR="00927583" w:rsidRPr="008E7346" w:rsidRDefault="00927583" w:rsidP="00927583">
      <w:pPr>
        <w:jc w:val="both"/>
        <w:rPr>
          <w:rFonts w:cs="Arial"/>
          <w:szCs w:val="20"/>
        </w:rPr>
      </w:pPr>
      <w:r w:rsidRPr="008E7346">
        <w:rPr>
          <w:rFonts w:cs="Arial"/>
          <w:szCs w:val="20"/>
        </w:rPr>
        <w:t>Stejně jako v případě podnikajících, můžeme i u zaměstnanců vysledovat nárůst podílu vysokoškoláků. Tento podíl je ovšem ve všech sledovaných letech podstatně nižší. Opět platilo, že</w:t>
      </w:r>
      <w:r>
        <w:rPr>
          <w:rFonts w:cs="Arial"/>
          <w:szCs w:val="20"/>
        </w:rPr>
        <w:t> </w:t>
      </w:r>
      <w:r w:rsidRPr="008E7346">
        <w:rPr>
          <w:rFonts w:cs="Arial"/>
          <w:szCs w:val="20"/>
        </w:rPr>
        <w:t xml:space="preserve">v případě žen dosahoval tento podíl vyšších hodnot, než u mužů. </w:t>
      </w:r>
    </w:p>
    <w:p w:rsidR="00927583" w:rsidRPr="008E7346" w:rsidRDefault="00927583" w:rsidP="00927583">
      <w:pPr>
        <w:jc w:val="both"/>
        <w:rPr>
          <w:rFonts w:cs="Arial"/>
          <w:szCs w:val="20"/>
        </w:rPr>
      </w:pPr>
      <w:r w:rsidRPr="008E7346">
        <w:rPr>
          <w:rFonts w:cs="Arial"/>
          <w:szCs w:val="20"/>
        </w:rPr>
        <w:t xml:space="preserve"> V roce 2005 bylo zastoupení vysokoškolsky vzdělaných ještě o něco vyšší u mužů. Podíl vysokoškoláků činil v roce 2005 u mužů-zaměstnanců 14,6 %, tedy o jedna celá čtyři procentních bodů více, než tomu bylo u zaměstnankyň.</w:t>
      </w:r>
    </w:p>
    <w:p w:rsidR="00927583" w:rsidRPr="008E7346" w:rsidRDefault="00927583" w:rsidP="00927583">
      <w:pPr>
        <w:jc w:val="both"/>
        <w:rPr>
          <w:rFonts w:cs="Arial"/>
          <w:szCs w:val="20"/>
        </w:rPr>
      </w:pPr>
      <w:r w:rsidRPr="008E7346">
        <w:rPr>
          <w:rFonts w:cs="Arial"/>
          <w:szCs w:val="20"/>
        </w:rPr>
        <w:t xml:space="preserve">Od roku 2010 do roku 2016 narostl podíl vysokoškolaček mezi zaměstnanými ženami z 18 na 25 %, u zaměstnaných mužů to ve stejném období bylo z necelých 18 na 22,5 %.  </w:t>
      </w:r>
    </w:p>
    <w:p w:rsidR="00927583" w:rsidRDefault="00927583" w:rsidP="00927583">
      <w:pPr>
        <w:rPr>
          <w:rFonts w:cs="Arial"/>
          <w:szCs w:val="20"/>
        </w:rPr>
      </w:pPr>
    </w:p>
    <w:p w:rsidR="00927583" w:rsidRDefault="00927583" w:rsidP="00927583">
      <w:pPr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inline distT="0" distB="0" distL="0" distR="0">
            <wp:extent cx="4585335" cy="2756535"/>
            <wp:effectExtent l="19050" t="0" r="571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rPr>
          <w:rFonts w:cs="Arial"/>
          <w:szCs w:val="20"/>
        </w:rPr>
      </w:pPr>
    </w:p>
    <w:p w:rsidR="00927583" w:rsidRDefault="00927583" w:rsidP="00927583">
      <w:pPr>
        <w:autoSpaceDE w:val="0"/>
        <w:autoSpaceDN w:val="0"/>
        <w:adjustRightInd w:val="0"/>
        <w:jc w:val="both"/>
        <w:rPr>
          <w:szCs w:val="16"/>
        </w:rPr>
      </w:pPr>
    </w:p>
    <w:p w:rsidR="00927583" w:rsidRDefault="00927583" w:rsidP="00927583">
      <w:pPr>
        <w:pStyle w:val="Nadpis2"/>
      </w:pPr>
      <w:r>
        <w:lastRenderedPageBreak/>
        <w:t>Vývoj počtu nezaměstnaných v letech 1993–2016</w:t>
      </w:r>
    </w:p>
    <w:p w:rsidR="00927583" w:rsidRPr="00C97F22" w:rsidRDefault="00927583" w:rsidP="00C97F22">
      <w:pPr>
        <w:autoSpaceDE w:val="0"/>
        <w:autoSpaceDN w:val="0"/>
        <w:adjustRightInd w:val="0"/>
        <w:ind w:firstLine="567"/>
        <w:jc w:val="both"/>
        <w:rPr>
          <w:rFonts w:cs="Arial"/>
          <w:iCs/>
          <w:color w:val="FF0000"/>
          <w:szCs w:val="16"/>
          <w:highlight w:val="yellow"/>
        </w:rPr>
      </w:pPr>
      <w:r w:rsidRPr="008E6B80">
        <w:rPr>
          <w:rFonts w:cs="Arial"/>
          <w:iCs/>
          <w:color w:val="000000"/>
          <w:szCs w:val="16"/>
        </w:rPr>
        <w:t xml:space="preserve">(Graf 23) </w:t>
      </w:r>
    </w:p>
    <w:p w:rsidR="00927583" w:rsidRDefault="00927583" w:rsidP="00C97F22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 w:rsidRPr="008E6B80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>VŠPS, ČSÚ (průměry za jednotlivé roky)</w:t>
      </w:r>
    </w:p>
    <w:p w:rsidR="00927583" w:rsidRPr="00C97F22" w:rsidRDefault="00927583" w:rsidP="00C97F22">
      <w:pPr>
        <w:jc w:val="both"/>
        <w:rPr>
          <w:rFonts w:cs="Arial"/>
          <w:szCs w:val="20"/>
        </w:rPr>
      </w:pPr>
      <w:r>
        <w:rPr>
          <w:rFonts w:cs="Arial"/>
        </w:rPr>
        <w:t xml:space="preserve">Nezaměstnanými podle mezinárodně srovnatelné metodiky vypracované Mezinárodní organizací práce (ILO), ze které vychází Výběrové šetření pracovních sil, jsou osoby 15leté a starší, obvykle bydlící na sledovaném území, které v referenčním týdnu splňovaly současně tři podmínky – nebyly zaměstnané, práci aktivně hledaly a do práce byly schopny nastoupit hned nebo nejpozději do 14 dnů. </w:t>
      </w:r>
      <w:r>
        <w:rPr>
          <w:rFonts w:cs="Arial"/>
          <w:szCs w:val="20"/>
        </w:rPr>
        <w:t>Ministerstvo</w:t>
      </w:r>
      <w:r w:rsidRPr="003012A3">
        <w:rPr>
          <w:rFonts w:cs="Arial"/>
          <w:szCs w:val="20"/>
        </w:rPr>
        <w:t xml:space="preserve"> práce a </w:t>
      </w:r>
      <w:r w:rsidRPr="00FB3A88">
        <w:rPr>
          <w:rFonts w:cs="Arial"/>
          <w:szCs w:val="20"/>
        </w:rPr>
        <w:t xml:space="preserve">sociálních věcí ČR (MPSV ČR) sleduje nezaměstnanost podle jiné metodiky, založené na počtu registrovaných uchazečů o zaměstnání. Od roku 2004 MPSV zjišťuje počet dosažitelných uchazečů o zaměstnání, kteří mohou bezprostředně nastoupit do zaměstnání při nabídce vhodného pracovního místa.  Proto údaje o nezaměstnanosti z těchto dvou zdrojů nejsou shodné – viz srovnání: www.mpsv.cz a </w:t>
      </w:r>
      <w:r w:rsidR="00CC2FF7" w:rsidRPr="00FB3A88">
        <w:rPr>
          <w:rFonts w:cs="Arial"/>
          <w:szCs w:val="20"/>
        </w:rPr>
        <w:fldChar w:fldCharType="begin"/>
      </w:r>
      <w:r w:rsidRPr="00FB3A88">
        <w:rPr>
          <w:rFonts w:cs="Arial"/>
          <w:szCs w:val="20"/>
        </w:rPr>
        <w:instrText xml:space="preserve">  </w:instrText>
      </w:r>
      <w:r w:rsidR="00CC2FF7" w:rsidRPr="00FB3A88">
        <w:rPr>
          <w:rFonts w:cs="Arial"/>
          <w:szCs w:val="20"/>
        </w:rPr>
        <w:fldChar w:fldCharType="begin"/>
      </w:r>
      <w:r w:rsidRPr="00FB3A88">
        <w:rPr>
          <w:rFonts w:cs="Arial"/>
          <w:szCs w:val="20"/>
        </w:rPr>
        <w:instrText xml:space="preserve"> PRIVATE HREF="http://www.czso.cz/"</w:instrText>
      </w:r>
      <w:r w:rsidR="00CC2FF7" w:rsidRPr="00FB3A88">
        <w:rPr>
          <w:rFonts w:cs="Arial"/>
          <w:szCs w:val="20"/>
        </w:rPr>
        <w:fldChar w:fldCharType="end"/>
      </w:r>
      <w:r w:rsidRPr="00FB3A88">
        <w:rPr>
          <w:rFonts w:cs="Arial"/>
          <w:szCs w:val="20"/>
        </w:rPr>
        <w:instrText xml:space="preserve"> MACROBUTTON HtmlResAnchor </w:instrText>
      </w:r>
      <w:r w:rsidRPr="00FB3A88">
        <w:rPr>
          <w:rFonts w:cs="Arial"/>
          <w:color w:val="0000FF"/>
          <w:szCs w:val="20"/>
          <w:u w:val="single"/>
        </w:rPr>
        <w:instrText>www.czso.cz</w:instrText>
      </w:r>
      <w:r w:rsidR="00CC2FF7" w:rsidRPr="00FB3A88">
        <w:rPr>
          <w:rFonts w:cs="Arial"/>
          <w:szCs w:val="20"/>
        </w:rPr>
        <w:fldChar w:fldCharType="end"/>
      </w:r>
      <w:r w:rsidRPr="00FB3A88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>
        <w:rPr>
          <w:rFonts w:cs="Arial"/>
        </w:rPr>
        <w:t xml:space="preserve">Mladiství nezaměstnaní spadají do věkové skupiny 15– 24 let. </w:t>
      </w:r>
      <w:r>
        <w:rPr>
          <w:rFonts w:cs="Arial"/>
          <w:color w:val="000000"/>
          <w:szCs w:val="20"/>
        </w:rPr>
        <w:t>Dlouhodobá nezaměstnanost je nezaměstnanost delší než jeden rok.</w:t>
      </w:r>
    </w:p>
    <w:p w:rsidR="00927583" w:rsidRPr="00A9734A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iCs/>
          <w:szCs w:val="16"/>
        </w:rPr>
      </w:pPr>
      <w:r w:rsidRPr="00A9734A">
        <w:rPr>
          <w:rFonts w:cs="Arial"/>
          <w:iCs/>
          <w:szCs w:val="16"/>
        </w:rPr>
        <w:t>Počty nezaměstnaných žen převažují v celém sledovaném období (1993-2016) nad počty nezaměstnaných mužů. Nejvyrovnanější strukturu podle pohlaví měli nezaměstnaní v letech 2008 a</w:t>
      </w:r>
      <w:r>
        <w:rPr>
          <w:rFonts w:cs="Arial"/>
          <w:iCs/>
          <w:szCs w:val="16"/>
        </w:rPr>
        <w:t> </w:t>
      </w:r>
      <w:r w:rsidRPr="00A9734A">
        <w:rPr>
          <w:rFonts w:cs="Arial"/>
          <w:iCs/>
          <w:szCs w:val="16"/>
        </w:rPr>
        <w:t>2009, kdy byl téměř stejný počet nezaměstnaných mužů i žen. V souča</w:t>
      </w:r>
      <w:r>
        <w:rPr>
          <w:rFonts w:cs="Arial"/>
          <w:iCs/>
          <w:szCs w:val="16"/>
        </w:rPr>
        <w:t>snosti je poměr žen a mužů mezi </w:t>
      </w:r>
      <w:r w:rsidRPr="00A9734A">
        <w:rPr>
          <w:rFonts w:cs="Arial"/>
          <w:iCs/>
          <w:szCs w:val="16"/>
        </w:rPr>
        <w:t>nezaměstnanými následující: 52, 5 % žen ku 47,5 % mužů.</w:t>
      </w:r>
    </w:p>
    <w:p w:rsidR="00927583" w:rsidRPr="00A9734A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iCs/>
          <w:szCs w:val="16"/>
        </w:rPr>
      </w:pPr>
      <w:r w:rsidRPr="00A9734A">
        <w:rPr>
          <w:rFonts w:cs="Arial"/>
          <w:iCs/>
          <w:szCs w:val="16"/>
        </w:rPr>
        <w:t xml:space="preserve"> V letech 1996-2000 počty nezaměstnaných výrazně rostly, a to jak žen, tak mužů. V období let 2001-2005 počty nezaměstnaných kolísaly, do roku 2008 došlo k jejich poklesu. Klesající trend vykazovaly v letech 2005-2008 také počty osob dlouhodobě nezaměstnaných, nezaměstnaných mladistvých i osob ve věku 50 a více let. Od roku 2009 do roku 2010 vykazovaly počty nezaměstnaných opět rostoucí trend. V současnosti jejich počty kolísají.  </w:t>
      </w:r>
    </w:p>
    <w:p w:rsidR="00927583" w:rsidRPr="00C97F22" w:rsidRDefault="00927583" w:rsidP="00C97F22">
      <w:pPr>
        <w:autoSpaceDE w:val="0"/>
        <w:autoSpaceDN w:val="0"/>
        <w:adjustRightInd w:val="0"/>
        <w:ind w:firstLine="567"/>
        <w:jc w:val="both"/>
        <w:rPr>
          <w:rFonts w:cs="Arial"/>
          <w:iCs/>
          <w:szCs w:val="16"/>
        </w:rPr>
      </w:pPr>
      <w:r w:rsidRPr="00A9734A">
        <w:rPr>
          <w:rFonts w:cs="Arial"/>
          <w:iCs/>
          <w:szCs w:val="16"/>
        </w:rPr>
        <w:t>V roce 2016 nemělo zaměstnání 111 tisíc ekonomicky aktivních žen a 101 tisíc mužů. Výrazný pokles zaznamenali též dlouhodobě nezaměstnaní (89 tisíc osob, z </w:t>
      </w:r>
      <w:r>
        <w:rPr>
          <w:rFonts w:cs="Arial"/>
          <w:iCs/>
          <w:szCs w:val="16"/>
        </w:rPr>
        <w:t>toho 53 % žen), nezaměstnaní ve </w:t>
      </w:r>
      <w:r w:rsidRPr="00A9734A">
        <w:rPr>
          <w:rFonts w:cs="Arial"/>
          <w:iCs/>
          <w:szCs w:val="16"/>
        </w:rPr>
        <w:t xml:space="preserve">věku 15-24 let (35 tisíc osob, z toho 43 % žen) a nezaměstnaní ve věku 50 a více let (54 tisíc osob, z toho 48 % žen). Jak vidíme, v případě nezaměstnaných mladistvých a ve věku 50 a více let převažují počty mužů nad početním stavem žen. </w:t>
      </w:r>
    </w:p>
    <w:p w:rsidR="00927583" w:rsidRDefault="00927583" w:rsidP="00927583">
      <w:pPr>
        <w:autoSpaceDE w:val="0"/>
        <w:autoSpaceDN w:val="0"/>
        <w:adjustRightInd w:val="0"/>
        <w:ind w:firstLine="567"/>
        <w:jc w:val="center"/>
        <w:rPr>
          <w:szCs w:val="16"/>
        </w:rPr>
      </w:pPr>
      <w:r>
        <w:rPr>
          <w:rFonts w:cs="Arial"/>
          <w:noProof/>
          <w:szCs w:val="20"/>
        </w:rPr>
        <w:lastRenderedPageBreak/>
        <w:drawing>
          <wp:inline distT="0" distB="0" distL="0" distR="0">
            <wp:extent cx="5969635" cy="3474720"/>
            <wp:effectExtent l="1905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pStyle w:val="Nadpis2"/>
      </w:pPr>
    </w:p>
    <w:p w:rsidR="00927583" w:rsidRDefault="00927583" w:rsidP="00927583"/>
    <w:p w:rsidR="00C97F22" w:rsidRDefault="00C97F22" w:rsidP="00927583"/>
    <w:p w:rsidR="00C97F22" w:rsidRDefault="00C97F22" w:rsidP="00927583"/>
    <w:p w:rsidR="00C97F22" w:rsidRDefault="00C97F22" w:rsidP="00927583"/>
    <w:p w:rsidR="00C97F22" w:rsidRDefault="00C97F22" w:rsidP="00927583"/>
    <w:p w:rsidR="00C97F22" w:rsidRDefault="00C97F22" w:rsidP="00927583"/>
    <w:p w:rsidR="00C97F22" w:rsidRDefault="00C97F22" w:rsidP="00927583"/>
    <w:p w:rsidR="00C97F22" w:rsidRDefault="00C97F22" w:rsidP="00927583"/>
    <w:p w:rsidR="00C97F22" w:rsidRDefault="00C97F22" w:rsidP="00927583"/>
    <w:p w:rsidR="00C97F22" w:rsidRDefault="00C97F22" w:rsidP="00927583"/>
    <w:p w:rsidR="00C97F22" w:rsidRDefault="00C97F22" w:rsidP="00927583"/>
    <w:p w:rsidR="00C97F22" w:rsidRDefault="00C97F22" w:rsidP="00927583"/>
    <w:p w:rsidR="00C97F22" w:rsidRDefault="00C97F22" w:rsidP="00927583"/>
    <w:p w:rsidR="00C97F22" w:rsidRPr="008E6B80" w:rsidRDefault="00C97F22" w:rsidP="00927583"/>
    <w:p w:rsidR="00927583" w:rsidRDefault="00927583" w:rsidP="00927583">
      <w:pPr>
        <w:pStyle w:val="Nadpis2"/>
      </w:pPr>
    </w:p>
    <w:p w:rsidR="00927583" w:rsidRDefault="00927583" w:rsidP="00927583">
      <w:pPr>
        <w:pStyle w:val="Nadpis2"/>
      </w:pPr>
      <w:r>
        <w:t>Počty nezaměstnaných podle pohlaví a krajů (v tis. osob) v roce 2016</w:t>
      </w:r>
    </w:p>
    <w:p w:rsidR="00927583" w:rsidRPr="00C97F22" w:rsidRDefault="00927583" w:rsidP="00C97F22">
      <w:pPr>
        <w:autoSpaceDE w:val="0"/>
        <w:autoSpaceDN w:val="0"/>
        <w:adjustRightInd w:val="0"/>
        <w:ind w:firstLine="567"/>
        <w:jc w:val="both"/>
        <w:rPr>
          <w:rFonts w:cs="Arial"/>
          <w:iCs/>
          <w:color w:val="FF0000"/>
          <w:szCs w:val="16"/>
          <w:highlight w:val="yellow"/>
        </w:rPr>
      </w:pPr>
      <w:r w:rsidRPr="008E6B80">
        <w:rPr>
          <w:rFonts w:cs="Arial"/>
          <w:iCs/>
          <w:color w:val="000000"/>
          <w:szCs w:val="16"/>
        </w:rPr>
        <w:t xml:space="preserve">(Graf 24) </w:t>
      </w:r>
    </w:p>
    <w:p w:rsidR="00927583" w:rsidRDefault="00927583" w:rsidP="00C97F22">
      <w:pPr>
        <w:autoSpaceDE w:val="0"/>
        <w:autoSpaceDN w:val="0"/>
        <w:adjustRightInd w:val="0"/>
        <w:ind w:firstLine="567"/>
        <w:rPr>
          <w:rFonts w:cs="Arial"/>
          <w:color w:val="000000"/>
          <w:szCs w:val="16"/>
        </w:rPr>
      </w:pPr>
      <w:r w:rsidRPr="008E6B80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 xml:space="preserve">VŠPS, ČSÚ </w:t>
      </w:r>
    </w:p>
    <w:p w:rsidR="00927583" w:rsidRDefault="00927583" w:rsidP="00C97F22">
      <w:pPr>
        <w:autoSpaceDE w:val="0"/>
        <w:autoSpaceDN w:val="0"/>
        <w:adjustRightInd w:val="0"/>
        <w:ind w:firstLine="567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>Data jsou průměry za rok 2016.</w:t>
      </w:r>
    </w:p>
    <w:p w:rsidR="00927583" w:rsidRPr="00A9734A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 w:rsidRPr="00A9734A">
        <w:rPr>
          <w:rFonts w:cs="Arial"/>
          <w:color w:val="000000"/>
          <w:szCs w:val="16"/>
        </w:rPr>
        <w:t>V roce 2016 bylo zjištěno 211,4 tisíc nezaměstnaných, což značí oproti předchozím letům výrazný pokles. Ten byl patrný i v jednotlivých krajích.</w:t>
      </w:r>
    </w:p>
    <w:p w:rsidR="00927583" w:rsidRPr="00C97F22" w:rsidRDefault="00927583" w:rsidP="00C97F22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 w:rsidRPr="00A9734A">
        <w:rPr>
          <w:rFonts w:cs="Arial"/>
          <w:color w:val="000000"/>
          <w:szCs w:val="16"/>
        </w:rPr>
        <w:t xml:space="preserve"> Mezi nezaměstnanými celkově převažovaly ženy. Neplatilo to ale zdaleka o všech krajích. Více nezaměstnaných žen než mužů bylo zaznamenáno v krajích Jihočeském, Plzeňském, Libereckém, </w:t>
      </w:r>
      <w:r>
        <w:rPr>
          <w:rFonts w:cs="Arial"/>
          <w:color w:val="000000"/>
          <w:szCs w:val="16"/>
        </w:rPr>
        <w:t>Královéhradeckém, Jihomoravském, Moravskoslezském a na </w:t>
      </w:r>
      <w:r w:rsidRPr="00A9734A">
        <w:rPr>
          <w:rFonts w:cs="Arial"/>
          <w:color w:val="000000"/>
          <w:szCs w:val="16"/>
        </w:rPr>
        <w:t xml:space="preserve">Vysočině. </w:t>
      </w:r>
      <w:r w:rsidRPr="00A9734A">
        <w:rPr>
          <w:rFonts w:cs="Arial"/>
          <w:color w:val="000000"/>
          <w:szCs w:val="16"/>
        </w:rPr>
        <w:br/>
        <w:t xml:space="preserve"> Muži naopak mezi nezaměstnanými převládali v Praze a v krajích Ústeckém, Pardubickém, Olomouckém a Zlínském. Vyrovnané počty nezaměstnaných podle pohlaví byly zjištěny v kraji Karlovarském. </w:t>
      </w:r>
      <w:r w:rsidRPr="00A9734A">
        <w:rPr>
          <w:rFonts w:cs="Arial"/>
          <w:color w:val="000000"/>
          <w:szCs w:val="16"/>
        </w:rPr>
        <w:br/>
        <w:t>Nejvyšší počty nezaměstnaných ze všech krajů byly zaznamenány v kraji Moravskoslezském, kde</w:t>
      </w:r>
      <w:r>
        <w:rPr>
          <w:rFonts w:cs="Arial"/>
          <w:color w:val="000000"/>
          <w:szCs w:val="16"/>
        </w:rPr>
        <w:t xml:space="preserve"> se </w:t>
      </w:r>
      <w:r w:rsidRPr="00A9734A">
        <w:rPr>
          <w:rFonts w:cs="Arial"/>
          <w:color w:val="000000"/>
          <w:szCs w:val="16"/>
        </w:rPr>
        <w:t>nacházelo přibližně 24 tisíc nezaměstnaných žen a 18 tisíc nezaměstnaných mužů</w:t>
      </w:r>
      <w:r>
        <w:rPr>
          <w:rFonts w:cs="Arial"/>
          <w:color w:val="000000"/>
          <w:szCs w:val="16"/>
        </w:rPr>
        <w:t xml:space="preserve"> (jedná se ovšem o jeden z nejlidnatějších </w:t>
      </w:r>
      <w:r w:rsidRPr="00A9734A">
        <w:rPr>
          <w:rFonts w:cs="Arial"/>
          <w:color w:val="000000"/>
          <w:szCs w:val="16"/>
        </w:rPr>
        <w:t>krajů</w:t>
      </w:r>
      <w:r>
        <w:rPr>
          <w:rFonts w:cs="Arial"/>
          <w:color w:val="000000"/>
          <w:szCs w:val="16"/>
        </w:rPr>
        <w:t>)</w:t>
      </w:r>
      <w:r w:rsidRPr="00A9734A">
        <w:rPr>
          <w:rFonts w:cs="Arial"/>
          <w:color w:val="000000"/>
          <w:szCs w:val="16"/>
        </w:rPr>
        <w:t>.</w:t>
      </w:r>
      <w:r w:rsidRPr="00A9734A">
        <w:rPr>
          <w:rFonts w:cs="Arial"/>
          <w:color w:val="000000"/>
          <w:szCs w:val="16"/>
        </w:rPr>
        <w:br/>
        <w:t xml:space="preserve">Nejnižší počty nezaměstnaných žen byly v kraji Karlovarském (patří naopak k nejméně lidnatým krajům), nejnižšími počty nezaměstnaných mužů se vyznačoval kraj Vysočina. V Karlovarském kraji se nacházelo zhruba 4,2 tisíc nezaměstnaných žen a 4,1 tisíc nezaměstnaných mužů. V kraji Vysočina bylo zjištěno přibližně 5 tisíc nezaměstnaných žen a 3 tisíce nezaměstnaných mužů.  </w:t>
      </w: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center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center"/>
        <w:rPr>
          <w:szCs w:val="16"/>
        </w:rPr>
      </w:pPr>
      <w:r>
        <w:rPr>
          <w:rFonts w:cs="Arial"/>
          <w:noProof/>
          <w:szCs w:val="20"/>
        </w:rPr>
        <w:drawing>
          <wp:inline distT="0" distB="0" distL="0" distR="0">
            <wp:extent cx="4820285" cy="2769235"/>
            <wp:effectExtent l="1905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autoSpaceDE w:val="0"/>
        <w:autoSpaceDN w:val="0"/>
        <w:adjustRightInd w:val="0"/>
        <w:ind w:firstLine="567"/>
        <w:jc w:val="center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center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center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center"/>
        <w:rPr>
          <w:szCs w:val="16"/>
        </w:rPr>
      </w:pPr>
    </w:p>
    <w:p w:rsidR="00927583" w:rsidRDefault="00927583" w:rsidP="00927583">
      <w:pPr>
        <w:pStyle w:val="Nadpis2"/>
      </w:pPr>
    </w:p>
    <w:p w:rsidR="00927583" w:rsidRDefault="00927583" w:rsidP="00927583">
      <w:pPr>
        <w:pStyle w:val="Nadpis2"/>
      </w:pPr>
      <w:r>
        <w:t>Míry nezaměstnanosti podle pohlaví a krajů (v %) v roce 2016</w:t>
      </w:r>
    </w:p>
    <w:p w:rsidR="00927583" w:rsidRPr="00C97F22" w:rsidRDefault="00927583" w:rsidP="00C97F22">
      <w:pPr>
        <w:autoSpaceDE w:val="0"/>
        <w:autoSpaceDN w:val="0"/>
        <w:adjustRightInd w:val="0"/>
        <w:ind w:firstLine="567"/>
        <w:jc w:val="both"/>
        <w:rPr>
          <w:rFonts w:cs="Arial"/>
          <w:iCs/>
          <w:color w:val="FF0000"/>
          <w:szCs w:val="16"/>
          <w:highlight w:val="yellow"/>
        </w:rPr>
      </w:pPr>
      <w:r w:rsidRPr="008E6B80">
        <w:rPr>
          <w:rFonts w:cs="Arial"/>
          <w:iCs/>
          <w:color w:val="000000"/>
          <w:szCs w:val="16"/>
        </w:rPr>
        <w:t xml:space="preserve">(Graf 25) </w:t>
      </w:r>
    </w:p>
    <w:p w:rsidR="00927583" w:rsidRDefault="00927583" w:rsidP="00C97F22">
      <w:pPr>
        <w:autoSpaceDE w:val="0"/>
        <w:autoSpaceDN w:val="0"/>
        <w:adjustRightInd w:val="0"/>
        <w:ind w:firstLine="567"/>
        <w:rPr>
          <w:rFonts w:cs="Arial"/>
          <w:color w:val="000000"/>
          <w:szCs w:val="16"/>
        </w:rPr>
      </w:pPr>
      <w:r w:rsidRPr="008E6B80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 xml:space="preserve">VŠPS, ČSÚ </w:t>
      </w:r>
    </w:p>
    <w:p w:rsidR="00927583" w:rsidRPr="00C97F22" w:rsidRDefault="00927583" w:rsidP="00C97F22">
      <w:pPr>
        <w:autoSpaceDE w:val="0"/>
        <w:autoSpaceDN w:val="0"/>
        <w:adjustRightInd w:val="0"/>
        <w:ind w:firstLine="567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>Data jsou průměry za rok 2016.</w:t>
      </w:r>
    </w:p>
    <w:p w:rsidR="00927583" w:rsidRPr="009A08AD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szCs w:val="20"/>
        </w:rPr>
      </w:pPr>
      <w:r w:rsidRPr="009A08AD">
        <w:rPr>
          <w:rFonts w:cs="Arial"/>
          <w:szCs w:val="20"/>
        </w:rPr>
        <w:t>Vyšší mírou nezaměstnanosti</w:t>
      </w:r>
      <w:r w:rsidRPr="009A08AD">
        <w:rPr>
          <w:szCs w:val="16"/>
        </w:rPr>
        <w:t xml:space="preserve"> </w:t>
      </w:r>
      <w:r w:rsidRPr="009A08AD">
        <w:rPr>
          <w:rFonts w:cs="Arial"/>
          <w:szCs w:val="20"/>
        </w:rPr>
        <w:t xml:space="preserve">se vyznačují ženy. Míra nezaměstnanosti žen činila v roce 2013 8,3 %, u mužů se jednalo o 5,9 %. V roce 2016 byla u obou pohlaví téměř poloviční. V roce 2016 ženy vykazovaly nezaměstnanost 4,7% a muži dokonce 3,4%. </w:t>
      </w:r>
    </w:p>
    <w:p w:rsidR="00927583" w:rsidRPr="009A08AD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szCs w:val="20"/>
        </w:rPr>
      </w:pPr>
      <w:r w:rsidRPr="009A08AD">
        <w:rPr>
          <w:rFonts w:cs="Arial"/>
          <w:szCs w:val="20"/>
        </w:rPr>
        <w:t xml:space="preserve">Nejnižší míry nezaměstnanosti byly podle očekávání v Praze. Jak u žen, tak i u mužů v Praze </w:t>
      </w:r>
      <w:r>
        <w:rPr>
          <w:rFonts w:cs="Arial"/>
          <w:szCs w:val="20"/>
        </w:rPr>
        <w:t>se </w:t>
      </w:r>
      <w:r w:rsidRPr="009A08AD">
        <w:rPr>
          <w:rFonts w:cs="Arial"/>
          <w:szCs w:val="20"/>
        </w:rPr>
        <w:t xml:space="preserve">míra zaměstnanosti pohybovala kolem 2 %. Nejvyšší míra nezaměstnanosti žen byla zjištěna v Moravskoslezském kraji (8,8 %), nejvyšší míra nezaměstnanosti mužů v kraji Moravskoslezském (5,4 %). </w:t>
      </w: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szCs w:val="20"/>
        </w:rPr>
      </w:pPr>
      <w:r w:rsidRPr="009A08AD">
        <w:rPr>
          <w:rFonts w:cs="Arial"/>
          <w:szCs w:val="20"/>
        </w:rPr>
        <w:t xml:space="preserve">Ve všech krajích s výjimkou Prahy a krajů Pardubického a Olomouckého (kde byly míry nezaměstnanosti podle pohlaví vyrovnané) měly ženy vyšší míru nezaměstnanosti než muži. </w:t>
      </w:r>
    </w:p>
    <w:p w:rsidR="00927583" w:rsidRPr="00C97F22" w:rsidRDefault="00927583" w:rsidP="00C97F22">
      <w:pPr>
        <w:autoSpaceDE w:val="0"/>
        <w:autoSpaceDN w:val="0"/>
        <w:adjustRightInd w:val="0"/>
        <w:ind w:firstLine="567"/>
        <w:jc w:val="both"/>
        <w:rPr>
          <w:rFonts w:cs="Arial"/>
          <w:i/>
          <w:szCs w:val="20"/>
        </w:rPr>
      </w:pPr>
      <w:r w:rsidRPr="009A08AD">
        <w:rPr>
          <w:rFonts w:cs="Arial"/>
          <w:szCs w:val="20"/>
        </w:rPr>
        <w:t>Výrazně vyšší míru nezaměstnanosti než muži zaznamenaly ženy v kraji Moravskoslezském.</w:t>
      </w:r>
      <w:r w:rsidRPr="009A08AD">
        <w:rPr>
          <w:rFonts w:cs="Arial"/>
          <w:szCs w:val="20"/>
        </w:rPr>
        <w:br/>
      </w:r>
      <w:r>
        <w:rPr>
          <w:rFonts w:cs="Arial"/>
          <w:i/>
          <w:szCs w:val="20"/>
        </w:rPr>
        <w:t xml:space="preserve"> </w:t>
      </w:r>
    </w:p>
    <w:p w:rsidR="00927583" w:rsidRDefault="00927583" w:rsidP="00927583">
      <w:pPr>
        <w:autoSpaceDE w:val="0"/>
        <w:autoSpaceDN w:val="0"/>
        <w:adjustRightInd w:val="0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center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center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center"/>
        <w:rPr>
          <w:szCs w:val="16"/>
        </w:rPr>
      </w:pPr>
      <w:r>
        <w:rPr>
          <w:rFonts w:cs="Arial"/>
          <w:noProof/>
          <w:szCs w:val="20"/>
        </w:rPr>
        <w:drawing>
          <wp:inline distT="0" distB="0" distL="0" distR="0">
            <wp:extent cx="4611370" cy="2874010"/>
            <wp:effectExtent l="1905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70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autoSpaceDE w:val="0"/>
        <w:autoSpaceDN w:val="0"/>
        <w:adjustRightInd w:val="0"/>
        <w:ind w:firstLine="567"/>
        <w:jc w:val="center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center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center"/>
        <w:rPr>
          <w:szCs w:val="16"/>
        </w:rPr>
      </w:pPr>
    </w:p>
    <w:p w:rsidR="00927583" w:rsidRDefault="00927583" w:rsidP="00C97F22">
      <w:pPr>
        <w:autoSpaceDE w:val="0"/>
        <w:autoSpaceDN w:val="0"/>
        <w:adjustRightInd w:val="0"/>
        <w:rPr>
          <w:szCs w:val="16"/>
        </w:rPr>
      </w:pPr>
    </w:p>
    <w:p w:rsidR="00927583" w:rsidRDefault="00927583" w:rsidP="00927583">
      <w:pPr>
        <w:pStyle w:val="Nadpis2"/>
      </w:pPr>
      <w:r>
        <w:t>Vývoj průměrné a mediánové mzdy podle pohlaví v letech 2010-16</w:t>
      </w:r>
    </w:p>
    <w:p w:rsidR="00927583" w:rsidRPr="007C7F51" w:rsidRDefault="00927583" w:rsidP="007C7F51">
      <w:pPr>
        <w:autoSpaceDE w:val="0"/>
        <w:autoSpaceDN w:val="0"/>
        <w:adjustRightInd w:val="0"/>
        <w:ind w:firstLine="567"/>
        <w:jc w:val="both"/>
        <w:rPr>
          <w:rFonts w:cs="Arial"/>
          <w:iCs/>
          <w:color w:val="FF0000"/>
          <w:szCs w:val="16"/>
          <w:highlight w:val="yellow"/>
        </w:rPr>
      </w:pPr>
      <w:r w:rsidRPr="008E6B80">
        <w:rPr>
          <w:rFonts w:cs="Arial"/>
          <w:iCs/>
          <w:color w:val="000000"/>
          <w:szCs w:val="16"/>
        </w:rPr>
        <w:t>(Graf 26)</w:t>
      </w:r>
    </w:p>
    <w:p w:rsidR="00927583" w:rsidRDefault="00927583" w:rsidP="007C7F51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 w:rsidRPr="008E6B80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 xml:space="preserve">Struktura mezd zaměstnanců, ČSÚ </w:t>
      </w:r>
    </w:p>
    <w:p w:rsidR="00927583" w:rsidRDefault="00927583" w:rsidP="00C97F22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 xml:space="preserve">GPG – </w:t>
      </w:r>
      <w:proofErr w:type="spellStart"/>
      <w:r>
        <w:rPr>
          <w:rFonts w:cs="Arial"/>
          <w:color w:val="000000"/>
          <w:szCs w:val="16"/>
        </w:rPr>
        <w:t>Gender</w:t>
      </w:r>
      <w:proofErr w:type="spellEnd"/>
      <w:r>
        <w:rPr>
          <w:rFonts w:cs="Arial"/>
          <w:color w:val="000000"/>
          <w:szCs w:val="16"/>
        </w:rPr>
        <w:t xml:space="preserve"> </w:t>
      </w:r>
      <w:proofErr w:type="spellStart"/>
      <w:r>
        <w:rPr>
          <w:rFonts w:cs="Arial"/>
          <w:color w:val="000000"/>
          <w:szCs w:val="16"/>
        </w:rPr>
        <w:t>Pay</w:t>
      </w:r>
      <w:proofErr w:type="spellEnd"/>
      <w:r>
        <w:rPr>
          <w:rFonts w:cs="Arial"/>
          <w:color w:val="000000"/>
          <w:szCs w:val="16"/>
        </w:rPr>
        <w:t xml:space="preserve"> Gap – je počítán jako relativní rozdíl mediánu mzdy mužů a žen vztažený k mediánu mzdy mužů a vyjadřuje se v procentech. V minulém vydání této publikace byla pro výpočet GPG použita odlišná metodika (místo GPG šlo vlastně o vyjádření mediánové hodinové mzdy žen jako % mzdy mužů, což spolu s GPG dá dohromady 100 %). </w:t>
      </w:r>
      <w:proofErr w:type="spellStart"/>
      <w:r>
        <w:rPr>
          <w:rFonts w:cs="Arial"/>
          <w:color w:val="000000"/>
          <w:szCs w:val="16"/>
        </w:rPr>
        <w:t>Gender</w:t>
      </w:r>
      <w:proofErr w:type="spellEnd"/>
      <w:r>
        <w:rPr>
          <w:rFonts w:cs="Arial"/>
          <w:color w:val="000000"/>
          <w:szCs w:val="16"/>
        </w:rPr>
        <w:t xml:space="preserve"> </w:t>
      </w:r>
      <w:proofErr w:type="spellStart"/>
      <w:r>
        <w:rPr>
          <w:rFonts w:cs="Arial"/>
          <w:color w:val="000000"/>
          <w:szCs w:val="16"/>
        </w:rPr>
        <w:t>Pay</w:t>
      </w:r>
      <w:proofErr w:type="spellEnd"/>
      <w:r>
        <w:rPr>
          <w:rFonts w:cs="Arial"/>
          <w:color w:val="000000"/>
          <w:szCs w:val="16"/>
        </w:rPr>
        <w:t xml:space="preserve"> Gap však v žádném případě nelze používat jako indikátor pro měření diskriminace, neboť současně obnáší informaci za segregaci na trhu práce a promítají se v něm různé vlivy struktur věkových, vzdělanostních, postavení v zaměstnání, druhy ekonomických činností a dalších. </w:t>
      </w:r>
    </w:p>
    <w:p w:rsidR="00927583" w:rsidRPr="009A08AD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 w:rsidRPr="009A08AD">
        <w:rPr>
          <w:rFonts w:cs="Arial"/>
          <w:color w:val="000000"/>
          <w:szCs w:val="16"/>
        </w:rPr>
        <w:t>Průměrné i mediánové mzdy žen i mužů v posledních letech rostly pouze mírně. K většímu růstu došlo až v roce 2016. Celková průměrná mzda v roce 2016 dosáhla úrovně přes 29 000 korun. Svého maxima se dočkala i reálnější střední hodnota mezd, mediánová, která činila téměř 25 000 korun.</w:t>
      </w:r>
    </w:p>
    <w:p w:rsidR="00927583" w:rsidRPr="009A08AD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 w:rsidRPr="009A08AD">
        <w:rPr>
          <w:rFonts w:cs="Arial"/>
          <w:color w:val="000000"/>
          <w:szCs w:val="16"/>
        </w:rPr>
        <w:t xml:space="preserve">   Mzdy žen vždy byly nižší než mzdy mužů, a to bez ohledu na okolnost, zda se jednalo o mzdy průměrné či mediánové. Bereme-li v úvahu mediány, které nejsou náchyln</w:t>
      </w:r>
      <w:r>
        <w:rPr>
          <w:rFonts w:cs="Arial"/>
          <w:color w:val="000000"/>
          <w:szCs w:val="16"/>
        </w:rPr>
        <w:t>é na krajní hodnoty, vidíme, že </w:t>
      </w:r>
      <w:proofErr w:type="spellStart"/>
      <w:r w:rsidRPr="009A08AD">
        <w:rPr>
          <w:rFonts w:cs="Arial"/>
          <w:color w:val="000000"/>
          <w:szCs w:val="16"/>
        </w:rPr>
        <w:t>Gender</w:t>
      </w:r>
      <w:proofErr w:type="spellEnd"/>
      <w:r w:rsidRPr="009A08AD">
        <w:rPr>
          <w:rFonts w:cs="Arial"/>
          <w:color w:val="000000"/>
          <w:szCs w:val="16"/>
        </w:rPr>
        <w:t xml:space="preserve"> </w:t>
      </w:r>
      <w:proofErr w:type="spellStart"/>
      <w:r w:rsidRPr="009A08AD">
        <w:rPr>
          <w:rFonts w:cs="Arial"/>
          <w:color w:val="000000"/>
          <w:szCs w:val="16"/>
        </w:rPr>
        <w:t>Pay</w:t>
      </w:r>
      <w:proofErr w:type="spellEnd"/>
      <w:r w:rsidRPr="009A08AD">
        <w:rPr>
          <w:rFonts w:cs="Arial"/>
          <w:color w:val="000000"/>
          <w:szCs w:val="16"/>
        </w:rPr>
        <w:t xml:space="preserve"> Gap (absolutní rozdíl platu mužů stanoveného jako 100 % a podílu platu žen k platu mužů vyjádřeného v procentech) se prakticky vůbec nemění – a osciluje kolem hodnot v rozmezí 15,4</w:t>
      </w:r>
      <w:r>
        <w:rPr>
          <w:rFonts w:cs="Arial"/>
          <w:color w:val="000000"/>
          <w:szCs w:val="16"/>
        </w:rPr>
        <w:t> </w:t>
      </w:r>
      <w:r w:rsidRPr="009A08AD">
        <w:rPr>
          <w:rFonts w:cs="Arial"/>
          <w:color w:val="000000"/>
          <w:szCs w:val="16"/>
        </w:rPr>
        <w:t>– 16,2 %. Pokud naopak chceme vidět vliv extrémních hodnot a porovnáme průměrné mzdy žen a mužů, zachytíme mezi roky 2010 a 2011 nepatrný nárůst GPG o 1,5% bodu (s tím, že v dalších letech následoval opět mírný pokles).</w:t>
      </w:r>
    </w:p>
    <w:p w:rsidR="00927583" w:rsidRPr="009A08AD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 w:rsidRPr="009A08AD">
        <w:rPr>
          <w:rFonts w:cs="Arial"/>
          <w:color w:val="000000"/>
          <w:szCs w:val="16"/>
        </w:rPr>
        <w:t xml:space="preserve"> V roce 2016 byla hodnota GPG vypočteného z průměrných mezd 21%, v případě mediánových mezd 16%. </w:t>
      </w: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i/>
          <w:color w:val="000000"/>
          <w:szCs w:val="16"/>
        </w:rPr>
      </w:pPr>
    </w:p>
    <w:p w:rsidR="00927583" w:rsidRPr="007A67A8" w:rsidRDefault="00927583" w:rsidP="00C97F22">
      <w:pPr>
        <w:autoSpaceDE w:val="0"/>
        <w:autoSpaceDN w:val="0"/>
        <w:adjustRightInd w:val="0"/>
        <w:jc w:val="both"/>
        <w:rPr>
          <w:rFonts w:cs="Arial"/>
          <w:i/>
          <w:color w:val="000000"/>
          <w:szCs w:val="16"/>
        </w:rPr>
      </w:pPr>
    </w:p>
    <w:p w:rsidR="00927583" w:rsidRPr="00D8120E" w:rsidRDefault="00927583" w:rsidP="00927583">
      <w:pPr>
        <w:autoSpaceDE w:val="0"/>
        <w:autoSpaceDN w:val="0"/>
        <w:adjustRightInd w:val="0"/>
        <w:ind w:firstLine="567"/>
        <w:jc w:val="center"/>
        <w:rPr>
          <w:rFonts w:cs="Arial"/>
          <w:i/>
          <w:iCs/>
          <w:szCs w:val="20"/>
        </w:rPr>
      </w:pPr>
      <w:r>
        <w:rPr>
          <w:rFonts w:cs="Arial"/>
          <w:noProof/>
          <w:szCs w:val="20"/>
        </w:rPr>
        <w:drawing>
          <wp:inline distT="0" distB="0" distL="0" distR="0">
            <wp:extent cx="4637405" cy="2168525"/>
            <wp:effectExtent l="1905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autoSpaceDE w:val="0"/>
        <w:autoSpaceDN w:val="0"/>
        <w:adjustRightInd w:val="0"/>
        <w:jc w:val="both"/>
      </w:pPr>
    </w:p>
    <w:p w:rsidR="007C7F51" w:rsidRDefault="007C7F51" w:rsidP="00927583">
      <w:pPr>
        <w:autoSpaceDE w:val="0"/>
        <w:autoSpaceDN w:val="0"/>
        <w:adjustRightInd w:val="0"/>
        <w:jc w:val="both"/>
      </w:pPr>
    </w:p>
    <w:p w:rsidR="007C7F51" w:rsidRDefault="007C7F51" w:rsidP="00927583">
      <w:pPr>
        <w:autoSpaceDE w:val="0"/>
        <w:autoSpaceDN w:val="0"/>
        <w:adjustRightInd w:val="0"/>
        <w:jc w:val="both"/>
      </w:pPr>
    </w:p>
    <w:p w:rsidR="007C7F51" w:rsidRDefault="007C7F51" w:rsidP="00927583">
      <w:pPr>
        <w:autoSpaceDE w:val="0"/>
        <w:autoSpaceDN w:val="0"/>
        <w:adjustRightInd w:val="0"/>
        <w:jc w:val="both"/>
      </w:pPr>
    </w:p>
    <w:p w:rsidR="00927583" w:rsidRDefault="00927583" w:rsidP="00927583">
      <w:pPr>
        <w:pStyle w:val="Nadpis2"/>
      </w:pPr>
      <w:r>
        <w:t xml:space="preserve">Mediány mezd podle úrovně vzdělání </w:t>
      </w:r>
    </w:p>
    <w:p w:rsidR="00927583" w:rsidRPr="00C97F22" w:rsidRDefault="00927583" w:rsidP="00C97F22">
      <w:pPr>
        <w:autoSpaceDE w:val="0"/>
        <w:autoSpaceDN w:val="0"/>
        <w:adjustRightInd w:val="0"/>
        <w:ind w:firstLine="567"/>
        <w:jc w:val="both"/>
        <w:rPr>
          <w:rFonts w:cs="Arial"/>
          <w:iCs/>
          <w:color w:val="000000"/>
          <w:szCs w:val="16"/>
        </w:rPr>
      </w:pPr>
      <w:r w:rsidRPr="008E6B80">
        <w:rPr>
          <w:rFonts w:cs="Arial"/>
          <w:iCs/>
          <w:color w:val="000000"/>
          <w:szCs w:val="16"/>
        </w:rPr>
        <w:t xml:space="preserve">(Graf 27) </w:t>
      </w:r>
    </w:p>
    <w:p w:rsidR="00927583" w:rsidRPr="00C97F22" w:rsidRDefault="00927583" w:rsidP="00C97F22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 w:rsidRPr="008E6B80">
        <w:rPr>
          <w:rFonts w:cs="Arial"/>
          <w:iCs/>
          <w:color w:val="000000"/>
          <w:szCs w:val="16"/>
        </w:rPr>
        <w:t>Zdroj:</w:t>
      </w:r>
      <w:r>
        <w:rPr>
          <w:rFonts w:cs="Arial"/>
          <w:i/>
          <w:iCs/>
          <w:color w:val="000000"/>
          <w:szCs w:val="16"/>
        </w:rPr>
        <w:t xml:space="preserve"> </w:t>
      </w:r>
      <w:r>
        <w:rPr>
          <w:rFonts w:cs="Arial"/>
          <w:color w:val="000000"/>
          <w:szCs w:val="16"/>
        </w:rPr>
        <w:t>Strukturální mzdová statistika (ISPV MPSV ČR, IS-Plat), průměry za rok 2016</w:t>
      </w:r>
    </w:p>
    <w:p w:rsidR="00927583" w:rsidRDefault="00927583" w:rsidP="00C97F22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>Sloupce v grafu zobrazují výše průměrných výdělků mužů a žen podle úrovně vzdělání.</w:t>
      </w:r>
    </w:p>
    <w:p w:rsidR="00927583" w:rsidRPr="00A7144E" w:rsidRDefault="00927583" w:rsidP="00927583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16"/>
        </w:rPr>
        <w:t xml:space="preserve"> Mediánová hrubá měsíční mzda představuje reálnou, extrémními hodnotami nezkreslenou střední hodnotu úrovně mezd jednotlivých zaměstnanců. </w:t>
      </w:r>
      <w:r>
        <w:rPr>
          <w:rFonts w:ascii="Arial" w:hAnsi="Arial" w:cs="Arial"/>
          <w:sz w:val="20"/>
        </w:rPr>
        <w:t>Strukturální mzdová statistika v současnosti vzniká jako sloučení výsledných databází výběrového šetření Informační systém o průměrném výdělku MPSV (ISPV), které pokrývá mzdovou sféru, a administrativního zdroje Informační systém o platu a služebním příjmu (ISP) Ministerstva financí ČR, který plošně pokrývá platovou sféru. Protože objem zjišťovaných informací v ISPV je rozsáhlý a šetření je pracné a nákladné, zejména pro menší podniky, provádí se jen u vzorku jednotek vybraných v zásadě náhodně na základě Registru ekonomických subjektů, přičemž pravděpodobnost výběru stoupá s velikostí jednotky. Pro shromáždění údajů je využíváno elektronického sběru přímo z  podnikových databází.</w:t>
      </w:r>
    </w:p>
    <w:p w:rsidR="00927583" w:rsidRDefault="00927583" w:rsidP="00927583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D90C84">
        <w:rPr>
          <w:rFonts w:ascii="Arial" w:hAnsi="Arial" w:cs="Arial"/>
          <w:sz w:val="20"/>
        </w:rPr>
        <w:t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 obsažených v publikaci. Je nutné brát ovšem v úvahu, že výsledky minulých let v předchozích publikacích nebyly dopočtené na celé hospodářství, zejména nepokrývali podniky s méně než 10 zaměstnanci, a tudíž výsledky nenavazují v časové řadě.</w:t>
      </w: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>
        <w:rPr>
          <w:rFonts w:cs="Arial"/>
        </w:rPr>
        <w:t>Do hrubých mezd se ve strukturální statistice počítají všechny mzdy za práci včetně prémií, odměn a</w:t>
      </w:r>
      <w:r w:rsidR="00712DC4">
        <w:rPr>
          <w:rFonts w:cs="Arial"/>
        </w:rPr>
        <w:t> </w:t>
      </w:r>
      <w:r>
        <w:rPr>
          <w:rFonts w:cs="Arial"/>
        </w:rPr>
        <w:t>dalších platů, dále veškeré náhrady mzdy za neodpracovanou dobu (dovolenou, svátky, překážky v práci apod.) a odměny za pracovní pohotovost za celý  rok.</w:t>
      </w: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 xml:space="preserve">      GPG – </w:t>
      </w:r>
      <w:proofErr w:type="spellStart"/>
      <w:r>
        <w:rPr>
          <w:rFonts w:cs="Arial"/>
          <w:color w:val="000000"/>
          <w:szCs w:val="16"/>
        </w:rPr>
        <w:t>Gender</w:t>
      </w:r>
      <w:proofErr w:type="spellEnd"/>
      <w:r>
        <w:rPr>
          <w:rFonts w:cs="Arial"/>
          <w:color w:val="000000"/>
          <w:szCs w:val="16"/>
        </w:rPr>
        <w:t xml:space="preserve"> </w:t>
      </w:r>
      <w:proofErr w:type="spellStart"/>
      <w:r>
        <w:rPr>
          <w:rFonts w:cs="Arial"/>
          <w:color w:val="000000"/>
          <w:szCs w:val="16"/>
        </w:rPr>
        <w:t>Pay</w:t>
      </w:r>
      <w:proofErr w:type="spellEnd"/>
      <w:r>
        <w:rPr>
          <w:rFonts w:cs="Arial"/>
          <w:color w:val="000000"/>
          <w:szCs w:val="16"/>
        </w:rPr>
        <w:t xml:space="preserve"> Gap – je počítán jako relativní rozdíl mediánu mzdy mužů a žen vztažený k mediánu mzdy mužů a vyjadřuje se v procentech. V minulém vydání této publikace byla pro výpočet GPG použita odlišná metodika (místo GPG šlo vlastně o vyjádření mediánové hodinové mzdy žen jako % mzdy mužů, což spolu s GPG dá dohromady 100 %).</w:t>
      </w:r>
    </w:p>
    <w:p w:rsidR="00927583" w:rsidRPr="009A08AD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iCs/>
          <w:color w:val="000000"/>
          <w:szCs w:val="16"/>
        </w:rPr>
      </w:pPr>
      <w:r w:rsidRPr="009A08AD">
        <w:rPr>
          <w:rFonts w:cs="Arial"/>
          <w:iCs/>
          <w:color w:val="000000"/>
          <w:szCs w:val="16"/>
        </w:rPr>
        <w:t xml:space="preserve">Ženy vydělávají méně než muži, a to bez ohledu na úroveň vzdělání. Nejvyšší rozdíly byly v roce 2016 (podobně jako v letech minulých) zaznamenány v případě středoškolského vzdělání bez maturity (kde je v populaci výrazně více mužů), hodnota GPG zde představovala přes 27 %. Ačkoli vysokoškolské vzdělání je dnes už spíše doménou žen, hodnota GPG u osob s vysokoškolským vzděláním je relativně vysoká. V případě pětiletého a vyššího ukončeného studia na univerzitě překročila 23 % a v případě studia bakalářského a vyššího odborného 21 %. Nejnižší rozdíly byly zaznamenány u mezd středoškoláků s maturitou (zde převažují v celkové populaci ženy). Tato vzdělanostní kategorie vykazovala 17,4% GPG v neprospěch žen. </w:t>
      </w:r>
    </w:p>
    <w:p w:rsidR="00927583" w:rsidRPr="009A08AD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i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right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right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right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right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right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right"/>
        <w:rPr>
          <w:szCs w:val="16"/>
        </w:rPr>
      </w:pPr>
      <w:r>
        <w:rPr>
          <w:rFonts w:cs="Arial"/>
          <w:noProof/>
          <w:szCs w:val="20"/>
        </w:rPr>
        <w:lastRenderedPageBreak/>
        <w:drawing>
          <wp:inline distT="0" distB="0" distL="0" distR="0">
            <wp:extent cx="5499735" cy="4258310"/>
            <wp:effectExtent l="19050" t="0" r="5715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425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szCs w:val="16"/>
        </w:rPr>
      </w:pPr>
    </w:p>
    <w:p w:rsidR="00927583" w:rsidRDefault="00927583" w:rsidP="00C97F22">
      <w:pPr>
        <w:autoSpaceDE w:val="0"/>
        <w:autoSpaceDN w:val="0"/>
        <w:adjustRightInd w:val="0"/>
        <w:jc w:val="both"/>
        <w:rPr>
          <w:szCs w:val="16"/>
        </w:rPr>
      </w:pPr>
    </w:p>
    <w:p w:rsidR="00927583" w:rsidRPr="003400ED" w:rsidRDefault="00927583" w:rsidP="00927583">
      <w:pPr>
        <w:autoSpaceDE w:val="0"/>
        <w:autoSpaceDN w:val="0"/>
        <w:adjustRightInd w:val="0"/>
        <w:ind w:firstLine="567"/>
        <w:rPr>
          <w:rFonts w:cs="Arial"/>
          <w:b/>
          <w:bCs/>
          <w:color w:val="00A9EC"/>
          <w:szCs w:val="20"/>
        </w:rPr>
      </w:pPr>
      <w:r w:rsidRPr="003400ED">
        <w:rPr>
          <w:rFonts w:cs="Arial"/>
          <w:b/>
          <w:bCs/>
          <w:color w:val="00A9EC"/>
          <w:szCs w:val="20"/>
        </w:rPr>
        <w:t>Mediánové mzdy podle věkových skupin</w:t>
      </w:r>
    </w:p>
    <w:p w:rsidR="00927583" w:rsidRPr="00EB0290" w:rsidRDefault="00927583" w:rsidP="00EB0290">
      <w:pPr>
        <w:autoSpaceDE w:val="0"/>
        <w:autoSpaceDN w:val="0"/>
        <w:adjustRightInd w:val="0"/>
        <w:ind w:firstLine="567"/>
        <w:rPr>
          <w:rFonts w:cs="Arial"/>
          <w:iCs/>
          <w:color w:val="000000"/>
          <w:szCs w:val="20"/>
        </w:rPr>
      </w:pPr>
      <w:r w:rsidRPr="008E6B80">
        <w:rPr>
          <w:rFonts w:cs="Arial"/>
          <w:iCs/>
          <w:color w:val="000000"/>
          <w:szCs w:val="20"/>
        </w:rPr>
        <w:t xml:space="preserve">(Graf 28) </w:t>
      </w:r>
    </w:p>
    <w:p w:rsidR="00927583" w:rsidRPr="003400ED" w:rsidRDefault="00927583" w:rsidP="00EB0290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20"/>
        </w:rPr>
      </w:pPr>
      <w:r w:rsidRPr="008E6B80">
        <w:rPr>
          <w:rFonts w:cs="Arial"/>
          <w:iCs/>
          <w:color w:val="000000"/>
          <w:szCs w:val="20"/>
        </w:rPr>
        <w:t>Zdroj:</w:t>
      </w:r>
      <w:r w:rsidRPr="003400ED">
        <w:rPr>
          <w:rFonts w:cs="Arial"/>
          <w:i/>
          <w:iCs/>
          <w:color w:val="000000"/>
          <w:szCs w:val="20"/>
        </w:rPr>
        <w:t xml:space="preserve"> </w:t>
      </w:r>
      <w:r w:rsidRPr="003400ED">
        <w:rPr>
          <w:rFonts w:cs="Arial"/>
          <w:color w:val="000000"/>
          <w:szCs w:val="20"/>
        </w:rPr>
        <w:t xml:space="preserve">Strukturální mzdová statistika (ISPV, </w:t>
      </w:r>
      <w:proofErr w:type="spellStart"/>
      <w:r w:rsidRPr="003400ED">
        <w:rPr>
          <w:rFonts w:cs="Arial"/>
          <w:color w:val="000000"/>
          <w:szCs w:val="20"/>
        </w:rPr>
        <w:t>ISPlat</w:t>
      </w:r>
      <w:proofErr w:type="spellEnd"/>
      <w:r w:rsidRPr="003400ED">
        <w:rPr>
          <w:rFonts w:cs="Arial"/>
          <w:color w:val="000000"/>
          <w:szCs w:val="20"/>
        </w:rPr>
        <w:t>)</w:t>
      </w:r>
      <w:r>
        <w:rPr>
          <w:rFonts w:cs="Arial"/>
          <w:color w:val="000000"/>
          <w:szCs w:val="20"/>
        </w:rPr>
        <w:t>, průměry za rok 2016</w:t>
      </w:r>
    </w:p>
    <w:p w:rsidR="00927583" w:rsidRPr="003400ED" w:rsidRDefault="00927583" w:rsidP="00EB0290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20"/>
        </w:rPr>
      </w:pPr>
      <w:r w:rsidRPr="003400ED">
        <w:rPr>
          <w:rFonts w:cs="Arial"/>
          <w:color w:val="000000"/>
          <w:szCs w:val="20"/>
        </w:rPr>
        <w:t xml:space="preserve">Výpočet mediánové mzdy a GPG viz komentář </w:t>
      </w:r>
      <w:r w:rsidRPr="003157E1">
        <w:rPr>
          <w:rFonts w:cs="Arial"/>
          <w:color w:val="000000"/>
          <w:szCs w:val="20"/>
        </w:rPr>
        <w:t>ke grafu 1</w:t>
      </w:r>
      <w:r>
        <w:rPr>
          <w:rFonts w:cs="Arial"/>
          <w:color w:val="000000"/>
          <w:szCs w:val="20"/>
        </w:rPr>
        <w:t>6</w:t>
      </w:r>
      <w:r w:rsidRPr="003157E1">
        <w:rPr>
          <w:rFonts w:cs="Arial"/>
          <w:color w:val="000000"/>
          <w:szCs w:val="20"/>
        </w:rPr>
        <w:t>.</w:t>
      </w:r>
    </w:p>
    <w:p w:rsidR="00927583" w:rsidRPr="009A08AD" w:rsidRDefault="00927583" w:rsidP="00927583">
      <w:pPr>
        <w:pStyle w:val="Zkladntextodsazen"/>
        <w:rPr>
          <w:szCs w:val="20"/>
        </w:rPr>
      </w:pPr>
      <w:r w:rsidRPr="009A08AD">
        <w:rPr>
          <w:szCs w:val="20"/>
        </w:rPr>
        <w:t>Do devatenácti let věku je na trhu práce více žen s maturitou než mužů a ženy častěji než muži v tomto věku pokračují ve vysokoškolském studiu a na trh práce zatím nevstupují. Hodnota GPG je v tomto věku relativně nízká, a to ani ne 12%. Ve věku 20-24 let již vidíme nárůst této hodnoty na více než 14 %. To už se na trhu práce objevují i muži s vysokoškolským (bakalářským) diplomem, kteří častěji odcházejí do soukromé sféry.</w:t>
      </w:r>
    </w:p>
    <w:p w:rsidR="00927583" w:rsidRPr="009A08AD" w:rsidRDefault="00927583" w:rsidP="00927583">
      <w:pPr>
        <w:pStyle w:val="Zkladntextodsazen"/>
        <w:rPr>
          <w:szCs w:val="20"/>
        </w:rPr>
      </w:pPr>
      <w:r w:rsidRPr="009A08AD">
        <w:rPr>
          <w:szCs w:val="20"/>
        </w:rPr>
        <w:t>Při pohledu na hodnoty GPG v jednotlivých pětiletých skupinách je na první pohled zřejmé, že</w:t>
      </w:r>
      <w:r>
        <w:rPr>
          <w:szCs w:val="20"/>
        </w:rPr>
        <w:t> </w:t>
      </w:r>
      <w:r w:rsidRPr="009A08AD">
        <w:rPr>
          <w:szCs w:val="20"/>
        </w:rPr>
        <w:t>významným faktorem hrajícím roli v odlišné úrovni žen a mužů je odchod žen na mateřskou a</w:t>
      </w:r>
      <w:r>
        <w:rPr>
          <w:szCs w:val="20"/>
        </w:rPr>
        <w:t> </w:t>
      </w:r>
      <w:r w:rsidRPr="009A08AD">
        <w:rPr>
          <w:szCs w:val="20"/>
        </w:rPr>
        <w:t>rodičovskou dovolenou. Ve věkové kategorii 25-29 let činí hodnota GPG 10,5 %. V tomto věku se</w:t>
      </w:r>
      <w:r>
        <w:rPr>
          <w:szCs w:val="20"/>
        </w:rPr>
        <w:t> </w:t>
      </w:r>
      <w:r w:rsidRPr="009A08AD">
        <w:rPr>
          <w:szCs w:val="20"/>
        </w:rPr>
        <w:t>na</w:t>
      </w:r>
      <w:r>
        <w:rPr>
          <w:szCs w:val="20"/>
        </w:rPr>
        <w:t> </w:t>
      </w:r>
      <w:r w:rsidRPr="009A08AD">
        <w:rPr>
          <w:szCs w:val="20"/>
        </w:rPr>
        <w:t>trhu práce uplatňují absolventky vysokých škol, které budují svou kariéru. Hodnota GPG pak ale</w:t>
      </w:r>
      <w:r>
        <w:rPr>
          <w:szCs w:val="20"/>
        </w:rPr>
        <w:t> </w:t>
      </w:r>
      <w:r w:rsidRPr="009A08AD">
        <w:rPr>
          <w:szCs w:val="20"/>
        </w:rPr>
        <w:t xml:space="preserve">strmě stoupá až k hodnotě 22,5 % ve věkové kategorii 35-39 let. I když po 44. roce života GPG pozvolna klesá, ženy již muže, kteří zatím bez přerušení budovali svou kariéru, nedoženou. V podstatě nulová hodnota GPG ve věku 60-64 let je způsobena odlivem </w:t>
      </w:r>
      <w:proofErr w:type="spellStart"/>
      <w:r w:rsidRPr="009A08AD">
        <w:rPr>
          <w:szCs w:val="20"/>
        </w:rPr>
        <w:t>nízkopříjmových</w:t>
      </w:r>
      <w:proofErr w:type="spellEnd"/>
      <w:r w:rsidRPr="009A08AD">
        <w:rPr>
          <w:szCs w:val="20"/>
        </w:rPr>
        <w:t xml:space="preserve"> osob do důchodu s tím, že v zaměstnání zůstávají spíše lidé vysoce vzdělaní a kvalifikovaní</w:t>
      </w:r>
      <w:r>
        <w:rPr>
          <w:szCs w:val="20"/>
        </w:rPr>
        <w:t>. Strmý nárůst GPG ve věku 65 a </w:t>
      </w:r>
      <w:r w:rsidRPr="009A08AD">
        <w:rPr>
          <w:szCs w:val="20"/>
        </w:rPr>
        <w:t>více let je potom dán rozdílnou strukturou žen a mužů, kteří jsou v tomto věku ještě ekonomicky aktivní (ženy v tomto věku častěji berou ze</w:t>
      </w:r>
      <w:r w:rsidR="00712DC4">
        <w:rPr>
          <w:szCs w:val="20"/>
        </w:rPr>
        <w:t> </w:t>
      </w:r>
      <w:r w:rsidRPr="009A08AD">
        <w:rPr>
          <w:szCs w:val="20"/>
        </w:rPr>
        <w:t xml:space="preserve">svého pohledu podřadnější a hůře placená zaměstnání). </w:t>
      </w:r>
    </w:p>
    <w:p w:rsidR="00927583" w:rsidRDefault="00927583" w:rsidP="00927583">
      <w:pPr>
        <w:pStyle w:val="Zkladntextodsazen"/>
        <w:rPr>
          <w:szCs w:val="20"/>
        </w:rPr>
      </w:pPr>
    </w:p>
    <w:p w:rsidR="00927583" w:rsidRPr="003400ED" w:rsidRDefault="00927583" w:rsidP="00927583">
      <w:pPr>
        <w:pStyle w:val="Zkladntextodsazen"/>
        <w:rPr>
          <w:szCs w:val="20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szCs w:val="16"/>
        </w:rPr>
      </w:pPr>
      <w:r>
        <w:rPr>
          <w:rFonts w:cs="Arial"/>
          <w:noProof/>
          <w:szCs w:val="20"/>
        </w:rPr>
        <w:drawing>
          <wp:inline distT="0" distB="0" distL="0" distR="0">
            <wp:extent cx="5499735" cy="4375785"/>
            <wp:effectExtent l="19050" t="0" r="5715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43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EB0290">
      <w:pPr>
        <w:autoSpaceDE w:val="0"/>
        <w:autoSpaceDN w:val="0"/>
        <w:adjustRightInd w:val="0"/>
        <w:rPr>
          <w:rFonts w:cs="Arial"/>
          <w:b/>
          <w:bCs/>
          <w:color w:val="00A9EC"/>
          <w:szCs w:val="20"/>
        </w:rPr>
      </w:pPr>
    </w:p>
    <w:p w:rsidR="00927583" w:rsidRPr="003400ED" w:rsidRDefault="00927583" w:rsidP="00927583">
      <w:pPr>
        <w:autoSpaceDE w:val="0"/>
        <w:autoSpaceDN w:val="0"/>
        <w:adjustRightInd w:val="0"/>
        <w:ind w:firstLine="567"/>
        <w:rPr>
          <w:rFonts w:cs="Arial"/>
          <w:b/>
          <w:bCs/>
          <w:color w:val="00A9EC"/>
          <w:szCs w:val="20"/>
        </w:rPr>
      </w:pPr>
      <w:r>
        <w:rPr>
          <w:rFonts w:cs="Arial"/>
          <w:b/>
          <w:bCs/>
          <w:color w:val="00A9EC"/>
          <w:szCs w:val="20"/>
        </w:rPr>
        <w:t>Rozdíly v odměňování na ministerstvech vyjádřené v GPG v roce 2016</w:t>
      </w:r>
    </w:p>
    <w:p w:rsidR="00927583" w:rsidRPr="00EB0290" w:rsidRDefault="00927583" w:rsidP="00EB0290">
      <w:pPr>
        <w:autoSpaceDE w:val="0"/>
        <w:autoSpaceDN w:val="0"/>
        <w:adjustRightInd w:val="0"/>
        <w:ind w:firstLine="567"/>
        <w:rPr>
          <w:rFonts w:cs="Arial"/>
          <w:iCs/>
          <w:color w:val="000000"/>
          <w:szCs w:val="20"/>
        </w:rPr>
      </w:pPr>
      <w:r w:rsidRPr="008E6B80">
        <w:rPr>
          <w:rFonts w:cs="Arial"/>
          <w:iCs/>
          <w:color w:val="000000"/>
          <w:szCs w:val="20"/>
        </w:rPr>
        <w:t xml:space="preserve">(Tabulka 2) </w:t>
      </w:r>
    </w:p>
    <w:p w:rsidR="00927583" w:rsidRDefault="00927583" w:rsidP="00EB0290">
      <w:pPr>
        <w:autoSpaceDE w:val="0"/>
        <w:autoSpaceDN w:val="0"/>
        <w:adjustRightInd w:val="0"/>
        <w:ind w:firstLine="567"/>
        <w:rPr>
          <w:rFonts w:cs="Arial"/>
          <w:color w:val="000000"/>
          <w:szCs w:val="20"/>
        </w:rPr>
      </w:pPr>
      <w:r w:rsidRPr="004411CD">
        <w:rPr>
          <w:rFonts w:cs="Arial"/>
          <w:iCs/>
          <w:color w:val="000000"/>
          <w:szCs w:val="20"/>
        </w:rPr>
        <w:t>Zdroj:</w:t>
      </w:r>
      <w:r w:rsidRPr="003400ED">
        <w:rPr>
          <w:rFonts w:cs="Arial"/>
          <w:i/>
          <w:iCs/>
          <w:color w:val="000000"/>
          <w:szCs w:val="20"/>
        </w:rPr>
        <w:t xml:space="preserve"> </w:t>
      </w:r>
      <w:r w:rsidRPr="002937CC">
        <w:rPr>
          <w:rFonts w:cs="Arial"/>
          <w:color w:val="000000"/>
          <w:szCs w:val="20"/>
        </w:rPr>
        <w:t>ISPSP</w:t>
      </w:r>
      <w:r>
        <w:rPr>
          <w:rFonts w:cs="Arial"/>
          <w:color w:val="000000"/>
          <w:szCs w:val="20"/>
        </w:rPr>
        <w:t xml:space="preserve"> (za rok 2016)</w:t>
      </w:r>
    </w:p>
    <w:p w:rsidR="00927583" w:rsidRPr="003400ED" w:rsidRDefault="00927583" w:rsidP="00EB0290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Zahrnuty jsou též rezortní instituce. Na podrobnější výstupy chybí v dostupné databázi relevantní členění podle stupně řízení, jež by odpovídalo realitě. </w:t>
      </w: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Do rozdílů v odměňování na jednotlivých resortech více promlouvá segregace na trhu práce, než diskriminace. </w:t>
      </w:r>
      <w:proofErr w:type="spellStart"/>
      <w:r>
        <w:rPr>
          <w:rFonts w:cs="Arial"/>
          <w:szCs w:val="20"/>
        </w:rPr>
        <w:t>Gender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Pay</w:t>
      </w:r>
      <w:proofErr w:type="spellEnd"/>
      <w:r>
        <w:rPr>
          <w:rFonts w:cs="Arial"/>
          <w:szCs w:val="20"/>
        </w:rPr>
        <w:t xml:space="preserve"> Gap v sobě zahrnuje obě tyto informace, aniž jsme je schopni od sebe oddělit.</w:t>
      </w:r>
      <w:r w:rsidRPr="00345346"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>Vždy</w:t>
      </w:r>
      <w:proofErr w:type="gramEnd"/>
      <w:r>
        <w:rPr>
          <w:rFonts w:cs="Arial"/>
          <w:szCs w:val="20"/>
        </w:rPr>
        <w:t xml:space="preserve"> je třeba přihlížet k tomu, jakou práci která osoba vykonává, s </w:t>
      </w:r>
      <w:proofErr w:type="gramStart"/>
      <w:r>
        <w:rPr>
          <w:rFonts w:cs="Arial"/>
          <w:szCs w:val="20"/>
        </w:rPr>
        <w:t>jakým</w:t>
      </w:r>
      <w:proofErr w:type="gramEnd"/>
      <w:r>
        <w:rPr>
          <w:rFonts w:cs="Arial"/>
          <w:szCs w:val="20"/>
        </w:rPr>
        <w:t xml:space="preserve"> vzděláním a s jakou kvalifikací.  </w:t>
      </w: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Mezi rezorty s nejvyšší hodnotou GPG k 31. 12. 2016 patřila ministerstva zemědělství, práce a sociálních věcí, dopravy, zdravotnictví, průmyslu a obchodu a vnitra. Nejnižší hodnotu GPG vykazovala ministerstva školství, mládeže a tělovýchovy a obrany. </w:t>
      </w:r>
    </w:p>
    <w:p w:rsidR="00927583" w:rsidRPr="008D0043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  <w:szCs w:val="20"/>
        </w:rPr>
      </w:pPr>
      <w:r w:rsidRPr="008D0043">
        <w:rPr>
          <w:rFonts w:cs="Arial"/>
          <w:szCs w:val="20"/>
        </w:rPr>
        <w:t xml:space="preserve"> </w:t>
      </w:r>
    </w:p>
    <w:p w:rsidR="00927583" w:rsidRDefault="00927583" w:rsidP="00EB0290">
      <w:pPr>
        <w:autoSpaceDE w:val="0"/>
        <w:autoSpaceDN w:val="0"/>
        <w:adjustRightInd w:val="0"/>
        <w:rPr>
          <w:rFonts w:cs="Arial"/>
          <w:iCs/>
          <w:color w:val="000000"/>
          <w:szCs w:val="16"/>
        </w:rPr>
      </w:pPr>
    </w:p>
    <w:p w:rsidR="00927583" w:rsidRDefault="003127CC" w:rsidP="00927583">
      <w:pPr>
        <w:autoSpaceDE w:val="0"/>
        <w:autoSpaceDN w:val="0"/>
        <w:adjustRightInd w:val="0"/>
        <w:ind w:firstLine="567"/>
        <w:rPr>
          <w:rFonts w:cs="Arial"/>
          <w:iCs/>
          <w:color w:val="000000"/>
          <w:szCs w:val="16"/>
        </w:rPr>
      </w:pPr>
      <w:r w:rsidRPr="003127CC">
        <w:rPr>
          <w:szCs w:val="16"/>
        </w:rPr>
        <w:drawing>
          <wp:inline distT="0" distB="0" distL="0" distR="0">
            <wp:extent cx="4558665" cy="325247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autoSpaceDE w:val="0"/>
        <w:autoSpaceDN w:val="0"/>
        <w:adjustRightInd w:val="0"/>
        <w:ind w:firstLine="567"/>
        <w:rPr>
          <w:rFonts w:cs="Arial"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rPr>
          <w:rFonts w:cs="Arial"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rPr>
          <w:rFonts w:cs="Arial"/>
          <w:iCs/>
          <w:color w:val="000000"/>
          <w:szCs w:val="16"/>
        </w:rPr>
      </w:pPr>
    </w:p>
    <w:p w:rsidR="00927583" w:rsidRDefault="00927583" w:rsidP="00EB0290">
      <w:pPr>
        <w:autoSpaceDE w:val="0"/>
        <w:autoSpaceDN w:val="0"/>
        <w:adjustRightInd w:val="0"/>
        <w:rPr>
          <w:rFonts w:cs="Arial"/>
          <w:iCs/>
          <w:color w:val="000000"/>
          <w:szCs w:val="16"/>
        </w:rPr>
      </w:pPr>
    </w:p>
    <w:p w:rsidR="003E2570" w:rsidRPr="003E2570" w:rsidRDefault="003E2570" w:rsidP="003E2570"/>
    <w:sectPr w:rsidR="003E2570" w:rsidRPr="003E2570" w:rsidSect="006F5416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8D" w:rsidRDefault="00E96C8D" w:rsidP="00E71A58">
      <w:r>
        <w:separator/>
      </w:r>
    </w:p>
  </w:endnote>
  <w:endnote w:type="continuationSeparator" w:id="0">
    <w:p w:rsidR="00E96C8D" w:rsidRDefault="00E96C8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932443" w:rsidRDefault="00131A7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2FF7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CC2FF7" w:rsidRPr="00932443">
      <w:rPr>
        <w:szCs w:val="16"/>
      </w:rPr>
      <w:fldChar w:fldCharType="separate"/>
    </w:r>
    <w:r w:rsidR="003127CC">
      <w:rPr>
        <w:szCs w:val="16"/>
      </w:rPr>
      <w:t>12</w:t>
    </w:r>
    <w:r w:rsidR="00CC2FF7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932443" w:rsidRDefault="00131A7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CC2FF7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CC2FF7" w:rsidRPr="00932443">
      <w:rPr>
        <w:rStyle w:val="ZpatChar"/>
        <w:szCs w:val="16"/>
      </w:rPr>
      <w:fldChar w:fldCharType="separate"/>
    </w:r>
    <w:r w:rsidR="003127CC">
      <w:rPr>
        <w:rStyle w:val="ZpatChar"/>
        <w:szCs w:val="16"/>
      </w:rPr>
      <w:t>11</w:t>
    </w:r>
    <w:r w:rsidR="00CC2FF7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8D" w:rsidRDefault="00E96C8D" w:rsidP="00E71A58">
      <w:r>
        <w:separator/>
      </w:r>
    </w:p>
  </w:footnote>
  <w:footnote w:type="continuationSeparator" w:id="0">
    <w:p w:rsidR="00E96C8D" w:rsidRDefault="00E96C8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6F5416" w:rsidRDefault="00131A76" w:rsidP="00937AE2">
    <w:pPr>
      <w:pStyle w:val="Zhlav"/>
    </w:pPr>
    <w:r>
      <w:t>Ženy a muži v</w:t>
    </w:r>
    <w:r w:rsidR="00712DC4">
      <w:t> </w:t>
    </w:r>
    <w:r>
      <w:t>datech</w:t>
    </w:r>
    <w:r w:rsidR="00712DC4">
      <w:t xml:space="preserve"> – 4. Práce a mzdy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6F5416" w:rsidRDefault="00131A76" w:rsidP="00937AE2">
    <w:pPr>
      <w:pStyle w:val="Zhlav"/>
    </w:pPr>
    <w:r>
      <w:t>Ženy a muži v</w:t>
    </w:r>
    <w:r w:rsidR="00712DC4">
      <w:t> </w:t>
    </w:r>
    <w:r>
      <w:t>datech</w:t>
    </w:r>
    <w:r w:rsidR="00712DC4">
      <w:t xml:space="preserve"> – 4. Práce a mzdy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93446"/>
    <w:multiLevelType w:val="hybridMultilevel"/>
    <w:tmpl w:val="0828592C"/>
    <w:lvl w:ilvl="0" w:tplc="8C18EE20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1A76"/>
    <w:rsid w:val="0000209D"/>
    <w:rsid w:val="00004597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4206"/>
    <w:rsid w:val="000D5637"/>
    <w:rsid w:val="000E6FBD"/>
    <w:rsid w:val="00100F5C"/>
    <w:rsid w:val="00104C4C"/>
    <w:rsid w:val="0012192F"/>
    <w:rsid w:val="00125D69"/>
    <w:rsid w:val="00131A76"/>
    <w:rsid w:val="001405FA"/>
    <w:rsid w:val="001425C3"/>
    <w:rsid w:val="0016256B"/>
    <w:rsid w:val="00163793"/>
    <w:rsid w:val="001706D6"/>
    <w:rsid w:val="001714F2"/>
    <w:rsid w:val="00177B30"/>
    <w:rsid w:val="00184B08"/>
    <w:rsid w:val="00185010"/>
    <w:rsid w:val="001A552F"/>
    <w:rsid w:val="001B2CA9"/>
    <w:rsid w:val="001B3110"/>
    <w:rsid w:val="001B4729"/>
    <w:rsid w:val="001B6C09"/>
    <w:rsid w:val="001C05CD"/>
    <w:rsid w:val="001D5071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127CC"/>
    <w:rsid w:val="003209D6"/>
    <w:rsid w:val="00321924"/>
    <w:rsid w:val="0032656E"/>
    <w:rsid w:val="00332190"/>
    <w:rsid w:val="00344668"/>
    <w:rsid w:val="003462D9"/>
    <w:rsid w:val="00360C86"/>
    <w:rsid w:val="003657F3"/>
    <w:rsid w:val="0036760B"/>
    <w:rsid w:val="003818DC"/>
    <w:rsid w:val="00384327"/>
    <w:rsid w:val="00385D98"/>
    <w:rsid w:val="003A2B4D"/>
    <w:rsid w:val="003A478C"/>
    <w:rsid w:val="003A5525"/>
    <w:rsid w:val="003A6B38"/>
    <w:rsid w:val="003B5A32"/>
    <w:rsid w:val="003C3490"/>
    <w:rsid w:val="003D6920"/>
    <w:rsid w:val="003E2570"/>
    <w:rsid w:val="003E4C91"/>
    <w:rsid w:val="003E4E2D"/>
    <w:rsid w:val="003F313C"/>
    <w:rsid w:val="003F551C"/>
    <w:rsid w:val="003F7D23"/>
    <w:rsid w:val="00407C13"/>
    <w:rsid w:val="00410638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85AED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5042AE"/>
    <w:rsid w:val="005108C0"/>
    <w:rsid w:val="00511873"/>
    <w:rsid w:val="00512A2F"/>
    <w:rsid w:val="00513B7E"/>
    <w:rsid w:val="00515C74"/>
    <w:rsid w:val="0052007E"/>
    <w:rsid w:val="0052337A"/>
    <w:rsid w:val="005241CD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353B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706589"/>
    <w:rsid w:val="00706AD4"/>
    <w:rsid w:val="00712DC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A3E8D"/>
    <w:rsid w:val="007B6689"/>
    <w:rsid w:val="007C7F51"/>
    <w:rsid w:val="007D40DF"/>
    <w:rsid w:val="007E7E61"/>
    <w:rsid w:val="007F0845"/>
    <w:rsid w:val="00805DA4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27583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52BF"/>
    <w:rsid w:val="00AA559A"/>
    <w:rsid w:val="00AB2AF1"/>
    <w:rsid w:val="00AD306C"/>
    <w:rsid w:val="00AE09B3"/>
    <w:rsid w:val="00AE1A83"/>
    <w:rsid w:val="00AF6600"/>
    <w:rsid w:val="00B00913"/>
    <w:rsid w:val="00B00F6A"/>
    <w:rsid w:val="00B01593"/>
    <w:rsid w:val="00B10A4D"/>
    <w:rsid w:val="00B1438F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90D"/>
    <w:rsid w:val="00BF1578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94A15"/>
    <w:rsid w:val="00C97F22"/>
    <w:rsid w:val="00CB4930"/>
    <w:rsid w:val="00CC2E7D"/>
    <w:rsid w:val="00CC2FF7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82530"/>
    <w:rsid w:val="00DA7C0C"/>
    <w:rsid w:val="00DB2EC8"/>
    <w:rsid w:val="00DC5B3B"/>
    <w:rsid w:val="00DD129F"/>
    <w:rsid w:val="00DF42FF"/>
    <w:rsid w:val="00E01C0E"/>
    <w:rsid w:val="00E03F9A"/>
    <w:rsid w:val="00E04694"/>
    <w:rsid w:val="00E12B1E"/>
    <w:rsid w:val="00E17262"/>
    <w:rsid w:val="00E253A2"/>
    <w:rsid w:val="00E3309D"/>
    <w:rsid w:val="00E47C01"/>
    <w:rsid w:val="00E50156"/>
    <w:rsid w:val="00E53470"/>
    <w:rsid w:val="00E539F6"/>
    <w:rsid w:val="00E6519D"/>
    <w:rsid w:val="00E67696"/>
    <w:rsid w:val="00E710BB"/>
    <w:rsid w:val="00E71A58"/>
    <w:rsid w:val="00E72A7A"/>
    <w:rsid w:val="00E75C94"/>
    <w:rsid w:val="00E93820"/>
    <w:rsid w:val="00E96C8D"/>
    <w:rsid w:val="00EA0C68"/>
    <w:rsid w:val="00EB0290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3A0C"/>
    <w:rsid w:val="00F756DB"/>
    <w:rsid w:val="00F85066"/>
    <w:rsid w:val="00FA0711"/>
    <w:rsid w:val="00FA5D4D"/>
    <w:rsid w:val="00FB0EE2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00F5C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71BC"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A14114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71B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77D1D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71B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77D1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D1B21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00F5C"/>
    <w:rPr>
      <w:rFonts w:ascii="Arial" w:eastAsia="MS Gothic" w:hAnsi="Arial"/>
      <w:b/>
      <w:bCs/>
      <w:color w:val="0071BC"/>
      <w:sz w:val="32"/>
      <w:szCs w:val="28"/>
    </w:rPr>
  </w:style>
  <w:style w:type="character" w:customStyle="1" w:styleId="Nadpis2Char">
    <w:name w:val="Nadpis 2 Char"/>
    <w:link w:val="Nadpis2"/>
    <w:uiPriority w:val="9"/>
    <w:rsid w:val="00A14114"/>
    <w:rPr>
      <w:rFonts w:ascii="Arial" w:eastAsia="MS Gothic" w:hAnsi="Arial"/>
      <w:b/>
      <w:bCs/>
      <w:color w:val="0071BC"/>
      <w:sz w:val="28"/>
      <w:szCs w:val="26"/>
    </w:rPr>
  </w:style>
  <w:style w:type="character" w:customStyle="1" w:styleId="Nadpis3Char">
    <w:name w:val="Nadpis 3 Char"/>
    <w:link w:val="Nadpis3"/>
    <w:uiPriority w:val="9"/>
    <w:rsid w:val="00A77D1D"/>
    <w:rPr>
      <w:rFonts w:ascii="Arial" w:eastAsia="MS Gothic" w:hAnsi="Arial" w:cs="Times New Roman"/>
      <w:b/>
      <w:bCs/>
      <w:color w:val="0071BC"/>
      <w:sz w:val="24"/>
      <w:szCs w:val="24"/>
    </w:rPr>
  </w:style>
  <w:style w:type="character" w:customStyle="1" w:styleId="Nadpis4Char">
    <w:name w:val="Nadpis 4 Char"/>
    <w:link w:val="Nadpis4"/>
    <w:uiPriority w:val="9"/>
    <w:rsid w:val="00A77D1D"/>
    <w:rPr>
      <w:rFonts w:ascii="Arial" w:eastAsia="MS Gothic" w:hAnsi="Arial" w:cs="Times New Roman"/>
      <w:b/>
      <w:bCs/>
      <w:iCs/>
      <w:color w:val="BD1B21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755202"/>
    <w:pPr>
      <w:spacing w:after="80" w:line="288" w:lineRule="auto"/>
    </w:pPr>
    <w:rPr>
      <w:rFonts w:ascii="Arial" w:eastAsia="Times New Roman" w:hAnsi="Arial"/>
      <w:b/>
      <w:color w:val="0071B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4114"/>
    <w:pPr>
      <w:shd w:val="clear" w:color="auto" w:fill="D9EAF5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A14114"/>
    <w:pPr>
      <w:spacing w:before="240" w:after="240" w:line="288" w:lineRule="auto"/>
      <w:ind w:left="709"/>
      <w:contextualSpacing/>
    </w:pPr>
    <w:rPr>
      <w:rFonts w:ascii="Arial" w:hAnsi="Arial" w:cs="Arial"/>
      <w:color w:val="0071B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odsazen">
    <w:name w:val="Body Text Indent"/>
    <w:basedOn w:val="Normln"/>
    <w:link w:val="ZkladntextodsazenChar"/>
    <w:semiHidden/>
    <w:rsid w:val="0092758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cs="Arial"/>
      <w:color w:val="000000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7583"/>
    <w:rPr>
      <w:rFonts w:ascii="Arial" w:eastAsia="Times New Roman" w:hAnsi="Arial" w:cs="Arial"/>
      <w:color w:val="000000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27583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27583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2758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27583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Normln0">
    <w:name w:val="Normln"/>
    <w:rsid w:val="00927583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  <w:lang w:eastAsia="cs-CZ"/>
    </w:rPr>
  </w:style>
  <w:style w:type="paragraph" w:styleId="Normlnweb">
    <w:name w:val="Normal (Web)"/>
    <w:basedOn w:val="Normln"/>
    <w:semiHidden/>
    <w:rsid w:val="0092758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927583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7583"/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E257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E2570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Nzevstat">
    <w:name w:val="Názevstatě"/>
    <w:basedOn w:val="Normln"/>
    <w:rsid w:val="003E2570"/>
    <w:pPr>
      <w:spacing w:before="180" w:after="0"/>
      <w:jc w:val="center"/>
    </w:pPr>
    <w:rPr>
      <w:rFonts w:ascii="Times New Roman" w:hAnsi="Times New Roman"/>
      <w:sz w:val="28"/>
      <w:szCs w:val="20"/>
    </w:rPr>
  </w:style>
  <w:style w:type="paragraph" w:styleId="Bezmezer">
    <w:name w:val="No Spacing"/>
    <w:uiPriority w:val="1"/>
    <w:qFormat/>
    <w:rsid w:val="003E2570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ANK~1\AppData\Local\Temp\Publikace%20bar%20CZ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C61D-02A8-46E7-B7B7-EAE0BA2A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CZ_2017-08-14.dotx</Template>
  <TotalTime>8</TotalTime>
  <Pages>12</Pages>
  <Words>2276</Words>
  <Characters>13430</Characters>
  <Application>Microsoft Office Word</Application>
  <DocSecurity>0</DocSecurity>
  <Lines>111</Lines>
  <Paragraphs>31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15675</CharactersWithSpaces>
  <SharedDoc>false</SharedDoc>
  <HyperlinkBase/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Marek Řezanka</cp:lastModifiedBy>
  <cp:revision>4</cp:revision>
  <cp:lastPrinted>2018-01-03T13:26:00Z</cp:lastPrinted>
  <dcterms:created xsi:type="dcterms:W3CDTF">2017-12-05T09:59:00Z</dcterms:created>
  <dcterms:modified xsi:type="dcterms:W3CDTF">2018-01-03T13:27:00Z</dcterms:modified>
</cp:coreProperties>
</file>