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C97F22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</w:p>
    <w:p w:rsidR="00927583" w:rsidRPr="0089190D" w:rsidRDefault="00927583" w:rsidP="00927583">
      <w:pPr>
        <w:pStyle w:val="Nadpis1"/>
        <w:ind w:firstLine="567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Absolventi středních, vyšších a vysokých škol podle pohlaví</w:t>
      </w:r>
    </w:p>
    <w:p w:rsidR="00927583" w:rsidRPr="003E2570" w:rsidRDefault="00927583" w:rsidP="003E2570">
      <w:pPr>
        <w:pStyle w:val="Zkladntextodsazen"/>
        <w:spacing w:line="288" w:lineRule="auto"/>
        <w:rPr>
          <w:szCs w:val="20"/>
        </w:rPr>
      </w:pPr>
      <w:r w:rsidRPr="0089190D">
        <w:rPr>
          <w:szCs w:val="20"/>
        </w:rPr>
        <w:t xml:space="preserve">(Graf </w:t>
      </w:r>
      <w:r w:rsidRPr="00060491">
        <w:rPr>
          <w:szCs w:val="20"/>
        </w:rPr>
        <w:t>1</w:t>
      </w:r>
      <w:r>
        <w:rPr>
          <w:szCs w:val="20"/>
        </w:rPr>
        <w:t>5</w:t>
      </w:r>
      <w:r w:rsidRPr="00060491">
        <w:rPr>
          <w:szCs w:val="20"/>
        </w:rPr>
        <w:t>)</w:t>
      </w:r>
    </w:p>
    <w:p w:rsidR="00927583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CC4727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MŠMT ČR</w:t>
      </w:r>
    </w:p>
    <w:p w:rsidR="00927583" w:rsidRPr="00CC4727" w:rsidRDefault="00927583" w:rsidP="00927583">
      <w:pPr>
        <w:jc w:val="both"/>
        <w:rPr>
          <w:rFonts w:cs="Arial"/>
          <w:szCs w:val="20"/>
        </w:rPr>
      </w:pPr>
      <w:r w:rsidRPr="00CC4727">
        <w:rPr>
          <w:rFonts w:cs="Arial"/>
          <w:szCs w:val="20"/>
        </w:rPr>
        <w:t>U studentů středních škol bez maturity, odborných škol s maturitou a vyšších odborných škol se jedná o počty nových přijetí a absolvování, nikoli údaje o fyzických osobách. Data za absolventy jsou zde za</w:t>
      </w:r>
      <w:r>
        <w:rPr>
          <w:rFonts w:cs="Arial"/>
          <w:szCs w:val="20"/>
        </w:rPr>
        <w:t> </w:t>
      </w:r>
      <w:r w:rsidRPr="00CC4727">
        <w:rPr>
          <w:rFonts w:cs="Arial"/>
          <w:szCs w:val="20"/>
        </w:rPr>
        <w:t>období 2015/16. Studenti vysokých škol jsou vyjádřeni ve fyzických osobách. Údaje jsou za rok 2016.</w:t>
      </w:r>
    </w:p>
    <w:p w:rsidR="00927583" w:rsidRPr="00CC4727" w:rsidRDefault="00927583" w:rsidP="00927583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>Absolventy středních škol s maturitou, vyšších odborných i vysokých škol jsou častěji ženy. V roce 2016 absolvovalo vysokou školu 77 328 studentů, z toho podíl žen tvořil 59,4 %. Veřejnou vysokou školu potom ve stejném roce absolvovalo 67 363 studentů. Podíl žen zde byl v podstatě stejný jako v případě celkového počtu absolventů všech vysokých škol, 60%.</w:t>
      </w:r>
    </w:p>
    <w:p w:rsidR="00927583" w:rsidRPr="00CC4727" w:rsidRDefault="00927583" w:rsidP="00927583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>Pouze v případě středních škol bez maturity převládají mezi absolventy muži.</w:t>
      </w:r>
    </w:p>
    <w:p w:rsidR="00927583" w:rsidRDefault="00927583" w:rsidP="00927583">
      <w:pPr>
        <w:pStyle w:val="Zkladntextodsazen2"/>
        <w:rPr>
          <w:i/>
          <w:iCs/>
        </w:rPr>
      </w:pPr>
      <w:r>
        <w:rPr>
          <w:i/>
          <w:iCs/>
        </w:rPr>
        <w:t xml:space="preserve">         </w:t>
      </w:r>
    </w:p>
    <w:p w:rsidR="00927583" w:rsidRDefault="00927583" w:rsidP="00927583">
      <w:pPr>
        <w:pStyle w:val="Zkladntextodsazen"/>
      </w:pPr>
    </w:p>
    <w:p w:rsidR="00927583" w:rsidRDefault="00927583" w:rsidP="00927583">
      <w:pPr>
        <w:pStyle w:val="Zkladntextodsazen"/>
      </w:pPr>
    </w:p>
    <w:p w:rsidR="00927583" w:rsidRDefault="00927583" w:rsidP="00927583">
      <w:pPr>
        <w:pStyle w:val="Zkladntextodsazen"/>
        <w:jc w:val="center"/>
      </w:pPr>
      <w:r>
        <w:rPr>
          <w:noProof/>
        </w:rPr>
        <w:drawing>
          <wp:inline distT="0" distB="0" distL="0" distR="0">
            <wp:extent cx="4780915" cy="3069590"/>
            <wp:effectExtent l="1905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3E2570" w:rsidRDefault="003E2570" w:rsidP="00927583">
      <w:pPr>
        <w:rPr>
          <w:rFonts w:cs="Arial"/>
          <w:szCs w:val="20"/>
        </w:rPr>
      </w:pPr>
    </w:p>
    <w:p w:rsidR="003E2570" w:rsidRDefault="003E2570" w:rsidP="00927583">
      <w:pPr>
        <w:rPr>
          <w:rFonts w:cs="Arial"/>
          <w:szCs w:val="20"/>
        </w:rPr>
      </w:pPr>
    </w:p>
    <w:p w:rsidR="00927583" w:rsidRDefault="00927583" w:rsidP="00C97F22">
      <w:pPr>
        <w:pStyle w:val="Nadpis1"/>
        <w:jc w:val="both"/>
        <w:rPr>
          <w:rFonts w:cs="Arial"/>
          <w:color w:val="00B0F0"/>
          <w:sz w:val="20"/>
          <w:szCs w:val="20"/>
        </w:rPr>
      </w:pPr>
    </w:p>
    <w:p w:rsidR="00927583" w:rsidRPr="0089190D" w:rsidRDefault="00927583" w:rsidP="00927583">
      <w:pPr>
        <w:pStyle w:val="Nadpis1"/>
        <w:ind w:firstLine="567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Absolventi vybraných veřejných vysokých škol podle pohlaví v roce 2016</w:t>
      </w:r>
    </w:p>
    <w:p w:rsidR="00927583" w:rsidRDefault="00927583" w:rsidP="00C97F22">
      <w:pPr>
        <w:pStyle w:val="Zkladntextodsazen"/>
        <w:spacing w:line="288" w:lineRule="auto"/>
        <w:rPr>
          <w:szCs w:val="20"/>
        </w:rPr>
      </w:pPr>
      <w:r w:rsidRPr="0089190D">
        <w:rPr>
          <w:szCs w:val="20"/>
        </w:rPr>
        <w:t xml:space="preserve">(Graf </w:t>
      </w:r>
      <w:r w:rsidRPr="00060491">
        <w:rPr>
          <w:szCs w:val="20"/>
        </w:rPr>
        <w:t>1</w:t>
      </w:r>
      <w:r>
        <w:rPr>
          <w:szCs w:val="20"/>
        </w:rPr>
        <w:t>6</w:t>
      </w:r>
      <w:r w:rsidRPr="00060491">
        <w:rPr>
          <w:szCs w:val="20"/>
        </w:rPr>
        <w:t>)</w:t>
      </w:r>
    </w:p>
    <w:p w:rsidR="00C97F22" w:rsidRPr="00C97F22" w:rsidRDefault="00C97F22" w:rsidP="00C97F22">
      <w:pPr>
        <w:pStyle w:val="Zkladntextodsazen"/>
        <w:spacing w:line="288" w:lineRule="auto"/>
        <w:rPr>
          <w:szCs w:val="20"/>
        </w:rPr>
      </w:pPr>
    </w:p>
    <w:p w:rsidR="00927583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CC4727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MŠMT ČR</w:t>
      </w:r>
    </w:p>
    <w:p w:rsidR="00927583" w:rsidRPr="00CC4727" w:rsidRDefault="00927583" w:rsidP="00927583">
      <w:pPr>
        <w:jc w:val="both"/>
        <w:rPr>
          <w:rFonts w:cs="Arial"/>
          <w:szCs w:val="20"/>
        </w:rPr>
      </w:pPr>
      <w:r w:rsidRPr="00CC4727">
        <w:rPr>
          <w:rFonts w:cs="Arial"/>
          <w:szCs w:val="20"/>
        </w:rPr>
        <w:t xml:space="preserve">V roce 2016 absolvovalo veřejné vysoké školy 67 363 osob, z toho 40 027 žen. Nejvíce absolventů ukončilo své vysokoškolské studium na Univerzitě Karlově v Praze (8 387 absolventů, z toho 65,4 % žen) a na Masarykově univerzitě (7 824 absolventů, z toho 65,8 % žen). Jak vidíme, na těchto školách převažují mezi absolventy ženy, a to vcelku výrazně. Podobně je na tom též například Česká zemědělská univerzita v Praze (5 085 absolventů, kde podíl žen tvoří 62,6 %). </w:t>
      </w:r>
    </w:p>
    <w:p w:rsidR="00927583" w:rsidRPr="00CC4727" w:rsidRDefault="00927583" w:rsidP="00927583">
      <w:pPr>
        <w:jc w:val="both"/>
        <w:rPr>
          <w:rFonts w:cs="Arial"/>
          <w:szCs w:val="20"/>
        </w:rPr>
      </w:pPr>
      <w:r w:rsidRPr="00CC4727">
        <w:rPr>
          <w:rFonts w:cs="Arial"/>
          <w:szCs w:val="20"/>
        </w:rPr>
        <w:t xml:space="preserve">Technicky zaměřené vysoké školy oproti tomu přitahují spíše muže, což se projevuje i ve struktuře absolventů těchto škol. Jedná se například o Vysoké učení v Brně, České vysoké učení technické v Praze či Vysokou báňskou – Technickou univerzitu v Ostravě.  </w:t>
      </w:r>
    </w:p>
    <w:p w:rsidR="00927583" w:rsidRPr="00CC4727" w:rsidRDefault="00927583" w:rsidP="00927583">
      <w:pPr>
        <w:jc w:val="both"/>
        <w:rPr>
          <w:rFonts w:cs="Arial"/>
          <w:i/>
          <w:szCs w:val="20"/>
        </w:rPr>
      </w:pPr>
      <w:r w:rsidRPr="00CC4727">
        <w:rPr>
          <w:rFonts w:cs="Arial"/>
          <w:szCs w:val="20"/>
        </w:rPr>
        <w:t>Absolventky Vysokého technického učení v Brně představovaly pouze necelých 30 % všech absolventů této vysoké školy</w:t>
      </w:r>
      <w:r w:rsidRPr="00CC4727">
        <w:rPr>
          <w:rFonts w:cs="Arial"/>
          <w:i/>
          <w:szCs w:val="20"/>
        </w:rPr>
        <w:t xml:space="preserve">.  </w:t>
      </w:r>
    </w:p>
    <w:p w:rsidR="00927583" w:rsidRDefault="00927583" w:rsidP="00927583">
      <w:pPr>
        <w:pStyle w:val="Zkladntextodsazen2"/>
        <w:rPr>
          <w:i/>
          <w:iCs/>
        </w:rPr>
      </w:pPr>
    </w:p>
    <w:p w:rsidR="00927583" w:rsidRDefault="00927583" w:rsidP="00927583">
      <w:pPr>
        <w:pStyle w:val="Zkladntextodsazen2"/>
        <w:rPr>
          <w:i/>
          <w:iCs/>
        </w:rPr>
      </w:pPr>
    </w:p>
    <w:p w:rsidR="00927583" w:rsidRDefault="00927583" w:rsidP="00927583">
      <w:pPr>
        <w:pStyle w:val="Zkladntextodsazen2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5669280" cy="2729865"/>
            <wp:effectExtent l="19050" t="0" r="762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pStyle w:val="Nadpis1"/>
        <w:ind w:firstLine="567"/>
        <w:jc w:val="both"/>
        <w:rPr>
          <w:rFonts w:cs="Arial"/>
          <w:color w:val="00B0F0"/>
          <w:sz w:val="20"/>
          <w:szCs w:val="20"/>
        </w:rPr>
      </w:pPr>
    </w:p>
    <w:p w:rsidR="00927583" w:rsidRPr="0089190D" w:rsidRDefault="00927583" w:rsidP="00927583">
      <w:pPr>
        <w:pStyle w:val="Nadpis1"/>
        <w:ind w:firstLine="567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Podíl žen u absolventů vybraných soukromých vysokých škol podle pohlaví v roce 2016</w:t>
      </w:r>
    </w:p>
    <w:p w:rsidR="00927583" w:rsidRPr="003E2570" w:rsidRDefault="00927583" w:rsidP="003E2570">
      <w:pPr>
        <w:pStyle w:val="Zkladntextodsazen"/>
        <w:spacing w:line="288" w:lineRule="auto"/>
        <w:rPr>
          <w:szCs w:val="20"/>
        </w:rPr>
      </w:pPr>
      <w:r w:rsidRPr="0089190D">
        <w:rPr>
          <w:szCs w:val="20"/>
        </w:rPr>
        <w:t xml:space="preserve">(Graf </w:t>
      </w:r>
      <w:r w:rsidRPr="00060491">
        <w:rPr>
          <w:szCs w:val="20"/>
        </w:rPr>
        <w:t>1</w:t>
      </w:r>
      <w:r>
        <w:rPr>
          <w:szCs w:val="20"/>
        </w:rPr>
        <w:t>7</w:t>
      </w:r>
      <w:r w:rsidRPr="00060491">
        <w:rPr>
          <w:szCs w:val="20"/>
        </w:rPr>
        <w:t>)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CC4727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MŠMT ČR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</w:p>
    <w:p w:rsidR="00927583" w:rsidRPr="00CC4727" w:rsidRDefault="00927583" w:rsidP="00927583">
      <w:pPr>
        <w:rPr>
          <w:rFonts w:cs="Arial"/>
          <w:szCs w:val="20"/>
        </w:rPr>
      </w:pPr>
      <w:r w:rsidRPr="00CC4727">
        <w:rPr>
          <w:rFonts w:cs="Arial"/>
          <w:szCs w:val="20"/>
        </w:rPr>
        <w:t>V roce 2016 absolvovalo nějakou ze soukromých vysokých škol 9 968 osob. Na soukromé školy se</w:t>
      </w:r>
      <w:r>
        <w:rPr>
          <w:rFonts w:cs="Arial"/>
          <w:szCs w:val="20"/>
        </w:rPr>
        <w:t> </w:t>
      </w:r>
      <w:r w:rsidRPr="00CC4727">
        <w:rPr>
          <w:rFonts w:cs="Arial"/>
          <w:szCs w:val="20"/>
        </w:rPr>
        <w:t>hlásí zejména dívky, a tak ženy představovaly 65,4 % všech absolventů soukromých vysokých škol. Tento podíl se v čase příliš nemění. V roce 2010 činil 65,7 %.</w:t>
      </w:r>
    </w:p>
    <w:p w:rsidR="00927583" w:rsidRPr="00CC4727" w:rsidRDefault="00927583" w:rsidP="00927583">
      <w:pPr>
        <w:rPr>
          <w:rFonts w:cs="Arial"/>
          <w:szCs w:val="20"/>
        </w:rPr>
      </w:pPr>
      <w:r w:rsidRPr="00CC4727">
        <w:rPr>
          <w:rFonts w:cs="Arial"/>
          <w:szCs w:val="20"/>
        </w:rPr>
        <w:t xml:space="preserve"> Nejvyššími počty absolventů se mohly chlubit Univerzita Jana Amose Komenského v Praze, Vysoká škola obchodní v Praze, Metropolitní univerzita Praha, Vysoká škola finanční a správní a Bankovní institut vysoká škola. Všechny tyto školy se vyznačují jedním – 60 a více procent jejich absolventů jsou ženy. </w:t>
      </w:r>
    </w:p>
    <w:p w:rsidR="00927583" w:rsidRPr="00CC4727" w:rsidRDefault="00927583" w:rsidP="00927583">
      <w:pPr>
        <w:rPr>
          <w:rFonts w:cs="Arial"/>
          <w:szCs w:val="20"/>
        </w:rPr>
      </w:pPr>
      <w:r w:rsidRPr="00CC4727">
        <w:rPr>
          <w:rFonts w:cs="Arial"/>
          <w:szCs w:val="20"/>
        </w:rPr>
        <w:t xml:space="preserve">Pokles podílu žen mezi absolventy (i pokles počtu absolventů celkově) zaznamenala hlavně Univerzita Jana Amose Komenského. V roce 2010 měla mezi absolventy téměř 82 % žen, v roce 2016 již toliko 76%, což značí pokles o šest procentních bodů.  </w:t>
      </w:r>
    </w:p>
    <w:p w:rsidR="00927583" w:rsidRDefault="00927583" w:rsidP="00927583">
      <w:pPr>
        <w:pStyle w:val="Nadpis1"/>
        <w:ind w:firstLine="567"/>
        <w:jc w:val="both"/>
        <w:rPr>
          <w:rFonts w:cs="Arial"/>
          <w:color w:val="00B0F0"/>
          <w:sz w:val="20"/>
          <w:szCs w:val="20"/>
        </w:rPr>
      </w:pPr>
    </w:p>
    <w:p w:rsidR="00927583" w:rsidRDefault="00927583" w:rsidP="00927583">
      <w:pPr>
        <w:rPr>
          <w:rFonts w:cs="Arial"/>
          <w:color w:val="00B0F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5760720" cy="3696970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pStyle w:val="Nadpis1"/>
        <w:ind w:firstLine="567"/>
        <w:jc w:val="both"/>
        <w:rPr>
          <w:rFonts w:cs="Arial"/>
          <w:color w:val="00B0F0"/>
          <w:sz w:val="20"/>
          <w:szCs w:val="20"/>
        </w:rPr>
      </w:pPr>
    </w:p>
    <w:p w:rsidR="00927583" w:rsidRDefault="00927583" w:rsidP="00927583"/>
    <w:p w:rsidR="00927583" w:rsidRDefault="00927583" w:rsidP="00927583"/>
    <w:p w:rsidR="00927583" w:rsidRDefault="00927583" w:rsidP="00927583"/>
    <w:p w:rsidR="00927583" w:rsidRPr="00B8335D" w:rsidRDefault="00927583" w:rsidP="00927583"/>
    <w:p w:rsidR="00927583" w:rsidRDefault="00927583" w:rsidP="00927583">
      <w:pPr>
        <w:pStyle w:val="Nadpis2"/>
      </w:pPr>
      <w:r>
        <w:t>Počty učitelů na jednotlivých typech škol ve školním roce 2016/2017 podle pohlaví</w:t>
      </w:r>
    </w:p>
    <w:p w:rsidR="00927583" w:rsidRPr="00C97F22" w:rsidRDefault="00927583" w:rsidP="00C97F22">
      <w:pPr>
        <w:ind w:firstLine="567"/>
        <w:jc w:val="both"/>
        <w:rPr>
          <w:rFonts w:cs="Arial"/>
          <w:szCs w:val="16"/>
        </w:rPr>
      </w:pPr>
      <w:r w:rsidRPr="00CC4727">
        <w:rPr>
          <w:rFonts w:cs="Arial"/>
          <w:iCs/>
          <w:color w:val="000000"/>
          <w:szCs w:val="16"/>
        </w:rPr>
        <w:t>(Graf 18)</w:t>
      </w:r>
    </w:p>
    <w:p w:rsidR="00927583" w:rsidRDefault="00927583" w:rsidP="00C97F22">
      <w:pPr>
        <w:ind w:firstLine="567"/>
        <w:jc w:val="both"/>
        <w:rPr>
          <w:rFonts w:cs="Arial"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MŠMT ČR</w:t>
      </w:r>
    </w:p>
    <w:p w:rsidR="00927583" w:rsidRPr="00B66F0B" w:rsidRDefault="00927583" w:rsidP="00927583">
      <w:pPr>
        <w:ind w:firstLine="567"/>
        <w:jc w:val="both"/>
        <w:rPr>
          <w:rFonts w:cs="Arial"/>
          <w:bCs/>
          <w:color w:val="000000"/>
          <w:szCs w:val="20"/>
        </w:rPr>
      </w:pPr>
      <w:r w:rsidRPr="00B66F0B">
        <w:rPr>
          <w:rFonts w:cs="Arial"/>
          <w:bCs/>
          <w:color w:val="000000"/>
          <w:szCs w:val="20"/>
        </w:rPr>
        <w:t>V případě vysokých škol jsou k dispozici údaje pouze za veřejné vysoké školy. Data za</w:t>
      </w:r>
      <w:r>
        <w:rPr>
          <w:rFonts w:cs="Arial"/>
          <w:bCs/>
          <w:color w:val="000000"/>
          <w:szCs w:val="20"/>
        </w:rPr>
        <w:t> </w:t>
      </w:r>
      <w:r w:rsidRPr="00B66F0B">
        <w:rPr>
          <w:rFonts w:cs="Arial"/>
          <w:bCs/>
          <w:color w:val="000000"/>
          <w:szCs w:val="20"/>
        </w:rPr>
        <w:t>akademické pracovníky jsou vyjádřena ve fyzických osobách k 31. 12.</w:t>
      </w:r>
    </w:p>
    <w:p w:rsidR="00927583" w:rsidRDefault="00927583" w:rsidP="00927583">
      <w:pPr>
        <w:ind w:firstLine="567"/>
        <w:jc w:val="both"/>
        <w:rPr>
          <w:rFonts w:cs="Arial"/>
          <w:bCs/>
          <w:color w:val="000000"/>
          <w:szCs w:val="20"/>
        </w:rPr>
      </w:pPr>
      <w:r w:rsidRPr="00B66F0B">
        <w:rPr>
          <w:rFonts w:cs="Arial"/>
          <w:bCs/>
          <w:color w:val="000000"/>
          <w:szCs w:val="20"/>
        </w:rPr>
        <w:t xml:space="preserve">  Od roku 2006/07 se samostatně nevykazují učitelé za gymnázia, střední odborné školy a</w:t>
      </w:r>
      <w:r>
        <w:rPr>
          <w:rFonts w:cs="Arial"/>
          <w:bCs/>
          <w:color w:val="000000"/>
          <w:szCs w:val="20"/>
        </w:rPr>
        <w:t> </w:t>
      </w:r>
      <w:r w:rsidRPr="00B66F0B">
        <w:rPr>
          <w:rFonts w:cs="Arial"/>
          <w:bCs/>
          <w:color w:val="000000"/>
          <w:szCs w:val="20"/>
        </w:rPr>
        <w:t>střední odborná učiliště. K dispozici jsou pouze souhrnné údaje za střední školy.</w:t>
      </w:r>
    </w:p>
    <w:p w:rsidR="00927583" w:rsidRPr="00B66F0B" w:rsidRDefault="00927583" w:rsidP="00927583">
      <w:pPr>
        <w:ind w:firstLine="567"/>
        <w:jc w:val="both"/>
        <w:rPr>
          <w:rFonts w:cs="Arial"/>
          <w:bCs/>
          <w:color w:val="000000"/>
          <w:szCs w:val="20"/>
        </w:rPr>
      </w:pPr>
    </w:p>
    <w:p w:rsidR="00927583" w:rsidRPr="00B66F0B" w:rsidRDefault="00927583" w:rsidP="00927583">
      <w:pPr>
        <w:ind w:firstLine="567"/>
        <w:jc w:val="both"/>
        <w:rPr>
          <w:rFonts w:cs="Arial"/>
          <w:iCs/>
        </w:rPr>
      </w:pPr>
      <w:r w:rsidRPr="00B66F0B">
        <w:rPr>
          <w:rFonts w:cs="Arial"/>
          <w:iCs/>
        </w:rPr>
        <w:t>Nejvíce učitelů se nachází na základních školách. Ve školním roce 2016/17 se jednalo celkem o</w:t>
      </w:r>
      <w:r>
        <w:rPr>
          <w:rFonts w:cs="Arial"/>
          <w:iCs/>
        </w:rPr>
        <w:t> </w:t>
      </w:r>
      <w:r w:rsidRPr="00B66F0B">
        <w:rPr>
          <w:rFonts w:cs="Arial"/>
          <w:iCs/>
        </w:rPr>
        <w:t xml:space="preserve"> 61</w:t>
      </w:r>
      <w:r w:rsidR="00073C81">
        <w:rPr>
          <w:rFonts w:cs="Arial"/>
          <w:iCs/>
        </w:rPr>
        <w:t> </w:t>
      </w:r>
      <w:r w:rsidRPr="00B66F0B">
        <w:rPr>
          <w:rFonts w:cs="Arial"/>
          <w:iCs/>
        </w:rPr>
        <w:t>807 učitelů, z toho bylo více než 52 tisíc učitelek.</w:t>
      </w:r>
    </w:p>
    <w:p w:rsidR="00927583" w:rsidRPr="00B66F0B" w:rsidRDefault="00927583" w:rsidP="00927583">
      <w:pPr>
        <w:ind w:firstLine="567"/>
        <w:jc w:val="both"/>
        <w:rPr>
          <w:rFonts w:cs="Arial"/>
          <w:iCs/>
        </w:rPr>
      </w:pPr>
      <w:r w:rsidRPr="00B66F0B">
        <w:rPr>
          <w:rFonts w:cs="Arial"/>
          <w:iCs/>
        </w:rPr>
        <w:t xml:space="preserve"> S výjimkou odborných škol lze tvrdit, že čím vyšší stupeň škol, tím je zde nižší podíl učitelek. Zatímco v mateřských školkách se muži jako učitelé téměř nevyskytují a na základních školách představuje podíl mužů ze všech vyučujících pouze 16 %, na středních školách mají zastoupení 40% a mezi akademickými pracovníky již dominují (63 % akademických pracovníků jsou muži).</w:t>
      </w:r>
    </w:p>
    <w:p w:rsidR="00927583" w:rsidRPr="00B66F0B" w:rsidRDefault="00927583" w:rsidP="00927583">
      <w:pPr>
        <w:ind w:firstLine="567"/>
        <w:jc w:val="both"/>
        <w:rPr>
          <w:rFonts w:cs="Arial"/>
          <w:iCs/>
          <w:color w:val="000000"/>
          <w:szCs w:val="16"/>
        </w:rPr>
      </w:pPr>
      <w:r w:rsidRPr="00B66F0B">
        <w:rPr>
          <w:rFonts w:cs="Arial"/>
          <w:iCs/>
        </w:rPr>
        <w:t xml:space="preserve">Na vyšších odborných školách učí celkem přibližně 1 500 pedagogů, podíl žen zde představuje téměř 66 %.    </w:t>
      </w:r>
    </w:p>
    <w:p w:rsidR="00927583" w:rsidRDefault="00927583" w:rsidP="00927583">
      <w:pPr>
        <w:ind w:firstLine="567"/>
        <w:jc w:val="both"/>
        <w:rPr>
          <w:rFonts w:cs="Arial"/>
          <w:i/>
          <w:iCs/>
          <w:color w:val="000000"/>
          <w:szCs w:val="16"/>
        </w:rPr>
      </w:pPr>
    </w:p>
    <w:p w:rsidR="00927583" w:rsidRDefault="00927583" w:rsidP="00C97F22">
      <w:pPr>
        <w:jc w:val="both"/>
        <w:rPr>
          <w:szCs w:val="16"/>
        </w:rPr>
      </w:pPr>
    </w:p>
    <w:p w:rsidR="00927583" w:rsidRDefault="00927583" w:rsidP="00927583">
      <w:pPr>
        <w:pStyle w:val="Nadpis1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4768215" cy="275653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/>
    <w:p w:rsidR="00927583" w:rsidRDefault="00927583" w:rsidP="00927583"/>
    <w:p w:rsidR="00927583" w:rsidRDefault="00927583" w:rsidP="00927583"/>
    <w:p w:rsidR="00927583" w:rsidRPr="0089190D" w:rsidRDefault="00927583" w:rsidP="00927583">
      <w:pPr>
        <w:pStyle w:val="Nadpis1"/>
        <w:ind w:firstLine="567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lastRenderedPageBreak/>
        <w:t xml:space="preserve">Akademičtí pracovníci podle profesního zařazení na veřejných vysokých školách, 2016 </w:t>
      </w:r>
    </w:p>
    <w:p w:rsidR="00927583" w:rsidRPr="00C97F22" w:rsidRDefault="00927583" w:rsidP="00C97F22">
      <w:pPr>
        <w:pStyle w:val="Zkladntextodsazen"/>
        <w:spacing w:line="288" w:lineRule="auto"/>
        <w:rPr>
          <w:szCs w:val="20"/>
        </w:rPr>
      </w:pPr>
      <w:r w:rsidRPr="0089190D">
        <w:rPr>
          <w:szCs w:val="20"/>
        </w:rPr>
        <w:t xml:space="preserve">(Graf </w:t>
      </w:r>
      <w:r w:rsidRPr="00060491">
        <w:rPr>
          <w:szCs w:val="20"/>
        </w:rPr>
        <w:t>1</w:t>
      </w:r>
      <w:r>
        <w:rPr>
          <w:szCs w:val="20"/>
        </w:rPr>
        <w:t>9</w:t>
      </w:r>
      <w:r w:rsidRPr="00060491">
        <w:rPr>
          <w:szCs w:val="20"/>
        </w:rPr>
        <w:t>)</w:t>
      </w:r>
    </w:p>
    <w:p w:rsidR="00927583" w:rsidRPr="00CC4727" w:rsidRDefault="00927583" w:rsidP="00927583">
      <w:pPr>
        <w:jc w:val="both"/>
        <w:rPr>
          <w:rFonts w:cs="Arial"/>
          <w:szCs w:val="20"/>
        </w:rPr>
      </w:pPr>
      <w:r w:rsidRPr="008E6B80">
        <w:rPr>
          <w:rFonts w:cs="Arial"/>
          <w:iCs/>
          <w:szCs w:val="20"/>
        </w:rPr>
        <w:t>Zdroj:</w:t>
      </w:r>
      <w:r w:rsidRPr="00CC4727">
        <w:rPr>
          <w:rFonts w:cs="Arial"/>
          <w:i/>
          <w:iCs/>
          <w:szCs w:val="20"/>
        </w:rPr>
        <w:t xml:space="preserve"> </w:t>
      </w:r>
      <w:r w:rsidRPr="00CC4727">
        <w:rPr>
          <w:rFonts w:cs="Arial"/>
          <w:szCs w:val="20"/>
        </w:rPr>
        <w:t>MŠMT ČR</w:t>
      </w:r>
    </w:p>
    <w:p w:rsidR="00927583" w:rsidRPr="00CC4727" w:rsidRDefault="00927583" w:rsidP="00927583">
      <w:pPr>
        <w:jc w:val="both"/>
        <w:rPr>
          <w:rFonts w:cs="Arial"/>
          <w:szCs w:val="20"/>
        </w:rPr>
      </w:pPr>
      <w:r w:rsidRPr="00CC4727">
        <w:rPr>
          <w:rFonts w:cs="Arial"/>
          <w:szCs w:val="20"/>
        </w:rPr>
        <w:t>Údaje jsou za veřejné vysoké školy. Jedná se o akademické pracovníky odměňované z kapitoly 333-MŠMT státního rozpočtu, kteří jsou uvedeni ve fyzických osobách k 31. 12. daného roku.</w:t>
      </w:r>
    </w:p>
    <w:p w:rsidR="00927583" w:rsidRPr="00CC4727" w:rsidRDefault="00927583" w:rsidP="00927583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 xml:space="preserve">V roce 2016 bylo evidováno na veřejných vysokých školách 22 067 akademických pracovníků, z nichž ženy představovaly 36 %. </w:t>
      </w:r>
    </w:p>
    <w:p w:rsidR="00927583" w:rsidRPr="00CC4727" w:rsidRDefault="00927583" w:rsidP="00927583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 xml:space="preserve">Nejčastěji se jednalo o odborné asistenty. V případě žen tvořily odborné asistentky 60 % všech akademických pracovnic, což představovalo o 10 procentních bodů více, než činil tento podíl u akademických pracovníků-mužů. Tam se odborní asistenti podíleli na celkovém počtu polovinou. </w:t>
      </w:r>
    </w:p>
    <w:p w:rsidR="00927583" w:rsidRPr="00CC4727" w:rsidRDefault="00927583" w:rsidP="00927583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 xml:space="preserve"> Odbornými asistenty byli opět častěji muži. Podíl žen mezi odbornými asistenty činil necelých 41 %. </w:t>
      </w:r>
    </w:p>
    <w:p w:rsidR="00927583" w:rsidRPr="00CC4727" w:rsidRDefault="00927583" w:rsidP="00927583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 xml:space="preserve">V pozici docentů působilo k 31. 12. 2016 na veřejných vysokých školách 4 481 osob. Ženy však byly docentkami pouze ve čtvrtině všech případů. </w:t>
      </w:r>
    </w:p>
    <w:p w:rsidR="00927583" w:rsidRPr="00CC4727" w:rsidRDefault="00927583" w:rsidP="00927583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 xml:space="preserve">Nejnižší podíl žen byl zjištěn u profesorů. Z celkového počtu 2 461 profesorů na veřejných vysokých školách tvořily ženy jenom 15,5 %. Opět se tedy ukazuje, že ženy převažují spíše v nižších pozicích, tady konkrétně mezi asistenty a lektory. </w:t>
      </w:r>
    </w:p>
    <w:p w:rsidR="00927583" w:rsidRPr="00C97F22" w:rsidRDefault="00927583" w:rsidP="00C97F22">
      <w:pPr>
        <w:jc w:val="both"/>
        <w:rPr>
          <w:rFonts w:cs="Arial"/>
          <w:iCs/>
          <w:szCs w:val="20"/>
        </w:rPr>
      </w:pPr>
      <w:r w:rsidRPr="00CC4727">
        <w:rPr>
          <w:rFonts w:cs="Arial"/>
          <w:iCs/>
          <w:szCs w:val="20"/>
        </w:rPr>
        <w:t xml:space="preserve">Z 1 817 asistentů zaujímaly ženy 52,7% podíl, v případě 957 lektorů dokonce 54,8%.       </w:t>
      </w:r>
    </w:p>
    <w:p w:rsidR="00927583" w:rsidRDefault="00927583" w:rsidP="00927583">
      <w:pPr>
        <w:rPr>
          <w:rFonts w:cs="Arial"/>
          <w:szCs w:val="20"/>
        </w:rPr>
      </w:pPr>
      <w:r>
        <w:rPr>
          <w:rFonts w:cs="Arial"/>
          <w:szCs w:val="20"/>
        </w:rPr>
        <w:t xml:space="preserve">Nejméně akademických pracovníků působilo jako pedagogičtí pracovníci. Těch bylo k 31. 12. 2016 zjištěno celkem 488, přičemž šlo většinou o muže (64 %). </w:t>
      </w: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5760720" cy="3213735"/>
            <wp:effectExtent l="1905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Počty akademických pracovníků v čase rostly. V případě celkového počtu akademických pracovníků došlo od roku 2003 k navýšení o cca 25 %. Podobný trend zaznamenali také profesoři, docenti a odborní asistenti. Počty lektorů se oproti roku 2003 navýšily do současnosti téměř dva a půl krát.</w:t>
      </w:r>
    </w:p>
    <w:p w:rsidR="00927583" w:rsidRDefault="00927583" w:rsidP="00927583">
      <w:pPr>
        <w:rPr>
          <w:rFonts w:cs="Arial"/>
          <w:szCs w:val="20"/>
        </w:rPr>
      </w:pPr>
      <w:r>
        <w:rPr>
          <w:rFonts w:cs="Arial"/>
          <w:szCs w:val="20"/>
        </w:rPr>
        <w:t xml:space="preserve">Počty asistentů ve sledovaném období kolísaly kolem hodnoty 2 000 osob. Navíc toto je jediný případ, kdy se v čase výrazněji proměnil podíl žen. Podíl asistentek narostl ze 47 % v roce 2003 na zhruba 53 % v roce 2016. </w:t>
      </w:r>
    </w:p>
    <w:p w:rsidR="00927583" w:rsidRDefault="00927583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7C7F51" w:rsidRDefault="007C7F51" w:rsidP="00927583">
      <w:pPr>
        <w:rPr>
          <w:rFonts w:cs="Arial"/>
          <w:szCs w:val="20"/>
        </w:rPr>
      </w:pPr>
    </w:p>
    <w:p w:rsidR="00927583" w:rsidRDefault="00927583" w:rsidP="00927583">
      <w:pPr>
        <w:pStyle w:val="Nadpis2"/>
        <w:rPr>
          <w:color w:val="00CCFF"/>
        </w:rPr>
      </w:pPr>
      <w:r>
        <w:rPr>
          <w:color w:val="00CCFF"/>
        </w:rPr>
        <w:t>Populace podle věkových skupin a vzdělání v roce 2016</w:t>
      </w:r>
    </w:p>
    <w:p w:rsidR="00927583" w:rsidRPr="007C7F51" w:rsidRDefault="00927583" w:rsidP="007C7F51">
      <w:pPr>
        <w:ind w:firstLine="567"/>
        <w:jc w:val="both"/>
        <w:rPr>
          <w:rFonts w:cs="Arial"/>
          <w:iCs/>
          <w:color w:val="000000"/>
          <w:szCs w:val="16"/>
        </w:rPr>
      </w:pPr>
      <w:r w:rsidRPr="008E7346">
        <w:rPr>
          <w:rFonts w:cs="Arial"/>
          <w:iCs/>
          <w:color w:val="000000"/>
          <w:szCs w:val="16"/>
        </w:rPr>
        <w:t>(Graf 20)</w:t>
      </w:r>
    </w:p>
    <w:p w:rsidR="00927583" w:rsidRPr="007C7F51" w:rsidRDefault="00927583" w:rsidP="007C7F51">
      <w:pPr>
        <w:ind w:firstLine="567"/>
        <w:jc w:val="both"/>
        <w:rPr>
          <w:rFonts w:cs="Arial"/>
          <w:szCs w:val="16"/>
        </w:rPr>
      </w:pPr>
      <w:r w:rsidRPr="008E6B80">
        <w:rPr>
          <w:rFonts w:cs="Arial"/>
          <w:iCs/>
          <w:szCs w:val="16"/>
        </w:rPr>
        <w:t>Zdroj:</w:t>
      </w:r>
      <w:r>
        <w:rPr>
          <w:rFonts w:cs="Arial"/>
          <w:i/>
          <w:iCs/>
          <w:szCs w:val="16"/>
        </w:rPr>
        <w:t xml:space="preserve"> </w:t>
      </w:r>
      <w:r>
        <w:rPr>
          <w:rFonts w:cs="Arial"/>
          <w:szCs w:val="16"/>
        </w:rPr>
        <w:t>VŠPS, ČSÚ, průměry za rok 2016</w:t>
      </w:r>
    </w:p>
    <w:p w:rsidR="00927583" w:rsidRDefault="00927583" w:rsidP="007C7F51">
      <w:pPr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První kategorie – „bez vzdělání + ZŠ” – obsahuje osoby bez vzdělání, s neukončeným základním vzděláním a s ukončeným základním vzděláním, protože dvě první kategorie by byly příliš malé a v grafu nezřetelné. Ze stejného důvodu obsahuje skupina „úplné středoškolské vzdělání” všechny typy studia s</w:t>
      </w:r>
      <w:r w:rsidR="00073C81">
        <w:rPr>
          <w:rFonts w:cs="Arial"/>
          <w:color w:val="000000"/>
          <w:szCs w:val="16"/>
        </w:rPr>
        <w:t> </w:t>
      </w:r>
      <w:r>
        <w:rPr>
          <w:rFonts w:cs="Arial"/>
          <w:color w:val="000000"/>
          <w:szCs w:val="16"/>
        </w:rPr>
        <w:t>maturitou a nástavbové studium.</w:t>
      </w:r>
    </w:p>
    <w:p w:rsidR="00927583" w:rsidRPr="00B66F0B" w:rsidRDefault="00927583" w:rsidP="00927583">
      <w:pPr>
        <w:ind w:firstLine="567"/>
        <w:jc w:val="both"/>
        <w:rPr>
          <w:rFonts w:cs="Arial"/>
          <w:iCs/>
          <w:color w:val="000000"/>
          <w:szCs w:val="16"/>
        </w:rPr>
      </w:pPr>
      <w:r w:rsidRPr="00B66F0B">
        <w:rPr>
          <w:rFonts w:cs="Arial"/>
          <w:iCs/>
          <w:color w:val="000000"/>
          <w:szCs w:val="16"/>
        </w:rPr>
        <w:t xml:space="preserve">Struktura české populace podle vzdělání se dlouhodobě vyznačuje tím, že u žen je nejvíce zastoupeno středoškolské vzdělání s maturitou, kdežto muži dosahují nejčastěji výučního listu. </w:t>
      </w:r>
    </w:p>
    <w:p w:rsidR="00927583" w:rsidRPr="00B66F0B" w:rsidRDefault="00927583" w:rsidP="00927583">
      <w:pPr>
        <w:ind w:firstLine="567"/>
        <w:jc w:val="both"/>
        <w:rPr>
          <w:rFonts w:cs="Arial"/>
          <w:iCs/>
          <w:color w:val="000000"/>
          <w:szCs w:val="16"/>
        </w:rPr>
      </w:pPr>
      <w:r w:rsidRPr="00B66F0B">
        <w:rPr>
          <w:rFonts w:cs="Arial"/>
          <w:iCs/>
          <w:color w:val="000000"/>
          <w:szCs w:val="16"/>
        </w:rPr>
        <w:t>V roce 2016 mělo středoškolské vzdělání s maturitou 37 % všech žen (a 26 % všech mužů). Vyučeno bez maturity potom bylo 49 % mužů (ale jen 28 % žen). Vysokoškolské vzdělání mělo 18% zastoupení v případě žen a 16% u mužů. Ženy zaujímají větší podíl v kategorii maximálně základní vzdělání. Na vyšší než základní vzdělání nedosáhla téměř pětina žen a necelá desetina mužů.</w:t>
      </w:r>
    </w:p>
    <w:p w:rsidR="00927583" w:rsidRPr="00B66F0B" w:rsidRDefault="00927583" w:rsidP="00927583">
      <w:pPr>
        <w:ind w:firstLine="567"/>
        <w:jc w:val="both"/>
        <w:rPr>
          <w:rFonts w:cs="Arial"/>
          <w:iCs/>
          <w:color w:val="000000"/>
          <w:szCs w:val="16"/>
        </w:rPr>
      </w:pPr>
      <w:r w:rsidRPr="00B66F0B">
        <w:rPr>
          <w:rFonts w:cs="Arial"/>
          <w:iCs/>
          <w:color w:val="000000"/>
          <w:szCs w:val="16"/>
        </w:rPr>
        <w:t>Při pohledu na věkovou strukturu je patrné (odhlédneme-li od nejmladší věkové skupiny), že</w:t>
      </w:r>
      <w:r>
        <w:rPr>
          <w:rFonts w:cs="Arial"/>
          <w:iCs/>
          <w:color w:val="000000"/>
          <w:szCs w:val="16"/>
        </w:rPr>
        <w:t> </w:t>
      </w:r>
      <w:r w:rsidRPr="00B66F0B">
        <w:rPr>
          <w:rFonts w:cs="Arial"/>
          <w:iCs/>
          <w:color w:val="000000"/>
          <w:szCs w:val="16"/>
        </w:rPr>
        <w:t>speciální postavení bude mít nejstarší věková kategorie, 65 a více let. Zřetelný je zde generační posun, kdy nejvíce žen zde má pouze maximálně základní vzdělání (jde o 27,6 % takto starých žen). Středoškolské vzdělání s maturitou mělo u 65 a víceletých žen podobné zastoupení jako</w:t>
      </w:r>
      <w:r>
        <w:rPr>
          <w:rFonts w:cs="Arial"/>
          <w:iCs/>
          <w:color w:val="000000"/>
          <w:szCs w:val="16"/>
        </w:rPr>
        <w:t> </w:t>
      </w:r>
      <w:r w:rsidRPr="00B66F0B">
        <w:rPr>
          <w:rFonts w:cs="Arial"/>
          <w:iCs/>
          <w:color w:val="000000"/>
          <w:szCs w:val="16"/>
        </w:rPr>
        <w:t>středoškolské vzdělání bez maturity (v</w:t>
      </w:r>
      <w:r w:rsidR="00073C81">
        <w:rPr>
          <w:rFonts w:cs="Arial"/>
          <w:iCs/>
          <w:color w:val="000000"/>
          <w:szCs w:val="16"/>
        </w:rPr>
        <w:t> </w:t>
      </w:r>
      <w:r w:rsidRPr="00B66F0B">
        <w:rPr>
          <w:rFonts w:cs="Arial"/>
          <w:iCs/>
          <w:color w:val="000000"/>
          <w:szCs w:val="16"/>
        </w:rPr>
        <w:t>obou případech se jednalo o cca 32% podíl).</w:t>
      </w:r>
    </w:p>
    <w:p w:rsidR="00927583" w:rsidRPr="00B66F0B" w:rsidRDefault="00927583" w:rsidP="00927583">
      <w:pPr>
        <w:ind w:firstLine="567"/>
        <w:jc w:val="both"/>
        <w:rPr>
          <w:rFonts w:cs="Arial"/>
          <w:iCs/>
          <w:color w:val="000000"/>
          <w:szCs w:val="16"/>
        </w:rPr>
      </w:pPr>
      <w:r w:rsidRPr="00B66F0B">
        <w:rPr>
          <w:rFonts w:cs="Arial"/>
          <w:iCs/>
          <w:color w:val="000000"/>
          <w:szCs w:val="16"/>
        </w:rPr>
        <w:t>Podíl maximálně dokončeného základního vzdělání ve věku 65 a více let byl v případě žen o</w:t>
      </w:r>
      <w:r>
        <w:rPr>
          <w:rFonts w:cs="Arial"/>
          <w:iCs/>
          <w:color w:val="000000"/>
          <w:szCs w:val="16"/>
        </w:rPr>
        <w:t> </w:t>
      </w:r>
      <w:r w:rsidRPr="00B66F0B">
        <w:rPr>
          <w:rFonts w:cs="Arial"/>
          <w:iCs/>
          <w:color w:val="000000"/>
          <w:szCs w:val="16"/>
        </w:rPr>
        <w:t xml:space="preserve">zhruba 18 % vyšší než v populaci stejně starých mužů. </w:t>
      </w:r>
    </w:p>
    <w:p w:rsidR="00927583" w:rsidRDefault="00927583" w:rsidP="007C7F51">
      <w:pPr>
        <w:rPr>
          <w:rFonts w:cs="Arial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5551805" cy="3108960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szCs w:val="20"/>
        </w:rPr>
      </w:pPr>
    </w:p>
    <w:p w:rsidR="00C97F22" w:rsidRDefault="00C97F22" w:rsidP="007C7F51">
      <w:pPr>
        <w:autoSpaceDE w:val="0"/>
        <w:autoSpaceDN w:val="0"/>
        <w:adjustRightInd w:val="0"/>
        <w:rPr>
          <w:rFonts w:cs="Arial"/>
          <w:szCs w:val="20"/>
        </w:rPr>
      </w:pPr>
    </w:p>
    <w:sectPr w:rsidR="00C97F22" w:rsidSect="006F541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E6" w:rsidRDefault="009604E6" w:rsidP="00E71A58">
      <w:r>
        <w:separator/>
      </w:r>
    </w:p>
  </w:endnote>
  <w:endnote w:type="continuationSeparator" w:id="0">
    <w:p w:rsidR="009604E6" w:rsidRDefault="009604E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0708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030708" w:rsidRPr="00932443">
      <w:rPr>
        <w:szCs w:val="16"/>
      </w:rPr>
      <w:fldChar w:fldCharType="separate"/>
    </w:r>
    <w:r w:rsidR="00073C81">
      <w:rPr>
        <w:szCs w:val="16"/>
      </w:rPr>
      <w:t>6</w:t>
    </w:r>
    <w:r w:rsidR="00030708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030708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030708" w:rsidRPr="00932443">
      <w:rPr>
        <w:rStyle w:val="ZpatChar"/>
        <w:szCs w:val="16"/>
      </w:rPr>
      <w:fldChar w:fldCharType="separate"/>
    </w:r>
    <w:r w:rsidR="00073C81">
      <w:rPr>
        <w:rStyle w:val="ZpatChar"/>
        <w:szCs w:val="16"/>
      </w:rPr>
      <w:t>7</w:t>
    </w:r>
    <w:r w:rsidR="00030708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E6" w:rsidRDefault="009604E6" w:rsidP="00E71A58">
      <w:r>
        <w:separator/>
      </w:r>
    </w:p>
  </w:footnote>
  <w:footnote w:type="continuationSeparator" w:id="0">
    <w:p w:rsidR="009604E6" w:rsidRDefault="009604E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073C81">
      <w:t> </w:t>
    </w:r>
    <w:r>
      <w:t>datech</w:t>
    </w:r>
    <w:r w:rsidR="00073C81">
      <w:t xml:space="preserve"> – 3. Vzdělání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073C81">
      <w:t> </w:t>
    </w:r>
    <w:r>
      <w:t>datech</w:t>
    </w:r>
    <w:r w:rsidR="00073C81">
      <w:t xml:space="preserve"> – 3. Vzdělání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D5A"/>
    <w:rsid w:val="000056D5"/>
    <w:rsid w:val="0000767A"/>
    <w:rsid w:val="00010702"/>
    <w:rsid w:val="000234D6"/>
    <w:rsid w:val="00023D29"/>
    <w:rsid w:val="00026389"/>
    <w:rsid w:val="00030708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73C81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7E61"/>
    <w:rsid w:val="007F0845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604E6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71"/>
    <w:rsid w:val="00C90CF4"/>
    <w:rsid w:val="00C92EB6"/>
    <w:rsid w:val="00C93389"/>
    <w:rsid w:val="00C94A15"/>
    <w:rsid w:val="00C97F22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FF20-361E-4E20-AD59-95581CB6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7</TotalTime>
  <Pages>1</Pages>
  <Words>1064</Words>
  <Characters>6281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7331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2017-12-05T10:24:00Z</cp:lastPrinted>
  <dcterms:created xsi:type="dcterms:W3CDTF">2017-12-05T09:59:00Z</dcterms:created>
  <dcterms:modified xsi:type="dcterms:W3CDTF">2017-12-05T10:24:00Z</dcterms:modified>
</cp:coreProperties>
</file>