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D" w:rsidRPr="00831010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18. OBCHOD, UBYTOVÁNÍ, STRAVOVÁNÍ A CESTOVNÍ RUCH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pStyle w:val="Nadpis5"/>
        <w:keepNext w:val="0"/>
        <w:widowControl/>
        <w:numPr>
          <w:ilvl w:val="0"/>
          <w:numId w:val="0"/>
        </w:numPr>
        <w:ind w:left="284" w:hanging="284"/>
      </w:pPr>
      <w:r>
        <w:t>A. OBCHOD, UBYTOVÁNÍ A STRAVOVÁNÍ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Údaje jsou čerpány z výsledků zpracování ročních statistických výkazů ČSÚ s využitím administrativních zdrojů</w:t>
      </w:r>
      <w:r w:rsidR="00C1674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C1674E">
        <w:rPr>
          <w:rFonts w:ascii="Arial" w:hAnsi="Arial" w:cs="Arial"/>
          <w:lang w:val="cs-CZ"/>
        </w:rPr>
        <w:t>Ú</w:t>
      </w:r>
      <w:r>
        <w:rPr>
          <w:rFonts w:ascii="Arial" w:hAnsi="Arial" w:cs="Arial"/>
          <w:lang w:val="cs-CZ"/>
        </w:rPr>
        <w:t>daje za fyzické osoby jsou plně modelovány z administrativních dat.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Ekonomickým subjektem zjišťování je podnik, který svou </w:t>
      </w:r>
      <w:r>
        <w:rPr>
          <w:rFonts w:ascii="Arial" w:hAnsi="Arial" w:cs="Arial"/>
          <w:b/>
          <w:bCs/>
          <w:lang w:val="cs-CZ"/>
        </w:rPr>
        <w:t>převažující činností</w:t>
      </w:r>
      <w:r>
        <w:rPr>
          <w:rFonts w:ascii="Arial" w:hAnsi="Arial" w:cs="Arial"/>
          <w:lang w:val="cs-CZ"/>
        </w:rPr>
        <w:t xml:space="preserve"> patřil v daném roce dle odvětvové </w:t>
      </w:r>
      <w:r w:rsidR="00C1674E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lasifikace </w:t>
      </w:r>
      <w:r w:rsidR="00C1674E">
        <w:rPr>
          <w:rFonts w:ascii="Arial" w:hAnsi="Arial" w:cs="Arial"/>
          <w:lang w:val="cs-CZ"/>
        </w:rPr>
        <w:t>ekonomických činností 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do následujících odvětví: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45 – Velkoobchod, maloobchod a opravy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46 – Velkoobchod, kromě motorových vozidel</w:t>
      </w:r>
    </w:p>
    <w:p w:rsidR="000C74FE" w:rsidRDefault="000C74FE" w:rsidP="00856909">
      <w:pPr>
        <w:pStyle w:val="Zkladntextodsazen2"/>
        <w:widowControl/>
        <w:tabs>
          <w:tab w:val="clear" w:pos="13452"/>
          <w:tab w:val="left" w:pos="141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47 – Maloobchod, kromě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55 – Ubytování </w:t>
      </w:r>
    </w:p>
    <w:p w:rsidR="000C74FE" w:rsidRDefault="000C74FE" w:rsidP="008C4D3B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56 – Stravování a pohostinství</w:t>
      </w: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805398" w:rsidRDefault="00805398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 w:rsidRPr="00E77A29">
        <w:rPr>
          <w:rFonts w:ascii="Arial" w:hAnsi="Arial" w:cs="Arial"/>
          <w:b/>
          <w:lang w:val="cs-CZ"/>
        </w:rPr>
        <w:t>Poznámky k</w:t>
      </w:r>
      <w:r>
        <w:rPr>
          <w:rFonts w:ascii="Arial" w:hAnsi="Arial" w:cs="Arial"/>
          <w:b/>
          <w:lang w:val="cs-CZ"/>
        </w:rPr>
        <w:t> </w:t>
      </w:r>
      <w:r w:rsidRPr="00E77A29">
        <w:rPr>
          <w:rFonts w:ascii="Arial" w:hAnsi="Arial" w:cs="Arial"/>
          <w:b/>
          <w:lang w:val="cs-CZ"/>
        </w:rPr>
        <w:t>tabulkám</w:t>
      </w: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F24E16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lang w:val="cs-CZ"/>
        </w:rPr>
      </w:pPr>
      <w:r w:rsidRPr="00F24E16">
        <w:rPr>
          <w:rFonts w:ascii="Arial" w:hAnsi="Arial" w:cs="Arial"/>
          <w:b/>
          <w:bCs/>
          <w:lang w:val="cs-CZ"/>
        </w:rPr>
        <w:t xml:space="preserve">Aktivní podniky celkem </w:t>
      </w:r>
      <w:r w:rsidRPr="00F24E16">
        <w:rPr>
          <w:rFonts w:ascii="Arial" w:hAnsi="Arial" w:cs="Arial"/>
          <w:bCs/>
          <w:lang w:val="cs-CZ"/>
        </w:rPr>
        <w:t>je počet podniků, které byly alespoň po část daného roku aktivní.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stnané osoby</w:t>
      </w:r>
      <w:r>
        <w:rPr>
          <w:rFonts w:ascii="Arial" w:hAnsi="Arial" w:cs="Arial"/>
          <w:lang w:val="cs-CZ"/>
        </w:rPr>
        <w:t xml:space="preserve"> zahrnují evidenční počet zaměstnanců ve fyzických osobách, počet pracujících podnikatelů a pomáhajících rodinných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 xml:space="preserve">slušníků, pro které je 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innost ve firm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hlavním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stnáním</w:t>
      </w:r>
      <w:r w:rsidR="00C1674E">
        <w:rPr>
          <w:rFonts w:ascii="Arial" w:hAnsi="Arial" w:cs="Arial"/>
          <w:lang w:val="cs-CZ"/>
        </w:rPr>
        <w:t xml:space="preserve"> a</w:t>
      </w:r>
      <w:r>
        <w:rPr>
          <w:rFonts w:ascii="Arial" w:hAnsi="Arial" w:cs="Arial"/>
          <w:lang w:val="cs-CZ"/>
        </w:rPr>
        <w:t xml:space="preserve"> osoby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stnávané na dohody přepočtené na plný úvazek dle odpracovaných hodin.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rný eviden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stnanc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lang w:val="cs-CZ"/>
        </w:rPr>
        <w:t xml:space="preserve"> je ro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ní aritmetický pr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 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tu osob v pracovním pom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ru k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stnavateli. </w:t>
      </w: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tený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</w:t>
      </w:r>
      <w:r>
        <w:rPr>
          <w:rFonts w:ascii="Arial" w:hAnsi="Arial" w:cs="Arial"/>
          <w:lang w:val="cs-CZ"/>
        </w:rPr>
        <w:t xml:space="preserve"> zohled</w:t>
      </w:r>
      <w:r>
        <w:rPr>
          <w:rFonts w:ascii="Arial" w:hAnsi="Arial" w:cs="Arial" w:hint="eastAsia"/>
          <w:lang w:val="cs-CZ"/>
        </w:rPr>
        <w:t>ň</w:t>
      </w:r>
      <w:r>
        <w:rPr>
          <w:rFonts w:ascii="Arial" w:hAnsi="Arial" w:cs="Arial"/>
          <w:lang w:val="cs-CZ"/>
        </w:rPr>
        <w:t>uje velikost pracovního úvazku.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Mzdy bez OON</w:t>
      </w:r>
      <w:r>
        <w:rPr>
          <w:rFonts w:ascii="Arial" w:hAnsi="Arial" w:cs="Arial"/>
          <w:lang w:val="cs-CZ"/>
        </w:rPr>
        <w:t xml:space="preserve"> </w:t>
      </w:r>
      <w:r w:rsidR="004C5995">
        <w:rPr>
          <w:rFonts w:ascii="Arial" w:hAnsi="Arial" w:cs="Arial"/>
          <w:lang w:val="cs-CZ"/>
        </w:rPr>
        <w:t>(ostatní osobní náklady)</w:t>
      </w:r>
      <w:r w:rsidR="001038C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zahrnují základní mzdy a platy </w:t>
      </w:r>
      <w:r w:rsidRPr="00BB7B9B">
        <w:rPr>
          <w:rFonts w:ascii="Arial" w:hAnsi="Arial" w:cs="Arial"/>
          <w:lang w:val="cs-CZ"/>
        </w:rPr>
        <w:t xml:space="preserve">zaměstnanců v pracovním poměru </w:t>
      </w:r>
      <w:r>
        <w:rPr>
          <w:rFonts w:ascii="Arial" w:hAnsi="Arial" w:cs="Arial"/>
          <w:lang w:val="cs-CZ"/>
        </w:rPr>
        <w:t>(mzdový tarif, platový tarif, smluvní mzdu),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>platky a doplatky ke mzd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nebo platu, prémie,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ny, náhrady mezd a plat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 za pracovní pohotovost a jiné složky mzdy nebo platu.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rná hrubá 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sí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mzda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edstavuje mzdu bez ostatních osobních náklad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ipadající na jednoho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stnance (fyzickou osobu nebo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teného) za 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síc.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Tržby celkem</w:t>
      </w:r>
      <w:r>
        <w:rPr>
          <w:rFonts w:ascii="Arial" w:hAnsi="Arial" w:cs="Arial"/>
          <w:lang w:val="cs-CZ"/>
        </w:rPr>
        <w:t xml:space="preserve"> zahrnují tržby bez DPH za prodej zboží, vlastních výrobků a služeb.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Výkony v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etn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 obchodní marže</w:t>
      </w:r>
      <w:r>
        <w:rPr>
          <w:rFonts w:ascii="Arial" w:hAnsi="Arial" w:cs="Arial"/>
          <w:lang w:val="cs-CZ"/>
        </w:rPr>
        <w:t xml:space="preserve"> zahrnují tržby za prodej vlastních výrobk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a služeb, obchodní marži, zm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nu stavu zásob vlastní výroby a aktivaci materiálu, zboží, služeb a dlouhodobého majetku.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Obchodní marže</w:t>
      </w:r>
      <w:r>
        <w:rPr>
          <w:rFonts w:ascii="Arial" w:hAnsi="Arial" w:cs="Arial"/>
          <w:lang w:val="cs-CZ"/>
        </w:rPr>
        <w:t xml:space="preserve"> je rozdíl mezi tržbami za prodané zboží a náklady na prodané zboží. </w:t>
      </w:r>
      <w:r w:rsidRPr="00BB7B9B">
        <w:rPr>
          <w:rFonts w:ascii="Arial" w:hAnsi="Arial" w:cs="Arial"/>
          <w:bCs/>
          <w:lang w:val="cs-CZ"/>
        </w:rPr>
        <w:t>Procentní vyjádření je podíl obchodní marže na tržbách za zboží.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Výkonová spot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eba</w:t>
      </w:r>
      <w:r>
        <w:rPr>
          <w:rFonts w:ascii="Arial" w:hAnsi="Arial" w:cs="Arial"/>
          <w:lang w:val="cs-CZ"/>
        </w:rPr>
        <w:t xml:space="preserve"> představuje spot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</w:t>
      </w:r>
      <w:r w:rsidR="00856909">
        <w:rPr>
          <w:rFonts w:ascii="Arial" w:hAnsi="Arial" w:cs="Arial"/>
          <w:lang w:val="cs-CZ"/>
        </w:rPr>
        <w:t>bu materiálu, energií a služeb.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idaná hodnota</w:t>
      </w:r>
      <w:r>
        <w:rPr>
          <w:rFonts w:ascii="Arial" w:hAnsi="Arial" w:cs="Arial"/>
          <w:lang w:val="cs-CZ"/>
        </w:rPr>
        <w:t xml:space="preserve"> je rozdíl mezi </w:t>
      </w:r>
      <w:r w:rsidR="004C5995">
        <w:rPr>
          <w:rFonts w:ascii="Arial" w:hAnsi="Arial" w:cs="Arial"/>
          <w:lang w:val="cs-CZ"/>
        </w:rPr>
        <w:t xml:space="preserve">výkony, </w:t>
      </w:r>
      <w:r>
        <w:rPr>
          <w:rFonts w:ascii="Arial" w:hAnsi="Arial" w:cs="Arial"/>
          <w:lang w:val="cs-CZ"/>
        </w:rPr>
        <w:t>v</w:t>
      </w:r>
      <w:r>
        <w:rPr>
          <w:rFonts w:ascii="Arial" w:hAnsi="Arial" w:cs="Arial" w:hint="eastAsia"/>
          <w:lang w:val="cs-CZ"/>
        </w:rPr>
        <w:t>č</w:t>
      </w:r>
      <w:r w:rsidR="004C5995">
        <w:rPr>
          <w:rFonts w:ascii="Arial" w:hAnsi="Arial" w:cs="Arial"/>
          <w:lang w:val="cs-CZ"/>
        </w:rPr>
        <w:t xml:space="preserve">etně </w:t>
      </w:r>
      <w:r>
        <w:rPr>
          <w:rFonts w:ascii="Arial" w:hAnsi="Arial" w:cs="Arial"/>
          <w:lang w:val="cs-CZ"/>
        </w:rPr>
        <w:t>obchodní marže a výkonovou spot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ebou.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Výsledek hospodaření po zdanění</w:t>
      </w:r>
      <w:r w:rsidRPr="00BB7B9B">
        <w:rPr>
          <w:rFonts w:ascii="Arial" w:hAnsi="Arial" w:cs="Arial"/>
          <w:bCs/>
          <w:lang w:val="cs-CZ"/>
        </w:rPr>
        <w:t xml:space="preserve"> je vypočten jako rozdíl mezi celkovými výnosy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celkovými náklady.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Aktiva celkem</w:t>
      </w:r>
      <w:r w:rsidRPr="00BB7B9B">
        <w:rPr>
          <w:rFonts w:ascii="Arial" w:hAnsi="Arial" w:cs="Arial"/>
          <w:bCs/>
          <w:lang w:val="cs-CZ"/>
        </w:rPr>
        <w:t xml:space="preserve"> představují stav majetku v netto hodnotě v podobě stálých, oběžných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ostatních aktiv.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Dlouhodobý hmotný majetek v zůstatkové ceně</w:t>
      </w:r>
      <w:r w:rsidRPr="00BB7B9B">
        <w:rPr>
          <w:rFonts w:ascii="Arial" w:hAnsi="Arial" w:cs="Arial"/>
          <w:bCs/>
          <w:lang w:val="cs-CZ"/>
        </w:rPr>
        <w:t xml:space="preserve"> představuje pozemky, stavby</w:t>
      </w:r>
      <w:r w:rsidR="004C5995">
        <w:rPr>
          <w:rFonts w:ascii="Arial" w:hAnsi="Arial" w:cs="Arial"/>
          <w:bCs/>
          <w:lang w:val="cs-CZ"/>
        </w:rPr>
        <w:t>,</w:t>
      </w:r>
      <w:r w:rsidRPr="00BB7B9B">
        <w:rPr>
          <w:rFonts w:ascii="Arial" w:hAnsi="Arial" w:cs="Arial"/>
          <w:bCs/>
          <w:lang w:val="cs-CZ"/>
        </w:rPr>
        <w:t xml:space="preserve"> vč</w:t>
      </w:r>
      <w:r w:rsidR="004C5995">
        <w:rPr>
          <w:rFonts w:ascii="Arial" w:hAnsi="Arial" w:cs="Arial"/>
          <w:bCs/>
          <w:lang w:val="cs-CZ"/>
        </w:rPr>
        <w:t>etn</w:t>
      </w:r>
      <w:r w:rsidR="00D403C4">
        <w:rPr>
          <w:rFonts w:ascii="Arial" w:hAnsi="Arial" w:cs="Arial"/>
          <w:bCs/>
          <w:lang w:val="cs-CZ"/>
        </w:rPr>
        <w:t>ě</w:t>
      </w:r>
      <w:r w:rsidRPr="00BB7B9B">
        <w:rPr>
          <w:rFonts w:ascii="Arial" w:hAnsi="Arial" w:cs="Arial"/>
          <w:bCs/>
          <w:lang w:val="cs-CZ"/>
        </w:rPr>
        <w:t xml:space="preserve"> budov, samostatné movité věci a soubory movitých věcí, pěstitelské celky trvalých porostů, základní stádo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 xml:space="preserve">tažná zvířata, </w:t>
      </w:r>
      <w:r w:rsidR="001038CB">
        <w:rPr>
          <w:rFonts w:ascii="Arial" w:hAnsi="Arial" w:cs="Arial"/>
          <w:bCs/>
          <w:lang w:val="cs-CZ"/>
        </w:rPr>
        <w:t xml:space="preserve">nedokončený </w:t>
      </w:r>
      <w:r w:rsidR="00987918">
        <w:rPr>
          <w:rFonts w:ascii="Arial" w:hAnsi="Arial" w:cs="Arial"/>
          <w:bCs/>
          <w:lang w:val="cs-CZ"/>
        </w:rPr>
        <w:t xml:space="preserve">a </w:t>
      </w:r>
      <w:r w:rsidRPr="00BB7B9B">
        <w:rPr>
          <w:rFonts w:ascii="Arial" w:hAnsi="Arial" w:cs="Arial"/>
          <w:bCs/>
          <w:lang w:val="cs-CZ"/>
        </w:rPr>
        <w:t>jiný dlouhodobý hmotný majetek, poskytnuté zálohy na dlouhodobý hmotný majetek a oceňovací rozdíl k nabytému majetku.</w:t>
      </w:r>
    </w:p>
    <w:p w:rsidR="000C74FE" w:rsidRPr="00BB7B9B" w:rsidRDefault="000C74FE" w:rsidP="00805398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lastRenderedPageBreak/>
        <w:t>Zásoby</w:t>
      </w:r>
      <w:r w:rsidRPr="00BB7B9B">
        <w:rPr>
          <w:rFonts w:ascii="Arial" w:hAnsi="Arial" w:cs="Arial"/>
          <w:bCs/>
          <w:lang w:val="cs-CZ"/>
        </w:rPr>
        <w:t xml:space="preserve"> zahrnují materiál, nedokončenou výrobu a polotovary, výrobky, zvířata a zboží bez poskytnutých záloh.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5A7EE2">
        <w:rPr>
          <w:rFonts w:ascii="Arial" w:hAnsi="Arial" w:cs="Arial"/>
          <w:bCs/>
          <w:lang w:val="cs-CZ"/>
        </w:rPr>
        <w:t>Stavové ukazatele jsou uváděny k 31. </w:t>
      </w:r>
      <w:r w:rsidR="00547525" w:rsidRPr="005A7EE2">
        <w:rPr>
          <w:rFonts w:ascii="Arial" w:hAnsi="Arial" w:cs="Arial"/>
          <w:bCs/>
          <w:lang w:val="cs-CZ"/>
        </w:rPr>
        <w:t>prosinci referenčního</w:t>
      </w:r>
      <w:r w:rsidR="00C1674E" w:rsidRPr="005A7EE2">
        <w:rPr>
          <w:rFonts w:ascii="Arial" w:hAnsi="Arial" w:cs="Arial"/>
          <w:bCs/>
          <w:lang w:val="cs-CZ"/>
        </w:rPr>
        <w:t xml:space="preserve"> roku</w:t>
      </w:r>
      <w:r w:rsidRPr="005A7EE2">
        <w:rPr>
          <w:rFonts w:ascii="Arial" w:hAnsi="Arial" w:cs="Arial"/>
          <w:bCs/>
          <w:lang w:val="cs-CZ"/>
        </w:rPr>
        <w:t>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-1. 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-2. </w:t>
      </w:r>
      <w:r w:rsidRPr="0092412B">
        <w:rPr>
          <w:rFonts w:ascii="Arial" w:hAnsi="Arial" w:cs="Arial"/>
          <w:b/>
          <w:lang w:val="cs-CZ"/>
        </w:rPr>
        <w:t>Základní ukazatele 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Pr="0092412B">
        <w:rPr>
          <w:rFonts w:ascii="Arial" w:hAnsi="Arial" w:cs="Arial"/>
          <w:lang w:val="cs-CZ"/>
        </w:rPr>
        <w:t>ahrnují</w:t>
      </w:r>
      <w:r>
        <w:rPr>
          <w:rFonts w:ascii="Arial" w:hAnsi="Arial" w:cs="Arial"/>
          <w:lang w:val="cs-CZ"/>
        </w:rPr>
        <w:t xml:space="preserve"> data za všechna odvětví obchodu celkem, včetně prodeje a oprav motorových vozidel, patřící do sekce G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-3. až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-5. </w:t>
      </w:r>
      <w:r w:rsidRPr="00BE3DC8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BE3DC8">
        <w:rPr>
          <w:rFonts w:ascii="Arial" w:hAnsi="Arial" w:cs="Arial"/>
          <w:b/>
          <w:lang w:val="cs-CZ"/>
        </w:rPr>
        <w:t>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BE3DC8">
        <w:rPr>
          <w:rFonts w:ascii="Arial" w:hAnsi="Arial" w:cs="Arial"/>
          <w:lang w:val="cs-CZ"/>
        </w:rPr>
        <w:t>V tabulkách jsou prezentována</w:t>
      </w:r>
      <w:r>
        <w:rPr>
          <w:rFonts w:ascii="Arial" w:hAnsi="Arial" w:cs="Arial"/>
          <w:lang w:val="cs-CZ"/>
        </w:rPr>
        <w:t xml:space="preserve"> data za jednotlivé oddíly sekce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 xml:space="preserve">G, tj. za oddíly 45, 46 a 47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-6. </w:t>
      </w:r>
      <w:r w:rsidRPr="00EA33BE">
        <w:rPr>
          <w:rFonts w:ascii="Arial" w:hAnsi="Arial" w:cs="Arial"/>
          <w:b/>
          <w:lang w:val="cs-CZ"/>
        </w:rPr>
        <w:t>Tržby v</w:t>
      </w:r>
      <w:r>
        <w:rPr>
          <w:rFonts w:ascii="Arial" w:hAnsi="Arial" w:cs="Arial"/>
          <w:b/>
          <w:lang w:val="cs-CZ"/>
        </w:rPr>
        <w:t> </w:t>
      </w:r>
      <w:r w:rsidRPr="00EA33BE">
        <w:rPr>
          <w:rFonts w:ascii="Arial" w:hAnsi="Arial" w:cs="Arial"/>
          <w:b/>
          <w:lang w:val="cs-CZ"/>
        </w:rPr>
        <w:t>maloobchodě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Přehled tržeb v maloobchodě (bez prodeje motorových vozidel a včetně prodeje pohonných hmot) dle trojmístných skupin 47.1 až 47.9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-7. a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-8. </w:t>
      </w:r>
      <w:r w:rsidRPr="00EA33BE">
        <w:rPr>
          <w:rFonts w:ascii="Arial" w:hAnsi="Arial" w:cs="Arial"/>
          <w:b/>
          <w:lang w:val="cs-CZ"/>
        </w:rPr>
        <w:t>Základní ukazatele ubytování,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Obě tabulky zahrnují celková data za sekci I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>-9. a</w:t>
      </w:r>
      <w:r>
        <w:rPr>
          <w:rFonts w:ascii="Arial" w:hAnsi="Arial" w:cs="Arial"/>
          <w:b/>
          <w:lang w:val="cs-CZ"/>
        </w:rPr>
        <w:t xml:space="preserve"> 18</w:t>
      </w:r>
      <w:r>
        <w:rPr>
          <w:rFonts w:ascii="Arial" w:hAnsi="Arial" w:cs="Arial"/>
          <w:lang w:val="cs-CZ"/>
        </w:rPr>
        <w:t xml:space="preserve">-10. </w:t>
      </w:r>
      <w:r w:rsidRPr="00EA33BE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EA33BE">
        <w:rPr>
          <w:rFonts w:ascii="Arial" w:hAnsi="Arial" w:cs="Arial"/>
          <w:b/>
          <w:lang w:val="cs-CZ"/>
        </w:rPr>
        <w:t>ubytování</w:t>
      </w:r>
      <w:r>
        <w:rPr>
          <w:rFonts w:ascii="Arial" w:hAnsi="Arial" w:cs="Arial"/>
          <w:b/>
          <w:lang w:val="cs-CZ"/>
        </w:rPr>
        <w:t>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-9. obsahuje vybrané základní ukazatele za oddíl 55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, 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-10. tytéž ukazatele za oddíl 56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D74C7" w:rsidRPr="008C4D3B" w:rsidRDefault="00547525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</w:rPr>
      </w:pPr>
      <w:r w:rsidRPr="00547525">
        <w:rPr>
          <w:rFonts w:ascii="Arial" w:hAnsi="Arial" w:cs="Arial"/>
        </w:rPr>
        <w:t xml:space="preserve">Další informace jsou dostupné na internetových stránkách </w:t>
      </w:r>
      <w:r w:rsidRPr="00547525">
        <w:rPr>
          <w:rFonts w:ascii="Arial" w:hAnsi="Arial" w:cs="Arial" w:hint="eastAsia"/>
        </w:rPr>
        <w:t>Č</w:t>
      </w:r>
      <w:r w:rsidRPr="00547525">
        <w:rPr>
          <w:rFonts w:ascii="Arial" w:hAnsi="Arial" w:cs="Arial"/>
        </w:rPr>
        <w:t>eského statistického ú</w:t>
      </w:r>
      <w:r w:rsidRPr="00547525">
        <w:rPr>
          <w:rFonts w:ascii="Arial" w:hAnsi="Arial" w:cs="Arial" w:hint="eastAsia"/>
        </w:rPr>
        <w:t>ř</w:t>
      </w:r>
      <w:r w:rsidRPr="00547525">
        <w:rPr>
          <w:rFonts w:ascii="Arial" w:hAnsi="Arial" w:cs="Arial"/>
        </w:rPr>
        <w:t>adu:</w:t>
      </w:r>
    </w:p>
    <w:p w:rsidR="000C74FE" w:rsidRDefault="000C74FE" w:rsidP="00856909">
      <w:pPr>
        <w:pStyle w:val="Zkladntext2"/>
        <w:widowControl/>
        <w:spacing w:before="120"/>
      </w:pPr>
      <w:r w:rsidRPr="006C594A">
        <w:t>– </w:t>
      </w:r>
      <w:hyperlink r:id="rId6" w:history="1">
        <w:r w:rsidR="0061133A" w:rsidRPr="00154B68">
          <w:rPr>
            <w:rStyle w:val="Hypertextovodkaz"/>
          </w:rPr>
          <w:t>www.czso.cz/csu/czso/obchod_pohostinstvi_ubytovani</w:t>
        </w:r>
      </w:hyperlink>
    </w:p>
    <w:p w:rsidR="00AD50E1" w:rsidRPr="006C594A" w:rsidRDefault="00AD50E1" w:rsidP="00856909">
      <w:pPr>
        <w:pStyle w:val="Zkladntext2"/>
        <w:widowControl/>
        <w:spacing w:before="120"/>
      </w:pPr>
    </w:p>
    <w:p w:rsidR="00AD50E1" w:rsidRDefault="00AD50E1" w:rsidP="00856909">
      <w:pPr>
        <w:pStyle w:val="Zkladntext2"/>
        <w:widowControl/>
      </w:pPr>
    </w:p>
    <w:p w:rsidR="00AD50E1" w:rsidRDefault="00AD50E1" w:rsidP="00856909">
      <w:pPr>
        <w:pStyle w:val="Zkladntext2"/>
        <w:widowControl/>
      </w:pPr>
    </w:p>
    <w:p w:rsidR="00AD50E1" w:rsidRDefault="00AD50E1" w:rsidP="00856909">
      <w:pPr>
        <w:pStyle w:val="Zkladntext2"/>
        <w:widowControl/>
      </w:pPr>
    </w:p>
    <w:p w:rsidR="00AD50E1" w:rsidRDefault="00AD50E1" w:rsidP="00856909">
      <w:pPr>
        <w:pStyle w:val="Nadpis5"/>
        <w:keepNext w:val="0"/>
        <w:widowControl/>
        <w:numPr>
          <w:ilvl w:val="0"/>
          <w:numId w:val="0"/>
        </w:numPr>
      </w:pPr>
      <w:r>
        <w:t>B. CESTOVNÍ RUCH</w:t>
      </w:r>
    </w:p>
    <w:p w:rsidR="00AD50E1" w:rsidRDefault="00AD50E1" w:rsidP="00856909">
      <w:pPr>
        <w:pStyle w:val="Zkladntext2"/>
        <w:widowControl/>
        <w:spacing w:before="120"/>
        <w:ind w:firstLine="709"/>
      </w:pPr>
      <w: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(TSA), tvorbě hrubého fixního kapitálu v cestovním ruchu a modulu zaměstnanosti cestovního ruchu.</w:t>
      </w:r>
    </w:p>
    <w:p w:rsidR="00400E61" w:rsidRDefault="00400E61" w:rsidP="00856909">
      <w:pPr>
        <w:pStyle w:val="Zkladntext2"/>
        <w:widowControl/>
        <w:spacing w:before="120"/>
        <w:ind w:firstLine="709"/>
      </w:pPr>
      <w:r>
        <w:t>Na základě výsledků cenzu ubytovacích zařízení M</w:t>
      </w:r>
      <w:r w:rsidR="00C16B4F">
        <w:t>inisterstva pro místní rozvoj</w:t>
      </w:r>
      <w:r>
        <w:t xml:space="preserve"> byla provedena revize údajů za rok 2012 a 2013 </w:t>
      </w:r>
      <w:r w:rsidRPr="00547525">
        <w:t>(</w:t>
      </w:r>
      <w:r>
        <w:t>t</w:t>
      </w:r>
      <w:r w:rsidRPr="00547525">
        <w:t xml:space="preserve">ab. </w:t>
      </w:r>
      <w:r w:rsidRPr="009D7869">
        <w:rPr>
          <w:b/>
        </w:rPr>
        <w:t>18</w:t>
      </w:r>
      <w:r w:rsidRPr="00547525">
        <w:t>-11.)</w:t>
      </w:r>
      <w:r>
        <w:t>. Předchozí období již revidována nebyla, proto data do roku 2011 nemusí být s roky 2012 až 2014 plně srovnatelná.</w:t>
      </w:r>
    </w:p>
    <w:p w:rsidR="00AD50E1" w:rsidRDefault="00AD50E1" w:rsidP="00856909">
      <w:pPr>
        <w:widowControl/>
        <w:suppressAutoHyphens/>
        <w:rPr>
          <w:rFonts w:ascii="Arial" w:hAnsi="Arial" w:cs="Arial"/>
          <w:lang w:val="cs-CZ"/>
        </w:rPr>
      </w:pPr>
    </w:p>
    <w:p w:rsidR="00400E61" w:rsidRPr="009D7869" w:rsidRDefault="00400E61" w:rsidP="00856909">
      <w:pPr>
        <w:widowControl/>
        <w:suppressAutoHyphens/>
        <w:rPr>
          <w:rFonts w:ascii="Arial" w:hAnsi="Arial" w:cs="Arial"/>
          <w:lang w:val="cs-CZ"/>
        </w:rPr>
      </w:pPr>
    </w:p>
    <w:p w:rsidR="00AD50E1" w:rsidRPr="009D7869" w:rsidRDefault="00AD50E1" w:rsidP="00856909">
      <w:pPr>
        <w:pStyle w:val="Nadpis2"/>
        <w:keepNext w:val="0"/>
        <w:widowControl/>
        <w:tabs>
          <w:tab w:val="clear" w:pos="1416"/>
          <w:tab w:val="left" w:pos="13452"/>
        </w:tabs>
        <w:rPr>
          <w:rFonts w:ascii="Arial" w:hAnsi="Arial" w:cs="Arial"/>
          <w:b w:val="0"/>
        </w:rPr>
      </w:pPr>
    </w:p>
    <w:p w:rsidR="00AD50E1" w:rsidRDefault="00AD50E1" w:rsidP="00805398">
      <w:pPr>
        <w:pStyle w:val="Nadpis2"/>
        <w:widowControl/>
        <w:tabs>
          <w:tab w:val="clear" w:pos="1416"/>
          <w:tab w:val="left" w:pos="1345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Poznámky k tabulkám</w:t>
      </w:r>
    </w:p>
    <w:p w:rsidR="00AD50E1" w:rsidRPr="00E606E9" w:rsidRDefault="00AD50E1" w:rsidP="00805398">
      <w:pPr>
        <w:keepNext/>
        <w:widowControl/>
        <w:suppressAutoHyphens/>
        <w:rPr>
          <w:rFonts w:ascii="Arial" w:hAnsi="Arial" w:cs="Arial"/>
          <w:lang w:val="cs-CZ"/>
        </w:rPr>
      </w:pPr>
    </w:p>
    <w:p w:rsidR="00AD50E1" w:rsidRPr="00E606E9" w:rsidRDefault="00AD50E1" w:rsidP="00805398">
      <w:pPr>
        <w:keepNext/>
        <w:widowControl/>
        <w:suppressAutoHyphens/>
        <w:rPr>
          <w:rFonts w:ascii="Arial" w:hAnsi="Arial" w:cs="Arial"/>
          <w:lang w:val="cs-CZ"/>
        </w:rPr>
      </w:pPr>
    </w:p>
    <w:p w:rsidR="00AD50E1" w:rsidRDefault="00AD50E1" w:rsidP="00805398">
      <w:pPr>
        <w:keepNext/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-11. až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-14. </w:t>
      </w:r>
      <w:r>
        <w:rPr>
          <w:rFonts w:ascii="Arial" w:hAnsi="Arial" w:cs="Arial"/>
          <w:b/>
          <w:bCs/>
          <w:lang w:val="cs-CZ"/>
        </w:rPr>
        <w:t>Hromadná ubytovací zařízení cestovního ruchu</w:t>
      </w:r>
    </w:p>
    <w:p w:rsidR="00AD50E1" w:rsidRPr="00DE6C4A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DE6C4A">
        <w:rPr>
          <w:rFonts w:ascii="Arial" w:hAnsi="Arial" w:cs="Arial"/>
          <w:bCs/>
          <w:lang w:val="cs-CZ"/>
        </w:rPr>
        <w:t xml:space="preserve">Údaje o ubytovacích zařízeních jsou získávány ze šetření o kapacitách a návštěvnosti </w:t>
      </w:r>
      <w:r>
        <w:rPr>
          <w:rFonts w:ascii="Arial" w:hAnsi="Arial" w:cs="Arial"/>
          <w:bCs/>
          <w:lang w:val="cs-CZ"/>
        </w:rPr>
        <w:t xml:space="preserve">hromadných ubytovacích zařízení. </w:t>
      </w:r>
      <w:r>
        <w:rPr>
          <w:rFonts w:ascii="Arial" w:hAnsi="Arial" w:cs="Arial"/>
          <w:lang w:val="cs-CZ"/>
        </w:rPr>
        <w:t xml:space="preserve">Uváděné údaje jsou souhrnem dat za zpracované dotazníky </w:t>
      </w:r>
      <w:r w:rsidR="00856909">
        <w:rPr>
          <w:rFonts w:ascii="Arial" w:hAnsi="Arial" w:cs="Arial"/>
          <w:lang w:val="cs-CZ"/>
        </w:rPr>
        <w:t>a </w:t>
      </w:r>
      <w:r>
        <w:rPr>
          <w:rFonts w:ascii="Arial" w:hAnsi="Arial" w:cs="Arial"/>
          <w:lang w:val="cs-CZ"/>
        </w:rPr>
        <w:t>dopočtenou non-response.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Hromadná ubytovací zařízení </w:t>
      </w:r>
      <w:r>
        <w:rPr>
          <w:rFonts w:ascii="Arial" w:hAnsi="Arial" w:cs="Arial"/>
          <w:lang w:val="cs-CZ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Maximální kapacita</w:t>
      </w:r>
      <w:r>
        <w:rPr>
          <w:rFonts w:ascii="Arial" w:hAnsi="Arial" w:cs="Arial"/>
          <w:szCs w:val="16"/>
          <w:lang w:val="cs-CZ"/>
        </w:rPr>
        <w:t xml:space="preserve"> hromadných ubytovacích zařízení cestovního ruchu je součtem maximálních kapacit za jednotlivá ubytovací zařízení.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Lůžka</w:t>
      </w:r>
      <w:r>
        <w:rPr>
          <w:rFonts w:ascii="Arial" w:hAnsi="Arial" w:cs="Arial"/>
          <w:lang w:val="cs-CZ"/>
        </w:rPr>
        <w:t xml:space="preserve"> v hromadných ubytovacích zařízeních udávají maximální počet všech </w:t>
      </w:r>
      <w:r w:rsidRPr="00DA5346">
        <w:rPr>
          <w:rFonts w:ascii="Arial" w:hAnsi="Arial" w:cs="Arial"/>
          <w:bCs/>
          <w:lang w:val="cs-CZ"/>
        </w:rPr>
        <w:t>stálých</w:t>
      </w:r>
      <w:r w:rsidRPr="00DA534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lůžek, která jsou využívána výhradně pro noční odpočinek hostů (bez lůžek příležitostných – přistýlek).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Místa pro stany a karavany</w:t>
      </w:r>
      <w:r>
        <w:rPr>
          <w:rFonts w:ascii="Arial" w:hAnsi="Arial" w:cs="Arial"/>
          <w:lang w:val="cs-CZ"/>
        </w:rPr>
        <w:t xml:space="preserve"> udávají maximální počet stanovišť pro umístění stanů, obytných přívěsů a karavanů.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Host</w:t>
      </w:r>
      <w:r>
        <w:rPr>
          <w:rFonts w:ascii="Arial" w:hAnsi="Arial" w:cs="Arial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b/>
          <w:bCs/>
          <w:lang w:val="cs-CZ"/>
        </w:rPr>
        <w:t>Nerezidenti</w:t>
      </w:r>
      <w:proofErr w:type="spellEnd"/>
      <w:r>
        <w:rPr>
          <w:rFonts w:ascii="Arial" w:hAnsi="Arial" w:cs="Arial"/>
          <w:lang w:val="cs-CZ"/>
        </w:rPr>
        <w:t xml:space="preserve"> jsou osoby, které se na území ČR zdržují kratší dobu než jeden rok.</w:t>
      </w:r>
    </w:p>
    <w:p w:rsidR="00AD50E1" w:rsidRDefault="00AD50E1" w:rsidP="0085690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Počet přenocování </w:t>
      </w:r>
      <w:r>
        <w:rPr>
          <w:rFonts w:ascii="Arial" w:hAnsi="Arial" w:cs="Arial"/>
          <w:lang w:val="cs-CZ"/>
        </w:rPr>
        <w:t>je celkový počet přenocování (strávených nocí) hostů v hromadných ubytovacích zařízeních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Čisté využití lůžek</w:t>
      </w:r>
      <w:r>
        <w:rPr>
          <w:rFonts w:ascii="Arial" w:hAnsi="Arial" w:cs="Arial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4E0D6B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Využití pokojů </w:t>
      </w:r>
      <w:r>
        <w:rPr>
          <w:rFonts w:ascii="Arial" w:hAnsi="Arial" w:cs="Arial"/>
          <w:lang w:val="cs-CZ"/>
        </w:rPr>
        <w:t xml:space="preserve">je podílem počtu realizovaných </w:t>
      </w:r>
      <w:proofErr w:type="spellStart"/>
      <w:r>
        <w:rPr>
          <w:rFonts w:ascii="Arial" w:hAnsi="Arial" w:cs="Arial"/>
          <w:lang w:val="cs-CZ"/>
        </w:rPr>
        <w:t>pokojodnů</w:t>
      </w:r>
      <w:proofErr w:type="spellEnd"/>
      <w:r>
        <w:rPr>
          <w:rFonts w:ascii="Arial" w:hAnsi="Arial" w:cs="Arial"/>
          <w:lang w:val="cs-CZ"/>
        </w:rPr>
        <w:t xml:space="preserve"> (tj. počtu obsazených pokojů za jednotlivé dny sledovaného období) a součinu průměrného počtu pokojů k dispozici s počtem provozních dnů.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Průměrný počet přenocování </w:t>
      </w:r>
      <w:r>
        <w:rPr>
          <w:rFonts w:ascii="Arial" w:hAnsi="Arial" w:cs="Arial"/>
          <w:lang w:val="cs-CZ"/>
        </w:rPr>
        <w:t>je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průměrný počet přenocování připadající na jednoho hosta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Průměrná doba pobytu</w:t>
      </w:r>
      <w:r>
        <w:rPr>
          <w:rFonts w:ascii="Arial" w:hAnsi="Arial" w:cs="Arial"/>
          <w:lang w:val="cs-CZ"/>
        </w:rPr>
        <w:t xml:space="preserve"> je o jeden den vyšší než průměrný počet přenocování.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-15. </w:t>
      </w:r>
      <w:r>
        <w:rPr>
          <w:rFonts w:ascii="Arial" w:hAnsi="Arial" w:cs="Arial"/>
          <w:b/>
          <w:bCs/>
          <w:lang w:val="cs-CZ"/>
        </w:rPr>
        <w:t>Delší cesty za účelem trávení volného času</w:t>
      </w:r>
    </w:p>
    <w:p w:rsidR="00AD50E1" w:rsidRPr="00DD30B4" w:rsidRDefault="00AD50E1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</w:rPr>
      </w:pPr>
      <w:r w:rsidRPr="00DD30B4">
        <w:rPr>
          <w:rFonts w:ascii="Arial" w:hAnsi="Arial" w:cs="Arial"/>
          <w:b w:val="0"/>
          <w:bCs w:val="0"/>
        </w:rPr>
        <w:t xml:space="preserve">Zdrojem údajů je </w:t>
      </w:r>
      <w:r w:rsidRPr="00DD30B4">
        <w:rPr>
          <w:rFonts w:ascii="Arial" w:hAnsi="Arial" w:cs="Arial"/>
          <w:b w:val="0"/>
        </w:rPr>
        <w:t xml:space="preserve">výběrové šetření cestovního ruchu </w:t>
      </w:r>
      <w:r w:rsidRPr="00DD30B4">
        <w:rPr>
          <w:rFonts w:ascii="Arial" w:hAnsi="Arial" w:cs="Arial"/>
          <w:b w:val="0"/>
          <w:bCs w:val="0"/>
        </w:rPr>
        <w:t>(VŠCR). Šetření se provádí každý měsíc v náhodně vybraném vzorku domácností, dotazovány jsou osoby ve věku 15 a více let.</w:t>
      </w:r>
      <w:r w:rsidRPr="00DD30B4">
        <w:rPr>
          <w:rFonts w:ascii="Arial" w:hAnsi="Arial" w:cs="Arial"/>
          <w:b w:val="0"/>
        </w:rPr>
        <w:t xml:space="preserve"> </w:t>
      </w:r>
      <w:r w:rsidRPr="00DD30B4">
        <w:rPr>
          <w:rFonts w:ascii="Arial" w:hAnsi="Arial" w:cs="Arial"/>
          <w:b w:val="0"/>
          <w:bCs w:val="0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DD30B4" w:rsidRDefault="00AD50E1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</w:rPr>
      </w:pPr>
      <w:r w:rsidRPr="00DD30B4">
        <w:rPr>
          <w:rFonts w:ascii="Arial" w:hAnsi="Arial" w:cs="Arial"/>
          <w:b w:val="0"/>
          <w:bCs w:val="0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Pr="00DD30B4" w:rsidRDefault="00AD50E1" w:rsidP="00856909">
      <w:pPr>
        <w:pStyle w:val="Zkladntext2"/>
        <w:widowControl/>
        <w:rPr>
          <w:b/>
          <w:bCs/>
        </w:rPr>
      </w:pPr>
      <w:r w:rsidRPr="00DD30B4">
        <w:t xml:space="preserve">Tab. </w:t>
      </w:r>
      <w:r w:rsidRPr="00DD30B4">
        <w:rPr>
          <w:b/>
          <w:bCs/>
        </w:rPr>
        <w:t>18</w:t>
      </w:r>
      <w:r w:rsidRPr="00DD30B4">
        <w:t xml:space="preserve">-16. </w:t>
      </w:r>
      <w:r w:rsidRPr="00DD30B4">
        <w:rPr>
          <w:b/>
          <w:bCs/>
        </w:rPr>
        <w:t>Satelitní účet cestovního ruchu České republiky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Vnitřní cestovní ruch</w:t>
      </w:r>
      <w:r>
        <w:rPr>
          <w:rFonts w:ascii="Arial" w:hAnsi="Arial" w:cs="Arial"/>
          <w:lang w:val="cs-CZ"/>
        </w:rPr>
        <w:t xml:space="preserve"> (domácí a příjezdový) je cestovní ruch rezidentů i nerezidentů na</w:t>
      </w:r>
      <w:r>
        <w:rPr>
          <w:rFonts w:ascii="Arial" w:hAnsi="Arial" w:cs="Arial"/>
          <w:strike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území České republiky. </w:t>
      </w:r>
      <w:r>
        <w:rPr>
          <w:rFonts w:ascii="Arial" w:hAnsi="Arial" w:cs="Arial"/>
          <w:b/>
          <w:bCs/>
          <w:lang w:val="cs-CZ"/>
        </w:rPr>
        <w:t xml:space="preserve">Spotřeba ve vnitřním cestovním ruchu </w:t>
      </w:r>
      <w:r>
        <w:rPr>
          <w:rFonts w:ascii="Arial" w:hAnsi="Arial" w:cs="Arial"/>
          <w:lang w:val="cs-CZ"/>
        </w:rPr>
        <w:t>v České republice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vyjadřuje celkový objem financí utracených za cestovní ruch v národním hospodářství (tj. všechny výdaje za cestovní ruch realizované v České republice).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Domácí cestovní ruch</w:t>
      </w:r>
      <w:r>
        <w:rPr>
          <w:rFonts w:ascii="Arial" w:hAnsi="Arial" w:cs="Arial"/>
          <w:lang w:val="cs-CZ"/>
        </w:rPr>
        <w:t xml:space="preserve"> je cestovní ruch rezidentů na území České republiky. Pro potřeby satelitního účtu cestovního ruchu je však nutné chápat domácí cestovní ruch, resp. jeho spotřebu </w:t>
      </w:r>
      <w:proofErr w:type="spellStart"/>
      <w:r>
        <w:rPr>
          <w:rFonts w:ascii="Arial" w:hAnsi="Arial" w:cs="Arial"/>
          <w:lang w:val="cs-CZ"/>
        </w:rPr>
        <w:t>šířeji</w:t>
      </w:r>
      <w:proofErr w:type="spellEnd"/>
      <w:r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b/>
          <w:bCs/>
          <w:lang w:val="cs-CZ"/>
        </w:rPr>
        <w:t>Spotřeba v domácím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 xml:space="preserve">cestovním ruchu </w:t>
      </w:r>
      <w:r>
        <w:rPr>
          <w:rFonts w:ascii="Arial" w:hAnsi="Arial" w:cs="Arial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Příjezdový cestovní ruch</w:t>
      </w:r>
      <w:r>
        <w:rPr>
          <w:rFonts w:ascii="Arial" w:hAnsi="Arial" w:cs="Arial"/>
          <w:lang w:val="cs-CZ"/>
        </w:rPr>
        <w:t xml:space="preserve"> zahrnuje návštěvu a pobyt nerezidentů na území České republiky. </w:t>
      </w:r>
      <w:r>
        <w:rPr>
          <w:rFonts w:ascii="Arial" w:hAnsi="Arial" w:cs="Arial"/>
          <w:b/>
          <w:bCs/>
          <w:lang w:val="cs-CZ"/>
        </w:rPr>
        <w:t>Spotřeba v příjezdovém cestovním ruchu</w:t>
      </w:r>
      <w:r>
        <w:rPr>
          <w:rFonts w:ascii="Arial" w:hAnsi="Arial" w:cs="Arial"/>
          <w:lang w:val="cs-CZ"/>
        </w:rPr>
        <w:t xml:space="preserve"> je chápána jako celkový objem prostředků vydaných na cestovní ruch nerezidenty plynoucích do navštívené země. To znamená, že je započítávána i ta část výdajů, které jsou zaplaceny mimo území České republiky (v zemi </w:t>
      </w:r>
      <w:proofErr w:type="spellStart"/>
      <w:r>
        <w:rPr>
          <w:rFonts w:ascii="Arial" w:hAnsi="Arial" w:cs="Arial"/>
          <w:lang w:val="cs-CZ"/>
        </w:rPr>
        <w:t>nerezidenta</w:t>
      </w:r>
      <w:proofErr w:type="spellEnd"/>
      <w:r>
        <w:rPr>
          <w:rFonts w:ascii="Arial" w:hAnsi="Arial" w:cs="Arial"/>
          <w:lang w:val="cs-CZ"/>
        </w:rPr>
        <w:t>), ale formou různých plateb do České republiky směřují (např. platby za ubytování v rámci zájezdu).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Výjezdový cestovní ruch</w:t>
      </w:r>
      <w:r>
        <w:rPr>
          <w:rFonts w:ascii="Arial" w:hAnsi="Arial" w:cs="Arial"/>
          <w:lang w:val="cs-CZ"/>
        </w:rPr>
        <w:t xml:space="preserve"> zahrnuje návštěvu a pobyt rezidentů mimo území České republiky. </w:t>
      </w:r>
      <w:r>
        <w:rPr>
          <w:rFonts w:ascii="Arial" w:hAnsi="Arial" w:cs="Arial"/>
          <w:b/>
          <w:bCs/>
          <w:lang w:val="cs-CZ"/>
        </w:rPr>
        <w:t>Spotřeba ve výjezdovém cestovním ruchu</w:t>
      </w:r>
      <w:r>
        <w:rPr>
          <w:rFonts w:ascii="Arial" w:hAnsi="Arial" w:cs="Arial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Saldo cestovního ruchu</w:t>
      </w:r>
      <w:r>
        <w:rPr>
          <w:rFonts w:ascii="Arial" w:hAnsi="Arial" w:cs="Arial"/>
          <w:lang w:val="cs-CZ"/>
        </w:rPr>
        <w:t xml:space="preserve"> vyjadřuje rozdíl mezi objemy finančních prostředků mířících ze zahraničí do České republiky a naopak.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-17. </w:t>
      </w:r>
      <w:r>
        <w:rPr>
          <w:rFonts w:ascii="Arial" w:hAnsi="Arial" w:cs="Arial"/>
          <w:b/>
          <w:bCs/>
          <w:lang w:val="cs-CZ"/>
        </w:rPr>
        <w:t>Tvorba hrubého fixního kapitálu (THFK) v cestovním ruchu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Tvorba hrubého fixního kapitálu v cestovním ruchu</w:t>
      </w:r>
      <w:r>
        <w:rPr>
          <w:rFonts w:ascii="Arial" w:hAnsi="Arial" w:cs="Arial"/>
          <w:lang w:val="cs-CZ"/>
        </w:rPr>
        <w:t xml:space="preserve"> zahrnuje pořízení a úbytky hmotných (P.511) a nehmotných fixních aktiv (P.512) a zvýšení hodnoty nevyráběných nefinančních aktiv (P.513). Pořízení fixních aktiv tvoří nové investice, investice ve vlastní režii, technické zhodnocení (rekonstrukce, modernizace), nákupy a bezúplatná nabytí stávajícího dlouhodobého majetku pro účely cestovního ruchu. Úbytky fixních aktiv představují prodeje a bezúplatná předání stávajícího dlouhodobého majetku pro účely cestovního ruchu.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-18. </w:t>
      </w:r>
      <w:r>
        <w:rPr>
          <w:rFonts w:ascii="Arial" w:hAnsi="Arial" w:cs="Arial"/>
          <w:b/>
          <w:bCs/>
          <w:lang w:val="cs-CZ"/>
        </w:rPr>
        <w:t>Modul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stnanosti cestovního ruchu 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eské republiky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zaměstnaných osob v cestovním ruchu</w:t>
      </w:r>
      <w:r>
        <w:rPr>
          <w:rFonts w:ascii="Arial" w:hAnsi="Arial" w:cs="Arial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i osoby </w:t>
      </w:r>
      <w:proofErr w:type="spellStart"/>
      <w:r>
        <w:rPr>
          <w:rFonts w:ascii="Arial" w:hAnsi="Arial" w:cs="Arial"/>
          <w:lang w:val="cs-CZ"/>
        </w:rPr>
        <w:t>sebezaměstnané</w:t>
      </w:r>
      <w:proofErr w:type="spellEnd"/>
      <w:r>
        <w:rPr>
          <w:rFonts w:ascii="Arial" w:hAnsi="Arial" w:cs="Arial"/>
          <w:lang w:val="cs-CZ"/>
        </w:rPr>
        <w:t>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pracovních míst v cestovním ruchu</w:t>
      </w:r>
      <w:r>
        <w:rPr>
          <w:rFonts w:ascii="Arial" w:hAnsi="Arial" w:cs="Arial"/>
          <w:lang w:val="cs-CZ"/>
        </w:rPr>
        <w:t xml:space="preserve"> zahrnuje navíc druhá a další zaměstnání a zároveň je přepočítán na ekvivalent plné pracovní doby (plný úvazek).</w:t>
      </w:r>
    </w:p>
    <w:p w:rsidR="00AD50E1" w:rsidRPr="00DD30B4" w:rsidRDefault="00AD50E1" w:rsidP="00856909">
      <w:pPr>
        <w:pStyle w:val="Zkladntext2"/>
        <w:widowControl/>
        <w:spacing w:before="120"/>
        <w:ind w:firstLine="709"/>
      </w:pPr>
      <w:r w:rsidRPr="00DD30B4">
        <w:rPr>
          <w:b/>
          <w:bCs/>
        </w:rPr>
        <w:t>Podíly cestovního ruchu</w:t>
      </w:r>
      <w:r w:rsidRPr="00DD30B4">
        <w:t xml:space="preserve"> na hlavních makroekonomických ukazatelích vyjadřují tzv. přímý vliv cestovního ruchu.</w:t>
      </w:r>
    </w:p>
    <w:p w:rsidR="00AD50E1" w:rsidRPr="00DD30B4" w:rsidRDefault="00AD50E1" w:rsidP="00856909">
      <w:pPr>
        <w:pStyle w:val="Zkladntext2"/>
        <w:widowControl/>
      </w:pPr>
    </w:p>
    <w:p w:rsidR="00AD50E1" w:rsidRPr="00DD30B4" w:rsidRDefault="00AD50E1" w:rsidP="00856909">
      <w:pPr>
        <w:pStyle w:val="Zkladntext2"/>
        <w:widowControl/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Pr="00DD30B4" w:rsidRDefault="00AD50E1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</w:rPr>
      </w:pPr>
      <w:r w:rsidRPr="00DD30B4">
        <w:rPr>
          <w:rFonts w:ascii="Arial" w:hAnsi="Arial" w:cs="Arial"/>
        </w:rPr>
        <w:t xml:space="preserve">Další informace jsou dostupné na internetových stránkách </w:t>
      </w:r>
      <w:r w:rsidRPr="00DD30B4">
        <w:rPr>
          <w:rFonts w:ascii="Arial" w:hAnsi="Arial" w:cs="Arial" w:hint="eastAsia"/>
        </w:rPr>
        <w:t>Č</w:t>
      </w:r>
      <w:r w:rsidRPr="00DD30B4">
        <w:rPr>
          <w:rFonts w:ascii="Arial" w:hAnsi="Arial" w:cs="Arial"/>
        </w:rPr>
        <w:t xml:space="preserve">eského statistického </w:t>
      </w:r>
      <w:r w:rsidRPr="00DD30B4">
        <w:rPr>
          <w:rFonts w:ascii="Arial" w:hAnsi="Arial" w:cs="Arial" w:hint="eastAsia"/>
        </w:rPr>
        <w:t>úř</w:t>
      </w:r>
      <w:r w:rsidRPr="00DD30B4">
        <w:rPr>
          <w:rFonts w:ascii="Arial" w:hAnsi="Arial" w:cs="Arial"/>
        </w:rPr>
        <w:t>adu:</w:t>
      </w:r>
    </w:p>
    <w:p w:rsidR="0054710E" w:rsidRDefault="00AD50E1" w:rsidP="00856909">
      <w:pPr>
        <w:pStyle w:val="Zkladntext2"/>
        <w:widowControl/>
        <w:spacing w:before="120"/>
      </w:pPr>
      <w:r w:rsidRPr="00DD30B4">
        <w:rPr>
          <w:rFonts w:ascii="Segoe UI" w:hAnsi="Segoe UI" w:cs="Segoe UI"/>
        </w:rPr>
        <w:t>–</w:t>
      </w:r>
      <w:r w:rsidRPr="00DD30B4">
        <w:rPr>
          <w:rFonts w:ascii="Segoe UI" w:hAnsi="Segoe UI" w:cs="Segoe UI"/>
          <w:u w:val="single"/>
        </w:rPr>
        <w:t> </w:t>
      </w:r>
      <w:hyperlink r:id="rId7" w:history="1">
        <w:r w:rsidR="005F7B4D" w:rsidRPr="00154B68">
          <w:rPr>
            <w:rStyle w:val="Hypertextovodkaz"/>
            <w:rFonts w:ascii="Segoe UI" w:hAnsi="Segoe UI" w:cs="Segoe UI"/>
          </w:rPr>
          <w:t>www.czso.cz/csu/</w:t>
        </w:r>
        <w:bookmarkStart w:id="0" w:name="_GoBack"/>
        <w:bookmarkEnd w:id="0"/>
        <w:r w:rsidR="005F7B4D" w:rsidRPr="00154B68">
          <w:rPr>
            <w:rStyle w:val="Hypertextovodkaz"/>
            <w:rFonts w:ascii="Segoe UI" w:hAnsi="Segoe UI" w:cs="Segoe UI"/>
          </w:rPr>
          <w:t>czso/cestovni_ruch</w:t>
        </w:r>
      </w:hyperlink>
    </w:p>
    <w:sectPr w:rsidR="0054710E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7D"/>
    <w:rsid w:val="00000A90"/>
    <w:rsid w:val="00011948"/>
    <w:rsid w:val="00030E44"/>
    <w:rsid w:val="00062CDC"/>
    <w:rsid w:val="00085A7D"/>
    <w:rsid w:val="00085F1C"/>
    <w:rsid w:val="000B1B79"/>
    <w:rsid w:val="000C74FE"/>
    <w:rsid w:val="001038CB"/>
    <w:rsid w:val="00115C6E"/>
    <w:rsid w:val="00126D7A"/>
    <w:rsid w:val="00134DCA"/>
    <w:rsid w:val="00160537"/>
    <w:rsid w:val="0016503F"/>
    <w:rsid w:val="00177605"/>
    <w:rsid w:val="0018065B"/>
    <w:rsid w:val="0018635B"/>
    <w:rsid w:val="001A1FDC"/>
    <w:rsid w:val="001D71A0"/>
    <w:rsid w:val="001E3653"/>
    <w:rsid w:val="001E7E5C"/>
    <w:rsid w:val="0023206A"/>
    <w:rsid w:val="00285CC9"/>
    <w:rsid w:val="002915EF"/>
    <w:rsid w:val="002A16D3"/>
    <w:rsid w:val="002A18B0"/>
    <w:rsid w:val="002A457F"/>
    <w:rsid w:val="00312923"/>
    <w:rsid w:val="00340E46"/>
    <w:rsid w:val="00361029"/>
    <w:rsid w:val="003E29C7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50671F"/>
    <w:rsid w:val="005139B3"/>
    <w:rsid w:val="00516A90"/>
    <w:rsid w:val="00535D97"/>
    <w:rsid w:val="0054710E"/>
    <w:rsid w:val="00547525"/>
    <w:rsid w:val="0056716C"/>
    <w:rsid w:val="005955AA"/>
    <w:rsid w:val="005A7EE2"/>
    <w:rsid w:val="005C3EDD"/>
    <w:rsid w:val="005E7C64"/>
    <w:rsid w:val="005F7B4D"/>
    <w:rsid w:val="0061133A"/>
    <w:rsid w:val="006A4CA9"/>
    <w:rsid w:val="006B7B3E"/>
    <w:rsid w:val="006B7CFF"/>
    <w:rsid w:val="006C5C55"/>
    <w:rsid w:val="006D69D0"/>
    <w:rsid w:val="006F4BE9"/>
    <w:rsid w:val="00723436"/>
    <w:rsid w:val="00782CAA"/>
    <w:rsid w:val="007A0C58"/>
    <w:rsid w:val="007A4CB9"/>
    <w:rsid w:val="007F431F"/>
    <w:rsid w:val="00805398"/>
    <w:rsid w:val="00831010"/>
    <w:rsid w:val="00844CD2"/>
    <w:rsid w:val="00856909"/>
    <w:rsid w:val="00860E9C"/>
    <w:rsid w:val="008701C1"/>
    <w:rsid w:val="00871C6C"/>
    <w:rsid w:val="00885281"/>
    <w:rsid w:val="008C1D0C"/>
    <w:rsid w:val="008C4D3B"/>
    <w:rsid w:val="0091536F"/>
    <w:rsid w:val="00935CE8"/>
    <w:rsid w:val="00972D22"/>
    <w:rsid w:val="009815AA"/>
    <w:rsid w:val="00987918"/>
    <w:rsid w:val="0099712C"/>
    <w:rsid w:val="009D74C7"/>
    <w:rsid w:val="009D7869"/>
    <w:rsid w:val="00A22D72"/>
    <w:rsid w:val="00A4568C"/>
    <w:rsid w:val="00A61710"/>
    <w:rsid w:val="00A83D2F"/>
    <w:rsid w:val="00A9257D"/>
    <w:rsid w:val="00A957EB"/>
    <w:rsid w:val="00AD50E1"/>
    <w:rsid w:val="00B455C6"/>
    <w:rsid w:val="00B74F8A"/>
    <w:rsid w:val="00B84194"/>
    <w:rsid w:val="00B95867"/>
    <w:rsid w:val="00BA2570"/>
    <w:rsid w:val="00BC4203"/>
    <w:rsid w:val="00BD0003"/>
    <w:rsid w:val="00BE0C67"/>
    <w:rsid w:val="00C1674E"/>
    <w:rsid w:val="00C16B4F"/>
    <w:rsid w:val="00C32CB2"/>
    <w:rsid w:val="00C504CB"/>
    <w:rsid w:val="00C813F2"/>
    <w:rsid w:val="00CA58B7"/>
    <w:rsid w:val="00CC007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A5346"/>
    <w:rsid w:val="00DA65BF"/>
    <w:rsid w:val="00DB2123"/>
    <w:rsid w:val="00DF08D5"/>
    <w:rsid w:val="00E10E8D"/>
    <w:rsid w:val="00E16EB4"/>
    <w:rsid w:val="00E265D4"/>
    <w:rsid w:val="00E33D5A"/>
    <w:rsid w:val="00E62C1D"/>
    <w:rsid w:val="00E94093"/>
    <w:rsid w:val="00E94A9E"/>
    <w:rsid w:val="00EA7047"/>
    <w:rsid w:val="00EB1BA0"/>
    <w:rsid w:val="00EB524B"/>
    <w:rsid w:val="00ED031E"/>
    <w:rsid w:val="00EE2DC0"/>
    <w:rsid w:val="00EF56FF"/>
    <w:rsid w:val="00F03476"/>
    <w:rsid w:val="00F036E5"/>
    <w:rsid w:val="00F17BAC"/>
    <w:rsid w:val="00F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  <w:lang w:val="cs-CZ"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basedOn w:val="Standardnpsmoodstavce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 w:cs="Arial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estovni_r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obchod_pohostinstvi_ubyt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0C15-C199-449C-88C5-0D5BAFD3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11663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2</cp:revision>
  <cp:lastPrinted>2015-08-04T11:02:00Z</cp:lastPrinted>
  <dcterms:created xsi:type="dcterms:W3CDTF">2016-06-03T07:35:00Z</dcterms:created>
  <dcterms:modified xsi:type="dcterms:W3CDTF">2016-06-03T07:35:00Z</dcterms:modified>
</cp:coreProperties>
</file>