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9" w:rsidRPr="00460474" w:rsidRDefault="003407B9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i/>
          <w:iCs/>
          <w:color w:val="auto"/>
          <w:lang w:val="en-GB"/>
        </w:rPr>
      </w:pP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12. ORGANIZATIONAL STRUCTURE OF THE NATIONAL ECONOMY</w:t>
      </w:r>
    </w:p>
    <w:p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 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01306" w:rsidRP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conomically active business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business that according to information from administrative sources or statistical surveys reports economic activity. 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Since</w:t>
      </w:r>
      <w:r w:rsidR="00701D47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2013, t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Statistical Business Register </w:t>
      </w:r>
      <w:r w:rsidR="00083EAE">
        <w:rPr>
          <w:rFonts w:ascii="Arial" w:hAnsi="Arial" w:cs="Arial"/>
          <w:i/>
          <w:color w:val="auto"/>
          <w:sz w:val="20"/>
          <w:szCs w:val="20"/>
          <w:lang w:val="en-GB"/>
        </w:rPr>
        <w:t>has been</w:t>
      </w:r>
      <w:r w:rsidR="00083EAE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 and conduct statistical surveys.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 and 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 and 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and Europe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 economic interest groupings.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</w:t>
      </w:r>
      <w:r w:rsidR="00B8050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European cooperative societies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Cooperativa Europaea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 and natural persons carrying out other business activities governed by special regulations. 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2013, natural persons incorporated and unincorporated in </w:t>
      </w:r>
      <w:r w:rsidR="00E01C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commercial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distinguished between.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proofErr w:type="gramEnd"/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natural persons with trade licence.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</w:t>
      </w:r>
      <w:r w:rsidR="003B73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natural persons whose business activities are governed by separate legal regulations.</w:t>
      </w:r>
    </w:p>
    <w:p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 and associations of legal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civic associations and their structural components with legal personality, political parties and movements, churches and religious societies, professional organizations, chambers, and professional associations of legal entities.</w:t>
      </w:r>
    </w:p>
    <w:p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breakdown by principal activity corresponds to sections of the “Classification of Economic Activities” (CZ-NACE). Businesses are classified to institutional sectors in accordance with the Nomenclature of Institutional Sectors and 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a detailed description.</w:t>
      </w:r>
    </w:p>
    <w:p w:rsidR="001F44E7" w:rsidRDefault="001F44E7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the administrative data source for updates of the Statistical Business Register changed, data for 2013 are not fully comparable </w:t>
      </w:r>
      <w:r w:rsidR="004947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those </w:t>
      </w:r>
      <w:r w:rsidR="004947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previous years.</w:t>
      </w:r>
    </w:p>
    <w:p w:rsidR="00917361" w:rsidRDefault="00006BB7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 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2014, </w:t>
      </w:r>
      <w:r w:rsid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foreign natural persons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were transferred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 sector in compliance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the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ESA </w:t>
      </w:r>
      <w:r w:rsidR="00276441" w:rsidRPr="009173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classification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Therefore, data in Tables 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-5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-14,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13B57" w:rsidRPr="00F13B5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27644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 are incompara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ble to those of previous years.</w:t>
      </w:r>
    </w:p>
    <w:p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Further data can be found on the web</w:t>
      </w:r>
      <w:r w:rsidR="00917361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the Czech Statistical Office at: </w:t>
      </w:r>
    </w:p>
    <w:p w:rsidR="00917361" w:rsidRPr="00006BB7" w:rsidRDefault="00F13B57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006BB7">
        <w:rPr>
          <w:rFonts w:ascii="Arial" w:hAnsi="Arial" w:cs="Arial"/>
          <w:color w:val="auto"/>
          <w:sz w:val="20"/>
          <w:lang w:val="en-GB"/>
        </w:rPr>
        <w:t>– </w:t>
      </w:r>
      <w:hyperlink r:id="rId4" w:history="1">
        <w:r w:rsidRPr="00006BB7">
          <w:rPr>
            <w:rStyle w:val="Hypertextovodkaz"/>
            <w:rFonts w:ascii="Arial" w:hAnsi="Arial" w:cs="Arial"/>
            <w:sz w:val="20"/>
            <w:lang w:val="en-GB"/>
          </w:rPr>
          <w:t>www.czso.cz/csu/czs</w:t>
        </w:r>
        <w:r w:rsidRPr="00006BB7">
          <w:rPr>
            <w:rStyle w:val="Hypertextovodkaz"/>
            <w:rFonts w:ascii="Arial" w:hAnsi="Arial" w:cs="Arial"/>
            <w:sz w:val="20"/>
            <w:lang w:val="en-GB"/>
          </w:rPr>
          <w:t>o</w:t>
        </w:r>
        <w:r w:rsidRPr="00006BB7">
          <w:rPr>
            <w:rStyle w:val="Hypertextovodkaz"/>
            <w:rFonts w:ascii="Arial" w:hAnsi="Arial" w:cs="Arial"/>
            <w:sz w:val="20"/>
            <w:lang w:val="en-GB"/>
          </w:rPr>
          <w:t>/organizacni_statistika</w:t>
        </w:r>
      </w:hyperlink>
      <w:r w:rsidR="00F55269" w:rsidRPr="00006BB7">
        <w:rPr>
          <w:rFonts w:ascii="Arial" w:hAnsi="Arial" w:cs="Arial"/>
          <w:color w:val="auto"/>
          <w:sz w:val="20"/>
          <w:lang w:val="en-GB"/>
        </w:rPr>
        <w:t xml:space="preserve"> </w:t>
      </w:r>
      <w:r w:rsidR="00006BB7" w:rsidRPr="00006BB7">
        <w:rPr>
          <w:rFonts w:ascii="Arial" w:hAnsi="Arial" w:cs="Arial"/>
          <w:i/>
          <w:color w:val="auto"/>
          <w:sz w:val="20"/>
          <w:lang w:val="en-GB"/>
        </w:rPr>
        <w:t>(Czech only)</w:t>
      </w:r>
    </w:p>
    <w:sectPr w:rsidR="00917361" w:rsidRPr="00006BB7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CD"/>
    <w:rsid w:val="00006BB7"/>
    <w:rsid w:val="000662DF"/>
    <w:rsid w:val="000822A3"/>
    <w:rsid w:val="00083EAE"/>
    <w:rsid w:val="00086EBB"/>
    <w:rsid w:val="0009361B"/>
    <w:rsid w:val="000B2607"/>
    <w:rsid w:val="000D08F9"/>
    <w:rsid w:val="000E19C9"/>
    <w:rsid w:val="000E70BA"/>
    <w:rsid w:val="001234D0"/>
    <w:rsid w:val="00152A6E"/>
    <w:rsid w:val="00154E7D"/>
    <w:rsid w:val="0015660D"/>
    <w:rsid w:val="00162CB6"/>
    <w:rsid w:val="00187065"/>
    <w:rsid w:val="001C26A2"/>
    <w:rsid w:val="001F44E7"/>
    <w:rsid w:val="00204942"/>
    <w:rsid w:val="00263AF7"/>
    <w:rsid w:val="00271467"/>
    <w:rsid w:val="002719ED"/>
    <w:rsid w:val="00276441"/>
    <w:rsid w:val="00280FA9"/>
    <w:rsid w:val="002902FF"/>
    <w:rsid w:val="002E0812"/>
    <w:rsid w:val="00303854"/>
    <w:rsid w:val="00303D53"/>
    <w:rsid w:val="003261CD"/>
    <w:rsid w:val="003267FC"/>
    <w:rsid w:val="00331C47"/>
    <w:rsid w:val="003407B9"/>
    <w:rsid w:val="00342C0B"/>
    <w:rsid w:val="00381CF5"/>
    <w:rsid w:val="00385D8E"/>
    <w:rsid w:val="003A1245"/>
    <w:rsid w:val="003A2156"/>
    <w:rsid w:val="003B7301"/>
    <w:rsid w:val="003F5614"/>
    <w:rsid w:val="004063E9"/>
    <w:rsid w:val="00422331"/>
    <w:rsid w:val="00426F4C"/>
    <w:rsid w:val="00460474"/>
    <w:rsid w:val="00472769"/>
    <w:rsid w:val="0049478C"/>
    <w:rsid w:val="00502E7B"/>
    <w:rsid w:val="00505101"/>
    <w:rsid w:val="00510CE1"/>
    <w:rsid w:val="00510FFF"/>
    <w:rsid w:val="00541841"/>
    <w:rsid w:val="00554F19"/>
    <w:rsid w:val="005B12B3"/>
    <w:rsid w:val="005B3907"/>
    <w:rsid w:val="005F3271"/>
    <w:rsid w:val="00645793"/>
    <w:rsid w:val="006555B6"/>
    <w:rsid w:val="00675C19"/>
    <w:rsid w:val="006827A4"/>
    <w:rsid w:val="00684B91"/>
    <w:rsid w:val="006B17E9"/>
    <w:rsid w:val="006D12D6"/>
    <w:rsid w:val="006D6282"/>
    <w:rsid w:val="00701D47"/>
    <w:rsid w:val="0071397B"/>
    <w:rsid w:val="00731C3F"/>
    <w:rsid w:val="007A20B0"/>
    <w:rsid w:val="007D7DF0"/>
    <w:rsid w:val="00821023"/>
    <w:rsid w:val="008272AD"/>
    <w:rsid w:val="00847899"/>
    <w:rsid w:val="008515EC"/>
    <w:rsid w:val="008539C7"/>
    <w:rsid w:val="00863CFD"/>
    <w:rsid w:val="008C3BB4"/>
    <w:rsid w:val="00907A0A"/>
    <w:rsid w:val="00917361"/>
    <w:rsid w:val="00931D43"/>
    <w:rsid w:val="009323FD"/>
    <w:rsid w:val="0095499C"/>
    <w:rsid w:val="00956B6F"/>
    <w:rsid w:val="009777D5"/>
    <w:rsid w:val="009A0561"/>
    <w:rsid w:val="009E7505"/>
    <w:rsid w:val="009F35AF"/>
    <w:rsid w:val="009F6A64"/>
    <w:rsid w:val="00A146DE"/>
    <w:rsid w:val="00A170C3"/>
    <w:rsid w:val="00A314DF"/>
    <w:rsid w:val="00A634EB"/>
    <w:rsid w:val="00AA05F9"/>
    <w:rsid w:val="00AC569D"/>
    <w:rsid w:val="00AD65DA"/>
    <w:rsid w:val="00AF49DC"/>
    <w:rsid w:val="00AF4DCC"/>
    <w:rsid w:val="00B4564A"/>
    <w:rsid w:val="00B76545"/>
    <w:rsid w:val="00B80500"/>
    <w:rsid w:val="00BB3B3C"/>
    <w:rsid w:val="00BC2FB9"/>
    <w:rsid w:val="00BD4F00"/>
    <w:rsid w:val="00BE19C1"/>
    <w:rsid w:val="00C133FC"/>
    <w:rsid w:val="00C24954"/>
    <w:rsid w:val="00C71F15"/>
    <w:rsid w:val="00C906BA"/>
    <w:rsid w:val="00CA57FF"/>
    <w:rsid w:val="00CD275B"/>
    <w:rsid w:val="00CE2612"/>
    <w:rsid w:val="00CE4213"/>
    <w:rsid w:val="00D2785B"/>
    <w:rsid w:val="00D347BE"/>
    <w:rsid w:val="00D433E8"/>
    <w:rsid w:val="00D976F0"/>
    <w:rsid w:val="00DD2A57"/>
    <w:rsid w:val="00DD5566"/>
    <w:rsid w:val="00DD7C90"/>
    <w:rsid w:val="00E00685"/>
    <w:rsid w:val="00E01306"/>
    <w:rsid w:val="00E01C44"/>
    <w:rsid w:val="00E117BF"/>
    <w:rsid w:val="00E8392A"/>
    <w:rsid w:val="00ED19D0"/>
    <w:rsid w:val="00ED6988"/>
    <w:rsid w:val="00F0497C"/>
    <w:rsid w:val="00F1385B"/>
    <w:rsid w:val="00F13B57"/>
    <w:rsid w:val="00F37BB9"/>
    <w:rsid w:val="00F4304A"/>
    <w:rsid w:val="00F43550"/>
    <w:rsid w:val="00F55269"/>
    <w:rsid w:val="00F57910"/>
    <w:rsid w:val="00F92D7A"/>
    <w:rsid w:val="00FA3912"/>
    <w:rsid w:val="00FD058F"/>
    <w:rsid w:val="00FD17E3"/>
    <w:rsid w:val="00FD3A88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organiza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2957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Ing. Dana Habartová</cp:lastModifiedBy>
  <cp:revision>4</cp:revision>
  <cp:lastPrinted>2015-07-27T07:49:00Z</cp:lastPrinted>
  <dcterms:created xsi:type="dcterms:W3CDTF">2015-10-12T08:20:00Z</dcterms:created>
  <dcterms:modified xsi:type="dcterms:W3CDTF">2016-06-03T07:04:00Z</dcterms:modified>
</cp:coreProperties>
</file>