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7C" w:rsidRPr="00F22E2F" w:rsidRDefault="007F2B7C">
      <w:pPr>
        <w:pStyle w:val="Normlnweb"/>
        <w:spacing w:before="0" w:beforeAutospacing="0" w:after="0" w:afterAutospacing="0"/>
        <w:jc w:val="center"/>
        <w:rPr>
          <w:rFonts w:ascii="Arial" w:hAnsi="Arial" w:cs="Arial"/>
          <w:i/>
          <w:iCs/>
          <w:color w:val="auto"/>
          <w:szCs w:val="17"/>
          <w:lang w:val="en-GB"/>
        </w:rPr>
      </w:pPr>
      <w:r w:rsidRPr="00F22E2F">
        <w:rPr>
          <w:rFonts w:ascii="Arial" w:hAnsi="Arial" w:cs="Arial"/>
          <w:b/>
          <w:bCs/>
          <w:i/>
          <w:iCs/>
          <w:color w:val="auto"/>
          <w:szCs w:val="17"/>
          <w:lang w:val="en-GB"/>
        </w:rPr>
        <w:t xml:space="preserve">9. </w:t>
      </w:r>
      <w:r w:rsidR="00030105" w:rsidRPr="00F22E2F">
        <w:rPr>
          <w:rFonts w:ascii="Arial" w:hAnsi="Arial" w:cs="Arial"/>
          <w:b/>
          <w:bCs/>
          <w:i/>
          <w:iCs/>
          <w:color w:val="auto"/>
          <w:szCs w:val="17"/>
          <w:lang w:val="en-GB"/>
        </w:rPr>
        <w:t xml:space="preserve">HOUSEHOLD </w:t>
      </w:r>
      <w:r w:rsidRPr="00F22E2F">
        <w:rPr>
          <w:rFonts w:ascii="Arial" w:hAnsi="Arial" w:cs="Arial"/>
          <w:b/>
          <w:bCs/>
          <w:i/>
          <w:iCs/>
          <w:color w:val="auto"/>
          <w:szCs w:val="17"/>
          <w:lang w:val="en-GB"/>
        </w:rPr>
        <w:t>INCOME AND EXPENDITURE</w:t>
      </w:r>
    </w:p>
    <w:p w:rsidR="007F2B7C" w:rsidRPr="00F22E2F" w:rsidRDefault="007F2B7C">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source of data in this chapter is social surveys carried out in households.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 xml:space="preserve">Living Conditions Survey (LCS) </w:t>
      </w:r>
      <w:r w:rsidRPr="00F22E2F">
        <w:rPr>
          <w:rFonts w:ascii="Arial" w:hAnsi="Arial" w:cs="Arial"/>
          <w:i/>
          <w:iCs/>
          <w:color w:val="auto"/>
          <w:sz w:val="20"/>
          <w:szCs w:val="17"/>
          <w:lang w:val="en-GB"/>
        </w:rPr>
        <w:t>is carried out every year within the programme of the </w:t>
      </w:r>
      <w:r w:rsidRPr="00F22E2F">
        <w:rPr>
          <w:rFonts w:ascii="Arial" w:hAnsi="Arial" w:cs="Arial"/>
          <w:b/>
          <w:i/>
          <w:iCs/>
          <w:color w:val="auto"/>
          <w:sz w:val="20"/>
          <w:szCs w:val="17"/>
          <w:lang w:val="en-GB"/>
        </w:rPr>
        <w:t>EU-SILC</w:t>
      </w:r>
      <w:r w:rsidRPr="00F22E2F">
        <w:rPr>
          <w:rFonts w:ascii="Arial" w:hAnsi="Arial" w:cs="Arial"/>
          <w:i/>
          <w:iCs/>
          <w:color w:val="auto"/>
          <w:sz w:val="20"/>
          <w:szCs w:val="17"/>
          <w:lang w:val="en-GB"/>
        </w:rPr>
        <w:t xml:space="preserve"> (European Union – Statistics on Income and Living Conditions) in randomly sampled dwelling households of the Czech Republic. The method of the four-year sample rotation is used; a quarter of the observed households is changed every year. The aim of the survey is to obtain data on social conditions of the population comparable with the other EU countries over a long term. The data in tables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 xml:space="preserve">-1 to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 xml:space="preserve">-4 were processed for </w:t>
      </w:r>
      <w:r w:rsidR="00E854CD" w:rsidRPr="003463C3">
        <w:rPr>
          <w:rFonts w:ascii="Arial" w:hAnsi="Arial" w:cs="Arial"/>
          <w:i/>
          <w:iCs/>
          <w:color w:val="auto"/>
          <w:sz w:val="20"/>
          <w:szCs w:val="17"/>
          <w:lang w:val="en-GB"/>
        </w:rPr>
        <w:t>8 </w:t>
      </w:r>
      <w:r w:rsidR="003463C3">
        <w:rPr>
          <w:rFonts w:ascii="Arial" w:hAnsi="Arial" w:cs="Arial"/>
          <w:i/>
          <w:iCs/>
          <w:color w:val="auto"/>
          <w:sz w:val="20"/>
          <w:szCs w:val="17"/>
          <w:lang w:val="en-GB"/>
        </w:rPr>
        <w:t>053</w:t>
      </w:r>
      <w:r w:rsidR="003463C3" w:rsidRPr="003463C3">
        <w:rPr>
          <w:rFonts w:ascii="Arial" w:hAnsi="Arial" w:cs="Arial"/>
          <w:i/>
          <w:iCs/>
          <w:color w:val="auto"/>
          <w:sz w:val="20"/>
          <w:szCs w:val="17"/>
          <w:lang w:val="en-GB"/>
        </w:rPr>
        <w:t xml:space="preserve"> </w:t>
      </w:r>
      <w:r w:rsidRPr="003463C3">
        <w:rPr>
          <w:rFonts w:ascii="Arial" w:hAnsi="Arial" w:cs="Arial"/>
          <w:i/>
          <w:iCs/>
          <w:color w:val="auto"/>
          <w:sz w:val="20"/>
          <w:szCs w:val="17"/>
          <w:lang w:val="en-GB"/>
        </w:rPr>
        <w:t>private</w:t>
      </w:r>
      <w:r w:rsidRPr="00F22E2F">
        <w:rPr>
          <w:rFonts w:ascii="Arial" w:hAnsi="Arial" w:cs="Arial"/>
          <w:i/>
          <w:iCs/>
          <w:color w:val="auto"/>
          <w:sz w:val="20"/>
          <w:szCs w:val="17"/>
          <w:lang w:val="en-GB"/>
        </w:rPr>
        <w:t xml:space="preserve"> households from all regions of the Czech Republic. Incomes of persons and of households were observed for the whole year </w:t>
      </w:r>
      <w:r w:rsidR="00774875">
        <w:rPr>
          <w:rFonts w:ascii="Arial" w:hAnsi="Arial" w:cs="Arial"/>
          <w:i/>
          <w:iCs/>
          <w:color w:val="auto"/>
          <w:sz w:val="20"/>
          <w:szCs w:val="17"/>
          <w:lang w:val="en-GB"/>
        </w:rPr>
        <w:t>201</w:t>
      </w:r>
      <w:r w:rsidR="00D05FC7">
        <w:rPr>
          <w:rFonts w:ascii="Arial" w:hAnsi="Arial" w:cs="Arial"/>
          <w:i/>
          <w:iCs/>
          <w:color w:val="auto"/>
          <w:sz w:val="20"/>
          <w:szCs w:val="17"/>
          <w:lang w:val="en-GB"/>
        </w:rPr>
        <w:t>3</w:t>
      </w:r>
      <w:r w:rsidR="00774875">
        <w:rPr>
          <w:rFonts w:ascii="Arial" w:hAnsi="Arial" w:cs="Arial"/>
          <w:i/>
          <w:iCs/>
          <w:color w:val="auto"/>
          <w:sz w:val="20"/>
          <w:szCs w:val="17"/>
          <w:lang w:val="en-GB"/>
        </w:rPr>
        <w:t>; the demographic data refer to the survey period in 201</w:t>
      </w:r>
      <w:r w:rsidR="00D05FC7">
        <w:rPr>
          <w:rFonts w:ascii="Arial" w:hAnsi="Arial" w:cs="Arial"/>
          <w:i/>
          <w:iCs/>
          <w:color w:val="auto"/>
          <w:sz w:val="20"/>
          <w:szCs w:val="17"/>
          <w:lang w:val="en-GB"/>
        </w:rPr>
        <w:t>4</w:t>
      </w:r>
      <w:r w:rsidR="00774875">
        <w:rPr>
          <w:rFonts w:ascii="Arial" w:hAnsi="Arial" w:cs="Arial"/>
          <w:i/>
          <w:iCs/>
          <w:color w:val="auto"/>
          <w:sz w:val="20"/>
          <w:szCs w:val="17"/>
          <w:lang w:val="en-GB"/>
        </w:rPr>
        <w:t xml:space="preserve">. The data obtained are grossed up to the whole population of the Czech Republic. </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Household Budget Survey (HBS)</w:t>
      </w:r>
      <w:r w:rsidRPr="00F22E2F">
        <w:rPr>
          <w:rFonts w:ascii="Arial" w:hAnsi="Arial" w:cs="Arial"/>
          <w:i/>
          <w:iCs/>
          <w:color w:val="auto"/>
          <w:sz w:val="20"/>
          <w:szCs w:val="17"/>
          <w:lang w:val="en-GB"/>
        </w:rPr>
        <w:t xml:space="preserve"> monitors economy of households and provides information on the amounts of expenditure and the consumption structure of households. The reporting households of the HBS are currently selected by a purposive quota sampling. The sampling unit and the reporting unit of the survey is a private household.</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w:t>
      </w:r>
      <w:r>
        <w:rPr>
          <w:rFonts w:ascii="Arial" w:hAnsi="Arial" w:cs="Arial"/>
          <w:b/>
          <w:bCs/>
          <w:i/>
          <w:iCs/>
          <w:color w:val="auto"/>
          <w:sz w:val="20"/>
          <w:szCs w:val="17"/>
          <w:lang w:val="en-GB"/>
        </w:rPr>
        <w:t xml:space="preserve"> sample</w:t>
      </w:r>
      <w:r>
        <w:rPr>
          <w:rFonts w:ascii="Arial" w:hAnsi="Arial" w:cs="Arial"/>
          <w:i/>
          <w:iCs/>
          <w:color w:val="auto"/>
          <w:sz w:val="20"/>
          <w:szCs w:val="17"/>
          <w:lang w:val="en-GB"/>
        </w:rPr>
        <w:t xml:space="preserve"> of 3 000 households was selected the way that its composition by chosen sampling attributes corresponds to the structure of households in the Czech Republic. The quota frame was the results of the Living Conditions Survey.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As of 2006 the basic sampling attribute is a </w:t>
      </w:r>
      <w:r>
        <w:rPr>
          <w:rFonts w:ascii="Arial" w:hAnsi="Arial" w:cs="Arial"/>
          <w:b/>
          <w:i/>
          <w:iCs/>
          <w:color w:val="auto"/>
          <w:sz w:val="20"/>
          <w:szCs w:val="17"/>
          <w:lang w:val="en-GB"/>
        </w:rPr>
        <w:t>group of households</w:t>
      </w:r>
      <w:r>
        <w:rPr>
          <w:rFonts w:ascii="Arial" w:hAnsi="Arial" w:cs="Arial"/>
          <w:i/>
          <w:iCs/>
          <w:color w:val="auto"/>
          <w:sz w:val="20"/>
          <w:szCs w:val="17"/>
          <w:lang w:val="en-GB"/>
        </w:rPr>
        <w:t xml:space="preserve"> derived from economic activity and status in employment of head of household. Head of household of two-parent families is always the male, in lone-parent families mostly the parent. In non-family households the person with the highest income is considered to be head of household.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Households with economically active heads are classified by the head of household status in employment, employee households also by the head educational attainment. Households with economically inactive heads are divided depending on whether any of the other household members is economically active, or, potentially, head of household is a pensioner.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Additional sampling criteria are used for the three most important household groups (employee households, self-employed households, and pensioner households without economically active members) as follows:</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net money income per household member and the number of dependent children for employee households and self-employed households;</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xml:space="preserve">– pension income per household member and number of household members (in one-person households also gender) for pensioner households without economically active members.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sampling attribute of </w:t>
      </w:r>
      <w:r>
        <w:rPr>
          <w:rFonts w:ascii="Arial" w:hAnsi="Arial" w:cs="Arial"/>
          <w:b/>
          <w:i/>
          <w:iCs/>
          <w:color w:val="auto"/>
          <w:sz w:val="20"/>
          <w:szCs w:val="17"/>
          <w:lang w:val="en-GB"/>
        </w:rPr>
        <w:t>municipality size and type of house</w:t>
      </w:r>
      <w:r>
        <w:rPr>
          <w:rFonts w:ascii="Arial" w:hAnsi="Arial" w:cs="Arial"/>
          <w:i/>
          <w:iCs/>
          <w:color w:val="auto"/>
          <w:sz w:val="20"/>
          <w:szCs w:val="17"/>
          <w:lang w:val="en-GB"/>
        </w:rPr>
        <w:t xml:space="preserve"> applies to all household groups while separate quotas by municipality size and type of house are prescribed for the above most important household groups.</w:t>
      </w: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indicators and breakdowns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A</w:t>
      </w:r>
      <w:r w:rsidR="00FE1483">
        <w:rPr>
          <w:rFonts w:ascii="Arial" w:hAnsi="Arial" w:cs="Arial"/>
          <w:i/>
          <w:iCs/>
          <w:color w:val="auto"/>
          <w:sz w:val="20"/>
          <w:szCs w:val="17"/>
          <w:lang w:val="en-GB"/>
        </w:rPr>
        <w:t> </w:t>
      </w:r>
      <w:r w:rsidRPr="00F22E2F">
        <w:rPr>
          <w:rFonts w:ascii="Arial" w:hAnsi="Arial" w:cs="Arial"/>
          <w:b/>
          <w:i/>
          <w:iCs/>
          <w:color w:val="auto"/>
          <w:sz w:val="20"/>
          <w:szCs w:val="17"/>
          <w:lang w:val="en-GB"/>
        </w:rPr>
        <w:t>private household</w:t>
      </w:r>
      <w:r w:rsidRPr="00F22E2F">
        <w:rPr>
          <w:rFonts w:ascii="Arial" w:hAnsi="Arial" w:cs="Arial"/>
          <w:i/>
          <w:iCs/>
          <w:color w:val="auto"/>
          <w:sz w:val="20"/>
          <w:szCs w:val="17"/>
          <w:lang w:val="en-GB"/>
        </w:rPr>
        <w:t xml:space="preserve"> is a set of persons who share dwelling and basic expenditure (on nutrition, household operation, maintenance of the dwelling, etc.).</w:t>
      </w:r>
    </w:p>
    <w:p w:rsidR="007F2B7C" w:rsidRPr="00F22E2F" w:rsidRDefault="007F2B7C">
      <w:pPr>
        <w:pStyle w:val="Normlnweb"/>
        <w:spacing w:before="120" w:beforeAutospacing="0" w:after="0" w:afterAutospacing="0"/>
        <w:ind w:firstLine="720"/>
        <w:jc w:val="both"/>
        <w:rPr>
          <w:rFonts w:ascii="Arial" w:hAnsi="Arial" w:cs="Arial"/>
          <w:i/>
          <w:iCs/>
          <w:color w:val="auto"/>
          <w:sz w:val="20"/>
          <w:szCs w:val="17"/>
          <w:lang w:val="en-GB"/>
        </w:rPr>
      </w:pPr>
      <w:r w:rsidRPr="00F22E2F">
        <w:rPr>
          <w:rFonts w:ascii="Arial" w:hAnsi="Arial" w:cs="Arial"/>
          <w:b/>
          <w:bCs/>
          <w:i/>
          <w:iCs/>
          <w:color w:val="auto"/>
          <w:sz w:val="20"/>
          <w:szCs w:val="17"/>
          <w:lang w:val="en-GB"/>
        </w:rPr>
        <w:t xml:space="preserve">Working persons </w:t>
      </w:r>
      <w:r w:rsidRPr="00F22E2F">
        <w:rPr>
          <w:rFonts w:ascii="Arial" w:hAnsi="Arial" w:cs="Arial"/>
          <w:i/>
          <w:iCs/>
          <w:color w:val="auto"/>
          <w:sz w:val="20"/>
          <w:szCs w:val="17"/>
          <w:lang w:val="en-GB"/>
        </w:rPr>
        <w:t xml:space="preserve">are persons, who were in a paid employment (employees) or in self-employment (own-account workers, family workers) all the year, or most of the year.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type of work activities, if they are permanent, temporary, seasonal, or occasional, is not decisive for persons to be classified to this category.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decisive factor is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contrary, persons, who were unemployed all the year, or most of the year, are not included. </w:t>
      </w:r>
    </w:p>
    <w:p w:rsidR="007F2B7C" w:rsidRPr="00F22E2F" w:rsidRDefault="00774875">
      <w:pPr>
        <w:pStyle w:val="Normlnweb"/>
        <w:spacing w:before="120" w:beforeAutospacing="0" w:after="0" w:afterAutospacing="0"/>
        <w:ind w:firstLine="720"/>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dependent child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a child up to 26 years of age if he/she is permanently schooling or training for his/her future occupation even if he/she has </w:t>
      </w:r>
      <w:r w:rsidR="00F22E2F">
        <w:rPr>
          <w:rFonts w:ascii="Arial" w:hAnsi="Arial" w:cs="Arial"/>
          <w:i/>
          <w:iCs/>
          <w:color w:val="auto"/>
          <w:sz w:val="20"/>
          <w:szCs w:val="17"/>
          <w:lang w:val="en-GB"/>
        </w:rPr>
        <w:t>his/her</w:t>
      </w:r>
      <w:r w:rsidR="00162544" w:rsidRPr="00F22E2F">
        <w:rPr>
          <w:rFonts w:ascii="Arial" w:hAnsi="Arial" w:cs="Arial"/>
          <w:i/>
          <w:iCs/>
          <w:color w:val="auto"/>
          <w:sz w:val="20"/>
          <w:szCs w:val="17"/>
          <w:lang w:val="en-GB"/>
        </w:rPr>
        <w:t xml:space="preserve"> own income (orphan pension, scholarship, social benefits, income from short-term work activi</w:t>
      </w:r>
      <w:r>
        <w:rPr>
          <w:rFonts w:ascii="Arial" w:hAnsi="Arial" w:cs="Arial"/>
          <w:i/>
          <w:iCs/>
          <w:color w:val="auto"/>
          <w:sz w:val="20"/>
          <w:szCs w:val="17"/>
          <w:lang w:val="en-GB"/>
        </w:rPr>
        <w:t xml:space="preserve">ties), and then a child who is unable to </w:t>
      </w:r>
      <w:r>
        <w:rPr>
          <w:rFonts w:ascii="Arial" w:hAnsi="Arial" w:cs="Arial"/>
          <w:i/>
          <w:iCs/>
          <w:color w:val="auto"/>
          <w:sz w:val="20"/>
          <w:szCs w:val="17"/>
          <w:lang w:val="en-GB"/>
        </w:rPr>
        <w:lastRenderedPageBreak/>
        <w:t xml:space="preserve">undergo such schooling or training due to his/her mental or physical state and has not been granted </w:t>
      </w:r>
      <w:r w:rsidR="00FE1483">
        <w:rPr>
          <w:rFonts w:ascii="Arial" w:hAnsi="Arial" w:cs="Arial"/>
          <w:i/>
          <w:iCs/>
          <w:color w:val="auto"/>
          <w:sz w:val="20"/>
          <w:szCs w:val="17"/>
          <w:lang w:val="en-GB"/>
        </w:rPr>
        <w:t>the </w:t>
      </w:r>
      <w:r>
        <w:rPr>
          <w:rFonts w:ascii="Arial" w:hAnsi="Arial" w:cs="Arial"/>
          <w:i/>
          <w:iCs/>
          <w:color w:val="auto"/>
          <w:sz w:val="20"/>
          <w:szCs w:val="17"/>
          <w:lang w:val="en-GB"/>
        </w:rPr>
        <w:t xml:space="preserve">disability pension yet. </w:t>
      </w:r>
    </w:p>
    <w:p w:rsidR="007F2B7C" w:rsidRPr="00F22E2F" w:rsidRDefault="007F2B7C">
      <w:pPr>
        <w:pStyle w:val="Normlnweb"/>
        <w:spacing w:before="120" w:beforeAutospacing="0" w:after="0" w:afterAutospacing="0"/>
        <w:ind w:firstLine="708"/>
        <w:jc w:val="both"/>
        <w:rPr>
          <w:rFonts w:ascii="Arial" w:hAnsi="Arial" w:cs="Arial"/>
          <w:i/>
          <w:iCs/>
          <w:color w:val="auto"/>
          <w:sz w:val="20"/>
          <w:szCs w:val="17"/>
          <w:lang w:val="en-GB"/>
        </w:rPr>
      </w:pPr>
      <w:r w:rsidRPr="00F22E2F">
        <w:rPr>
          <w:rFonts w:ascii="Arial" w:hAnsi="Arial" w:cs="Arial"/>
          <w:b/>
          <w:i/>
          <w:iCs/>
          <w:color w:val="auto"/>
          <w:sz w:val="20"/>
          <w:szCs w:val="17"/>
          <w:lang w:val="en-GB"/>
        </w:rPr>
        <w:t xml:space="preserve">Equivalent sizes </w:t>
      </w:r>
      <w:r w:rsidRPr="00F22E2F">
        <w:rPr>
          <w:rFonts w:ascii="Arial" w:hAnsi="Arial" w:cs="Arial"/>
          <w:i/>
          <w:iCs/>
          <w:color w:val="auto"/>
          <w:sz w:val="20"/>
          <w:szCs w:val="17"/>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Pr>
          <w:rFonts w:ascii="Arial" w:hAnsi="Arial" w:cs="Arial"/>
          <w:i/>
          <w:iCs/>
          <w:color w:val="auto"/>
          <w:sz w:val="20"/>
          <w:szCs w:val="17"/>
          <w:lang w:val="en-GB"/>
        </w:rPr>
        <w:t xml:space="preserve">any child (aged 0–13) = 0.3. </w:t>
      </w:r>
    </w:p>
    <w:p w:rsidR="007F2B7C" w:rsidRPr="00F22E2F" w:rsidRDefault="00774875">
      <w:pPr>
        <w:pStyle w:val="Normlnweb"/>
        <w:spacing w:before="120" w:beforeAutospacing="0" w:after="0" w:afterAutospacing="0"/>
        <w:ind w:firstLine="720"/>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living minimum of a household</w:t>
      </w:r>
      <w:r>
        <w:rPr>
          <w:rFonts w:ascii="Arial" w:hAnsi="Arial" w:cs="Arial"/>
          <w:i/>
          <w:iCs/>
          <w:color w:val="auto"/>
          <w:sz w:val="20"/>
          <w:szCs w:val="17"/>
          <w:lang w:val="en-GB"/>
        </w:rPr>
        <w:t xml:space="preserve"> is calculated for every household, included in the survey, according to its composition, age of children, and living minimum amounts effective in a given year. The living minimum of a household</w:t>
      </w:r>
      <w:r w:rsidR="00FE1483">
        <w:rPr>
          <w:rFonts w:ascii="Arial" w:hAnsi="Arial" w:cs="Arial"/>
          <w:i/>
          <w:iCs/>
          <w:color w:val="auto"/>
          <w:sz w:val="20"/>
          <w:szCs w:val="17"/>
          <w:lang w:val="en-GB"/>
        </w:rPr>
        <w:t xml:space="preserve"> is a </w:t>
      </w:r>
      <w:r w:rsidR="002665EC" w:rsidRPr="00F22E2F">
        <w:rPr>
          <w:rFonts w:ascii="Arial" w:hAnsi="Arial" w:cs="Arial"/>
          <w:i/>
          <w:iCs/>
          <w:color w:val="auto"/>
          <w:sz w:val="20"/>
          <w:szCs w:val="17"/>
          <w:lang w:val="en-GB"/>
        </w:rPr>
        <w:t>sum of all amounts of living minimums of its respective members. The</w:t>
      </w:r>
      <w:r w:rsidR="00EF24BD">
        <w:rPr>
          <w:rFonts w:ascii="Arial" w:hAnsi="Arial" w:cs="Arial"/>
          <w:i/>
          <w:iCs/>
          <w:color w:val="auto"/>
          <w:sz w:val="20"/>
          <w:szCs w:val="17"/>
          <w:lang w:val="en-GB"/>
        </w:rPr>
        <w:t> </w:t>
      </w:r>
      <w:r w:rsidR="002665EC" w:rsidRPr="00F22E2F">
        <w:rPr>
          <w:rFonts w:ascii="Arial" w:hAnsi="Arial" w:cs="Arial"/>
          <w:i/>
          <w:iCs/>
          <w:color w:val="auto"/>
          <w:sz w:val="20"/>
          <w:szCs w:val="17"/>
          <w:lang w:val="en-GB"/>
        </w:rPr>
        <w:t>amounts of the</w:t>
      </w:r>
      <w:r w:rsidR="00EF24BD">
        <w:rPr>
          <w:rFonts w:ascii="Arial" w:hAnsi="Arial" w:cs="Arial"/>
          <w:i/>
          <w:iCs/>
          <w:color w:val="auto"/>
          <w:sz w:val="20"/>
          <w:szCs w:val="17"/>
          <w:lang w:val="en-GB"/>
        </w:rPr>
        <w:t> </w:t>
      </w:r>
      <w:r w:rsidR="002665EC" w:rsidRPr="00F22E2F">
        <w:rPr>
          <w:rFonts w:ascii="Arial" w:hAnsi="Arial" w:cs="Arial"/>
          <w:i/>
          <w:iCs/>
          <w:color w:val="auto"/>
          <w:sz w:val="20"/>
          <w:szCs w:val="17"/>
          <w:lang w:val="en-GB"/>
        </w:rPr>
        <w:t>living minimum are determined by the</w:t>
      </w:r>
      <w:r w:rsidR="00EF24BD">
        <w:rPr>
          <w:rFonts w:ascii="Arial" w:hAnsi="Arial" w:cs="Arial"/>
          <w:i/>
          <w:iCs/>
          <w:color w:val="auto"/>
          <w:sz w:val="20"/>
          <w:szCs w:val="17"/>
          <w:lang w:val="en-GB"/>
        </w:rPr>
        <w:t> </w:t>
      </w:r>
      <w:r w:rsidR="002665EC" w:rsidRPr="00F22E2F">
        <w:rPr>
          <w:rFonts w:ascii="Arial" w:hAnsi="Arial" w:cs="Arial"/>
          <w:i/>
          <w:iCs/>
          <w:color w:val="auto"/>
          <w:sz w:val="20"/>
          <w:szCs w:val="17"/>
          <w:lang w:val="en-GB"/>
        </w:rPr>
        <w:t>Act No.</w:t>
      </w:r>
      <w:r w:rsidR="00724817">
        <w:rPr>
          <w:rFonts w:ascii="Arial" w:hAnsi="Arial" w:cs="Arial"/>
          <w:i/>
          <w:iCs/>
          <w:color w:val="auto"/>
          <w:sz w:val="20"/>
          <w:szCs w:val="17"/>
          <w:lang w:val="en-GB"/>
        </w:rPr>
        <w:t> </w:t>
      </w:r>
      <w:r w:rsidR="002665EC" w:rsidRPr="00F22E2F">
        <w:rPr>
          <w:rFonts w:ascii="Arial" w:hAnsi="Arial" w:cs="Arial"/>
          <w:i/>
          <w:iCs/>
          <w:color w:val="auto"/>
          <w:sz w:val="20"/>
          <w:szCs w:val="17"/>
          <w:lang w:val="en-GB"/>
        </w:rPr>
        <w:t>110/2006</w:t>
      </w:r>
      <w:r w:rsidR="00724817">
        <w:rPr>
          <w:rFonts w:ascii="Arial" w:hAnsi="Arial" w:cs="Arial"/>
          <w:i/>
          <w:iCs/>
          <w:color w:val="auto"/>
          <w:sz w:val="20"/>
          <w:szCs w:val="17"/>
          <w:lang w:val="en-GB"/>
        </w:rPr>
        <w:t> </w:t>
      </w:r>
      <w:r w:rsidR="002665EC" w:rsidRPr="00F22E2F">
        <w:rPr>
          <w:rFonts w:ascii="Arial" w:hAnsi="Arial" w:cs="Arial"/>
          <w:i/>
          <w:iCs/>
          <w:color w:val="auto"/>
          <w:sz w:val="20"/>
          <w:szCs w:val="17"/>
          <w:lang w:val="en-GB"/>
        </w:rPr>
        <w:t xml:space="preserve">Sb. </w:t>
      </w:r>
      <w:r w:rsidR="002167E6" w:rsidRPr="00F22E2F">
        <w:rPr>
          <w:rFonts w:ascii="Arial" w:hAnsi="Arial" w:cs="Arial"/>
          <w:i/>
          <w:iCs/>
          <w:color w:val="auto"/>
          <w:sz w:val="20"/>
          <w:szCs w:val="17"/>
          <w:lang w:val="en-GB"/>
        </w:rPr>
        <w:t xml:space="preserve">on </w:t>
      </w:r>
      <w:r>
        <w:rPr>
          <w:rFonts w:ascii="Arial" w:hAnsi="Arial" w:cs="Arial"/>
          <w:i/>
          <w:iCs/>
          <w:color w:val="auto"/>
          <w:sz w:val="20"/>
          <w:szCs w:val="17"/>
          <w:lang w:val="en-GB"/>
        </w:rPr>
        <w:t>the</w:t>
      </w:r>
      <w:r w:rsidR="00EF24BD">
        <w:rPr>
          <w:rFonts w:ascii="Arial" w:hAnsi="Arial" w:cs="Arial"/>
          <w:i/>
          <w:iCs/>
          <w:color w:val="auto"/>
          <w:sz w:val="20"/>
          <w:szCs w:val="17"/>
          <w:lang w:val="en-GB"/>
        </w:rPr>
        <w:t> </w:t>
      </w:r>
      <w:r>
        <w:rPr>
          <w:rFonts w:ascii="Arial" w:hAnsi="Arial" w:cs="Arial"/>
          <w:i/>
          <w:iCs/>
          <w:color w:val="auto"/>
          <w:sz w:val="20"/>
          <w:szCs w:val="17"/>
          <w:lang w:val="en-GB"/>
        </w:rPr>
        <w:t>living and subsistence minimum as amended, while for the</w:t>
      </w:r>
      <w:r w:rsidR="00EF24BD">
        <w:rPr>
          <w:rFonts w:ascii="Arial" w:hAnsi="Arial" w:cs="Arial"/>
          <w:i/>
          <w:iCs/>
          <w:color w:val="auto"/>
          <w:sz w:val="20"/>
          <w:szCs w:val="17"/>
          <w:lang w:val="en-GB"/>
        </w:rPr>
        <w:t> </w:t>
      </w:r>
      <w:r>
        <w:rPr>
          <w:rFonts w:ascii="Arial" w:hAnsi="Arial" w:cs="Arial"/>
          <w:i/>
          <w:iCs/>
          <w:color w:val="auto"/>
          <w:sz w:val="20"/>
          <w:szCs w:val="17"/>
          <w:lang w:val="en-GB"/>
        </w:rPr>
        <w:t>year</w:t>
      </w:r>
      <w:r w:rsidR="00724817">
        <w:rPr>
          <w:rFonts w:ascii="Arial" w:hAnsi="Arial" w:cs="Arial"/>
          <w:i/>
          <w:iCs/>
          <w:color w:val="auto"/>
          <w:sz w:val="20"/>
          <w:szCs w:val="17"/>
          <w:lang w:val="en-GB"/>
        </w:rPr>
        <w:t> </w:t>
      </w:r>
      <w:r>
        <w:rPr>
          <w:rFonts w:ascii="Arial" w:hAnsi="Arial" w:cs="Arial"/>
          <w:i/>
          <w:iCs/>
          <w:color w:val="auto"/>
          <w:sz w:val="20"/>
          <w:szCs w:val="17"/>
          <w:lang w:val="en-GB"/>
        </w:rPr>
        <w:t>201</w:t>
      </w:r>
      <w:r w:rsidR="00D05FC7">
        <w:rPr>
          <w:rFonts w:ascii="Arial" w:hAnsi="Arial" w:cs="Arial"/>
          <w:i/>
          <w:iCs/>
          <w:color w:val="auto"/>
          <w:sz w:val="20"/>
          <w:szCs w:val="17"/>
          <w:lang w:val="en-GB"/>
        </w:rPr>
        <w:t>4</w:t>
      </w:r>
      <w:r>
        <w:rPr>
          <w:rFonts w:ascii="Arial" w:hAnsi="Arial" w:cs="Arial"/>
          <w:i/>
          <w:iCs/>
          <w:color w:val="auto"/>
          <w:sz w:val="20"/>
          <w:szCs w:val="17"/>
          <w:lang w:val="en-GB"/>
        </w:rPr>
        <w:t xml:space="preserve"> they were set as follows:</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tblPr>
      <w:tblGrid>
        <w:gridCol w:w="6663"/>
        <w:gridCol w:w="2409"/>
      </w:tblGrid>
      <w:tr w:rsidR="002665EC" w:rsidRPr="00F22E2F" w:rsidTr="00475F7F">
        <w:trPr>
          <w:trHeight w:val="349"/>
        </w:trPr>
        <w:tc>
          <w:tcPr>
            <w:tcW w:w="9072" w:type="dxa"/>
            <w:gridSpan w:val="2"/>
            <w:tcBorders>
              <w:top w:val="single" w:sz="12" w:space="0" w:color="auto"/>
              <w:bottom w:val="single" w:sz="12" w:space="0" w:color="auto"/>
            </w:tcBorders>
            <w:vAlign w:val="bottom"/>
          </w:tcPr>
          <w:p w:rsidR="002665EC" w:rsidRPr="00F22E2F" w:rsidRDefault="001519FA" w:rsidP="002665EC">
            <w:pPr>
              <w:tabs>
                <w:tab w:val="left" w:pos="540"/>
              </w:tabs>
              <w:rPr>
                <w:rFonts w:ascii="Arial" w:hAnsi="Arial" w:cs="Arial"/>
                <w:b/>
                <w:i/>
                <w:sz w:val="20"/>
                <w:szCs w:val="20"/>
              </w:rPr>
            </w:pPr>
            <w:r w:rsidRPr="001519FA">
              <w:rPr>
                <w:rFonts w:ascii="Arial" w:hAnsi="Arial" w:cs="Arial"/>
                <w:b/>
                <w:i/>
                <w:sz w:val="20"/>
                <w:szCs w:val="20"/>
              </w:rPr>
              <w:t xml:space="preserve">Amounts of the living minimum </w:t>
            </w:r>
            <w:r w:rsidRPr="001519FA">
              <w:rPr>
                <w:rFonts w:ascii="Arial" w:hAnsi="Arial" w:cs="Arial"/>
                <w:i/>
                <w:sz w:val="20"/>
                <w:szCs w:val="20"/>
              </w:rPr>
              <w:t>(CZK/month)</w:t>
            </w:r>
          </w:p>
        </w:tc>
      </w:tr>
      <w:tr w:rsidR="002665EC" w:rsidRPr="00F22E2F" w:rsidTr="00475F7F">
        <w:trPr>
          <w:trHeight w:val="349"/>
        </w:trPr>
        <w:tc>
          <w:tcPr>
            <w:tcW w:w="6663" w:type="dxa"/>
            <w:tcBorders>
              <w:top w:val="single" w:sz="12" w:space="0" w:color="auto"/>
              <w:right w:val="single" w:sz="4" w:space="0" w:color="auto"/>
            </w:tcBorders>
            <w:vAlign w:val="bottom"/>
          </w:tcPr>
          <w:p w:rsidR="002665EC" w:rsidRPr="00F22E2F" w:rsidRDefault="001519FA" w:rsidP="002665EC">
            <w:pPr>
              <w:tabs>
                <w:tab w:val="left" w:pos="540"/>
              </w:tabs>
              <w:ind w:firstLine="284"/>
              <w:rPr>
                <w:rFonts w:ascii="Arial" w:hAnsi="Arial" w:cs="Arial"/>
                <w:i/>
                <w:sz w:val="20"/>
                <w:szCs w:val="20"/>
              </w:rPr>
            </w:pPr>
            <w:r w:rsidRPr="001519FA">
              <w:rPr>
                <w:rFonts w:ascii="Arial" w:hAnsi="Arial" w:cs="Arial"/>
                <w:i/>
                <w:sz w:val="20"/>
                <w:szCs w:val="20"/>
              </w:rPr>
              <w:t>Individual</w:t>
            </w:r>
            <w:r w:rsidR="00E4625C">
              <w:rPr>
                <w:rFonts w:ascii="Arial" w:hAnsi="Arial" w:cs="Arial"/>
                <w:i/>
                <w:sz w:val="20"/>
                <w:szCs w:val="20"/>
              </w:rPr>
              <w:t>s</w:t>
            </w:r>
          </w:p>
        </w:tc>
        <w:tc>
          <w:tcPr>
            <w:tcW w:w="2409" w:type="dxa"/>
            <w:tcBorders>
              <w:top w:val="single" w:sz="12" w:space="0" w:color="auto"/>
              <w:left w:val="single" w:sz="4" w:space="0" w:color="auto"/>
              <w:bottom w:val="single" w:sz="8"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3 410</w:t>
            </w:r>
          </w:p>
        </w:tc>
      </w:tr>
      <w:tr w:rsidR="002665EC" w:rsidRPr="00F22E2F" w:rsidTr="00475F7F">
        <w:trPr>
          <w:trHeight w:val="349"/>
        </w:trPr>
        <w:tc>
          <w:tcPr>
            <w:tcW w:w="6663" w:type="dxa"/>
            <w:tcBorders>
              <w:right w:val="nil"/>
            </w:tcBorders>
            <w:vAlign w:val="bottom"/>
          </w:tcPr>
          <w:p w:rsidR="002665EC" w:rsidRPr="00F22E2F" w:rsidRDefault="001519FA" w:rsidP="002665EC">
            <w:pPr>
              <w:tabs>
                <w:tab w:val="left" w:pos="540"/>
              </w:tabs>
              <w:ind w:firstLine="284"/>
              <w:rPr>
                <w:rFonts w:ascii="Arial" w:hAnsi="Arial" w:cs="Arial"/>
                <w:i/>
                <w:sz w:val="20"/>
                <w:szCs w:val="20"/>
              </w:rPr>
            </w:pPr>
            <w:r w:rsidRPr="001519FA">
              <w:rPr>
                <w:rFonts w:ascii="Arial" w:hAnsi="Arial" w:cs="Arial"/>
                <w:i/>
                <w:sz w:val="20"/>
                <w:szCs w:val="20"/>
              </w:rPr>
              <w:t xml:space="preserve">Persons assessed together </w:t>
            </w:r>
          </w:p>
        </w:tc>
        <w:tc>
          <w:tcPr>
            <w:tcW w:w="2409" w:type="dxa"/>
            <w:tcBorders>
              <w:top w:val="single" w:sz="8" w:space="0" w:color="auto"/>
              <w:left w:val="nil"/>
              <w:bottom w:val="single" w:sz="8" w:space="0" w:color="auto"/>
            </w:tcBorders>
          </w:tcPr>
          <w:p w:rsidR="002665EC" w:rsidRPr="00F22E2F" w:rsidRDefault="002665EC" w:rsidP="00475F7F">
            <w:pPr>
              <w:tabs>
                <w:tab w:val="left" w:pos="540"/>
              </w:tabs>
              <w:spacing w:before="120"/>
              <w:jc w:val="center"/>
              <w:rPr>
                <w:rFonts w:ascii="Arial" w:hAnsi="Arial" w:cs="Arial"/>
                <w:i/>
                <w:sz w:val="20"/>
                <w:szCs w:val="20"/>
              </w:rPr>
            </w:pPr>
          </w:p>
        </w:tc>
      </w:tr>
      <w:tr w:rsidR="002665EC" w:rsidRPr="00F22E2F" w:rsidTr="00475F7F">
        <w:trPr>
          <w:trHeight w:val="349"/>
        </w:trPr>
        <w:tc>
          <w:tcPr>
            <w:tcW w:w="6663" w:type="dxa"/>
            <w:tcBorders>
              <w:right w:val="single" w:sz="4" w:space="0" w:color="auto"/>
            </w:tcBorders>
            <w:vAlign w:val="bottom"/>
          </w:tcPr>
          <w:p w:rsidR="002665EC" w:rsidRPr="00F22E2F" w:rsidRDefault="001519FA" w:rsidP="002665EC">
            <w:pPr>
              <w:tabs>
                <w:tab w:val="left" w:pos="284"/>
              </w:tabs>
              <w:ind w:firstLine="454"/>
              <w:rPr>
                <w:rFonts w:ascii="Arial" w:hAnsi="Arial" w:cs="Arial"/>
                <w:i/>
                <w:sz w:val="20"/>
                <w:szCs w:val="20"/>
              </w:rPr>
            </w:pPr>
            <w:r w:rsidRPr="001519FA">
              <w:rPr>
                <w:rFonts w:ascii="Arial" w:hAnsi="Arial" w:cs="Arial"/>
                <w:i/>
                <w:sz w:val="20"/>
                <w:szCs w:val="20"/>
              </w:rPr>
              <w:t xml:space="preserve">For the first adult person of household </w:t>
            </w:r>
          </w:p>
        </w:tc>
        <w:tc>
          <w:tcPr>
            <w:tcW w:w="2409" w:type="dxa"/>
            <w:tcBorders>
              <w:top w:val="single" w:sz="8" w:space="0" w:color="auto"/>
              <w:left w:val="single" w:sz="4" w:space="0" w:color="auto"/>
              <w:bottom w:val="single" w:sz="8"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3 140</w:t>
            </w:r>
          </w:p>
        </w:tc>
      </w:tr>
      <w:tr w:rsidR="002665EC" w:rsidRPr="00F22E2F" w:rsidTr="00475F7F">
        <w:trPr>
          <w:trHeight w:val="349"/>
        </w:trPr>
        <w:tc>
          <w:tcPr>
            <w:tcW w:w="6663" w:type="dxa"/>
            <w:tcBorders>
              <w:right w:val="single" w:sz="4" w:space="0" w:color="auto"/>
            </w:tcBorders>
            <w:vAlign w:val="bottom"/>
          </w:tcPr>
          <w:p w:rsidR="002665EC" w:rsidRPr="00F22E2F" w:rsidRDefault="001519FA" w:rsidP="002665EC">
            <w:pPr>
              <w:tabs>
                <w:tab w:val="left" w:pos="540"/>
              </w:tabs>
              <w:ind w:firstLine="454"/>
              <w:rPr>
                <w:rFonts w:ascii="Arial" w:hAnsi="Arial" w:cs="Arial"/>
                <w:i/>
                <w:sz w:val="20"/>
                <w:szCs w:val="20"/>
              </w:rPr>
            </w:pPr>
            <w:r w:rsidRPr="001519FA">
              <w:rPr>
                <w:rFonts w:ascii="Arial" w:hAnsi="Arial" w:cs="Arial"/>
                <w:i/>
                <w:sz w:val="20"/>
                <w:szCs w:val="20"/>
              </w:rPr>
              <w:t xml:space="preserve">For the second and following adult persons of household </w:t>
            </w:r>
          </w:p>
        </w:tc>
        <w:tc>
          <w:tcPr>
            <w:tcW w:w="2409" w:type="dxa"/>
            <w:tcBorders>
              <w:top w:val="single" w:sz="8" w:space="0" w:color="auto"/>
              <w:left w:val="single" w:sz="4" w:space="0" w:color="auto"/>
              <w:bottom w:val="single" w:sz="8"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2 830</w:t>
            </w:r>
          </w:p>
        </w:tc>
      </w:tr>
      <w:tr w:rsidR="002665EC" w:rsidRPr="00F22E2F" w:rsidTr="00475F7F">
        <w:trPr>
          <w:trHeight w:val="349"/>
        </w:trPr>
        <w:tc>
          <w:tcPr>
            <w:tcW w:w="6663" w:type="dxa"/>
            <w:tcBorders>
              <w:right w:val="nil"/>
            </w:tcBorders>
            <w:vAlign w:val="bottom"/>
          </w:tcPr>
          <w:p w:rsidR="002665EC" w:rsidRPr="00F22E2F" w:rsidRDefault="001519FA" w:rsidP="00475F7F">
            <w:pPr>
              <w:tabs>
                <w:tab w:val="left" w:pos="540"/>
              </w:tabs>
              <w:ind w:firstLine="284"/>
              <w:rPr>
                <w:rFonts w:ascii="Arial" w:hAnsi="Arial" w:cs="Arial"/>
                <w:i/>
                <w:sz w:val="20"/>
                <w:szCs w:val="20"/>
              </w:rPr>
            </w:pPr>
            <w:r w:rsidRPr="001519FA">
              <w:rPr>
                <w:rFonts w:ascii="Arial" w:hAnsi="Arial" w:cs="Arial"/>
                <w:i/>
                <w:sz w:val="20"/>
                <w:szCs w:val="20"/>
              </w:rPr>
              <w:t xml:space="preserve">Dependent children </w:t>
            </w:r>
          </w:p>
        </w:tc>
        <w:tc>
          <w:tcPr>
            <w:tcW w:w="2409" w:type="dxa"/>
            <w:tcBorders>
              <w:top w:val="single" w:sz="8" w:space="0" w:color="auto"/>
              <w:left w:val="nil"/>
              <w:bottom w:val="single" w:sz="8" w:space="0" w:color="auto"/>
            </w:tcBorders>
          </w:tcPr>
          <w:p w:rsidR="002665EC" w:rsidRPr="00F22E2F" w:rsidRDefault="002665EC" w:rsidP="00475F7F">
            <w:pPr>
              <w:tabs>
                <w:tab w:val="left" w:pos="540"/>
              </w:tabs>
              <w:spacing w:before="120"/>
              <w:jc w:val="center"/>
              <w:rPr>
                <w:rFonts w:ascii="Arial" w:hAnsi="Arial" w:cs="Arial"/>
                <w:i/>
                <w:sz w:val="20"/>
                <w:szCs w:val="20"/>
              </w:rPr>
            </w:pPr>
          </w:p>
        </w:tc>
      </w:tr>
      <w:tr w:rsidR="002665EC" w:rsidRPr="00F22E2F" w:rsidTr="00475F7F">
        <w:trPr>
          <w:trHeight w:val="349"/>
        </w:trPr>
        <w:tc>
          <w:tcPr>
            <w:tcW w:w="6663" w:type="dxa"/>
            <w:tcBorders>
              <w:right w:val="single" w:sz="4" w:space="0" w:color="auto"/>
            </w:tcBorders>
            <w:vAlign w:val="bottom"/>
          </w:tcPr>
          <w:p w:rsidR="002665EC" w:rsidRPr="00F22E2F" w:rsidRDefault="001519FA" w:rsidP="002665EC">
            <w:pPr>
              <w:tabs>
                <w:tab w:val="left" w:pos="540"/>
              </w:tabs>
              <w:ind w:firstLine="454"/>
              <w:rPr>
                <w:rFonts w:ascii="Arial" w:hAnsi="Arial" w:cs="Arial"/>
                <w:i/>
                <w:sz w:val="20"/>
                <w:szCs w:val="20"/>
              </w:rPr>
            </w:pPr>
            <w:r w:rsidRPr="001519FA">
              <w:rPr>
                <w:rFonts w:ascii="Arial" w:hAnsi="Arial" w:cs="Arial"/>
                <w:i/>
                <w:sz w:val="20"/>
                <w:szCs w:val="20"/>
              </w:rPr>
              <w:t>Up to 6 years</w:t>
            </w:r>
          </w:p>
        </w:tc>
        <w:tc>
          <w:tcPr>
            <w:tcW w:w="2409" w:type="dxa"/>
            <w:tcBorders>
              <w:top w:val="single" w:sz="8" w:space="0" w:color="auto"/>
              <w:left w:val="single" w:sz="4" w:space="0" w:color="auto"/>
              <w:bottom w:val="single" w:sz="8"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1 740</w:t>
            </w:r>
          </w:p>
        </w:tc>
      </w:tr>
      <w:tr w:rsidR="002665EC" w:rsidRPr="00F22E2F" w:rsidTr="00475F7F">
        <w:trPr>
          <w:trHeight w:val="349"/>
        </w:trPr>
        <w:tc>
          <w:tcPr>
            <w:tcW w:w="6663" w:type="dxa"/>
            <w:tcBorders>
              <w:right w:val="single" w:sz="4" w:space="0" w:color="auto"/>
            </w:tcBorders>
            <w:vAlign w:val="bottom"/>
          </w:tcPr>
          <w:p w:rsidR="002665EC" w:rsidRPr="00F22E2F" w:rsidRDefault="001519FA" w:rsidP="002665EC">
            <w:pPr>
              <w:tabs>
                <w:tab w:val="left" w:pos="540"/>
              </w:tabs>
              <w:ind w:firstLine="454"/>
              <w:rPr>
                <w:rFonts w:ascii="Arial" w:hAnsi="Arial" w:cs="Arial"/>
                <w:i/>
                <w:sz w:val="20"/>
                <w:szCs w:val="20"/>
              </w:rPr>
            </w:pPr>
            <w:r w:rsidRPr="001519FA">
              <w:rPr>
                <w:rFonts w:ascii="Arial" w:hAnsi="Arial" w:cs="Arial"/>
                <w:i/>
                <w:sz w:val="20"/>
                <w:szCs w:val="20"/>
              </w:rPr>
              <w:t>6 to 15 years</w:t>
            </w:r>
          </w:p>
        </w:tc>
        <w:tc>
          <w:tcPr>
            <w:tcW w:w="2409" w:type="dxa"/>
            <w:tcBorders>
              <w:top w:val="single" w:sz="8" w:space="0" w:color="auto"/>
              <w:left w:val="single" w:sz="4" w:space="0" w:color="auto"/>
              <w:bottom w:val="single" w:sz="8"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2 140</w:t>
            </w:r>
          </w:p>
        </w:tc>
      </w:tr>
      <w:tr w:rsidR="002665EC" w:rsidRPr="00F22E2F" w:rsidTr="00475F7F">
        <w:trPr>
          <w:trHeight w:val="349"/>
        </w:trPr>
        <w:tc>
          <w:tcPr>
            <w:tcW w:w="6663" w:type="dxa"/>
            <w:tcBorders>
              <w:right w:val="single" w:sz="4" w:space="0" w:color="auto"/>
            </w:tcBorders>
            <w:vAlign w:val="bottom"/>
          </w:tcPr>
          <w:p w:rsidR="002665EC" w:rsidRPr="00F22E2F" w:rsidRDefault="001519FA" w:rsidP="002665EC">
            <w:pPr>
              <w:tabs>
                <w:tab w:val="left" w:pos="540"/>
              </w:tabs>
              <w:ind w:firstLine="454"/>
              <w:rPr>
                <w:rFonts w:ascii="Arial" w:hAnsi="Arial" w:cs="Arial"/>
                <w:i/>
                <w:sz w:val="20"/>
                <w:szCs w:val="20"/>
              </w:rPr>
            </w:pPr>
            <w:r w:rsidRPr="001519FA">
              <w:rPr>
                <w:rFonts w:ascii="Arial" w:hAnsi="Arial" w:cs="Arial"/>
                <w:i/>
                <w:sz w:val="20"/>
                <w:szCs w:val="20"/>
              </w:rPr>
              <w:t>15 to 26 years</w:t>
            </w:r>
          </w:p>
        </w:tc>
        <w:tc>
          <w:tcPr>
            <w:tcW w:w="2409" w:type="dxa"/>
            <w:tcBorders>
              <w:top w:val="single" w:sz="8" w:space="0" w:color="auto"/>
              <w:left w:val="single" w:sz="4" w:space="0" w:color="auto"/>
              <w:bottom w:val="single" w:sz="12" w:space="0" w:color="auto"/>
            </w:tcBorders>
          </w:tcPr>
          <w:p w:rsidR="002665EC" w:rsidRPr="00F22E2F" w:rsidRDefault="001519FA" w:rsidP="00475F7F">
            <w:pPr>
              <w:tabs>
                <w:tab w:val="left" w:pos="540"/>
              </w:tabs>
              <w:spacing w:before="120"/>
              <w:jc w:val="center"/>
              <w:rPr>
                <w:rFonts w:ascii="Arial" w:hAnsi="Arial" w:cs="Arial"/>
                <w:i/>
                <w:sz w:val="20"/>
                <w:szCs w:val="20"/>
              </w:rPr>
            </w:pPr>
            <w:r w:rsidRPr="001519FA">
              <w:rPr>
                <w:rFonts w:ascii="Arial" w:hAnsi="Arial" w:cs="Arial"/>
                <w:i/>
                <w:sz w:val="20"/>
                <w:szCs w:val="20"/>
              </w:rPr>
              <w:t>2 450</w:t>
            </w:r>
          </w:p>
        </w:tc>
      </w:tr>
    </w:tbl>
    <w:p w:rsidR="002665EC" w:rsidRPr="00F22E2F" w:rsidRDefault="002665E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firstLine="720"/>
        <w:jc w:val="both"/>
        <w:rPr>
          <w:rFonts w:ascii="Arial" w:hAnsi="Arial" w:cs="Arial"/>
          <w:b/>
          <w:i/>
          <w:iCs/>
          <w:color w:val="auto"/>
          <w:sz w:val="20"/>
          <w:szCs w:val="17"/>
          <w:lang w:val="en-GB"/>
        </w:rPr>
      </w:pPr>
      <w:r>
        <w:rPr>
          <w:rFonts w:ascii="Arial" w:hAnsi="Arial" w:cs="Arial"/>
          <w:i/>
          <w:iCs/>
          <w:color w:val="auto"/>
          <w:sz w:val="20"/>
          <w:szCs w:val="17"/>
          <w:lang w:val="en-GB"/>
        </w:rPr>
        <w:t xml:space="preserve">Basic division of households by </w:t>
      </w:r>
      <w:r w:rsidR="001519FA" w:rsidRPr="001519FA">
        <w:rPr>
          <w:rFonts w:ascii="Arial" w:hAnsi="Arial" w:cs="Arial"/>
          <w:b/>
          <w:i/>
          <w:iCs/>
          <w:color w:val="auto"/>
          <w:sz w:val="20"/>
          <w:szCs w:val="17"/>
          <w:lang w:val="en-GB"/>
        </w:rPr>
        <w:t>activity</w:t>
      </w:r>
      <w:r w:rsidR="005272CA">
        <w:rPr>
          <w:rFonts w:ascii="Arial" w:hAnsi="Arial" w:cs="Arial"/>
          <w:i/>
          <w:iCs/>
          <w:color w:val="auto"/>
          <w:sz w:val="20"/>
          <w:szCs w:val="17"/>
          <w:lang w:val="en-GB"/>
        </w:rPr>
        <w:t xml:space="preserve"> </w:t>
      </w:r>
      <w:r>
        <w:rPr>
          <w:rFonts w:ascii="Arial" w:hAnsi="Arial" w:cs="Arial"/>
          <w:b/>
          <w:i/>
          <w:iCs/>
          <w:color w:val="auto"/>
          <w:sz w:val="20"/>
          <w:szCs w:val="17"/>
          <w:lang w:val="en-GB"/>
        </w:rPr>
        <w:t>status of the head of household:</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Households, total</w:t>
      </w:r>
      <w:r>
        <w:rPr>
          <w:rFonts w:ascii="Arial" w:hAnsi="Arial" w:cs="Arial"/>
          <w:i/>
          <w:iCs/>
          <w:color w:val="auto"/>
          <w:sz w:val="20"/>
          <w:szCs w:val="17"/>
          <w:lang w:val="en-GB"/>
        </w:rPr>
        <w:t xml:space="preserve"> in the Living Conditions Survey represent the average household in the Czech Republic. Since 2006 the HBS sample has included all types of households represented in the population. The weight of each household group corresponds to their percentage found in the Living Conditions Survey. The number of pensioner households without economically active members was reduced for the Household Budget Survey and yet this disproportion is eliminated by weight adjustment in the data processing.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Employee households</w:t>
      </w:r>
      <w:r>
        <w:rPr>
          <w:rFonts w:ascii="Arial" w:hAnsi="Arial" w:cs="Arial"/>
          <w:i/>
          <w:iCs/>
          <w:color w:val="auto"/>
          <w:sz w:val="20"/>
          <w:szCs w:val="17"/>
          <w:lang w:val="en-GB"/>
        </w:rPr>
        <w:t xml:space="preserve"> are households where head of household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Self-employed households</w:t>
      </w:r>
      <w:r>
        <w:rPr>
          <w:rFonts w:ascii="Arial" w:hAnsi="Arial" w:cs="Arial"/>
          <w:i/>
          <w:iCs/>
          <w:color w:val="auto"/>
          <w:sz w:val="20"/>
          <w:szCs w:val="17"/>
          <w:lang w:val="en-GB"/>
        </w:rPr>
        <w:t xml:space="preserve"> are households, which head of household is a self-employed person, that means persons undertaking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Unemployed households</w:t>
      </w:r>
      <w:r>
        <w:rPr>
          <w:rFonts w:ascii="Arial" w:hAnsi="Arial" w:cs="Arial"/>
          <w:i/>
          <w:iCs/>
          <w:color w:val="auto"/>
          <w:sz w:val="20"/>
          <w:szCs w:val="17"/>
          <w:lang w:val="en-GB"/>
        </w:rPr>
        <w:t xml:space="preserve"> are households, which head of household is in no paid job, but wants to work, that means he/she actively seeks a job or plans to undertake business, or intends to seek a job. It does not matter whether he/she receives social security benefits for job applicants or not.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Pensioner households</w:t>
      </w:r>
      <w:r>
        <w:rPr>
          <w:rFonts w:ascii="Arial" w:hAnsi="Arial" w:cs="Arial"/>
          <w:i/>
          <w:iCs/>
          <w:color w:val="auto"/>
          <w:sz w:val="20"/>
          <w:szCs w:val="17"/>
          <w:lang w:val="en-GB"/>
        </w:rPr>
        <w:t xml:space="preserve"> have head of household that receives a pension (except orphan’s pension) and does not work at all, or his/her economic activity is limited. From the Living Conditions Survey (Tables </w:t>
      </w:r>
      <w:r>
        <w:rPr>
          <w:rFonts w:ascii="Arial" w:hAnsi="Arial" w:cs="Arial"/>
          <w:b/>
          <w:i/>
          <w:iCs/>
          <w:color w:val="auto"/>
          <w:sz w:val="20"/>
          <w:szCs w:val="17"/>
          <w:lang w:val="en-GB"/>
        </w:rPr>
        <w:t>9</w:t>
      </w:r>
      <w:r>
        <w:rPr>
          <w:rFonts w:ascii="Arial" w:hAnsi="Arial" w:cs="Arial"/>
          <w:i/>
          <w:iCs/>
          <w:color w:val="auto"/>
          <w:sz w:val="20"/>
          <w:szCs w:val="17"/>
          <w:lang w:val="en-GB"/>
        </w:rPr>
        <w:t xml:space="preserve">-1. to </w:t>
      </w:r>
      <w:r>
        <w:rPr>
          <w:rFonts w:ascii="Arial" w:hAnsi="Arial" w:cs="Arial"/>
          <w:b/>
          <w:i/>
          <w:iCs/>
          <w:color w:val="auto"/>
          <w:sz w:val="20"/>
          <w:szCs w:val="17"/>
          <w:lang w:val="en-GB"/>
        </w:rPr>
        <w:t>9</w:t>
      </w:r>
      <w:r>
        <w:rPr>
          <w:rFonts w:ascii="Arial" w:hAnsi="Arial" w:cs="Arial"/>
          <w:i/>
          <w:iCs/>
          <w:color w:val="auto"/>
          <w:sz w:val="20"/>
          <w:szCs w:val="17"/>
          <w:lang w:val="en-GB"/>
        </w:rPr>
        <w:t xml:space="preserve">-4.) results released are for </w:t>
      </w:r>
      <w:r>
        <w:rPr>
          <w:rFonts w:ascii="Arial" w:hAnsi="Arial" w:cs="Arial"/>
          <w:b/>
          <w:i/>
          <w:iCs/>
          <w:color w:val="auto"/>
          <w:sz w:val="20"/>
          <w:szCs w:val="17"/>
          <w:lang w:val="en-GB"/>
        </w:rPr>
        <w:t>pensioner households without working members.</w:t>
      </w:r>
      <w:r>
        <w:rPr>
          <w:rFonts w:ascii="Arial" w:hAnsi="Arial" w:cs="Arial"/>
          <w:i/>
          <w:iCs/>
          <w:color w:val="auto"/>
          <w:sz w:val="20"/>
          <w:szCs w:val="17"/>
          <w:lang w:val="en-GB"/>
        </w:rPr>
        <w:t xml:space="preserve"> These households involve all households in which head of household receives a pensions </w:t>
      </w:r>
      <w:r>
        <w:rPr>
          <w:rFonts w:ascii="Arial" w:hAnsi="Arial" w:cs="Arial"/>
          <w:i/>
          <w:iCs/>
          <w:color w:val="auto"/>
          <w:sz w:val="20"/>
          <w:szCs w:val="17"/>
          <w:lang w:val="en-GB"/>
        </w:rPr>
        <w:lastRenderedPageBreak/>
        <w:t>and is neither working (at all or works at a limited extent) and nor other household members work while the decisive factor is they actually do some work activity or not (that means they may be unemployed). On the</w:t>
      </w:r>
      <w:r w:rsidR="00EF24BD">
        <w:rPr>
          <w:rFonts w:ascii="Arial" w:hAnsi="Arial" w:cs="Arial"/>
          <w:i/>
          <w:iCs/>
          <w:color w:val="auto"/>
          <w:sz w:val="20"/>
          <w:szCs w:val="17"/>
          <w:lang w:val="en-GB"/>
        </w:rPr>
        <w:t> </w:t>
      </w:r>
      <w:r>
        <w:rPr>
          <w:rFonts w:ascii="Arial" w:hAnsi="Arial" w:cs="Arial"/>
          <w:i/>
          <w:iCs/>
          <w:color w:val="auto"/>
          <w:sz w:val="20"/>
          <w:szCs w:val="17"/>
          <w:lang w:val="en-GB"/>
        </w:rPr>
        <w:t xml:space="preserve">contrary, tables demonstrating results of the Household Budget Survey (Tables </w:t>
      </w:r>
      <w:r>
        <w:rPr>
          <w:rFonts w:ascii="Arial" w:hAnsi="Arial" w:cs="Arial"/>
          <w:b/>
          <w:i/>
          <w:iCs/>
          <w:color w:val="auto"/>
          <w:sz w:val="20"/>
          <w:szCs w:val="17"/>
          <w:lang w:val="en-GB"/>
        </w:rPr>
        <w:t>9</w:t>
      </w:r>
      <w:r>
        <w:rPr>
          <w:rFonts w:ascii="Arial" w:hAnsi="Arial" w:cs="Arial"/>
          <w:i/>
          <w:iCs/>
          <w:color w:val="auto"/>
          <w:sz w:val="20"/>
          <w:szCs w:val="17"/>
          <w:lang w:val="en-GB"/>
        </w:rPr>
        <w:t xml:space="preserve">-5. to </w:t>
      </w:r>
      <w:r>
        <w:rPr>
          <w:rFonts w:ascii="Arial" w:hAnsi="Arial" w:cs="Arial"/>
          <w:b/>
          <w:i/>
          <w:iCs/>
          <w:color w:val="auto"/>
          <w:sz w:val="20"/>
          <w:szCs w:val="17"/>
          <w:lang w:val="en-GB"/>
        </w:rPr>
        <w:t>9</w:t>
      </w:r>
      <w:r>
        <w:rPr>
          <w:rFonts w:ascii="Arial" w:hAnsi="Arial" w:cs="Arial"/>
          <w:i/>
          <w:iCs/>
          <w:color w:val="auto"/>
          <w:sz w:val="20"/>
          <w:szCs w:val="17"/>
          <w:lang w:val="en-GB"/>
        </w:rPr>
        <w:t xml:space="preserve">-8.) show a special category of </w:t>
      </w:r>
      <w:r>
        <w:rPr>
          <w:rFonts w:ascii="Arial" w:hAnsi="Arial" w:cs="Arial"/>
          <w:b/>
          <w:i/>
          <w:iCs/>
          <w:color w:val="auto"/>
          <w:sz w:val="20"/>
          <w:szCs w:val="17"/>
          <w:lang w:val="en-GB"/>
        </w:rPr>
        <w:t>pensioner households without economically active members</w:t>
      </w:r>
      <w:r>
        <w:rPr>
          <w:rFonts w:ascii="Arial" w:hAnsi="Arial" w:cs="Arial"/>
          <w:i/>
          <w:iCs/>
          <w:color w:val="auto"/>
          <w:sz w:val="20"/>
          <w:szCs w:val="17"/>
          <w:lang w:val="en-GB"/>
        </w:rPr>
        <w:t xml:space="preserve">, which includes households, in which, besides head of household, also other household members are economically inactive at all, or their economic activity is limited. </w:t>
      </w:r>
    </w:p>
    <w:p w:rsidR="00444301" w:rsidRPr="00F22E2F" w:rsidRDefault="00444301" w:rsidP="00444301">
      <w:pPr>
        <w:pStyle w:val="Normlnweb"/>
        <w:spacing w:before="0" w:beforeAutospacing="0" w:after="0" w:afterAutospacing="0"/>
        <w:jc w:val="both"/>
        <w:rPr>
          <w:rFonts w:ascii="Arial" w:hAnsi="Arial" w:cs="Arial"/>
          <w:bCs/>
          <w:i/>
          <w:iCs/>
          <w:color w:val="auto"/>
          <w:sz w:val="20"/>
          <w:szCs w:val="17"/>
          <w:lang w:val="en-GB"/>
        </w:rPr>
      </w:pPr>
    </w:p>
    <w:p w:rsidR="00444301" w:rsidRPr="00F22E2F" w:rsidRDefault="00444301" w:rsidP="00444301">
      <w:pPr>
        <w:pStyle w:val="Normlnweb"/>
        <w:spacing w:before="0" w:beforeAutospacing="0" w:after="0" w:afterAutospacing="0"/>
        <w:jc w:val="both"/>
        <w:rPr>
          <w:rFonts w:ascii="Arial" w:hAnsi="Arial" w:cs="Arial"/>
          <w:bCs/>
          <w:i/>
          <w:iCs/>
          <w:color w:val="auto"/>
          <w:sz w:val="20"/>
          <w:szCs w:val="17"/>
          <w:lang w:val="en-GB"/>
        </w:rPr>
      </w:pPr>
    </w:p>
    <w:p w:rsidR="007F2B7C" w:rsidRPr="00F22E2F" w:rsidRDefault="00774875" w:rsidP="00444301">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Two-parent families</w:t>
      </w:r>
      <w:r>
        <w:rPr>
          <w:rFonts w:ascii="Arial" w:hAnsi="Arial" w:cs="Arial"/>
          <w:i/>
          <w:iCs/>
          <w:color w:val="auto"/>
          <w:sz w:val="20"/>
          <w:szCs w:val="17"/>
          <w:lang w:val="en-GB"/>
        </w:rPr>
        <w:t xml:space="preserve"> are families of married couples or </w:t>
      </w:r>
      <w:r>
        <w:rPr>
          <w:rFonts w:ascii="Arial" w:hAnsi="Arial" w:cs="Arial"/>
          <w:i/>
          <w:color w:val="auto"/>
          <w:sz w:val="20"/>
          <w:szCs w:val="17"/>
          <w:lang w:val="en-GB"/>
        </w:rPr>
        <w:t>established unmarried couples</w:t>
      </w:r>
      <w:r>
        <w:rPr>
          <w:rFonts w:ascii="Arial" w:hAnsi="Arial" w:cs="Arial"/>
          <w:i/>
          <w:iCs/>
          <w:color w:val="auto"/>
          <w:sz w:val="20"/>
          <w:szCs w:val="17"/>
          <w:lang w:val="en-GB"/>
        </w:rPr>
        <w:t xml:space="preserve"> with or without dependent children, while other persons may also be included. </w:t>
      </w:r>
      <w:r>
        <w:rPr>
          <w:rFonts w:ascii="Arial" w:hAnsi="Arial" w:cs="Arial"/>
          <w:b/>
          <w:bCs/>
          <w:i/>
          <w:iCs/>
          <w:color w:val="auto"/>
          <w:sz w:val="20"/>
          <w:szCs w:val="17"/>
          <w:lang w:val="en-GB"/>
        </w:rPr>
        <w:t>Two-parent nuclear families</w:t>
      </w:r>
      <w:r>
        <w:rPr>
          <w:rFonts w:ascii="Arial" w:hAnsi="Arial" w:cs="Arial"/>
          <w:i/>
          <w:iCs/>
          <w:color w:val="auto"/>
          <w:sz w:val="20"/>
          <w:szCs w:val="17"/>
          <w:lang w:val="en-GB"/>
        </w:rPr>
        <w:t xml:space="preserve"> are families of parents (partners) and dependent children.</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Lone-parent families </w:t>
      </w:r>
      <w:r>
        <w:rPr>
          <w:rFonts w:ascii="Arial" w:hAnsi="Arial" w:cs="Arial"/>
          <w:bCs/>
          <w:i/>
          <w:iCs/>
          <w:color w:val="auto"/>
          <w:sz w:val="20"/>
          <w:szCs w:val="17"/>
          <w:lang w:val="en-GB"/>
        </w:rPr>
        <w:t xml:space="preserve">are families of a single parent and one child, at least, while other persons may also be included. </w:t>
      </w:r>
      <w:r>
        <w:rPr>
          <w:rFonts w:ascii="Arial" w:hAnsi="Arial" w:cs="Arial"/>
          <w:b/>
          <w:bCs/>
          <w:i/>
          <w:iCs/>
          <w:color w:val="auto"/>
          <w:sz w:val="20"/>
          <w:szCs w:val="17"/>
          <w:lang w:val="en-GB"/>
        </w:rPr>
        <w:t>Lone-parent nuclear families</w:t>
      </w:r>
      <w:r>
        <w:rPr>
          <w:rFonts w:ascii="Arial" w:hAnsi="Arial" w:cs="Arial"/>
          <w:i/>
          <w:iCs/>
          <w:color w:val="auto"/>
          <w:sz w:val="20"/>
          <w:szCs w:val="17"/>
          <w:lang w:val="en-GB"/>
        </w:rPr>
        <w:t xml:space="preserve"> are families of a parent and a dependent child or children.</w:t>
      </w:r>
    </w:p>
    <w:p w:rsidR="007F2B7C" w:rsidRPr="00F22E2F" w:rsidRDefault="00774875" w:rsidP="004443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gross money income</w:t>
      </w:r>
      <w:r>
        <w:rPr>
          <w:rFonts w:ascii="Arial" w:hAnsi="Arial" w:cs="Arial"/>
          <w:bCs/>
          <w:i/>
          <w:iCs/>
          <w:color w:val="auto"/>
          <w:sz w:val="20"/>
          <w:szCs w:val="17"/>
          <w:lang w:val="en-GB"/>
        </w:rPr>
        <w:t xml:space="preserve"> includes </w:t>
      </w:r>
      <w:r>
        <w:rPr>
          <w:rFonts w:ascii="Arial" w:hAnsi="Arial" w:cs="Arial"/>
          <w:i/>
          <w:iCs/>
          <w:color w:val="auto"/>
          <w:sz w:val="20"/>
          <w:szCs w:val="17"/>
          <w:lang w:val="en-GB"/>
        </w:rPr>
        <w:t xml:space="preserve">income from employment or self-employment as a principal or secondary activity, all kinds of regular or irregular social income granted to the household as a whole or to its respective members and all other one-off or extraordinary money income (from capital assets, occasional renting, life and other insurance, inheritance, competition and contest, etc.).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net money income </w:t>
      </w:r>
      <w:r>
        <w:rPr>
          <w:rFonts w:ascii="Arial" w:hAnsi="Arial" w:cs="Arial"/>
          <w:i/>
          <w:iCs/>
          <w:color w:val="auto"/>
          <w:sz w:val="20"/>
          <w:szCs w:val="17"/>
          <w:lang w:val="en-GB"/>
        </w:rPr>
        <w:t xml:space="preserve">is obtained from the gross money income by subtracting compulsory health and social insurance contributions and income taxes. Since 2009 (income for 2008) the net income includes the tax bonus for children.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income from work </w:t>
      </w:r>
      <w:r>
        <w:rPr>
          <w:rFonts w:ascii="Arial" w:hAnsi="Arial" w:cs="Arial"/>
          <w:i/>
          <w:iCs/>
          <w:color w:val="auto"/>
          <w:sz w:val="20"/>
          <w:szCs w:val="17"/>
          <w:lang w:val="en-GB"/>
        </w:rPr>
        <w:t xml:space="preserve">shall mean the income from work in employment, service or membership relationship and the income from self-employment or other gainful activity.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 the Living Conditions Survey, the </w:t>
      </w:r>
      <w:r>
        <w:rPr>
          <w:rFonts w:ascii="Arial" w:hAnsi="Arial" w:cs="Arial"/>
          <w:b/>
          <w:i/>
          <w:iCs/>
          <w:color w:val="auto"/>
          <w:sz w:val="20"/>
          <w:szCs w:val="17"/>
          <w:lang w:val="en-GB"/>
        </w:rPr>
        <w:t>income from self-employment</w:t>
      </w:r>
      <w:r>
        <w:rPr>
          <w:rFonts w:ascii="Arial" w:hAnsi="Arial" w:cs="Arial"/>
          <w:i/>
          <w:iCs/>
          <w:color w:val="auto"/>
          <w:sz w:val="20"/>
          <w:szCs w:val="17"/>
          <w:lang w:val="en-GB"/>
        </w:rPr>
        <w:t xml:space="preserve"> is profit/loss before taxation. In the Household Budget Survey it includes only amounts that were transferred from the business revenues to be used for the needs of the household and its respective members. Therefore it is the net household income. In this case expenditure does not include income taxes and health and social insurance contributions.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 xml:space="preserve">gross money expenditure </w:t>
      </w:r>
      <w:r>
        <w:rPr>
          <w:rFonts w:ascii="Arial" w:hAnsi="Arial" w:cs="Arial"/>
          <w:i/>
          <w:iCs/>
          <w:color w:val="auto"/>
          <w:sz w:val="20"/>
          <w:szCs w:val="17"/>
          <w:lang w:val="en-GB"/>
        </w:rPr>
        <w:t xml:space="preserve">does not include deposits and repaid credits and loans.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 xml:space="preserve">net money expenditure </w:t>
      </w:r>
      <w:r>
        <w:rPr>
          <w:rFonts w:ascii="Arial" w:hAnsi="Arial" w:cs="Arial"/>
          <w:i/>
          <w:iCs/>
          <w:color w:val="auto"/>
          <w:sz w:val="20"/>
          <w:szCs w:val="17"/>
          <w:lang w:val="en-GB"/>
        </w:rPr>
        <w:t xml:space="preserve">is the gross money expenditure minus health and social insurance contributions and income taxes. It is divided into consumption expenditure and non-consumption expenditure.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In order to ensure international comparability of statistical indicators, since 1999 </w:t>
      </w:r>
      <w:r>
        <w:rPr>
          <w:rFonts w:ascii="Arial" w:hAnsi="Arial" w:cs="Arial"/>
          <w:bCs/>
          <w:i/>
          <w:iCs/>
          <w:color w:val="auto"/>
          <w:sz w:val="20"/>
          <w:szCs w:val="17"/>
          <w:lang w:val="en-GB"/>
        </w:rPr>
        <w:t>money expenditure</w:t>
      </w:r>
      <w:r>
        <w:rPr>
          <w:rFonts w:ascii="Arial" w:hAnsi="Arial" w:cs="Arial"/>
          <w:i/>
          <w:iCs/>
          <w:color w:val="auto"/>
          <w:sz w:val="20"/>
          <w:szCs w:val="17"/>
          <w:lang w:val="en-GB"/>
        </w:rPr>
        <w:t xml:space="preserve"> items have been arranged in accordance with the national version of the “Classification of Individual Consumption by Purpose (CZ-COICOP)” of the international standard of COICOP, see the Statistical Classifications and Nomenclatures in Force at the beginning of this Yearbook, which is obligatory for all statistical surveys. </w:t>
      </w:r>
      <w:r w:rsidR="007B318D">
        <w:rPr>
          <w:rFonts w:ascii="Arial" w:hAnsi="Arial" w:cs="Arial"/>
          <w:i/>
          <w:iCs/>
          <w:color w:val="auto"/>
          <w:sz w:val="20"/>
          <w:szCs w:val="17"/>
          <w:lang w:val="en-GB"/>
        </w:rPr>
        <w:t xml:space="preserve">Detailed contents of </w:t>
      </w:r>
      <w:r w:rsidR="00212036">
        <w:rPr>
          <w:rFonts w:ascii="Arial" w:hAnsi="Arial" w:cs="Arial"/>
          <w:i/>
          <w:iCs/>
          <w:color w:val="auto"/>
          <w:sz w:val="20"/>
          <w:szCs w:val="17"/>
          <w:lang w:val="en-GB"/>
        </w:rPr>
        <w:t xml:space="preserve">its twelve </w:t>
      </w:r>
      <w:r w:rsidR="007B318D">
        <w:rPr>
          <w:rFonts w:ascii="Arial" w:hAnsi="Arial" w:cs="Arial"/>
          <w:i/>
          <w:iCs/>
          <w:color w:val="auto"/>
          <w:sz w:val="20"/>
          <w:szCs w:val="17"/>
          <w:lang w:val="en-GB"/>
        </w:rPr>
        <w:t xml:space="preserve">basic </w:t>
      </w:r>
      <w:r w:rsidR="00212036">
        <w:rPr>
          <w:rFonts w:ascii="Arial" w:hAnsi="Arial" w:cs="Arial"/>
          <w:i/>
          <w:iCs/>
          <w:color w:val="auto"/>
          <w:sz w:val="20"/>
          <w:szCs w:val="17"/>
          <w:lang w:val="en-GB"/>
        </w:rPr>
        <w:t>divisions</w:t>
      </w:r>
      <w:r w:rsidR="007B318D">
        <w:rPr>
          <w:rFonts w:ascii="Arial" w:hAnsi="Arial" w:cs="Arial"/>
          <w:i/>
          <w:iCs/>
          <w:color w:val="auto"/>
          <w:sz w:val="20"/>
          <w:szCs w:val="17"/>
          <w:lang w:val="en-GB"/>
        </w:rPr>
        <w:t xml:space="preserve"> are available in </w:t>
      </w:r>
      <w:r w:rsidR="00F6053B">
        <w:rPr>
          <w:rFonts w:ascii="Arial" w:hAnsi="Arial" w:cs="Arial"/>
          <w:i/>
          <w:iCs/>
          <w:color w:val="auto"/>
          <w:sz w:val="20"/>
          <w:szCs w:val="17"/>
          <w:lang w:val="en-GB"/>
        </w:rPr>
        <w:t>the a</w:t>
      </w:r>
      <w:r w:rsidR="00212036">
        <w:rPr>
          <w:rFonts w:ascii="Arial" w:hAnsi="Arial" w:cs="Arial"/>
          <w:i/>
          <w:iCs/>
          <w:color w:val="auto"/>
          <w:sz w:val="20"/>
          <w:szCs w:val="17"/>
          <w:lang w:val="en-GB"/>
        </w:rPr>
        <w:t>fore</w:t>
      </w:r>
      <w:r w:rsidR="00F6053B">
        <w:rPr>
          <w:rFonts w:ascii="Arial" w:hAnsi="Arial" w:cs="Arial"/>
          <w:i/>
          <w:iCs/>
          <w:color w:val="auto"/>
          <w:sz w:val="20"/>
          <w:szCs w:val="17"/>
          <w:lang w:val="en-GB"/>
        </w:rPr>
        <w:t xml:space="preserve">mentioned </w:t>
      </w:r>
      <w:r w:rsidR="007B318D">
        <w:rPr>
          <w:rFonts w:ascii="Arial" w:hAnsi="Arial" w:cs="Arial"/>
          <w:i/>
          <w:iCs/>
          <w:color w:val="auto"/>
          <w:sz w:val="20"/>
          <w:szCs w:val="17"/>
          <w:lang w:val="en-GB"/>
        </w:rPr>
        <w:t xml:space="preserve">classification. </w:t>
      </w:r>
      <w:r>
        <w:rPr>
          <w:rFonts w:ascii="Arial" w:hAnsi="Arial" w:cs="Arial"/>
          <w:i/>
          <w:iCs/>
          <w:color w:val="auto"/>
          <w:sz w:val="20"/>
          <w:szCs w:val="17"/>
          <w:lang w:val="en-GB"/>
        </w:rPr>
        <w:t xml:space="preserve">Expenditure that is not included in the CZ-COICOP (investment expenditure on constructions or reconstructions of the house/dwelling, expenditure related to management of the kitchen gardens and livestock, etc.) is separated in special section “Non-consumption expenditure”.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FE1483">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Tables</w:t>
      </w:r>
    </w:p>
    <w:p w:rsidR="007F2B7C" w:rsidRPr="00F22E2F" w:rsidRDefault="007F2B7C" w:rsidP="00FE1483">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rsidP="00FE1483">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74875" w:rsidP="00FE1483">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-1. </w:t>
      </w:r>
      <w:r>
        <w:rPr>
          <w:rFonts w:ascii="Arial" w:hAnsi="Arial" w:cs="Arial"/>
          <w:b/>
          <w:i/>
          <w:iCs/>
          <w:color w:val="auto"/>
          <w:sz w:val="20"/>
          <w:szCs w:val="17"/>
          <w:lang w:val="en-GB"/>
        </w:rPr>
        <w:t>Income, at-risk-of-poverty rate, and housing costs of private households</w:t>
      </w:r>
    </w:p>
    <w:p w:rsidR="007F2B7C" w:rsidRPr="00F22E2F" w:rsidRDefault="00774875" w:rsidP="00E90E2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data time series from the Living Conditions Survey gives especially the trend in income and selected income characteristics, development in income poverty according to the EU methodology, and trend in housing costs. The at-risk-of-poverty threshold is set at 60% of the median equivalised disposable income. The time series of income poverty has changed due to a methodology change in the disposable income.</w:t>
      </w: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rsidP="00DD3032">
      <w:pPr>
        <w:pStyle w:val="Normlnweb"/>
        <w:spacing w:before="0" w:beforeAutospacing="0" w:after="0" w:afterAutospacing="0"/>
        <w:ind w:left="709" w:hanging="709"/>
        <w:jc w:val="both"/>
        <w:rPr>
          <w:rFonts w:ascii="Arial" w:hAnsi="Arial" w:cs="Arial"/>
          <w:i/>
          <w:iCs/>
          <w:color w:val="auto"/>
          <w:sz w:val="20"/>
          <w:szCs w:val="17"/>
          <w:lang w:val="en-GB"/>
        </w:rPr>
      </w:pPr>
      <w:r w:rsidRPr="00F22E2F">
        <w:rPr>
          <w:rFonts w:ascii="Arial" w:hAnsi="Arial" w:cs="Arial"/>
          <w:i/>
          <w:iCs/>
          <w:color w:val="auto"/>
          <w:sz w:val="20"/>
          <w:szCs w:val="17"/>
          <w:lang w:val="en-GB"/>
        </w:rPr>
        <w:t xml:space="preserve">Table </w:t>
      </w:r>
      <w:r w:rsidR="00774875">
        <w:rPr>
          <w:rFonts w:ascii="Arial" w:hAnsi="Arial" w:cs="Arial"/>
          <w:b/>
          <w:bCs/>
          <w:i/>
          <w:iCs/>
          <w:color w:val="auto"/>
          <w:sz w:val="20"/>
          <w:szCs w:val="17"/>
          <w:lang w:val="en-GB"/>
        </w:rPr>
        <w:t>9</w:t>
      </w:r>
      <w:r w:rsidR="00774875">
        <w:rPr>
          <w:rFonts w:ascii="Arial" w:hAnsi="Arial" w:cs="Arial"/>
          <w:i/>
          <w:iCs/>
          <w:color w:val="auto"/>
          <w:sz w:val="20"/>
          <w:szCs w:val="17"/>
          <w:lang w:val="en-GB"/>
        </w:rPr>
        <w:t xml:space="preserve">-2. </w:t>
      </w:r>
      <w:r w:rsidR="00774875">
        <w:rPr>
          <w:rFonts w:ascii="Arial" w:hAnsi="Arial" w:cs="Arial"/>
          <w:b/>
          <w:i/>
          <w:iCs/>
          <w:color w:val="auto"/>
          <w:sz w:val="20"/>
          <w:szCs w:val="17"/>
          <w:lang w:val="en-GB"/>
        </w:rPr>
        <w:t>Private households by activity status of the head of household in 201</w:t>
      </w:r>
      <w:r w:rsidR="00D05FC7">
        <w:rPr>
          <w:rFonts w:ascii="Arial" w:hAnsi="Arial" w:cs="Arial"/>
          <w:b/>
          <w:i/>
          <w:iCs/>
          <w:color w:val="auto"/>
          <w:sz w:val="20"/>
          <w:szCs w:val="17"/>
          <w:lang w:val="en-GB"/>
        </w:rPr>
        <w:t>4</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Data from the Living Conditions Survey on the composition of households, structure of the household income by source, and decile distribution of households by income.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-3. </w:t>
      </w:r>
      <w:r>
        <w:rPr>
          <w:rFonts w:ascii="Arial" w:hAnsi="Arial" w:cs="Arial"/>
          <w:b/>
          <w:i/>
          <w:iCs/>
          <w:color w:val="auto"/>
          <w:sz w:val="20"/>
          <w:szCs w:val="17"/>
          <w:lang w:val="en-GB"/>
        </w:rPr>
        <w:t>Private households by the ratio of net income to the living minimum in 201</w:t>
      </w:r>
      <w:r w:rsidR="00D05FC7">
        <w:rPr>
          <w:rFonts w:ascii="Arial" w:hAnsi="Arial" w:cs="Arial"/>
          <w:b/>
          <w:i/>
          <w:iCs/>
          <w:color w:val="auto"/>
          <w:sz w:val="20"/>
          <w:szCs w:val="17"/>
          <w:lang w:val="en-GB"/>
        </w:rPr>
        <w:t>4</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Households from the Living Conditions Survey are given in a breakdown by the ratio of their income and the respective living minimum. The living minimum multiples follow the living minimum levels determining entitlement for granting of state social support benefits. Because the living minimum concept has been changed since 2007 the data in table </w:t>
      </w:r>
      <w:r>
        <w:rPr>
          <w:rFonts w:ascii="Arial" w:hAnsi="Arial" w:cs="Arial"/>
          <w:b/>
          <w:i/>
          <w:iCs/>
          <w:color w:val="auto"/>
          <w:sz w:val="20"/>
          <w:szCs w:val="17"/>
          <w:lang w:val="en-GB"/>
        </w:rPr>
        <w:t>9</w:t>
      </w:r>
      <w:r>
        <w:rPr>
          <w:rFonts w:ascii="Arial" w:hAnsi="Arial" w:cs="Arial"/>
          <w:i/>
          <w:iCs/>
          <w:color w:val="auto"/>
          <w:sz w:val="20"/>
          <w:szCs w:val="17"/>
          <w:lang w:val="en-GB"/>
        </w:rPr>
        <w:t xml:space="preserve">-3 are comparable only with those in the Yearbooks since 2009.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-4. </w:t>
      </w:r>
      <w:r>
        <w:rPr>
          <w:rFonts w:ascii="Arial" w:hAnsi="Arial" w:cs="Arial"/>
          <w:b/>
          <w:i/>
          <w:iCs/>
          <w:color w:val="auto"/>
          <w:sz w:val="20"/>
          <w:szCs w:val="17"/>
          <w:lang w:val="en-GB"/>
        </w:rPr>
        <w:t xml:space="preserve">Persons in households with income below the at-risk-of-poverty threshold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These are data from the Living Conditions Survey processed according to the Eurostat methodology. The table shows the shares of persons at risk of poverty while the at-risk-of-poverty threshold was set at 60% of the median</w:t>
      </w:r>
      <w:r w:rsidR="001865BF">
        <w:rPr>
          <w:rFonts w:ascii="Arial" w:hAnsi="Arial" w:cs="Arial"/>
          <w:i/>
          <w:iCs/>
          <w:color w:val="auto"/>
          <w:sz w:val="20"/>
          <w:szCs w:val="17"/>
          <w:lang w:val="en-GB"/>
        </w:rPr>
        <w:t xml:space="preserve"> </w:t>
      </w:r>
      <w:r>
        <w:rPr>
          <w:rFonts w:ascii="Arial" w:hAnsi="Arial" w:cs="Arial"/>
          <w:i/>
          <w:iCs/>
          <w:color w:val="auto"/>
          <w:sz w:val="20"/>
          <w:szCs w:val="17"/>
          <w:lang w:val="en-GB"/>
        </w:rPr>
        <w:t>e</w:t>
      </w:r>
      <w:r>
        <w:rPr>
          <w:rFonts w:ascii="Arial" w:hAnsi="Arial" w:cs="Arial"/>
          <w:bCs/>
          <w:i/>
          <w:iCs/>
          <w:color w:val="auto"/>
          <w:sz w:val="20"/>
          <w:szCs w:val="17"/>
          <w:lang w:val="en-GB"/>
        </w:rPr>
        <w:t>quivalised</w:t>
      </w:r>
      <w:r>
        <w:rPr>
          <w:rFonts w:ascii="Arial" w:hAnsi="Arial" w:cs="Arial"/>
          <w:i/>
          <w:iCs/>
          <w:color w:val="auto"/>
          <w:sz w:val="20"/>
          <w:szCs w:val="17"/>
          <w:lang w:val="en-GB"/>
        </w:rPr>
        <w:t xml:space="preserve"> disposable income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In order to have data in format for better usage the table was changed in 2012 and therefore it does not directly follows to tables published in previous years. Data for respective years are given in a times series. The first row shows total numbers of persons below the at-risk-of-poverty threshold; </w:t>
      </w:r>
      <w:r w:rsidR="00073C0F">
        <w:rPr>
          <w:rFonts w:ascii="Arial" w:hAnsi="Arial" w:cs="Arial"/>
          <w:i/>
          <w:iCs/>
          <w:color w:val="auto"/>
          <w:sz w:val="20"/>
          <w:szCs w:val="17"/>
          <w:lang w:val="en-GB"/>
        </w:rPr>
        <w:t xml:space="preserve">in </w:t>
      </w:r>
      <w:r>
        <w:rPr>
          <w:rFonts w:ascii="Arial" w:hAnsi="Arial" w:cs="Arial"/>
          <w:i/>
          <w:iCs/>
          <w:color w:val="auto"/>
          <w:sz w:val="20"/>
          <w:szCs w:val="17"/>
          <w:lang w:val="en-GB"/>
        </w:rPr>
        <w:t xml:space="preserve">other rows there are their percentage in appropriate subgroup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 xml:space="preserve">equivalised disposable income </w:t>
      </w:r>
      <w:r>
        <w:rPr>
          <w:rFonts w:ascii="Arial" w:hAnsi="Arial" w:cs="Arial"/>
          <w:i/>
          <w:iCs/>
          <w:color w:val="auto"/>
          <w:sz w:val="20"/>
          <w:szCs w:val="17"/>
          <w:lang w:val="en-GB"/>
        </w:rPr>
        <w:t xml:space="preserve">is constructed as the ratio of the net disposable household income per the household equivalent size (calculated according to the Eurostat methodology). This income is attributed to all persons of the household.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education level of a household</w:t>
      </w:r>
      <w:r>
        <w:rPr>
          <w:rFonts w:ascii="Arial" w:hAnsi="Arial" w:cs="Arial"/>
          <w:i/>
          <w:iCs/>
          <w:color w:val="auto"/>
          <w:sz w:val="20"/>
          <w:szCs w:val="17"/>
          <w:lang w:val="en-GB"/>
        </w:rPr>
        <w:t xml:space="preserve"> is determined by the highest educational attainment of the head of household</w:t>
      </w:r>
      <w:r w:rsidR="00073C0F">
        <w:rPr>
          <w:rFonts w:ascii="Arial" w:hAnsi="Arial" w:cs="Arial"/>
          <w:i/>
          <w:iCs/>
          <w:color w:val="auto"/>
          <w:sz w:val="20"/>
          <w:szCs w:val="17"/>
          <w:lang w:val="en-GB"/>
        </w:rPr>
        <w:t xml:space="preserve"> and</w:t>
      </w:r>
      <w:r>
        <w:rPr>
          <w:rFonts w:ascii="Arial" w:hAnsi="Arial" w:cs="Arial"/>
          <w:i/>
          <w:iCs/>
          <w:color w:val="auto"/>
          <w:sz w:val="20"/>
          <w:szCs w:val="17"/>
          <w:lang w:val="en-GB"/>
        </w:rPr>
        <w:t xml:space="preserve"> of his/her partner. Households are classified to educational levels as follows: </w:t>
      </w:r>
    </w:p>
    <w:p w:rsidR="007F2B7C" w:rsidRPr="00F22E2F" w:rsidRDefault="00774875">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low level – both partners have basic education, or incomplete basic education, respectively;</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iCs/>
          <w:color w:val="auto"/>
          <w:sz w:val="20"/>
          <w:szCs w:val="20"/>
          <w:lang w:val="en-GB"/>
        </w:rPr>
        <w:t>– medium level – at least one of the partners has completed education higher than basic one and neither of the partners has higher education;</w:t>
      </w:r>
    </w:p>
    <w:p w:rsidR="007F2B7C" w:rsidRPr="00F22E2F" w:rsidRDefault="00774875">
      <w:pPr>
        <w:pStyle w:val="Normlnweb"/>
        <w:spacing w:before="120" w:beforeAutospacing="0" w:after="0" w:afterAutospacing="0"/>
        <w:jc w:val="both"/>
        <w:rPr>
          <w:rFonts w:ascii="Arial" w:hAnsi="Arial" w:cs="Arial"/>
          <w:i/>
          <w:color w:val="auto"/>
          <w:sz w:val="20"/>
          <w:szCs w:val="20"/>
          <w:lang w:val="en-GB"/>
        </w:rPr>
      </w:pPr>
      <w:r>
        <w:rPr>
          <w:rFonts w:ascii="Arial" w:hAnsi="Arial" w:cs="Arial"/>
          <w:i/>
          <w:color w:val="auto"/>
          <w:sz w:val="20"/>
          <w:szCs w:val="20"/>
          <w:lang w:val="en-GB"/>
        </w:rPr>
        <w:t>– high level</w:t>
      </w:r>
      <w:r w:rsidR="00073C0F">
        <w:rPr>
          <w:rFonts w:ascii="Arial" w:hAnsi="Arial" w:cs="Arial"/>
          <w:i/>
          <w:color w:val="auto"/>
          <w:sz w:val="20"/>
          <w:szCs w:val="20"/>
          <w:lang w:val="en-GB"/>
        </w:rPr>
        <w:t xml:space="preserve"> –</w:t>
      </w:r>
      <w:r>
        <w:rPr>
          <w:rFonts w:ascii="Arial" w:hAnsi="Arial" w:cs="Arial"/>
          <w:i/>
          <w:color w:val="auto"/>
          <w:sz w:val="20"/>
          <w:szCs w:val="20"/>
          <w:lang w:val="en-GB"/>
        </w:rPr>
        <w:t xml:space="preserve"> at least one of the partners completed higher education (including</w:t>
      </w:r>
      <w:r w:rsidR="00FE1483">
        <w:rPr>
          <w:rFonts w:ascii="Arial" w:hAnsi="Arial" w:cs="Arial"/>
          <w:i/>
          <w:color w:val="auto"/>
          <w:sz w:val="20"/>
          <w:szCs w:val="20"/>
          <w:lang w:val="en-GB"/>
        </w:rPr>
        <w:t xml:space="preserve"> bachelor programmes).</w:t>
      </w:r>
    </w:p>
    <w:p w:rsidR="007F2B7C" w:rsidRPr="00F22E2F" w:rsidRDefault="00774875">
      <w:pPr>
        <w:pStyle w:val="Normlnweb"/>
        <w:spacing w:before="120" w:beforeAutospacing="0" w:after="0" w:afterAutospacing="0"/>
        <w:ind w:firstLine="705"/>
        <w:jc w:val="both"/>
        <w:rPr>
          <w:rFonts w:ascii="Arial" w:hAnsi="Arial" w:cs="Arial"/>
          <w:i/>
          <w:iCs/>
          <w:color w:val="auto"/>
          <w:sz w:val="20"/>
          <w:szCs w:val="20"/>
          <w:lang w:val="en-GB"/>
        </w:rPr>
      </w:pPr>
      <w:r>
        <w:rPr>
          <w:rFonts w:ascii="Arial" w:hAnsi="Arial" w:cs="Arial"/>
          <w:i/>
          <w:color w:val="auto"/>
          <w:sz w:val="20"/>
          <w:szCs w:val="20"/>
          <w:lang w:val="en-GB"/>
        </w:rPr>
        <w:t>The definition of the </w:t>
      </w:r>
      <w:r>
        <w:rPr>
          <w:rFonts w:ascii="Arial" w:hAnsi="Arial" w:cs="Arial"/>
          <w:b/>
          <w:i/>
          <w:color w:val="auto"/>
          <w:sz w:val="20"/>
          <w:szCs w:val="20"/>
          <w:lang w:val="en-GB"/>
        </w:rPr>
        <w:t>dependent child</w:t>
      </w:r>
      <w:r>
        <w:rPr>
          <w:rFonts w:ascii="Arial" w:hAnsi="Arial" w:cs="Arial"/>
          <w:i/>
          <w:color w:val="auto"/>
          <w:sz w:val="20"/>
          <w:szCs w:val="20"/>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F22E2F">
        <w:rPr>
          <w:rFonts w:ascii="Arial" w:hAnsi="Arial" w:cs="Arial"/>
          <w:i/>
          <w:iCs/>
          <w:color w:val="auto"/>
          <w:sz w:val="20"/>
          <w:szCs w:val="20"/>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20"/>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20"/>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i/>
          <w:iCs/>
          <w:color w:val="auto"/>
          <w:sz w:val="20"/>
          <w:szCs w:val="20"/>
          <w:lang w:val="en-GB"/>
        </w:rPr>
        <w:t>9</w:t>
      </w:r>
      <w:r>
        <w:rPr>
          <w:rFonts w:ascii="Arial" w:hAnsi="Arial" w:cs="Arial"/>
          <w:i/>
          <w:iCs/>
          <w:color w:val="auto"/>
          <w:sz w:val="20"/>
          <w:szCs w:val="20"/>
          <w:lang w:val="en-GB"/>
        </w:rPr>
        <w:t xml:space="preserve">-5. </w:t>
      </w:r>
      <w:r>
        <w:rPr>
          <w:rFonts w:ascii="Arial" w:hAnsi="Arial" w:cs="Arial"/>
          <w:b/>
          <w:i/>
          <w:iCs/>
          <w:color w:val="auto"/>
          <w:sz w:val="20"/>
          <w:szCs w:val="20"/>
          <w:lang w:val="en-GB"/>
        </w:rPr>
        <w:t>Expenditure and consumption of HBS households</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demonstrates the time series of data on households of </w:t>
      </w:r>
      <w:r>
        <w:rPr>
          <w:rFonts w:ascii="Arial" w:hAnsi="Arial" w:cs="Arial"/>
          <w:i/>
          <w:iCs/>
          <w:color w:val="auto"/>
          <w:sz w:val="20"/>
          <w:szCs w:val="17"/>
          <w:lang w:val="en-GB"/>
        </w:rPr>
        <w:t>the HBS sample.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FE1483">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9</w:t>
      </w:r>
      <w:r>
        <w:rPr>
          <w:rFonts w:ascii="Arial" w:hAnsi="Arial" w:cs="Arial"/>
          <w:i/>
          <w:iCs/>
          <w:color w:val="auto"/>
          <w:sz w:val="20"/>
          <w:szCs w:val="17"/>
          <w:lang w:val="en-GB"/>
        </w:rPr>
        <w:t xml:space="preserve">-6 and </w:t>
      </w:r>
      <w:r>
        <w:rPr>
          <w:rFonts w:ascii="Arial" w:hAnsi="Arial" w:cs="Arial"/>
          <w:b/>
          <w:bCs/>
          <w:i/>
          <w:iCs/>
          <w:color w:val="auto"/>
          <w:sz w:val="20"/>
          <w:szCs w:val="17"/>
          <w:lang w:val="en-GB"/>
        </w:rPr>
        <w:t>9</w:t>
      </w:r>
      <w:r>
        <w:rPr>
          <w:rFonts w:ascii="Arial" w:hAnsi="Arial" w:cs="Arial"/>
          <w:i/>
          <w:iCs/>
          <w:color w:val="auto"/>
          <w:sz w:val="20"/>
          <w:szCs w:val="17"/>
          <w:lang w:val="en-GB"/>
        </w:rPr>
        <w:t xml:space="preserve">-7. </w:t>
      </w:r>
      <w:r>
        <w:rPr>
          <w:rFonts w:ascii="Arial" w:hAnsi="Arial" w:cs="Arial"/>
          <w:b/>
          <w:i/>
          <w:iCs/>
          <w:color w:val="auto"/>
          <w:sz w:val="20"/>
          <w:szCs w:val="17"/>
          <w:lang w:val="en-GB"/>
        </w:rPr>
        <w:t>Composition of HBS households and structure of the household money income and expenditure by activity status of the head of household in 201</w:t>
      </w:r>
      <w:r w:rsidR="00D05FC7">
        <w:rPr>
          <w:rFonts w:ascii="Arial" w:hAnsi="Arial" w:cs="Arial"/>
          <w:b/>
          <w:i/>
          <w:iCs/>
          <w:color w:val="auto"/>
          <w:sz w:val="20"/>
          <w:szCs w:val="17"/>
          <w:lang w:val="en-GB"/>
        </w:rPr>
        <w:t>4</w:t>
      </w:r>
    </w:p>
    <w:p w:rsidR="007F2B7C" w:rsidRPr="00F22E2F" w:rsidRDefault="00774875" w:rsidP="008D4F5C">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tables give </w:t>
      </w:r>
      <w:r>
        <w:rPr>
          <w:rFonts w:ascii="Arial" w:hAnsi="Arial" w:cs="Arial"/>
          <w:i/>
          <w:iCs/>
          <w:color w:val="auto"/>
          <w:sz w:val="20"/>
          <w:szCs w:val="17"/>
          <w:lang w:val="en-GB"/>
        </w:rPr>
        <w:t xml:space="preserve">data on households of the HBS sample broken down by status of the head of household.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-8. </w:t>
      </w:r>
      <w:r>
        <w:rPr>
          <w:rFonts w:ascii="Arial" w:hAnsi="Arial" w:cs="Arial"/>
          <w:b/>
          <w:i/>
          <w:iCs/>
          <w:color w:val="auto"/>
          <w:sz w:val="20"/>
          <w:szCs w:val="17"/>
          <w:lang w:val="en-GB"/>
        </w:rPr>
        <w:t xml:space="preserve">Structure of money expenditure of selected groups of HBS households at various income levels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provides </w:t>
      </w:r>
      <w:r>
        <w:rPr>
          <w:rFonts w:ascii="Arial" w:hAnsi="Arial" w:cs="Arial"/>
          <w:i/>
          <w:iCs/>
          <w:color w:val="auto"/>
          <w:sz w:val="20"/>
          <w:szCs w:val="17"/>
          <w:lang w:val="en-GB"/>
        </w:rPr>
        <w:t xml:space="preserve">data on households of the HBS sample broken down by annual net money income per household member. The group of low-income households in each group of households by status of the head of household contains 20% of households with the lowest net money income per household member. Income of any household classified to this low-income group did not exceed </w:t>
      </w:r>
      <w:r>
        <w:rPr>
          <w:rFonts w:ascii="Arial" w:hAnsi="Arial" w:cs="Arial"/>
          <w:i/>
          <w:iCs/>
          <w:color w:val="auto"/>
          <w:sz w:val="20"/>
          <w:szCs w:val="17"/>
          <w:lang w:val="en-GB"/>
        </w:rPr>
        <w:lastRenderedPageBreak/>
        <w:t xml:space="preserve">the upper limit given in the table. Similarly, the group of high-income households includes 20% of households with the highest income per household member, which was above the lower limit given in the table. </w:t>
      </w: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E90E2F">
      <w:pPr>
        <w:jc w:val="center"/>
        <w:rPr>
          <w:rFonts w:ascii="Arial" w:hAnsi="Arial" w:cs="Arial"/>
          <w:i/>
          <w:iCs/>
          <w:sz w:val="20"/>
          <w:szCs w:val="17"/>
        </w:rPr>
      </w:pPr>
      <w:r>
        <w:rPr>
          <w:rFonts w:ascii="Arial" w:hAnsi="Arial" w:cs="Arial"/>
          <w:i/>
          <w:iCs/>
          <w:sz w:val="20"/>
          <w:szCs w:val="17"/>
        </w:rPr>
        <w:t>*          *          *</w:t>
      </w:r>
    </w:p>
    <w:p w:rsidR="007F2B7C" w:rsidRPr="00F22E2F" w:rsidRDefault="007F2B7C" w:rsidP="00E90E2F">
      <w:pPr>
        <w:jc w:val="both"/>
        <w:rPr>
          <w:rFonts w:ascii="Arial" w:hAnsi="Arial" w:cs="Arial"/>
          <w:i/>
          <w:iCs/>
          <w:sz w:val="20"/>
          <w:szCs w:val="17"/>
        </w:rPr>
      </w:pPr>
    </w:p>
    <w:p w:rsidR="007F2B7C" w:rsidRPr="00F22E2F" w:rsidRDefault="007F2B7C">
      <w:pPr>
        <w:pStyle w:val="Normlnweb"/>
        <w:spacing w:before="0" w:beforeAutospacing="0" w:after="0" w:afterAutospacing="0"/>
        <w:jc w:val="both"/>
        <w:rPr>
          <w:rFonts w:ascii="Arial" w:hAnsi="Arial"/>
          <w:color w:val="auto"/>
          <w:sz w:val="20"/>
          <w:lang w:val="en-GB"/>
        </w:rPr>
      </w:pPr>
    </w:p>
    <w:p w:rsidR="007F2B7C" w:rsidRPr="00F22E2F" w:rsidRDefault="00774875">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w:t>
      </w:r>
      <w:r w:rsidR="00845E44">
        <w:rPr>
          <w:rFonts w:ascii="Arial" w:hAnsi="Arial" w:cs="Arial"/>
          <w:i/>
          <w:iCs/>
          <w:color w:val="auto"/>
          <w:sz w:val="20"/>
          <w:szCs w:val="20"/>
          <w:lang w:val="en-GB"/>
        </w:rPr>
        <w:t>can be found</w:t>
      </w:r>
      <w:r w:rsidR="00234BDB" w:rsidRPr="00F22E2F">
        <w:rPr>
          <w:rFonts w:ascii="Arial" w:hAnsi="Arial" w:cs="Arial"/>
          <w:i/>
          <w:iCs/>
          <w:color w:val="auto"/>
          <w:sz w:val="20"/>
          <w:szCs w:val="20"/>
          <w:lang w:val="en-GB"/>
        </w:rPr>
        <w:t xml:space="preserve"> </w:t>
      </w:r>
      <w:r w:rsidR="007F2B7C" w:rsidRPr="00F22E2F">
        <w:rPr>
          <w:rFonts w:ascii="Arial" w:hAnsi="Arial" w:cs="Arial"/>
          <w:i/>
          <w:iCs/>
          <w:color w:val="auto"/>
          <w:sz w:val="20"/>
          <w:szCs w:val="20"/>
          <w:lang w:val="en-GB"/>
        </w:rPr>
        <w:t>on the web</w:t>
      </w:r>
      <w:r>
        <w:rPr>
          <w:rFonts w:ascii="Arial" w:hAnsi="Arial" w:cs="Arial"/>
          <w:i/>
          <w:iCs/>
          <w:color w:val="auto"/>
          <w:sz w:val="20"/>
          <w:szCs w:val="20"/>
          <w:lang w:val="en-GB"/>
        </w:rPr>
        <w:t>s</w:t>
      </w:r>
      <w:r w:rsidR="00D05FC7">
        <w:rPr>
          <w:rFonts w:ascii="Arial" w:hAnsi="Arial" w:cs="Arial"/>
          <w:i/>
          <w:iCs/>
          <w:color w:val="auto"/>
          <w:sz w:val="20"/>
          <w:szCs w:val="20"/>
          <w:lang w:val="en-GB"/>
        </w:rPr>
        <w:t>ite</w:t>
      </w:r>
      <w:r>
        <w:rPr>
          <w:rFonts w:ascii="Arial" w:hAnsi="Arial" w:cs="Arial"/>
          <w:i/>
          <w:iCs/>
          <w:color w:val="auto"/>
          <w:sz w:val="20"/>
          <w:szCs w:val="20"/>
          <w:lang w:val="en-GB"/>
        </w:rPr>
        <w:t xml:space="preserve"> of the Czech Statistical Office at:</w:t>
      </w:r>
    </w:p>
    <w:p w:rsidR="007F2B7C" w:rsidRPr="00F22E2F" w:rsidRDefault="00774875">
      <w:pPr>
        <w:pStyle w:val="Normlnweb"/>
        <w:spacing w:before="120" w:beforeAutospacing="0" w:after="0" w:afterAutospacing="0"/>
        <w:jc w:val="both"/>
        <w:rPr>
          <w:rFonts w:ascii="Arial" w:hAnsi="Arial"/>
          <w:color w:val="auto"/>
          <w:sz w:val="20"/>
          <w:lang w:val="en-GB"/>
        </w:rPr>
      </w:pPr>
      <w:r>
        <w:rPr>
          <w:rFonts w:ascii="Arial" w:hAnsi="Arial"/>
          <w:color w:val="auto"/>
          <w:sz w:val="20"/>
          <w:lang w:val="en-GB"/>
        </w:rPr>
        <w:t>– </w:t>
      </w:r>
      <w:hyperlink r:id="rId7" w:history="1">
        <w:r w:rsidR="003463C3" w:rsidRPr="00B76EA9">
          <w:rPr>
            <w:rStyle w:val="Hypertextovodkaz"/>
            <w:rFonts w:ascii="Arial" w:hAnsi="Arial"/>
            <w:sz w:val="20"/>
            <w:lang w:val="en-GB"/>
          </w:rPr>
          <w:t>www.czso.cz/csu/czso/living_conditio</w:t>
        </w:r>
        <w:r w:rsidR="003463C3" w:rsidRPr="00B76EA9">
          <w:rPr>
            <w:rStyle w:val="Hypertextovodkaz"/>
            <w:rFonts w:ascii="Arial" w:hAnsi="Arial"/>
            <w:sz w:val="20"/>
            <w:lang w:val="en-GB"/>
          </w:rPr>
          <w:t>n</w:t>
        </w:r>
        <w:r w:rsidR="003463C3" w:rsidRPr="00B76EA9">
          <w:rPr>
            <w:rStyle w:val="Hypertextovodkaz"/>
            <w:rFonts w:ascii="Arial" w:hAnsi="Arial"/>
            <w:sz w:val="20"/>
            <w:lang w:val="en-GB"/>
          </w:rPr>
          <w:t>s_household_income_and_expenditure_stat</w:t>
        </w:r>
      </w:hyperlink>
      <w:r w:rsidR="00D05FC7">
        <w:rPr>
          <w:rFonts w:ascii="Arial" w:hAnsi="Arial"/>
          <w:color w:val="auto"/>
          <w:sz w:val="20"/>
          <w:lang w:val="en-GB"/>
        </w:rPr>
        <w:t xml:space="preserve"> </w:t>
      </w:r>
    </w:p>
    <w:sectPr w:rsidR="007F2B7C" w:rsidRPr="00F22E2F" w:rsidSect="00774875">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4B" w:rsidRDefault="00534E4B">
      <w:r>
        <w:separator/>
      </w:r>
    </w:p>
  </w:endnote>
  <w:endnote w:type="continuationSeparator" w:id="0">
    <w:p w:rsidR="00534E4B" w:rsidRDefault="00534E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4B" w:rsidRDefault="00534E4B">
      <w:r>
        <w:separator/>
      </w:r>
    </w:p>
  </w:footnote>
  <w:footnote w:type="continuationSeparator" w:id="0">
    <w:p w:rsidR="00534E4B" w:rsidRDefault="00534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31A"/>
    <w:rsid w:val="00030105"/>
    <w:rsid w:val="0003172F"/>
    <w:rsid w:val="00073C0F"/>
    <w:rsid w:val="0007418A"/>
    <w:rsid w:val="000B7546"/>
    <w:rsid w:val="000E1B06"/>
    <w:rsid w:val="000E4735"/>
    <w:rsid w:val="00110E84"/>
    <w:rsid w:val="00124753"/>
    <w:rsid w:val="00134AA4"/>
    <w:rsid w:val="001519FA"/>
    <w:rsid w:val="00162544"/>
    <w:rsid w:val="00171AD9"/>
    <w:rsid w:val="0018426C"/>
    <w:rsid w:val="001865BF"/>
    <w:rsid w:val="00212036"/>
    <w:rsid w:val="002167E6"/>
    <w:rsid w:val="002219EC"/>
    <w:rsid w:val="00234BDB"/>
    <w:rsid w:val="00252AF7"/>
    <w:rsid w:val="002665EC"/>
    <w:rsid w:val="00266F0A"/>
    <w:rsid w:val="002935C0"/>
    <w:rsid w:val="002D12AE"/>
    <w:rsid w:val="003045BB"/>
    <w:rsid w:val="0033595C"/>
    <w:rsid w:val="003463C3"/>
    <w:rsid w:val="00376EB9"/>
    <w:rsid w:val="00377AA9"/>
    <w:rsid w:val="003B6192"/>
    <w:rsid w:val="0044182F"/>
    <w:rsid w:val="00444301"/>
    <w:rsid w:val="00475F7F"/>
    <w:rsid w:val="004A0BD1"/>
    <w:rsid w:val="005272CA"/>
    <w:rsid w:val="00527394"/>
    <w:rsid w:val="00534E4B"/>
    <w:rsid w:val="00597398"/>
    <w:rsid w:val="005E1A07"/>
    <w:rsid w:val="006219CA"/>
    <w:rsid w:val="00636EF2"/>
    <w:rsid w:val="00642767"/>
    <w:rsid w:val="00650229"/>
    <w:rsid w:val="00666459"/>
    <w:rsid w:val="006A1694"/>
    <w:rsid w:val="007167AE"/>
    <w:rsid w:val="00724817"/>
    <w:rsid w:val="00733704"/>
    <w:rsid w:val="00745C1C"/>
    <w:rsid w:val="00774875"/>
    <w:rsid w:val="007B318D"/>
    <w:rsid w:val="007B393D"/>
    <w:rsid w:val="007C1B46"/>
    <w:rsid w:val="007C6C8B"/>
    <w:rsid w:val="007F2B7C"/>
    <w:rsid w:val="00802C9E"/>
    <w:rsid w:val="00804580"/>
    <w:rsid w:val="00845E44"/>
    <w:rsid w:val="00851C4E"/>
    <w:rsid w:val="0085790E"/>
    <w:rsid w:val="008764C5"/>
    <w:rsid w:val="008A3028"/>
    <w:rsid w:val="008C2A7A"/>
    <w:rsid w:val="008D4F5C"/>
    <w:rsid w:val="008D7C5F"/>
    <w:rsid w:val="008F65A1"/>
    <w:rsid w:val="00946291"/>
    <w:rsid w:val="009503E2"/>
    <w:rsid w:val="00975C56"/>
    <w:rsid w:val="009E5CDE"/>
    <w:rsid w:val="00A001C2"/>
    <w:rsid w:val="00A04BA6"/>
    <w:rsid w:val="00A05CD5"/>
    <w:rsid w:val="00A121BD"/>
    <w:rsid w:val="00A27C34"/>
    <w:rsid w:val="00A336CD"/>
    <w:rsid w:val="00A73699"/>
    <w:rsid w:val="00A86DC3"/>
    <w:rsid w:val="00A91A1C"/>
    <w:rsid w:val="00AA6452"/>
    <w:rsid w:val="00AE3BB9"/>
    <w:rsid w:val="00B22ED9"/>
    <w:rsid w:val="00B71B2C"/>
    <w:rsid w:val="00C32974"/>
    <w:rsid w:val="00C603A2"/>
    <w:rsid w:val="00CD28E0"/>
    <w:rsid w:val="00CD3D4F"/>
    <w:rsid w:val="00CD5412"/>
    <w:rsid w:val="00CE508C"/>
    <w:rsid w:val="00CE52BC"/>
    <w:rsid w:val="00CF4BC2"/>
    <w:rsid w:val="00D05FC7"/>
    <w:rsid w:val="00D17A3B"/>
    <w:rsid w:val="00D470A1"/>
    <w:rsid w:val="00D613E4"/>
    <w:rsid w:val="00D77D67"/>
    <w:rsid w:val="00D80EDC"/>
    <w:rsid w:val="00D87C03"/>
    <w:rsid w:val="00DB30D5"/>
    <w:rsid w:val="00DB5299"/>
    <w:rsid w:val="00DB758D"/>
    <w:rsid w:val="00DD3032"/>
    <w:rsid w:val="00DE6BA4"/>
    <w:rsid w:val="00E0561F"/>
    <w:rsid w:val="00E319F2"/>
    <w:rsid w:val="00E4625C"/>
    <w:rsid w:val="00E854CD"/>
    <w:rsid w:val="00E90E2F"/>
    <w:rsid w:val="00EB5DB1"/>
    <w:rsid w:val="00EC5948"/>
    <w:rsid w:val="00ED3401"/>
    <w:rsid w:val="00EF24BD"/>
    <w:rsid w:val="00F22E2F"/>
    <w:rsid w:val="00F42211"/>
    <w:rsid w:val="00F6053B"/>
    <w:rsid w:val="00F63920"/>
    <w:rsid w:val="00F9731A"/>
    <w:rsid w:val="00FD27C0"/>
    <w:rsid w:val="00FE14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774875"/>
    <w:rPr>
      <w:color w:val="0000FF"/>
      <w:u w:val="single"/>
    </w:rPr>
  </w:style>
  <w:style w:type="character" w:styleId="Sledovanodkaz">
    <w:name w:val="FollowedHyperlink"/>
    <w:basedOn w:val="Standardnpsmoodstavce"/>
    <w:semiHidden/>
    <w:rsid w:val="00774875"/>
    <w:rPr>
      <w:color w:val="800080"/>
      <w:u w:val="single"/>
    </w:rPr>
  </w:style>
  <w:style w:type="character" w:styleId="Odkaznakoment">
    <w:name w:val="annotation reference"/>
    <w:basedOn w:val="Standardnpsmoodstav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Heading2">
    <w:name w:val="Heading 2"/>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vraznn">
    <w:name w:val="Emphasis"/>
    <w:basedOn w:val="Standardnpsmoodstavce"/>
    <w:qFormat/>
    <w:rsid w:val="00774875"/>
    <w:rPr>
      <w:i/>
      <w:iCs/>
    </w:rPr>
  </w:style>
  <w:style w:type="paragraph" w:styleId="Revize">
    <w:name w:val="Revision"/>
    <w:hidden/>
    <w:uiPriority w:val="99"/>
    <w:semiHidden/>
    <w:rsid w:val="00E854CD"/>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living_conditions_household_income_and_expenditure_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11</TotalTime>
  <Pages>5</Pages>
  <Words>2259</Words>
  <Characters>13331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15559</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9-1 to 9-6</dc:title>
  <dc:creator>csu</dc:creator>
  <cp:lastModifiedBy>novotna17122</cp:lastModifiedBy>
  <cp:revision>3</cp:revision>
  <cp:lastPrinted>2015-09-22T12:28:00Z</cp:lastPrinted>
  <dcterms:created xsi:type="dcterms:W3CDTF">2015-10-12T08:13:00Z</dcterms:created>
  <dcterms:modified xsi:type="dcterms:W3CDTF">2016-06-03T10:15:00Z</dcterms:modified>
</cp:coreProperties>
</file>