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B" w:rsidRPr="004315C9" w:rsidRDefault="004315C9" w:rsidP="00EE61FB">
      <w:pPr>
        <w:pStyle w:val="Datum0"/>
      </w:pPr>
      <w:r w:rsidRPr="004315C9">
        <w:t>2</w:t>
      </w:r>
      <w:r>
        <w:t>. 2.</w:t>
      </w:r>
      <w:r w:rsidR="00E43C0F" w:rsidRPr="004315C9">
        <w:t xml:space="preserve"> 2016</w:t>
      </w:r>
    </w:p>
    <w:p w:rsidR="00EE61FB" w:rsidRPr="005022A3" w:rsidRDefault="00CF5672" w:rsidP="0039190E">
      <w:pPr>
        <w:pStyle w:val="Nzev"/>
        <w:spacing w:before="240" w:after="240"/>
        <w:rPr>
          <w:spacing w:val="-2"/>
        </w:rPr>
      </w:pPr>
      <w:r>
        <w:rPr>
          <w:spacing w:val="-2"/>
        </w:rPr>
        <w:t xml:space="preserve">Disponibilní příjmy domácností </w:t>
      </w:r>
      <w:r w:rsidR="001A1243">
        <w:rPr>
          <w:spacing w:val="-2"/>
        </w:rPr>
        <w:t>stouply díky silnému růstu</w:t>
      </w:r>
      <w:r>
        <w:rPr>
          <w:spacing w:val="-2"/>
        </w:rPr>
        <w:t xml:space="preserve"> ekonomiky</w:t>
      </w:r>
    </w:p>
    <w:p w:rsidR="00483E81" w:rsidRPr="00F230A8" w:rsidRDefault="00CF5672" w:rsidP="00E05E5D">
      <w:pPr>
        <w:rPr>
          <w:b/>
        </w:rPr>
      </w:pPr>
      <w:r w:rsidRPr="00F230A8">
        <w:rPr>
          <w:b/>
        </w:rPr>
        <w:t xml:space="preserve">Silný růst ekonomiky v 1. až 3. čtvrtletí 2015 se projevil </w:t>
      </w:r>
      <w:r w:rsidR="00DF5056" w:rsidRPr="00F230A8">
        <w:rPr>
          <w:b/>
        </w:rPr>
        <w:t xml:space="preserve">významně </w:t>
      </w:r>
      <w:r w:rsidRPr="00F230A8">
        <w:rPr>
          <w:b/>
        </w:rPr>
        <w:t>i v disponibilních příjmech domácností. Proti stejnému období roku 2014 si polepšily o 38,8 mld. korun nominálně a jejich příjmy tak činily bezmála 1,7 bilionu. Ke zlepšení příjmové situace domácností přispěl především nárůst objemu mezd a platů za práci v</w:t>
      </w:r>
      <w:r w:rsidR="00DF5056" w:rsidRPr="00F230A8">
        <w:rPr>
          <w:b/>
        </w:rPr>
        <w:t> </w:t>
      </w:r>
      <w:r w:rsidRPr="00F230A8">
        <w:rPr>
          <w:b/>
        </w:rPr>
        <w:t>tuzemsku</w:t>
      </w:r>
      <w:r w:rsidR="00DF5056" w:rsidRPr="00F230A8">
        <w:rPr>
          <w:b/>
        </w:rPr>
        <w:t>.</w:t>
      </w:r>
      <w:r w:rsidRPr="00F230A8">
        <w:rPr>
          <w:b/>
        </w:rPr>
        <w:t xml:space="preserve"> </w:t>
      </w:r>
      <w:r w:rsidR="006F0709">
        <w:rPr>
          <w:b/>
        </w:rPr>
        <w:t>Zvýšily se</w:t>
      </w:r>
      <w:r w:rsidR="00DF5056" w:rsidRPr="00F230A8">
        <w:rPr>
          <w:b/>
        </w:rPr>
        <w:t xml:space="preserve"> </w:t>
      </w:r>
      <w:r w:rsidR="003E0E54" w:rsidRPr="00F230A8">
        <w:rPr>
          <w:b/>
        </w:rPr>
        <w:t xml:space="preserve">ale </w:t>
      </w:r>
      <w:r w:rsidR="00DF5056" w:rsidRPr="00F230A8">
        <w:rPr>
          <w:b/>
        </w:rPr>
        <w:t>i mzdy a platy pocházející ze zahraničí, zlepšilo se také saldo přerozdělení s ostatními institucionálními sektory</w:t>
      </w:r>
      <w:r w:rsidRPr="00F230A8">
        <w:rPr>
          <w:b/>
        </w:rPr>
        <w:t xml:space="preserve">. Zisky </w:t>
      </w:r>
      <w:r w:rsidR="00B00625">
        <w:rPr>
          <w:b/>
        </w:rPr>
        <w:t>z malého podnikání</w:t>
      </w:r>
      <w:r w:rsidRPr="00F230A8">
        <w:rPr>
          <w:b/>
        </w:rPr>
        <w:t xml:space="preserve"> se</w:t>
      </w:r>
      <w:r w:rsidR="001C736E" w:rsidRPr="00F230A8">
        <w:rPr>
          <w:b/>
        </w:rPr>
        <w:t xml:space="preserve"> však</w:t>
      </w:r>
      <w:r w:rsidRPr="00F230A8">
        <w:rPr>
          <w:b/>
        </w:rPr>
        <w:t xml:space="preserve"> ztenčily a stejně tak</w:t>
      </w:r>
      <w:r w:rsidR="00DF5056" w:rsidRPr="00F230A8">
        <w:rPr>
          <w:b/>
        </w:rPr>
        <w:t xml:space="preserve"> saldo důchodů z vlastnictví</w:t>
      </w:r>
      <w:r w:rsidRPr="00F230A8">
        <w:rPr>
          <w:b/>
        </w:rPr>
        <w:t>.</w:t>
      </w:r>
    </w:p>
    <w:p w:rsidR="00B92F72" w:rsidRPr="00DF5056" w:rsidRDefault="00B92F72" w:rsidP="00EE61FB">
      <w:pPr>
        <w:rPr>
          <w:b/>
          <w:spacing w:val="-2"/>
          <w:sz w:val="12"/>
          <w:szCs w:val="12"/>
        </w:rPr>
      </w:pPr>
    </w:p>
    <w:p w:rsidR="007935B8" w:rsidRPr="005136EA" w:rsidRDefault="00A82DF4" w:rsidP="007935B8">
      <w:r w:rsidRPr="005136EA">
        <w:t>V roce 2014 vystoupila</w:t>
      </w:r>
      <w:r w:rsidR="007935B8" w:rsidRPr="005136EA">
        <w:t xml:space="preserve"> </w:t>
      </w:r>
      <w:r w:rsidR="007A76E1">
        <w:t>česká ekonomika</w:t>
      </w:r>
      <w:r w:rsidR="00553234" w:rsidRPr="005136EA">
        <w:t xml:space="preserve"> z</w:t>
      </w:r>
      <w:r w:rsidR="007935B8" w:rsidRPr="005136EA">
        <w:t xml:space="preserve"> recese. </w:t>
      </w:r>
      <w:r w:rsidR="007A76E1">
        <w:t>Z hlediska</w:t>
      </w:r>
      <w:r w:rsidR="007935B8" w:rsidRPr="005136EA">
        <w:t xml:space="preserve"> hrubého </w:t>
      </w:r>
      <w:r w:rsidRPr="005136EA">
        <w:t>domácího produktu (HDP) narostl</w:t>
      </w:r>
      <w:r w:rsidR="007A76E1">
        <w:t>a</w:t>
      </w:r>
      <w:r w:rsidR="007935B8" w:rsidRPr="005136EA">
        <w:t xml:space="preserve"> o 2 %</w:t>
      </w:r>
      <w:r w:rsidR="00E303FF" w:rsidRPr="005136EA">
        <w:t xml:space="preserve"> meziročně</w:t>
      </w:r>
      <w:r w:rsidR="007935B8" w:rsidRPr="005136EA">
        <w:t>.</w:t>
      </w:r>
      <w:r w:rsidR="007935B8" w:rsidRPr="005136EA">
        <w:rPr>
          <w:rStyle w:val="Znakapoznpodarou"/>
        </w:rPr>
        <w:footnoteReference w:id="1"/>
      </w:r>
      <w:r w:rsidR="007935B8" w:rsidRPr="005136EA">
        <w:t xml:space="preserve"> Příznivý vývoj </w:t>
      </w:r>
      <w:r w:rsidR="00BC2145" w:rsidRPr="005136EA">
        <w:t>pokračoval i v</w:t>
      </w:r>
      <w:r w:rsidR="00E303FF" w:rsidRPr="005136EA">
        <w:t> prvních třech čtvrtletích</w:t>
      </w:r>
      <w:r w:rsidR="007935B8" w:rsidRPr="005136EA">
        <w:t xml:space="preserve"> 2015, díky mimořádným vlivům</w:t>
      </w:r>
      <w:r w:rsidR="00BC2145" w:rsidRPr="005136EA">
        <w:t xml:space="preserve"> </w:t>
      </w:r>
      <w:r w:rsidR="00285B67">
        <w:t>ekonomika</w:t>
      </w:r>
      <w:r w:rsidR="007935B8" w:rsidRPr="005136EA">
        <w:t xml:space="preserve"> dokonce výrazně zrychlil</w:t>
      </w:r>
      <w:r w:rsidR="00285B67">
        <w:t>a</w:t>
      </w:r>
      <w:r w:rsidR="007935B8" w:rsidRPr="005136EA">
        <w:t xml:space="preserve">. </w:t>
      </w:r>
      <w:r w:rsidR="002A47F8" w:rsidRPr="005136EA">
        <w:t xml:space="preserve">Kladně </w:t>
      </w:r>
      <w:r w:rsidR="007935B8" w:rsidRPr="005136EA">
        <w:t xml:space="preserve">se </w:t>
      </w:r>
      <w:r w:rsidR="00125DAC" w:rsidRPr="005136EA">
        <w:t>v dynamice HDP</w:t>
      </w:r>
      <w:r w:rsidR="007935B8" w:rsidRPr="005136EA">
        <w:t xml:space="preserve"> promítalo dočerpávání finančních prostředků z fondů </w:t>
      </w:r>
      <w:r w:rsidR="007A76E1">
        <w:t>Evropské unie</w:t>
      </w:r>
      <w:r w:rsidR="007935B8" w:rsidRPr="005136EA">
        <w:t xml:space="preserve">, které byly přiděleny </w:t>
      </w:r>
      <w:r w:rsidRPr="005136EA">
        <w:t xml:space="preserve">Česku </w:t>
      </w:r>
      <w:r w:rsidR="007935B8" w:rsidRPr="005136EA">
        <w:t>v</w:t>
      </w:r>
      <w:r w:rsidR="00BC2145" w:rsidRPr="005136EA">
        <w:t> rámci programového období 2007–</w:t>
      </w:r>
      <w:r w:rsidR="007935B8" w:rsidRPr="005136EA">
        <w:t>2013.</w:t>
      </w:r>
      <w:r w:rsidR="0020400D" w:rsidRPr="005136EA">
        <w:t xml:space="preserve"> Šlo o miliardy, podle pok</w:t>
      </w:r>
      <w:r w:rsidR="00BC2145" w:rsidRPr="005136EA">
        <w:t xml:space="preserve">ladního plnění státního rozpočtu jsme </w:t>
      </w:r>
      <w:r w:rsidR="00E303FF" w:rsidRPr="005136EA">
        <w:t>za celý rok</w:t>
      </w:r>
      <w:r w:rsidR="00BC2145" w:rsidRPr="005136EA">
        <w:t xml:space="preserve"> 2015 </w:t>
      </w:r>
      <w:r w:rsidR="00154938" w:rsidRPr="005136EA">
        <w:t>vy</w:t>
      </w:r>
      <w:r w:rsidR="00285B67">
        <w:t>čerpali</w:t>
      </w:r>
      <w:r w:rsidR="00BC2145" w:rsidRPr="005136EA">
        <w:t xml:space="preserve"> z</w:t>
      </w:r>
      <w:r w:rsidR="009C5A86" w:rsidRPr="005136EA">
        <w:t xml:space="preserve"> </w:t>
      </w:r>
      <w:r w:rsidR="0020400D" w:rsidRPr="005136EA">
        <w:t>U</w:t>
      </w:r>
      <w:r w:rsidR="009C5A86" w:rsidRPr="005136EA">
        <w:t>nie</w:t>
      </w:r>
      <w:r w:rsidR="0020400D" w:rsidRPr="005136EA">
        <w:t xml:space="preserve"> celkově 170</w:t>
      </w:r>
      <w:r w:rsidR="00E303FF" w:rsidRPr="005136EA">
        <w:t>,6</w:t>
      </w:r>
      <w:r w:rsidR="0020400D" w:rsidRPr="005136EA">
        <w:t xml:space="preserve"> mld. korun</w:t>
      </w:r>
      <w:r w:rsidR="00EF6638" w:rsidRPr="005136EA">
        <w:t>, o</w:t>
      </w:r>
      <w:r w:rsidR="00BC2145" w:rsidRPr="005136EA">
        <w:t> </w:t>
      </w:r>
      <w:r w:rsidR="00EF6638" w:rsidRPr="005136EA">
        <w:t>48,5</w:t>
      </w:r>
      <w:r w:rsidR="00BC2145" w:rsidRPr="005136EA">
        <w:t> </w:t>
      </w:r>
      <w:r w:rsidR="0020400D" w:rsidRPr="005136EA">
        <w:t xml:space="preserve">mld. korun více než </w:t>
      </w:r>
      <w:r w:rsidR="00154938" w:rsidRPr="005136EA">
        <w:t>v roce 2014</w:t>
      </w:r>
      <w:r w:rsidR="0020400D" w:rsidRPr="005136EA">
        <w:t>.</w:t>
      </w:r>
      <w:r w:rsidR="00EF6638" w:rsidRPr="005136EA">
        <w:t xml:space="preserve"> V</w:t>
      </w:r>
      <w:r w:rsidR="001A1243">
        <w:t xml:space="preserve">ýznamná část z </w:t>
      </w:r>
      <w:r w:rsidR="00EF6638" w:rsidRPr="005136EA">
        <w:t xml:space="preserve">tohoto přírůstku </w:t>
      </w:r>
      <w:r w:rsidR="004315C9" w:rsidRPr="005136EA">
        <w:t xml:space="preserve">přitom </w:t>
      </w:r>
      <w:proofErr w:type="gramStart"/>
      <w:r w:rsidR="00EF6638" w:rsidRPr="005136EA">
        <w:t>směřovala</w:t>
      </w:r>
      <w:proofErr w:type="gramEnd"/>
      <w:r w:rsidR="00EF6638" w:rsidRPr="005136EA">
        <w:t xml:space="preserve"> do</w:t>
      </w:r>
      <w:r w:rsidR="00BC2145" w:rsidRPr="005136EA">
        <w:t> </w:t>
      </w:r>
      <w:r w:rsidR="00EF6638" w:rsidRPr="005136EA">
        <w:t>ekonomiky prostřednictvím OP Doprava</w:t>
      </w:r>
      <w:r w:rsidR="007A76E1">
        <w:t>, tedy</w:t>
      </w:r>
      <w:r w:rsidR="0093600C">
        <w:t xml:space="preserve"> skrze výdaje</w:t>
      </w:r>
      <w:r w:rsidR="007A76E1">
        <w:t xml:space="preserve"> na dopravní infrastrukturu.</w:t>
      </w:r>
      <w:r w:rsidR="00EF6638" w:rsidRPr="005136EA">
        <w:t xml:space="preserve"> </w:t>
      </w:r>
      <w:r w:rsidR="007935B8" w:rsidRPr="005136EA">
        <w:t>Také propad ceny ropy na</w:t>
      </w:r>
      <w:r w:rsidR="00BC2145" w:rsidRPr="005136EA">
        <w:t> </w:t>
      </w:r>
      <w:r w:rsidR="007935B8" w:rsidRPr="005136EA">
        <w:t xml:space="preserve">světových komoditních trzích </w:t>
      </w:r>
      <w:r w:rsidR="001A1243">
        <w:t>podpořil</w:t>
      </w:r>
      <w:r w:rsidR="007A76E1">
        <w:t xml:space="preserve"> vývoj české ekonomiky</w:t>
      </w:r>
      <w:r w:rsidR="00553234" w:rsidRPr="005136EA">
        <w:t>.</w:t>
      </w:r>
      <w:r w:rsidR="00EF6638" w:rsidRPr="005136EA">
        <w:t xml:space="preserve"> </w:t>
      </w:r>
      <w:r w:rsidR="00553234" w:rsidRPr="005136EA">
        <w:t>Pokles cen</w:t>
      </w:r>
      <w:r w:rsidR="00EF6638" w:rsidRPr="005136EA">
        <w:t xml:space="preserve"> se</w:t>
      </w:r>
      <w:r w:rsidR="00553234" w:rsidRPr="005136EA">
        <w:t xml:space="preserve"> promítl</w:t>
      </w:r>
      <w:r w:rsidR="00EF6638" w:rsidRPr="005136EA">
        <w:t xml:space="preserve"> pozitivně do nákladů firem, </w:t>
      </w:r>
      <w:r w:rsidR="007A76E1">
        <w:t>taktéž</w:t>
      </w:r>
      <w:r w:rsidR="00CB7BD9" w:rsidRPr="005136EA">
        <w:t xml:space="preserve"> domácnostem </w:t>
      </w:r>
      <w:r w:rsidR="007A76E1">
        <w:t>ale</w:t>
      </w:r>
      <w:r w:rsidR="006524E4" w:rsidRPr="005136EA">
        <w:t xml:space="preserve"> </w:t>
      </w:r>
      <w:r w:rsidR="00CB7BD9" w:rsidRPr="005136EA">
        <w:t>zůstávalo díky nízkým cenám pohonných hmot více peněz</w:t>
      </w:r>
      <w:r w:rsidR="00EF6638" w:rsidRPr="005136EA">
        <w:t>.</w:t>
      </w:r>
      <w:r w:rsidR="007935B8" w:rsidRPr="005136EA">
        <w:t xml:space="preserve"> Třetím </w:t>
      </w:r>
      <w:r w:rsidR="00553234" w:rsidRPr="005136EA">
        <w:t>mimořádným vlivem</w:t>
      </w:r>
      <w:r w:rsidR="007935B8" w:rsidRPr="005136EA">
        <w:t>, co se týče</w:t>
      </w:r>
      <w:r w:rsidR="007A76E1">
        <w:t xml:space="preserve"> silného</w:t>
      </w:r>
      <w:r w:rsidR="007935B8" w:rsidRPr="005136EA">
        <w:t xml:space="preserve"> růstu </w:t>
      </w:r>
      <w:r w:rsidR="00E303FF" w:rsidRPr="005136EA">
        <w:t xml:space="preserve">v prvních třech </w:t>
      </w:r>
      <w:r w:rsidR="00E548A7">
        <w:t>čtvrtletích</w:t>
      </w:r>
      <w:r w:rsidR="00BC2145" w:rsidRPr="005136EA">
        <w:t xml:space="preserve"> 2015, byly vysoké zisky firem. Těch </w:t>
      </w:r>
      <w:r w:rsidR="007935B8" w:rsidRPr="005136EA">
        <w:t>dosáhly</w:t>
      </w:r>
      <w:r w:rsidR="00BC2145" w:rsidRPr="005136EA">
        <w:t xml:space="preserve"> jednak</w:t>
      </w:r>
      <w:r w:rsidR="007935B8" w:rsidRPr="005136EA">
        <w:t xml:space="preserve"> v roce </w:t>
      </w:r>
      <w:r w:rsidR="00154938" w:rsidRPr="005136EA">
        <w:t>2014</w:t>
      </w:r>
      <w:r w:rsidR="00BC2145" w:rsidRPr="005136EA">
        <w:t xml:space="preserve">, jednak je generovaly </w:t>
      </w:r>
      <w:r w:rsidR="00154938" w:rsidRPr="005136EA">
        <w:t>během roku</w:t>
      </w:r>
      <w:r w:rsidR="00BC2145" w:rsidRPr="005136EA">
        <w:t xml:space="preserve"> </w:t>
      </w:r>
      <w:r w:rsidR="00BC25AD" w:rsidRPr="005136EA">
        <w:t>2015</w:t>
      </w:r>
      <w:r w:rsidR="007935B8" w:rsidRPr="005136EA">
        <w:t xml:space="preserve">. V příznivých </w:t>
      </w:r>
      <w:r w:rsidR="002A47F8" w:rsidRPr="005136EA">
        <w:t xml:space="preserve">podmínkách a </w:t>
      </w:r>
      <w:r w:rsidR="007A76E1">
        <w:t>s důvěrou v další ekonomický růst</w:t>
      </w:r>
      <w:r w:rsidR="007935B8" w:rsidRPr="005136EA">
        <w:t xml:space="preserve"> je</w:t>
      </w:r>
      <w:r w:rsidR="006E0517" w:rsidRPr="005136EA">
        <w:t> </w:t>
      </w:r>
      <w:r w:rsidR="002A47F8" w:rsidRPr="005136EA">
        <w:t>začaly</w:t>
      </w:r>
      <w:r w:rsidR="007935B8" w:rsidRPr="005136EA">
        <w:t xml:space="preserve"> ve větším rozsahu využívat na investice</w:t>
      </w:r>
      <w:r w:rsidR="00EF6638" w:rsidRPr="005136EA">
        <w:t>.</w:t>
      </w:r>
    </w:p>
    <w:p w:rsidR="002A47F8" w:rsidRPr="00DF5056" w:rsidRDefault="002A47F8" w:rsidP="007935B8">
      <w:pPr>
        <w:rPr>
          <w:sz w:val="12"/>
          <w:szCs w:val="12"/>
        </w:rPr>
      </w:pPr>
    </w:p>
    <w:p w:rsidR="006E0517" w:rsidRPr="00F230A8" w:rsidRDefault="00BC2145" w:rsidP="007935B8">
      <w:r w:rsidRPr="00F230A8">
        <w:t>V</w:t>
      </w:r>
      <w:r w:rsidR="002A47F8" w:rsidRPr="00F230A8">
        <w:t xml:space="preserve"> jednotlivých čtvrtletích roku 2015 rostl HDP</w:t>
      </w:r>
      <w:r w:rsidRPr="00F230A8">
        <w:t xml:space="preserve"> postupně</w:t>
      </w:r>
      <w:r w:rsidR="00C721C0" w:rsidRPr="00F230A8">
        <w:t xml:space="preserve"> o 4,1 %, 4,6 % a 4,1</w:t>
      </w:r>
      <w:r w:rsidR="002A47F8" w:rsidRPr="00F230A8">
        <w:t xml:space="preserve"> % meziročně. </w:t>
      </w:r>
      <w:r w:rsidR="00680274">
        <w:t>V</w:t>
      </w:r>
      <w:r w:rsidR="006E0517" w:rsidRPr="00F230A8">
        <w:t> </w:t>
      </w:r>
      <w:r w:rsidR="00680274">
        <w:t>lednu</w:t>
      </w:r>
      <w:r w:rsidR="002A47F8" w:rsidRPr="00F230A8">
        <w:t xml:space="preserve"> </w:t>
      </w:r>
      <w:r w:rsidR="00680274">
        <w:t>až</w:t>
      </w:r>
      <w:r w:rsidR="006E0517" w:rsidRPr="00F230A8">
        <w:t> </w:t>
      </w:r>
      <w:r w:rsidR="002A47F8" w:rsidRPr="00F230A8">
        <w:t xml:space="preserve">září </w:t>
      </w:r>
      <w:r w:rsidR="00C721C0" w:rsidRPr="00F230A8">
        <w:t>stoupla ekonomika o 4,3</w:t>
      </w:r>
      <w:r w:rsidR="006E0517" w:rsidRPr="00F230A8">
        <w:t xml:space="preserve"> %. Šlo o nejrychlejší růst za posledních osm let, </w:t>
      </w:r>
      <w:r w:rsidR="001D5754" w:rsidRPr="00F230A8">
        <w:t>tj.</w:t>
      </w:r>
      <w:r w:rsidR="006E0517" w:rsidRPr="00F230A8">
        <w:t xml:space="preserve"> od prvních třech čtvrtletí konjunkturního roku 2007 (+5,5 %). Také v </w:t>
      </w:r>
      <w:r w:rsidR="001A1243">
        <w:t>unijním</w:t>
      </w:r>
      <w:r w:rsidR="006E0517" w:rsidRPr="00F230A8">
        <w:t xml:space="preserve"> srovnání působil přírůstek HDP v</w:t>
      </w:r>
      <w:r w:rsidR="00125DAC" w:rsidRPr="00F230A8">
        <w:t> </w:t>
      </w:r>
      <w:r w:rsidR="007A76E1" w:rsidRPr="00F230A8">
        <w:t>ČR</w:t>
      </w:r>
      <w:r w:rsidR="00EF6638" w:rsidRPr="00F230A8">
        <w:t xml:space="preserve"> v tomto období</w:t>
      </w:r>
      <w:r w:rsidR="006E0517" w:rsidRPr="00F230A8">
        <w:t xml:space="preserve"> impozantně. Vyšší mělo jen Irsko (+7,0 %)</w:t>
      </w:r>
      <w:r w:rsidR="001D5754" w:rsidRPr="00F230A8">
        <w:t>,</w:t>
      </w:r>
      <w:r w:rsidR="00D21FD0" w:rsidRPr="00F230A8">
        <w:t xml:space="preserve"> Lucembursko (+5,8 %)</w:t>
      </w:r>
      <w:r w:rsidR="006E0517" w:rsidRPr="00F230A8">
        <w:t xml:space="preserve"> a</w:t>
      </w:r>
      <w:r w:rsidR="00125DAC" w:rsidRPr="00F230A8">
        <w:t> </w:t>
      </w:r>
      <w:r w:rsidR="006E0517" w:rsidRPr="00F230A8">
        <w:t>Malta (+5,5 </w:t>
      </w:r>
      <w:r w:rsidRPr="00F230A8">
        <w:t>%). V porovnání s </w:t>
      </w:r>
      <w:proofErr w:type="spellStart"/>
      <w:r w:rsidRPr="00F230A8">
        <w:t>eurozónou</w:t>
      </w:r>
      <w:proofErr w:type="spellEnd"/>
      <w:r w:rsidRPr="00F230A8">
        <w:t xml:space="preserve"> jsme rostli </w:t>
      </w:r>
      <w:r w:rsidR="001A1243">
        <w:t xml:space="preserve">téměř </w:t>
      </w:r>
      <w:r w:rsidRPr="00F230A8">
        <w:t>třikrát rychleji.</w:t>
      </w:r>
    </w:p>
    <w:p w:rsidR="006E0517" w:rsidRPr="00DF5056" w:rsidRDefault="006E0517" w:rsidP="007935B8">
      <w:pPr>
        <w:rPr>
          <w:sz w:val="12"/>
          <w:szCs w:val="12"/>
        </w:rPr>
      </w:pPr>
    </w:p>
    <w:p w:rsidR="002A47F8" w:rsidRPr="005136EA" w:rsidRDefault="00C407AF" w:rsidP="007935B8">
      <w:r w:rsidRPr="005136EA">
        <w:t xml:space="preserve">K </w:t>
      </w:r>
      <w:r w:rsidR="00125DAC" w:rsidRPr="005136EA">
        <w:t>růstu HDP</w:t>
      </w:r>
      <w:r w:rsidR="007A76E1">
        <w:t xml:space="preserve"> v České republice</w:t>
      </w:r>
      <w:r w:rsidR="0093600C">
        <w:t xml:space="preserve"> v prvních třech čtvrtletích 2015</w:t>
      </w:r>
      <w:r w:rsidR="00125DAC" w:rsidRPr="005136EA">
        <w:t xml:space="preserve"> přispěly</w:t>
      </w:r>
      <w:r w:rsidR="0093600C">
        <w:t xml:space="preserve"> kladně</w:t>
      </w:r>
      <w:r w:rsidR="00D56CCC">
        <w:t xml:space="preserve"> všechny složky poptávky</w:t>
      </w:r>
      <w:r w:rsidR="002A47F8" w:rsidRPr="005136EA">
        <w:t> </w:t>
      </w:r>
      <w:r w:rsidR="00D56CCC">
        <w:t>s výjimkou</w:t>
      </w:r>
      <w:r w:rsidR="002A47F8" w:rsidRPr="005136EA">
        <w:t xml:space="preserve"> bilance zahraničního obchodu. Ta se i přes vysokou dynamiku vývozu (+6,9 %</w:t>
      </w:r>
      <w:r w:rsidR="00154938" w:rsidRPr="005136EA">
        <w:t xml:space="preserve"> meziročně</w:t>
      </w:r>
      <w:r w:rsidR="002A47F8" w:rsidRPr="005136EA">
        <w:t xml:space="preserve">) zhoršila, </w:t>
      </w:r>
      <w:r w:rsidR="00553234" w:rsidRPr="005136EA">
        <w:t>protože</w:t>
      </w:r>
      <w:r w:rsidR="002A47F8" w:rsidRPr="005136EA">
        <w:t xml:space="preserve"> silná dom</w:t>
      </w:r>
      <w:r w:rsidR="00BC2145" w:rsidRPr="005136EA">
        <w:t>ácí poptávka zvýšila dovoz do Česka</w:t>
      </w:r>
      <w:r w:rsidR="002A47F8" w:rsidRPr="005136EA">
        <w:t xml:space="preserve"> o 8,1 %</w:t>
      </w:r>
      <w:r w:rsidR="00125DAC" w:rsidRPr="005136EA">
        <w:t xml:space="preserve"> (šlo zejména o dovoz zboží, +8,7 %)</w:t>
      </w:r>
      <w:r w:rsidR="001A1243">
        <w:t>. I z</w:t>
      </w:r>
      <w:r w:rsidR="002A47F8" w:rsidRPr="005136EA">
        <w:t xml:space="preserve"> hlediska vývoje hrubé přidané hodnoty </w:t>
      </w:r>
      <w:r w:rsidRPr="005136EA">
        <w:t xml:space="preserve">se ukazoval vývoj </w:t>
      </w:r>
      <w:r w:rsidR="00BC2145" w:rsidRPr="005136EA">
        <w:t>tuzemské</w:t>
      </w:r>
      <w:r w:rsidRPr="005136EA">
        <w:t xml:space="preserve"> ekonomiky jako příznivý</w:t>
      </w:r>
      <w:r w:rsidR="002A47F8" w:rsidRPr="005136EA">
        <w:t xml:space="preserve">. </w:t>
      </w:r>
      <w:r w:rsidR="00125DAC" w:rsidRPr="005136EA">
        <w:t>Razantně se zvýšil</w:t>
      </w:r>
      <w:r w:rsidR="002A47F8" w:rsidRPr="005136EA">
        <w:t xml:space="preserve"> výkon zpracovatelského průmyslu</w:t>
      </w:r>
      <w:r w:rsidRPr="005136EA">
        <w:t xml:space="preserve"> (+6</w:t>
      </w:r>
      <w:r w:rsidR="00125DAC" w:rsidRPr="005136EA">
        <w:t>,5 %)</w:t>
      </w:r>
      <w:r w:rsidR="002A47F8" w:rsidRPr="005136EA">
        <w:t>,</w:t>
      </w:r>
      <w:r w:rsidR="00125DAC" w:rsidRPr="005136EA">
        <w:t xml:space="preserve"> především díky růstu poptávky po dopravních prostředcích.</w:t>
      </w:r>
      <w:r w:rsidR="002A47F8" w:rsidRPr="005136EA">
        <w:t xml:space="preserve"> </w:t>
      </w:r>
      <w:r w:rsidR="00125DAC" w:rsidRPr="005136EA">
        <w:t xml:space="preserve">Váhově významné služby, které </w:t>
      </w:r>
      <w:r w:rsidR="00DC4843" w:rsidRPr="005136EA">
        <w:t>běžně</w:t>
      </w:r>
      <w:r w:rsidR="00125DAC" w:rsidRPr="005136EA">
        <w:t xml:space="preserve"> za vývojem</w:t>
      </w:r>
      <w:r w:rsidRPr="005136EA">
        <w:t xml:space="preserve"> zpracovatelského</w:t>
      </w:r>
      <w:r w:rsidR="00125DAC" w:rsidRPr="005136EA">
        <w:t xml:space="preserve"> průmyslu časově zaostávají, také rostly.</w:t>
      </w:r>
      <w:r w:rsidRPr="005136EA">
        <w:t xml:space="preserve"> Vyšší hrubou přidanou hodnotu v prvních třech čtvrtletích 2015 vykázaly tržní služby i</w:t>
      </w:r>
      <w:r w:rsidR="00DC4843" w:rsidRPr="005136EA">
        <w:t> </w:t>
      </w:r>
      <w:r w:rsidRPr="005136EA">
        <w:t>veřejné.</w:t>
      </w:r>
      <w:r w:rsidR="00125DAC" w:rsidRPr="005136EA">
        <w:t xml:space="preserve"> Lépe než</w:t>
      </w:r>
      <w:r w:rsidRPr="005136EA">
        <w:t xml:space="preserve"> před rokem na tom bylo </w:t>
      </w:r>
      <w:r w:rsidR="00A82DF4" w:rsidRPr="005136EA">
        <w:t xml:space="preserve">i </w:t>
      </w:r>
      <w:r w:rsidR="00662843" w:rsidRPr="005136EA">
        <w:t>stavebnictví.</w:t>
      </w:r>
      <w:r w:rsidR="002A47F8" w:rsidRPr="005136EA">
        <w:t xml:space="preserve"> </w:t>
      </w:r>
      <w:r w:rsidR="00662843" w:rsidRPr="005136EA">
        <w:t>T</w:t>
      </w:r>
      <w:r w:rsidR="002A47F8" w:rsidRPr="005136EA">
        <w:t xml:space="preserve">ěžilo </w:t>
      </w:r>
      <w:r w:rsidR="00125DAC" w:rsidRPr="005136EA">
        <w:t xml:space="preserve">z růstu </w:t>
      </w:r>
      <w:r w:rsidR="007A76E1">
        <w:t>objemu prací na infrastrukturních stavbách</w:t>
      </w:r>
      <w:r w:rsidR="006524E4" w:rsidRPr="005136EA">
        <w:t>, jež byly ve</w:t>
      </w:r>
      <w:r w:rsidR="00154938" w:rsidRPr="005136EA">
        <w:t> </w:t>
      </w:r>
      <w:r w:rsidR="001A1243">
        <w:t>velké míře</w:t>
      </w:r>
      <w:r w:rsidR="006524E4" w:rsidRPr="005136EA">
        <w:t xml:space="preserve"> financovány</w:t>
      </w:r>
      <w:r w:rsidR="00154938" w:rsidRPr="005136EA">
        <w:t xml:space="preserve"> </w:t>
      </w:r>
      <w:r w:rsidR="00125DAC" w:rsidRPr="005136EA">
        <w:t>z</w:t>
      </w:r>
      <w:r w:rsidRPr="005136EA">
        <w:t> </w:t>
      </w:r>
      <w:r w:rsidR="00125DAC" w:rsidRPr="005136EA">
        <w:t>peněz</w:t>
      </w:r>
      <w:r w:rsidRPr="005136EA">
        <w:t xml:space="preserve"> EU</w:t>
      </w:r>
      <w:r w:rsidR="00125DAC" w:rsidRPr="005136EA">
        <w:t>.</w:t>
      </w:r>
    </w:p>
    <w:p w:rsidR="006E0517" w:rsidRPr="00443275" w:rsidRDefault="00125DAC" w:rsidP="007935B8">
      <w:pPr>
        <w:rPr>
          <w:spacing w:val="-2"/>
        </w:rPr>
      </w:pPr>
      <w:r w:rsidRPr="00443275">
        <w:rPr>
          <w:spacing w:val="-2"/>
        </w:rPr>
        <w:lastRenderedPageBreak/>
        <w:t xml:space="preserve">Je evidentní, že </w:t>
      </w:r>
      <w:r w:rsidR="00662843" w:rsidRPr="00443275">
        <w:rPr>
          <w:spacing w:val="-2"/>
        </w:rPr>
        <w:t xml:space="preserve">českému hospodářství </w:t>
      </w:r>
      <w:r w:rsidR="00C407AF" w:rsidRPr="00443275">
        <w:rPr>
          <w:spacing w:val="-2"/>
        </w:rPr>
        <w:t>se</w:t>
      </w:r>
      <w:r w:rsidRPr="00443275">
        <w:rPr>
          <w:spacing w:val="-2"/>
        </w:rPr>
        <w:t xml:space="preserve"> v lednu až září loňského roku </w:t>
      </w:r>
      <w:r w:rsidR="00C407AF" w:rsidRPr="00443275">
        <w:rPr>
          <w:spacing w:val="-2"/>
        </w:rPr>
        <w:t>dařilo</w:t>
      </w:r>
      <w:r w:rsidRPr="00443275">
        <w:rPr>
          <w:spacing w:val="-2"/>
        </w:rPr>
        <w:t xml:space="preserve">. </w:t>
      </w:r>
      <w:r w:rsidR="006E0517" w:rsidRPr="00443275">
        <w:rPr>
          <w:spacing w:val="-2"/>
        </w:rPr>
        <w:t>Projevil se ojediněle silný růst ekonomiky</w:t>
      </w:r>
      <w:r w:rsidR="00F76AF4" w:rsidRPr="00443275">
        <w:rPr>
          <w:spacing w:val="-2"/>
        </w:rPr>
        <w:t xml:space="preserve"> příznivě</w:t>
      </w:r>
      <w:r w:rsidR="00154938" w:rsidRPr="00443275">
        <w:rPr>
          <w:spacing w:val="-2"/>
        </w:rPr>
        <w:t xml:space="preserve"> i v</w:t>
      </w:r>
      <w:r w:rsidR="00443275" w:rsidRPr="00443275">
        <w:rPr>
          <w:spacing w:val="-2"/>
        </w:rPr>
        <w:t> disponibilních</w:t>
      </w:r>
      <w:r w:rsidR="00154938" w:rsidRPr="00443275">
        <w:rPr>
          <w:spacing w:val="-2"/>
        </w:rPr>
        <w:t> příjmech domácností?</w:t>
      </w:r>
    </w:p>
    <w:p w:rsidR="006E0517" w:rsidRPr="00C869BA" w:rsidRDefault="006E0517" w:rsidP="007935B8">
      <w:pPr>
        <w:rPr>
          <w:spacing w:val="-2"/>
          <w:sz w:val="14"/>
          <w:szCs w:val="14"/>
        </w:rPr>
      </w:pPr>
    </w:p>
    <w:p w:rsidR="00CB7BD9" w:rsidRPr="003813CB" w:rsidRDefault="00EE3B1F" w:rsidP="00C869BA">
      <w:pPr>
        <w:jc w:val="left"/>
        <w:rPr>
          <w:b/>
        </w:rPr>
      </w:pPr>
      <w:r w:rsidRPr="003813CB">
        <w:rPr>
          <w:b/>
        </w:rPr>
        <w:t>Vzrostly počty zaměstnanců, na</w:t>
      </w:r>
      <w:r w:rsidR="000A0046" w:rsidRPr="003813CB">
        <w:rPr>
          <w:b/>
        </w:rPr>
        <w:t>výšila se i průměrná mzda</w:t>
      </w:r>
    </w:p>
    <w:p w:rsidR="007935B8" w:rsidRPr="00E910BF" w:rsidRDefault="00E910BF" w:rsidP="007935B8">
      <w:r w:rsidRPr="00E910BF">
        <w:t>C</w:t>
      </w:r>
      <w:r w:rsidR="00284C2B" w:rsidRPr="00E910BF">
        <w:t>elkový objem</w:t>
      </w:r>
      <w:r w:rsidRPr="00E910BF">
        <w:t xml:space="preserve"> mezd a platů, který se v</w:t>
      </w:r>
      <w:r w:rsidR="00B1581A">
        <w:t> </w:t>
      </w:r>
      <w:r w:rsidR="00E548A7">
        <w:t>ČR</w:t>
      </w:r>
      <w:r w:rsidRPr="00E910BF">
        <w:t xml:space="preserve"> vyplatí,</w:t>
      </w:r>
      <w:r w:rsidR="00284C2B" w:rsidRPr="00E910BF">
        <w:t xml:space="preserve"> je určen</w:t>
      </w:r>
      <w:r w:rsidR="007A76E1" w:rsidRPr="00E910BF">
        <w:t xml:space="preserve"> </w:t>
      </w:r>
      <w:r w:rsidR="00284C2B" w:rsidRPr="00E910BF">
        <w:t xml:space="preserve">počtem zaměstnanců a </w:t>
      </w:r>
      <w:r w:rsidR="00CB7BD9" w:rsidRPr="00E910BF">
        <w:t xml:space="preserve">průměrnou mzdou. </w:t>
      </w:r>
      <w:r w:rsidR="007F7D04" w:rsidRPr="00E910BF">
        <w:t>V prvních třech čtvrtletích 2015 působily ve</w:t>
      </w:r>
      <w:r w:rsidRPr="00E910BF">
        <w:t> </w:t>
      </w:r>
      <w:r w:rsidR="007F7D04" w:rsidRPr="00E910BF">
        <w:t>směru růstu mezd a platů obě složky. Údaje</w:t>
      </w:r>
      <w:r w:rsidR="00BF53EE" w:rsidRPr="00E910BF">
        <w:t xml:space="preserve"> podnikové statistiky</w:t>
      </w:r>
      <w:r w:rsidR="007F7D04" w:rsidRPr="00E910BF">
        <w:t xml:space="preserve"> zohledňu</w:t>
      </w:r>
      <w:r w:rsidR="00AE0D5E" w:rsidRPr="00E910BF">
        <w:t>jící délku pracovních úvazků</w:t>
      </w:r>
      <w:r w:rsidR="00E548A7">
        <w:t>, tj. na přepočtené počty,</w:t>
      </w:r>
      <w:r w:rsidR="00AE0D5E" w:rsidRPr="00E910BF">
        <w:t xml:space="preserve"> ukázaly</w:t>
      </w:r>
      <w:r w:rsidR="007F7D04" w:rsidRPr="00E910BF">
        <w:t xml:space="preserve"> na meziroční růst počtu zaměstnanců </w:t>
      </w:r>
      <w:r w:rsidR="00F76AF4" w:rsidRPr="00E910BF">
        <w:t xml:space="preserve">o 1,8 % </w:t>
      </w:r>
      <w:r w:rsidR="007F7D04" w:rsidRPr="00E910BF">
        <w:t>a průměrné</w:t>
      </w:r>
      <w:r w:rsidR="00AE07CB" w:rsidRPr="00E910BF">
        <w:t xml:space="preserve"> </w:t>
      </w:r>
      <w:r w:rsidR="007F7D04" w:rsidRPr="00E910BF">
        <w:t>mzdy</w:t>
      </w:r>
      <w:r w:rsidR="009C5A86" w:rsidRPr="00E910BF">
        <w:t xml:space="preserve"> </w:t>
      </w:r>
      <w:r w:rsidR="00F76AF4" w:rsidRPr="00E910BF">
        <w:t>o</w:t>
      </w:r>
      <w:r w:rsidRPr="00E910BF">
        <w:t> </w:t>
      </w:r>
      <w:r w:rsidR="00F76AF4" w:rsidRPr="00E910BF">
        <w:t>3</w:t>
      </w:r>
      <w:r w:rsidR="007F7D04" w:rsidRPr="00E910BF">
        <w:t>,2</w:t>
      </w:r>
      <w:r w:rsidRPr="00E910BF">
        <w:t> </w:t>
      </w:r>
      <w:r w:rsidR="007F7D04" w:rsidRPr="00E910BF">
        <w:t>%</w:t>
      </w:r>
      <w:r w:rsidR="00D530BF">
        <w:t xml:space="preserve"> nominálně</w:t>
      </w:r>
      <w:r w:rsidR="007F7D04" w:rsidRPr="00E910BF">
        <w:t>. P</w:t>
      </w:r>
      <w:r w:rsidR="00F76AF4" w:rsidRPr="00E910BF">
        <w:t>řitom ve</w:t>
      </w:r>
      <w:r w:rsidR="009C5A86" w:rsidRPr="00E910BF">
        <w:t> </w:t>
      </w:r>
      <w:r w:rsidR="00F76AF4" w:rsidRPr="00E910BF">
        <w:t xml:space="preserve">stejném období </w:t>
      </w:r>
      <w:r w:rsidR="009C5A86" w:rsidRPr="00E910BF">
        <w:t xml:space="preserve">roku </w:t>
      </w:r>
      <w:r w:rsidR="007F7D04" w:rsidRPr="00E910BF">
        <w:t>2014</w:t>
      </w:r>
      <w:r w:rsidR="009C5A86" w:rsidRPr="00E910BF">
        <w:t xml:space="preserve"> jejich poč</w:t>
      </w:r>
      <w:r w:rsidR="00662843" w:rsidRPr="00E910BF">
        <w:t>et</w:t>
      </w:r>
      <w:r w:rsidR="00F76AF4" w:rsidRPr="00E910BF">
        <w:t xml:space="preserve"> </w:t>
      </w:r>
      <w:r w:rsidR="00662843" w:rsidRPr="00E910BF">
        <w:t>vzrostl</w:t>
      </w:r>
      <w:r w:rsidR="00F76AF4" w:rsidRPr="00E910BF">
        <w:t xml:space="preserve"> jen o 0,9 % a</w:t>
      </w:r>
      <w:r w:rsidRPr="00E910BF">
        <w:t> </w:t>
      </w:r>
      <w:r w:rsidR="00F76AF4" w:rsidRPr="00E910BF">
        <w:t>průměrná mzda o</w:t>
      </w:r>
      <w:r w:rsidR="00662843" w:rsidRPr="00E910BF">
        <w:t> </w:t>
      </w:r>
      <w:r w:rsidR="00F76AF4" w:rsidRPr="00E910BF">
        <w:t>2,3 %</w:t>
      </w:r>
      <w:r w:rsidR="00CB7BD9" w:rsidRPr="00E910BF">
        <w:t xml:space="preserve">. Jde </w:t>
      </w:r>
      <w:r w:rsidR="00F76AF4" w:rsidRPr="00E910BF">
        <w:t>o</w:t>
      </w:r>
      <w:r w:rsidR="00BF53EE" w:rsidRPr="00E910BF">
        <w:t> </w:t>
      </w:r>
      <w:r w:rsidR="00F76AF4" w:rsidRPr="00E910BF">
        <w:t>údaje za</w:t>
      </w:r>
      <w:r w:rsidR="00B1581A">
        <w:t> </w:t>
      </w:r>
      <w:r w:rsidR="00F76AF4" w:rsidRPr="00E910BF">
        <w:t xml:space="preserve">ekonomiku jako celek, v jednotlivých odvětvích byl </w:t>
      </w:r>
      <w:r w:rsidR="001D5754">
        <w:t>ale</w:t>
      </w:r>
      <w:r w:rsidR="001D5754" w:rsidRPr="00E910BF">
        <w:t xml:space="preserve"> </w:t>
      </w:r>
      <w:r w:rsidR="00F76AF4" w:rsidRPr="00E910BF">
        <w:t>vývoj</w:t>
      </w:r>
      <w:r w:rsidR="00D56CCC">
        <w:t xml:space="preserve"> </w:t>
      </w:r>
      <w:r w:rsidR="00CD6CF3" w:rsidRPr="00E910BF">
        <w:t>diferencovaný</w:t>
      </w:r>
      <w:r w:rsidR="00F76AF4" w:rsidRPr="00E910BF">
        <w:t>.</w:t>
      </w:r>
    </w:p>
    <w:p w:rsidR="007F7D04" w:rsidRPr="00C869BA" w:rsidRDefault="007F7D04" w:rsidP="007935B8">
      <w:pPr>
        <w:rPr>
          <w:sz w:val="12"/>
          <w:szCs w:val="12"/>
        </w:rPr>
      </w:pPr>
    </w:p>
    <w:p w:rsidR="00E43C0F" w:rsidRPr="00F230A8" w:rsidRDefault="00CA03E7" w:rsidP="007935B8">
      <w:r w:rsidRPr="00F230A8">
        <w:t>V největší</w:t>
      </w:r>
      <w:r w:rsidR="007F7D04" w:rsidRPr="00F230A8">
        <w:t xml:space="preserve"> </w:t>
      </w:r>
      <w:r w:rsidRPr="00F230A8">
        <w:t>míře</w:t>
      </w:r>
      <w:r w:rsidR="007F7D04" w:rsidRPr="00F230A8">
        <w:t xml:space="preserve"> se počty zaměstnanců zvyšovaly v či</w:t>
      </w:r>
      <w:r w:rsidR="00427AF8" w:rsidRPr="00F230A8">
        <w:t>nnostech v oblasti nemovitostí</w:t>
      </w:r>
      <w:r w:rsidRPr="00F230A8">
        <w:t xml:space="preserve"> (+5,4 %)</w:t>
      </w:r>
      <w:r w:rsidR="00427AF8" w:rsidRPr="00F230A8">
        <w:t>,</w:t>
      </w:r>
      <w:r w:rsidR="007F7D04" w:rsidRPr="00F230A8">
        <w:t xml:space="preserve"> </w:t>
      </w:r>
      <w:r w:rsidR="00F230A8">
        <w:t>v</w:t>
      </w:r>
      <w:r w:rsidR="00E548A7">
        <w:t> </w:t>
      </w:r>
      <w:r w:rsidR="007F7D04" w:rsidRPr="00F230A8">
        <w:t xml:space="preserve">administrativních </w:t>
      </w:r>
      <w:r w:rsidR="0043054A" w:rsidRPr="00F230A8">
        <w:t>a</w:t>
      </w:r>
      <w:r w:rsidR="00BF53EE" w:rsidRPr="00F230A8">
        <w:t> </w:t>
      </w:r>
      <w:r w:rsidR="00427AF8" w:rsidRPr="00F230A8">
        <w:t>podpůrných činnostech</w:t>
      </w:r>
      <w:r w:rsidRPr="00F230A8">
        <w:t xml:space="preserve"> (+4,2 %)</w:t>
      </w:r>
      <w:r w:rsidR="007F7D04" w:rsidRPr="00F230A8">
        <w:t xml:space="preserve"> a ve zpracovatelském průmyslu</w:t>
      </w:r>
      <w:r w:rsidRPr="00F230A8">
        <w:t xml:space="preserve"> (+3 %)</w:t>
      </w:r>
      <w:r w:rsidR="007F7D04" w:rsidRPr="00F230A8">
        <w:t>.</w:t>
      </w:r>
      <w:r w:rsidR="0043054A" w:rsidRPr="00F230A8">
        <w:t xml:space="preserve"> V</w:t>
      </w:r>
      <w:r w:rsidR="007F7D04" w:rsidRPr="00F230A8">
        <w:t xml:space="preserve"> činnostech v oblasti nemovitostí </w:t>
      </w:r>
      <w:r w:rsidR="0043054A" w:rsidRPr="00F230A8">
        <w:t xml:space="preserve">docházelo ale pouze ke změně struktury pracovníků, neboť </w:t>
      </w:r>
      <w:r w:rsidR="00B1581A">
        <w:t>při růstu</w:t>
      </w:r>
      <w:r w:rsidR="0043054A" w:rsidRPr="00F230A8">
        <w:t xml:space="preserve"> počtu zaměstnanců </w:t>
      </w:r>
      <w:r w:rsidR="00B1581A">
        <w:t>klesal počet</w:t>
      </w:r>
      <w:r w:rsidR="0043054A" w:rsidRPr="00F230A8">
        <w:t xml:space="preserve"> </w:t>
      </w:r>
      <w:proofErr w:type="spellStart"/>
      <w:r w:rsidR="0043054A" w:rsidRPr="00F230A8">
        <w:t>sebezaměstnaných</w:t>
      </w:r>
      <w:proofErr w:type="spellEnd"/>
      <w:r w:rsidR="0043054A" w:rsidRPr="00F230A8">
        <w:t xml:space="preserve">. Tento vývoj mohl souviset se směnou smluv realitních makléřů. </w:t>
      </w:r>
      <w:r w:rsidR="001E32DE" w:rsidRPr="00F230A8">
        <w:t>Administrativní a podpůrné</w:t>
      </w:r>
      <w:r w:rsidR="0043054A" w:rsidRPr="00F230A8">
        <w:t xml:space="preserve"> činnosti a</w:t>
      </w:r>
      <w:r w:rsidR="00BF53EE" w:rsidRPr="00F230A8">
        <w:t> </w:t>
      </w:r>
      <w:r w:rsidR="0043054A" w:rsidRPr="00F230A8">
        <w:t xml:space="preserve">zpracovatelský průmysl skrze zaměstnance </w:t>
      </w:r>
      <w:r w:rsidRPr="00F230A8">
        <w:t xml:space="preserve">skutečně </w:t>
      </w:r>
      <w:r w:rsidR="0043054A" w:rsidRPr="00F230A8">
        <w:t>posilovaly své stavy. Zatímco zpracovatelské podniky</w:t>
      </w:r>
      <w:r w:rsidR="00023BC4" w:rsidRPr="00F230A8">
        <w:t xml:space="preserve"> </w:t>
      </w:r>
      <w:r w:rsidR="0043054A" w:rsidRPr="00F230A8">
        <w:t>nasávaly zaměstnance kvůli vyššímu objemu zaká</w:t>
      </w:r>
      <w:r w:rsidR="001E32DE" w:rsidRPr="00F230A8">
        <w:t>zek, nárůst počtu zaměstnanců v</w:t>
      </w:r>
      <w:r w:rsidR="00023BC4" w:rsidRPr="00F230A8">
        <w:t> </w:t>
      </w:r>
      <w:r w:rsidR="0043054A" w:rsidRPr="00F230A8">
        <w:t>administrativních a</w:t>
      </w:r>
      <w:r w:rsidR="00A9075B" w:rsidRPr="00F230A8">
        <w:t> </w:t>
      </w:r>
      <w:r w:rsidR="0043054A" w:rsidRPr="00F230A8">
        <w:t xml:space="preserve">podpůrných činnostech </w:t>
      </w:r>
      <w:r w:rsidRPr="00F230A8">
        <w:t>plynul</w:t>
      </w:r>
      <w:r w:rsidR="004A6B36" w:rsidRPr="00F230A8">
        <w:t xml:space="preserve"> hlavně</w:t>
      </w:r>
      <w:r w:rsidRPr="00F230A8">
        <w:t xml:space="preserve"> z náboru agenturních </w:t>
      </w:r>
      <w:r w:rsidR="00BF53EE" w:rsidRPr="00F230A8">
        <w:t>pracovníků</w:t>
      </w:r>
      <w:r w:rsidR="0043054A" w:rsidRPr="00F230A8">
        <w:t xml:space="preserve">. </w:t>
      </w:r>
      <w:r w:rsidR="00BF53EE" w:rsidRPr="00F230A8">
        <w:t>Ti byli přitom významně angažováni</w:t>
      </w:r>
      <w:r w:rsidR="0043054A" w:rsidRPr="00F230A8">
        <w:t xml:space="preserve"> pr</w:t>
      </w:r>
      <w:r w:rsidRPr="00F230A8">
        <w:t>ávě ve zpracovatelském průmyslu</w:t>
      </w:r>
      <w:r w:rsidR="00CD6CF3" w:rsidRPr="00F230A8">
        <w:t>. L</w:t>
      </w:r>
      <w:r w:rsidRPr="00F230A8">
        <w:t xml:space="preserve">ze </w:t>
      </w:r>
      <w:r w:rsidR="00285B67">
        <w:t>předpokládat</w:t>
      </w:r>
      <w:r w:rsidRPr="00F230A8">
        <w:t xml:space="preserve">, že </w:t>
      </w:r>
      <w:r w:rsidR="001E32DE" w:rsidRPr="00F230A8">
        <w:t>jich využívaly především</w:t>
      </w:r>
      <w:r w:rsidR="00CD6CF3" w:rsidRPr="00F230A8">
        <w:t xml:space="preserve"> ty</w:t>
      </w:r>
      <w:r w:rsidRPr="00F230A8">
        <w:t xml:space="preserve"> firmy, jejichž potřeby se </w:t>
      </w:r>
      <w:r w:rsidR="00CD6CF3" w:rsidRPr="00F230A8">
        <w:t>dramaticky</w:t>
      </w:r>
      <w:r w:rsidRPr="00F230A8">
        <w:t xml:space="preserve"> </w:t>
      </w:r>
      <w:r w:rsidR="001E32DE" w:rsidRPr="00F230A8">
        <w:t>mění v průběhu hospodářského cyklu</w:t>
      </w:r>
      <w:r w:rsidRPr="00F230A8">
        <w:t xml:space="preserve">. </w:t>
      </w:r>
    </w:p>
    <w:p w:rsidR="00BF53EE" w:rsidRPr="00C869BA" w:rsidRDefault="00BF53EE" w:rsidP="007935B8">
      <w:pPr>
        <w:rPr>
          <w:sz w:val="12"/>
          <w:szCs w:val="12"/>
        </w:rPr>
      </w:pPr>
    </w:p>
    <w:p w:rsidR="00E43C0F" w:rsidRPr="00F230A8" w:rsidRDefault="00BF53EE" w:rsidP="007935B8">
      <w:r w:rsidRPr="00F230A8">
        <w:t>Celkově šest odvětví posílilo počty zaměstnanců více, než odpovídalo průměru za ekonomiku. Kromě</w:t>
      </w:r>
      <w:r w:rsidR="00285B67">
        <w:t xml:space="preserve"> výše</w:t>
      </w:r>
      <w:r w:rsidRPr="00F230A8">
        <w:t xml:space="preserve"> zmíněných šlo o profesní, vědecké a technické činnosti</w:t>
      </w:r>
      <w:r w:rsidRPr="00F230A8">
        <w:rPr>
          <w:lang w:val="en-US"/>
        </w:rPr>
        <w:t>;</w:t>
      </w:r>
      <w:r w:rsidRPr="00F230A8">
        <w:t xml:space="preserve"> veřejnou správu a</w:t>
      </w:r>
      <w:r w:rsidR="00C869BA">
        <w:t> </w:t>
      </w:r>
      <w:r w:rsidRPr="00F230A8">
        <w:t>obranu</w:t>
      </w:r>
      <w:r w:rsidR="00B77EE7" w:rsidRPr="00F230A8">
        <w:t> </w:t>
      </w:r>
      <w:r w:rsidRPr="00F230A8">
        <w:t xml:space="preserve">– kde se </w:t>
      </w:r>
      <w:r w:rsidR="00CD6CF3" w:rsidRPr="00F230A8">
        <w:t>přijímali pracovníci zejména</w:t>
      </w:r>
      <w:r w:rsidRPr="00F230A8">
        <w:t xml:space="preserve"> na obcích</w:t>
      </w:r>
      <w:r w:rsidR="00C869BA">
        <w:t xml:space="preserve"> na veřejně prospěšné práce,</w:t>
      </w:r>
      <w:r w:rsidRPr="00F230A8">
        <w:t xml:space="preserve"> a</w:t>
      </w:r>
      <w:r w:rsidR="00C869BA">
        <w:t xml:space="preserve"> také</w:t>
      </w:r>
      <w:r w:rsidRPr="00F230A8">
        <w:t xml:space="preserve"> v souvislosti se spuštěním zákona o</w:t>
      </w:r>
      <w:r w:rsidR="00CA03E7" w:rsidRPr="00F230A8">
        <w:t xml:space="preserve"> </w:t>
      </w:r>
      <w:r w:rsidRPr="00F230A8">
        <w:t>státní</w:t>
      </w:r>
      <w:r w:rsidR="00CA03E7" w:rsidRPr="00F230A8">
        <w:t xml:space="preserve"> </w:t>
      </w:r>
      <w:r w:rsidRPr="00F230A8">
        <w:t>službě</w:t>
      </w:r>
      <w:r w:rsidR="00CA03E7" w:rsidRPr="00F230A8">
        <w:t> </w:t>
      </w:r>
      <w:r w:rsidRPr="00F230A8">
        <w:t xml:space="preserve">– a kulturní, zábavní a rekreační činnosti. V ostatních odvětvích byla dynamika slabší, </w:t>
      </w:r>
      <w:r w:rsidR="001E32DE" w:rsidRPr="00F230A8">
        <w:t>pět evidovalo dokonce nižší poč</w:t>
      </w:r>
      <w:r w:rsidRPr="00F230A8">
        <w:t>t</w:t>
      </w:r>
      <w:r w:rsidR="001E32DE" w:rsidRPr="00F230A8">
        <w:t>y</w:t>
      </w:r>
      <w:r w:rsidRPr="00F230A8">
        <w:t xml:space="preserve"> zaměstnanců než v prvních devíti měsících</w:t>
      </w:r>
      <w:r w:rsidR="00B77EE7" w:rsidRPr="00F230A8">
        <w:t> </w:t>
      </w:r>
      <w:r w:rsidRPr="00F230A8">
        <w:t>2014.</w:t>
      </w:r>
      <w:r w:rsidR="00B77EE7" w:rsidRPr="00F230A8">
        <w:t xml:space="preserve"> Nejhorší situace byla v těžbě a dobývání (-3,6 %), </w:t>
      </w:r>
      <w:r w:rsidR="001E32DE" w:rsidRPr="00F230A8">
        <w:t xml:space="preserve">která </w:t>
      </w:r>
      <w:r w:rsidR="00285B67">
        <w:t>se potýká s</w:t>
      </w:r>
      <w:r w:rsidR="00B77EE7" w:rsidRPr="00F230A8">
        <w:t xml:space="preserve"> nízkými cenami uhlí.</w:t>
      </w:r>
    </w:p>
    <w:p w:rsidR="00D61B15" w:rsidRPr="00C869BA" w:rsidRDefault="00D61B15" w:rsidP="007935B8">
      <w:pPr>
        <w:rPr>
          <w:spacing w:val="-2"/>
          <w:sz w:val="14"/>
          <w:szCs w:val="14"/>
        </w:rPr>
      </w:pPr>
    </w:p>
    <w:p w:rsidR="007935B8" w:rsidRPr="00D93ACF" w:rsidRDefault="00E43C0F" w:rsidP="00D93ACF">
      <w:pPr>
        <w:jc w:val="left"/>
      </w:pPr>
      <w:r w:rsidRPr="00D93ACF">
        <w:t>Graf č.</w:t>
      </w:r>
      <w:r w:rsidR="00BF53EE" w:rsidRPr="00D93ACF">
        <w:t xml:space="preserve"> </w:t>
      </w:r>
      <w:r w:rsidRPr="00D93ACF">
        <w:t xml:space="preserve">1: </w:t>
      </w:r>
      <w:r w:rsidRPr="00D93ACF">
        <w:rPr>
          <w:b/>
        </w:rPr>
        <w:t>Počet zaměstnanců a průměrná mzda v 1. až 3. čtvrtletí 2015</w:t>
      </w:r>
      <w:r w:rsidRPr="00D93ACF">
        <w:t xml:space="preserve"> (meziročně v %</w:t>
      </w:r>
      <w:r w:rsidR="00B1581A">
        <w:t>, přepočtené počty</w:t>
      </w:r>
      <w:r w:rsidRPr="00D93ACF">
        <w:t>)</w:t>
      </w:r>
    </w:p>
    <w:p w:rsidR="007935B8" w:rsidRDefault="009D187A" w:rsidP="002E742B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5419643" cy="2258171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92" cy="2257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5B8" w:rsidRDefault="00E43C0F" w:rsidP="00E43C0F">
      <w:pPr>
        <w:jc w:val="right"/>
        <w:rPr>
          <w:sz w:val="16"/>
          <w:szCs w:val="16"/>
        </w:rPr>
      </w:pPr>
      <w:r w:rsidRPr="00C407AF">
        <w:rPr>
          <w:sz w:val="18"/>
          <w:szCs w:val="18"/>
        </w:rPr>
        <w:t>Zdroj: ČSÚ</w:t>
      </w:r>
    </w:p>
    <w:p w:rsidR="005B2E63" w:rsidRPr="00DE4BDC" w:rsidRDefault="00E443C4" w:rsidP="002E742B">
      <w:r w:rsidRPr="00DE4BDC">
        <w:lastRenderedPageBreak/>
        <w:t>N</w:t>
      </w:r>
      <w:r w:rsidR="00BC25AD" w:rsidRPr="00DE4BDC">
        <w:t>árůst průměrné mzdy</w:t>
      </w:r>
      <w:r w:rsidR="00DE4BDC">
        <w:t xml:space="preserve"> v nominálním vyjádření</w:t>
      </w:r>
      <w:r w:rsidRPr="00DE4BDC">
        <w:t xml:space="preserve"> </w:t>
      </w:r>
      <w:r w:rsidR="00D56CCC" w:rsidRPr="00DE4BDC">
        <w:t>byl plošný,</w:t>
      </w:r>
      <w:r w:rsidR="00BC25AD" w:rsidRPr="00DE4BDC">
        <w:t xml:space="preserve"> </w:t>
      </w:r>
      <w:r w:rsidR="00D56CCC" w:rsidRPr="00DE4BDC">
        <w:t>m</w:t>
      </w:r>
      <w:r w:rsidR="00BC25AD" w:rsidRPr="00DE4BDC">
        <w:t>enší</w:t>
      </w:r>
      <w:r w:rsidR="007658FE" w:rsidRPr="00DE4BDC">
        <w:t xml:space="preserve"> mzdy</w:t>
      </w:r>
      <w:r w:rsidR="00BC25AD" w:rsidRPr="00DE4BDC">
        <w:t xml:space="preserve"> </w:t>
      </w:r>
      <w:r w:rsidR="005B2E63" w:rsidRPr="00DE4BDC">
        <w:t>než před rokem</w:t>
      </w:r>
      <w:r w:rsidRPr="00DE4BDC">
        <w:t xml:space="preserve"> pobírali</w:t>
      </w:r>
      <w:r w:rsidR="00D56CCC" w:rsidRPr="00DE4BDC">
        <w:t xml:space="preserve"> </w:t>
      </w:r>
      <w:r w:rsidR="00DE4BDC">
        <w:t>pouze</w:t>
      </w:r>
      <w:r w:rsidRPr="00DE4BDC">
        <w:t xml:space="preserve"> </w:t>
      </w:r>
      <w:r w:rsidR="00D56CCC" w:rsidRPr="00DE4BDC">
        <w:t>pracovníci</w:t>
      </w:r>
      <w:r w:rsidRPr="00DE4BDC">
        <w:t xml:space="preserve"> v energetice</w:t>
      </w:r>
      <w:r w:rsidR="005B2E63" w:rsidRPr="00DE4BDC">
        <w:t xml:space="preserve"> (-1,2 %).</w:t>
      </w:r>
      <w:r w:rsidR="00BC25AD" w:rsidRPr="00DE4BDC">
        <w:t xml:space="preserve"> Je zajímavé, že k </w:t>
      </w:r>
      <w:r w:rsidRPr="00DE4BDC">
        <w:t>nejvyššímu</w:t>
      </w:r>
      <w:r w:rsidR="00BC25AD" w:rsidRPr="00DE4BDC">
        <w:t xml:space="preserve"> </w:t>
      </w:r>
      <w:r w:rsidR="007658FE" w:rsidRPr="00DE4BDC">
        <w:t>navýšení</w:t>
      </w:r>
      <w:r w:rsidR="005B2E63" w:rsidRPr="00DE4BDC">
        <w:t xml:space="preserve"> výdělků</w:t>
      </w:r>
      <w:r w:rsidR="00BC25AD" w:rsidRPr="00DE4BDC">
        <w:t xml:space="preserve"> došlo v ubytování, stravování a pohostinství (+6,2</w:t>
      </w:r>
      <w:r w:rsidRPr="00DE4BDC">
        <w:t xml:space="preserve"> %), </w:t>
      </w:r>
      <w:r w:rsidR="007658FE" w:rsidRPr="00DE4BDC">
        <w:t xml:space="preserve">v </w:t>
      </w:r>
      <w:r w:rsidRPr="00DE4BDC">
        <w:t>odvětví s nejnižší úrovní mezd.</w:t>
      </w:r>
      <w:r w:rsidR="00BC25AD" w:rsidRPr="00DE4BDC">
        <w:t xml:space="preserve"> </w:t>
      </w:r>
      <w:r w:rsidR="000C1FE5" w:rsidRPr="00DE4BDC">
        <w:t xml:space="preserve">Jeho příčinou byl </w:t>
      </w:r>
      <w:r w:rsidRPr="00DE4BDC">
        <w:t>z</w:t>
      </w:r>
      <w:r w:rsidR="007658FE" w:rsidRPr="00DE4BDC">
        <w:t> </w:t>
      </w:r>
      <w:r w:rsidRPr="00DE4BDC">
        <w:t>části</w:t>
      </w:r>
      <w:r w:rsidR="007658FE" w:rsidRPr="00DE4BDC">
        <w:t xml:space="preserve"> </w:t>
      </w:r>
      <w:r w:rsidRPr="00DE4BDC">
        <w:t>nárůst minimální mzdy, z části pak</w:t>
      </w:r>
      <w:r w:rsidR="00BC25AD" w:rsidRPr="00DE4BDC">
        <w:t xml:space="preserve"> </w:t>
      </w:r>
      <w:r w:rsidR="000C1FE5" w:rsidRPr="00DE4BDC">
        <w:t>odchod</w:t>
      </w:r>
      <w:r w:rsidR="008A1AAB" w:rsidRPr="00DE4BDC">
        <w:t> </w:t>
      </w:r>
      <w:r w:rsidR="00D30913" w:rsidRPr="00DE4BDC">
        <w:t xml:space="preserve">hůře placených </w:t>
      </w:r>
      <w:r w:rsidR="00BC25AD" w:rsidRPr="00DE4BDC">
        <w:t>zaměstnanců, kdy</w:t>
      </w:r>
      <w:r w:rsidR="005B2E63" w:rsidRPr="00DE4BDC">
        <w:t>ž tito pracovníci</w:t>
      </w:r>
      <w:r w:rsidR="007658FE" w:rsidRPr="00DE4BDC">
        <w:t xml:space="preserve"> </w:t>
      </w:r>
      <w:r w:rsidR="005B2E63" w:rsidRPr="00DE4BDC">
        <w:t>zkoušeli v příznivém období štěstí v jiných odvětvích ekonomiky a</w:t>
      </w:r>
      <w:r w:rsidR="00BC25AD" w:rsidRPr="00DE4BDC">
        <w:t xml:space="preserve"> </w:t>
      </w:r>
      <w:r w:rsidR="000D382E">
        <w:t>v podnicích</w:t>
      </w:r>
      <w:r w:rsidR="005B2E63" w:rsidRPr="00DE4BDC">
        <w:t xml:space="preserve"> tak</w:t>
      </w:r>
      <w:r w:rsidR="00DE4BDC">
        <w:t xml:space="preserve"> zůstávali</w:t>
      </w:r>
      <w:r w:rsidR="00BC25AD" w:rsidRPr="00DE4BDC">
        <w:t xml:space="preserve"> </w:t>
      </w:r>
      <w:proofErr w:type="spellStart"/>
      <w:r w:rsidR="00BC25AD" w:rsidRPr="00DE4BDC">
        <w:t>výšepříjmoví</w:t>
      </w:r>
      <w:proofErr w:type="spellEnd"/>
      <w:r w:rsidR="00BC25AD" w:rsidRPr="00DE4BDC">
        <w:t>.</w:t>
      </w:r>
      <w:r w:rsidRPr="00DE4BDC">
        <w:t xml:space="preserve"> Vzhledem k odchodu </w:t>
      </w:r>
      <w:proofErr w:type="spellStart"/>
      <w:r w:rsidRPr="00DE4BDC">
        <w:t>nízkopříjmových</w:t>
      </w:r>
      <w:proofErr w:type="spellEnd"/>
      <w:r w:rsidRPr="00DE4BDC">
        <w:t xml:space="preserve"> zaměstnanců vzrostla průměrná</w:t>
      </w:r>
      <w:r w:rsidR="007658FE" w:rsidRPr="00DE4BDC">
        <w:t xml:space="preserve"> </w:t>
      </w:r>
      <w:r w:rsidRPr="00DE4BDC">
        <w:t>mzda  výrazně i ve stavebnictví</w:t>
      </w:r>
      <w:r w:rsidR="00C85869" w:rsidRPr="00DE4BDC">
        <w:t xml:space="preserve"> </w:t>
      </w:r>
      <w:r w:rsidR="00BC25AD" w:rsidRPr="00DE4BDC">
        <w:t>(</w:t>
      </w:r>
      <w:r w:rsidR="00C85869" w:rsidRPr="00DE4BDC">
        <w:t>+4,5 %)</w:t>
      </w:r>
      <w:r w:rsidRPr="00DE4BDC">
        <w:t>, je však otázka, zda i v tomto odvětví převažoval</w:t>
      </w:r>
      <w:r w:rsidR="007658FE" w:rsidRPr="00DE4BDC">
        <w:t xml:space="preserve"> </w:t>
      </w:r>
      <w:r w:rsidRPr="00DE4BDC">
        <w:t>prvek</w:t>
      </w:r>
      <w:r w:rsidR="00DE4BDC">
        <w:t> </w:t>
      </w:r>
      <w:r w:rsidRPr="00DE4BDC">
        <w:t>dobrovolnosti anebo</w:t>
      </w:r>
      <w:r w:rsidR="007658FE" w:rsidRPr="00DE4BDC">
        <w:t xml:space="preserve"> šlo spíše</w:t>
      </w:r>
      <w:r w:rsidR="000D382E">
        <w:t xml:space="preserve"> o</w:t>
      </w:r>
      <w:r w:rsidRPr="00DE4BDC">
        <w:t xml:space="preserve"> setrva</w:t>
      </w:r>
      <w:r w:rsidR="00DE4BDC">
        <w:t xml:space="preserve">čnost „recese“ tohoto odvětví z předchozích </w:t>
      </w:r>
      <w:r w:rsidRPr="00DE4BDC">
        <w:t>let.</w:t>
      </w:r>
    </w:p>
    <w:p w:rsidR="00E443C4" w:rsidRPr="003813CB" w:rsidRDefault="00E443C4" w:rsidP="002E742B">
      <w:pPr>
        <w:rPr>
          <w:sz w:val="18"/>
          <w:szCs w:val="18"/>
        </w:rPr>
      </w:pPr>
    </w:p>
    <w:p w:rsidR="00BC25AD" w:rsidRPr="00594B62" w:rsidRDefault="005B2E63" w:rsidP="00BC25AD">
      <w:r w:rsidRPr="00594B62">
        <w:t>Ve dvou největších odvětvích ekonomiky podle počtu zaměstna</w:t>
      </w:r>
      <w:r w:rsidR="001F0F7E" w:rsidRPr="00594B62">
        <w:t>nců</w:t>
      </w:r>
      <w:r w:rsidRPr="00594B62">
        <w:t xml:space="preserve"> se průměrná mzda zvýšila více než v celé ekonomice. Zatímco v</w:t>
      </w:r>
      <w:r w:rsidR="001F0F7E" w:rsidRPr="00594B62">
        <w:t>e zpracovatelském průmyslu</w:t>
      </w:r>
      <w:r w:rsidR="000D382E">
        <w:t xml:space="preserve"> stoupla o 3,3</w:t>
      </w:r>
      <w:r w:rsidRPr="00594B62">
        <w:t xml:space="preserve"> %, </w:t>
      </w:r>
      <w:r w:rsidR="001F0F7E" w:rsidRPr="00594B62">
        <w:t>ve velkoobchodu a</w:t>
      </w:r>
      <w:r w:rsidR="0036127D" w:rsidRPr="00594B62">
        <w:t> </w:t>
      </w:r>
      <w:r w:rsidR="001F0F7E" w:rsidRPr="00594B62">
        <w:t>maloobchodu</w:t>
      </w:r>
      <w:r w:rsidR="000D382E">
        <w:t xml:space="preserve"> o 3,6</w:t>
      </w:r>
      <w:r w:rsidRPr="00594B62">
        <w:t xml:space="preserve"> %. </w:t>
      </w:r>
      <w:r w:rsidR="008A1AAB" w:rsidRPr="00594B62">
        <w:t>Příznivý vývoj byl patrný i v odvětví</w:t>
      </w:r>
      <w:r w:rsidR="00D56CCC" w:rsidRPr="00594B62">
        <w:t>ch s převahou veřejného sektoru – d</w:t>
      </w:r>
      <w:r w:rsidR="008A1AAB" w:rsidRPr="00594B62">
        <w:t>íky</w:t>
      </w:r>
      <w:r w:rsidR="00D30913" w:rsidRPr="00594B62">
        <w:t> </w:t>
      </w:r>
      <w:r w:rsidR="008A1AAB" w:rsidRPr="00594B62">
        <w:t>tarifní úpravě platné od l</w:t>
      </w:r>
      <w:r w:rsidR="0036127D" w:rsidRPr="00594B62">
        <w:t>istopadu 2014 stouply platy vý</w:t>
      </w:r>
      <w:r w:rsidR="008A1AAB" w:rsidRPr="00594B62">
        <w:t>z</w:t>
      </w:r>
      <w:r w:rsidR="0036127D" w:rsidRPr="00594B62">
        <w:t>namně</w:t>
      </w:r>
      <w:r w:rsidR="008A1AAB" w:rsidRPr="00594B62">
        <w:t xml:space="preserve"> ve zdravotní a sociální péči (+5</w:t>
      </w:r>
      <w:r w:rsidR="006914A2" w:rsidRPr="00594B62">
        <w:t> </w:t>
      </w:r>
      <w:r w:rsidR="008A1AAB" w:rsidRPr="00594B62">
        <w:t>%)</w:t>
      </w:r>
      <w:r w:rsidR="006914A2" w:rsidRPr="00594B62">
        <w:t> </w:t>
      </w:r>
      <w:r w:rsidR="008A1AAB" w:rsidRPr="00594B62">
        <w:t>a ve veřejné správě a obraně (+4,3 %), ve</w:t>
      </w:r>
      <w:r w:rsidR="00C85869" w:rsidRPr="00594B62">
        <w:t> </w:t>
      </w:r>
      <w:r w:rsidR="008A1AAB" w:rsidRPr="00594B62">
        <w:t>vzdělávání si však zaměstnanci polepšili pouze</w:t>
      </w:r>
      <w:r w:rsidR="006914A2" w:rsidRPr="00594B62">
        <w:t> </w:t>
      </w:r>
      <w:r w:rsidR="008A1AAB" w:rsidRPr="00594B62">
        <w:t xml:space="preserve">podprůměrně (+2,1 %). Poměrně </w:t>
      </w:r>
      <w:r w:rsidR="00711B68" w:rsidRPr="00594B62">
        <w:t>překvapivá byla situace</w:t>
      </w:r>
      <w:r w:rsidR="008A1AAB" w:rsidRPr="00594B62">
        <w:t xml:space="preserve"> ve dvou nejlépe placených odvětvích</w:t>
      </w:r>
      <w:r w:rsidR="00D30913" w:rsidRPr="00594B62">
        <w:t xml:space="preserve"> ekonomiky</w:t>
      </w:r>
      <w:r w:rsidR="00594B62">
        <w:t xml:space="preserve"> ČR</w:t>
      </w:r>
      <w:r w:rsidR="00D56CCC" w:rsidRPr="00594B62">
        <w:t>, tj.</w:t>
      </w:r>
      <w:r w:rsidR="008A1AAB" w:rsidRPr="00594B62">
        <w:t xml:space="preserve"> v peněžnictví a pojišťovnictví a v informačních a</w:t>
      </w:r>
      <w:r w:rsidR="00C85869" w:rsidRPr="00594B62">
        <w:t> </w:t>
      </w:r>
      <w:r w:rsidR="008A1AAB" w:rsidRPr="00594B62">
        <w:t>komunikačních činnostech. V obou narostla průměrná mzda méně než v</w:t>
      </w:r>
      <w:r w:rsidR="005E5075" w:rsidRPr="00594B62">
        <w:t> celém hospodářství</w:t>
      </w:r>
      <w:r w:rsidR="008A1AAB" w:rsidRPr="00594B62">
        <w:t xml:space="preserve"> </w:t>
      </w:r>
      <w:r w:rsidR="000D382E">
        <w:rPr>
          <w:spacing w:val="-2"/>
        </w:rPr>
        <w:t>(+0,6 %, +1</w:t>
      </w:r>
      <w:r w:rsidR="008A1AAB" w:rsidRPr="00594B62">
        <w:rPr>
          <w:spacing w:val="-2"/>
        </w:rPr>
        <w:t>,9</w:t>
      </w:r>
      <w:r w:rsidR="00C85869" w:rsidRPr="00594B62">
        <w:rPr>
          <w:spacing w:val="-2"/>
        </w:rPr>
        <w:t> </w:t>
      </w:r>
      <w:r w:rsidR="00232C7F" w:rsidRPr="00594B62">
        <w:rPr>
          <w:spacing w:val="-2"/>
        </w:rPr>
        <w:t>%) a</w:t>
      </w:r>
      <w:r w:rsidR="006914A2" w:rsidRPr="00594B62">
        <w:rPr>
          <w:spacing w:val="-2"/>
        </w:rPr>
        <w:t> </w:t>
      </w:r>
      <w:r w:rsidR="008A1AAB" w:rsidRPr="00594B62">
        <w:rPr>
          <w:spacing w:val="-2"/>
        </w:rPr>
        <w:t>stejně tak</w:t>
      </w:r>
      <w:r w:rsidR="00D30913" w:rsidRPr="00594B62">
        <w:rPr>
          <w:spacing w:val="-2"/>
        </w:rPr>
        <w:t> </w:t>
      </w:r>
      <w:r w:rsidR="008A1AAB" w:rsidRPr="00594B62">
        <w:rPr>
          <w:spacing w:val="-2"/>
        </w:rPr>
        <w:t xml:space="preserve">v růstu počtu zaměstnanců </w:t>
      </w:r>
      <w:r w:rsidR="00C85869" w:rsidRPr="00594B62">
        <w:rPr>
          <w:spacing w:val="-2"/>
        </w:rPr>
        <w:t>tato odvětví</w:t>
      </w:r>
      <w:r w:rsidR="005E5075" w:rsidRPr="00594B62">
        <w:rPr>
          <w:spacing w:val="-2"/>
        </w:rPr>
        <w:t xml:space="preserve"> </w:t>
      </w:r>
      <w:r w:rsidR="00594B62" w:rsidRPr="00594B62">
        <w:rPr>
          <w:spacing w:val="-2"/>
        </w:rPr>
        <w:t>zaostala</w:t>
      </w:r>
      <w:r w:rsidR="000D382E">
        <w:rPr>
          <w:spacing w:val="-2"/>
        </w:rPr>
        <w:t xml:space="preserve"> (+0,3</w:t>
      </w:r>
      <w:r w:rsidR="008A1AAB" w:rsidRPr="00594B62">
        <w:rPr>
          <w:spacing w:val="-2"/>
        </w:rPr>
        <w:t xml:space="preserve"> %, +1,2 %).</w:t>
      </w:r>
    </w:p>
    <w:p w:rsidR="008A1AAB" w:rsidRPr="003813CB" w:rsidRDefault="008A1AAB" w:rsidP="00BC25AD">
      <w:pPr>
        <w:rPr>
          <w:sz w:val="18"/>
          <w:szCs w:val="18"/>
        </w:rPr>
      </w:pPr>
    </w:p>
    <w:p w:rsidR="00BC25AD" w:rsidRPr="00D56CCC" w:rsidRDefault="00C85869" w:rsidP="00BC25AD">
      <w:r w:rsidRPr="00D56CCC">
        <w:t>Rychlejší růst průměrné mzdy oproti počtu zaměstnanců, navíc v </w:t>
      </w:r>
      <w:proofErr w:type="spellStart"/>
      <w:r w:rsidRPr="00D56CCC">
        <w:t>nízkoinflačním</w:t>
      </w:r>
      <w:proofErr w:type="spellEnd"/>
      <w:r w:rsidRPr="00D56CCC">
        <w:t xml:space="preserve"> prostředí, </w:t>
      </w:r>
      <w:r w:rsidR="00D56CCC" w:rsidRPr="00D56CCC">
        <w:t>je možné přičíst</w:t>
      </w:r>
      <w:r w:rsidR="004A6B36">
        <w:t xml:space="preserve"> i</w:t>
      </w:r>
      <w:r w:rsidR="00D56CCC" w:rsidRPr="00D56CCC">
        <w:t xml:space="preserve"> nedostatku</w:t>
      </w:r>
      <w:r w:rsidRPr="00D56CCC">
        <w:t xml:space="preserve"> kvalifikovaných pracovníků. </w:t>
      </w:r>
      <w:r w:rsidR="00D56CCC" w:rsidRPr="00D56CCC">
        <w:t>Na tento problém</w:t>
      </w:r>
      <w:r w:rsidRPr="00D56CCC">
        <w:t xml:space="preserve"> </w:t>
      </w:r>
      <w:r w:rsidR="00D56CCC" w:rsidRPr="00D56CCC">
        <w:t>poukazují údaje</w:t>
      </w:r>
      <w:r w:rsidRPr="00D56CCC">
        <w:t xml:space="preserve"> M</w:t>
      </w:r>
      <w:r w:rsidR="006914A2" w:rsidRPr="00D56CCC">
        <w:t>inisterstva práce a sociálních věcí (MPSV)</w:t>
      </w:r>
      <w:r w:rsidR="00F22BA7" w:rsidRPr="00D56CCC">
        <w:t xml:space="preserve">.  </w:t>
      </w:r>
      <w:r w:rsidR="00D56CCC" w:rsidRPr="00D56CCC">
        <w:t>Nejtěžší bylo pro firmy najít</w:t>
      </w:r>
      <w:r w:rsidR="00F22BA7" w:rsidRPr="00D56CCC">
        <w:t xml:space="preserve"> </w:t>
      </w:r>
      <w:r w:rsidR="00D56CCC" w:rsidRPr="00D56CCC">
        <w:t>pracovníky</w:t>
      </w:r>
      <w:r w:rsidR="00F22BA7" w:rsidRPr="00D56CCC">
        <w:t xml:space="preserve"> pro obsluhu strojů a zařízení či</w:t>
      </w:r>
      <w:r w:rsidR="00D56CCC" w:rsidRPr="00D56CCC">
        <w:t xml:space="preserve"> montéry</w:t>
      </w:r>
      <w:r w:rsidR="00933D92" w:rsidRPr="00D56CCC">
        <w:t xml:space="preserve"> a také</w:t>
      </w:r>
      <w:r w:rsidR="00D56CCC" w:rsidRPr="00D56CCC">
        <w:t xml:space="preserve"> řemeslníky a opraváře</w:t>
      </w:r>
      <w:r w:rsidR="00F22BA7" w:rsidRPr="00D56CCC">
        <w:t>.</w:t>
      </w:r>
      <w:r w:rsidRPr="00D56CCC">
        <w:t xml:space="preserve"> Firmy se</w:t>
      </w:r>
      <w:r w:rsidR="00F22BA7" w:rsidRPr="00D56CCC">
        <w:t xml:space="preserve"> </w:t>
      </w:r>
      <w:r w:rsidRPr="00D56CCC">
        <w:t>o</w:t>
      </w:r>
      <w:r w:rsidR="00933D92" w:rsidRPr="00D56CCC">
        <w:t xml:space="preserve"> tyto</w:t>
      </w:r>
      <w:r w:rsidR="005136EA" w:rsidRPr="00D56CCC">
        <w:t xml:space="preserve"> z</w:t>
      </w:r>
      <w:r w:rsidR="00F22BA7" w:rsidRPr="00D56CCC">
        <w:t>aměstnance</w:t>
      </w:r>
      <w:r w:rsidRPr="00D56CCC">
        <w:t xml:space="preserve"> začaly přetahovat, </w:t>
      </w:r>
      <w:r w:rsidR="00F22BA7" w:rsidRPr="00D56CCC">
        <w:t>mimo jiné</w:t>
      </w:r>
      <w:r w:rsidR="005136EA" w:rsidRPr="00D56CCC">
        <w:t xml:space="preserve"> právě</w:t>
      </w:r>
      <w:r w:rsidR="00F22BA7" w:rsidRPr="00D56CCC">
        <w:t xml:space="preserve"> prostřednictvím vyššího finančního ohodnocení.</w:t>
      </w:r>
    </w:p>
    <w:p w:rsidR="00C85869" w:rsidRPr="00023BC4" w:rsidRDefault="00C85869" w:rsidP="00BC25AD">
      <w:pPr>
        <w:rPr>
          <w:sz w:val="18"/>
          <w:szCs w:val="18"/>
        </w:rPr>
      </w:pPr>
    </w:p>
    <w:p w:rsidR="00C85869" w:rsidRPr="001F0F7E" w:rsidRDefault="00C85869" w:rsidP="00BC25AD">
      <w:r w:rsidRPr="001F0F7E">
        <w:t xml:space="preserve">Příznivým aspektem vývoje v prvních třech čtvrtletích 2015 bylo, že k růstu mezd docházelo </w:t>
      </w:r>
      <w:r w:rsidR="000900CE" w:rsidRPr="001F0F7E">
        <w:t>i</w:t>
      </w:r>
      <w:r w:rsidR="001F0F7E">
        <w:t> </w:t>
      </w:r>
      <w:r w:rsidRPr="001F0F7E">
        <w:t>v</w:t>
      </w:r>
      <w:r w:rsidR="001F0F7E">
        <w:t> </w:t>
      </w:r>
      <w:r w:rsidRPr="001F0F7E">
        <w:t xml:space="preserve">případě </w:t>
      </w:r>
      <w:proofErr w:type="spellStart"/>
      <w:r w:rsidRPr="001F0F7E">
        <w:t>nízkopříjmových</w:t>
      </w:r>
      <w:proofErr w:type="spellEnd"/>
      <w:r w:rsidRPr="001F0F7E">
        <w:t xml:space="preserve"> pracovníků.</w:t>
      </w:r>
      <w:r w:rsidR="001F0F7E" w:rsidRPr="001F0F7E">
        <w:t xml:space="preserve"> P</w:t>
      </w:r>
      <w:r w:rsidRPr="001F0F7E">
        <w:t>růměrná mzda rostla po jednotlivých čtvrtletích</w:t>
      </w:r>
      <w:r w:rsidR="000900CE" w:rsidRPr="001F0F7E">
        <w:t xml:space="preserve"> </w:t>
      </w:r>
      <w:r w:rsidR="000900CE" w:rsidRPr="001F0F7E">
        <w:rPr>
          <w:spacing w:val="-2"/>
        </w:rPr>
        <w:t>meziročně</w:t>
      </w:r>
      <w:r w:rsidRPr="001F0F7E">
        <w:rPr>
          <w:spacing w:val="-2"/>
        </w:rPr>
        <w:t xml:space="preserve"> o</w:t>
      </w:r>
      <w:r w:rsidR="000900CE" w:rsidRPr="001F0F7E">
        <w:rPr>
          <w:spacing w:val="-2"/>
        </w:rPr>
        <w:t xml:space="preserve"> 2,3 %, 3,5 % a</w:t>
      </w:r>
      <w:r w:rsidRPr="001F0F7E">
        <w:rPr>
          <w:spacing w:val="-2"/>
        </w:rPr>
        <w:t xml:space="preserve"> </w:t>
      </w:r>
      <w:r w:rsidR="000900CE" w:rsidRPr="001F0F7E">
        <w:rPr>
          <w:spacing w:val="-2"/>
        </w:rPr>
        <w:t>3,8 %</w:t>
      </w:r>
      <w:r w:rsidR="001F0F7E" w:rsidRPr="001F0F7E">
        <w:rPr>
          <w:spacing w:val="-2"/>
        </w:rPr>
        <w:t xml:space="preserve"> a medián mezd ji fakticky kopíroval (+2,2</w:t>
      </w:r>
      <w:r w:rsidR="000900CE" w:rsidRPr="001F0F7E">
        <w:rPr>
          <w:spacing w:val="-2"/>
        </w:rPr>
        <w:t> %</w:t>
      </w:r>
      <w:r w:rsidR="001F0F7E" w:rsidRPr="001F0F7E">
        <w:rPr>
          <w:spacing w:val="-2"/>
        </w:rPr>
        <w:t>, +3,4 %, +</w:t>
      </w:r>
      <w:r w:rsidR="000900CE" w:rsidRPr="001F0F7E">
        <w:rPr>
          <w:spacing w:val="-2"/>
        </w:rPr>
        <w:t>3,9</w:t>
      </w:r>
      <w:r w:rsidR="000900CE" w:rsidRPr="001F0F7E">
        <w:t xml:space="preserve"> %</w:t>
      </w:r>
      <w:r w:rsidR="001F0F7E" w:rsidRPr="001F0F7E">
        <w:t>)</w:t>
      </w:r>
      <w:r w:rsidR="000900CE" w:rsidRPr="001F0F7E">
        <w:t>.</w:t>
      </w:r>
    </w:p>
    <w:p w:rsidR="00BC25AD" w:rsidRPr="003813CB" w:rsidRDefault="00BC25AD" w:rsidP="00BC25AD">
      <w:pPr>
        <w:rPr>
          <w:sz w:val="18"/>
          <w:szCs w:val="18"/>
        </w:rPr>
      </w:pPr>
    </w:p>
    <w:tbl>
      <w:tblPr>
        <w:tblW w:w="5019" w:type="pct"/>
        <w:tblInd w:w="-34" w:type="dxa"/>
        <w:tblLook w:val="00A0"/>
      </w:tblPr>
      <w:tblGrid>
        <w:gridCol w:w="1134"/>
        <w:gridCol w:w="3243"/>
        <w:gridCol w:w="585"/>
        <w:gridCol w:w="3792"/>
      </w:tblGrid>
      <w:tr w:rsidR="00BC25AD" w:rsidRPr="007D44C3" w:rsidTr="00B1581A">
        <w:tc>
          <w:tcPr>
            <w:tcW w:w="648" w:type="pct"/>
          </w:tcPr>
          <w:p w:rsidR="00BC25AD" w:rsidRPr="007D44C3" w:rsidRDefault="00D93ACF" w:rsidP="00382237">
            <w:pPr>
              <w:pStyle w:val="Textpoznpodarou"/>
            </w:pPr>
            <w:r>
              <w:t>Graf č. 2</w:t>
            </w:r>
            <w:r w:rsidR="00BC25AD">
              <w:t>:</w:t>
            </w:r>
          </w:p>
        </w:tc>
        <w:tc>
          <w:tcPr>
            <w:tcW w:w="1852" w:type="pct"/>
          </w:tcPr>
          <w:p w:rsidR="00BC25AD" w:rsidRPr="00571501" w:rsidRDefault="00571501" w:rsidP="006914A2">
            <w:pPr>
              <w:pStyle w:val="Textpoznpodarou"/>
              <w:jc w:val="left"/>
              <w:rPr>
                <w:spacing w:val="-6"/>
              </w:rPr>
            </w:pPr>
            <w:r>
              <w:rPr>
                <w:b/>
                <w:spacing w:val="-6"/>
              </w:rPr>
              <w:t>Nerovnováha na trhu práce na</w:t>
            </w:r>
            <w:r w:rsidR="006914A2">
              <w:rPr>
                <w:b/>
                <w:spacing w:val="-6"/>
              </w:rPr>
              <w:t> </w:t>
            </w:r>
            <w:r>
              <w:rPr>
                <w:b/>
                <w:spacing w:val="-6"/>
              </w:rPr>
              <w:t>konci září 2015</w:t>
            </w:r>
          </w:p>
        </w:tc>
        <w:tc>
          <w:tcPr>
            <w:tcW w:w="334" w:type="pct"/>
          </w:tcPr>
          <w:p w:rsidR="00BC25AD" w:rsidRPr="005F3B47" w:rsidRDefault="00D93ACF" w:rsidP="00382237">
            <w:pPr>
              <w:pStyle w:val="Textpoznpodarou"/>
              <w:rPr>
                <w:spacing w:val="-6"/>
              </w:rPr>
            </w:pPr>
            <w:r>
              <w:rPr>
                <w:spacing w:val="-6"/>
              </w:rPr>
              <w:t>Graf č. 3</w:t>
            </w:r>
            <w:r w:rsidR="00BC25AD" w:rsidRPr="005F3B47">
              <w:rPr>
                <w:spacing w:val="-6"/>
              </w:rPr>
              <w:t>:</w:t>
            </w:r>
          </w:p>
        </w:tc>
        <w:tc>
          <w:tcPr>
            <w:tcW w:w="2166" w:type="pct"/>
          </w:tcPr>
          <w:p w:rsidR="00BC25AD" w:rsidRPr="00D93ACF" w:rsidRDefault="00D93ACF" w:rsidP="00B1581A">
            <w:pPr>
              <w:pStyle w:val="Textpoznpodarou"/>
              <w:jc w:val="left"/>
            </w:pPr>
            <w:r w:rsidRPr="00D93ACF">
              <w:rPr>
                <w:b/>
              </w:rPr>
              <w:t>Průměrná mzda a medián</w:t>
            </w:r>
            <w:r w:rsidR="006914A2">
              <w:rPr>
                <w:b/>
              </w:rPr>
              <w:t xml:space="preserve"> mezd</w:t>
            </w:r>
            <w:r w:rsidR="00BC25AD" w:rsidRPr="00D93ACF">
              <w:t xml:space="preserve"> (</w:t>
            </w:r>
            <w:r w:rsidR="008900D9">
              <w:t>meziročně</w:t>
            </w:r>
            <w:r w:rsidRPr="00D93ACF">
              <w:t xml:space="preserve"> v %</w:t>
            </w:r>
            <w:r w:rsidR="00B1581A">
              <w:t>, přepočtené počty</w:t>
            </w:r>
            <w:r>
              <w:t>)</w:t>
            </w:r>
          </w:p>
        </w:tc>
      </w:tr>
      <w:tr w:rsidR="00BC25AD" w:rsidRPr="007D44C3" w:rsidTr="00382237">
        <w:tc>
          <w:tcPr>
            <w:tcW w:w="2500" w:type="pct"/>
            <w:gridSpan w:val="2"/>
          </w:tcPr>
          <w:p w:rsidR="00BC25AD" w:rsidRPr="007D44C3" w:rsidRDefault="009D187A" w:rsidP="00382237">
            <w:pPr>
              <w:pStyle w:val="Textpoznpodarou"/>
            </w:pPr>
            <w:r w:rsidRPr="009D187A">
              <w:rPr>
                <w:noProof/>
                <w:lang w:eastAsia="cs-CZ"/>
              </w:rPr>
              <w:drawing>
                <wp:inline distT="0" distB="0" distL="0" distR="0">
                  <wp:extent cx="2621280" cy="2247900"/>
                  <wp:effectExtent l="19050" t="0" r="7620" b="0"/>
                  <wp:docPr id="1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</w:tcPr>
          <w:p w:rsidR="00BC25AD" w:rsidRPr="007D44C3" w:rsidRDefault="009D187A" w:rsidP="00382237">
            <w:pPr>
              <w:pStyle w:val="Textpoznpodarou"/>
            </w:pPr>
            <w:r w:rsidRPr="009D187A">
              <w:rPr>
                <w:noProof/>
                <w:lang w:eastAsia="cs-CZ"/>
              </w:rPr>
              <w:drawing>
                <wp:inline distT="0" distB="0" distL="0" distR="0">
                  <wp:extent cx="2621280" cy="2247900"/>
                  <wp:effectExtent l="19050" t="0" r="7620" b="0"/>
                  <wp:docPr id="1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5AD" w:rsidRPr="007D44C3" w:rsidTr="00382237">
        <w:tc>
          <w:tcPr>
            <w:tcW w:w="5000" w:type="pct"/>
            <w:gridSpan w:val="4"/>
          </w:tcPr>
          <w:p w:rsidR="00BC25AD" w:rsidRPr="00C407AF" w:rsidRDefault="00BC25AD" w:rsidP="00382237">
            <w:pPr>
              <w:pStyle w:val="Textpoznpodarou"/>
              <w:jc w:val="right"/>
              <w:rPr>
                <w:sz w:val="18"/>
                <w:szCs w:val="18"/>
              </w:rPr>
            </w:pPr>
            <w:r w:rsidRPr="00C407AF">
              <w:rPr>
                <w:sz w:val="18"/>
                <w:szCs w:val="18"/>
              </w:rPr>
              <w:t xml:space="preserve">Zdroj: </w:t>
            </w:r>
            <w:r w:rsidR="001F0F7E">
              <w:rPr>
                <w:sz w:val="18"/>
                <w:szCs w:val="18"/>
              </w:rPr>
              <w:t xml:space="preserve">MPSV, </w:t>
            </w:r>
            <w:r w:rsidRPr="00C407AF">
              <w:rPr>
                <w:sz w:val="18"/>
                <w:szCs w:val="18"/>
              </w:rPr>
              <w:t>ČSÚ</w:t>
            </w:r>
            <w:r w:rsidR="001F0F7E">
              <w:rPr>
                <w:sz w:val="18"/>
                <w:szCs w:val="18"/>
              </w:rPr>
              <w:t>, vlastní výpočty</w:t>
            </w:r>
          </w:p>
        </w:tc>
      </w:tr>
    </w:tbl>
    <w:p w:rsidR="00C721C0" w:rsidRPr="00C869BA" w:rsidRDefault="003A624C" w:rsidP="00C869BA">
      <w:pPr>
        <w:jc w:val="left"/>
        <w:rPr>
          <w:b/>
          <w:spacing w:val="-4"/>
        </w:rPr>
      </w:pPr>
      <w:r w:rsidRPr="00C869BA">
        <w:rPr>
          <w:b/>
          <w:spacing w:val="-4"/>
        </w:rPr>
        <w:lastRenderedPageBreak/>
        <w:t xml:space="preserve">Mzdy </w:t>
      </w:r>
      <w:r w:rsidR="00AE07CB" w:rsidRPr="00C869BA">
        <w:rPr>
          <w:b/>
          <w:spacing w:val="-4"/>
        </w:rPr>
        <w:t>a</w:t>
      </w:r>
      <w:r w:rsidRPr="00C869BA">
        <w:rPr>
          <w:b/>
          <w:spacing w:val="-4"/>
        </w:rPr>
        <w:t xml:space="preserve"> platy domácnostem činily více, než kolik bylo v</w:t>
      </w:r>
      <w:r w:rsidR="0043210E" w:rsidRPr="00C869BA">
        <w:rPr>
          <w:b/>
          <w:spacing w:val="-4"/>
        </w:rPr>
        <w:t> </w:t>
      </w:r>
      <w:r w:rsidRPr="00C869BA">
        <w:rPr>
          <w:b/>
          <w:spacing w:val="-4"/>
        </w:rPr>
        <w:t>podobě</w:t>
      </w:r>
      <w:r w:rsidR="0043210E" w:rsidRPr="00C869BA">
        <w:rPr>
          <w:b/>
          <w:spacing w:val="-4"/>
        </w:rPr>
        <w:t xml:space="preserve"> mezd a platů</w:t>
      </w:r>
      <w:r w:rsidRPr="00C869BA">
        <w:rPr>
          <w:b/>
          <w:spacing w:val="-4"/>
        </w:rPr>
        <w:t xml:space="preserve"> v </w:t>
      </w:r>
      <w:r w:rsidR="0043210E" w:rsidRPr="00C869BA">
        <w:rPr>
          <w:b/>
          <w:spacing w:val="-4"/>
        </w:rPr>
        <w:t>ČR</w:t>
      </w:r>
      <w:r w:rsidRPr="00C869BA">
        <w:rPr>
          <w:b/>
          <w:spacing w:val="-4"/>
        </w:rPr>
        <w:t xml:space="preserve"> vyplaceno</w:t>
      </w:r>
    </w:p>
    <w:p w:rsidR="00C721C0" w:rsidRPr="00DE4BDC" w:rsidRDefault="00CD2EF4" w:rsidP="00C721C0">
      <w:r w:rsidRPr="00DE4BDC">
        <w:t>M</w:t>
      </w:r>
      <w:r w:rsidR="00833AD1" w:rsidRPr="00DE4BDC">
        <w:t>zdy a platy</w:t>
      </w:r>
      <w:r w:rsidR="00C721C0" w:rsidRPr="00DE4BDC">
        <w:t>, které v prvních třech čtvrtletích 2015 vyplatili</w:t>
      </w:r>
      <w:r w:rsidR="004A6B36" w:rsidRPr="00DE4BDC">
        <w:t xml:space="preserve"> tuzemští</w:t>
      </w:r>
      <w:r w:rsidR="00C721C0" w:rsidRPr="00DE4BDC">
        <w:t xml:space="preserve"> zaměstnavatelé</w:t>
      </w:r>
      <w:r w:rsidR="00833AD1" w:rsidRPr="00DE4BDC">
        <w:t xml:space="preserve"> svým zaměstnancům</w:t>
      </w:r>
      <w:r w:rsidR="00C721C0" w:rsidRPr="00DE4BDC">
        <w:t>,</w:t>
      </w:r>
      <w:r w:rsidRPr="00DE4BDC">
        <w:t xml:space="preserve"> dosáhly podle údajů národních účtů</w:t>
      </w:r>
      <w:r w:rsidR="00C721C0" w:rsidRPr="00DE4BDC">
        <w:t xml:space="preserve"> 988,8 mld. korun</w:t>
      </w:r>
      <w:r w:rsidR="00ED358B" w:rsidRPr="00DE4BDC">
        <w:t xml:space="preserve"> nominálně</w:t>
      </w:r>
      <w:r w:rsidR="00C721C0" w:rsidRPr="00DE4BDC">
        <w:t xml:space="preserve">. V meziročním srovnání jejich objem narostl o 37 mld., relativně o 3,9 %. </w:t>
      </w:r>
      <w:r w:rsidR="00706FD1" w:rsidRPr="00DE4BDC">
        <w:t>I když</w:t>
      </w:r>
      <w:r w:rsidR="00C721C0" w:rsidRPr="00DE4BDC">
        <w:t xml:space="preserve"> se jednalo o nejsilnější růst od roku 2008 (+8,6 %), byl nižší, než by plynulo z prostého </w:t>
      </w:r>
      <w:r w:rsidR="0043210E" w:rsidRPr="00DE4BDC">
        <w:t>součinu</w:t>
      </w:r>
      <w:r w:rsidR="00C721C0" w:rsidRPr="00DE4BDC">
        <w:t xml:space="preserve"> přírůstku počtu zaměstnanců a</w:t>
      </w:r>
      <w:r w:rsidR="00115D3B" w:rsidRPr="00DE4BDC">
        <w:t> </w:t>
      </w:r>
      <w:r w:rsidR="00C721C0" w:rsidRPr="00DE4BDC">
        <w:t xml:space="preserve">průměrné mzdy. Jedním z vysvětlení může být, že </w:t>
      </w:r>
      <w:r w:rsidR="003A28AB" w:rsidRPr="00DE4BDC">
        <w:t>růst ekonomiky byl spojen také </w:t>
      </w:r>
      <w:r w:rsidR="009F0E18" w:rsidRPr="00DE4BDC">
        <w:t xml:space="preserve">s větší ochotou firem platit své zaměstnance oficiální cestou, nikoliv „bokem“. </w:t>
      </w:r>
      <w:r w:rsidR="00833AD1" w:rsidRPr="00DE4BDC">
        <w:t>Zatímco totiž podniková statistika vychází z vykazovaných údajů firem a tudíž případný nárůst objemu peněz placených oficiálně by měl</w:t>
      </w:r>
      <w:r w:rsidR="00265D0B" w:rsidRPr="00DE4BDC">
        <w:t xml:space="preserve"> pozitivní</w:t>
      </w:r>
      <w:r w:rsidR="00285B67">
        <w:t xml:space="preserve"> dopad na objem</w:t>
      </w:r>
      <w:r w:rsidR="00833AD1" w:rsidRPr="00DE4BDC">
        <w:t xml:space="preserve"> mezd a platů, národní účty domodelovávají i</w:t>
      </w:r>
      <w:r w:rsidRPr="00DE4BDC">
        <w:t> </w:t>
      </w:r>
      <w:r w:rsidR="00833AD1" w:rsidRPr="00DE4BDC">
        <w:t>šedou ekonomiku a</w:t>
      </w:r>
      <w:r w:rsidR="006466E5" w:rsidRPr="00DE4BDC">
        <w:t> </w:t>
      </w:r>
      <w:r w:rsidR="00833AD1" w:rsidRPr="00DE4BDC">
        <w:t>„zviditelnění“ některých transakcí by se ve mzdách a platech již neprojevilo.</w:t>
      </w:r>
    </w:p>
    <w:p w:rsidR="00115D3B" w:rsidRPr="00E910BF" w:rsidRDefault="00115D3B" w:rsidP="00C721C0">
      <w:pPr>
        <w:rPr>
          <w:sz w:val="16"/>
          <w:szCs w:val="16"/>
        </w:rPr>
      </w:pPr>
    </w:p>
    <w:p w:rsidR="00115D3B" w:rsidRPr="00E910BF" w:rsidRDefault="00CD2EF4" w:rsidP="00C721C0">
      <w:r w:rsidRPr="00E910BF">
        <w:t>O</w:t>
      </w:r>
      <w:r w:rsidR="00115D3B" w:rsidRPr="00E910BF">
        <w:t>bjem mezd a platů narostl v prvních třech čtvrtletích 2015 poměrně výrazně, jejich po</w:t>
      </w:r>
      <w:r w:rsidR="004143DF" w:rsidRPr="00E910BF">
        <w:t>díl na HDP se</w:t>
      </w:r>
      <w:r w:rsidRPr="00E910BF">
        <w:t xml:space="preserve"> však</w:t>
      </w:r>
      <w:r w:rsidR="004143DF" w:rsidRPr="00E910BF">
        <w:t xml:space="preserve"> zmenšil</w:t>
      </w:r>
      <w:r w:rsidR="00115D3B" w:rsidRPr="00E910BF">
        <w:t xml:space="preserve">. Zatímco </w:t>
      </w:r>
      <w:r w:rsidR="005846C9" w:rsidRPr="00E910BF">
        <w:t>v 1. až 3. čtvrtletí</w:t>
      </w:r>
      <w:r w:rsidR="00115D3B" w:rsidRPr="00E910BF">
        <w:t xml:space="preserve"> 2013 čini</w:t>
      </w:r>
      <w:r w:rsidR="005846C9" w:rsidRPr="00E910BF">
        <w:t>l tento</w:t>
      </w:r>
      <w:r w:rsidR="00F4412B">
        <w:t xml:space="preserve"> podíl 31</w:t>
      </w:r>
      <w:r w:rsidR="00115D3B" w:rsidRPr="00E910BF">
        <w:t xml:space="preserve">,3 %, ve stejném období 2014 </w:t>
      </w:r>
      <w:r w:rsidRPr="00E910BF">
        <w:t>pouze</w:t>
      </w:r>
      <w:r w:rsidR="00115D3B" w:rsidRPr="00E910BF">
        <w:t xml:space="preserve"> 30,3 % a</w:t>
      </w:r>
      <w:r w:rsidRPr="00E910BF">
        <w:t> </w:t>
      </w:r>
      <w:r w:rsidR="00115D3B" w:rsidRPr="00E910BF">
        <w:t xml:space="preserve">v lednu až září 2015 </w:t>
      </w:r>
      <w:r w:rsidR="00265D0B" w:rsidRPr="00E910BF">
        <w:t>tvořily</w:t>
      </w:r>
      <w:r w:rsidR="005846C9" w:rsidRPr="00E910BF">
        <w:t xml:space="preserve"> mzdy a platy</w:t>
      </w:r>
      <w:r w:rsidR="00265D0B" w:rsidRPr="00E910BF">
        <w:t xml:space="preserve"> dokonce</w:t>
      </w:r>
      <w:r w:rsidRPr="00E910BF">
        <w:t xml:space="preserve"> jen</w:t>
      </w:r>
      <w:r w:rsidR="00115D3B" w:rsidRPr="00E910BF">
        <w:t xml:space="preserve"> 29,9 %</w:t>
      </w:r>
      <w:r w:rsidR="00265D0B" w:rsidRPr="00E910BF">
        <w:t xml:space="preserve"> hrubého domácího produktu</w:t>
      </w:r>
      <w:r w:rsidR="00115D3B" w:rsidRPr="00E910BF">
        <w:t xml:space="preserve">. </w:t>
      </w:r>
      <w:r w:rsidR="00265D0B" w:rsidRPr="00E910BF">
        <w:t>Podíl mezd a platů na HDP</w:t>
      </w:r>
      <w:r w:rsidR="00115D3B" w:rsidRPr="00E910BF">
        <w:t xml:space="preserve"> </w:t>
      </w:r>
      <w:r w:rsidR="005846C9" w:rsidRPr="00E910BF">
        <w:t xml:space="preserve">byl </w:t>
      </w:r>
      <w:r w:rsidR="00115D3B" w:rsidRPr="00E910BF">
        <w:t>nejnižší od srovnatelného období roku 2007 a byl dán cyklickým vývojem ekonomiky, který ve velké m</w:t>
      </w:r>
      <w:r w:rsidR="004143DF" w:rsidRPr="00E910BF">
        <w:t xml:space="preserve">íře absorbují </w:t>
      </w:r>
      <w:r w:rsidR="00F15B68">
        <w:t>firmy</w:t>
      </w:r>
      <w:r w:rsidR="004143DF" w:rsidRPr="00E910BF">
        <w:t xml:space="preserve">. Jde především o to, že v letech recese klesají </w:t>
      </w:r>
      <w:r w:rsidR="006466E5" w:rsidRPr="00E910BF">
        <w:t>výrazněji</w:t>
      </w:r>
      <w:r w:rsidR="004143DF" w:rsidRPr="00E910BF">
        <w:t xml:space="preserve"> firemní zisky než objem mezd a platů. V příznivých letech si firmy negativní vývoj naopak kompenzují a jejich zisky rostou v porovnání se mzdami a platy rychleji.</w:t>
      </w:r>
    </w:p>
    <w:p w:rsidR="004143DF" w:rsidRPr="006903F9" w:rsidRDefault="004143DF" w:rsidP="00C721C0">
      <w:pPr>
        <w:rPr>
          <w:sz w:val="18"/>
          <w:szCs w:val="18"/>
        </w:rPr>
      </w:pPr>
    </w:p>
    <w:p w:rsidR="00C30D92" w:rsidRPr="00CD2EF4" w:rsidRDefault="00CD2EF4" w:rsidP="00C30D92">
      <w:r>
        <w:t>Mzdy a platy, které se v české ekonomice vyplácí, se</w:t>
      </w:r>
      <w:r w:rsidR="00514B8E">
        <w:t xml:space="preserve"> stejně jako v každé</w:t>
      </w:r>
      <w:r w:rsidR="00265D0B">
        <w:t>m</w:t>
      </w:r>
      <w:r w:rsidR="00514B8E">
        <w:t xml:space="preserve"> jiné</w:t>
      </w:r>
      <w:r w:rsidR="00265D0B">
        <w:t>m hospodářství</w:t>
      </w:r>
      <w:r w:rsidR="00514B8E">
        <w:t xml:space="preserve"> </w:t>
      </w:r>
      <w:r>
        <w:t xml:space="preserve">dělí mezi domácnosti a zahraniční pracovníky. </w:t>
      </w:r>
      <w:r w:rsidR="00514B8E">
        <w:t xml:space="preserve">V 1. až 3. čtvrtletí 2015 připadlo </w:t>
      </w:r>
      <w:r>
        <w:t>domácnostem</w:t>
      </w:r>
      <w:r w:rsidR="00E910BF">
        <w:t xml:space="preserve"> z celkového objemu mezd a platů</w:t>
      </w:r>
      <w:r>
        <w:t xml:space="preserve"> </w:t>
      </w:r>
      <w:r w:rsidR="00706FD1" w:rsidRPr="006466E5">
        <w:t>978 mld. korun</w:t>
      </w:r>
      <w:r>
        <w:t>,</w:t>
      </w:r>
      <w:r w:rsidR="00F13EF2">
        <w:t xml:space="preserve"> </w:t>
      </w:r>
      <w:r>
        <w:t xml:space="preserve">zbývajících </w:t>
      </w:r>
      <w:r w:rsidR="00706FD1" w:rsidRPr="006466E5">
        <w:t>10,8 mld.</w:t>
      </w:r>
      <w:r>
        <w:t xml:space="preserve"> odešlo do zahraničí</w:t>
      </w:r>
      <w:r w:rsidR="00F13EF2">
        <w:t xml:space="preserve">. </w:t>
      </w:r>
      <w:r w:rsidR="00706FD1" w:rsidRPr="006466E5">
        <w:t>Domácnostem však náležely</w:t>
      </w:r>
      <w:r w:rsidR="006466E5">
        <w:t xml:space="preserve"> i</w:t>
      </w:r>
      <w:r w:rsidR="00706FD1" w:rsidRPr="006466E5">
        <w:t xml:space="preserve"> příjmy z</w:t>
      </w:r>
      <w:r w:rsidR="006466E5">
        <w:t>a</w:t>
      </w:r>
      <w:r w:rsidR="00706FD1" w:rsidRPr="006466E5">
        <w:t> </w:t>
      </w:r>
      <w:r w:rsidR="006466E5">
        <w:t>práci</w:t>
      </w:r>
      <w:r w:rsidR="00706FD1" w:rsidRPr="006466E5">
        <w:t xml:space="preserve"> v</w:t>
      </w:r>
      <w:r w:rsidR="00F13EF2">
        <w:t> </w:t>
      </w:r>
      <w:r>
        <w:t>cizině</w:t>
      </w:r>
      <w:r w:rsidR="00F13EF2">
        <w:t>, především v</w:t>
      </w:r>
      <w:r w:rsidR="00E910BF">
        <w:t xml:space="preserve"> zemích Evropské unie</w:t>
      </w:r>
      <w:r w:rsidR="00F13EF2">
        <w:t>.</w:t>
      </w:r>
      <w:r w:rsidR="00706FD1" w:rsidRPr="006466E5">
        <w:t xml:space="preserve"> </w:t>
      </w:r>
      <w:r w:rsidR="00F13EF2">
        <w:t>Celkově si v</w:t>
      </w:r>
      <w:r w:rsidR="00265D0B">
        <w:t> </w:t>
      </w:r>
      <w:r w:rsidR="00F13EF2">
        <w:t>zahraničí</w:t>
      </w:r>
      <w:r w:rsidR="00265D0B">
        <w:t xml:space="preserve"> v tomto období</w:t>
      </w:r>
      <w:r w:rsidR="00F13EF2">
        <w:t xml:space="preserve"> vydělaly</w:t>
      </w:r>
      <w:r w:rsidR="00E910BF">
        <w:t xml:space="preserve"> 29,8 mld. korun a</w:t>
      </w:r>
      <w:r w:rsidR="00265D0B">
        <w:t xml:space="preserve"> v úhrnu tak </w:t>
      </w:r>
      <w:r w:rsidR="00706FD1" w:rsidRPr="006466E5">
        <w:t xml:space="preserve">disponovaly mzdami a platy </w:t>
      </w:r>
      <w:r w:rsidR="00265D0B">
        <w:t>ve</w:t>
      </w:r>
      <w:r w:rsidR="006466E5" w:rsidRPr="006466E5">
        <w:t> </w:t>
      </w:r>
      <w:r w:rsidR="00706FD1" w:rsidRPr="006466E5">
        <w:t xml:space="preserve">výši </w:t>
      </w:r>
      <w:r w:rsidR="006466E5" w:rsidRPr="006466E5">
        <w:t xml:space="preserve">1 007,8 mld. korun. Meziročně </w:t>
      </w:r>
      <w:r w:rsidR="00BC0AF4">
        <w:t>mzdy a platy</w:t>
      </w:r>
      <w:r w:rsidR="00BC0AF4" w:rsidRPr="006466E5">
        <w:t xml:space="preserve"> </w:t>
      </w:r>
      <w:r w:rsidR="00E910BF">
        <w:t>domácn</w:t>
      </w:r>
      <w:r w:rsidR="00BC0AF4">
        <w:t>ostem</w:t>
      </w:r>
      <w:r w:rsidR="00E910BF">
        <w:t xml:space="preserve"> </w:t>
      </w:r>
      <w:r w:rsidR="00BC0AF4">
        <w:t>stouply</w:t>
      </w:r>
      <w:r w:rsidR="006466E5" w:rsidRPr="006466E5">
        <w:t xml:space="preserve"> o</w:t>
      </w:r>
      <w:r w:rsidR="00BC0AF4">
        <w:t> </w:t>
      </w:r>
      <w:r w:rsidR="006466E5" w:rsidRPr="006466E5">
        <w:t>41,3 mld.</w:t>
      </w:r>
      <w:r w:rsidR="00E910BF">
        <w:t xml:space="preserve">, z toho </w:t>
      </w:r>
      <w:r w:rsidR="00BC0AF4">
        <w:t>36,2</w:t>
      </w:r>
      <w:r w:rsidR="00E910BF">
        <w:t xml:space="preserve"> mld. korun přibylo domácnostem díky růstu mezd a platů z tuzemska a</w:t>
      </w:r>
      <w:r w:rsidR="00BC0AF4">
        <w:t> </w:t>
      </w:r>
      <w:r w:rsidR="00E910BF">
        <w:t>5,2 mld. díky vyšším prostředkům ze zahraničí.</w:t>
      </w:r>
    </w:p>
    <w:p w:rsidR="00C30D92" w:rsidRPr="006903F9" w:rsidRDefault="00C30D92" w:rsidP="00C30D92">
      <w:pPr>
        <w:rPr>
          <w:sz w:val="18"/>
          <w:szCs w:val="18"/>
        </w:rPr>
      </w:pPr>
    </w:p>
    <w:tbl>
      <w:tblPr>
        <w:tblW w:w="5019" w:type="pct"/>
        <w:tblInd w:w="-34" w:type="dxa"/>
        <w:tblLook w:val="00A0"/>
      </w:tblPr>
      <w:tblGrid>
        <w:gridCol w:w="709"/>
        <w:gridCol w:w="3667"/>
        <w:gridCol w:w="734"/>
        <w:gridCol w:w="3644"/>
      </w:tblGrid>
      <w:tr w:rsidR="008F350F" w:rsidRPr="007D44C3" w:rsidTr="005846C9">
        <w:tc>
          <w:tcPr>
            <w:tcW w:w="405" w:type="pct"/>
          </w:tcPr>
          <w:p w:rsidR="001C7BDF" w:rsidRPr="008F350F" w:rsidRDefault="003A28AB" w:rsidP="008557DE">
            <w:pPr>
              <w:pStyle w:val="Textpoznpodarou"/>
            </w:pPr>
            <w:r w:rsidRPr="008F350F">
              <w:t>Graf č. 4</w:t>
            </w:r>
            <w:r w:rsidR="001C7BDF" w:rsidRPr="008F350F">
              <w:t>:</w:t>
            </w:r>
          </w:p>
        </w:tc>
        <w:tc>
          <w:tcPr>
            <w:tcW w:w="2094" w:type="pct"/>
          </w:tcPr>
          <w:p w:rsidR="008F350F" w:rsidRPr="00BC0AF4" w:rsidRDefault="008F350F" w:rsidP="008F350F">
            <w:pPr>
              <w:pStyle w:val="Textpoznpodarou"/>
              <w:jc w:val="left"/>
              <w:rPr>
                <w:b/>
                <w:spacing w:val="-6"/>
              </w:rPr>
            </w:pPr>
            <w:r w:rsidRPr="00BC0AF4">
              <w:rPr>
                <w:b/>
                <w:spacing w:val="-6"/>
              </w:rPr>
              <w:t>Objem mezd a platů</w:t>
            </w:r>
            <w:r w:rsidR="00BC0AF4" w:rsidRPr="00BC0AF4">
              <w:rPr>
                <w:b/>
                <w:spacing w:val="-6"/>
              </w:rPr>
              <w:t xml:space="preserve"> vyplacených v ČR</w:t>
            </w:r>
          </w:p>
          <w:p w:rsidR="001C7BDF" w:rsidRPr="008F350F" w:rsidRDefault="008F350F" w:rsidP="008F350F">
            <w:pPr>
              <w:pStyle w:val="Textpoznpodarou"/>
              <w:jc w:val="left"/>
            </w:pPr>
            <w:r w:rsidRPr="008F350F">
              <w:t xml:space="preserve">(údaje za 1. až 3. </w:t>
            </w:r>
            <w:r w:rsidR="00ED358B">
              <w:t>č</w:t>
            </w:r>
            <w:r w:rsidRPr="008F350F">
              <w:t>tvrtletí</w:t>
            </w:r>
            <w:r w:rsidR="00ED358B">
              <w:t>, nominálně</w:t>
            </w:r>
            <w:r w:rsidRPr="008F350F">
              <w:t>)</w:t>
            </w:r>
          </w:p>
        </w:tc>
        <w:tc>
          <w:tcPr>
            <w:tcW w:w="419" w:type="pct"/>
          </w:tcPr>
          <w:p w:rsidR="001C7BDF" w:rsidRPr="005F3B47" w:rsidRDefault="003A28AB" w:rsidP="008557DE">
            <w:pPr>
              <w:pStyle w:val="Textpoznpodarou"/>
              <w:rPr>
                <w:spacing w:val="-6"/>
              </w:rPr>
            </w:pPr>
            <w:r>
              <w:rPr>
                <w:spacing w:val="-6"/>
              </w:rPr>
              <w:t>Graf č. 5</w:t>
            </w:r>
            <w:r w:rsidR="001C7BDF" w:rsidRPr="005F3B47">
              <w:rPr>
                <w:spacing w:val="-6"/>
              </w:rPr>
              <w:t>:</w:t>
            </w:r>
          </w:p>
        </w:tc>
        <w:tc>
          <w:tcPr>
            <w:tcW w:w="2082" w:type="pct"/>
          </w:tcPr>
          <w:p w:rsidR="001C7BDF" w:rsidRPr="00D93ACF" w:rsidRDefault="008F350F" w:rsidP="00DE4BDC">
            <w:pPr>
              <w:pStyle w:val="Textpoznpodarou"/>
              <w:jc w:val="left"/>
            </w:pPr>
            <w:r>
              <w:rPr>
                <w:b/>
              </w:rPr>
              <w:t>Podíl mezd a platů na HDP</w:t>
            </w:r>
            <w:r w:rsidR="00ED358B">
              <w:rPr>
                <w:b/>
              </w:rPr>
              <w:t xml:space="preserve"> </w:t>
            </w:r>
            <w:r>
              <w:t>(údaje za</w:t>
            </w:r>
            <w:r w:rsidR="00DE4BDC">
              <w:t> </w:t>
            </w:r>
            <w:r>
              <w:t xml:space="preserve">1. až 3. čtvrtletí, </w:t>
            </w:r>
            <w:r w:rsidR="00ED358B">
              <w:t xml:space="preserve">nominálně, </w:t>
            </w:r>
            <w:r w:rsidRPr="00D93ACF">
              <w:t>v %</w:t>
            </w:r>
            <w:r>
              <w:t>)</w:t>
            </w:r>
          </w:p>
        </w:tc>
      </w:tr>
      <w:tr w:rsidR="001C7BDF" w:rsidRPr="007D44C3" w:rsidTr="005846C9">
        <w:tc>
          <w:tcPr>
            <w:tcW w:w="2499" w:type="pct"/>
            <w:gridSpan w:val="2"/>
          </w:tcPr>
          <w:p w:rsidR="001C7BDF" w:rsidRPr="007D44C3" w:rsidRDefault="009D187A" w:rsidP="008557DE">
            <w:pPr>
              <w:pStyle w:val="Textpoznpodarou"/>
            </w:pPr>
            <w:r w:rsidRPr="009D187A">
              <w:rPr>
                <w:noProof/>
                <w:lang w:eastAsia="cs-CZ"/>
              </w:rPr>
              <w:drawing>
                <wp:inline distT="0" distB="0" distL="0" distR="0">
                  <wp:extent cx="2619375" cy="2247900"/>
                  <wp:effectExtent l="19050" t="0" r="9525" b="0"/>
                  <wp:docPr id="18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24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1C7BDF" w:rsidRPr="007D44C3" w:rsidRDefault="009D187A" w:rsidP="008557DE">
            <w:pPr>
              <w:pStyle w:val="Textpoznpodarou"/>
            </w:pPr>
            <w:r w:rsidRPr="009D187A">
              <w:rPr>
                <w:noProof/>
                <w:lang w:eastAsia="cs-CZ"/>
              </w:rPr>
              <w:drawing>
                <wp:inline distT="0" distB="0" distL="0" distR="0">
                  <wp:extent cx="2619375" cy="2247900"/>
                  <wp:effectExtent l="19050" t="0" r="9525" b="0"/>
                  <wp:docPr id="21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24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BDF" w:rsidRPr="007D44C3" w:rsidTr="008557DE">
        <w:tc>
          <w:tcPr>
            <w:tcW w:w="5000" w:type="pct"/>
            <w:gridSpan w:val="4"/>
          </w:tcPr>
          <w:p w:rsidR="001C7BDF" w:rsidRPr="00C407AF" w:rsidRDefault="001C7BDF" w:rsidP="006466E5">
            <w:pPr>
              <w:pStyle w:val="Textpoznpodarou"/>
              <w:jc w:val="right"/>
              <w:rPr>
                <w:sz w:val="18"/>
                <w:szCs w:val="18"/>
              </w:rPr>
            </w:pPr>
            <w:r w:rsidRPr="00C407AF">
              <w:rPr>
                <w:sz w:val="18"/>
                <w:szCs w:val="18"/>
              </w:rPr>
              <w:t>Zdroj: ČSÚ</w:t>
            </w:r>
            <w:r>
              <w:rPr>
                <w:sz w:val="18"/>
                <w:szCs w:val="18"/>
              </w:rPr>
              <w:t>, vlastní výpočty</w:t>
            </w:r>
          </w:p>
        </w:tc>
      </w:tr>
    </w:tbl>
    <w:p w:rsidR="005846C9" w:rsidRPr="00C869BA" w:rsidRDefault="003A624C" w:rsidP="00C869BA">
      <w:pPr>
        <w:jc w:val="left"/>
        <w:rPr>
          <w:b/>
        </w:rPr>
      </w:pPr>
      <w:r w:rsidRPr="00C869BA">
        <w:rPr>
          <w:b/>
        </w:rPr>
        <w:lastRenderedPageBreak/>
        <w:t>Disponibilní příjmy domácností</w:t>
      </w:r>
      <w:r w:rsidR="005203C2" w:rsidRPr="00C869BA">
        <w:rPr>
          <w:vertAlign w:val="superscript"/>
        </w:rPr>
        <w:footnoteReference w:id="2"/>
      </w:r>
      <w:r w:rsidRPr="00C869BA">
        <w:rPr>
          <w:b/>
        </w:rPr>
        <w:t xml:space="preserve"> dosáhly v lednu až září loňského roku </w:t>
      </w:r>
      <w:r w:rsidR="00AE07CB" w:rsidRPr="00C869BA">
        <w:rPr>
          <w:b/>
        </w:rPr>
        <w:t>1 694,7</w:t>
      </w:r>
      <w:r w:rsidR="00C869BA">
        <w:rPr>
          <w:b/>
        </w:rPr>
        <w:t> </w:t>
      </w:r>
      <w:r w:rsidR="00AE07CB" w:rsidRPr="00C869BA">
        <w:rPr>
          <w:b/>
        </w:rPr>
        <w:t>mld.</w:t>
      </w:r>
      <w:r w:rsidR="00C869BA">
        <w:rPr>
          <w:b/>
        </w:rPr>
        <w:t> </w:t>
      </w:r>
      <w:r w:rsidR="00AE07CB" w:rsidRPr="00C869BA">
        <w:rPr>
          <w:b/>
        </w:rPr>
        <w:t>korun nominálně. Meziročně si domácnosti polepšily o 38,8 mld.</w:t>
      </w:r>
    </w:p>
    <w:p w:rsidR="005846C9" w:rsidRDefault="00143922" w:rsidP="00143922">
      <w:r w:rsidRPr="00143922">
        <w:t>Kr</w:t>
      </w:r>
      <w:r>
        <w:t>omě mezd a platů za práci v tuzemsku a zahraničí</w:t>
      </w:r>
      <w:r w:rsidRPr="00143922">
        <w:t xml:space="preserve"> </w:t>
      </w:r>
      <w:r>
        <w:t>získávají domácnosti příjmy i v dalších formách</w:t>
      </w:r>
      <w:r w:rsidRPr="00143922">
        <w:t xml:space="preserve">. </w:t>
      </w:r>
      <w:r w:rsidR="0002782F">
        <w:t xml:space="preserve">Disponibilní příjmy domácností </w:t>
      </w:r>
      <w:r w:rsidR="00DA37B2">
        <w:t>sestávají</w:t>
      </w:r>
      <w:r w:rsidR="0002782F">
        <w:t xml:space="preserve"> i</w:t>
      </w:r>
      <w:r w:rsidR="00DA37B2">
        <w:t xml:space="preserve"> ze zisků</w:t>
      </w:r>
      <w:r>
        <w:t xml:space="preserve"> </w:t>
      </w:r>
      <w:r w:rsidR="00B00625">
        <w:t>z malého podnikání</w:t>
      </w:r>
      <w:r w:rsidR="00BB65A4">
        <w:rPr>
          <w:rStyle w:val="Znakapoznpodarou"/>
        </w:rPr>
        <w:footnoteReference w:id="3"/>
      </w:r>
      <w:r w:rsidR="00C869BA">
        <w:t>,</w:t>
      </w:r>
      <w:r w:rsidR="00DA37B2">
        <w:t xml:space="preserve"> salda </w:t>
      </w:r>
      <w:r w:rsidR="00BC0AF4">
        <w:t>důchodů</w:t>
      </w:r>
      <w:r w:rsidR="00DA37B2">
        <w:t xml:space="preserve"> z vlastnictví a salda</w:t>
      </w:r>
      <w:r w:rsidRPr="00143922">
        <w:t xml:space="preserve"> přerozdělení s ostatními institucionálními sektory</w:t>
      </w:r>
      <w:r w:rsidR="00BB65A4">
        <w:t>.</w:t>
      </w:r>
    </w:p>
    <w:p w:rsidR="0002782F" w:rsidRPr="00AE07CB" w:rsidRDefault="0002782F" w:rsidP="00143922">
      <w:pPr>
        <w:rPr>
          <w:sz w:val="18"/>
          <w:szCs w:val="18"/>
        </w:rPr>
      </w:pPr>
    </w:p>
    <w:p w:rsidR="0002782F" w:rsidRPr="00F15B68" w:rsidRDefault="0002782F" w:rsidP="00143922">
      <w:r w:rsidRPr="00F15B68">
        <w:t xml:space="preserve">Zisky </w:t>
      </w:r>
      <w:r w:rsidR="00B00625">
        <w:t>z malého podnikání</w:t>
      </w:r>
      <w:r w:rsidRPr="00F15B68">
        <w:t xml:space="preserve"> činily v 1. až 3. čtvrtletí loňského roku 487,5 mld. korun</w:t>
      </w:r>
      <w:r w:rsidR="00AE07CB" w:rsidRPr="00F15B68">
        <w:t xml:space="preserve"> nominálně</w:t>
      </w:r>
      <w:r w:rsidRPr="00F15B68">
        <w:t xml:space="preserve"> a</w:t>
      </w:r>
      <w:r w:rsidR="005203C2" w:rsidRPr="00F15B68">
        <w:t> </w:t>
      </w:r>
      <w:r w:rsidR="00555A6B" w:rsidRPr="00F15B68">
        <w:t>meziročně</w:t>
      </w:r>
      <w:r w:rsidRPr="00F15B68">
        <w:t xml:space="preserve"> </w:t>
      </w:r>
      <w:r w:rsidR="00F15B68">
        <w:t>nepatrně</w:t>
      </w:r>
      <w:r w:rsidRPr="00F15B68">
        <w:t xml:space="preserve"> </w:t>
      </w:r>
      <w:r w:rsidR="00F15B68">
        <w:t>klesly</w:t>
      </w:r>
      <w:r w:rsidR="003A624C" w:rsidRPr="00F15B68">
        <w:t xml:space="preserve"> (o 1,7 mld. korun, respektive o</w:t>
      </w:r>
      <w:r w:rsidR="005203C2" w:rsidRPr="00F15B68">
        <w:t> </w:t>
      </w:r>
      <w:r w:rsidR="00DA37B2" w:rsidRPr="00F15B68">
        <w:t>0,3 %)</w:t>
      </w:r>
      <w:r w:rsidRPr="00F15B68">
        <w:t xml:space="preserve">. </w:t>
      </w:r>
      <w:r w:rsidR="00DA37B2" w:rsidRPr="00F15B68">
        <w:t>Může být překvapivé</w:t>
      </w:r>
      <w:r w:rsidRPr="00F15B68">
        <w:t>, že</w:t>
      </w:r>
      <w:r w:rsidR="00F15B68">
        <w:t xml:space="preserve"> tyto </w:t>
      </w:r>
      <w:r w:rsidR="00555A6B" w:rsidRPr="00F15B68">
        <w:t xml:space="preserve">zisky </w:t>
      </w:r>
      <w:r w:rsidR="00F15B68" w:rsidRPr="00F15B68">
        <w:t>se snížily</w:t>
      </w:r>
      <w:r w:rsidR="00555A6B" w:rsidRPr="00F15B68">
        <w:t>, když zisky firem rostly</w:t>
      </w:r>
      <w:r w:rsidRPr="00F15B68">
        <w:t xml:space="preserve"> velmi rychle. </w:t>
      </w:r>
      <w:r w:rsidR="00BB65A4" w:rsidRPr="00F15B68">
        <w:t>Jedním z vysvětlení je</w:t>
      </w:r>
      <w:r w:rsidRPr="00F15B68">
        <w:t xml:space="preserve">, že počty </w:t>
      </w:r>
      <w:proofErr w:type="spellStart"/>
      <w:r w:rsidR="00405F1B">
        <w:t>sebezaměstaných</w:t>
      </w:r>
      <w:proofErr w:type="spellEnd"/>
      <w:r w:rsidR="00DA37B2" w:rsidRPr="00F15B68">
        <w:t xml:space="preserve"> se zmenšily a tím se snížily i počty osob, které se na vyváření</w:t>
      </w:r>
      <w:r w:rsidR="003A624C" w:rsidRPr="00F15B68">
        <w:t xml:space="preserve"> těchto</w:t>
      </w:r>
      <w:r w:rsidR="00DA37B2" w:rsidRPr="00F15B68">
        <w:t xml:space="preserve"> zisků podílí. </w:t>
      </w:r>
      <w:r w:rsidRPr="00F15B68">
        <w:t>Mohlo</w:t>
      </w:r>
      <w:r w:rsidR="005203C2" w:rsidRPr="00F15B68">
        <w:t> </w:t>
      </w:r>
      <w:r w:rsidRPr="00F15B68">
        <w:t>to souviset jednak s tím, že v </w:t>
      </w:r>
      <w:r w:rsidR="00DA37B2" w:rsidRPr="00F15B68">
        <w:t>příznivých</w:t>
      </w:r>
      <w:r w:rsidRPr="00F15B68">
        <w:t xml:space="preserve"> obdobích </w:t>
      </w:r>
      <w:proofErr w:type="spellStart"/>
      <w:r w:rsidRPr="00F15B68">
        <w:t>sebezaměstnaní</w:t>
      </w:r>
      <w:proofErr w:type="spellEnd"/>
      <w:r w:rsidRPr="00F15B68">
        <w:t xml:space="preserve"> up</w:t>
      </w:r>
      <w:r w:rsidR="00DA37B2" w:rsidRPr="00F15B68">
        <w:t>o</w:t>
      </w:r>
      <w:r w:rsidRPr="00F15B68">
        <w:t>uští od svých dosavadních činnos</w:t>
      </w:r>
      <w:r w:rsidR="00DA37B2" w:rsidRPr="00F15B68">
        <w:t xml:space="preserve">tí a </w:t>
      </w:r>
      <w:r w:rsidR="005203C2" w:rsidRPr="00F15B68">
        <w:t>přechází do</w:t>
      </w:r>
      <w:r w:rsidR="00F15B68" w:rsidRPr="00F15B68">
        <w:t xml:space="preserve"> jistějších</w:t>
      </w:r>
      <w:r w:rsidR="005203C2" w:rsidRPr="00F15B68">
        <w:t xml:space="preserve"> zaměstnaneckých poměrů</w:t>
      </w:r>
      <w:r w:rsidRPr="00F15B68">
        <w:t>, jednak s</w:t>
      </w:r>
      <w:r w:rsidR="00DA37B2" w:rsidRPr="00F15B68">
        <w:t xml:space="preserve"> ústupem tzv. </w:t>
      </w:r>
      <w:proofErr w:type="spellStart"/>
      <w:r w:rsidR="00DA37B2" w:rsidRPr="00F15B68">
        <w:t>švarc</w:t>
      </w:r>
      <w:proofErr w:type="spellEnd"/>
      <w:r w:rsidR="00DA37B2" w:rsidRPr="00F15B68">
        <w:t xml:space="preserve"> systému.</w:t>
      </w:r>
      <w:r w:rsidR="003A624C" w:rsidRPr="00F15B68">
        <w:t xml:space="preserve"> Ten totiž nabývá na síle v l</w:t>
      </w:r>
      <w:r w:rsidR="00F15B68" w:rsidRPr="00F15B68">
        <w:t>etech, kdy se ekonomice nedaří,</w:t>
      </w:r>
      <w:r w:rsidR="00555A6B" w:rsidRPr="00F15B68">
        <w:t> </w:t>
      </w:r>
      <w:r w:rsidR="003A624C" w:rsidRPr="00F15B68">
        <w:t>firmy</w:t>
      </w:r>
      <w:r w:rsidR="00F15B68" w:rsidRPr="00F15B68">
        <w:t xml:space="preserve"> mají zájem snížit své náklady a</w:t>
      </w:r>
      <w:r w:rsidR="003A624C" w:rsidRPr="00F15B68">
        <w:t xml:space="preserve"> </w:t>
      </w:r>
      <w:r w:rsidR="00F15B68" w:rsidRPr="00F15B68">
        <w:t>n</w:t>
      </w:r>
      <w:r w:rsidR="005203C2" w:rsidRPr="00F15B68">
        <w:t>ěkteré</w:t>
      </w:r>
      <w:r w:rsidR="00555A6B" w:rsidRPr="00F15B68">
        <w:t xml:space="preserve"> ze svých zaměstnanců</w:t>
      </w:r>
      <w:r w:rsidR="005203C2" w:rsidRPr="00F15B68">
        <w:t xml:space="preserve"> přesouvají</w:t>
      </w:r>
      <w:r w:rsidR="003A624C" w:rsidRPr="00F15B68">
        <w:t xml:space="preserve"> mezi </w:t>
      </w:r>
      <w:proofErr w:type="spellStart"/>
      <w:r w:rsidR="003A624C" w:rsidRPr="00F15B68">
        <w:t>sebezaměstnané</w:t>
      </w:r>
      <w:proofErr w:type="spellEnd"/>
      <w:r w:rsidR="003A624C" w:rsidRPr="00F15B68">
        <w:t xml:space="preserve">. Naopak v obdobích, kdy </w:t>
      </w:r>
      <w:r w:rsidR="00D75B26">
        <w:t>je</w:t>
      </w:r>
      <w:r w:rsidR="003A624C" w:rsidRPr="00F15B68">
        <w:t xml:space="preserve"> </w:t>
      </w:r>
      <w:r w:rsidR="00D75B26">
        <w:t>ekonomika na vzestupu</w:t>
      </w:r>
      <w:r w:rsidR="003A624C" w:rsidRPr="00F15B68">
        <w:t xml:space="preserve">, se firmy snaží si své pracovníky </w:t>
      </w:r>
      <w:r w:rsidR="005203C2" w:rsidRPr="00F15B68">
        <w:t xml:space="preserve">„pojistit“ </w:t>
      </w:r>
      <w:r w:rsidR="00BC0AF4" w:rsidRPr="00F15B68">
        <w:t xml:space="preserve">a přesouvají je zpět </w:t>
      </w:r>
      <w:r w:rsidR="0043210E">
        <w:t>mezi zaměstnance.</w:t>
      </w:r>
    </w:p>
    <w:p w:rsidR="00DA37B2" w:rsidRPr="006903F9" w:rsidRDefault="00DA37B2" w:rsidP="00143922">
      <w:pPr>
        <w:rPr>
          <w:szCs w:val="20"/>
        </w:rPr>
      </w:pPr>
    </w:p>
    <w:p w:rsidR="00DA37B2" w:rsidRDefault="00DA37B2" w:rsidP="00143922">
      <w:r>
        <w:t xml:space="preserve">Kromě zisků </w:t>
      </w:r>
      <w:r w:rsidR="00B00625">
        <w:t>z malého podnikání</w:t>
      </w:r>
      <w:r w:rsidR="00A75365">
        <w:t xml:space="preserve"> se v lednu až září</w:t>
      </w:r>
      <w:r>
        <w:t xml:space="preserve"> 2015 zmenšilo i saldo důchodů z vlastnictví. Domácnosti v jeho podobě přijaly celkově 87,8 mld. korun</w:t>
      </w:r>
      <w:r w:rsidR="00AE07CB">
        <w:t xml:space="preserve"> nominálně</w:t>
      </w:r>
      <w:r>
        <w:t>, o 2,8 mld. méně než před</w:t>
      </w:r>
      <w:r w:rsidR="00405F1B">
        <w:t> </w:t>
      </w:r>
      <w:r>
        <w:t>rokem</w:t>
      </w:r>
      <w:r w:rsidR="005203C2">
        <w:t xml:space="preserve"> (-3,1 %)</w:t>
      </w:r>
      <w:r>
        <w:t xml:space="preserve">. Příčinou byl především pokles rozdělovaných důchodů společností, tedy příjmů, které domácnosti získávají </w:t>
      </w:r>
      <w:r w:rsidR="00912617">
        <w:t>z podílů ve firmách.</w:t>
      </w:r>
    </w:p>
    <w:p w:rsidR="00912617" w:rsidRPr="006903F9" w:rsidRDefault="00912617" w:rsidP="00143922">
      <w:pPr>
        <w:rPr>
          <w:sz w:val="18"/>
          <w:szCs w:val="18"/>
        </w:rPr>
      </w:pPr>
    </w:p>
    <w:p w:rsidR="008F350F" w:rsidRPr="008F350F" w:rsidRDefault="00912617" w:rsidP="008F350F">
      <w:r>
        <w:t>Poslední složkou disponibilních příjmů domácností je saldo přerozdělení s ostatními institucionálními sektory. Za první tři čtvrtletí 2015 dosáhlo</w:t>
      </w:r>
      <w:r w:rsidR="0043210E">
        <w:t xml:space="preserve"> </w:t>
      </w:r>
      <w:r w:rsidR="00AE07CB">
        <w:t>v nominálním vyjádření</w:t>
      </w:r>
      <w:r w:rsidR="0043210E">
        <w:t xml:space="preserve"> 111,6 mld. korun. V</w:t>
      </w:r>
      <w:r>
        <w:t> meziročn</w:t>
      </w:r>
      <w:r w:rsidR="0043210E">
        <w:t>ím srovnání se</w:t>
      </w:r>
      <w:r w:rsidR="00A75365">
        <w:t xml:space="preserve"> toto saldo</w:t>
      </w:r>
      <w:r w:rsidR="0043210E">
        <w:t xml:space="preserve"> mírně zlepšilo, s</w:t>
      </w:r>
      <w:r>
        <w:t>touplo o 2 mld. korun (+1,8 %).</w:t>
      </w:r>
    </w:p>
    <w:p w:rsidR="008F350F" w:rsidRPr="00BC0AF4" w:rsidRDefault="008F350F" w:rsidP="008F350F">
      <w:pPr>
        <w:rPr>
          <w:sz w:val="18"/>
          <w:szCs w:val="18"/>
        </w:rPr>
      </w:pPr>
    </w:p>
    <w:p w:rsidR="008F350F" w:rsidRPr="00555A6B" w:rsidRDefault="00555A6B" w:rsidP="0002782F">
      <w:pPr>
        <w:jc w:val="left"/>
        <w:rPr>
          <w:spacing w:val="-2"/>
        </w:rPr>
      </w:pPr>
      <w:r w:rsidRPr="00555A6B">
        <w:rPr>
          <w:spacing w:val="-2"/>
        </w:rPr>
        <w:t>Tab</w:t>
      </w:r>
      <w:r>
        <w:rPr>
          <w:spacing w:val="-2"/>
        </w:rPr>
        <w:t>ulka</w:t>
      </w:r>
      <w:r w:rsidR="0002782F" w:rsidRPr="00555A6B">
        <w:rPr>
          <w:spacing w:val="-2"/>
        </w:rPr>
        <w:t xml:space="preserve">: </w:t>
      </w:r>
      <w:r w:rsidR="00AE07CB" w:rsidRPr="00555A6B">
        <w:rPr>
          <w:b/>
          <w:spacing w:val="-2"/>
        </w:rPr>
        <w:t>Struktura d</w:t>
      </w:r>
      <w:r w:rsidR="0002782F" w:rsidRPr="00555A6B">
        <w:rPr>
          <w:b/>
          <w:spacing w:val="-2"/>
        </w:rPr>
        <w:t>isponibilní</w:t>
      </w:r>
      <w:r w:rsidR="00AE07CB" w:rsidRPr="00555A6B">
        <w:rPr>
          <w:b/>
          <w:spacing w:val="-2"/>
        </w:rPr>
        <w:t>ch příjmů</w:t>
      </w:r>
      <w:r w:rsidR="0002782F" w:rsidRPr="00555A6B">
        <w:rPr>
          <w:b/>
          <w:spacing w:val="-2"/>
        </w:rPr>
        <w:t xml:space="preserve"> domácností</w:t>
      </w:r>
      <w:r w:rsidRPr="00555A6B">
        <w:rPr>
          <w:b/>
          <w:spacing w:val="-2"/>
        </w:rPr>
        <w:t xml:space="preserve"> </w:t>
      </w:r>
      <w:r w:rsidR="0002782F" w:rsidRPr="00555A6B">
        <w:rPr>
          <w:spacing w:val="-2"/>
        </w:rPr>
        <w:t>(nominálně)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3"/>
        <w:gridCol w:w="1486"/>
        <w:gridCol w:w="1485"/>
        <w:gridCol w:w="1485"/>
        <w:gridCol w:w="1485"/>
      </w:tblGrid>
      <w:tr w:rsidR="00555A6B" w:rsidRPr="00555A6B" w:rsidTr="00BC0AF4">
        <w:trPr>
          <w:trHeight w:val="660"/>
        </w:trPr>
        <w:tc>
          <w:tcPr>
            <w:tcW w:w="15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55A6B" w:rsidRPr="00555A6B" w:rsidRDefault="00555A6B" w:rsidP="00555A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4F81BD"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Objem v 1. </w:t>
            </w:r>
            <w:proofErr w:type="gramStart"/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až </w:t>
            </w:r>
            <w:r w:rsidR="005E79E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   </w:t>
            </w: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3. čtvrtletí</w:t>
            </w:r>
            <w:proofErr w:type="gramEnd"/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2015 </w:t>
            </w:r>
            <w:r w:rsidR="005E79E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     </w:t>
            </w: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v mld. korun</w:t>
            </w:r>
          </w:p>
        </w:tc>
        <w:tc>
          <w:tcPr>
            <w:tcW w:w="859" w:type="pct"/>
            <w:tcBorders>
              <w:top w:val="single" w:sz="8" w:space="0" w:color="auto"/>
              <w:bottom w:val="single" w:sz="8" w:space="0" w:color="auto"/>
            </w:tcBorders>
            <w:shd w:val="clear" w:color="000000" w:fill="4F81BD"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Objem v 1. </w:t>
            </w:r>
            <w:proofErr w:type="gramStart"/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až </w:t>
            </w:r>
            <w:r w:rsidR="005E79E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   </w:t>
            </w: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3. čtvrtletí</w:t>
            </w:r>
            <w:proofErr w:type="gramEnd"/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2014 </w:t>
            </w:r>
            <w:r w:rsidR="005E79E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     </w:t>
            </w: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v mld. korun</w:t>
            </w:r>
          </w:p>
        </w:tc>
        <w:tc>
          <w:tcPr>
            <w:tcW w:w="859" w:type="pct"/>
            <w:tcBorders>
              <w:top w:val="single" w:sz="8" w:space="0" w:color="auto"/>
              <w:bottom w:val="single" w:sz="8" w:space="0" w:color="auto"/>
            </w:tcBorders>
            <w:shd w:val="clear" w:color="000000" w:fill="4F81BD"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gramStart"/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Meziročně </w:t>
            </w:r>
            <w:r w:rsidR="005E79E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         </w:t>
            </w: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v mld.</w:t>
            </w:r>
            <w:proofErr w:type="gramEnd"/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korun</w:t>
            </w:r>
          </w:p>
        </w:tc>
        <w:tc>
          <w:tcPr>
            <w:tcW w:w="859" w:type="pct"/>
            <w:tcBorders>
              <w:top w:val="single" w:sz="8" w:space="0" w:color="auto"/>
              <w:bottom w:val="single" w:sz="8" w:space="0" w:color="auto"/>
            </w:tcBorders>
            <w:shd w:val="clear" w:color="000000" w:fill="4F81BD"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gramStart"/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Meziročně </w:t>
            </w:r>
            <w:r w:rsidR="005E79E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          </w:t>
            </w: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v %</w:t>
            </w:r>
            <w:proofErr w:type="gramEnd"/>
          </w:p>
        </w:tc>
      </w:tr>
      <w:tr w:rsidR="00555A6B" w:rsidRPr="00555A6B" w:rsidTr="00BC0AF4">
        <w:trPr>
          <w:trHeight w:val="227"/>
        </w:trPr>
        <w:tc>
          <w:tcPr>
            <w:tcW w:w="1563" w:type="pct"/>
            <w:tcBorders>
              <w:top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55A6B" w:rsidRPr="00555A6B" w:rsidRDefault="00555A6B" w:rsidP="00555A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Mzdy a platy z tuzemska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978,0</w:t>
            </w:r>
          </w:p>
        </w:tc>
        <w:tc>
          <w:tcPr>
            <w:tcW w:w="85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941,8</w:t>
            </w:r>
          </w:p>
        </w:tc>
        <w:tc>
          <w:tcPr>
            <w:tcW w:w="85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36,2</w:t>
            </w:r>
          </w:p>
        </w:tc>
        <w:tc>
          <w:tcPr>
            <w:tcW w:w="85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3,8</w:t>
            </w:r>
          </w:p>
        </w:tc>
      </w:tr>
      <w:tr w:rsidR="00555A6B" w:rsidRPr="00555A6B" w:rsidTr="00BC0AF4">
        <w:trPr>
          <w:trHeight w:val="227"/>
        </w:trPr>
        <w:tc>
          <w:tcPr>
            <w:tcW w:w="1563" w:type="pct"/>
            <w:tcBorders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55A6B" w:rsidRPr="00555A6B" w:rsidRDefault="00555A6B" w:rsidP="00555A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Mzdy a platy ze zahraničí</w:t>
            </w:r>
          </w:p>
        </w:tc>
        <w:tc>
          <w:tcPr>
            <w:tcW w:w="859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29,8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24,6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21,0</w:t>
            </w:r>
          </w:p>
        </w:tc>
      </w:tr>
      <w:tr w:rsidR="00555A6B" w:rsidRPr="00555A6B" w:rsidTr="00BC0AF4">
        <w:trPr>
          <w:trHeight w:val="227"/>
        </w:trPr>
        <w:tc>
          <w:tcPr>
            <w:tcW w:w="1563" w:type="pct"/>
            <w:tcBorders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55A6B" w:rsidRPr="00555A6B" w:rsidRDefault="00555A6B" w:rsidP="00B0062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Zisky </w:t>
            </w:r>
            <w:r w:rsidR="00B0062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z malého podnikání</w:t>
            </w:r>
            <w:r w:rsidR="00B00625" w:rsidRPr="00B00625">
              <w:rPr>
                <w:rFonts w:eastAsia="Times New Roman" w:cs="Arial"/>
                <w:b/>
                <w:bCs/>
                <w:color w:val="FFFFFF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859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487,5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489,2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-0,3</w:t>
            </w:r>
          </w:p>
        </w:tc>
      </w:tr>
      <w:tr w:rsidR="00555A6B" w:rsidRPr="00555A6B" w:rsidTr="00BC0AF4">
        <w:trPr>
          <w:trHeight w:val="227"/>
        </w:trPr>
        <w:tc>
          <w:tcPr>
            <w:tcW w:w="1563" w:type="pct"/>
            <w:tcBorders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55A6B" w:rsidRPr="00555A6B" w:rsidRDefault="00555A6B" w:rsidP="00555A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Saldo důchodů z vlastnictví</w:t>
            </w:r>
          </w:p>
        </w:tc>
        <w:tc>
          <w:tcPr>
            <w:tcW w:w="859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87,8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90,6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-2,8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-3,1</w:t>
            </w:r>
          </w:p>
        </w:tc>
      </w:tr>
      <w:tr w:rsidR="00555A6B" w:rsidRPr="00555A6B" w:rsidTr="00BC0AF4">
        <w:trPr>
          <w:trHeight w:val="227"/>
        </w:trPr>
        <w:tc>
          <w:tcPr>
            <w:tcW w:w="1563" w:type="pct"/>
            <w:tcBorders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55A6B" w:rsidRPr="00555A6B" w:rsidRDefault="00555A6B" w:rsidP="00555A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Saldo přerozdělení</w:t>
            </w:r>
          </w:p>
        </w:tc>
        <w:tc>
          <w:tcPr>
            <w:tcW w:w="8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111,6</w:t>
            </w:r>
          </w:p>
        </w:tc>
        <w:tc>
          <w:tcPr>
            <w:tcW w:w="85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109,6</w:t>
            </w:r>
          </w:p>
        </w:tc>
        <w:tc>
          <w:tcPr>
            <w:tcW w:w="85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85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1,8</w:t>
            </w:r>
          </w:p>
        </w:tc>
      </w:tr>
      <w:tr w:rsidR="00555A6B" w:rsidRPr="00555A6B" w:rsidTr="00BC0AF4">
        <w:trPr>
          <w:trHeight w:val="227"/>
        </w:trPr>
        <w:tc>
          <w:tcPr>
            <w:tcW w:w="15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55A6B" w:rsidRPr="00405F1B" w:rsidRDefault="00555A6B" w:rsidP="00555A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6"/>
                <w:szCs w:val="16"/>
                <w:vertAlign w:val="superscript"/>
                <w:lang w:eastAsia="cs-CZ"/>
              </w:rPr>
            </w:pPr>
            <w:r w:rsidRPr="00555A6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Disponibilní příjmy domácností</w:t>
            </w:r>
            <w:r w:rsidR="009D647B">
              <w:rPr>
                <w:rFonts w:eastAsia="Times New Roman" w:cs="Arial"/>
                <w:b/>
                <w:bCs/>
                <w:color w:val="FFFFFF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1 694,7</w:t>
            </w:r>
          </w:p>
        </w:tc>
        <w:tc>
          <w:tcPr>
            <w:tcW w:w="8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1 655,9</w:t>
            </w:r>
          </w:p>
        </w:tc>
        <w:tc>
          <w:tcPr>
            <w:tcW w:w="8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38,8</w:t>
            </w:r>
          </w:p>
        </w:tc>
        <w:tc>
          <w:tcPr>
            <w:tcW w:w="8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A6B" w:rsidRPr="00555A6B" w:rsidRDefault="00555A6B" w:rsidP="00555A6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55A6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2,3</w:t>
            </w:r>
          </w:p>
        </w:tc>
      </w:tr>
    </w:tbl>
    <w:p w:rsidR="008F350F" w:rsidRPr="008F350F" w:rsidRDefault="0002782F" w:rsidP="0002782F">
      <w:pPr>
        <w:jc w:val="right"/>
      </w:pPr>
      <w:r w:rsidRPr="00C407AF">
        <w:rPr>
          <w:sz w:val="18"/>
          <w:szCs w:val="18"/>
        </w:rPr>
        <w:t>Zdroj: ČSÚ</w:t>
      </w:r>
      <w:r>
        <w:rPr>
          <w:sz w:val="18"/>
          <w:szCs w:val="18"/>
        </w:rPr>
        <w:t>, vlastní výpočty</w:t>
      </w:r>
    </w:p>
    <w:p w:rsidR="008F350F" w:rsidRPr="00BC0AF4" w:rsidRDefault="008F350F" w:rsidP="008F350F">
      <w:pPr>
        <w:rPr>
          <w:sz w:val="18"/>
          <w:szCs w:val="18"/>
        </w:rPr>
      </w:pPr>
    </w:p>
    <w:p w:rsidR="00B045E9" w:rsidRDefault="00912617" w:rsidP="008F350F">
      <w:r w:rsidRPr="003A624C">
        <w:t>Disponibilní příjmy domácností tedy činily v prvních třech čtvrtletích loňského roku 1 694,7 mld. korun</w:t>
      </w:r>
      <w:r w:rsidR="00AE07CB">
        <w:t xml:space="preserve"> nominálně</w:t>
      </w:r>
      <w:r w:rsidRPr="003A624C">
        <w:t>. Proti stejnému období roku 2014</w:t>
      </w:r>
      <w:r w:rsidR="003A624C">
        <w:t xml:space="preserve"> </w:t>
      </w:r>
      <w:r w:rsidR="0043210E">
        <w:t xml:space="preserve">narostly </w:t>
      </w:r>
      <w:r w:rsidRPr="003A624C">
        <w:t>o</w:t>
      </w:r>
      <w:r w:rsidR="00AE07CB">
        <w:t> </w:t>
      </w:r>
      <w:r w:rsidRPr="003A624C">
        <w:t>38,8</w:t>
      </w:r>
      <w:r w:rsidR="00AE07CB">
        <w:t> </w:t>
      </w:r>
      <w:r w:rsidRPr="003A624C">
        <w:t>mld. korun, relativně se jednalo o přírůstek ve výši +2,3 %. Je čas odpovědět na otázku, zda se ojediněle silný růst české ekonomiky projevil příznivě i v disponibilních příjmech domácností. Ano, projevil, prostřednictvím nárůstu objemu mezd a platů</w:t>
      </w:r>
      <w:r w:rsidR="00ED6468">
        <w:t xml:space="preserve"> pocházejících z České republiky</w:t>
      </w:r>
      <w:r w:rsidRPr="003A624C">
        <w:t>.</w:t>
      </w:r>
    </w:p>
    <w:p w:rsidR="002F148F" w:rsidRPr="00C869BA" w:rsidRDefault="004925EB" w:rsidP="00C869BA">
      <w:pPr>
        <w:jc w:val="left"/>
        <w:rPr>
          <w:b/>
        </w:rPr>
      </w:pPr>
      <w:r w:rsidRPr="003813CB">
        <w:rPr>
          <w:b/>
        </w:rPr>
        <w:lastRenderedPageBreak/>
        <w:t xml:space="preserve">Reálný růst disponibilních příjmů domácností se odrazil </w:t>
      </w:r>
      <w:r w:rsidR="0043210E" w:rsidRPr="003813CB">
        <w:rPr>
          <w:b/>
        </w:rPr>
        <w:t xml:space="preserve">především </w:t>
      </w:r>
      <w:r w:rsidRPr="003813CB">
        <w:rPr>
          <w:b/>
        </w:rPr>
        <w:t>ve vyšších výdajích na konečnou spotřebu</w:t>
      </w:r>
      <w:r w:rsidR="0043210E" w:rsidRPr="003813CB">
        <w:rPr>
          <w:b/>
        </w:rPr>
        <w:t xml:space="preserve">, ovlivnil </w:t>
      </w:r>
      <w:r w:rsidR="00ED6468" w:rsidRPr="003813CB">
        <w:rPr>
          <w:b/>
        </w:rPr>
        <w:t xml:space="preserve">pozitivně </w:t>
      </w:r>
      <w:r w:rsidR="0043210E" w:rsidRPr="003813CB">
        <w:rPr>
          <w:b/>
        </w:rPr>
        <w:t>ale i investice do staveb pro bydlení</w:t>
      </w:r>
    </w:p>
    <w:p w:rsidR="002F148F" w:rsidRPr="00933D62" w:rsidRDefault="002F148F" w:rsidP="008F350F">
      <w:r w:rsidRPr="00933D62">
        <w:t xml:space="preserve">Vzhledem k nízkému </w:t>
      </w:r>
      <w:r w:rsidR="00687162" w:rsidRPr="00933D62">
        <w:t>navyšování</w:t>
      </w:r>
      <w:r w:rsidRPr="00933D62">
        <w:t xml:space="preserve"> cen ekonomice</w:t>
      </w:r>
      <w:r w:rsidR="00687162" w:rsidRPr="00933D62">
        <w:t xml:space="preserve"> byl reálný </w:t>
      </w:r>
      <w:r w:rsidR="00850289" w:rsidRPr="00933D62">
        <w:t>růst</w:t>
      </w:r>
      <w:r w:rsidRPr="00933D62">
        <w:t xml:space="preserve"> disponibilní</w:t>
      </w:r>
      <w:r w:rsidR="00850289" w:rsidRPr="00933D62">
        <w:t>ch příjmů</w:t>
      </w:r>
      <w:r w:rsidRPr="00933D62">
        <w:t xml:space="preserve"> domácností</w:t>
      </w:r>
      <w:r w:rsidR="00850289" w:rsidRPr="00933D62">
        <w:t xml:space="preserve"> </w:t>
      </w:r>
      <w:r w:rsidRPr="00933D62">
        <w:t>v průběhu prvních třech čtvrtletí 2015</w:t>
      </w:r>
      <w:r w:rsidR="00850289" w:rsidRPr="00933D62">
        <w:t xml:space="preserve"> jen nepatrně pomalejší</w:t>
      </w:r>
      <w:r w:rsidRPr="00933D62">
        <w:t xml:space="preserve"> než </w:t>
      </w:r>
      <w:r w:rsidR="00687162" w:rsidRPr="00933D62">
        <w:t>nominálně. Zatímco v nominálním vyjádření</w:t>
      </w:r>
      <w:r w:rsidRPr="00933D62">
        <w:t xml:space="preserve"> </w:t>
      </w:r>
      <w:r w:rsidR="00687162" w:rsidRPr="00933D62">
        <w:t>narůstaly</w:t>
      </w:r>
      <w:r w:rsidRPr="00933D62">
        <w:t xml:space="preserve"> </w:t>
      </w:r>
      <w:r w:rsidR="00933D62" w:rsidRPr="00933D62">
        <w:t xml:space="preserve">po jednotlivých čtvrtletích </w:t>
      </w:r>
      <w:r w:rsidRPr="00933D62">
        <w:t>meziročně o 2,0 %, 3,5 % a</w:t>
      </w:r>
      <w:r w:rsidR="00850289" w:rsidRPr="00933D62">
        <w:t> </w:t>
      </w:r>
      <w:r w:rsidRPr="00933D62">
        <w:t>1,5</w:t>
      </w:r>
      <w:r w:rsidR="00850289" w:rsidRPr="00933D62">
        <w:t> </w:t>
      </w:r>
      <w:r w:rsidR="0043210E" w:rsidRPr="00933D62">
        <w:t xml:space="preserve">%, reálně šlo o </w:t>
      </w:r>
      <w:r w:rsidR="00ED6468" w:rsidRPr="00933D62">
        <w:t xml:space="preserve">přírůstky </w:t>
      </w:r>
      <w:r w:rsidR="00933D62">
        <w:t>ve výši</w:t>
      </w:r>
      <w:r w:rsidRPr="00933D62">
        <w:t xml:space="preserve"> </w:t>
      </w:r>
      <w:r w:rsidR="0043210E" w:rsidRPr="00933D62">
        <w:t>+</w:t>
      </w:r>
      <w:r w:rsidRPr="00933D62">
        <w:t xml:space="preserve">1,9 %, </w:t>
      </w:r>
      <w:r w:rsidR="0043210E" w:rsidRPr="00933D62">
        <w:t>+</w:t>
      </w:r>
      <w:r w:rsidRPr="00933D62">
        <w:t xml:space="preserve">3,0 % a </w:t>
      </w:r>
      <w:r w:rsidR="0043210E" w:rsidRPr="00933D62">
        <w:t>+</w:t>
      </w:r>
      <w:r w:rsidRPr="00933D62">
        <w:t>1,5 %.</w:t>
      </w:r>
      <w:r w:rsidRPr="00933D62">
        <w:rPr>
          <w:rStyle w:val="Znakapoznpodarou"/>
        </w:rPr>
        <w:footnoteReference w:id="4"/>
      </w:r>
      <w:r w:rsidRPr="00933D62">
        <w:t xml:space="preserve"> </w:t>
      </w:r>
      <w:r w:rsidR="00933D62">
        <w:t>Pozitivem přitom bylo, že důvěra domácností v ekonomiku byla silná. Své příjmy se tak nebály utrácet.</w:t>
      </w:r>
    </w:p>
    <w:p w:rsidR="002F148F" w:rsidRPr="004925EB" w:rsidRDefault="002F148F" w:rsidP="008F350F">
      <w:pPr>
        <w:rPr>
          <w:szCs w:val="20"/>
        </w:rPr>
      </w:pPr>
    </w:p>
    <w:p w:rsidR="005F60EC" w:rsidRPr="0043210E" w:rsidRDefault="005F60EC" w:rsidP="008F350F">
      <w:r w:rsidRPr="0043210E">
        <w:t xml:space="preserve">Výdaje na konečnou spotřebu domácností </w:t>
      </w:r>
      <w:r w:rsidR="00C669C3" w:rsidRPr="0043210E">
        <w:t>se</w:t>
      </w:r>
      <w:r w:rsidRPr="0043210E">
        <w:t xml:space="preserve"> v 1. až 3. čtvrtletí 2015</w:t>
      </w:r>
      <w:r w:rsidR="00C669C3" w:rsidRPr="0043210E">
        <w:t xml:space="preserve"> zvýšily</w:t>
      </w:r>
      <w:r w:rsidRPr="0043210E">
        <w:t xml:space="preserve"> výrazně, </w:t>
      </w:r>
      <w:r w:rsidR="003B4823" w:rsidRPr="0043210E">
        <w:t xml:space="preserve">v reálném vyjádření </w:t>
      </w:r>
      <w:r w:rsidRPr="0043210E">
        <w:t>stouply o</w:t>
      </w:r>
      <w:r w:rsidR="003B4823" w:rsidRPr="0043210E">
        <w:t> </w:t>
      </w:r>
      <w:r w:rsidRPr="0043210E">
        <w:t>2,8 %. Narostly nejrychleji za posledních sedm let</w:t>
      </w:r>
      <w:r w:rsidR="003B4823" w:rsidRPr="0043210E">
        <w:t xml:space="preserve"> (v lednu až září 2008 o</w:t>
      </w:r>
      <w:r w:rsidR="004925EB" w:rsidRPr="0043210E">
        <w:t> </w:t>
      </w:r>
      <w:r w:rsidR="003B4823" w:rsidRPr="0043210E">
        <w:t>3,1 %)</w:t>
      </w:r>
      <w:r w:rsidRPr="0043210E">
        <w:t xml:space="preserve">. Ze struktury spotřeby je přitom patrné, že </w:t>
      </w:r>
      <w:r w:rsidR="003B4823" w:rsidRPr="0043210E">
        <w:t xml:space="preserve">domácnosti nešetřily zejména na předmětech dlouhodobé spotřeby, kam patří například automobily. Také ostatní předměty – střednědobé a krátkodobé spotřeby – ovšem domácnosti pořizovaly ve větším rozsahu než před rokem. Co se týče výdajů </w:t>
      </w:r>
      <w:r w:rsidR="00933D62">
        <w:t>za váhově významné služby (například</w:t>
      </w:r>
      <w:r w:rsidR="003B4823" w:rsidRPr="0043210E">
        <w:t xml:space="preserve"> nájem, energie, atd.), jejich dynamika byla nejskromnější, přesto však stále v pozitivních číslech.</w:t>
      </w:r>
    </w:p>
    <w:p w:rsidR="005F60EC" w:rsidRPr="00D565C2" w:rsidRDefault="005F60EC" w:rsidP="008F350F">
      <w:pPr>
        <w:rPr>
          <w:szCs w:val="20"/>
        </w:rPr>
      </w:pPr>
    </w:p>
    <w:p w:rsidR="005F60EC" w:rsidRPr="00F67213" w:rsidRDefault="00665E27" w:rsidP="008F350F">
      <w:r>
        <w:t xml:space="preserve">Investice domácností odpovídají zejména investicím do </w:t>
      </w:r>
      <w:r w:rsidRPr="00665E27">
        <w:t>staveb pro bydlení</w:t>
      </w:r>
      <w:r w:rsidR="00C669C3" w:rsidRPr="00665E27">
        <w:t xml:space="preserve">. </w:t>
      </w:r>
      <w:r w:rsidRPr="00665E27">
        <w:t xml:space="preserve">V 1. až 3. čtvrtletí 2015 byl jejich objem </w:t>
      </w:r>
      <w:r w:rsidR="00D75B26" w:rsidRPr="00665E27">
        <w:t>vyšší</w:t>
      </w:r>
      <w:r w:rsidR="00C669C3" w:rsidRPr="00665E27">
        <w:t xml:space="preserve"> než ve stejném období 2014. Poprvé od roku 2007 rostly investice do těchto aktiv alespoň dva roky po sobě. Je však třeba říci</w:t>
      </w:r>
      <w:r w:rsidR="00C669C3" w:rsidRPr="00F67213">
        <w:t>, že situace loni a na vrcholu konjunktury byla zcela jiná. Zatímco tehdy stouply investice do staveb pro bydlení</w:t>
      </w:r>
      <w:r w:rsidR="004925EB" w:rsidRPr="00F67213">
        <w:t xml:space="preserve"> vlivem intenzivní výstavy rodinných a bytových domů</w:t>
      </w:r>
      <w:r>
        <w:t xml:space="preserve"> reálně</w:t>
      </w:r>
      <w:r w:rsidR="004925EB" w:rsidRPr="00F67213">
        <w:t xml:space="preserve"> více než o čtvrtinu (!), v loňském roce „pouze“ o 1,8 %. Proti lednu až září 2007 byly tyto investice stále o 2,2 % nižší.</w:t>
      </w:r>
    </w:p>
    <w:p w:rsidR="005F60EC" w:rsidRPr="00D565C2" w:rsidRDefault="005F60EC" w:rsidP="008F350F">
      <w:pPr>
        <w:rPr>
          <w:szCs w:val="20"/>
        </w:rPr>
      </w:pPr>
    </w:p>
    <w:tbl>
      <w:tblPr>
        <w:tblW w:w="5019" w:type="pct"/>
        <w:tblInd w:w="-34" w:type="dxa"/>
        <w:tblLook w:val="00A0"/>
      </w:tblPr>
      <w:tblGrid>
        <w:gridCol w:w="715"/>
        <w:gridCol w:w="3662"/>
        <w:gridCol w:w="736"/>
        <w:gridCol w:w="1974"/>
        <w:gridCol w:w="1667"/>
      </w:tblGrid>
      <w:tr w:rsidR="005F60EC" w:rsidRPr="007D44C3" w:rsidTr="005F60EC">
        <w:tc>
          <w:tcPr>
            <w:tcW w:w="408" w:type="pct"/>
          </w:tcPr>
          <w:p w:rsidR="005F60EC" w:rsidRPr="008F350F" w:rsidRDefault="005F60EC" w:rsidP="009C3DF1">
            <w:pPr>
              <w:pStyle w:val="Textpoznpodarou"/>
            </w:pPr>
            <w:r>
              <w:t>Graf č. 6</w:t>
            </w:r>
            <w:r w:rsidRPr="008F350F">
              <w:t>:</w:t>
            </w:r>
          </w:p>
        </w:tc>
        <w:tc>
          <w:tcPr>
            <w:tcW w:w="2092" w:type="pct"/>
          </w:tcPr>
          <w:p w:rsidR="005F60EC" w:rsidRPr="005F60EC" w:rsidRDefault="005F60EC" w:rsidP="005F60EC">
            <w:pPr>
              <w:pStyle w:val="Textpoznpodarou"/>
              <w:jc w:val="left"/>
              <w:rPr>
                <w:spacing w:val="-4"/>
              </w:rPr>
            </w:pPr>
            <w:r w:rsidRPr="005F60EC">
              <w:rPr>
                <w:b/>
                <w:spacing w:val="-4"/>
              </w:rPr>
              <w:t xml:space="preserve">Výdaje na konečnou spotřebu domácností* </w:t>
            </w:r>
            <w:r w:rsidRPr="005F60EC">
              <w:rPr>
                <w:spacing w:val="-4"/>
              </w:rPr>
              <w:t>(údaje za 1. až 3. čtvrtletí, reálně, meziročně v %)</w:t>
            </w:r>
          </w:p>
        </w:tc>
        <w:tc>
          <w:tcPr>
            <w:tcW w:w="420" w:type="pct"/>
          </w:tcPr>
          <w:p w:rsidR="005F60EC" w:rsidRPr="005F3B47" w:rsidRDefault="005F60EC" w:rsidP="009C3DF1">
            <w:pPr>
              <w:pStyle w:val="Textpoznpodarou"/>
              <w:rPr>
                <w:spacing w:val="-6"/>
              </w:rPr>
            </w:pPr>
            <w:r>
              <w:rPr>
                <w:spacing w:val="-6"/>
              </w:rPr>
              <w:t>Graf č. 7</w:t>
            </w:r>
            <w:r w:rsidRPr="005F3B47">
              <w:rPr>
                <w:spacing w:val="-6"/>
              </w:rPr>
              <w:t>:</w:t>
            </w:r>
          </w:p>
        </w:tc>
        <w:tc>
          <w:tcPr>
            <w:tcW w:w="2080" w:type="pct"/>
            <w:gridSpan w:val="2"/>
          </w:tcPr>
          <w:p w:rsidR="005F60EC" w:rsidRPr="00D93ACF" w:rsidRDefault="005F60EC" w:rsidP="005F60EC">
            <w:pPr>
              <w:pStyle w:val="Textpoznpodarou"/>
              <w:jc w:val="left"/>
            </w:pPr>
            <w:r>
              <w:rPr>
                <w:b/>
              </w:rPr>
              <w:t xml:space="preserve">Investice do staveb pro bydlení </w:t>
            </w:r>
            <w:r>
              <w:t xml:space="preserve">(údaje za 1. až 3. čtvrtletí, reálně, meziročně </w:t>
            </w:r>
            <w:r w:rsidRPr="00D93ACF">
              <w:t>v %</w:t>
            </w:r>
            <w:r>
              <w:t>)</w:t>
            </w:r>
          </w:p>
        </w:tc>
      </w:tr>
      <w:tr w:rsidR="005F60EC" w:rsidRPr="007D44C3" w:rsidTr="005F60EC">
        <w:tc>
          <w:tcPr>
            <w:tcW w:w="2500" w:type="pct"/>
            <w:gridSpan w:val="2"/>
          </w:tcPr>
          <w:p w:rsidR="005F60EC" w:rsidRPr="007D44C3" w:rsidRDefault="009D187A" w:rsidP="009C3DF1">
            <w:pPr>
              <w:pStyle w:val="Textpoznpodarou"/>
            </w:pPr>
            <w:r w:rsidRPr="009D187A">
              <w:rPr>
                <w:noProof/>
                <w:lang w:eastAsia="cs-CZ"/>
              </w:rPr>
              <w:drawing>
                <wp:inline distT="0" distB="0" distL="0" distR="0">
                  <wp:extent cx="2619375" cy="2247900"/>
                  <wp:effectExtent l="19050" t="0" r="9525" b="0"/>
                  <wp:docPr id="24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24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3"/>
          </w:tcPr>
          <w:p w:rsidR="005F60EC" w:rsidRPr="007D44C3" w:rsidRDefault="009D187A" w:rsidP="009C3DF1">
            <w:pPr>
              <w:pStyle w:val="Textpoznpodarou"/>
            </w:pPr>
            <w:r w:rsidRPr="009D187A">
              <w:rPr>
                <w:noProof/>
                <w:lang w:eastAsia="cs-CZ"/>
              </w:rPr>
              <w:drawing>
                <wp:inline distT="0" distB="0" distL="0" distR="0">
                  <wp:extent cx="2619375" cy="2247900"/>
                  <wp:effectExtent l="19050" t="0" r="9525" b="0"/>
                  <wp:docPr id="2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24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0EC" w:rsidRPr="007D44C3" w:rsidTr="005F60EC">
        <w:tc>
          <w:tcPr>
            <w:tcW w:w="4048" w:type="pct"/>
            <w:gridSpan w:val="4"/>
          </w:tcPr>
          <w:p w:rsidR="005F60EC" w:rsidRPr="005F60EC" w:rsidRDefault="005F60EC" w:rsidP="004925EB">
            <w:pPr>
              <w:pStyle w:val="Textpoznpodaro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*Pozn.: </w:t>
            </w:r>
            <w:r w:rsidR="004925E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ýdaje na konečnou spotřebu domácností celkem jsou v národním pojetí, jde tedy o spotřebu rezidentů v ČR </w:t>
            </w:r>
            <w:r w:rsidR="004925EB">
              <w:rPr>
                <w:sz w:val="18"/>
                <w:szCs w:val="18"/>
              </w:rPr>
              <w:t>i zahraničí. Struktura</w:t>
            </w:r>
            <w:r>
              <w:rPr>
                <w:sz w:val="18"/>
                <w:szCs w:val="18"/>
              </w:rPr>
              <w:t xml:space="preserve"> vychází z údajů v domácím pojetí, které zachycuje spotřebu rezidentů i nerezidentů na území ČR. </w:t>
            </w:r>
          </w:p>
        </w:tc>
        <w:tc>
          <w:tcPr>
            <w:tcW w:w="952" w:type="pct"/>
          </w:tcPr>
          <w:p w:rsidR="005F60EC" w:rsidRPr="00C407AF" w:rsidRDefault="005F60EC" w:rsidP="009C3DF1">
            <w:pPr>
              <w:pStyle w:val="Textpoznpodarou"/>
              <w:jc w:val="right"/>
              <w:rPr>
                <w:sz w:val="18"/>
                <w:szCs w:val="18"/>
              </w:rPr>
            </w:pPr>
            <w:r w:rsidRPr="00C407AF">
              <w:rPr>
                <w:sz w:val="18"/>
                <w:szCs w:val="18"/>
              </w:rPr>
              <w:t>Zdroj: ČSÚ</w:t>
            </w:r>
            <w:r>
              <w:rPr>
                <w:sz w:val="18"/>
                <w:szCs w:val="18"/>
              </w:rPr>
              <w:t>, vlastní výpočty</w:t>
            </w:r>
          </w:p>
        </w:tc>
      </w:tr>
    </w:tbl>
    <w:p w:rsidR="002F148F" w:rsidRPr="00C869BA" w:rsidRDefault="00F67213" w:rsidP="00C869BA">
      <w:pPr>
        <w:jc w:val="left"/>
        <w:rPr>
          <w:b/>
        </w:rPr>
      </w:pPr>
      <w:r w:rsidRPr="00C869BA">
        <w:rPr>
          <w:b/>
        </w:rPr>
        <w:lastRenderedPageBreak/>
        <w:t>P</w:t>
      </w:r>
      <w:r w:rsidR="00C95153" w:rsidRPr="00C869BA">
        <w:rPr>
          <w:b/>
        </w:rPr>
        <w:t xml:space="preserve">o všech vydáních zůstalo </w:t>
      </w:r>
      <w:r w:rsidRPr="00C869BA">
        <w:rPr>
          <w:b/>
        </w:rPr>
        <w:t xml:space="preserve">domácnostem </w:t>
      </w:r>
      <w:r w:rsidR="00C95153" w:rsidRPr="00C869BA">
        <w:rPr>
          <w:b/>
        </w:rPr>
        <w:t>v prvních třech čtvrtletích loňského roku 42,6 mld. korun</w:t>
      </w:r>
      <w:r w:rsidR="0043210E" w:rsidRPr="00C869BA">
        <w:rPr>
          <w:b/>
        </w:rPr>
        <w:t xml:space="preserve"> nominálně</w:t>
      </w:r>
    </w:p>
    <w:p w:rsidR="00C95153" w:rsidRPr="001266C3" w:rsidRDefault="004925EB" w:rsidP="005F60EC">
      <w:r w:rsidRPr="001266C3">
        <w:t>Domácnostem standardně po všech vydáních</w:t>
      </w:r>
      <w:r w:rsidR="00341C4F" w:rsidRPr="001266C3">
        <w:t>, spotřebních i investičních, zbývají volné prostředky. Jde o tzv. čisté půjčky</w:t>
      </w:r>
      <w:r w:rsidR="00341C4F" w:rsidRPr="001266C3">
        <w:rPr>
          <w:rStyle w:val="Znakapoznpodarou"/>
        </w:rPr>
        <w:footnoteReference w:id="5"/>
      </w:r>
      <w:r w:rsidR="00C869BA">
        <w:t>,</w:t>
      </w:r>
      <w:r w:rsidR="00341C4F" w:rsidRPr="001266C3">
        <w:t xml:space="preserve"> kterými posilují svá čistá finanční aktiva. Ani období od ledna do září 2015 nebylo v tomto ohledu výjimkou. Sice jim zůstalo méně než před rokem</w:t>
      </w:r>
      <w:r w:rsidR="0043210E" w:rsidRPr="001266C3">
        <w:t xml:space="preserve">, </w:t>
      </w:r>
      <w:r w:rsidR="00341C4F" w:rsidRPr="001266C3">
        <w:t>namísto 69,5 mld. korun nominálně</w:t>
      </w:r>
      <w:r w:rsidR="0043210E" w:rsidRPr="001266C3">
        <w:t xml:space="preserve"> „jen“ 42,6 mld.,</w:t>
      </w:r>
      <w:r w:rsidR="00D530BF" w:rsidRPr="001266C3">
        <w:t xml:space="preserve"> </w:t>
      </w:r>
      <w:r w:rsidR="00341C4F" w:rsidRPr="001266C3">
        <w:t>vzhledem k silnému růstu výdajů na konečnou spotřebu</w:t>
      </w:r>
      <w:r w:rsidR="00D530BF" w:rsidRPr="001266C3">
        <w:t xml:space="preserve"> </w:t>
      </w:r>
      <w:r w:rsidR="00ED6468" w:rsidRPr="001266C3">
        <w:t>se však jednalo o celkem logický důsledek</w:t>
      </w:r>
      <w:r w:rsidR="00D530BF" w:rsidRPr="001266C3">
        <w:t>.</w:t>
      </w:r>
    </w:p>
    <w:p w:rsidR="00C95153" w:rsidRPr="001266C3" w:rsidRDefault="00C95153" w:rsidP="005F60EC"/>
    <w:p w:rsidR="00161CC3" w:rsidRPr="001266C3" w:rsidRDefault="00C95153" w:rsidP="005F60EC">
      <w:r w:rsidRPr="001266C3">
        <w:t xml:space="preserve">Údaje </w:t>
      </w:r>
      <w:r w:rsidR="00561415">
        <w:t>v</w:t>
      </w:r>
      <w:r w:rsidR="00561415" w:rsidRPr="001266C3">
        <w:t xml:space="preserve"> měnovém přehledu </w:t>
      </w:r>
      <w:r w:rsidRPr="001266C3">
        <w:t>České národní banky</w:t>
      </w:r>
      <w:r w:rsidR="004044FE">
        <w:t xml:space="preserve"> </w:t>
      </w:r>
      <w:r w:rsidRPr="001266C3">
        <w:t>mohou naznačit, jak domácnosti s volnými prostředky</w:t>
      </w:r>
      <w:r w:rsidR="00161CC3" w:rsidRPr="001266C3">
        <w:t>, které jim v lednu až září 2015 zůstaly,</w:t>
      </w:r>
      <w:r w:rsidRPr="001266C3">
        <w:t xml:space="preserve"> </w:t>
      </w:r>
      <w:r w:rsidR="00161CC3" w:rsidRPr="001266C3">
        <w:t>naložily</w:t>
      </w:r>
      <w:r w:rsidRPr="001266C3">
        <w:t xml:space="preserve">. Podle </w:t>
      </w:r>
      <w:r w:rsidR="003E0E54" w:rsidRPr="001266C3">
        <w:t>dat</w:t>
      </w:r>
      <w:r w:rsidRPr="001266C3">
        <w:t xml:space="preserve"> z konce roku 2014 činily stavy</w:t>
      </w:r>
      <w:r w:rsidR="00561415">
        <w:t xml:space="preserve"> bankovních</w:t>
      </w:r>
      <w:r w:rsidRPr="001266C3">
        <w:t xml:space="preserve"> úvěrů domácnostem </w:t>
      </w:r>
      <w:r w:rsidR="00161CC3" w:rsidRPr="001266C3">
        <w:t>1,238</w:t>
      </w:r>
      <w:r w:rsidRPr="001266C3">
        <w:t xml:space="preserve"> bilionu korun, na depozitech u bank měly</w:t>
      </w:r>
      <w:r w:rsidR="004044FE">
        <w:t xml:space="preserve"> domácnosti</w:t>
      </w:r>
      <w:r w:rsidRPr="001266C3">
        <w:t xml:space="preserve"> celkově </w:t>
      </w:r>
      <w:r w:rsidR="00161CC3" w:rsidRPr="001266C3">
        <w:t>1,976</w:t>
      </w:r>
      <w:r w:rsidRPr="001266C3">
        <w:t xml:space="preserve"> bilionu. Do konce září 2015 stavy úvěrů stouply na </w:t>
      </w:r>
      <w:r w:rsidR="00161CC3" w:rsidRPr="001266C3">
        <w:t>1,308</w:t>
      </w:r>
      <w:r w:rsidRPr="001266C3">
        <w:t xml:space="preserve"> bilionu</w:t>
      </w:r>
      <w:r w:rsidR="00161CC3" w:rsidRPr="001266C3">
        <w:t xml:space="preserve"> (+70</w:t>
      </w:r>
      <w:r w:rsidR="00561415">
        <w:t> </w:t>
      </w:r>
      <w:r w:rsidR="00161CC3" w:rsidRPr="001266C3">
        <w:t>mld. korun) a</w:t>
      </w:r>
      <w:r w:rsidR="004044FE">
        <w:t> </w:t>
      </w:r>
      <w:r w:rsidR="00161CC3" w:rsidRPr="001266C3">
        <w:t>depozita na</w:t>
      </w:r>
      <w:r w:rsidR="0061318E" w:rsidRPr="001266C3">
        <w:t> </w:t>
      </w:r>
      <w:r w:rsidR="00161CC3" w:rsidRPr="001266C3">
        <w:t xml:space="preserve">2,038 bilionu (+61 mld. korun). </w:t>
      </w:r>
      <w:r w:rsidR="004044FE">
        <w:t>Mírně</w:t>
      </w:r>
      <w:r w:rsidR="00161CC3" w:rsidRPr="001266C3">
        <w:t xml:space="preserve"> rychlejší růst úvěrů domácnostem oproti objemu depozit u bank poukazoval na to, že domácnosti </w:t>
      </w:r>
      <w:r w:rsidR="0061318E" w:rsidRPr="001266C3">
        <w:t>musely posilovat</w:t>
      </w:r>
      <w:r w:rsidR="00D530BF" w:rsidRPr="001266C3">
        <w:t xml:space="preserve"> i</w:t>
      </w:r>
      <w:r w:rsidR="00561415">
        <w:t> </w:t>
      </w:r>
      <w:r w:rsidR="00161CC3" w:rsidRPr="001266C3">
        <w:t>jiná finanční aktiva než depozita. Mohlo jimi b</w:t>
      </w:r>
      <w:r w:rsidR="004044FE">
        <w:t>ýt například oběživo, dluhopisy</w:t>
      </w:r>
      <w:r w:rsidR="00161CC3" w:rsidRPr="001266C3">
        <w:t xml:space="preserve"> či akcie. Alternativně mohlo docházet i</w:t>
      </w:r>
      <w:r w:rsidR="0061318E" w:rsidRPr="001266C3">
        <w:t> </w:t>
      </w:r>
      <w:r w:rsidR="00161CC3" w:rsidRPr="001266C3">
        <w:t xml:space="preserve">k poklesu zadlužení českých domácností </w:t>
      </w:r>
      <w:r w:rsidR="00665E27" w:rsidRPr="001266C3">
        <w:t xml:space="preserve">u nebankovních institucí či </w:t>
      </w:r>
      <w:r w:rsidR="00161CC3" w:rsidRPr="001266C3">
        <w:t>v zahraničí.</w:t>
      </w:r>
    </w:p>
    <w:p w:rsidR="00161CC3" w:rsidRPr="001266C3" w:rsidRDefault="00161CC3" w:rsidP="00161CC3"/>
    <w:p w:rsidR="003813CB" w:rsidRPr="001266C3" w:rsidRDefault="00161CC3" w:rsidP="00C869BA">
      <w:pPr>
        <w:jc w:val="left"/>
        <w:rPr>
          <w:b/>
        </w:rPr>
      </w:pPr>
      <w:r w:rsidRPr="001266C3">
        <w:rPr>
          <w:b/>
        </w:rPr>
        <w:t>Závěr</w:t>
      </w:r>
    </w:p>
    <w:p w:rsidR="005432E4" w:rsidRDefault="004044FE" w:rsidP="0061318E">
      <w:r>
        <w:t>S</w:t>
      </w:r>
      <w:r w:rsidR="00D44BE6">
        <w:t>ilný</w:t>
      </w:r>
      <w:r w:rsidR="00066761" w:rsidRPr="001266C3">
        <w:t xml:space="preserve"> růst ekonomiky</w:t>
      </w:r>
      <w:r w:rsidR="00850289">
        <w:t xml:space="preserve"> České republiky</w:t>
      </w:r>
      <w:r w:rsidR="00066761" w:rsidRPr="001266C3">
        <w:t xml:space="preserve"> v prvních třech čtvrtletích 2015 </w:t>
      </w:r>
      <w:r w:rsidR="00850289">
        <w:t>podstatně</w:t>
      </w:r>
      <w:r w:rsidR="001266C3">
        <w:t xml:space="preserve"> vy</w:t>
      </w:r>
      <w:r w:rsidR="00066761" w:rsidRPr="001266C3">
        <w:t>lepšil situaci na</w:t>
      </w:r>
      <w:r w:rsidR="00850289">
        <w:t> tuzemském</w:t>
      </w:r>
      <w:r w:rsidR="00066761" w:rsidRPr="001266C3">
        <w:t xml:space="preserve"> trhu práce. Počty </w:t>
      </w:r>
      <w:r w:rsidR="001266C3" w:rsidRPr="001266C3">
        <w:t>zaměstnanců</w:t>
      </w:r>
      <w:r w:rsidR="001266C3">
        <w:t xml:space="preserve"> v meziročním srovnání </w:t>
      </w:r>
      <w:r w:rsidR="00066761" w:rsidRPr="001266C3">
        <w:t>stouply, stejně tak i</w:t>
      </w:r>
      <w:r w:rsidR="00850289">
        <w:t> </w:t>
      </w:r>
      <w:r w:rsidR="00066761" w:rsidRPr="001266C3">
        <w:t>průměrná mzda, a objem vyplacených mezd a platů narostl nejrychleji za po</w:t>
      </w:r>
      <w:r>
        <w:t>sledních sedm let. Mzdy a platy</w:t>
      </w:r>
      <w:r w:rsidR="00DB2607">
        <w:t xml:space="preserve"> připadnuvší</w:t>
      </w:r>
      <w:r w:rsidR="00066761" w:rsidRPr="001266C3">
        <w:t xml:space="preserve"> domácnostem se zvýšily o</w:t>
      </w:r>
      <w:r w:rsidR="001266C3">
        <w:t> </w:t>
      </w:r>
      <w:r w:rsidR="00CF11DF">
        <w:t>36</w:t>
      </w:r>
      <w:r w:rsidR="003813CB" w:rsidRPr="001266C3">
        <w:t>,2</w:t>
      </w:r>
      <w:r w:rsidR="001266C3">
        <w:t> </w:t>
      </w:r>
      <w:r w:rsidR="003813CB" w:rsidRPr="001266C3">
        <w:t>mld. korun</w:t>
      </w:r>
      <w:r w:rsidR="001266C3">
        <w:t xml:space="preserve"> nominálně</w:t>
      </w:r>
      <w:r w:rsidR="00D44BE6">
        <w:t>, ty si přitom přišly</w:t>
      </w:r>
      <w:r w:rsidR="0078335F">
        <w:t xml:space="preserve"> na více peněz i</w:t>
      </w:r>
      <w:r w:rsidR="005432E4">
        <w:t> </w:t>
      </w:r>
      <w:r w:rsidR="0078335F">
        <w:t>v zahraničí (+</w:t>
      </w:r>
      <w:r w:rsidR="005432E4">
        <w:t>5,2 mld.</w:t>
      </w:r>
      <w:r w:rsidR="0078335F">
        <w:t>) a také saldo přerozdělení s ostatními institucionálními sektory se z pohledu domácn</w:t>
      </w:r>
      <w:r w:rsidR="00B75F7C">
        <w:t>ost</w:t>
      </w:r>
      <w:r w:rsidR="0078335F">
        <w:t>í zlepšilo</w:t>
      </w:r>
      <w:r w:rsidR="005432E4">
        <w:t xml:space="preserve"> (+2 mld.)</w:t>
      </w:r>
      <w:r w:rsidR="0078335F">
        <w:t xml:space="preserve">. Jelikož méně než </w:t>
      </w:r>
      <w:r w:rsidR="00B75F7C">
        <w:t>před rokem domácnosti</w:t>
      </w:r>
      <w:r w:rsidR="005432E4">
        <w:t xml:space="preserve"> zí</w:t>
      </w:r>
      <w:r w:rsidR="0078335F">
        <w:t>s</w:t>
      </w:r>
      <w:r w:rsidR="005432E4">
        <w:t>k</w:t>
      </w:r>
      <w:r w:rsidR="0078335F">
        <w:t>a</w:t>
      </w:r>
      <w:r w:rsidR="005432E4">
        <w:t>l</w:t>
      </w:r>
      <w:r w:rsidR="0078335F">
        <w:t xml:space="preserve">y jen ve formě zisků </w:t>
      </w:r>
      <w:r w:rsidR="00B00625">
        <w:t>z malého podnikání</w:t>
      </w:r>
      <w:r w:rsidR="005432E4">
        <w:t xml:space="preserve"> (-1,7 mld.)</w:t>
      </w:r>
      <w:r w:rsidR="0078335F">
        <w:t xml:space="preserve"> a salda důchodů z</w:t>
      </w:r>
      <w:r w:rsidR="00850289">
        <w:t> </w:t>
      </w:r>
      <w:r w:rsidR="0078335F">
        <w:t>vlastnictví</w:t>
      </w:r>
      <w:r w:rsidR="005432E4">
        <w:t xml:space="preserve"> (-2,8</w:t>
      </w:r>
      <w:r w:rsidR="00850289">
        <w:t> </w:t>
      </w:r>
      <w:r w:rsidR="005432E4">
        <w:t>mld.)</w:t>
      </w:r>
      <w:r w:rsidR="0078335F">
        <w:t xml:space="preserve">, </w:t>
      </w:r>
      <w:r w:rsidR="00C1083A">
        <w:t>stouply</w:t>
      </w:r>
      <w:r w:rsidR="0078335F">
        <w:t xml:space="preserve"> jejich disponibilní příjmy</w:t>
      </w:r>
      <w:r w:rsidR="00C1083A">
        <w:t xml:space="preserve"> poměrně</w:t>
      </w:r>
      <w:r w:rsidR="0078335F">
        <w:t xml:space="preserve"> významně. </w:t>
      </w:r>
      <w:r w:rsidR="00C1083A">
        <w:t>Vzrostly</w:t>
      </w:r>
      <w:r w:rsidR="0078335F">
        <w:t xml:space="preserve"> </w:t>
      </w:r>
      <w:r w:rsidR="003813CB" w:rsidRPr="001266C3">
        <w:t>o</w:t>
      </w:r>
      <w:r w:rsidR="00DB2607">
        <w:t> </w:t>
      </w:r>
      <w:r w:rsidR="003813CB" w:rsidRPr="001266C3">
        <w:t>38,8</w:t>
      </w:r>
      <w:r w:rsidR="00DB2607">
        <w:t> </w:t>
      </w:r>
      <w:r w:rsidR="003813CB" w:rsidRPr="001266C3">
        <w:t xml:space="preserve">mld. korun a </w:t>
      </w:r>
      <w:r w:rsidR="00850289">
        <w:t>činily téměř</w:t>
      </w:r>
      <w:r w:rsidR="003813CB" w:rsidRPr="001266C3">
        <w:t xml:space="preserve"> 1,7</w:t>
      </w:r>
      <w:r w:rsidR="001266C3">
        <w:t> </w:t>
      </w:r>
      <w:r w:rsidR="00850289">
        <w:t>bilionu.</w:t>
      </w:r>
    </w:p>
    <w:p w:rsidR="005432E4" w:rsidRDefault="005432E4" w:rsidP="0061318E"/>
    <w:p w:rsidR="003813CB" w:rsidRPr="001266C3" w:rsidRDefault="00850289" w:rsidP="0061318E">
      <w:r>
        <w:t xml:space="preserve">Nízký nárůst cen </w:t>
      </w:r>
      <w:r w:rsidR="003813CB" w:rsidRPr="001266C3">
        <w:t>příjmy domácnostem</w:t>
      </w:r>
      <w:r w:rsidR="0078335F">
        <w:t xml:space="preserve"> </w:t>
      </w:r>
      <w:r w:rsidR="003813CB" w:rsidRPr="001266C3">
        <w:t>příliš nezneh</w:t>
      </w:r>
      <w:r>
        <w:t>odnotil</w:t>
      </w:r>
      <w:r w:rsidR="005432E4">
        <w:t>,</w:t>
      </w:r>
      <w:r w:rsidR="003813CB" w:rsidRPr="001266C3">
        <w:t xml:space="preserve"> ty se je</w:t>
      </w:r>
      <w:r w:rsidR="005432E4">
        <w:t xml:space="preserve"> přitom</w:t>
      </w:r>
      <w:r w:rsidR="003813CB" w:rsidRPr="001266C3">
        <w:t xml:space="preserve"> nebály utrácet. Výdaje na konečnou spotřebu domácností </w:t>
      </w:r>
      <w:r w:rsidR="001266C3">
        <w:t>se</w:t>
      </w:r>
      <w:r w:rsidR="003813CB" w:rsidRPr="001266C3">
        <w:t xml:space="preserve"> </w:t>
      </w:r>
      <w:r w:rsidR="00DB2607">
        <w:t>v lednu až</w:t>
      </w:r>
      <w:r w:rsidR="003813CB" w:rsidRPr="001266C3">
        <w:t xml:space="preserve"> září 2015</w:t>
      </w:r>
      <w:r w:rsidR="001266C3">
        <w:t xml:space="preserve"> zvýšily</w:t>
      </w:r>
      <w:r w:rsidR="003813CB" w:rsidRPr="001266C3">
        <w:t xml:space="preserve"> </w:t>
      </w:r>
      <w:r w:rsidR="00DB2607">
        <w:t>v reálném vyjádření</w:t>
      </w:r>
      <w:r w:rsidR="001266C3" w:rsidRPr="001266C3">
        <w:t xml:space="preserve"> </w:t>
      </w:r>
      <w:r w:rsidR="003813CB" w:rsidRPr="001266C3">
        <w:t>o</w:t>
      </w:r>
      <w:r w:rsidR="001266C3">
        <w:t> </w:t>
      </w:r>
      <w:r w:rsidR="003813CB" w:rsidRPr="001266C3">
        <w:t>2,8</w:t>
      </w:r>
      <w:r w:rsidR="001266C3">
        <w:t> </w:t>
      </w:r>
      <w:r w:rsidR="003813CB" w:rsidRPr="001266C3">
        <w:t>%</w:t>
      </w:r>
      <w:r w:rsidR="00DB2607">
        <w:t xml:space="preserve"> meziročně</w:t>
      </w:r>
      <w:r w:rsidR="005432E4">
        <w:t xml:space="preserve"> a </w:t>
      </w:r>
      <w:r w:rsidR="003813CB" w:rsidRPr="001266C3">
        <w:t>investice do staveb pro bydlení o 1,8 %.</w:t>
      </w:r>
      <w:r w:rsidR="00D60262">
        <w:t xml:space="preserve"> Prostřednictvím těchto výdajů tak domácnosti dále stimulovaly hospodářský růst.</w:t>
      </w:r>
      <w:r w:rsidR="003813CB" w:rsidRPr="001266C3">
        <w:t xml:space="preserve"> Po všech vyd</w:t>
      </w:r>
      <w:r w:rsidR="00CF11DF">
        <w:t>áních</w:t>
      </w:r>
      <w:r w:rsidR="003813CB" w:rsidRPr="001266C3">
        <w:t xml:space="preserve"> domácnostem zůstalo</w:t>
      </w:r>
      <w:r w:rsidR="001266C3">
        <w:t xml:space="preserve"> v nominálním vyjádření</w:t>
      </w:r>
      <w:r w:rsidR="003813CB" w:rsidRPr="001266C3">
        <w:t xml:space="preserve"> 42,6 mld. korun. </w:t>
      </w:r>
      <w:r w:rsidR="001266C3">
        <w:t>Těmito prostředky</w:t>
      </w:r>
      <w:r w:rsidR="003813CB" w:rsidRPr="001266C3">
        <w:t xml:space="preserve"> posílily svá čistá finanční aktiva.</w:t>
      </w:r>
    </w:p>
    <w:p w:rsidR="003813CB" w:rsidRDefault="003813CB" w:rsidP="003813CB"/>
    <w:p w:rsidR="003813CB" w:rsidRPr="00C869BA" w:rsidRDefault="003813CB" w:rsidP="00C869BA">
      <w:pPr>
        <w:jc w:val="left"/>
        <w:rPr>
          <w:b/>
        </w:rPr>
      </w:pPr>
      <w:r w:rsidRPr="00C869BA">
        <w:rPr>
          <w:b/>
        </w:rPr>
        <w:t>Autor</w:t>
      </w:r>
    </w:p>
    <w:p w:rsidR="003813CB" w:rsidRDefault="003813CB" w:rsidP="003813CB">
      <w:r w:rsidRPr="00E87D4A">
        <w:t>Ing. Lukáš Kučera</w:t>
      </w:r>
    </w:p>
    <w:p w:rsidR="003813CB" w:rsidRPr="00E87D4A" w:rsidRDefault="003813CB" w:rsidP="003813CB">
      <w:r w:rsidRPr="00E87D4A">
        <w:t xml:space="preserve">Oddělení svodných </w:t>
      </w:r>
      <w:r w:rsidR="00C869BA">
        <w:t>analýz / Kancelář předsedkyně</w:t>
      </w:r>
    </w:p>
    <w:p w:rsidR="003813CB" w:rsidRPr="00E87D4A" w:rsidRDefault="003813CB" w:rsidP="003813CB">
      <w:r w:rsidRPr="00E87D4A">
        <w:t xml:space="preserve">Tel.: </w:t>
      </w:r>
      <w:r w:rsidRPr="00E87D4A">
        <w:rPr>
          <w:rFonts w:cs="Arial"/>
        </w:rPr>
        <w:t>274 052 254</w:t>
      </w:r>
    </w:p>
    <w:p w:rsidR="003813CB" w:rsidRDefault="003813CB" w:rsidP="003813CB">
      <w:r w:rsidRPr="00E87D4A">
        <w:t>E-mail:</w:t>
      </w:r>
      <w:r>
        <w:t xml:space="preserve"> </w:t>
      </w:r>
      <w:hyperlink r:id="rId14" w:history="1">
        <w:r w:rsidRPr="005F5B62">
          <w:rPr>
            <w:rStyle w:val="Hypertextovodkaz"/>
          </w:rPr>
          <w:t>lukas.kucera@czso.cz</w:t>
        </w:r>
      </w:hyperlink>
    </w:p>
    <w:p w:rsidR="00C95153" w:rsidRPr="003813CB" w:rsidRDefault="00C95153" w:rsidP="003813CB"/>
    <w:sectPr w:rsidR="00C95153" w:rsidRPr="003813CB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AD" w:rsidRDefault="00F926AD" w:rsidP="00EE61FB">
      <w:pPr>
        <w:spacing w:line="240" w:lineRule="auto"/>
      </w:pPr>
      <w:r>
        <w:separator/>
      </w:r>
    </w:p>
  </w:endnote>
  <w:endnote w:type="continuationSeparator" w:id="0">
    <w:p w:rsidR="00F926AD" w:rsidRDefault="00F926AD" w:rsidP="00EE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682D95">
    <w:pPr>
      <w:pStyle w:val="Zpat"/>
    </w:pPr>
    <w:r>
      <w:rPr>
        <w:noProof/>
        <w:lang w:eastAsia="cs-CZ"/>
      </w:rPr>
      <w:pict>
        <v:line id="_x0000_s2052" style="position:absolute;left:0;text-align:left;flip:y;z-index:251663360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9650B" w:rsidRPr="001404AB" w:rsidRDefault="006B659A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9650B" w:rsidRPr="00A81EB3" w:rsidRDefault="006B659A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4315C9">
                  <w:rPr>
                    <w:rFonts w:cs="Arial"/>
                    <w:b/>
                    <w:bCs/>
                    <w:sz w:val="15"/>
                    <w:szCs w:val="15"/>
                  </w:rPr>
                  <w:t>tel</w:t>
                </w:r>
                <w:r w:rsidR="004315C9">
                  <w:rPr>
                    <w:rFonts w:cs="Arial"/>
                    <w:bCs/>
                    <w:sz w:val="15"/>
                    <w:szCs w:val="15"/>
                  </w:rPr>
                  <w:t>.</w:t>
                </w:r>
                <w:proofErr w:type="gramEnd"/>
                <w:r w:rsidR="004315C9">
                  <w:rPr>
                    <w:rFonts w:cs="Arial"/>
                    <w:sz w:val="15"/>
                    <w:szCs w:val="15"/>
                  </w:rPr>
                  <w:t>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82D95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82D95" w:rsidRPr="004E479E">
                  <w:rPr>
                    <w:rFonts w:cs="Arial"/>
                    <w:szCs w:val="15"/>
                  </w:rPr>
                  <w:fldChar w:fldCharType="separate"/>
                </w:r>
                <w:r w:rsidR="0007353D">
                  <w:rPr>
                    <w:rFonts w:cs="Arial"/>
                    <w:noProof/>
                    <w:szCs w:val="15"/>
                  </w:rPr>
                  <w:t>7</w:t>
                </w:r>
                <w:r w:rsidR="00682D9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AD" w:rsidRDefault="00F926AD" w:rsidP="00EE61FB">
      <w:pPr>
        <w:spacing w:line="240" w:lineRule="auto"/>
      </w:pPr>
      <w:r>
        <w:separator/>
      </w:r>
    </w:p>
  </w:footnote>
  <w:footnote w:type="continuationSeparator" w:id="0">
    <w:p w:rsidR="00F926AD" w:rsidRDefault="00F926AD" w:rsidP="00EE61FB">
      <w:pPr>
        <w:spacing w:line="240" w:lineRule="auto"/>
      </w:pPr>
      <w:r>
        <w:continuationSeparator/>
      </w:r>
    </w:p>
  </w:footnote>
  <w:footnote w:id="1">
    <w:p w:rsidR="007935B8" w:rsidRPr="00B32969" w:rsidRDefault="007935B8" w:rsidP="007935B8">
      <w:pPr>
        <w:pStyle w:val="Textpoznpodarou"/>
        <w:rPr>
          <w:sz w:val="16"/>
          <w:szCs w:val="16"/>
        </w:rPr>
      </w:pPr>
      <w:r w:rsidRPr="00662843">
        <w:rPr>
          <w:rStyle w:val="Znakapoznpodarou"/>
        </w:rPr>
        <w:footnoteRef/>
      </w:r>
      <w:r w:rsidRPr="00B32969">
        <w:rPr>
          <w:sz w:val="16"/>
          <w:szCs w:val="16"/>
        </w:rPr>
        <w:t xml:space="preserve"> </w:t>
      </w:r>
      <w:r w:rsidR="00BC2145">
        <w:rPr>
          <w:sz w:val="16"/>
          <w:szCs w:val="16"/>
        </w:rPr>
        <w:t>Údaje o HDP a jeho strukt</w:t>
      </w:r>
      <w:r w:rsidR="00154938">
        <w:rPr>
          <w:sz w:val="16"/>
          <w:szCs w:val="16"/>
        </w:rPr>
        <w:t>uře jsou v reálném vyjádření a bez</w:t>
      </w:r>
      <w:r w:rsidR="00BC2145">
        <w:rPr>
          <w:sz w:val="16"/>
          <w:szCs w:val="16"/>
        </w:rPr>
        <w:t> očištění o kalendářní vlivy a sezónnost.</w:t>
      </w:r>
    </w:p>
  </w:footnote>
  <w:footnote w:id="2">
    <w:p w:rsidR="005203C2" w:rsidRDefault="005203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03C2">
        <w:rPr>
          <w:sz w:val="16"/>
          <w:szCs w:val="16"/>
        </w:rPr>
        <w:t>Jde o tzv. hrubý</w:t>
      </w:r>
      <w:r w:rsidR="00C869BA">
        <w:rPr>
          <w:sz w:val="16"/>
          <w:szCs w:val="16"/>
        </w:rPr>
        <w:t xml:space="preserve"> disponibilní důchod domácností</w:t>
      </w:r>
      <w:r w:rsidR="0007353D">
        <w:rPr>
          <w:sz w:val="16"/>
          <w:szCs w:val="16"/>
        </w:rPr>
        <w:t xml:space="preserve"> sestavený</w:t>
      </w:r>
      <w:r w:rsidR="00C869BA">
        <w:rPr>
          <w:sz w:val="16"/>
          <w:szCs w:val="16"/>
        </w:rPr>
        <w:t xml:space="preserve"> v metodice národních účtů.</w:t>
      </w:r>
    </w:p>
  </w:footnote>
  <w:footnote w:id="3">
    <w:p w:rsidR="00BB65A4" w:rsidRDefault="00BB65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044FE">
        <w:rPr>
          <w:sz w:val="16"/>
          <w:szCs w:val="16"/>
        </w:rPr>
        <w:t>Jedná se</w:t>
      </w:r>
      <w:r w:rsidRPr="00BB65A4">
        <w:rPr>
          <w:sz w:val="16"/>
          <w:szCs w:val="16"/>
        </w:rPr>
        <w:t xml:space="preserve"> o tzv. hrubý provozní přebytek a smíšený důchod</w:t>
      </w:r>
      <w:r w:rsidR="00FE5075">
        <w:rPr>
          <w:sz w:val="16"/>
          <w:szCs w:val="16"/>
        </w:rPr>
        <w:t>.</w:t>
      </w:r>
      <w:r w:rsidR="00F15B68">
        <w:rPr>
          <w:sz w:val="16"/>
          <w:szCs w:val="16"/>
        </w:rPr>
        <w:t xml:space="preserve"> </w:t>
      </w:r>
      <w:r w:rsidR="00FE5075">
        <w:rPr>
          <w:sz w:val="16"/>
          <w:szCs w:val="16"/>
        </w:rPr>
        <w:t>Kromě zisků</w:t>
      </w:r>
      <w:r w:rsidR="00F15B68">
        <w:rPr>
          <w:sz w:val="16"/>
          <w:szCs w:val="16"/>
        </w:rPr>
        <w:t xml:space="preserve"> </w:t>
      </w:r>
      <w:r w:rsidR="00B00625">
        <w:rPr>
          <w:sz w:val="16"/>
          <w:szCs w:val="16"/>
        </w:rPr>
        <w:t>z malého podnikání</w:t>
      </w:r>
      <w:r w:rsidR="00FE5075">
        <w:rPr>
          <w:sz w:val="16"/>
          <w:szCs w:val="16"/>
        </w:rPr>
        <w:t xml:space="preserve"> jsou </w:t>
      </w:r>
      <w:r w:rsidR="00B00625">
        <w:rPr>
          <w:sz w:val="16"/>
          <w:szCs w:val="16"/>
        </w:rPr>
        <w:t>v něm zahrnuty</w:t>
      </w:r>
      <w:r w:rsidR="00F15B68">
        <w:rPr>
          <w:sz w:val="16"/>
          <w:szCs w:val="16"/>
        </w:rPr>
        <w:t xml:space="preserve"> i</w:t>
      </w:r>
      <w:r w:rsidR="004044FE">
        <w:rPr>
          <w:sz w:val="16"/>
          <w:szCs w:val="16"/>
        </w:rPr>
        <w:t> </w:t>
      </w:r>
      <w:r w:rsidR="00F15B68">
        <w:rPr>
          <w:sz w:val="16"/>
          <w:szCs w:val="16"/>
        </w:rPr>
        <w:t>příjmy</w:t>
      </w:r>
      <w:r w:rsidR="00FE5075">
        <w:rPr>
          <w:sz w:val="16"/>
          <w:szCs w:val="16"/>
        </w:rPr>
        <w:t xml:space="preserve"> pomáhajících rodinných příslušníků, příjmy</w:t>
      </w:r>
      <w:r w:rsidR="00F15B68">
        <w:rPr>
          <w:sz w:val="16"/>
          <w:szCs w:val="16"/>
        </w:rPr>
        <w:t xml:space="preserve"> z pronájmu nemovitostí</w:t>
      </w:r>
      <w:r w:rsidR="00B00625">
        <w:rPr>
          <w:sz w:val="16"/>
          <w:szCs w:val="16"/>
        </w:rPr>
        <w:t xml:space="preserve"> a imputované nájemné</w:t>
      </w:r>
      <w:r w:rsidR="00F15B68">
        <w:rPr>
          <w:sz w:val="16"/>
          <w:szCs w:val="16"/>
        </w:rPr>
        <w:t>.</w:t>
      </w:r>
    </w:p>
  </w:footnote>
  <w:footnote w:id="4">
    <w:p w:rsidR="002F148F" w:rsidRDefault="002F14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F148F">
        <w:rPr>
          <w:sz w:val="16"/>
          <w:szCs w:val="16"/>
        </w:rPr>
        <w:t>Meziroční změna hrubého disponibilního důchodu</w:t>
      </w:r>
      <w:r w:rsidR="009D187A">
        <w:rPr>
          <w:sz w:val="16"/>
          <w:szCs w:val="16"/>
        </w:rPr>
        <w:t xml:space="preserve"> domácností</w:t>
      </w:r>
      <w:r w:rsidRPr="002F148F">
        <w:rPr>
          <w:sz w:val="16"/>
          <w:szCs w:val="16"/>
        </w:rPr>
        <w:t xml:space="preserve"> převedena do reálného vyjádření </w:t>
      </w:r>
      <w:r w:rsidR="00CB7D34">
        <w:rPr>
          <w:sz w:val="16"/>
          <w:szCs w:val="16"/>
        </w:rPr>
        <w:t>pomocí</w:t>
      </w:r>
      <w:r w:rsidRPr="002F148F">
        <w:rPr>
          <w:sz w:val="16"/>
          <w:szCs w:val="16"/>
        </w:rPr>
        <w:t xml:space="preserve"> deflátoru výdajů na</w:t>
      </w:r>
      <w:r>
        <w:rPr>
          <w:sz w:val="16"/>
          <w:szCs w:val="16"/>
        </w:rPr>
        <w:t> </w:t>
      </w:r>
      <w:r w:rsidRPr="002F148F">
        <w:rPr>
          <w:sz w:val="16"/>
          <w:szCs w:val="16"/>
        </w:rPr>
        <w:t>konečnou spotřebu domácností.</w:t>
      </w:r>
    </w:p>
  </w:footnote>
  <w:footnote w:id="5">
    <w:p w:rsidR="00341C4F" w:rsidRDefault="00341C4F" w:rsidP="00161C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1CC3">
        <w:rPr>
          <w:sz w:val="16"/>
          <w:szCs w:val="16"/>
        </w:rPr>
        <w:t xml:space="preserve">V případě </w:t>
      </w:r>
      <w:r w:rsidR="00D530BF">
        <w:rPr>
          <w:sz w:val="16"/>
          <w:szCs w:val="16"/>
        </w:rPr>
        <w:t>kladného zůstatku hovoříme</w:t>
      </w:r>
      <w:r w:rsidRPr="00161CC3">
        <w:rPr>
          <w:sz w:val="16"/>
          <w:szCs w:val="16"/>
        </w:rPr>
        <w:t xml:space="preserve"> o čistých půjčkách, v případě potřeby financování naopak o čistých výpůjčkách.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0B" w:rsidRDefault="00682D9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left:0;text-align:left;margin-left:28.55pt;margin-top:42.3pt;width:498.35pt;height:82.35pt;z-index:25166233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1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4051"/>
    <w:rsid w:val="00000050"/>
    <w:rsid w:val="000006B4"/>
    <w:rsid w:val="00000A94"/>
    <w:rsid w:val="0000330C"/>
    <w:rsid w:val="000048CE"/>
    <w:rsid w:val="0000578F"/>
    <w:rsid w:val="0000589A"/>
    <w:rsid w:val="00010276"/>
    <w:rsid w:val="0001365B"/>
    <w:rsid w:val="00013A80"/>
    <w:rsid w:val="00015B98"/>
    <w:rsid w:val="000216B5"/>
    <w:rsid w:val="000219E7"/>
    <w:rsid w:val="00023BC4"/>
    <w:rsid w:val="000251E5"/>
    <w:rsid w:val="00025542"/>
    <w:rsid w:val="0002782F"/>
    <w:rsid w:val="000303F4"/>
    <w:rsid w:val="0003347B"/>
    <w:rsid w:val="000401E5"/>
    <w:rsid w:val="00040531"/>
    <w:rsid w:val="00045217"/>
    <w:rsid w:val="00052AE4"/>
    <w:rsid w:val="00066761"/>
    <w:rsid w:val="00071CB0"/>
    <w:rsid w:val="0007353D"/>
    <w:rsid w:val="000773AC"/>
    <w:rsid w:val="00080133"/>
    <w:rsid w:val="00082FD4"/>
    <w:rsid w:val="000849AA"/>
    <w:rsid w:val="000900CE"/>
    <w:rsid w:val="000A0046"/>
    <w:rsid w:val="000A2206"/>
    <w:rsid w:val="000A3220"/>
    <w:rsid w:val="000A774B"/>
    <w:rsid w:val="000B06C8"/>
    <w:rsid w:val="000B69C9"/>
    <w:rsid w:val="000B69D2"/>
    <w:rsid w:val="000C0CDD"/>
    <w:rsid w:val="000C1FE5"/>
    <w:rsid w:val="000C455F"/>
    <w:rsid w:val="000D382E"/>
    <w:rsid w:val="000E1BA0"/>
    <w:rsid w:val="000E3C04"/>
    <w:rsid w:val="000E52D1"/>
    <w:rsid w:val="00100BEE"/>
    <w:rsid w:val="00111107"/>
    <w:rsid w:val="00115C2A"/>
    <w:rsid w:val="00115D3B"/>
    <w:rsid w:val="00123B09"/>
    <w:rsid w:val="00125548"/>
    <w:rsid w:val="00125DAC"/>
    <w:rsid w:val="001266C3"/>
    <w:rsid w:val="001279D3"/>
    <w:rsid w:val="0013635D"/>
    <w:rsid w:val="00141E58"/>
    <w:rsid w:val="00143138"/>
    <w:rsid w:val="00143922"/>
    <w:rsid w:val="00144FC7"/>
    <w:rsid w:val="00146BE2"/>
    <w:rsid w:val="0015031F"/>
    <w:rsid w:val="00153277"/>
    <w:rsid w:val="00154938"/>
    <w:rsid w:val="00155012"/>
    <w:rsid w:val="001617A4"/>
    <w:rsid w:val="00161CC3"/>
    <w:rsid w:val="001849E4"/>
    <w:rsid w:val="00185233"/>
    <w:rsid w:val="001912A9"/>
    <w:rsid w:val="00193F7D"/>
    <w:rsid w:val="001A1243"/>
    <w:rsid w:val="001A3A67"/>
    <w:rsid w:val="001B06A1"/>
    <w:rsid w:val="001B14B7"/>
    <w:rsid w:val="001C736E"/>
    <w:rsid w:val="001C7BDF"/>
    <w:rsid w:val="001D1310"/>
    <w:rsid w:val="001D5754"/>
    <w:rsid w:val="001D5A2A"/>
    <w:rsid w:val="001D6224"/>
    <w:rsid w:val="001D6703"/>
    <w:rsid w:val="001D7B14"/>
    <w:rsid w:val="001E26D4"/>
    <w:rsid w:val="001E32DE"/>
    <w:rsid w:val="001E4154"/>
    <w:rsid w:val="001E5E09"/>
    <w:rsid w:val="001F0F7E"/>
    <w:rsid w:val="001F4567"/>
    <w:rsid w:val="001F63A5"/>
    <w:rsid w:val="002022CA"/>
    <w:rsid w:val="0020400D"/>
    <w:rsid w:val="00206BB9"/>
    <w:rsid w:val="002152CA"/>
    <w:rsid w:val="0022467D"/>
    <w:rsid w:val="00231571"/>
    <w:rsid w:val="00232C7F"/>
    <w:rsid w:val="00240ED1"/>
    <w:rsid w:val="00241D6E"/>
    <w:rsid w:val="002432F2"/>
    <w:rsid w:val="002440D3"/>
    <w:rsid w:val="00244B7D"/>
    <w:rsid w:val="00256BD9"/>
    <w:rsid w:val="00257073"/>
    <w:rsid w:val="0026418A"/>
    <w:rsid w:val="00264C84"/>
    <w:rsid w:val="00265D0B"/>
    <w:rsid w:val="00267535"/>
    <w:rsid w:val="00270BA9"/>
    <w:rsid w:val="00277ED3"/>
    <w:rsid w:val="00280371"/>
    <w:rsid w:val="002835A7"/>
    <w:rsid w:val="00283C32"/>
    <w:rsid w:val="00284C2B"/>
    <w:rsid w:val="00285B67"/>
    <w:rsid w:val="002A47F8"/>
    <w:rsid w:val="002B3895"/>
    <w:rsid w:val="002B3F59"/>
    <w:rsid w:val="002B6595"/>
    <w:rsid w:val="002C0A44"/>
    <w:rsid w:val="002C1422"/>
    <w:rsid w:val="002C2DF1"/>
    <w:rsid w:val="002C7C51"/>
    <w:rsid w:val="002D100D"/>
    <w:rsid w:val="002D6EC4"/>
    <w:rsid w:val="002E4170"/>
    <w:rsid w:val="002E52F3"/>
    <w:rsid w:val="002E66DF"/>
    <w:rsid w:val="002E742B"/>
    <w:rsid w:val="002F121D"/>
    <w:rsid w:val="002F148F"/>
    <w:rsid w:val="0030478F"/>
    <w:rsid w:val="00304FB9"/>
    <w:rsid w:val="00306456"/>
    <w:rsid w:val="00307B8A"/>
    <w:rsid w:val="00313992"/>
    <w:rsid w:val="00316143"/>
    <w:rsid w:val="003209A5"/>
    <w:rsid w:val="00321E25"/>
    <w:rsid w:val="00325FB4"/>
    <w:rsid w:val="00332409"/>
    <w:rsid w:val="00336B12"/>
    <w:rsid w:val="00336E57"/>
    <w:rsid w:val="003400B3"/>
    <w:rsid w:val="00340A2E"/>
    <w:rsid w:val="00341C4F"/>
    <w:rsid w:val="00342D9E"/>
    <w:rsid w:val="00345AD1"/>
    <w:rsid w:val="0036127D"/>
    <w:rsid w:val="003703E5"/>
    <w:rsid w:val="0037154C"/>
    <w:rsid w:val="00372C4C"/>
    <w:rsid w:val="00375246"/>
    <w:rsid w:val="003766B7"/>
    <w:rsid w:val="00377A8F"/>
    <w:rsid w:val="003813CB"/>
    <w:rsid w:val="00382914"/>
    <w:rsid w:val="0039190E"/>
    <w:rsid w:val="00396F38"/>
    <w:rsid w:val="003A28AB"/>
    <w:rsid w:val="003A624C"/>
    <w:rsid w:val="003A6D65"/>
    <w:rsid w:val="003A7863"/>
    <w:rsid w:val="003B4823"/>
    <w:rsid w:val="003B5732"/>
    <w:rsid w:val="003C0C2B"/>
    <w:rsid w:val="003C1284"/>
    <w:rsid w:val="003D307B"/>
    <w:rsid w:val="003D4368"/>
    <w:rsid w:val="003D5A9A"/>
    <w:rsid w:val="003D5DD4"/>
    <w:rsid w:val="003E0E54"/>
    <w:rsid w:val="003E51D7"/>
    <w:rsid w:val="003E5700"/>
    <w:rsid w:val="003F1F0C"/>
    <w:rsid w:val="003F55C3"/>
    <w:rsid w:val="003F5C8C"/>
    <w:rsid w:val="00400ED9"/>
    <w:rsid w:val="004044FE"/>
    <w:rsid w:val="00405F1B"/>
    <w:rsid w:val="004112C8"/>
    <w:rsid w:val="00411DFF"/>
    <w:rsid w:val="004143DF"/>
    <w:rsid w:val="00416CAB"/>
    <w:rsid w:val="00423581"/>
    <w:rsid w:val="004243B5"/>
    <w:rsid w:val="00427AF8"/>
    <w:rsid w:val="0043054A"/>
    <w:rsid w:val="004315C9"/>
    <w:rsid w:val="0043210E"/>
    <w:rsid w:val="00434FFF"/>
    <w:rsid w:val="00436C51"/>
    <w:rsid w:val="00440EA6"/>
    <w:rsid w:val="00443275"/>
    <w:rsid w:val="00444F9E"/>
    <w:rsid w:val="00453887"/>
    <w:rsid w:val="00454168"/>
    <w:rsid w:val="004614BE"/>
    <w:rsid w:val="00464FA6"/>
    <w:rsid w:val="00466937"/>
    <w:rsid w:val="00471237"/>
    <w:rsid w:val="00480C1C"/>
    <w:rsid w:val="004816DD"/>
    <w:rsid w:val="00482068"/>
    <w:rsid w:val="00483E81"/>
    <w:rsid w:val="00484798"/>
    <w:rsid w:val="004848CC"/>
    <w:rsid w:val="0048665B"/>
    <w:rsid w:val="00487F3E"/>
    <w:rsid w:val="004925EB"/>
    <w:rsid w:val="0049470B"/>
    <w:rsid w:val="00495D23"/>
    <w:rsid w:val="004963CD"/>
    <w:rsid w:val="004A45F0"/>
    <w:rsid w:val="004A5824"/>
    <w:rsid w:val="004A6B36"/>
    <w:rsid w:val="004B052C"/>
    <w:rsid w:val="004B2143"/>
    <w:rsid w:val="004B68EA"/>
    <w:rsid w:val="004D189A"/>
    <w:rsid w:val="004D349D"/>
    <w:rsid w:val="004D6089"/>
    <w:rsid w:val="004D74AA"/>
    <w:rsid w:val="004D796F"/>
    <w:rsid w:val="004D79CD"/>
    <w:rsid w:val="004E686C"/>
    <w:rsid w:val="004F2294"/>
    <w:rsid w:val="005020DF"/>
    <w:rsid w:val="0050265E"/>
    <w:rsid w:val="00507D5B"/>
    <w:rsid w:val="005136EA"/>
    <w:rsid w:val="00513D21"/>
    <w:rsid w:val="00514B8E"/>
    <w:rsid w:val="005203C2"/>
    <w:rsid w:val="0052078B"/>
    <w:rsid w:val="00521F69"/>
    <w:rsid w:val="00525007"/>
    <w:rsid w:val="00526371"/>
    <w:rsid w:val="00533B28"/>
    <w:rsid w:val="00541A7E"/>
    <w:rsid w:val="005432E4"/>
    <w:rsid w:val="0054491D"/>
    <w:rsid w:val="005472DF"/>
    <w:rsid w:val="00553234"/>
    <w:rsid w:val="00555A6B"/>
    <w:rsid w:val="00556AF4"/>
    <w:rsid w:val="00561415"/>
    <w:rsid w:val="00563910"/>
    <w:rsid w:val="005641C7"/>
    <w:rsid w:val="00571501"/>
    <w:rsid w:val="00575958"/>
    <w:rsid w:val="00577F78"/>
    <w:rsid w:val="005834F4"/>
    <w:rsid w:val="005846C9"/>
    <w:rsid w:val="00585DE3"/>
    <w:rsid w:val="00586D29"/>
    <w:rsid w:val="005904C7"/>
    <w:rsid w:val="00594B62"/>
    <w:rsid w:val="005963A8"/>
    <w:rsid w:val="005A76CE"/>
    <w:rsid w:val="005B2E63"/>
    <w:rsid w:val="005B3031"/>
    <w:rsid w:val="005C32F7"/>
    <w:rsid w:val="005C6EB8"/>
    <w:rsid w:val="005D363C"/>
    <w:rsid w:val="005E0E64"/>
    <w:rsid w:val="005E3D4F"/>
    <w:rsid w:val="005E4201"/>
    <w:rsid w:val="005E433C"/>
    <w:rsid w:val="005E5075"/>
    <w:rsid w:val="005E5CD8"/>
    <w:rsid w:val="005E750F"/>
    <w:rsid w:val="005E79EE"/>
    <w:rsid w:val="005F3B47"/>
    <w:rsid w:val="005F60EC"/>
    <w:rsid w:val="005F6D8E"/>
    <w:rsid w:val="006110CD"/>
    <w:rsid w:val="0061260E"/>
    <w:rsid w:val="0061318E"/>
    <w:rsid w:val="006304D8"/>
    <w:rsid w:val="00632C67"/>
    <w:rsid w:val="00634147"/>
    <w:rsid w:val="00635CD9"/>
    <w:rsid w:val="00642CE8"/>
    <w:rsid w:val="006445FB"/>
    <w:rsid w:val="00646381"/>
    <w:rsid w:val="006466E5"/>
    <w:rsid w:val="006470B9"/>
    <w:rsid w:val="00647EE5"/>
    <w:rsid w:val="006524E4"/>
    <w:rsid w:val="00652CC3"/>
    <w:rsid w:val="00655106"/>
    <w:rsid w:val="00661AAC"/>
    <w:rsid w:val="00662843"/>
    <w:rsid w:val="00663CA1"/>
    <w:rsid w:val="00665E27"/>
    <w:rsid w:val="00674025"/>
    <w:rsid w:val="00674D15"/>
    <w:rsid w:val="00675BB6"/>
    <w:rsid w:val="00680274"/>
    <w:rsid w:val="00682D95"/>
    <w:rsid w:val="00687162"/>
    <w:rsid w:val="00687546"/>
    <w:rsid w:val="006903F9"/>
    <w:rsid w:val="0069118F"/>
    <w:rsid w:val="006914A2"/>
    <w:rsid w:val="00693620"/>
    <w:rsid w:val="0069388A"/>
    <w:rsid w:val="00695FDB"/>
    <w:rsid w:val="006A7A70"/>
    <w:rsid w:val="006A7AA1"/>
    <w:rsid w:val="006B427C"/>
    <w:rsid w:val="006B55D0"/>
    <w:rsid w:val="006B659A"/>
    <w:rsid w:val="006B77C5"/>
    <w:rsid w:val="006C020F"/>
    <w:rsid w:val="006C33FE"/>
    <w:rsid w:val="006C4DA0"/>
    <w:rsid w:val="006C5BA5"/>
    <w:rsid w:val="006C5EC1"/>
    <w:rsid w:val="006D0FA0"/>
    <w:rsid w:val="006D202F"/>
    <w:rsid w:val="006D6000"/>
    <w:rsid w:val="006D6A9C"/>
    <w:rsid w:val="006E0517"/>
    <w:rsid w:val="006E2EE3"/>
    <w:rsid w:val="006E3F2D"/>
    <w:rsid w:val="006E55C6"/>
    <w:rsid w:val="006E5939"/>
    <w:rsid w:val="006E7D0B"/>
    <w:rsid w:val="006F0709"/>
    <w:rsid w:val="006F1D4A"/>
    <w:rsid w:val="006F5FEC"/>
    <w:rsid w:val="006F7882"/>
    <w:rsid w:val="00704836"/>
    <w:rsid w:val="00704E80"/>
    <w:rsid w:val="00706FD1"/>
    <w:rsid w:val="00710F8A"/>
    <w:rsid w:val="00711B68"/>
    <w:rsid w:val="00713931"/>
    <w:rsid w:val="007237A4"/>
    <w:rsid w:val="00730A52"/>
    <w:rsid w:val="007322EF"/>
    <w:rsid w:val="00740B42"/>
    <w:rsid w:val="007439F0"/>
    <w:rsid w:val="007460DD"/>
    <w:rsid w:val="00746F8B"/>
    <w:rsid w:val="00747EB6"/>
    <w:rsid w:val="00751112"/>
    <w:rsid w:val="00755B4E"/>
    <w:rsid w:val="00755FF0"/>
    <w:rsid w:val="0075642C"/>
    <w:rsid w:val="00761D32"/>
    <w:rsid w:val="007645A2"/>
    <w:rsid w:val="007658FE"/>
    <w:rsid w:val="00765C0A"/>
    <w:rsid w:val="00766B9A"/>
    <w:rsid w:val="007704E3"/>
    <w:rsid w:val="0078335F"/>
    <w:rsid w:val="0078365B"/>
    <w:rsid w:val="0079098E"/>
    <w:rsid w:val="007933C5"/>
    <w:rsid w:val="007935B8"/>
    <w:rsid w:val="007944D5"/>
    <w:rsid w:val="00794FD5"/>
    <w:rsid w:val="00797BEF"/>
    <w:rsid w:val="007A0B43"/>
    <w:rsid w:val="007A18BF"/>
    <w:rsid w:val="007A6E0F"/>
    <w:rsid w:val="007A76E1"/>
    <w:rsid w:val="007B31CD"/>
    <w:rsid w:val="007B37DD"/>
    <w:rsid w:val="007C4056"/>
    <w:rsid w:val="007C497D"/>
    <w:rsid w:val="007C79A6"/>
    <w:rsid w:val="007E042F"/>
    <w:rsid w:val="007E21AB"/>
    <w:rsid w:val="007E247C"/>
    <w:rsid w:val="007E2F8D"/>
    <w:rsid w:val="007E7C09"/>
    <w:rsid w:val="007E7E80"/>
    <w:rsid w:val="007F2A6E"/>
    <w:rsid w:val="007F7D04"/>
    <w:rsid w:val="0080500B"/>
    <w:rsid w:val="00811800"/>
    <w:rsid w:val="00811ECA"/>
    <w:rsid w:val="00820575"/>
    <w:rsid w:val="0082129A"/>
    <w:rsid w:val="00821CF0"/>
    <w:rsid w:val="00825DD3"/>
    <w:rsid w:val="00827F3E"/>
    <w:rsid w:val="00832FFC"/>
    <w:rsid w:val="00833AD1"/>
    <w:rsid w:val="0084105E"/>
    <w:rsid w:val="00842337"/>
    <w:rsid w:val="008470E9"/>
    <w:rsid w:val="00847470"/>
    <w:rsid w:val="00847FA2"/>
    <w:rsid w:val="008500A2"/>
    <w:rsid w:val="00850289"/>
    <w:rsid w:val="0085268B"/>
    <w:rsid w:val="008539B3"/>
    <w:rsid w:val="0085473C"/>
    <w:rsid w:val="00854AA0"/>
    <w:rsid w:val="00860046"/>
    <w:rsid w:val="00861ACA"/>
    <w:rsid w:val="00863632"/>
    <w:rsid w:val="008641BF"/>
    <w:rsid w:val="00874469"/>
    <w:rsid w:val="008746E0"/>
    <w:rsid w:val="00875C26"/>
    <w:rsid w:val="008778A0"/>
    <w:rsid w:val="008824BA"/>
    <w:rsid w:val="008849B7"/>
    <w:rsid w:val="00884EAA"/>
    <w:rsid w:val="008900D9"/>
    <w:rsid w:val="00890FBE"/>
    <w:rsid w:val="00892206"/>
    <w:rsid w:val="00893F1E"/>
    <w:rsid w:val="00896235"/>
    <w:rsid w:val="00897471"/>
    <w:rsid w:val="008A0A31"/>
    <w:rsid w:val="008A1067"/>
    <w:rsid w:val="008A1AAB"/>
    <w:rsid w:val="008A283A"/>
    <w:rsid w:val="008A2DFA"/>
    <w:rsid w:val="008A3F29"/>
    <w:rsid w:val="008A3FA6"/>
    <w:rsid w:val="008A532D"/>
    <w:rsid w:val="008A5C41"/>
    <w:rsid w:val="008A5D67"/>
    <w:rsid w:val="008B4740"/>
    <w:rsid w:val="008B68CF"/>
    <w:rsid w:val="008B7A0F"/>
    <w:rsid w:val="008C007A"/>
    <w:rsid w:val="008C099F"/>
    <w:rsid w:val="008D223E"/>
    <w:rsid w:val="008D2DFD"/>
    <w:rsid w:val="008E0060"/>
    <w:rsid w:val="008E293D"/>
    <w:rsid w:val="008E4394"/>
    <w:rsid w:val="008E6F6D"/>
    <w:rsid w:val="008F350F"/>
    <w:rsid w:val="009041AB"/>
    <w:rsid w:val="00911013"/>
    <w:rsid w:val="00912617"/>
    <w:rsid w:val="00916F34"/>
    <w:rsid w:val="009279F0"/>
    <w:rsid w:val="00927BFB"/>
    <w:rsid w:val="00933D62"/>
    <w:rsid w:val="00933D92"/>
    <w:rsid w:val="009350D8"/>
    <w:rsid w:val="0093600C"/>
    <w:rsid w:val="00944989"/>
    <w:rsid w:val="0094546D"/>
    <w:rsid w:val="00962AFB"/>
    <w:rsid w:val="00964AF5"/>
    <w:rsid w:val="00971F8F"/>
    <w:rsid w:val="00975D70"/>
    <w:rsid w:val="00980AF7"/>
    <w:rsid w:val="0098168C"/>
    <w:rsid w:val="009841B4"/>
    <w:rsid w:val="00986D38"/>
    <w:rsid w:val="00987444"/>
    <w:rsid w:val="0099139A"/>
    <w:rsid w:val="00997157"/>
    <w:rsid w:val="00997168"/>
    <w:rsid w:val="009A4285"/>
    <w:rsid w:val="009B10EE"/>
    <w:rsid w:val="009B2864"/>
    <w:rsid w:val="009C43F7"/>
    <w:rsid w:val="009C500D"/>
    <w:rsid w:val="009C5A86"/>
    <w:rsid w:val="009C6EDE"/>
    <w:rsid w:val="009D187A"/>
    <w:rsid w:val="009D4F86"/>
    <w:rsid w:val="009D52F2"/>
    <w:rsid w:val="009D647B"/>
    <w:rsid w:val="009E064F"/>
    <w:rsid w:val="009E36E1"/>
    <w:rsid w:val="009E6EDE"/>
    <w:rsid w:val="009E76A2"/>
    <w:rsid w:val="009E7EF5"/>
    <w:rsid w:val="009F0E18"/>
    <w:rsid w:val="009F1EDE"/>
    <w:rsid w:val="00A10B0F"/>
    <w:rsid w:val="00A16ABA"/>
    <w:rsid w:val="00A2140A"/>
    <w:rsid w:val="00A21E82"/>
    <w:rsid w:val="00A22710"/>
    <w:rsid w:val="00A300B1"/>
    <w:rsid w:val="00A456BC"/>
    <w:rsid w:val="00A5095A"/>
    <w:rsid w:val="00A564A6"/>
    <w:rsid w:val="00A62B22"/>
    <w:rsid w:val="00A67FF3"/>
    <w:rsid w:val="00A718C4"/>
    <w:rsid w:val="00A74D24"/>
    <w:rsid w:val="00A75365"/>
    <w:rsid w:val="00A756BC"/>
    <w:rsid w:val="00A76887"/>
    <w:rsid w:val="00A82DF4"/>
    <w:rsid w:val="00A8735D"/>
    <w:rsid w:val="00A9075B"/>
    <w:rsid w:val="00A9122B"/>
    <w:rsid w:val="00A95883"/>
    <w:rsid w:val="00A97095"/>
    <w:rsid w:val="00AA0B0F"/>
    <w:rsid w:val="00AA1433"/>
    <w:rsid w:val="00AA20E1"/>
    <w:rsid w:val="00AA2866"/>
    <w:rsid w:val="00AA6EE4"/>
    <w:rsid w:val="00AB09AC"/>
    <w:rsid w:val="00AB73B5"/>
    <w:rsid w:val="00AC4F51"/>
    <w:rsid w:val="00AC4FB0"/>
    <w:rsid w:val="00AD07D1"/>
    <w:rsid w:val="00AD133D"/>
    <w:rsid w:val="00AD19EF"/>
    <w:rsid w:val="00AD3554"/>
    <w:rsid w:val="00AE07CB"/>
    <w:rsid w:val="00AE0D5E"/>
    <w:rsid w:val="00AE0ECC"/>
    <w:rsid w:val="00AE5DEA"/>
    <w:rsid w:val="00AF6DAE"/>
    <w:rsid w:val="00B00625"/>
    <w:rsid w:val="00B01414"/>
    <w:rsid w:val="00B01ADB"/>
    <w:rsid w:val="00B02B97"/>
    <w:rsid w:val="00B045E9"/>
    <w:rsid w:val="00B105F1"/>
    <w:rsid w:val="00B14B1D"/>
    <w:rsid w:val="00B1527C"/>
    <w:rsid w:val="00B15284"/>
    <w:rsid w:val="00B1581A"/>
    <w:rsid w:val="00B17C2F"/>
    <w:rsid w:val="00B26067"/>
    <w:rsid w:val="00B27152"/>
    <w:rsid w:val="00B32969"/>
    <w:rsid w:val="00B32C10"/>
    <w:rsid w:val="00B37599"/>
    <w:rsid w:val="00B44270"/>
    <w:rsid w:val="00B44FA5"/>
    <w:rsid w:val="00B518CA"/>
    <w:rsid w:val="00B60940"/>
    <w:rsid w:val="00B629EA"/>
    <w:rsid w:val="00B729E2"/>
    <w:rsid w:val="00B73BFB"/>
    <w:rsid w:val="00B74907"/>
    <w:rsid w:val="00B75F31"/>
    <w:rsid w:val="00B75F7C"/>
    <w:rsid w:val="00B77EE7"/>
    <w:rsid w:val="00B84162"/>
    <w:rsid w:val="00B92F72"/>
    <w:rsid w:val="00BA1DFD"/>
    <w:rsid w:val="00BA268A"/>
    <w:rsid w:val="00BA768E"/>
    <w:rsid w:val="00BA79FA"/>
    <w:rsid w:val="00BB10BC"/>
    <w:rsid w:val="00BB1941"/>
    <w:rsid w:val="00BB201A"/>
    <w:rsid w:val="00BB65A4"/>
    <w:rsid w:val="00BB732F"/>
    <w:rsid w:val="00BC0AF4"/>
    <w:rsid w:val="00BC2145"/>
    <w:rsid w:val="00BC25AD"/>
    <w:rsid w:val="00BD21C4"/>
    <w:rsid w:val="00BD670E"/>
    <w:rsid w:val="00BE0665"/>
    <w:rsid w:val="00BE1199"/>
    <w:rsid w:val="00BE11F5"/>
    <w:rsid w:val="00BE1663"/>
    <w:rsid w:val="00BE2507"/>
    <w:rsid w:val="00BE4915"/>
    <w:rsid w:val="00BE4AF3"/>
    <w:rsid w:val="00BE51D6"/>
    <w:rsid w:val="00BE7BB2"/>
    <w:rsid w:val="00BF1115"/>
    <w:rsid w:val="00BF12ED"/>
    <w:rsid w:val="00BF53EE"/>
    <w:rsid w:val="00BF7091"/>
    <w:rsid w:val="00C021A8"/>
    <w:rsid w:val="00C1083A"/>
    <w:rsid w:val="00C10E83"/>
    <w:rsid w:val="00C137B8"/>
    <w:rsid w:val="00C208F4"/>
    <w:rsid w:val="00C20BD2"/>
    <w:rsid w:val="00C20D78"/>
    <w:rsid w:val="00C220E7"/>
    <w:rsid w:val="00C24121"/>
    <w:rsid w:val="00C24D08"/>
    <w:rsid w:val="00C30D92"/>
    <w:rsid w:val="00C35A72"/>
    <w:rsid w:val="00C407AF"/>
    <w:rsid w:val="00C50E87"/>
    <w:rsid w:val="00C54DFE"/>
    <w:rsid w:val="00C54F60"/>
    <w:rsid w:val="00C557AC"/>
    <w:rsid w:val="00C5745C"/>
    <w:rsid w:val="00C57CED"/>
    <w:rsid w:val="00C611CD"/>
    <w:rsid w:val="00C62FF6"/>
    <w:rsid w:val="00C6377E"/>
    <w:rsid w:val="00C669C3"/>
    <w:rsid w:val="00C67669"/>
    <w:rsid w:val="00C71057"/>
    <w:rsid w:val="00C721C0"/>
    <w:rsid w:val="00C727A0"/>
    <w:rsid w:val="00C743AE"/>
    <w:rsid w:val="00C74445"/>
    <w:rsid w:val="00C76C6E"/>
    <w:rsid w:val="00C774F1"/>
    <w:rsid w:val="00C840DE"/>
    <w:rsid w:val="00C855F8"/>
    <w:rsid w:val="00C85869"/>
    <w:rsid w:val="00C869BA"/>
    <w:rsid w:val="00C90B34"/>
    <w:rsid w:val="00C95153"/>
    <w:rsid w:val="00C97FF0"/>
    <w:rsid w:val="00CA03E7"/>
    <w:rsid w:val="00CA05BE"/>
    <w:rsid w:val="00CA2D74"/>
    <w:rsid w:val="00CA2EE1"/>
    <w:rsid w:val="00CA4E3E"/>
    <w:rsid w:val="00CB4547"/>
    <w:rsid w:val="00CB621B"/>
    <w:rsid w:val="00CB74BE"/>
    <w:rsid w:val="00CB7BD9"/>
    <w:rsid w:val="00CB7D34"/>
    <w:rsid w:val="00CD1164"/>
    <w:rsid w:val="00CD2EF4"/>
    <w:rsid w:val="00CD6CF3"/>
    <w:rsid w:val="00CF11DF"/>
    <w:rsid w:val="00CF5672"/>
    <w:rsid w:val="00CF6182"/>
    <w:rsid w:val="00CF79BF"/>
    <w:rsid w:val="00D00D35"/>
    <w:rsid w:val="00D1152F"/>
    <w:rsid w:val="00D1167B"/>
    <w:rsid w:val="00D148E0"/>
    <w:rsid w:val="00D14F3D"/>
    <w:rsid w:val="00D159D3"/>
    <w:rsid w:val="00D15FE4"/>
    <w:rsid w:val="00D21FD0"/>
    <w:rsid w:val="00D24051"/>
    <w:rsid w:val="00D2413B"/>
    <w:rsid w:val="00D30913"/>
    <w:rsid w:val="00D37A51"/>
    <w:rsid w:val="00D42FCC"/>
    <w:rsid w:val="00D44BE6"/>
    <w:rsid w:val="00D45D8D"/>
    <w:rsid w:val="00D530BF"/>
    <w:rsid w:val="00D552BC"/>
    <w:rsid w:val="00D565C2"/>
    <w:rsid w:val="00D56CCC"/>
    <w:rsid w:val="00D60262"/>
    <w:rsid w:val="00D61B15"/>
    <w:rsid w:val="00D75B26"/>
    <w:rsid w:val="00D76BA7"/>
    <w:rsid w:val="00D86676"/>
    <w:rsid w:val="00D90FD3"/>
    <w:rsid w:val="00D93ACF"/>
    <w:rsid w:val="00DA37B2"/>
    <w:rsid w:val="00DA53D0"/>
    <w:rsid w:val="00DB2607"/>
    <w:rsid w:val="00DC4843"/>
    <w:rsid w:val="00DC6BF6"/>
    <w:rsid w:val="00DC7612"/>
    <w:rsid w:val="00DD04C7"/>
    <w:rsid w:val="00DD364A"/>
    <w:rsid w:val="00DE398D"/>
    <w:rsid w:val="00DE3E4A"/>
    <w:rsid w:val="00DE4BDC"/>
    <w:rsid w:val="00DE5961"/>
    <w:rsid w:val="00DE5A4A"/>
    <w:rsid w:val="00DF06A1"/>
    <w:rsid w:val="00DF3C30"/>
    <w:rsid w:val="00DF5056"/>
    <w:rsid w:val="00E05E5D"/>
    <w:rsid w:val="00E1061E"/>
    <w:rsid w:val="00E11C0D"/>
    <w:rsid w:val="00E1672F"/>
    <w:rsid w:val="00E2090E"/>
    <w:rsid w:val="00E22506"/>
    <w:rsid w:val="00E302AC"/>
    <w:rsid w:val="00E303FF"/>
    <w:rsid w:val="00E363BE"/>
    <w:rsid w:val="00E42075"/>
    <w:rsid w:val="00E43C0F"/>
    <w:rsid w:val="00E443C4"/>
    <w:rsid w:val="00E44F38"/>
    <w:rsid w:val="00E54699"/>
    <w:rsid w:val="00E548A7"/>
    <w:rsid w:val="00E56747"/>
    <w:rsid w:val="00E5698F"/>
    <w:rsid w:val="00E647F9"/>
    <w:rsid w:val="00E651A4"/>
    <w:rsid w:val="00E70E0B"/>
    <w:rsid w:val="00E7139A"/>
    <w:rsid w:val="00E7268B"/>
    <w:rsid w:val="00E738FB"/>
    <w:rsid w:val="00E763A9"/>
    <w:rsid w:val="00E80827"/>
    <w:rsid w:val="00E810BD"/>
    <w:rsid w:val="00E86E93"/>
    <w:rsid w:val="00E90515"/>
    <w:rsid w:val="00E910BF"/>
    <w:rsid w:val="00E94AF4"/>
    <w:rsid w:val="00E97CEB"/>
    <w:rsid w:val="00EA28A1"/>
    <w:rsid w:val="00EA474B"/>
    <w:rsid w:val="00EB26D6"/>
    <w:rsid w:val="00EB2C65"/>
    <w:rsid w:val="00EB3E0C"/>
    <w:rsid w:val="00EC440B"/>
    <w:rsid w:val="00EC45B9"/>
    <w:rsid w:val="00ED2E9C"/>
    <w:rsid w:val="00ED358B"/>
    <w:rsid w:val="00ED3DD9"/>
    <w:rsid w:val="00ED4C30"/>
    <w:rsid w:val="00ED6468"/>
    <w:rsid w:val="00ED7DB9"/>
    <w:rsid w:val="00EE3B1F"/>
    <w:rsid w:val="00EE5649"/>
    <w:rsid w:val="00EE61FB"/>
    <w:rsid w:val="00EF6638"/>
    <w:rsid w:val="00EF6C22"/>
    <w:rsid w:val="00F05019"/>
    <w:rsid w:val="00F06653"/>
    <w:rsid w:val="00F067AB"/>
    <w:rsid w:val="00F071A2"/>
    <w:rsid w:val="00F1185D"/>
    <w:rsid w:val="00F13EF2"/>
    <w:rsid w:val="00F15B68"/>
    <w:rsid w:val="00F1770F"/>
    <w:rsid w:val="00F203F9"/>
    <w:rsid w:val="00F22BA7"/>
    <w:rsid w:val="00F230A8"/>
    <w:rsid w:val="00F26BCD"/>
    <w:rsid w:val="00F30A19"/>
    <w:rsid w:val="00F33220"/>
    <w:rsid w:val="00F34084"/>
    <w:rsid w:val="00F34D69"/>
    <w:rsid w:val="00F353AC"/>
    <w:rsid w:val="00F356D5"/>
    <w:rsid w:val="00F35986"/>
    <w:rsid w:val="00F40FA6"/>
    <w:rsid w:val="00F41D2D"/>
    <w:rsid w:val="00F4412B"/>
    <w:rsid w:val="00F448E8"/>
    <w:rsid w:val="00F50211"/>
    <w:rsid w:val="00F51050"/>
    <w:rsid w:val="00F614D8"/>
    <w:rsid w:val="00F67213"/>
    <w:rsid w:val="00F75DD6"/>
    <w:rsid w:val="00F76AF4"/>
    <w:rsid w:val="00F835C2"/>
    <w:rsid w:val="00F852D3"/>
    <w:rsid w:val="00F867A8"/>
    <w:rsid w:val="00F87216"/>
    <w:rsid w:val="00F91AF9"/>
    <w:rsid w:val="00F91F7E"/>
    <w:rsid w:val="00F926AD"/>
    <w:rsid w:val="00F9395A"/>
    <w:rsid w:val="00F95FBF"/>
    <w:rsid w:val="00FA4764"/>
    <w:rsid w:val="00FA5137"/>
    <w:rsid w:val="00FA794E"/>
    <w:rsid w:val="00FA7E9B"/>
    <w:rsid w:val="00FB2059"/>
    <w:rsid w:val="00FB359F"/>
    <w:rsid w:val="00FB44C4"/>
    <w:rsid w:val="00FB669D"/>
    <w:rsid w:val="00FC214B"/>
    <w:rsid w:val="00FC7AC8"/>
    <w:rsid w:val="00FD2E16"/>
    <w:rsid w:val="00FD7102"/>
    <w:rsid w:val="00FE0CC7"/>
    <w:rsid w:val="00FE2CB7"/>
    <w:rsid w:val="00FE3F20"/>
    <w:rsid w:val="00FE5075"/>
    <w:rsid w:val="00FE7850"/>
    <w:rsid w:val="00FE79C7"/>
    <w:rsid w:val="00FF0CEF"/>
    <w:rsid w:val="00FF15EE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FB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E61FB"/>
    <w:pPr>
      <w:keepNext/>
      <w:keepLines/>
      <w:spacing w:before="312" w:after="0" w:line="384" w:lineRule="exact"/>
      <w:outlineLvl w:val="0"/>
    </w:pPr>
    <w:rPr>
      <w:rFonts w:ascii="Arial" w:eastAsia="Times New Roman" w:hAnsi="Arial" w:cs="Times New Roman"/>
      <w:b/>
      <w:bCs/>
      <w:caps/>
      <w:color w:val="9F1220"/>
      <w:sz w:val="32"/>
      <w:szCs w:val="28"/>
    </w:rPr>
  </w:style>
  <w:style w:type="paragraph" w:styleId="Nadpis2">
    <w:name w:val="heading 2"/>
    <w:next w:val="Normln"/>
    <w:link w:val="Nadpis2Char"/>
    <w:uiPriority w:val="9"/>
    <w:unhideWhenUsed/>
    <w:qFormat/>
    <w:rsid w:val="00EE61FB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1FB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EE61FB"/>
    <w:rPr>
      <w:rFonts w:ascii="Arial" w:eastAsia="Times New Roman" w:hAnsi="Arial" w:cs="Times New Roman"/>
      <w:b/>
      <w:bCs/>
      <w:caps/>
      <w:color w:val="9F12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61FB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1FB"/>
    <w:rPr>
      <w:rFonts w:ascii="Arial" w:eastAsia="Times New Roman" w:hAnsi="Arial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61FB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1FB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EE61FB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1FB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1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1FB"/>
    <w:rPr>
      <w:rFonts w:ascii="Tahoma" w:eastAsia="Calibri" w:hAnsi="Tahoma" w:cs="Times New Roman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EE61FB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EE61FB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mky">
    <w:name w:val="Poznámky"/>
    <w:next w:val="Poznmkytext"/>
    <w:qFormat/>
    <w:rsid w:val="00EE61FB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text">
    <w:name w:val="Poznámky text"/>
    <w:basedOn w:val="Poznmky"/>
    <w:qFormat/>
    <w:rsid w:val="00EE61FB"/>
    <w:pPr>
      <w:pBdr>
        <w:top w:val="none" w:sz="0" w:space="0" w:color="auto"/>
      </w:pBdr>
      <w:spacing w:before="0"/>
    </w:pPr>
    <w:rPr>
      <w:lang w:val="en-US"/>
    </w:rPr>
  </w:style>
  <w:style w:type="character" w:styleId="Hypertextovodkaz">
    <w:name w:val="Hyperlink"/>
    <w:uiPriority w:val="99"/>
    <w:unhideWhenUsed/>
    <w:rsid w:val="00EE61F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unhideWhenUsed/>
    <w:rsid w:val="00EE61FB"/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EE61FB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61F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E61FB"/>
    <w:rPr>
      <w:color w:val="800080"/>
      <w:u w:val="single"/>
    </w:rPr>
  </w:style>
  <w:style w:type="paragraph" w:styleId="Revize">
    <w:name w:val="Revision"/>
    <w:hidden/>
    <w:uiPriority w:val="99"/>
    <w:semiHidden/>
    <w:rsid w:val="00EE61FB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Datum0">
    <w:name w:val="Datum_"/>
    <w:qFormat/>
    <w:rsid w:val="00EE61FB"/>
    <w:pPr>
      <w:spacing w:after="0"/>
    </w:pPr>
    <w:rPr>
      <w:rFonts w:ascii="Arial" w:eastAsia="Calibri" w:hAnsi="Arial" w:cs="Arial"/>
      <w:b/>
      <w:sz w:val="18"/>
    </w:rPr>
  </w:style>
  <w:style w:type="paragraph" w:styleId="Nzev">
    <w:name w:val="Title"/>
    <w:aliases w:val="Titulek_"/>
    <w:next w:val="Normln"/>
    <w:link w:val="NzevChar"/>
    <w:uiPriority w:val="10"/>
    <w:qFormat/>
    <w:rsid w:val="00EE61FB"/>
    <w:pPr>
      <w:spacing w:before="280" w:after="28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EE61FB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erex">
    <w:name w:val="Perex_"/>
    <w:next w:val="Normln"/>
    <w:qFormat/>
    <w:rsid w:val="00EE61FB"/>
    <w:pPr>
      <w:autoSpaceDE w:val="0"/>
      <w:autoSpaceDN w:val="0"/>
      <w:adjustRightInd w:val="0"/>
      <w:spacing w:after="280"/>
      <w:jc w:val="both"/>
    </w:pPr>
    <w:rPr>
      <w:rFonts w:ascii="Arial" w:eastAsia="Calibri" w:hAnsi="Arial" w:cs="Arial"/>
      <w:b/>
      <w:sz w:val="20"/>
      <w:szCs w:val="18"/>
    </w:rPr>
  </w:style>
  <w:style w:type="paragraph" w:customStyle="1" w:styleId="Podtitulek">
    <w:name w:val="Podtitulek_"/>
    <w:next w:val="Normln"/>
    <w:qFormat/>
    <w:rsid w:val="00EE61FB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ukas.kucer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E37E-146F-4207-A174-B8517A7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7</Pages>
  <Words>2640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333</cp:revision>
  <cp:lastPrinted>2015-01-14T13:12:00Z</cp:lastPrinted>
  <dcterms:created xsi:type="dcterms:W3CDTF">2014-06-17T13:32:00Z</dcterms:created>
  <dcterms:modified xsi:type="dcterms:W3CDTF">2016-02-01T09:00:00Z</dcterms:modified>
</cp:coreProperties>
</file>