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F" w:rsidRPr="00455E15" w:rsidRDefault="0008794F" w:rsidP="002457A5">
      <w:pPr>
        <w:pStyle w:val="Textpoznpodarou"/>
        <w:jc w:val="both"/>
        <w:rPr>
          <w:sz w:val="4"/>
          <w:szCs w:val="4"/>
          <w:lang w:eastAsia="ar-SA"/>
        </w:rPr>
      </w:pPr>
    </w:p>
    <w:p w:rsidR="0008794F" w:rsidRPr="00DA43AC" w:rsidRDefault="0008794F" w:rsidP="00455E15">
      <w:pPr>
        <w:pStyle w:val="Nadpis1"/>
        <w:numPr>
          <w:ilvl w:val="0"/>
          <w:numId w:val="27"/>
        </w:numPr>
        <w:jc w:val="both"/>
        <w:rPr>
          <w:color w:val="000000"/>
        </w:rPr>
      </w:pPr>
      <w:bookmarkStart w:id="0" w:name="_Toc425752383"/>
      <w:r w:rsidRPr="00DA43AC">
        <w:rPr>
          <w:color w:val="000000"/>
        </w:rPr>
        <w:t>Výchozí pozice v ekonomické vyspělosti</w:t>
      </w:r>
      <w:bookmarkEnd w:id="0"/>
    </w:p>
    <w:tbl>
      <w:tblPr>
        <w:tblW w:w="5000" w:type="pct"/>
        <w:tblLayout w:type="fixed"/>
        <w:tblLook w:val="00A0"/>
      </w:tblPr>
      <w:tblGrid>
        <w:gridCol w:w="9854"/>
      </w:tblGrid>
      <w:tr w:rsidR="0008794F" w:rsidRPr="00CD6F99" w:rsidTr="008C41F7">
        <w:tc>
          <w:tcPr>
            <w:tcW w:w="5000" w:type="pct"/>
          </w:tcPr>
          <w:p w:rsidR="0008794F" w:rsidRDefault="0008794F" w:rsidP="00031AEE">
            <w:pPr>
              <w:pStyle w:val="Textpoznpodarou"/>
              <w:jc w:val="both"/>
            </w:pPr>
            <w:r w:rsidRPr="00751BFF">
              <w:t xml:space="preserve">Rakousko v roce 1995 </w:t>
            </w:r>
            <w:r>
              <w:t xml:space="preserve">- za který jsou nejdále do minulosti k dispozici data </w:t>
            </w:r>
            <w:proofErr w:type="spellStart"/>
            <w:r>
              <w:t>Eurostatu</w:t>
            </w:r>
            <w:proofErr w:type="spellEnd"/>
            <w:r>
              <w:t xml:space="preserve"> -, </w:t>
            </w:r>
            <w:r w:rsidRPr="00751BFF">
              <w:t>bylo podle HDP na obyvatele v paritě kupní síly nejvyspělejší evropskou ekonomikou.</w:t>
            </w:r>
            <w:r>
              <w:t xml:space="preserve"> Česká republika a Slovensko fungovaly v té době teprve třetí rok jako samostatné státy po rozdělení z původního federativního státoprávního uspořádání. Jejich ekonomiky prošly relativně tvrdým obdobím počátečních - a značných - problémů vyvolaných společenskou změnou z listopadu 1989. Od počátku roku 1993 pak musely jako samostatné státy začít fungovat s oddělenými měnami a jejich odlišným výchozím směnným kurzem k hlavním měnám</w:t>
            </w:r>
            <w:r w:rsidR="005E04A2">
              <w:t>. O</w:t>
            </w:r>
            <w:r>
              <w:t xml:space="preserve">čekávaly je významné změny ve struktuře ekonomik, oproti minulosti zcela jiné podmínky na trhu práce, bylo nutné konstituovat funkční a regulatorně ošetřený bankovní systém - čas ukázal, jak obtížná to byla výzva -  a další nutné podmínky pro fungování obou ekonomik v tržním prostředí. </w:t>
            </w:r>
          </w:p>
          <w:p w:rsidR="0008794F" w:rsidRDefault="0008794F" w:rsidP="00031AEE">
            <w:pPr>
              <w:pStyle w:val="Textpoznpodarou"/>
              <w:jc w:val="both"/>
            </w:pPr>
          </w:p>
          <w:p w:rsidR="0008794F" w:rsidRDefault="0008794F" w:rsidP="00031AEE">
            <w:pPr>
              <w:pStyle w:val="Textpoznpodarou"/>
              <w:jc w:val="both"/>
            </w:pPr>
            <w:r>
              <w:t xml:space="preserve">Je tak zřejmé, že odlišnost ve výchozí pozici Rakouska oproti ČR a SR byla počátkem 90. let minulého století patrná nejen co do kvantifikovatelných charakteristik ekonomické úrovně, ale především v prostředí (podmínkách), za nichž trojice sledovaných zemí v té době fungovala.  </w:t>
            </w:r>
          </w:p>
          <w:p w:rsidR="0008794F" w:rsidRPr="00A34BBF" w:rsidRDefault="0008794F" w:rsidP="00031AEE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</w:tbl>
    <w:p w:rsidR="0008794F" w:rsidRPr="00747567" w:rsidRDefault="0008794F" w:rsidP="00031AEE">
      <w:pPr>
        <w:pStyle w:val="Nadpis2"/>
        <w:numPr>
          <w:ilvl w:val="1"/>
          <w:numId w:val="3"/>
        </w:numPr>
        <w:rPr>
          <w:color w:val="000000"/>
          <w:szCs w:val="28"/>
        </w:rPr>
      </w:pPr>
      <w:bookmarkStart w:id="1" w:name="_Toc425752384"/>
      <w:r w:rsidRPr="00747567">
        <w:rPr>
          <w:color w:val="000000"/>
          <w:szCs w:val="28"/>
        </w:rPr>
        <w:t xml:space="preserve">Odlišnost ve výchozí pozici </w:t>
      </w:r>
      <w:bookmarkEnd w:id="1"/>
    </w:p>
    <w:p w:rsidR="0008794F" w:rsidRDefault="0008794F" w:rsidP="00031AEE"/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08794F" w:rsidRPr="00877329" w:rsidTr="00494583">
        <w:trPr>
          <w:trHeight w:val="1635"/>
        </w:trPr>
        <w:tc>
          <w:tcPr>
            <w:tcW w:w="1054" w:type="pct"/>
          </w:tcPr>
          <w:p w:rsidR="0008794F" w:rsidRDefault="0008794F" w:rsidP="003D71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Během přechodu České republiky a Slovenska k tržní ekonomice byl hospodářský pokles SR výraznější</w:t>
            </w:r>
            <w:r w:rsidR="00DC4CBF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rychlejší dynamika </w:t>
            </w:r>
            <w:r w:rsidR="00DC4CBF">
              <w:rPr>
                <w:sz w:val="16"/>
                <w:szCs w:val="16"/>
              </w:rPr>
              <w:t xml:space="preserve">HDP </w:t>
            </w:r>
            <w:r>
              <w:rPr>
                <w:sz w:val="16"/>
                <w:szCs w:val="16"/>
              </w:rPr>
              <w:t xml:space="preserve">SR oproti </w:t>
            </w:r>
            <w:r w:rsidR="00DC4CBF">
              <w:rPr>
                <w:sz w:val="16"/>
                <w:szCs w:val="16"/>
              </w:rPr>
              <w:t xml:space="preserve">HDP </w:t>
            </w:r>
            <w:r>
              <w:rPr>
                <w:sz w:val="16"/>
                <w:szCs w:val="16"/>
              </w:rPr>
              <w:t>ČR patrná až v letech po vstupu obou zemí do EU</w:t>
            </w:r>
          </w:p>
          <w:p w:rsidR="0008794F" w:rsidRPr="00A557BF" w:rsidRDefault="0008794F" w:rsidP="0006783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08794F" w:rsidRPr="00A557BF" w:rsidRDefault="0008794F" w:rsidP="00B05DF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8794F" w:rsidRDefault="0008794F" w:rsidP="002E518B">
            <w:pPr>
              <w:pStyle w:val="Textpoznpodarou"/>
              <w:jc w:val="both"/>
            </w:pPr>
            <w:r>
              <w:t xml:space="preserve">Ekonomiky České republiky a Slovenska přešly k tržní ekonomice z formátu státem řízené ekonomiky začátkem 90. let minulého století, do roku 1992 ještě jako federace. Přechod k tržní ekonomice byl pro obě země „zatěžkávací zkouškou“, podstatně hlubší pokles ekonomiky utrpěla Slovenská republika. </w:t>
            </w:r>
          </w:p>
          <w:p w:rsidR="0008794F" w:rsidRPr="004B4B15" w:rsidRDefault="0008794F" w:rsidP="002E518B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2E518B">
            <w:pPr>
              <w:pStyle w:val="Textpoznpodarou"/>
              <w:jc w:val="both"/>
            </w:pPr>
            <w:r w:rsidRPr="009A2AB3">
              <w:t>D</w:t>
            </w:r>
            <w:r>
              <w:t>osahovaná dynamika ekonomického růstu obou zemí se však začala navzájem výrazněji odchylovat zejména po roce 2004, v němž obě země vstoupily - spolu s dalšími osmi státy od 1. května  - do E</w:t>
            </w:r>
            <w:r w:rsidR="00056451">
              <w:t>U</w:t>
            </w:r>
            <w:r>
              <w:t xml:space="preserve">. </w:t>
            </w:r>
          </w:p>
          <w:p w:rsidR="0008794F" w:rsidRPr="003D717B" w:rsidRDefault="0008794F" w:rsidP="002E518B">
            <w:pPr>
              <w:pStyle w:val="Textpoznpodarou"/>
              <w:jc w:val="both"/>
            </w:pPr>
          </w:p>
        </w:tc>
      </w:tr>
      <w:tr w:rsidR="0008794F" w:rsidRPr="00877329" w:rsidTr="00494583">
        <w:trPr>
          <w:trHeight w:val="1635"/>
        </w:trPr>
        <w:tc>
          <w:tcPr>
            <w:tcW w:w="1054" w:type="pct"/>
          </w:tcPr>
          <w:p w:rsidR="0008794F" w:rsidRDefault="0008794F" w:rsidP="00DC4C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Rakousko bylo v roce 1995 podle HDP na obyvatele v paritě kupní síly nejvyspělejší (</w:t>
            </w:r>
            <w:proofErr w:type="gramStart"/>
            <w:r>
              <w:rPr>
                <w:sz w:val="16"/>
                <w:szCs w:val="16"/>
              </w:rPr>
              <w:t>nejbohatší)  ekonomikou</w:t>
            </w:r>
            <w:proofErr w:type="gramEnd"/>
            <w:r w:rsidR="00DC4CBF">
              <w:rPr>
                <w:sz w:val="16"/>
                <w:szCs w:val="16"/>
              </w:rPr>
              <w:t xml:space="preserve"> v EU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3" w:type="pct"/>
          </w:tcPr>
          <w:p w:rsidR="0008794F" w:rsidRPr="00A557BF" w:rsidRDefault="0008794F" w:rsidP="00B05DF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8794F" w:rsidRDefault="0008794F" w:rsidP="003D717B">
            <w:pPr>
              <w:pStyle w:val="Textpoznpodarou"/>
              <w:jc w:val="both"/>
            </w:pPr>
            <w:r>
              <w:t xml:space="preserve">Naopak rakouská ekonomika byla již na počátku 90. let vyspělou tržní ekonomikou. V HDP na obyvatele v paritě kupní síly, který bývá označován jako komplexní ukazatel ekonomické vyspělosti, byla podle dat </w:t>
            </w:r>
            <w:proofErr w:type="spellStart"/>
            <w:r>
              <w:t>Eurostatu</w:t>
            </w:r>
            <w:proofErr w:type="spellEnd"/>
            <w:r>
              <w:t xml:space="preserve"> s nejzazšími údaji za rok 1995, dokonce třetí nejvyspělejší evropskou ekonomikou s úrovní o třetinu vyšší než byl průměr EU 28 (více v</w:t>
            </w:r>
            <w:r w:rsidR="005E04A2">
              <w:t> </w:t>
            </w:r>
            <w:proofErr w:type="spellStart"/>
            <w:r w:rsidR="005E04A2">
              <w:t>podkap</w:t>
            </w:r>
            <w:proofErr w:type="spellEnd"/>
            <w:r w:rsidR="005E04A2">
              <w:t>.</w:t>
            </w:r>
            <w:r>
              <w:t xml:space="preserve"> 2.2.). </w:t>
            </w:r>
          </w:p>
          <w:p w:rsidR="0008794F" w:rsidRPr="004B4B15" w:rsidRDefault="0008794F" w:rsidP="003D717B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3D717B">
            <w:pPr>
              <w:pStyle w:val="Textpoznpodarou"/>
              <w:jc w:val="both"/>
            </w:pPr>
            <w:r>
              <w:t xml:space="preserve">Vzhledem k tomu že </w:t>
            </w:r>
            <w:r w:rsidR="00056451">
              <w:t>vyspělejší</w:t>
            </w:r>
            <w:r>
              <w:t xml:space="preserve"> byly v uvedeném roce podle tohoto kritéria jen Švýcarsko a Norsko, které ale nebyly a nejsou součástí EU, zaujímalo Rakousko v roce 1995 pozici </w:t>
            </w:r>
            <w:r w:rsidR="00056451">
              <w:t xml:space="preserve">ekonomicky </w:t>
            </w:r>
            <w:r>
              <w:t xml:space="preserve">nejvyspělejší země Evropské unie. </w:t>
            </w:r>
          </w:p>
          <w:p w:rsidR="0008794F" w:rsidRDefault="0008794F" w:rsidP="002E518B">
            <w:pPr>
              <w:pStyle w:val="Textpoznpodarou"/>
              <w:jc w:val="both"/>
            </w:pPr>
          </w:p>
        </w:tc>
      </w:tr>
    </w:tbl>
    <w:p w:rsidR="0008794F" w:rsidRPr="00747567" w:rsidRDefault="0008794F" w:rsidP="00E021AF">
      <w:pPr>
        <w:numPr>
          <w:ilvl w:val="2"/>
          <w:numId w:val="3"/>
        </w:numPr>
        <w:rPr>
          <w:b/>
          <w:color w:val="000000"/>
          <w:sz w:val="24"/>
        </w:rPr>
      </w:pPr>
      <w:r w:rsidRPr="00E12567">
        <w:rPr>
          <w:b/>
          <w:color w:val="808080"/>
          <w:sz w:val="28"/>
          <w:szCs w:val="28"/>
        </w:rPr>
        <w:t xml:space="preserve"> </w:t>
      </w:r>
      <w:r w:rsidRPr="00747567">
        <w:rPr>
          <w:b/>
          <w:color w:val="000000"/>
          <w:sz w:val="24"/>
        </w:rPr>
        <w:t>Váha ČR, SR a Rakouska v ekonomice EU</w:t>
      </w:r>
    </w:p>
    <w:p w:rsidR="0008794F" w:rsidRPr="00A34BBF" w:rsidRDefault="0008794F" w:rsidP="002A216F">
      <w:pPr>
        <w:ind w:left="720"/>
        <w:rPr>
          <w:b/>
          <w:color w:val="808080"/>
          <w:szCs w:val="20"/>
        </w:rPr>
      </w:pPr>
    </w:p>
    <w:tbl>
      <w:tblPr>
        <w:tblW w:w="5000" w:type="pct"/>
        <w:tblLook w:val="00A0"/>
      </w:tblPr>
      <w:tblGrid>
        <w:gridCol w:w="2081"/>
        <w:gridCol w:w="298"/>
        <w:gridCol w:w="7475"/>
      </w:tblGrid>
      <w:tr w:rsidR="0008794F" w:rsidRPr="00A557BF" w:rsidTr="00B05DF2">
        <w:tc>
          <w:tcPr>
            <w:tcW w:w="1056" w:type="pct"/>
          </w:tcPr>
          <w:p w:rsidR="0008794F" w:rsidRPr="00A557BF" w:rsidRDefault="0008794F" w:rsidP="00B05D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Podíl výkonu ekonomik na výkonnosti ekonomiky EU</w:t>
            </w:r>
            <w:r w:rsidRPr="00A557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" w:type="pct"/>
          </w:tcPr>
          <w:p w:rsidR="0008794F" w:rsidRPr="00A557BF" w:rsidRDefault="0008794F" w:rsidP="00B05DF2">
            <w:pPr>
              <w:pStyle w:val="Textpoznpodarou"/>
              <w:jc w:val="both"/>
            </w:pPr>
          </w:p>
        </w:tc>
        <w:tc>
          <w:tcPr>
            <w:tcW w:w="3793" w:type="pct"/>
          </w:tcPr>
          <w:p w:rsidR="0008794F" w:rsidRPr="002A216F" w:rsidRDefault="0008794F" w:rsidP="002A216F">
            <w:pPr>
              <w:pStyle w:val="Textpoznpodarou"/>
              <w:jc w:val="both"/>
            </w:pPr>
            <w:r>
              <w:t xml:space="preserve">Váhu ekonomik ČR, Slovenska a Rakouska na ekonomické výkonnosti EU jako celku lze určit podle podílů HDP v paritě kupní síly těchto zemí na stejně vyjádřené veličině za celou EU 28.  Lze ji však vyjádřit i v eurech.  </w:t>
            </w:r>
          </w:p>
        </w:tc>
      </w:tr>
    </w:tbl>
    <w:p w:rsidR="0008794F" w:rsidRPr="00747567" w:rsidRDefault="0008794F" w:rsidP="002A216F">
      <w:pPr>
        <w:ind w:left="720"/>
        <w:rPr>
          <w:b/>
          <w:color w:val="808080"/>
          <w:sz w:val="24"/>
        </w:rPr>
      </w:pPr>
    </w:p>
    <w:p w:rsidR="0008794F" w:rsidRPr="00F24D2C" w:rsidRDefault="0008794F" w:rsidP="002A216F">
      <w:pPr>
        <w:numPr>
          <w:ilvl w:val="3"/>
          <w:numId w:val="3"/>
        </w:numPr>
        <w:rPr>
          <w:b/>
          <w:color w:val="000000"/>
          <w:sz w:val="24"/>
        </w:rPr>
      </w:pPr>
      <w:r w:rsidRPr="00F24D2C">
        <w:rPr>
          <w:b/>
          <w:noProof/>
          <w:color w:val="000000"/>
          <w:sz w:val="24"/>
        </w:rPr>
        <w:t>Podíly na HDP EU 28 v paritě kupní síly</w:t>
      </w:r>
    </w:p>
    <w:p w:rsidR="0008794F" w:rsidRPr="00A34BBF" w:rsidRDefault="0008794F" w:rsidP="00747567">
      <w:pPr>
        <w:rPr>
          <w:b/>
          <w:color w:val="000000"/>
          <w:szCs w:val="20"/>
        </w:rPr>
      </w:pPr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08794F" w:rsidTr="00A34BBF">
        <w:trPr>
          <w:trHeight w:val="425"/>
        </w:trPr>
        <w:tc>
          <w:tcPr>
            <w:tcW w:w="1054" w:type="pct"/>
          </w:tcPr>
          <w:p w:rsidR="0008794F" w:rsidRPr="00A557BF" w:rsidRDefault="0008794F" w:rsidP="007A28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Váhová struktura ekonomiky Evropské unie řadí Českou republiku, Slovensko a Rakousko do prostřední třetiny žebříčku zemí EU přesto, že dohromady tvořil v roce 2014 HDP v PPS těchto zemí jen 4,6 % HDP celé EU 28 </w:t>
            </w:r>
          </w:p>
        </w:tc>
        <w:tc>
          <w:tcPr>
            <w:tcW w:w="143" w:type="pct"/>
          </w:tcPr>
          <w:p w:rsidR="0008794F" w:rsidRPr="00A557BF" w:rsidRDefault="0008794F" w:rsidP="006F38C7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8794F" w:rsidRDefault="0008794F" w:rsidP="006F38C7">
            <w:pPr>
              <w:pStyle w:val="Textpoznpodarou"/>
              <w:jc w:val="both"/>
            </w:pPr>
            <w:r>
              <w:t>Přestože je podíl ekonomik České republiky, Slovenska a Rakouska na ekonomické výkonnosti Evropské unie jako celku podle HDP v paritě kupní síly (PPS) velmi malý, znamená pro ně umístění ve střední části žebříčku evropských zemí (graf 1). V roce 2014 předs</w:t>
            </w:r>
            <w:r w:rsidR="006125CA">
              <w:t xml:space="preserve">tavoval HDP vytvořený v ČR a </w:t>
            </w:r>
            <w:r>
              <w:t xml:space="preserve">vyjádřený v paritě kupní síly jen 1,7 % HDP EU 28, v případě Slovenska 0,8 % a Rakousko participovalo na unijní HDP v paritě kupní síly z 2,1 %. </w:t>
            </w:r>
          </w:p>
          <w:p w:rsidR="0008794F" w:rsidRPr="0079033C" w:rsidRDefault="0008794F" w:rsidP="006F38C7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6F38C7">
            <w:pPr>
              <w:pStyle w:val="Textpoznpodarou"/>
              <w:jc w:val="both"/>
            </w:pPr>
            <w:r>
              <w:t xml:space="preserve">Příčinou tohoto relativně příznivého umístění ve střední části žebříčku EU 28, i přes takto malé podíly, jsou proporce zemí uvnitř Unie. Čtyři největší evropské ekonomiky totiž participují na HDP EU 28, vyjádřeného v paritě kupní síly, ze tří pětin (59,7 % podle dat za rok 2014). Přidáme-li k Německu, Velké Británii, Francii a Itálii ještě Španělsko, jehož podíl sice není dvojciferný jako u čtyř vyjmenovaných zemí, ale jedné desetině se již blíží, je podíl těchto pěti největších evropských ekonomik na vytvořeném HDP EU 28 v paritě kupní síly více než </w:t>
            </w:r>
            <w:r>
              <w:lastRenderedPageBreak/>
              <w:t>dvoutřetinový (67,7 % v roce 2014). Samotné Německo se na ekonomické výkonnosti Unie podílí pětinou (20,1 % HDP EU 28 v paritě kupní síly).</w:t>
            </w:r>
          </w:p>
          <w:p w:rsidR="0008794F" w:rsidRPr="00A34BBF" w:rsidRDefault="0008794F" w:rsidP="006F38C7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08794F" w:rsidTr="00B12998">
        <w:trPr>
          <w:trHeight w:val="1417"/>
        </w:trPr>
        <w:tc>
          <w:tcPr>
            <w:tcW w:w="1054" w:type="pct"/>
          </w:tcPr>
          <w:p w:rsidR="0008794F" w:rsidRPr="00A557BF" w:rsidRDefault="0008794F" w:rsidP="00A34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 přes pouhé 1,7 % podílu ČR a unijním HDP v roce 2014 byl tento podíl stejný, jako výkonnost dalších sedmi zemí EU dohromady</w:t>
            </w:r>
          </w:p>
        </w:tc>
        <w:tc>
          <w:tcPr>
            <w:tcW w:w="143" w:type="pct"/>
          </w:tcPr>
          <w:p w:rsidR="0008794F" w:rsidRPr="00A557BF" w:rsidRDefault="0008794F" w:rsidP="00A34BB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8794F" w:rsidRDefault="00DC4CBF" w:rsidP="005E04A2">
            <w:pPr>
              <w:pStyle w:val="Textpoznpodarou"/>
              <w:jc w:val="both"/>
            </w:pPr>
            <w:r>
              <w:t>Vztahy</w:t>
            </w:r>
            <w:r w:rsidR="0008794F">
              <w:t xml:space="preserve"> určené velikostí největších ekonomik v Evropě pak ovlivňují i vykázanou relativní výkonnost </w:t>
            </w:r>
            <w:r w:rsidR="005E04A2">
              <w:t>zbývajících zemí</w:t>
            </w:r>
            <w:r w:rsidR="0008794F">
              <w:t xml:space="preserve"> E</w:t>
            </w:r>
            <w:r>
              <w:t>U</w:t>
            </w:r>
            <w:r w:rsidR="0008794F">
              <w:t xml:space="preserve"> (graf 1, především v pravé části). Vyplývá z ní například, že podíl HDP České republiky v paritě kupní síly na jeho úhrnu za EU 28 byl v roce 2014 (již zmíněných 1,7 %) stejný, jako výkonnost (součet podílů) Litvy, Lotyšska, Lucemburska, Slovinska, Estonska, Kypru a Malty dohromady.</w:t>
            </w:r>
          </w:p>
        </w:tc>
      </w:tr>
    </w:tbl>
    <w:p w:rsidR="0008794F" w:rsidRDefault="0008794F" w:rsidP="00E2562A">
      <w:pPr>
        <w:spacing w:before="120" w:line="240" w:lineRule="auto"/>
      </w:pPr>
      <w:r w:rsidRPr="009D4F8A">
        <w:rPr>
          <w:b/>
        </w:rPr>
        <w:t xml:space="preserve">Graf 1: </w:t>
      </w:r>
      <w:r>
        <w:rPr>
          <w:b/>
        </w:rPr>
        <w:t>„</w:t>
      </w:r>
      <w:r w:rsidRPr="009D4F8A">
        <w:rPr>
          <w:b/>
        </w:rPr>
        <w:t>Rozsah</w:t>
      </w:r>
      <w:r>
        <w:rPr>
          <w:b/>
        </w:rPr>
        <w:t>“</w:t>
      </w:r>
      <w:r w:rsidRPr="009D4F8A">
        <w:rPr>
          <w:b/>
        </w:rPr>
        <w:t xml:space="preserve"> ekonomik evropských zemí </w:t>
      </w:r>
      <w:r>
        <w:t>(2014, v % HDP EU 28 jako celku, v paritě kupní síly)</w:t>
      </w:r>
    </w:p>
    <w:p w:rsidR="0008794F" w:rsidRPr="00313320" w:rsidRDefault="0008794F" w:rsidP="00E2562A">
      <w:pPr>
        <w:spacing w:before="120" w:line="240" w:lineRule="auto"/>
        <w:rPr>
          <w:sz w:val="4"/>
          <w:szCs w:val="4"/>
        </w:rPr>
      </w:pPr>
    </w:p>
    <w:p w:rsidR="0008794F" w:rsidRDefault="007A6E58" w:rsidP="00313320">
      <w:pPr>
        <w:spacing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150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">
            <v:imagedata r:id="rId8" o:title=""/>
            <o:lock v:ext="edit" aspectratio="f"/>
          </v:shape>
        </w:pict>
      </w:r>
    </w:p>
    <w:p w:rsidR="0008794F" w:rsidRDefault="0008794F" w:rsidP="00313320">
      <w:pPr>
        <w:spacing w:line="240" w:lineRule="auto"/>
        <w:jc w:val="right"/>
        <w:rPr>
          <w:noProof/>
        </w:rPr>
      </w:pPr>
      <w:r>
        <w:rPr>
          <w:noProof/>
        </w:rPr>
        <w:t>Pramen: Eurostat, vlastní propočty</w:t>
      </w:r>
    </w:p>
    <w:p w:rsidR="0008794F" w:rsidRDefault="0008794F" w:rsidP="00E07309">
      <w:pPr>
        <w:jc w:val="right"/>
        <w:rPr>
          <w:noProof/>
        </w:rPr>
      </w:pPr>
    </w:p>
    <w:p w:rsidR="0008794F" w:rsidRPr="00F24D2C" w:rsidRDefault="0008794F" w:rsidP="00F24D2C">
      <w:pPr>
        <w:jc w:val="both"/>
        <w:rPr>
          <w:b/>
          <w:color w:val="000000"/>
          <w:sz w:val="12"/>
          <w:szCs w:val="12"/>
        </w:rPr>
      </w:pPr>
    </w:p>
    <w:p w:rsidR="0008794F" w:rsidRDefault="0008794F" w:rsidP="00F24D2C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2.1.1.2. </w:t>
      </w:r>
      <w:r w:rsidRPr="006F38C7">
        <w:rPr>
          <w:b/>
          <w:color w:val="000000"/>
          <w:sz w:val="24"/>
        </w:rPr>
        <w:t>Podíly na populaci a ekonomická výkonnost</w:t>
      </w:r>
    </w:p>
    <w:p w:rsidR="0008794F" w:rsidRPr="00A34BBF" w:rsidRDefault="0008794F" w:rsidP="00A34BBF">
      <w:pPr>
        <w:ind w:left="1080"/>
        <w:jc w:val="both"/>
        <w:rPr>
          <w:b/>
          <w:color w:val="000000"/>
          <w:szCs w:val="20"/>
        </w:rPr>
      </w:pPr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08794F" w:rsidRPr="003D717B" w:rsidTr="00B12998">
        <w:trPr>
          <w:trHeight w:val="1445"/>
        </w:trPr>
        <w:tc>
          <w:tcPr>
            <w:tcW w:w="1054" w:type="pct"/>
          </w:tcPr>
          <w:p w:rsidR="0008794F" w:rsidRDefault="0008794F" w:rsidP="003701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Podíl na populaci a podíl na HDP v paritě kupní síly </w:t>
            </w:r>
          </w:p>
        </w:tc>
        <w:tc>
          <w:tcPr>
            <w:tcW w:w="143" w:type="pct"/>
          </w:tcPr>
          <w:p w:rsidR="0008794F" w:rsidRPr="00A557BF" w:rsidRDefault="0008794F" w:rsidP="003701F7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8794F" w:rsidRDefault="0008794F" w:rsidP="003701F7">
            <w:pPr>
              <w:pStyle w:val="Textpoznpodarou"/>
              <w:jc w:val="both"/>
            </w:pPr>
            <w:r>
              <w:t xml:space="preserve">Mezi trojicí analyzovaných zemí existují rozdíly ve výkonnosti nejen podle relace k průměru EU, tj. podílu na unijním HDP. Je tu diference také mezi tím, srovnáme-li proporci, jakou má populace dané země na celkové evropské populaci na jedné straně a jaký je její (již výše zmíněný) podíl ve vyprodukovaném HDP v paritě kupní síly ve vztahu k EU 28 na straně druhé. Je zde patná vyšší výkonnost Rakouska. </w:t>
            </w:r>
          </w:p>
          <w:p w:rsidR="0008794F" w:rsidRPr="00B12998" w:rsidRDefault="0008794F" w:rsidP="00370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08794F" w:rsidRPr="003D717B" w:rsidTr="00B12998">
        <w:trPr>
          <w:trHeight w:val="1566"/>
        </w:trPr>
        <w:tc>
          <w:tcPr>
            <w:tcW w:w="1054" w:type="pct"/>
          </w:tcPr>
          <w:p w:rsidR="00DC4CBF" w:rsidRDefault="0008794F" w:rsidP="00DC4C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Horší výsledek za ČR a Slovensko – jejich podíl na populaci EU je vyšší než  podíl  </w:t>
            </w:r>
            <w:r w:rsidR="00DC4CBF">
              <w:rPr>
                <w:sz w:val="16"/>
                <w:szCs w:val="16"/>
              </w:rPr>
              <w:t>jejich</w:t>
            </w:r>
            <w:r>
              <w:rPr>
                <w:sz w:val="16"/>
                <w:szCs w:val="16"/>
              </w:rPr>
              <w:t xml:space="preserve">  HDP v PPS na unijním HDP</w:t>
            </w:r>
            <w:r w:rsidR="00DC4CBF">
              <w:rPr>
                <w:sz w:val="16"/>
                <w:szCs w:val="16"/>
              </w:rPr>
              <w:t>;</w:t>
            </w:r>
          </w:p>
          <w:p w:rsidR="0008794F" w:rsidRDefault="0008794F" w:rsidP="00DC4C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 Rakouska je tomu naopak…</w:t>
            </w:r>
          </w:p>
        </w:tc>
        <w:tc>
          <w:tcPr>
            <w:tcW w:w="143" w:type="pct"/>
          </w:tcPr>
          <w:p w:rsidR="0008794F" w:rsidRPr="00A557BF" w:rsidRDefault="0008794F" w:rsidP="003701F7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8794F" w:rsidRDefault="0008794F" w:rsidP="003701F7">
            <w:pPr>
              <w:pStyle w:val="Textpoznpodarou"/>
              <w:jc w:val="both"/>
            </w:pPr>
            <w:r>
              <w:t>Jestliže totiž Česká republika participovala v roce 2014 na celkovém počtu obyvatel EU 28 z 2,1 %, pak na unijním HDP v paritě kupní síly méně, jen</w:t>
            </w:r>
            <w:r w:rsidR="00DC4CBF">
              <w:t xml:space="preserve"> </w:t>
            </w:r>
            <w:r>
              <w:t>z</w:t>
            </w:r>
            <w:r w:rsidR="00DC4CBF">
              <w:t> </w:t>
            </w:r>
            <w:r>
              <w:t>1</w:t>
            </w:r>
            <w:r w:rsidR="00DC4CBF">
              <w:t>,</w:t>
            </w:r>
            <w:r>
              <w:t>7 %. Podobně Slovensko, jehož populace tvoří 1,1 % populace Unie, ale jeho podíl na unijním HDP byl v roce 2014 pouze 0,8 %. Naopak obyvatelstvo Rakouska představuje 1,7 % všech obyvatel v EU 28, ale HDP této země tvoří 2,1</w:t>
            </w:r>
            <w:r w:rsidR="00DC4CBF">
              <w:t> </w:t>
            </w:r>
            <w:r>
              <w:t>% celkové HDP EU 28 v paritě kupní síly.</w:t>
            </w:r>
          </w:p>
          <w:p w:rsidR="0008794F" w:rsidRPr="00B12998" w:rsidRDefault="0008794F" w:rsidP="00370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08794F" w:rsidRPr="003D717B" w:rsidTr="00B12998">
        <w:trPr>
          <w:trHeight w:val="979"/>
        </w:trPr>
        <w:tc>
          <w:tcPr>
            <w:tcW w:w="1054" w:type="pct"/>
          </w:tcPr>
          <w:p w:rsidR="0008794F" w:rsidRDefault="0008794F" w:rsidP="003701F7">
            <w:pPr>
              <w:spacing w:before="100" w:before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…a také v úhrnu za tři země je podíl na populaci proti podílu na HDP mírně vyšší</w:t>
            </w:r>
          </w:p>
        </w:tc>
        <w:tc>
          <w:tcPr>
            <w:tcW w:w="143" w:type="pct"/>
          </w:tcPr>
          <w:p w:rsidR="0008794F" w:rsidRPr="00A557BF" w:rsidRDefault="0008794F" w:rsidP="003701F7">
            <w:pPr>
              <w:pStyle w:val="Textpoznpodarou"/>
              <w:spacing w:before="100" w:beforeAutospacing="1"/>
              <w:jc w:val="both"/>
            </w:pPr>
          </w:p>
        </w:tc>
        <w:tc>
          <w:tcPr>
            <w:tcW w:w="3803" w:type="pct"/>
          </w:tcPr>
          <w:p w:rsidR="0008794F" w:rsidRDefault="0008794F" w:rsidP="00B12998">
            <w:pPr>
              <w:pStyle w:val="Textpoznpodarou"/>
              <w:jc w:val="both"/>
            </w:pPr>
            <w:r>
              <w:t>V úhrnu se obyvatelstvo České republiky, Slovenské republiky a Rakouska v roce 2014 podílelo na celkové populac</w:t>
            </w:r>
            <w:r w:rsidR="007D7DD8">
              <w:t>i</w:t>
            </w:r>
            <w:r>
              <w:t xml:space="preserve"> Evropské unie ze 4,8 %, ovšem na jejím HDP v paritě kupní síly participovaly tyto tři země dohromady podílem mírně nižším, a to ve výši 4,6 %.</w:t>
            </w:r>
          </w:p>
          <w:p w:rsidR="0008794F" w:rsidRPr="00B12998" w:rsidRDefault="0008794F" w:rsidP="00B12998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08794F" w:rsidRPr="003D717B" w:rsidTr="00B12998">
        <w:trPr>
          <w:trHeight w:val="1635"/>
        </w:trPr>
        <w:tc>
          <w:tcPr>
            <w:tcW w:w="1054" w:type="pct"/>
          </w:tcPr>
          <w:p w:rsidR="0008794F" w:rsidRDefault="0008794F" w:rsidP="00734D71">
            <w:pPr>
              <w:spacing w:before="100" w:before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 globálního pohledu je EU výkonná – ačkoli v ní žije jen 7,1 % světové populace, participuje na světovém HDP téměř čtvrtinou</w:t>
            </w:r>
          </w:p>
        </w:tc>
        <w:tc>
          <w:tcPr>
            <w:tcW w:w="143" w:type="pct"/>
          </w:tcPr>
          <w:p w:rsidR="0008794F" w:rsidRPr="00A557BF" w:rsidRDefault="0008794F" w:rsidP="003701F7">
            <w:pPr>
              <w:pStyle w:val="Textpoznpodarou"/>
              <w:spacing w:before="100" w:beforeAutospacing="1"/>
              <w:jc w:val="both"/>
            </w:pPr>
          </w:p>
        </w:tc>
        <w:tc>
          <w:tcPr>
            <w:tcW w:w="3803" w:type="pct"/>
          </w:tcPr>
          <w:p w:rsidR="0008794F" w:rsidRDefault="0008794F" w:rsidP="003701F7">
            <w:pPr>
              <w:pStyle w:val="Textpoznpodarou"/>
              <w:spacing w:before="100" w:beforeAutospacing="1"/>
              <w:jc w:val="both"/>
            </w:pPr>
            <w:r>
              <w:t xml:space="preserve">Zajímavá jsou však i globální porovnání ukazující výkonností rozdíly. V roce 2014 připadala na Evropskou unii 7,1 % světové populace, její podíl na světovém HDP v paritě kupní síly však činil silných 23,7 %, tedy skoro čtvrtinu. Ještě příznivější proporce ve výkonnosti však dosáhly Spojené státy. I když jejich podíl na světovém HDP byl </w:t>
            </w:r>
            <w:r w:rsidR="00DC4CBF">
              <w:t xml:space="preserve">mírně </w:t>
            </w:r>
            <w:r>
              <w:t>nižší než v případě EU 28, tj. činil 22,2 %, byl vyprodukován počtem obyvatel představujícím jen 4,4 % světové populace.</w:t>
            </w:r>
          </w:p>
          <w:p w:rsidR="0008794F" w:rsidRPr="00B12998" w:rsidRDefault="0008794F" w:rsidP="00B12998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08794F" w:rsidRPr="003D717B" w:rsidTr="00B12998">
        <w:trPr>
          <w:trHeight w:val="1635"/>
        </w:trPr>
        <w:tc>
          <w:tcPr>
            <w:tcW w:w="1054" w:type="pct"/>
          </w:tcPr>
          <w:p w:rsidR="0008794F" w:rsidRDefault="0008794F" w:rsidP="003701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Podíly ekonomik ČR a Rakouska na unijním HDP se za desetiletí 2005-2014</w:t>
            </w:r>
            <w:r w:rsidR="00446EE5">
              <w:rPr>
                <w:sz w:val="16"/>
                <w:szCs w:val="16"/>
              </w:rPr>
              <w:t xml:space="preserve"> vůbec</w:t>
            </w:r>
            <w:r>
              <w:rPr>
                <w:sz w:val="16"/>
                <w:szCs w:val="16"/>
              </w:rPr>
              <w:t xml:space="preserve"> nezměnily, podíl Slovenska narostl o čtvrtinu…</w:t>
            </w:r>
          </w:p>
          <w:p w:rsidR="0008794F" w:rsidRPr="00A557BF" w:rsidRDefault="0008794F" w:rsidP="003701F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08794F" w:rsidRPr="00A557BF" w:rsidRDefault="0008794F" w:rsidP="003701F7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8794F" w:rsidRPr="00877329" w:rsidRDefault="0008794F" w:rsidP="00446EE5">
            <w:pPr>
              <w:pStyle w:val="Textpoznpodarou"/>
              <w:jc w:val="both"/>
            </w:pPr>
            <w:r>
              <w:t>Výše zmíněné podíly tří sledovaných zemí na ekonomické výkonnosti Evropské unie měřené HDP v </w:t>
            </w:r>
            <w:r w:rsidR="00446EE5">
              <w:t>PPS</w:t>
            </w:r>
            <w:r>
              <w:t xml:space="preserve"> se v čase příliš nemění. Vzrostl jen podíl Slovenska, sledujeme-li vývoj za období 2005-2014. HDP ČR zůstává na 1,7 % HDP EU 28 již do roku 2005, obdobně Rakousko s 2,1 % (s nepatrnou odchylkou v roce 2007, kdy podíl klesl na 2 %). Vzestup Slovenska je však znatelnější – jestliže v roce 2005 produkovalo 0,6 % unijního HDP v paritě kupní síly, v roce 2014 už 0,8 %. Jeho podíl vzrostl o čtvrtinu. </w:t>
            </w:r>
          </w:p>
        </w:tc>
      </w:tr>
    </w:tbl>
    <w:p w:rsidR="0008794F" w:rsidRPr="00A34BBF" w:rsidRDefault="0008794F" w:rsidP="00B12998">
      <w:pPr>
        <w:jc w:val="both"/>
        <w:rPr>
          <w:color w:val="808080"/>
          <w:sz w:val="10"/>
          <w:szCs w:val="10"/>
        </w:rPr>
      </w:pPr>
    </w:p>
    <w:tbl>
      <w:tblPr>
        <w:tblW w:w="5043" w:type="pct"/>
        <w:tblInd w:w="-4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19"/>
        <w:gridCol w:w="4012"/>
        <w:gridCol w:w="839"/>
        <w:gridCol w:w="4007"/>
      </w:tblGrid>
      <w:tr w:rsidR="0008794F" w:rsidRPr="00817C98" w:rsidTr="00B12998">
        <w:tc>
          <w:tcPr>
            <w:tcW w:w="470" w:type="pct"/>
          </w:tcPr>
          <w:p w:rsidR="0008794F" w:rsidRDefault="0008794F" w:rsidP="00C926BE">
            <w:pPr>
              <w:spacing w:line="240" w:lineRule="auto"/>
            </w:pPr>
            <w:r>
              <w:t>Graf 2</w:t>
            </w:r>
          </w:p>
        </w:tc>
        <w:tc>
          <w:tcPr>
            <w:tcW w:w="2052" w:type="pct"/>
          </w:tcPr>
          <w:p w:rsidR="0008794F" w:rsidRDefault="0008794F" w:rsidP="00C926BE">
            <w:pPr>
              <w:pStyle w:val="Textpoznpodarou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Podíl ČR, SR a Rakouska na HDP EU 28 v paritě kupní síly (PPS) </w:t>
            </w:r>
            <w:r w:rsidRPr="00BE1C59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v %, 2005-2014)</w:t>
            </w:r>
          </w:p>
        </w:tc>
        <w:tc>
          <w:tcPr>
            <w:tcW w:w="429" w:type="pct"/>
          </w:tcPr>
          <w:p w:rsidR="0008794F" w:rsidRDefault="0008794F" w:rsidP="00B05DF2">
            <w:pPr>
              <w:spacing w:line="240" w:lineRule="auto"/>
            </w:pPr>
            <w:r>
              <w:t>Graf 3</w:t>
            </w:r>
          </w:p>
        </w:tc>
        <w:tc>
          <w:tcPr>
            <w:tcW w:w="2049" w:type="pct"/>
          </w:tcPr>
          <w:p w:rsidR="0008794F" w:rsidRPr="00817C98" w:rsidRDefault="0008794F" w:rsidP="00B05DF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Podíl ČR, SR a Rakouska na HDP EU 28 vyjádřeném v eurech </w:t>
            </w:r>
            <w:r w:rsidRPr="00BE1C59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 xml:space="preserve">v %, 2005-2014) </w:t>
            </w:r>
          </w:p>
        </w:tc>
      </w:tr>
      <w:tr w:rsidR="0008794F" w:rsidTr="00B12998">
        <w:tc>
          <w:tcPr>
            <w:tcW w:w="2522" w:type="pct"/>
            <w:gridSpan w:val="2"/>
          </w:tcPr>
          <w:p w:rsidR="0008794F" w:rsidRDefault="007A6E58" w:rsidP="00B05DF2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26" type="#_x0000_t75" style="width:239.25pt;height:199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">
                  <v:imagedata r:id="rId9" o:title=""/>
                  <o:lock v:ext="edit" aspectratio="f"/>
                </v:shape>
              </w:pict>
            </w:r>
          </w:p>
        </w:tc>
        <w:tc>
          <w:tcPr>
            <w:tcW w:w="2478" w:type="pct"/>
            <w:gridSpan w:val="2"/>
          </w:tcPr>
          <w:p w:rsidR="0008794F" w:rsidRDefault="007A6E58" w:rsidP="00B05DF2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27" type="#_x0000_t75" style="width:234.75pt;height:199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">
                  <v:imagedata r:id="rId10" o:title=""/>
                  <o:lock v:ext="edit" aspectratio="f"/>
                </v:shape>
              </w:pict>
            </w:r>
          </w:p>
        </w:tc>
      </w:tr>
    </w:tbl>
    <w:p w:rsidR="0008794F" w:rsidRDefault="0008794F" w:rsidP="002A216F">
      <w:pPr>
        <w:jc w:val="right"/>
      </w:pPr>
      <w:r>
        <w:t>¨Pramen: Eurostat, vlastní propočty</w:t>
      </w:r>
    </w:p>
    <w:p w:rsidR="0008794F" w:rsidRDefault="0008794F" w:rsidP="00031AEE"/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08794F" w:rsidRPr="00877329" w:rsidTr="00E07309">
        <w:trPr>
          <w:trHeight w:val="1635"/>
        </w:trPr>
        <w:tc>
          <w:tcPr>
            <w:tcW w:w="1054" w:type="pct"/>
          </w:tcPr>
          <w:p w:rsidR="0008794F" w:rsidRDefault="0008794F" w:rsidP="00E073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ale největší skok v podílu na unijním HDP byl patrný v případě Polska, a to o více než třetinu na 5,1 % v roce 2014</w:t>
            </w:r>
          </w:p>
        </w:tc>
        <w:tc>
          <w:tcPr>
            <w:tcW w:w="143" w:type="pct"/>
          </w:tcPr>
          <w:p w:rsidR="0008794F" w:rsidRPr="00A557BF" w:rsidRDefault="0008794F" w:rsidP="00E0730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8794F" w:rsidRDefault="0008794F" w:rsidP="00395B68">
            <w:pPr>
              <w:pStyle w:val="Textpoznpodarou"/>
              <w:jc w:val="both"/>
            </w:pPr>
            <w:r>
              <w:t xml:space="preserve">Největší skok z evropských zemí však za uvedené období uskutečnilo Polsko. To v roce 2005 participovalo na unijním HDP v PPS z 3,8 %, ale v roce 2014 již z 5,1 % (jeho podíl tedy stoupl o více než třetinu). Svou roli sehrála i skutečnost, že polská ekonomika neprošla v roce 2009 krizí a jako jediné zemi v EU její HDP meziročně neklesl. </w:t>
            </w:r>
          </w:p>
          <w:p w:rsidR="0008794F" w:rsidRDefault="0008794F" w:rsidP="001964BC">
            <w:pPr>
              <w:pStyle w:val="Textpoznpodarou"/>
              <w:jc w:val="both"/>
            </w:pPr>
          </w:p>
        </w:tc>
      </w:tr>
    </w:tbl>
    <w:p w:rsidR="0008794F" w:rsidRPr="00DA43AC" w:rsidRDefault="0008794F" w:rsidP="000D7537">
      <w:pPr>
        <w:pStyle w:val="Nadpis2"/>
        <w:rPr>
          <w:color w:val="000000"/>
        </w:rPr>
      </w:pPr>
      <w:bookmarkStart w:id="2" w:name="_Toc425752385"/>
      <w:r>
        <w:rPr>
          <w:color w:val="000000"/>
        </w:rPr>
        <w:t>2.2. H</w:t>
      </w:r>
      <w:r w:rsidRPr="00DA43AC">
        <w:rPr>
          <w:color w:val="000000"/>
        </w:rPr>
        <w:t>rubý domácí produkt na obyvatele v paritě kupní síly (PPS)</w:t>
      </w:r>
    </w:p>
    <w:p w:rsidR="0008794F" w:rsidRPr="001E7969" w:rsidRDefault="0008794F" w:rsidP="00AF5FC0">
      <w:pPr>
        <w:pStyle w:val="Nadpis2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08794F" w:rsidRPr="00A557BF" w:rsidTr="00181C9A">
        <w:tc>
          <w:tcPr>
            <w:tcW w:w="1055" w:type="pct"/>
          </w:tcPr>
          <w:p w:rsidR="0008794F" w:rsidRDefault="0008794F" w:rsidP="00BD74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Velký odstup podle HDP na obyvatele v PPS ekonomik ČR a Slovenska od rakouské ekonomiky, kde v roce 2014 dosahoval tento indikátor 127</w:t>
            </w:r>
            <w:r w:rsidR="00446EE5">
              <w:rPr>
                <w:sz w:val="16"/>
                <w:szCs w:val="16"/>
              </w:rPr>
              <w:t>,4</w:t>
            </w:r>
            <w:r>
              <w:rPr>
                <w:sz w:val="16"/>
                <w:szCs w:val="16"/>
              </w:rPr>
              <w:t xml:space="preserve"> % průměru EU 28</w:t>
            </w:r>
          </w:p>
          <w:p w:rsidR="0008794F" w:rsidRDefault="0008794F" w:rsidP="00BD7413">
            <w:pPr>
              <w:spacing w:line="240" w:lineRule="auto"/>
              <w:rPr>
                <w:sz w:val="16"/>
                <w:szCs w:val="16"/>
              </w:rPr>
            </w:pPr>
          </w:p>
          <w:p w:rsidR="0008794F" w:rsidRDefault="0008794F" w:rsidP="00BD7413">
            <w:pPr>
              <w:spacing w:line="240" w:lineRule="auto"/>
              <w:rPr>
                <w:sz w:val="16"/>
                <w:szCs w:val="16"/>
              </w:rPr>
            </w:pPr>
          </w:p>
          <w:p w:rsidR="0008794F" w:rsidRPr="00A557BF" w:rsidRDefault="0008794F" w:rsidP="00BD74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08794F" w:rsidRPr="00A557BF" w:rsidRDefault="0008794F" w:rsidP="00181C9A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9B6CCD">
            <w:pPr>
              <w:pStyle w:val="Textpoznpodarou"/>
              <w:jc w:val="both"/>
            </w:pPr>
            <w:r>
              <w:t>HDP na obyvatele v paritě kupní síly jako měřítko ekonomické vyspělosti zemí - v relaci k evropskému průměru, tj. EU či jiného uskupení, pak i měřítko reálné konvergence - ukazuje podle posledních dat za rok 2014 relativně značný odstup Rakouska od ekonomik České republiky a Slovenska (graf 4). Není to překvapivé, neboť Rakousko je jednou z</w:t>
            </w:r>
            <w:r w:rsidR="00056451">
              <w:t> ekonomicky nejvyspělejších</w:t>
            </w:r>
            <w:r>
              <w:t xml:space="preserve"> evropských zemí, v roce 2014 se čtvrtým nejvyšším HDP na obyvatele v paritě kupní síly na úrovni 127,</w:t>
            </w:r>
            <w:r w:rsidR="00446EE5">
              <w:t>4</w:t>
            </w:r>
            <w:r w:rsidR="00056451">
              <w:t> </w:t>
            </w:r>
            <w:r>
              <w:t xml:space="preserve">% průměru EU 28. Ze zemí stojících mimo Unii však měly ještě vyšší ekonomickou úroveň než Rakousko ekonomiky Norska (179,5 %) a Švýcarska (161,7 % podle údaje za rok 2013). </w:t>
            </w:r>
          </w:p>
          <w:p w:rsidR="0008794F" w:rsidRPr="00A557BF" w:rsidRDefault="0008794F" w:rsidP="009B6CCD">
            <w:pPr>
              <w:pStyle w:val="Textpoznpodarou"/>
              <w:jc w:val="both"/>
              <w:rPr>
                <w:sz w:val="18"/>
                <w:szCs w:val="18"/>
              </w:rPr>
            </w:pPr>
            <w:r>
              <w:t xml:space="preserve">  </w:t>
            </w:r>
          </w:p>
        </w:tc>
      </w:tr>
      <w:tr w:rsidR="0008794F" w:rsidRPr="00A557BF" w:rsidTr="00181C9A">
        <w:tc>
          <w:tcPr>
            <w:tcW w:w="1055" w:type="pct"/>
          </w:tcPr>
          <w:p w:rsidR="0008794F" w:rsidRDefault="0008794F" w:rsidP="00BD74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ČR až ve druhé polovině žebříčku s 83,9 % průměru EU 28, o tři místa před Slovenskem (76,2 %)</w:t>
            </w:r>
          </w:p>
        </w:tc>
        <w:tc>
          <w:tcPr>
            <w:tcW w:w="145" w:type="pct"/>
          </w:tcPr>
          <w:p w:rsidR="0008794F" w:rsidRPr="00A557BF" w:rsidRDefault="0008794F" w:rsidP="00181C9A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7D7DD8">
            <w:pPr>
              <w:pStyle w:val="Textpoznpodarou"/>
              <w:jc w:val="both"/>
            </w:pPr>
            <w:r>
              <w:t>Česká republika i Slovensk</w:t>
            </w:r>
            <w:r w:rsidR="00446EE5">
              <w:t>o</w:t>
            </w:r>
            <w:r>
              <w:t xml:space="preserve"> jsou v pořadí zemí EU až ve druhé polovině žebříčku, navzájem s rozdílem tří pozic. ČR přitom tuto druhou polovinu uvedeného pořadí otevírá s 83,9 % průměru EU</w:t>
            </w:r>
            <w:r w:rsidR="00446EE5">
              <w:t xml:space="preserve"> podl</w:t>
            </w:r>
            <w:r w:rsidR="007D7DD8">
              <w:t>e da</w:t>
            </w:r>
            <w:r w:rsidR="00446EE5">
              <w:t>t za</w:t>
            </w:r>
            <w:r w:rsidR="007D7DD8">
              <w:t xml:space="preserve"> </w:t>
            </w:r>
            <w:r w:rsidR="00446EE5">
              <w:t>rok 2014.</w:t>
            </w:r>
            <w:r>
              <w:t xml:space="preserve"> Z tzv. nových členských zemí EU - které </w:t>
            </w:r>
            <w:r w:rsidR="00446EE5">
              <w:t xml:space="preserve">se staly součástí </w:t>
            </w:r>
            <w:r>
              <w:t xml:space="preserve">společného hospodářského prostoru </w:t>
            </w:r>
            <w:r w:rsidR="00446EE5">
              <w:t>po</w:t>
            </w:r>
            <w:r w:rsidR="007D7DD8">
              <w:t>č</w:t>
            </w:r>
            <w:r w:rsidR="00446EE5">
              <w:t>ínaje</w:t>
            </w:r>
            <w:r>
              <w:t xml:space="preserve"> vstupní vln</w:t>
            </w:r>
            <w:r w:rsidR="00446EE5">
              <w:t>ou</w:t>
            </w:r>
            <w:r>
              <w:t xml:space="preserve"> z května 2004 a později -, je pozice ČR nejlepší, spolu s Kyprem a Maltou. Slovensku (76,2 %) schází k těsnému přiblížení k úrovni České republiky předstihnout Portugalsko a Slovinsko.</w:t>
            </w:r>
          </w:p>
        </w:tc>
      </w:tr>
    </w:tbl>
    <w:p w:rsidR="0008794F" w:rsidRPr="006F38C7" w:rsidRDefault="0008794F" w:rsidP="00AF5FC0">
      <w:pPr>
        <w:pStyle w:val="Nadpis2"/>
        <w:rPr>
          <w:sz w:val="16"/>
          <w:szCs w:val="16"/>
        </w:rPr>
      </w:pPr>
    </w:p>
    <w:p w:rsidR="0008794F" w:rsidRPr="00DA43AC" w:rsidRDefault="0008794F" w:rsidP="001B50A0">
      <w:pPr>
        <w:pStyle w:val="Nadpis2"/>
        <w:rPr>
          <w:color w:val="000000"/>
          <w:sz w:val="18"/>
          <w:szCs w:val="20"/>
        </w:rPr>
      </w:pPr>
      <w:r w:rsidRPr="00DA43AC">
        <w:rPr>
          <w:color w:val="000000"/>
          <w:sz w:val="20"/>
          <w:szCs w:val="20"/>
        </w:rPr>
        <w:t>Graf</w:t>
      </w:r>
      <w:r>
        <w:rPr>
          <w:color w:val="000000"/>
          <w:sz w:val="20"/>
          <w:szCs w:val="20"/>
        </w:rPr>
        <w:t xml:space="preserve"> 4: Hrubý domácí produkt na obyvatele v paritě kupní síly (</w:t>
      </w:r>
      <w:r>
        <w:rPr>
          <w:color w:val="000000"/>
          <w:sz w:val="18"/>
          <w:szCs w:val="20"/>
        </w:rPr>
        <w:t xml:space="preserve">PPS) v roce 2014 </w:t>
      </w:r>
      <w:r w:rsidRPr="00DA43AC">
        <w:rPr>
          <w:b w:val="0"/>
          <w:color w:val="000000"/>
          <w:sz w:val="18"/>
          <w:szCs w:val="20"/>
        </w:rPr>
        <w:t>(</w:t>
      </w:r>
      <w:r>
        <w:rPr>
          <w:b w:val="0"/>
          <w:color w:val="000000"/>
          <w:sz w:val="18"/>
          <w:szCs w:val="20"/>
        </w:rPr>
        <w:t>EU 28=100)</w:t>
      </w:r>
    </w:p>
    <w:p w:rsidR="0008794F" w:rsidRDefault="007A6E58" w:rsidP="001B50A0">
      <w:pPr>
        <w:jc w:val="center"/>
      </w:pPr>
      <w:r>
        <w:pict>
          <v:shape id="_x0000_i1028" type="#_x0000_t75" style="width:409.5pt;height:175.5pt">
            <v:imagedata r:id="rId11" o:title=""/>
          </v:shape>
        </w:pict>
      </w:r>
    </w:p>
    <w:p w:rsidR="0008794F" w:rsidRDefault="0008794F" w:rsidP="001B50A0">
      <w:pPr>
        <w:jc w:val="right"/>
        <w:rPr>
          <w:sz w:val="18"/>
          <w:szCs w:val="18"/>
        </w:rPr>
      </w:pPr>
      <w:r w:rsidRPr="00DA43AC">
        <w:rPr>
          <w:sz w:val="18"/>
          <w:szCs w:val="18"/>
        </w:rPr>
        <w:t>Pramen: Eurostat</w:t>
      </w:r>
    </w:p>
    <w:p w:rsidR="0008794F" w:rsidRPr="006F38C7" w:rsidRDefault="0008794F" w:rsidP="006F38C7">
      <w:pPr>
        <w:jc w:val="both"/>
        <w:rPr>
          <w:sz w:val="18"/>
          <w:szCs w:val="18"/>
        </w:rPr>
      </w:pPr>
    </w:p>
    <w:p w:rsidR="0008794F" w:rsidRPr="006F38C7" w:rsidRDefault="0008794F" w:rsidP="00454492">
      <w:pPr>
        <w:numPr>
          <w:ilvl w:val="2"/>
          <w:numId w:val="21"/>
        </w:numPr>
        <w:jc w:val="both"/>
        <w:rPr>
          <w:b/>
          <w:sz w:val="24"/>
        </w:rPr>
      </w:pPr>
      <w:r w:rsidRPr="006F38C7">
        <w:rPr>
          <w:b/>
          <w:sz w:val="24"/>
        </w:rPr>
        <w:t>Odstup Rakouska od Slovenska a České republiky během let 1995-2014</w:t>
      </w:r>
    </w:p>
    <w:p w:rsidR="0008794F" w:rsidRPr="006F38C7" w:rsidRDefault="0008794F" w:rsidP="00454492">
      <w:pPr>
        <w:jc w:val="both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08794F" w:rsidTr="00254196">
        <w:tc>
          <w:tcPr>
            <w:tcW w:w="1055" w:type="pct"/>
          </w:tcPr>
          <w:p w:rsidR="0008794F" w:rsidRDefault="0008794F" w:rsidP="00C2696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Výrazný odstup Rakouska… </w:t>
            </w:r>
          </w:p>
        </w:tc>
        <w:tc>
          <w:tcPr>
            <w:tcW w:w="145" w:type="pct"/>
          </w:tcPr>
          <w:p w:rsidR="0008794F" w:rsidRPr="00A557BF" w:rsidRDefault="0008794F" w:rsidP="00254196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1B50A0">
            <w:pPr>
              <w:pStyle w:val="Textpoznpodarou"/>
              <w:jc w:val="both"/>
            </w:pPr>
            <w:r>
              <w:t>Vývoj HDP na obyvatele v PPS od roku 1995 (graf 5) ukazuje jednak velmi výrazný odstup Rakouska od Č</w:t>
            </w:r>
            <w:r w:rsidR="00056451">
              <w:t>R</w:t>
            </w:r>
            <w:r>
              <w:t xml:space="preserve"> a do poloviny sledovaného období zejména Slovenska. Je z něj však také patrná relativně silná reálná konvergence Slovenska k průměrné ekonomické úrovni zemí EU 28 a oproti ní jen slabé dohánění v případě Č</w:t>
            </w:r>
            <w:r w:rsidR="00056451">
              <w:t>R</w:t>
            </w:r>
            <w:r>
              <w:t>. Rakousk</w:t>
            </w:r>
            <w:r w:rsidR="005E04A2">
              <w:t>á vyspělost</w:t>
            </w:r>
            <w:r>
              <w:t xml:space="preserve"> podle HDP</w:t>
            </w:r>
            <w:r w:rsidR="00056451">
              <w:t>/</w:t>
            </w:r>
            <w:r>
              <w:t>obyv</w:t>
            </w:r>
            <w:r w:rsidR="00056451">
              <w:t>.</w:t>
            </w:r>
            <w:r>
              <w:t xml:space="preserve"> v PPS vystupuje do popředí také při srovnání s průměrem EU 28 – přesahuje ho během celého období 1995-2014 a </w:t>
            </w:r>
            <w:r w:rsidR="00056451">
              <w:t>zejména po krizi v roce 2009</w:t>
            </w:r>
            <w:r>
              <w:t xml:space="preserve"> se odstup ještě zvětšoval</w:t>
            </w:r>
            <w:r w:rsidR="00056451">
              <w:t>.</w:t>
            </w:r>
            <w:r>
              <w:t xml:space="preserve"> </w:t>
            </w:r>
          </w:p>
          <w:p w:rsidR="0008794F" w:rsidRPr="00B752FD" w:rsidRDefault="0008794F" w:rsidP="001B50A0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8794F" w:rsidTr="00C2696A">
        <w:tc>
          <w:tcPr>
            <w:tcW w:w="1055" w:type="pct"/>
          </w:tcPr>
          <w:p w:rsidR="0008794F" w:rsidRDefault="0008794F" w:rsidP="002541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od Slovenska jako jedné z nejchudších ekonomik EU v roce 1995, ale i od České republiky… </w:t>
            </w:r>
          </w:p>
        </w:tc>
        <w:tc>
          <w:tcPr>
            <w:tcW w:w="145" w:type="pct"/>
          </w:tcPr>
          <w:p w:rsidR="0008794F" w:rsidRPr="00A557BF" w:rsidRDefault="0008794F" w:rsidP="00254196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9B529C">
            <w:pPr>
              <w:pStyle w:val="Textpoznpodarou"/>
              <w:jc w:val="both"/>
            </w:pPr>
            <w:r>
              <w:t>V roce 1995 byla ekonomická úroveň České republiky na 76,2 % průměru EU 28 a Slovensko bylo podle HDP</w:t>
            </w:r>
            <w:r w:rsidR="00056451">
              <w:t>/obyv.</w:t>
            </w:r>
            <w:r>
              <w:t xml:space="preserve"> v PPS jednou z nejchudších zemí </w:t>
            </w:r>
            <w:r w:rsidR="005E04A2">
              <w:t>U</w:t>
            </w:r>
            <w:r>
              <w:t>nie se 47</w:t>
            </w:r>
            <w:r w:rsidR="00056451">
              <w:t> </w:t>
            </w:r>
            <w:r>
              <w:t xml:space="preserve">% průměru EU (horší relaci vykazovalo jen Pobaltí, Bulharsko a Rumunsko s proporcí zhruba třetinovou). Ovšem Rakousko bylo v té době </w:t>
            </w:r>
            <w:r w:rsidR="00056451">
              <w:t xml:space="preserve">nejvyspělejší </w:t>
            </w:r>
            <w:r>
              <w:t xml:space="preserve">unijní zemí s 131,8 % </w:t>
            </w:r>
            <w:r w:rsidR="00056451">
              <w:t>průměru</w:t>
            </w:r>
            <w:r>
              <w:t xml:space="preserve"> EU</w:t>
            </w:r>
            <w:r w:rsidR="00056451">
              <w:t>. Takto vysoko pak</w:t>
            </w:r>
            <w:r>
              <w:t xml:space="preserve"> v žádném z dalších let až do roku 2014 (127,4 %) rakouský HDP</w:t>
            </w:r>
            <w:r w:rsidR="00056451">
              <w:t>/</w:t>
            </w:r>
            <w:r>
              <w:t>obyv</w:t>
            </w:r>
            <w:r w:rsidR="00056451">
              <w:t>.</w:t>
            </w:r>
            <w:r>
              <w:t xml:space="preserve"> v PPS nebyl</w:t>
            </w:r>
            <w:r w:rsidR="00056451">
              <w:t>. V</w:t>
            </w:r>
            <w:r>
              <w:t>elmi vysoký však byl i průměr za poslední dvě dekády, kdy Rakousk</w:t>
            </w:r>
            <w:r w:rsidR="00056451">
              <w:t>o dosahovalo</w:t>
            </w:r>
            <w:r>
              <w:t xml:space="preserve"> 127,8 % úrovně EU. </w:t>
            </w:r>
          </w:p>
          <w:p w:rsidR="0008794F" w:rsidRDefault="0008794F" w:rsidP="00813EB9">
            <w:pPr>
              <w:pStyle w:val="Textpoznpodarou"/>
              <w:jc w:val="both"/>
            </w:pPr>
            <w:r>
              <w:t xml:space="preserve">   </w:t>
            </w:r>
          </w:p>
        </w:tc>
      </w:tr>
      <w:tr w:rsidR="0008794F" w:rsidTr="00C2696A">
        <w:tc>
          <w:tcPr>
            <w:tcW w:w="1055" w:type="pct"/>
          </w:tcPr>
          <w:p w:rsidR="0008794F" w:rsidRDefault="0008794F" w:rsidP="0005645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je logický z toho důvodu, že Rakousko bylo v té době podle HDP na obyvatele v PPS nej</w:t>
            </w:r>
            <w:r w:rsidR="00056451">
              <w:rPr>
                <w:sz w:val="16"/>
                <w:szCs w:val="16"/>
              </w:rPr>
              <w:t xml:space="preserve">vyspělejší </w:t>
            </w:r>
            <w:r>
              <w:rPr>
                <w:sz w:val="16"/>
                <w:szCs w:val="16"/>
              </w:rPr>
              <w:t xml:space="preserve"> zemí EU</w:t>
            </w:r>
            <w:r w:rsidR="0005645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z neunijních zemí  jen Švýcarsko a Norsko</w:t>
            </w:r>
            <w:r w:rsidR="00056451">
              <w:rPr>
                <w:sz w:val="16"/>
                <w:szCs w:val="16"/>
              </w:rPr>
              <w:t>) - během dvou desetiletí 1995-2014 se pozice Rakouska mírně zhoršila - stalo se čtvrtou nejvyspělejší  zemí EU a šestou v Evropě</w:t>
            </w:r>
          </w:p>
        </w:tc>
        <w:tc>
          <w:tcPr>
            <w:tcW w:w="145" w:type="pct"/>
          </w:tcPr>
          <w:p w:rsidR="0008794F" w:rsidRPr="00A557BF" w:rsidRDefault="0008794F" w:rsidP="00254196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9B529C">
            <w:pPr>
              <w:pStyle w:val="Textpoznpodarou"/>
              <w:jc w:val="both"/>
            </w:pPr>
            <w:r>
              <w:t xml:space="preserve">V rámci celé Evropy přesáhly </w:t>
            </w:r>
            <w:r w:rsidR="00056451">
              <w:t>relativní úroveň</w:t>
            </w:r>
            <w:r>
              <w:t xml:space="preserve"> Rakouska v roce 1995 jen země stojící mimo EU, tj. Švýcarsko s 159,8 % a nepatrně i Norsko se 133,8 % průměrné ekonomické úrovně EU 28. </w:t>
            </w:r>
          </w:p>
          <w:p w:rsidR="0008794F" w:rsidRPr="006F38C7" w:rsidRDefault="0008794F" w:rsidP="009B529C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9B529C">
            <w:pPr>
              <w:pStyle w:val="Textpoznpodarou"/>
              <w:jc w:val="both"/>
            </w:pPr>
            <w:r>
              <w:t>Po zhruba dvaceti letech vykázalo nejvyšší HDP na obyvatele v PPS Lucembursko (které začalo v tabulkách figurovat až od roku 2000), s 271,8 % průměru EU v roce 2014</w:t>
            </w:r>
            <w:r w:rsidR="00446EE5">
              <w:t>. J</w:t>
            </w:r>
            <w:r>
              <w:t>de však o zemi velmi specifickou, se sídlem nadnárodních společností a institucí ovlivňujících např. mzdy a je také vnímáno jako tzv. „daňový ráj“, takže do sebe so</w:t>
            </w:r>
            <w:r w:rsidR="005E04A2">
              <w:t xml:space="preserve">ustřeďuje sídla firem zdaňujících </w:t>
            </w:r>
            <w:r>
              <w:t xml:space="preserve">své aktivity uskutečňované v jiných zemích, aj.. Kromě neunijního Švýcarska (157,7 %) a Norska (178,8 %) měly </w:t>
            </w:r>
            <w:r w:rsidR="00446EE5">
              <w:t xml:space="preserve">v roce 2014 </w:t>
            </w:r>
            <w:r>
              <w:t>vyšší HDP na obyvatele v PPS oproti Rakousku také Irsko (134,3 %) a Nizozemí (131,4 %).  Rakousko se 127,4 % průměrné ekonomické úrovně EU 28 tak bylo podle posledních dat za rok 2014 čtvrtou nejbohatší zemí Unie a šestou nejbohatší zemí Evropy.</w:t>
            </w:r>
            <w:r w:rsidR="00056451">
              <w:rPr>
                <w:rStyle w:val="Znakapoznpodarou"/>
              </w:rPr>
              <w:footnoteReference w:id="1"/>
            </w:r>
          </w:p>
          <w:p w:rsidR="0008794F" w:rsidRPr="00B752FD" w:rsidRDefault="0008794F" w:rsidP="009B529C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8794F" w:rsidTr="00C2696A">
        <w:tc>
          <w:tcPr>
            <w:tcW w:w="1055" w:type="pct"/>
          </w:tcPr>
          <w:p w:rsidR="0008794F" w:rsidRPr="00B40B04" w:rsidRDefault="0008794F" w:rsidP="00B40B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Výz</w:t>
            </w:r>
            <w:r w:rsidRPr="00B40B04">
              <w:rPr>
                <w:sz w:val="16"/>
                <w:szCs w:val="16"/>
              </w:rPr>
              <w:t>namně se přiblížit ekonomické ú</w:t>
            </w:r>
            <w:r>
              <w:rPr>
                <w:sz w:val="16"/>
                <w:szCs w:val="16"/>
              </w:rPr>
              <w:t xml:space="preserve">rovni </w:t>
            </w:r>
            <w:r>
              <w:rPr>
                <w:sz w:val="16"/>
                <w:szCs w:val="16"/>
              </w:rPr>
              <w:lastRenderedPageBreak/>
              <w:t xml:space="preserve">Rakouska bude pro ČR a Slovensko v příštích dekádách cílem vzdáleným – dosavadní konvergence byla totiž založena na jejich  nízké základně a dynamizaci způsobovaly mimořádné vlivy, jako byl například vstup do EU </w:t>
            </w:r>
          </w:p>
          <w:p w:rsidR="0008794F" w:rsidRDefault="0008794F" w:rsidP="0025419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08794F" w:rsidRPr="00A557BF" w:rsidRDefault="0008794F" w:rsidP="00254196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E23239">
            <w:pPr>
              <w:pStyle w:val="Textpoznpodarou"/>
              <w:jc w:val="both"/>
            </w:pPr>
            <w:r>
              <w:t>Závěrem této části analýzy, tj. změnami v</w:t>
            </w:r>
            <w:r w:rsidR="003F0686">
              <w:t> ekonomické vyspělosti</w:t>
            </w:r>
            <w:r>
              <w:t xml:space="preserve"> zemí podle HDP na obyvatele v PPS za dvě dekády let 1995-2014 lze při pohledu na tři zkoumané </w:t>
            </w:r>
            <w:r>
              <w:lastRenderedPageBreak/>
              <w:t xml:space="preserve">země konstatovat, že dospět </w:t>
            </w:r>
            <w:r w:rsidR="003F0686">
              <w:t>či alespoň</w:t>
            </w:r>
            <w:r>
              <w:t xml:space="preserve"> významně se přiblížit ekonomické úrovni Rakouska bude i v následujících dekádách představovat pro Českou republiku i Slovensko cíl velmi vzdálený. A to i přesto</w:t>
            </w:r>
            <w:r w:rsidR="007D7DD8">
              <w:t>,</w:t>
            </w:r>
            <w:r>
              <w:t xml:space="preserve"> že dosavadní tempo přibližování bylo zejména v případě Slovenska velmi rychlé</w:t>
            </w:r>
            <w:r w:rsidR="003F0686">
              <w:t>. J</w:t>
            </w:r>
            <w:r>
              <w:t>estliže v roce 1995 činil rozdíl v HDP na obyvatele v PPS Rakouska SR plných 85 bodů a ekonomická úroveň Rakouska byla proti Slovensku trojnásobně vyšší, v roce 2014 činil převis Rakouska už „jen“ 52 pb. Uvědomme si však, že šlo o období – což platí i pro Českou republiku – výjimečných změn dynamizujících ekonomický vývoj v ČR a SR, především efektů plynoucí ze vstupu obou zemí do Evropsk</w:t>
            </w:r>
            <w:r w:rsidR="00DC4CBF">
              <w:t>é</w:t>
            </w:r>
            <w:r>
              <w:t xml:space="preserve"> unie (z něhož vytěžilo více Slovensko, jak bude z dalšího patrné).  </w:t>
            </w:r>
          </w:p>
          <w:p w:rsidR="0008794F" w:rsidRDefault="0008794F" w:rsidP="00E23239">
            <w:pPr>
              <w:pStyle w:val="Textpoznpodarou"/>
              <w:jc w:val="both"/>
            </w:pPr>
          </w:p>
        </w:tc>
      </w:tr>
      <w:tr w:rsidR="0008794F" w:rsidTr="00B40B04">
        <w:tc>
          <w:tcPr>
            <w:tcW w:w="1055" w:type="pct"/>
          </w:tcPr>
          <w:p w:rsidR="0008794F" w:rsidRDefault="0008794F" w:rsidP="003F068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Slovensko se v roce 2013 po postupném </w:t>
            </w:r>
            <w:r w:rsidR="003F0686">
              <w:rPr>
                <w:sz w:val="16"/>
                <w:szCs w:val="16"/>
              </w:rPr>
              <w:t>snižování náskoku v</w:t>
            </w:r>
            <w:r>
              <w:rPr>
                <w:sz w:val="16"/>
                <w:szCs w:val="16"/>
              </w:rPr>
              <w:t xml:space="preserve"> ekonomické úrovně ČR dostalo v relativním HDP/obyv v PPS na rozdíl pouhých 7 pb. z 29 pb. rozdílu v roce 1995</w:t>
            </w:r>
          </w:p>
        </w:tc>
        <w:tc>
          <w:tcPr>
            <w:tcW w:w="145" w:type="pct"/>
          </w:tcPr>
          <w:p w:rsidR="0008794F" w:rsidRPr="00A557BF" w:rsidRDefault="0008794F" w:rsidP="00D85A8C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D85A8C">
            <w:pPr>
              <w:pStyle w:val="Textpoznpodarou"/>
              <w:jc w:val="both"/>
            </w:pPr>
            <w:r>
              <w:t>Navíc vývoj v letech 1995-2014 reálně naznačoval, že Slovensko může Českou republiku v ukazateli H</w:t>
            </w:r>
            <w:r w:rsidR="007D7DD8">
              <w:t>D</w:t>
            </w:r>
            <w:r>
              <w:t>P na obyvatele v PPS dokonce předstihnout – rozdíl, který činil v roce 1995 plných 29 pb. se v průběhu let ztenčil až na pouhých 7</w:t>
            </w:r>
            <w:r w:rsidR="00446EE5">
              <w:t> </w:t>
            </w:r>
            <w:r>
              <w:t xml:space="preserve">bodů v roce 2013. Poté, v roce 2014, vlivem obnoveného růstu české ekonomiky po recesi předchozích dvou let, činil rozdíl mezi ČR a Slovenskem </w:t>
            </w:r>
            <w:r w:rsidR="00446EE5">
              <w:t xml:space="preserve">v tomto ukazateli ekonomické úrovně </w:t>
            </w:r>
            <w:r>
              <w:t xml:space="preserve">8 pb. </w:t>
            </w:r>
            <w:r w:rsidR="00446EE5">
              <w:t xml:space="preserve">a </w:t>
            </w:r>
            <w:r>
              <w:t>je reálné předpokládat, že silný růst ekonomiky ČR v roce 2015 tuto proporci dále zlepší ve prospěch České republiky.</w:t>
            </w:r>
          </w:p>
          <w:p w:rsidR="0008794F" w:rsidRDefault="0008794F" w:rsidP="00D85A8C">
            <w:pPr>
              <w:pStyle w:val="Textpoznpodarou"/>
              <w:jc w:val="both"/>
            </w:pPr>
          </w:p>
        </w:tc>
      </w:tr>
    </w:tbl>
    <w:p w:rsidR="0008794F" w:rsidRPr="00BC706F" w:rsidRDefault="0008794F" w:rsidP="001B50A0">
      <w:pPr>
        <w:pStyle w:val="Nadpis2"/>
        <w:rPr>
          <w:color w:val="000000"/>
          <w:sz w:val="20"/>
          <w:szCs w:val="20"/>
        </w:rPr>
      </w:pPr>
      <w:r w:rsidRPr="00BC706F">
        <w:rPr>
          <w:color w:val="000000"/>
          <w:sz w:val="20"/>
          <w:szCs w:val="20"/>
        </w:rPr>
        <w:t xml:space="preserve">Graf </w:t>
      </w:r>
      <w:r>
        <w:rPr>
          <w:color w:val="000000"/>
          <w:sz w:val="20"/>
          <w:szCs w:val="20"/>
        </w:rPr>
        <w:t>5</w:t>
      </w:r>
      <w:r w:rsidRPr="00BC706F">
        <w:rPr>
          <w:color w:val="000000"/>
          <w:sz w:val="20"/>
          <w:szCs w:val="20"/>
        </w:rPr>
        <w:t xml:space="preserve">: Vývoj HDP na obyvatele v paritě kupní síly (PPS) ve srovnání let 1995-2014 </w:t>
      </w:r>
      <w:r w:rsidRPr="00BC706F">
        <w:rPr>
          <w:b w:val="0"/>
          <w:color w:val="000000"/>
          <w:sz w:val="20"/>
          <w:szCs w:val="20"/>
        </w:rPr>
        <w:t>(EU 28=100)</w:t>
      </w:r>
    </w:p>
    <w:p w:rsidR="0008794F" w:rsidRPr="006F38C7" w:rsidRDefault="0008794F" w:rsidP="001B50A0">
      <w:pPr>
        <w:rPr>
          <w:sz w:val="8"/>
          <w:szCs w:val="8"/>
        </w:rPr>
      </w:pPr>
    </w:p>
    <w:p w:rsidR="0008794F" w:rsidRDefault="00440BBA" w:rsidP="001B50A0">
      <w:pPr>
        <w:pStyle w:val="Nadpis2"/>
        <w:jc w:val="center"/>
        <w:rPr>
          <w:noProof/>
          <w:color w:val="000000"/>
          <w:sz w:val="20"/>
          <w:szCs w:val="20"/>
        </w:rPr>
      </w:pPr>
      <w:r w:rsidRPr="007A6E58">
        <w:rPr>
          <w:noProof/>
          <w:color w:val="000000"/>
          <w:sz w:val="20"/>
          <w:szCs w:val="20"/>
        </w:rPr>
        <w:pict>
          <v:shape id="_x0000_i1029" type="#_x0000_t75" style="width:408pt;height:17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">
            <v:imagedata r:id="rId12" o:title=""/>
            <o:lock v:ext="edit" aspectratio="f"/>
          </v:shape>
        </w:pict>
      </w:r>
    </w:p>
    <w:p w:rsidR="0008794F" w:rsidRPr="00FA3023" w:rsidRDefault="0008794F" w:rsidP="00FA3023">
      <w:pPr>
        <w:jc w:val="right"/>
        <w:rPr>
          <w:sz w:val="18"/>
          <w:szCs w:val="18"/>
        </w:rPr>
      </w:pPr>
      <w:r w:rsidRPr="00FA3023">
        <w:rPr>
          <w:sz w:val="18"/>
          <w:szCs w:val="18"/>
        </w:rPr>
        <w:t>Pramen: Eurostat</w:t>
      </w:r>
    </w:p>
    <w:p w:rsidR="0008794F" w:rsidRDefault="0008794F" w:rsidP="00E23239">
      <w:pPr>
        <w:jc w:val="both"/>
        <w:rPr>
          <w:sz w:val="18"/>
          <w:szCs w:val="18"/>
        </w:rPr>
      </w:pPr>
    </w:p>
    <w:p w:rsidR="0008794F" w:rsidRPr="00440BBA" w:rsidRDefault="0008794F" w:rsidP="001B50A0">
      <w:pPr>
        <w:jc w:val="both"/>
        <w:rPr>
          <w:b/>
          <w:sz w:val="24"/>
        </w:rPr>
      </w:pPr>
      <w:r w:rsidRPr="00440BBA">
        <w:rPr>
          <w:b/>
          <w:sz w:val="24"/>
        </w:rPr>
        <w:t>2.2.2. Relace ke „starým“ unijním zemím skupiny EU 15</w:t>
      </w:r>
    </w:p>
    <w:p w:rsidR="0008794F" w:rsidRPr="00DA43AC" w:rsidRDefault="0008794F" w:rsidP="00DA43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08794F" w:rsidRPr="00A557BF" w:rsidTr="00181C9A">
        <w:tc>
          <w:tcPr>
            <w:tcW w:w="1055" w:type="pct"/>
          </w:tcPr>
          <w:bookmarkEnd w:id="2"/>
          <w:p w:rsidR="0008794F" w:rsidRPr="00A557BF" w:rsidRDefault="0008794F" w:rsidP="00382D1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Při zvolení </w:t>
            </w:r>
            <w:r w:rsidR="00382D10">
              <w:rPr>
                <w:sz w:val="16"/>
                <w:szCs w:val="16"/>
              </w:rPr>
              <w:t>skupiny EU 15</w:t>
            </w:r>
            <w:r w:rsidR="008C0FE8">
              <w:rPr>
                <w:sz w:val="16"/>
                <w:szCs w:val="16"/>
              </w:rPr>
              <w:t xml:space="preserve"> </w:t>
            </w:r>
            <w:r w:rsidR="003F0686">
              <w:rPr>
                <w:sz w:val="16"/>
                <w:szCs w:val="16"/>
              </w:rPr>
              <w:t>jako referenční meze, dosahuje Č</w:t>
            </w:r>
            <w:r>
              <w:rPr>
                <w:sz w:val="16"/>
                <w:szCs w:val="16"/>
              </w:rPr>
              <w:t>R v HDP/obyv. v PPS jen 77,1 %</w:t>
            </w:r>
            <w:r w:rsidR="00382D10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Slovensko 70</w:t>
            </w:r>
            <w:r w:rsidR="00382D1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% </w:t>
            </w:r>
            <w:r w:rsidR="00382D10">
              <w:rPr>
                <w:sz w:val="16"/>
                <w:szCs w:val="16"/>
              </w:rPr>
              <w:t xml:space="preserve">jejich </w:t>
            </w:r>
            <w:r>
              <w:rPr>
                <w:sz w:val="16"/>
                <w:szCs w:val="16"/>
              </w:rPr>
              <w:t>průměr</w:t>
            </w:r>
            <w:r w:rsidR="00382D10">
              <w:rPr>
                <w:sz w:val="16"/>
                <w:szCs w:val="16"/>
              </w:rPr>
              <w:t>né úrovně;</w:t>
            </w:r>
            <w:r>
              <w:rPr>
                <w:sz w:val="16"/>
                <w:szCs w:val="16"/>
              </w:rPr>
              <w:t xml:space="preserve"> Rakousko 117,5</w:t>
            </w:r>
            <w:r w:rsidR="008C0FE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%, tj. více než  EU 28  </w:t>
            </w:r>
            <w:r w:rsidR="00382D10">
              <w:rPr>
                <w:sz w:val="16"/>
                <w:szCs w:val="16"/>
              </w:rPr>
              <w:t>v relaci k</w:t>
            </w:r>
            <w:r>
              <w:rPr>
                <w:sz w:val="16"/>
                <w:szCs w:val="16"/>
              </w:rPr>
              <w:t xml:space="preserve"> EU 15, tj. 91,9 %</w:t>
            </w:r>
          </w:p>
        </w:tc>
        <w:tc>
          <w:tcPr>
            <w:tcW w:w="145" w:type="pct"/>
          </w:tcPr>
          <w:p w:rsidR="0008794F" w:rsidRPr="00A557BF" w:rsidRDefault="0008794F" w:rsidP="00181C9A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1005B2">
            <w:pPr>
              <w:pStyle w:val="Textpoznpodarou"/>
              <w:jc w:val="both"/>
            </w:pPr>
            <w:r>
              <w:t xml:space="preserve">Relace v HDP na obyvatele v paritě kupní síly může být vztažena nejen k průměru EU 28, ale i k referenční hodnotě za jinou skupinu. Např. ve vztahu k tzv. „starým“ zemím </w:t>
            </w:r>
            <w:r w:rsidR="003F0686">
              <w:t>U</w:t>
            </w:r>
            <w:r>
              <w:t>nie</w:t>
            </w:r>
            <w:r w:rsidR="00382D10">
              <w:t xml:space="preserve"> (</w:t>
            </w:r>
            <w:r>
              <w:t>EU 15</w:t>
            </w:r>
            <w:r w:rsidR="00382D10">
              <w:t>)</w:t>
            </w:r>
            <w:r w:rsidR="00446EE5">
              <w:t>,</w:t>
            </w:r>
            <w:r w:rsidR="00382D10">
              <w:t xml:space="preserve"> tj. </w:t>
            </w:r>
            <w:r>
              <w:t>nejvyspělejší</w:t>
            </w:r>
            <w:r w:rsidR="00382D10">
              <w:t>ch</w:t>
            </w:r>
            <w:r w:rsidR="00446EE5">
              <w:t xml:space="preserve"> </w:t>
            </w:r>
            <w:r>
              <w:t>zem</w:t>
            </w:r>
            <w:r w:rsidR="00382D10">
              <w:t>í</w:t>
            </w:r>
            <w:r>
              <w:t>, překonává Rakousko tuto relaci i v tomto tvrdším benchmarku se 117,5 % průměru EU 15. Toho přitom nedosahují jak EU 28 (91,9 %), tak ani eurozóna (98,3 %</w:t>
            </w:r>
            <w:r w:rsidR="00382D10">
              <w:t>)</w:t>
            </w:r>
            <w:r>
              <w:t xml:space="preserve">. Jak je </w:t>
            </w:r>
            <w:r w:rsidR="00446EE5">
              <w:t xml:space="preserve">patrné </w:t>
            </w:r>
            <w:r>
              <w:t>z grafu 5, zachycujícího tři země sledované v této analýze</w:t>
            </w:r>
            <w:r w:rsidR="00446EE5">
              <w:t xml:space="preserve"> a</w:t>
            </w:r>
            <w:r>
              <w:t xml:space="preserve"> zmíněná dvě uskupení,</w:t>
            </w:r>
            <w:r w:rsidR="00446EE5">
              <w:t xml:space="preserve"> </w:t>
            </w:r>
            <w:r>
              <w:t>relace České republiky i Slovenska je podstatně nižší (77,1 %, resp. 70 %) nejen oproti Rakousku, ale v logice věci i proti výše zmíněným poměrům vztaženým k EU 28.</w:t>
            </w:r>
          </w:p>
          <w:p w:rsidR="0008794F" w:rsidRPr="00A557BF" w:rsidRDefault="0008794F" w:rsidP="00855C0D">
            <w:pPr>
              <w:pStyle w:val="Textpoznpodarou"/>
              <w:jc w:val="both"/>
              <w:rPr>
                <w:sz w:val="18"/>
                <w:szCs w:val="18"/>
              </w:rPr>
            </w:pPr>
            <w:r>
              <w:t xml:space="preserve">     </w:t>
            </w:r>
          </w:p>
        </w:tc>
      </w:tr>
      <w:tr w:rsidR="0008794F" w:rsidRPr="00A557BF" w:rsidTr="00181C9A">
        <w:tc>
          <w:tcPr>
            <w:tcW w:w="1055" w:type="pct"/>
          </w:tcPr>
          <w:p w:rsidR="0008794F" w:rsidRPr="00A557BF" w:rsidRDefault="0008794F" w:rsidP="00BD74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letech 2005-2014 patrná jasná konvergence k průměru EU jen v případě Slovenska – v ČR přibližování nepřesvědčivé, za to Rakousko svoji už tak velmi příznivou relaci dále zlepšovalo až do roku 2012 </w:t>
            </w:r>
          </w:p>
        </w:tc>
        <w:tc>
          <w:tcPr>
            <w:tcW w:w="145" w:type="pct"/>
          </w:tcPr>
          <w:p w:rsidR="0008794F" w:rsidRPr="00A557BF" w:rsidRDefault="0008794F" w:rsidP="00181C9A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855C0D">
            <w:pPr>
              <w:pStyle w:val="Textpoznpodarou"/>
              <w:jc w:val="both"/>
            </w:pPr>
            <w:r>
              <w:t>Ve vývoji v období 2005-2014 prokázalo jasný rostoucí trend reálné konvergence ze tří sledovaných zemí pouze Slovensko (graf 6). Přibližování ČR k průměrné úrovni E</w:t>
            </w:r>
            <w:r w:rsidR="00382D10">
              <w:t>U</w:t>
            </w:r>
            <w:r>
              <w:t xml:space="preserve"> nebylo za tyto roky příliš přesvědčivé. Relace HDP</w:t>
            </w:r>
            <w:r w:rsidR="00382D10">
              <w:t>/</w:t>
            </w:r>
            <w:r>
              <w:t>obyv</w:t>
            </w:r>
            <w:r w:rsidR="00382D10">
              <w:t xml:space="preserve">. </w:t>
            </w:r>
            <w:r>
              <w:t>v </w:t>
            </w:r>
            <w:r w:rsidR="00382D10">
              <w:t>PPS</w:t>
            </w:r>
            <w:r>
              <w:t xml:space="preserve"> u nejvyspělejších zemí EU, tj. skupiny EU 15, mírně klesala. Ekonomika Rakouska naproti tomu zaznamenávala </w:t>
            </w:r>
            <w:r w:rsidR="003F0686">
              <w:t xml:space="preserve">oproti vývoji </w:t>
            </w:r>
            <w:r w:rsidR="008A57BD">
              <w:t xml:space="preserve">v EU 15 i </w:t>
            </w:r>
            <w:r w:rsidR="008103D8">
              <w:t xml:space="preserve">ČR </w:t>
            </w:r>
            <w:r w:rsidR="008A57BD">
              <w:t>zle</w:t>
            </w:r>
            <w:r w:rsidR="007D7DD8">
              <w:t>pšování</w:t>
            </w:r>
            <w:r>
              <w:t xml:space="preserve"> této relace. Docházelo k tomu od roku 2007 do roku 2012 a nárůst relativního HDP</w:t>
            </w:r>
            <w:r w:rsidR="00382D10">
              <w:t>/</w:t>
            </w:r>
            <w:r>
              <w:t>obyv</w:t>
            </w:r>
            <w:r w:rsidR="00382D10">
              <w:t>.</w:t>
            </w:r>
            <w:r>
              <w:t xml:space="preserve"> v paritě kupní síly zaznamenalo Rakousko i v krizovém roce 2009. V něm byl jeho meziroční pokles HDP (reálně -3,8 %) podstatně mírnější nejen ve srovnání s EU 28 (-4,4 %), ale i oproti propadu české (-4,8 %) i slovenské ekonomiky (-5,3 %).   </w:t>
            </w:r>
          </w:p>
          <w:p w:rsidR="0008794F" w:rsidRPr="00A95A3A" w:rsidRDefault="0008794F" w:rsidP="00855C0D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382D10">
            <w:pPr>
              <w:pStyle w:val="Textpoznpodarou"/>
              <w:jc w:val="both"/>
            </w:pPr>
            <w:r>
              <w:t>Až v letech 2013 a 2014, především v</w:t>
            </w:r>
            <w:r w:rsidR="00382D10">
              <w:t>livem</w:t>
            </w:r>
            <w:r>
              <w:t xml:space="preserve"> slábnutí tempa růstu HDP Rakouska, klesala i jeho relace k evropskému průměru v přepočtu na obyvatele v</w:t>
            </w:r>
            <w:r w:rsidR="00382D10">
              <w:t> PPS.</w:t>
            </w:r>
            <w:r>
              <w:t xml:space="preserve">  </w:t>
            </w:r>
          </w:p>
        </w:tc>
      </w:tr>
    </w:tbl>
    <w:p w:rsidR="0008794F" w:rsidRPr="00382D10" w:rsidRDefault="0008794F" w:rsidP="00E27D52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1157"/>
        <w:gridCol w:w="3633"/>
        <w:gridCol w:w="838"/>
        <w:gridCol w:w="4066"/>
      </w:tblGrid>
      <w:tr w:rsidR="0008794F" w:rsidRPr="00817C98" w:rsidTr="001422E9">
        <w:tc>
          <w:tcPr>
            <w:tcW w:w="597" w:type="pct"/>
          </w:tcPr>
          <w:p w:rsidR="0008794F" w:rsidRDefault="0008794F" w:rsidP="008C0368">
            <w:pPr>
              <w:spacing w:line="240" w:lineRule="auto"/>
            </w:pPr>
            <w:r>
              <w:lastRenderedPageBreak/>
              <w:t>Graf 6</w:t>
            </w:r>
          </w:p>
        </w:tc>
        <w:tc>
          <w:tcPr>
            <w:tcW w:w="1874" w:type="pct"/>
          </w:tcPr>
          <w:p w:rsidR="0008794F" w:rsidRDefault="0008794F" w:rsidP="008C0368">
            <w:pPr>
              <w:pStyle w:val="Textpoznpodarou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HDP na obyvatele v paritě kupní síly (PPS) v roce 2014 </w:t>
            </w:r>
            <w:r w:rsidRPr="00BE1C59">
              <w:rPr>
                <w:rFonts w:cs="Arial"/>
                <w:bCs/>
              </w:rPr>
              <w:t xml:space="preserve">(EU </w:t>
            </w:r>
            <w:r>
              <w:rPr>
                <w:rFonts w:cs="Arial"/>
                <w:bCs/>
              </w:rPr>
              <w:t>15=100)</w:t>
            </w:r>
          </w:p>
        </w:tc>
        <w:tc>
          <w:tcPr>
            <w:tcW w:w="432" w:type="pct"/>
          </w:tcPr>
          <w:p w:rsidR="0008794F" w:rsidRDefault="0008794F" w:rsidP="008C0368">
            <w:pPr>
              <w:spacing w:line="240" w:lineRule="auto"/>
            </w:pPr>
            <w:r>
              <w:t>Graf 7</w:t>
            </w:r>
          </w:p>
        </w:tc>
        <w:tc>
          <w:tcPr>
            <w:tcW w:w="2097" w:type="pct"/>
          </w:tcPr>
          <w:p w:rsidR="0008794F" w:rsidRPr="00817C98" w:rsidRDefault="0008794F" w:rsidP="001045E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HDP na obyvatele v paritě kupní síly (PPS) v letech 2005-2014 </w:t>
            </w:r>
            <w:r>
              <w:rPr>
                <w:rFonts w:cs="Arial"/>
                <w:bCs/>
              </w:rPr>
              <w:t>(</w:t>
            </w:r>
            <w:r w:rsidRPr="00BE1C59">
              <w:rPr>
                <w:rFonts w:cs="Arial"/>
                <w:bCs/>
              </w:rPr>
              <w:t xml:space="preserve">EU 28=100) </w:t>
            </w:r>
          </w:p>
        </w:tc>
      </w:tr>
      <w:tr w:rsidR="0008794F" w:rsidRPr="00323C30" w:rsidTr="00FB280C">
        <w:tc>
          <w:tcPr>
            <w:tcW w:w="2471" w:type="pct"/>
            <w:gridSpan w:val="2"/>
          </w:tcPr>
          <w:p w:rsidR="0008794F" w:rsidRPr="00DA43AC" w:rsidRDefault="00440BBA" w:rsidP="00FB280C">
            <w:pPr>
              <w:pStyle w:val="Textpoznpodarou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i1030" type="#_x0000_t75" style="width:237pt;height:198pt">
                  <v:imagedata r:id="rId13" o:title=""/>
                </v:shape>
              </w:pict>
            </w:r>
          </w:p>
        </w:tc>
        <w:tc>
          <w:tcPr>
            <w:tcW w:w="2529" w:type="pct"/>
            <w:gridSpan w:val="2"/>
          </w:tcPr>
          <w:p w:rsidR="0008794F" w:rsidRPr="00323C30" w:rsidRDefault="007A6E58" w:rsidP="008C0368">
            <w:pPr>
              <w:pStyle w:val="Textpoznpodarou"/>
              <w:jc w:val="both"/>
            </w:pPr>
            <w:r>
              <w:pict>
                <v:shape id="_x0000_i1031" type="#_x0000_t75" style="width:235.5pt;height:198pt">
                  <v:imagedata r:id="rId14" o:title=""/>
                </v:shape>
              </w:pict>
            </w:r>
          </w:p>
        </w:tc>
      </w:tr>
    </w:tbl>
    <w:p w:rsidR="0008794F" w:rsidRDefault="0008794F" w:rsidP="00FB280C">
      <w:pPr>
        <w:jc w:val="right"/>
        <w:rPr>
          <w:sz w:val="18"/>
          <w:szCs w:val="18"/>
        </w:rPr>
      </w:pPr>
      <w:r w:rsidRPr="00DA43AC">
        <w:rPr>
          <w:sz w:val="18"/>
          <w:szCs w:val="18"/>
        </w:rPr>
        <w:t>Pramen: Eurostat</w:t>
      </w:r>
    </w:p>
    <w:p w:rsidR="0008794F" w:rsidRPr="00382D10" w:rsidRDefault="0008794F" w:rsidP="00E27D52">
      <w:pPr>
        <w:rPr>
          <w:sz w:val="8"/>
          <w:szCs w:val="8"/>
        </w:rPr>
      </w:pPr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08794F" w:rsidRPr="00A557BF" w:rsidTr="00F44C5D">
        <w:tc>
          <w:tcPr>
            <w:tcW w:w="1055" w:type="pct"/>
          </w:tcPr>
          <w:p w:rsidR="0008794F" w:rsidRPr="00A557BF" w:rsidRDefault="0008794F" w:rsidP="008C0FE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Vzhledem k nižší ekonomické úrovni ČR a SR </w:t>
            </w:r>
            <w:r w:rsidR="008C0FE8">
              <w:rPr>
                <w:sz w:val="16"/>
                <w:szCs w:val="16"/>
              </w:rPr>
              <w:t>bylo</w:t>
            </w:r>
            <w:r>
              <w:rPr>
                <w:sz w:val="16"/>
                <w:szCs w:val="16"/>
              </w:rPr>
              <w:t xml:space="preserve"> za roky 2005-2014 zlepšení jejich pozice v pb. příznivější než v případě Rakouska, a to především v případě Slovenské republiky</w:t>
            </w:r>
          </w:p>
        </w:tc>
        <w:tc>
          <w:tcPr>
            <w:tcW w:w="145" w:type="pct"/>
          </w:tcPr>
          <w:p w:rsidR="0008794F" w:rsidRPr="00A557BF" w:rsidRDefault="0008794F" w:rsidP="00F44C5D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3D717B">
            <w:pPr>
              <w:pStyle w:val="Textpoznpodarou"/>
              <w:jc w:val="both"/>
            </w:pPr>
            <w:r>
              <w:t>Překvapivě příznivý vývoj relativního HDP v přepočtu na obyvatele v </w:t>
            </w:r>
            <w:r w:rsidR="008C0FE8">
              <w:t>PPS</w:t>
            </w:r>
            <w:r>
              <w:t xml:space="preserve"> v případě Rakouska ve srovnání s vývojem vyspělých zemí skupiny EU 15 však -  vzhledem k vysoké dosažené úrovni tohoto ukazatele - nevedl za roky 2005-2014 k významnějšímu zlepšení </w:t>
            </w:r>
            <w:r w:rsidR="008C0FE8">
              <w:t xml:space="preserve">jeho </w:t>
            </w:r>
            <w:r>
              <w:t>po</w:t>
            </w:r>
            <w:r w:rsidR="008C0FE8">
              <w:t>řadí</w:t>
            </w:r>
            <w:r>
              <w:t xml:space="preserve"> </w:t>
            </w:r>
            <w:r w:rsidR="008C0FE8">
              <w:t xml:space="preserve">v žebříčku </w:t>
            </w:r>
            <w:r>
              <w:t>(podle srovnání v procentních bodech), než jak tomu bylo v případě Č</w:t>
            </w:r>
            <w:r w:rsidR="008C0FE8">
              <w:t>R</w:t>
            </w:r>
            <w:r>
              <w:t xml:space="preserve"> a zejména Slovenska. Graf 7 ukazuje nárůsty v procentních bodech u HDP na obyvatele v PPS pro referenční mez průměru za EU 28: zatímco v roce 2014 byl na Slovensku HDP</w:t>
            </w:r>
            <w:r w:rsidR="008103D8">
              <w:t>/</w:t>
            </w:r>
            <w:r>
              <w:t>obyvatele  v PPS proti roku 2005 vyšší o 16,7 pb., v Č</w:t>
            </w:r>
            <w:r w:rsidR="008103D8">
              <w:t>R</w:t>
            </w:r>
            <w:r>
              <w:t xml:space="preserve"> jen o 3,7 pb. a v Rakousku o 2,8 pb.</w:t>
            </w:r>
          </w:p>
          <w:p w:rsidR="0008794F" w:rsidRPr="00B0247B" w:rsidRDefault="0008794F" w:rsidP="003D717B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8794F" w:rsidRPr="00A557BF" w:rsidTr="00F44C5D">
        <w:tc>
          <w:tcPr>
            <w:tcW w:w="1055" w:type="pct"/>
          </w:tcPr>
          <w:p w:rsidR="0008794F" w:rsidRDefault="0008794F" w:rsidP="00B024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Reálná konvergence Č</w:t>
            </w:r>
            <w:r w:rsidR="00382D10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k průměru EU byla za roky 2005-2014 nejpomalejší z nových členských zemí EU (</w:t>
            </w:r>
            <w:r w:rsidR="00B0247B">
              <w:rPr>
                <w:sz w:val="16"/>
                <w:szCs w:val="16"/>
              </w:rPr>
              <w:t>kromě divergence Slovinska);</w:t>
            </w:r>
            <w:r>
              <w:rPr>
                <w:sz w:val="16"/>
                <w:szCs w:val="16"/>
              </w:rPr>
              <w:t xml:space="preserve"> </w:t>
            </w:r>
            <w:r w:rsidR="00B0247B">
              <w:rPr>
                <w:sz w:val="16"/>
                <w:szCs w:val="16"/>
              </w:rPr>
              <w:t>tempo reálné konvergence SR  bylo velmi rychlé do roku 2008 a poté mírně zpomalilo</w:t>
            </w:r>
          </w:p>
        </w:tc>
        <w:tc>
          <w:tcPr>
            <w:tcW w:w="145" w:type="pct"/>
          </w:tcPr>
          <w:p w:rsidR="0008794F" w:rsidRPr="00A557BF" w:rsidRDefault="0008794F" w:rsidP="00F44C5D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B0247B" w:rsidRDefault="0008794F" w:rsidP="00B0247B">
            <w:pPr>
              <w:pStyle w:val="Textpoznpodarou"/>
              <w:jc w:val="both"/>
            </w:pPr>
            <w:r>
              <w:t>Srovnáme-li ČR a Slovensko, byla reálná konvergence k průměru EU 28 v případě Č</w:t>
            </w:r>
            <w:r w:rsidR="008103D8">
              <w:t>R</w:t>
            </w:r>
            <w:r>
              <w:t xml:space="preserve"> podstatně pomalejší než </w:t>
            </w:r>
            <w:r w:rsidR="008C0FE8">
              <w:t>u</w:t>
            </w:r>
            <w:r>
              <w:t xml:space="preserve"> SR. </w:t>
            </w:r>
            <w:r w:rsidR="00B0247B">
              <w:t>I</w:t>
            </w:r>
            <w:r>
              <w:t xml:space="preserve"> ostatní země</w:t>
            </w:r>
            <w:r w:rsidR="00B0247B">
              <w:t xml:space="preserve"> vstupní vlny roku </w:t>
            </w:r>
            <w:r>
              <w:t xml:space="preserve"> 2004 a později, se do roku 2014 </w:t>
            </w:r>
            <w:r w:rsidR="00B0247B">
              <w:t xml:space="preserve">blížily </w:t>
            </w:r>
            <w:r>
              <w:t>průměru EU rychleji než Č</w:t>
            </w:r>
            <w:r w:rsidR="00382D10">
              <w:t>R</w:t>
            </w:r>
            <w:r>
              <w:t xml:space="preserve"> (</w:t>
            </w:r>
            <w:r w:rsidR="00B0247B">
              <w:t>mimo</w:t>
            </w:r>
            <w:r>
              <w:t xml:space="preserve"> Slovinska, které </w:t>
            </w:r>
            <w:r w:rsidR="00B0247B">
              <w:t>za roky</w:t>
            </w:r>
            <w:r>
              <w:t xml:space="preserve"> 2005-2014 divergovalo s rozdílem -3,4 pb., </w:t>
            </w:r>
            <w:r w:rsidR="00B0247B">
              <w:t>když</w:t>
            </w:r>
            <w:r>
              <w:t xml:space="preserve"> v roce 2009 jeho úroveň o </w:t>
            </w:r>
            <w:r w:rsidR="00B0247B">
              <w:t>2 pb.</w:t>
            </w:r>
            <w:r>
              <w:t xml:space="preserve"> poklesla a poté už jen stagnovala). </w:t>
            </w:r>
            <w:r w:rsidR="00B0247B">
              <w:t>Přibližování Slovenska k úrovni HDP na obyvatele v PPS bylo za období 2005-2014 nejrychlejší do roku 2008, poté se tempo dohánění zmírnilo - i tak je však výrazné: v roce 2005 činil rozdíl v HDP/obyv. v PPS mezi ČR a SR 20,7 pb., ale v roce 2014 už jen 7,7 pb. Nejblíže byla SR České republice v roce 2013 (7,1 pb).</w:t>
            </w:r>
          </w:p>
          <w:p w:rsidR="0008794F" w:rsidRPr="00B0247B" w:rsidRDefault="0008794F" w:rsidP="005E0F80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8794F" w:rsidTr="005E0F80">
        <w:tc>
          <w:tcPr>
            <w:tcW w:w="1055" w:type="pct"/>
          </w:tcPr>
          <w:p w:rsidR="0008794F" w:rsidRDefault="0008794F" w:rsidP="00D85A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přičemž rozhodující byl pro Slovensko výrazný posun v letech 2004-2008</w:t>
            </w:r>
          </w:p>
          <w:p w:rsidR="0008794F" w:rsidRPr="00A557BF" w:rsidRDefault="0008794F" w:rsidP="00D85A8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08794F" w:rsidRPr="00A557BF" w:rsidRDefault="0008794F" w:rsidP="00D85A8C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D85A8C">
            <w:pPr>
              <w:pStyle w:val="Textpoznpodarou"/>
              <w:jc w:val="both"/>
            </w:pPr>
            <w:r>
              <w:t>Vraťme se však k relativní pozici obou zemí vztažené k EU 28. Celkově lze říci, že v období od vstupu do E</w:t>
            </w:r>
            <w:r w:rsidR="008C0FE8">
              <w:t>U</w:t>
            </w:r>
            <w:r>
              <w:t xml:space="preserve"> se relativní pozice Č</w:t>
            </w:r>
            <w:r w:rsidR="008C0FE8">
              <w:t>R</w:t>
            </w:r>
            <w:r>
              <w:t xml:space="preserve"> v úhrnném ekonomickém indikátoru výkonnosti země, tj. v HDP na obyvatele v PPS, zlepšila o 4,7 pb.</w:t>
            </w:r>
            <w:r w:rsidR="008C0FE8">
              <w:t xml:space="preserve"> R</w:t>
            </w:r>
            <w:r>
              <w:t xml:space="preserve">elativní pozice Slovenska </w:t>
            </w:r>
            <w:r w:rsidR="008C0FE8">
              <w:t xml:space="preserve">však </w:t>
            </w:r>
            <w:r w:rsidR="008103D8">
              <w:t xml:space="preserve">byla lepší </w:t>
            </w:r>
            <w:r>
              <w:t>o 19,8 pb. Přitom zcela rozhodující byl pro Slovensko posun už v období 2004-2008. Tehdy se indikátor zlepšil o 14,9 pb., zatímco v Č</w:t>
            </w:r>
            <w:r w:rsidR="00382D10">
              <w:t>R</w:t>
            </w:r>
            <w:r>
              <w:t xml:space="preserve"> jen o 2,5 pb. </w:t>
            </w:r>
          </w:p>
          <w:p w:rsidR="0008794F" w:rsidRPr="00B0247B" w:rsidRDefault="0008794F" w:rsidP="00D85A8C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</w:tbl>
    <w:p w:rsidR="0008794F" w:rsidRPr="005E0F80" w:rsidRDefault="0008794F" w:rsidP="00FB280C">
      <w:pPr>
        <w:rPr>
          <w:szCs w:val="20"/>
        </w:rPr>
      </w:pPr>
      <w:r w:rsidRPr="005E0F80">
        <w:rPr>
          <w:b/>
          <w:szCs w:val="20"/>
        </w:rPr>
        <w:t xml:space="preserve">Graf </w:t>
      </w:r>
      <w:r>
        <w:rPr>
          <w:b/>
          <w:szCs w:val="20"/>
        </w:rPr>
        <w:t>8</w:t>
      </w:r>
      <w:r w:rsidRPr="005E0F80">
        <w:rPr>
          <w:b/>
          <w:szCs w:val="20"/>
        </w:rPr>
        <w:t>: Změny v relativní výši HDP</w:t>
      </w:r>
      <w:r w:rsidRPr="005E0F80">
        <w:rPr>
          <w:b/>
          <w:color w:val="000000"/>
          <w:szCs w:val="20"/>
        </w:rPr>
        <w:t xml:space="preserve"> na obyvatele v PPS mezi lety 2005 a 2014 </w:t>
      </w:r>
      <w:r w:rsidRPr="005E0F80">
        <w:rPr>
          <w:color w:val="000000"/>
          <w:szCs w:val="20"/>
        </w:rPr>
        <w:t>(EU 28=100,</w:t>
      </w:r>
      <w:r w:rsidRPr="005E0F80">
        <w:rPr>
          <w:b/>
          <w:color w:val="000000"/>
          <w:szCs w:val="20"/>
        </w:rPr>
        <w:t xml:space="preserve"> </w:t>
      </w:r>
      <w:r w:rsidRPr="005E0F80">
        <w:rPr>
          <w:color w:val="000000"/>
          <w:szCs w:val="20"/>
        </w:rPr>
        <w:t xml:space="preserve">v pb.) </w:t>
      </w:r>
    </w:p>
    <w:p w:rsidR="0008794F" w:rsidRPr="00D20DE6" w:rsidRDefault="007A6E58" w:rsidP="00FB280C">
      <w:pPr>
        <w:jc w:val="center"/>
      </w:pPr>
      <w:r>
        <w:pict>
          <v:shape id="_x0000_i1032" type="#_x0000_t75" style="width:403.5pt;height:159.75pt">
            <v:imagedata r:id="rId15" o:title=""/>
          </v:shape>
        </w:pict>
      </w:r>
    </w:p>
    <w:p w:rsidR="0008794F" w:rsidRDefault="0008794F" w:rsidP="005311D6">
      <w:pPr>
        <w:rPr>
          <w:sz w:val="18"/>
          <w:szCs w:val="18"/>
        </w:rPr>
      </w:pPr>
      <w:r>
        <w:rPr>
          <w:sz w:val="18"/>
          <w:szCs w:val="18"/>
        </w:rPr>
        <w:t>Pozn.: * období 2005-2013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DA43AC">
        <w:rPr>
          <w:sz w:val="18"/>
          <w:szCs w:val="18"/>
        </w:rPr>
        <w:t>Pramen: Eurostat</w:t>
      </w:r>
    </w:p>
    <w:p w:rsidR="0008794F" w:rsidRDefault="0008794F" w:rsidP="00FB280C">
      <w:pPr>
        <w:jc w:val="right"/>
        <w:rPr>
          <w:sz w:val="18"/>
          <w:szCs w:val="18"/>
        </w:rPr>
      </w:pPr>
    </w:p>
    <w:tbl>
      <w:tblPr>
        <w:tblW w:w="5000" w:type="pct"/>
        <w:tblLook w:val="00A0"/>
      </w:tblPr>
      <w:tblGrid>
        <w:gridCol w:w="67"/>
        <w:gridCol w:w="837"/>
        <w:gridCol w:w="1183"/>
        <w:gridCol w:w="289"/>
        <w:gridCol w:w="2534"/>
        <w:gridCol w:w="825"/>
        <w:gridCol w:w="4053"/>
        <w:gridCol w:w="66"/>
      </w:tblGrid>
      <w:tr w:rsidR="0008794F" w:rsidRPr="00A557BF" w:rsidTr="00F44C5D">
        <w:tc>
          <w:tcPr>
            <w:tcW w:w="1055" w:type="pct"/>
            <w:gridSpan w:val="3"/>
          </w:tcPr>
          <w:p w:rsidR="0008794F" w:rsidRPr="00A557BF" w:rsidRDefault="0008794F" w:rsidP="00BF784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Slovensko dokázalo vytěžit více ze vstupu do EU ve srovnání s Č</w:t>
            </w:r>
            <w:r w:rsidR="00BF7844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, ovšem jeho tempo reálné konvergence bylo prudké již </w:t>
            </w:r>
            <w:r w:rsidR="00BF7844">
              <w:rPr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 xml:space="preserve"> roku 2000… </w:t>
            </w:r>
          </w:p>
        </w:tc>
        <w:tc>
          <w:tcPr>
            <w:tcW w:w="145" w:type="pct"/>
          </w:tcPr>
          <w:p w:rsidR="0008794F" w:rsidRPr="00A557BF" w:rsidRDefault="0008794F" w:rsidP="00F44C5D">
            <w:pPr>
              <w:pStyle w:val="Textpoznpodarou"/>
              <w:jc w:val="both"/>
            </w:pPr>
          </w:p>
        </w:tc>
        <w:tc>
          <w:tcPr>
            <w:tcW w:w="3800" w:type="pct"/>
            <w:gridSpan w:val="4"/>
          </w:tcPr>
          <w:p w:rsidR="0008794F" w:rsidRPr="00BF7844" w:rsidRDefault="0008794F" w:rsidP="00557D10">
            <w:pPr>
              <w:pStyle w:val="Textpoznpodarou"/>
              <w:jc w:val="both"/>
              <w:rPr>
                <w:spacing w:val="-2"/>
              </w:rPr>
            </w:pPr>
            <w:r w:rsidRPr="00BF7844">
              <w:rPr>
                <w:spacing w:val="-2"/>
              </w:rPr>
              <w:t>Z dlouhodobého pohledu, tj. od roku 1995 bylo tempo přibližování Slovenska k průměrné ekonomické úrovni EU v HDP/obyv. v PPS ve srovnání s tempem Č</w:t>
            </w:r>
            <w:r w:rsidR="00BF7844" w:rsidRPr="00BF7844">
              <w:rPr>
                <w:spacing w:val="-2"/>
              </w:rPr>
              <w:t>R</w:t>
            </w:r>
            <w:r w:rsidRPr="00BF7844">
              <w:rPr>
                <w:spacing w:val="-2"/>
              </w:rPr>
              <w:t xml:space="preserve"> ještě impozantnější (graf 8). Jak je vidět, Slovensko nejenže dokázalo více než Česká republika „vytěžit“ z členství v EU (zejména v období 2004-2008). Tempo reálné konvergence bylo v SR prudké již od roku 2000, jak je dobře vidět z grafu 9.</w:t>
            </w:r>
          </w:p>
          <w:p w:rsidR="0008794F" w:rsidRPr="000A0CB7" w:rsidRDefault="0008794F" w:rsidP="00557D10">
            <w:pPr>
              <w:pStyle w:val="Textpoznpodarou"/>
              <w:jc w:val="both"/>
            </w:pPr>
          </w:p>
        </w:tc>
      </w:tr>
      <w:tr w:rsidR="0008794F" w:rsidRPr="00A557BF" w:rsidTr="00557D10">
        <w:tc>
          <w:tcPr>
            <w:tcW w:w="1055" w:type="pct"/>
            <w:gridSpan w:val="3"/>
          </w:tcPr>
          <w:p w:rsidR="0008794F" w:rsidRPr="00A557BF" w:rsidRDefault="0008794F" w:rsidP="00D85A8C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přičemž ČR doplácela na roky recese 1997 a 1997 i 2012 a 2013</w:t>
            </w:r>
          </w:p>
        </w:tc>
        <w:tc>
          <w:tcPr>
            <w:tcW w:w="145" w:type="pct"/>
          </w:tcPr>
          <w:p w:rsidR="0008794F" w:rsidRPr="00A557BF" w:rsidRDefault="0008794F" w:rsidP="00D85A8C">
            <w:pPr>
              <w:pStyle w:val="Textpoznpodarou"/>
              <w:jc w:val="both"/>
            </w:pPr>
          </w:p>
        </w:tc>
        <w:tc>
          <w:tcPr>
            <w:tcW w:w="3800" w:type="pct"/>
            <w:gridSpan w:val="4"/>
          </w:tcPr>
          <w:p w:rsidR="0008794F" w:rsidRDefault="0008794F" w:rsidP="00557D10">
            <w:pPr>
              <w:pStyle w:val="Textpoznpodarou"/>
              <w:jc w:val="both"/>
            </w:pPr>
            <w:r>
              <w:t>Zatímco ČR „tratila“ po měnové krizi z poloviny 90. let na tempu r</w:t>
            </w:r>
            <w:r w:rsidR="008103D8">
              <w:t xml:space="preserve">ůstu HDP a prošla v letech 1997 a </w:t>
            </w:r>
            <w:r>
              <w:t>1998 recesí, která ovlivnila i relaci HDP v přepočtu na obyvatele v PPS prakticky až do roku 2000, slovenské zaváhání bylo kr</w:t>
            </w:r>
            <w:r w:rsidR="008C0FE8">
              <w:t xml:space="preserve">atší (1999-2000). Nejrychlejší </w:t>
            </w:r>
            <w:r>
              <w:t>reálná konvergence byla v ČR v trendu patrná v letech 2000-2007, posilovaná mohutnou vlnou přímých zahraničních investic.</w:t>
            </w:r>
          </w:p>
          <w:p w:rsidR="0008794F" w:rsidRPr="00557D10" w:rsidRDefault="0008794F" w:rsidP="00D85A8C">
            <w:pPr>
              <w:pStyle w:val="Textpoznpodarou"/>
              <w:jc w:val="both"/>
            </w:pPr>
          </w:p>
        </w:tc>
      </w:tr>
      <w:tr w:rsidR="0008794F" w:rsidRPr="00817C98" w:rsidTr="00454492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1" w:type="pct"/>
          <w:wAfter w:w="41" w:type="pct"/>
        </w:trPr>
        <w:tc>
          <w:tcPr>
            <w:tcW w:w="420" w:type="pct"/>
          </w:tcPr>
          <w:p w:rsidR="0008794F" w:rsidRDefault="0008794F" w:rsidP="00181C9A">
            <w:pPr>
              <w:spacing w:line="240" w:lineRule="auto"/>
            </w:pPr>
            <w:r>
              <w:t>Graf 9</w:t>
            </w:r>
          </w:p>
        </w:tc>
        <w:tc>
          <w:tcPr>
            <w:tcW w:w="2011" w:type="pct"/>
            <w:gridSpan w:val="3"/>
          </w:tcPr>
          <w:p w:rsidR="0008794F" w:rsidRDefault="0008794F" w:rsidP="00181C9A">
            <w:pPr>
              <w:pStyle w:val="Textpoznpodarou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ČR a SR - HDP na obyvatele v paritě kupní síly (PPS) 1995-2014 </w:t>
            </w:r>
            <w:r w:rsidRPr="00BE1C59">
              <w:rPr>
                <w:rFonts w:cs="Arial"/>
                <w:bCs/>
              </w:rPr>
              <w:t>(EU 28=100)</w:t>
            </w:r>
          </w:p>
        </w:tc>
        <w:tc>
          <w:tcPr>
            <w:tcW w:w="425" w:type="pct"/>
          </w:tcPr>
          <w:p w:rsidR="0008794F" w:rsidRDefault="0008794F" w:rsidP="00181C9A">
            <w:pPr>
              <w:spacing w:line="240" w:lineRule="auto"/>
            </w:pPr>
            <w:r>
              <w:t>Graf 10</w:t>
            </w:r>
          </w:p>
        </w:tc>
        <w:tc>
          <w:tcPr>
            <w:tcW w:w="2063" w:type="pct"/>
          </w:tcPr>
          <w:p w:rsidR="0008794F" w:rsidRPr="00817C98" w:rsidRDefault="0008794F" w:rsidP="00181C9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ČR a Rakousko - HDP na obyvatele v PPS 1995-2014 </w:t>
            </w:r>
            <w:r>
              <w:rPr>
                <w:rFonts w:cs="Arial"/>
                <w:bCs/>
              </w:rPr>
              <w:t>(</w:t>
            </w:r>
            <w:r w:rsidRPr="00BE1C59">
              <w:rPr>
                <w:rFonts w:cs="Arial"/>
                <w:bCs/>
              </w:rPr>
              <w:t xml:space="preserve">EU 28=100) </w:t>
            </w:r>
          </w:p>
        </w:tc>
      </w:tr>
      <w:tr w:rsidR="0008794F" w:rsidRPr="00323C30" w:rsidTr="00454492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1" w:type="pct"/>
          <w:wAfter w:w="41" w:type="pct"/>
        </w:trPr>
        <w:tc>
          <w:tcPr>
            <w:tcW w:w="2430" w:type="pct"/>
            <w:gridSpan w:val="4"/>
          </w:tcPr>
          <w:p w:rsidR="0008794F" w:rsidRPr="00DA43AC" w:rsidRDefault="007A6E58" w:rsidP="00C81DE5">
            <w:pPr>
              <w:pStyle w:val="Textpoznpodarou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i1033" type="#_x0000_t75" style="width:239.25pt;height:198.75pt">
                  <v:imagedata r:id="rId16" o:title=""/>
                </v:shape>
              </w:pict>
            </w:r>
          </w:p>
        </w:tc>
        <w:tc>
          <w:tcPr>
            <w:tcW w:w="2488" w:type="pct"/>
            <w:gridSpan w:val="2"/>
          </w:tcPr>
          <w:p w:rsidR="0008794F" w:rsidRPr="00C81DE5" w:rsidRDefault="007A6E58" w:rsidP="00181C9A">
            <w:pPr>
              <w:pStyle w:val="Textpoznpodarou"/>
              <w:jc w:val="both"/>
            </w:pPr>
            <w:r>
              <w:pict>
                <v:shape id="_x0000_i1034" type="#_x0000_t75" style="width:234.75pt;height:198.75pt">
                  <v:imagedata r:id="rId17" o:title=""/>
                </v:shape>
              </w:pict>
            </w:r>
          </w:p>
        </w:tc>
      </w:tr>
    </w:tbl>
    <w:p w:rsidR="0008794F" w:rsidRDefault="0008794F" w:rsidP="00C81DE5">
      <w:pPr>
        <w:jc w:val="right"/>
        <w:rPr>
          <w:sz w:val="18"/>
          <w:szCs w:val="18"/>
        </w:rPr>
      </w:pPr>
      <w:r w:rsidRPr="00DA43AC">
        <w:rPr>
          <w:sz w:val="18"/>
          <w:szCs w:val="18"/>
        </w:rPr>
        <w:t>Pramen: Eurostat</w:t>
      </w:r>
    </w:p>
    <w:p w:rsidR="0008794F" w:rsidRPr="00E928ED" w:rsidRDefault="0008794F" w:rsidP="006F38C7">
      <w:pPr>
        <w:jc w:val="both"/>
        <w:rPr>
          <w:sz w:val="16"/>
          <w:szCs w:val="16"/>
        </w:rPr>
      </w:pPr>
    </w:p>
    <w:p w:rsidR="0008794F" w:rsidRPr="00454492" w:rsidRDefault="0008794F" w:rsidP="00454492">
      <w:pPr>
        <w:jc w:val="both"/>
        <w:rPr>
          <w:b/>
          <w:sz w:val="22"/>
          <w:szCs w:val="22"/>
        </w:rPr>
      </w:pPr>
      <w:r w:rsidRPr="006F38C7">
        <w:rPr>
          <w:b/>
          <w:sz w:val="24"/>
        </w:rPr>
        <w:t>2.2.3. Další technické parametry působící na ukazatel HDP na obyvatele v PPS</w:t>
      </w:r>
    </w:p>
    <w:p w:rsidR="0008794F" w:rsidRPr="00E928ED" w:rsidRDefault="0008794F" w:rsidP="00454492">
      <w:pPr>
        <w:jc w:val="both"/>
        <w:rPr>
          <w:sz w:val="16"/>
          <w:szCs w:val="16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Tr="000A0CB7">
        <w:tc>
          <w:tcPr>
            <w:tcW w:w="1042" w:type="pct"/>
          </w:tcPr>
          <w:p w:rsidR="0008794F" w:rsidRPr="000A0CB7" w:rsidRDefault="0008794F" w:rsidP="0092256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A0CB7">
              <w:rPr>
                <w:color w:val="000000"/>
                <w:sz w:val="16"/>
                <w:szCs w:val="16"/>
              </w:rPr>
              <w:t xml:space="preserve">Vliv změn v paritách kupní síly a změn v počtu obyvatel ČR a SR </w:t>
            </w:r>
          </w:p>
        </w:tc>
        <w:tc>
          <w:tcPr>
            <w:tcW w:w="139" w:type="pct"/>
          </w:tcPr>
          <w:p w:rsidR="0008794F" w:rsidRPr="00A557BF" w:rsidRDefault="0008794F" w:rsidP="00922562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0A0CB7" w:rsidRDefault="0008794F" w:rsidP="00922562">
            <w:pPr>
              <w:pStyle w:val="Textpoznpodarou"/>
              <w:jc w:val="both"/>
              <w:rPr>
                <w:color w:val="000000"/>
                <w:spacing w:val="-2"/>
              </w:rPr>
            </w:pPr>
            <w:r w:rsidRPr="000A0CB7">
              <w:rPr>
                <w:color w:val="000000"/>
                <w:spacing w:val="-2"/>
              </w:rPr>
              <w:t>Co se týká vývoje parit, v ČR i SR byla změna parit kupní síly v relaci k EU 28 za roky 1995-2014 zhruba stejná (</w:t>
            </w:r>
            <w:r>
              <w:rPr>
                <w:color w:val="000000"/>
                <w:spacing w:val="-2"/>
              </w:rPr>
              <w:t xml:space="preserve">nárůst přibližně o třetinu, na </w:t>
            </w:r>
            <w:r w:rsidRPr="000A0CB7">
              <w:rPr>
                <w:color w:val="000000"/>
                <w:spacing w:val="-2"/>
              </w:rPr>
              <w:t>Slovensku pak nepatrně nižší). Změnou v paritách tak zřejmě nelze vysvětlit výrazný rozdíl v reálné konvergenci Slovenska a Č</w:t>
            </w:r>
            <w:r>
              <w:rPr>
                <w:color w:val="000000"/>
                <w:spacing w:val="-2"/>
              </w:rPr>
              <w:t>R</w:t>
            </w:r>
            <w:r w:rsidRPr="000A0CB7">
              <w:rPr>
                <w:color w:val="000000"/>
                <w:spacing w:val="-2"/>
              </w:rPr>
              <w:t xml:space="preserve"> v letech 1995-2014, resp. v období 2004-2014. </w:t>
            </w:r>
          </w:p>
          <w:p w:rsidR="0008794F" w:rsidRPr="006F38C7" w:rsidRDefault="0008794F" w:rsidP="00922562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  <w:p w:rsidR="0008794F" w:rsidRDefault="0008794F" w:rsidP="00922562">
            <w:pPr>
              <w:pStyle w:val="Textpoznpodarou"/>
              <w:jc w:val="both"/>
              <w:rPr>
                <w:color w:val="000000"/>
                <w:spacing w:val="-2"/>
              </w:rPr>
            </w:pPr>
            <w:r w:rsidRPr="000A0CB7">
              <w:rPr>
                <w:color w:val="000000"/>
                <w:spacing w:val="-2"/>
              </w:rPr>
              <w:t xml:space="preserve">Další parametr formulující indikátor HDP na obyvatele v paritě kupní síly, tj. počet obyvatel, se v ČR a SR vyvíjel odlišně v tom, že přírůstek obyvatelstva za roky 1995-2014 byl v ČR větší než na Slovensku (+1,7 % proti </w:t>
            </w:r>
            <w:r>
              <w:rPr>
                <w:color w:val="000000"/>
                <w:spacing w:val="-2"/>
              </w:rPr>
              <w:t>+</w:t>
            </w:r>
            <w:r w:rsidRPr="000A0CB7">
              <w:rPr>
                <w:color w:val="000000"/>
                <w:spacing w:val="-2"/>
              </w:rPr>
              <w:t>0,9 % podle středního stavu obyvatelstva v daných letech). V období 2004-2014 byla změna ještě výraznější, neboť v ČR se za tu dobu zvýšil počet obyvatel - nejen přirozenou měnou, ale i migrací - o 3 %, zatímco na Slovensku jen o 0,6 % (přitom zajímavý byl i vývoj uvnitř sledovaného období, protože ve druhé polovině 90. let až do roku 2002 v České republice počet obyvatel klesal, zatímco na Slovensku nikoli). Pohyb v počtu obyvatel tak mohl zčásti favorizovat Slovenskou republiku</w:t>
            </w:r>
            <w:r w:rsidR="008C0FE8">
              <w:rPr>
                <w:color w:val="000000"/>
                <w:spacing w:val="-2"/>
              </w:rPr>
              <w:t xml:space="preserve">, </w:t>
            </w:r>
            <w:r w:rsidRPr="000A0CB7">
              <w:rPr>
                <w:color w:val="000000"/>
                <w:spacing w:val="-2"/>
              </w:rPr>
              <w:t>pokud jde o přepočet HDP na obyvatele.</w:t>
            </w:r>
            <w:r>
              <w:rPr>
                <w:color w:val="000000"/>
                <w:spacing w:val="-2"/>
              </w:rPr>
              <w:t xml:space="preserve"> Rozhodující vliv však mělo dosahované tempo ekonomického růstu v obou zemích (více v kapitole 3). </w:t>
            </w:r>
          </w:p>
          <w:p w:rsidR="0008794F" w:rsidRPr="000A0CB7" w:rsidRDefault="0008794F" w:rsidP="00922562">
            <w:pPr>
              <w:pStyle w:val="Textpoznpodarou"/>
              <w:jc w:val="both"/>
              <w:rPr>
                <w:color w:val="000000"/>
                <w:spacing w:val="-2"/>
              </w:rPr>
            </w:pPr>
            <w:r w:rsidRPr="000A0CB7">
              <w:rPr>
                <w:color w:val="000000"/>
                <w:spacing w:val="-2"/>
              </w:rPr>
              <w:t xml:space="preserve"> </w:t>
            </w:r>
          </w:p>
        </w:tc>
      </w:tr>
      <w:tr w:rsidR="0008794F" w:rsidTr="00922562">
        <w:tc>
          <w:tcPr>
            <w:tcW w:w="1042" w:type="pct"/>
          </w:tcPr>
          <w:p w:rsidR="0008794F" w:rsidRPr="00602D1D" w:rsidRDefault="0008794F" w:rsidP="009225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Relativně vysoká korelace mezi ČR a SR, naopak záporný vztah pokud jde o Rakousko – vysvětlením může být, že tam od roku 2000-2007 začínalo již HDP na obyvatele v PPS v relaci k EU klesat </w:t>
            </w:r>
          </w:p>
        </w:tc>
        <w:tc>
          <w:tcPr>
            <w:tcW w:w="139" w:type="pct"/>
          </w:tcPr>
          <w:p w:rsidR="0008794F" w:rsidRDefault="0008794F" w:rsidP="00922562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922562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I přes rychlejší konvergenční změny ve slovenské ekonomice vykazuje během let 1995-2014 vývoj v ČR a SR relativně vysokou korelaci. Naopak srovnání české ekonomiky a ekonomiky Rakouska podle toho, jakých úrovní dosahoval v uvedeném období HDP na obyvatele v PPS, vykazuje zápornou korelaci. I křivky v grafu 9 ilustr</w:t>
            </w:r>
            <w:r w:rsidR="008C0FE8">
              <w:rPr>
                <w:color w:val="000000"/>
                <w:spacing w:val="-2"/>
              </w:rPr>
              <w:t xml:space="preserve">ují hrubou podobnost přibližně </w:t>
            </w:r>
            <w:r>
              <w:rPr>
                <w:color w:val="000000"/>
                <w:spacing w:val="-2"/>
              </w:rPr>
              <w:t xml:space="preserve">jen v období 1997-2000, poté v dalších letech již ČR reálně konvergovala k průměru EU, zatímco v Rakousku relace HDP na obyvatele v PPS začínala klesat, což trvalo až do roku 2007. </w:t>
            </w:r>
          </w:p>
        </w:tc>
      </w:tr>
    </w:tbl>
    <w:p w:rsidR="0008794F" w:rsidRDefault="0008794F" w:rsidP="00D34225"/>
    <w:p w:rsidR="0008794F" w:rsidRPr="002844CC" w:rsidRDefault="0008794F" w:rsidP="007039D1">
      <w:pPr>
        <w:jc w:val="both"/>
        <w:rPr>
          <w:b/>
          <w:sz w:val="12"/>
          <w:szCs w:val="12"/>
        </w:rPr>
      </w:pPr>
    </w:p>
    <w:p w:rsidR="0008794F" w:rsidRPr="00EF6654" w:rsidRDefault="0008794F" w:rsidP="007039D1">
      <w:pPr>
        <w:jc w:val="both"/>
        <w:rPr>
          <w:b/>
          <w:sz w:val="28"/>
          <w:szCs w:val="28"/>
        </w:rPr>
      </w:pPr>
      <w:r w:rsidRPr="00EF6654">
        <w:rPr>
          <w:b/>
          <w:sz w:val="28"/>
          <w:szCs w:val="28"/>
        </w:rPr>
        <w:t>2.3. Relace ve výdajích na konečnou spotřebu</w:t>
      </w:r>
    </w:p>
    <w:p w:rsidR="0008794F" w:rsidRPr="00B83E78" w:rsidRDefault="0008794F" w:rsidP="007039D1">
      <w:pPr>
        <w:jc w:val="both"/>
        <w:rPr>
          <w:b/>
          <w:szCs w:val="20"/>
        </w:rPr>
      </w:pPr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08794F" w:rsidRPr="00A557BF" w:rsidTr="004B4B5B">
        <w:tc>
          <w:tcPr>
            <w:tcW w:w="1055" w:type="pct"/>
          </w:tcPr>
          <w:p w:rsidR="0008794F" w:rsidRPr="00A557B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Výdaje na konečnou spotřebu domácností vč. NISD</w:t>
            </w:r>
            <w:r w:rsidRPr="00A557BF">
              <w:rPr>
                <w:sz w:val="16"/>
                <w:szCs w:val="16"/>
              </w:rPr>
              <w:t>…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4B4B5B">
            <w:pPr>
              <w:pStyle w:val="Textpoznpodarou"/>
              <w:jc w:val="both"/>
            </w:pPr>
            <w:r>
              <w:t>Materiální aspekt kvality života má svůj odraz mimo jiné i ve výdajích domácností na konečnou spotřebu</w:t>
            </w:r>
            <w:r w:rsidR="008103D8">
              <w:rPr>
                <w:rStyle w:val="Znakapoznpodarou"/>
              </w:rPr>
              <w:footnoteReference w:id="2"/>
            </w:r>
            <w:r>
              <w:t>, vč. výdajů neziskových institucí sloužících domácnostem (NISD)</w:t>
            </w:r>
            <w:r>
              <w:rPr>
                <w:rStyle w:val="Znakapoznpodarou"/>
              </w:rPr>
              <w:footnoteReference w:id="3"/>
            </w:r>
            <w:r>
              <w:t xml:space="preserve"> v přepočtu na obyvatele v PPS, tak jak je tento indikátor uváděn v databázích Eurostatu. (V dalším textu budeme uvádět zkráceně termín „spotřeba“ myšlený v tomto smyslu, tj. vč. výdajů na NISD a v přepočtu na jednoho obyvatele). </w:t>
            </w:r>
          </w:p>
          <w:p w:rsidR="0008794F" w:rsidRPr="00A557BF" w:rsidRDefault="0008794F" w:rsidP="004B4B5B">
            <w:pPr>
              <w:pStyle w:val="Textpoznpodarou"/>
              <w:jc w:val="both"/>
              <w:rPr>
                <w:sz w:val="18"/>
                <w:szCs w:val="18"/>
              </w:rPr>
            </w:pPr>
            <w:r>
              <w:t xml:space="preserve">  </w:t>
            </w:r>
          </w:p>
        </w:tc>
      </w:tr>
      <w:tr w:rsidR="0008794F" w:rsidRPr="00A557BF" w:rsidTr="004B4B5B">
        <w:tc>
          <w:tcPr>
            <w:tcW w:w="1055" w:type="pct"/>
          </w:tcPr>
          <w:p w:rsidR="0008794F" w:rsidRPr="00A557B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ukazují v relaci k EU 28 podstatně nižší úroveň u České republiky než jakou má Rakousko, ale dokonce  i nižší, než jaké dosahovalo v roce 2014 Slovensko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4B4B5B">
            <w:pPr>
              <w:pStyle w:val="Textpoznpodarou"/>
              <w:jc w:val="both"/>
            </w:pPr>
            <w:r>
              <w:t>Porovnáme-li velikost výdajů na konečnou spotřebu domácností vč. NISD v paritě kupní síly na obyvatele opět k referenční mezi, kterou je průměr za EU 28 (graf 10), ukazují komparace Č</w:t>
            </w:r>
            <w:r w:rsidR="00B83E78">
              <w:t>R</w:t>
            </w:r>
            <w:r>
              <w:t xml:space="preserve">, Slovenska a Rakouska odlišnou pozici než jakou vykreslují podobná data za HDP jako celek. </w:t>
            </w:r>
          </w:p>
          <w:p w:rsidR="0008794F" w:rsidRPr="00EF6654" w:rsidRDefault="0008794F" w:rsidP="004B4B5B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4B4B5B">
            <w:pPr>
              <w:pStyle w:val="Textpoznpodarou"/>
              <w:jc w:val="both"/>
            </w:pPr>
            <w:r>
              <w:t>Pro Č</w:t>
            </w:r>
            <w:r w:rsidR="00B83E78">
              <w:t>R</w:t>
            </w:r>
            <w:r>
              <w:t xml:space="preserve"> nevyznívá porovnání příznivě. Ukazuje nejen podstatně nižší úroveň výdajů na konečnou spotřebu v </w:t>
            </w:r>
            <w:r w:rsidR="00B83E78">
              <w:t>PPS</w:t>
            </w:r>
            <w:r>
              <w:t>y v relaci k EU 28 (71,2 %), než jakou má Rakousko (120,5 %), což lze očekávat. Relativní spotřeba domácností na obyvatele byla ale v roce 2014 v ČR dokonce nižší, než jakou vykazovala S</w:t>
            </w:r>
            <w:r w:rsidR="00B83E78">
              <w:t>R</w:t>
            </w:r>
            <w:r>
              <w:t xml:space="preserve"> (75,6 %). Disproporce v neprospěch ČR byla relativně značná. </w:t>
            </w:r>
          </w:p>
          <w:p w:rsidR="0008794F" w:rsidRPr="00EF6654" w:rsidRDefault="0008794F" w:rsidP="004B4B5B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4B4B5B">
            <w:pPr>
              <w:pStyle w:val="Textpoznpodarou"/>
              <w:jc w:val="both"/>
            </w:pPr>
            <w:r>
              <w:t xml:space="preserve">Přitom ještě v roce 2005 byl odstup ČR oproti Slovensku ve spotřebě domácností na obyvatele jasně zřetelný (66,9 % úrovně EU v ČR a 58,6 % v SR). K zaostávání ČR </w:t>
            </w:r>
            <w:r w:rsidR="00B83E78">
              <w:t>ale</w:t>
            </w:r>
            <w:r>
              <w:t xml:space="preserve"> v období 2005-2014 významně </w:t>
            </w:r>
            <w:r w:rsidR="00B83E78">
              <w:t xml:space="preserve">přispěla </w:t>
            </w:r>
            <w:r>
              <w:t xml:space="preserve">recese let 2012-2013 s útlumem spotřeby - daným velmi slabými přírůstky disponibilních příjmů domácností -, kterou Slovensko nezaznamenalo. </w:t>
            </w:r>
          </w:p>
          <w:p w:rsidR="0008794F" w:rsidRPr="00BF7844" w:rsidRDefault="0008794F" w:rsidP="004B4B5B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08794F" w:rsidRPr="00A557BF" w:rsidTr="004B4B5B">
        <w:tc>
          <w:tcPr>
            <w:tcW w:w="1055" w:type="pct"/>
          </w:tcPr>
          <w:p w:rsidR="0008794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materiální kvalitě života  ČR zaostává a klesla za roky 2005-2014 z 19. na 21. místo v pořadí zemí EU; SR „poskočila“  z 23. na 20. pozici…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4B4B5B">
            <w:pPr>
              <w:pStyle w:val="Textpoznpodarou"/>
              <w:jc w:val="both"/>
            </w:pPr>
            <w:r>
              <w:t>Materiální úroveň kvality života tak v ČR zaostává nejen za Rakouskem, ale už i za Slovenskem. V roce 2005 byla ČR v pořadí zemí EU 28 v relativní pozici u výdajů na konečnou spotřebu domácností na 19. místě a Slovensko na 23. místě. V roce 2014 se SR dostala na 20. místo, zatímco ČR oproti svému pořadí z roku 2005 ztratila a v žebříčku zemí zaujala 21. pozici.</w:t>
            </w:r>
          </w:p>
          <w:p w:rsidR="0008794F" w:rsidRPr="00BF7844" w:rsidRDefault="0008794F" w:rsidP="004B4B5B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08794F" w:rsidRPr="00A557BF" w:rsidTr="004B4B5B">
        <w:tc>
          <w:tcPr>
            <w:tcW w:w="1055" w:type="pct"/>
          </w:tcPr>
          <w:p w:rsidR="0008794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a „alpská“ ekonomika si udržela místo třetí nejbohatší země EU měřeno relativními výdaji na konečnou spotřebu domácností (vč. NISD) po Lucembursku a Spojeném království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395B68">
            <w:pPr>
              <w:pStyle w:val="Textpoznpodarou"/>
              <w:jc w:val="both"/>
            </w:pPr>
            <w:r>
              <w:t xml:space="preserve">Zatímco SR se v tomto relativním srovnání zlepšila za deset let o 17 pb., Česká republika jen o 4,2 pb. Rakousko svoji pozici posílilo o 2,5 pb. vůči průměru EU 28. I když se zdá, že co do posilování v procentních bodech je posun Rakouska ze tří sledovaných zemí nejnižší, je to logicky zdůvodnitelné jeho už tak velmi vysokou úrovní relativních výdajů na konečnou spotřebu domácností v přepočtu na obyvatele. Ty byly oproti průměru EU třetí nejvyšší ze zemí Unie jak v roce 2005, tak i v roce 2014 a dokládají tím vysokou takto měřenou životní úroveň, kterou mají domácnosti v „alpské“ ekonomice (třetí nejvyšší v Unii po Lucembursku s relací 143,6 % a Spojeném království s 122,4 % průměru EU 28). </w:t>
            </w:r>
          </w:p>
          <w:p w:rsidR="0008794F" w:rsidRPr="00EF6654" w:rsidRDefault="0008794F" w:rsidP="00395B68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395B68">
            <w:pPr>
              <w:pStyle w:val="Textpoznpodarou"/>
              <w:jc w:val="both"/>
            </w:pPr>
            <w:r>
              <w:t xml:space="preserve">Vůbec nejvyšší relativní spotřebu na obyvatele však vykazuje v Evropě Švýcarsko (graf 10), kde byly již v roce 2013 výdaje domácností o polovinu vyšší (150 %) než činil průměr EU. Podobně tomu bylo v Norsku (128,2 %) či na Islandu (110,3 %). Šlo vesměs o vyšší relace, než </w:t>
            </w:r>
            <w:r w:rsidR="00B83E78">
              <w:t>kterých</w:t>
            </w:r>
            <w:r>
              <w:t xml:space="preserve"> dosahovala oproti průměru EU 28 skupina nejvyspělejších, tzv. „starých“ zemí Unie (EU 15) se 108,3 %.</w:t>
            </w:r>
          </w:p>
          <w:p w:rsidR="0008794F" w:rsidRPr="00EF3811" w:rsidRDefault="0008794F" w:rsidP="004B4B5B">
            <w:pPr>
              <w:pStyle w:val="Textpoznpodarou"/>
              <w:jc w:val="both"/>
              <w:rPr>
                <w:sz w:val="12"/>
                <w:szCs w:val="12"/>
              </w:rPr>
            </w:pPr>
          </w:p>
        </w:tc>
      </w:tr>
      <w:tr w:rsidR="0008794F" w:rsidRPr="00A557BF" w:rsidTr="004B4B5B">
        <w:tc>
          <w:tcPr>
            <w:tcW w:w="1055" w:type="pct"/>
          </w:tcPr>
          <w:p w:rsidR="0008794F" w:rsidRDefault="0008794F" w:rsidP="00B83E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jednotkách PPS stouply výdaje rakouských domácností více než českých</w:t>
            </w:r>
            <w:r w:rsidR="00B83E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přestože posun v procentních bodech byl nižší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EF3811" w:rsidRDefault="0008794F" w:rsidP="004B4B5B">
            <w:pPr>
              <w:pStyle w:val="Textpoznpodarou"/>
              <w:jc w:val="both"/>
            </w:pPr>
            <w:r>
              <w:t xml:space="preserve">Rakousko mělo za roky 2005-2014 nejnižší posun v procentních bodech ve srovnání s tím, jakého </w:t>
            </w:r>
            <w:r w:rsidR="004C5160">
              <w:t xml:space="preserve">v relativním HDP na obyvatele v PPS dosahovala </w:t>
            </w:r>
            <w:r>
              <w:t>ČR a zejména Slovensko</w:t>
            </w:r>
            <w:r w:rsidR="007D7DD8">
              <w:t>. Ovšem</w:t>
            </w:r>
            <w:r>
              <w:t xml:space="preserve"> bráno </w:t>
            </w:r>
            <w:r w:rsidR="004C5160">
              <w:t xml:space="preserve">absolutně, </w:t>
            </w:r>
            <w:r>
              <w:t>v jednotkách PPS</w:t>
            </w:r>
            <w:r w:rsidR="007D7DD8">
              <w:t xml:space="preserve">, spotřeba rakouských domácností </w:t>
            </w:r>
            <w:r>
              <w:t xml:space="preserve">se za uvedené období zvětšila o 3100 jednotek, zatímco spotřeba českých domácností jen o 2200 jednotek PPS. Výdaje domácností na konečnou spotřebu v přepočtu na obyvatele Slovenska stouply za roky 2005-2014 naproti tomu o 4000 jednotek PPS. </w:t>
            </w:r>
          </w:p>
          <w:p w:rsidR="00EF3811" w:rsidRPr="00EF3811" w:rsidRDefault="00EF3811" w:rsidP="004B4B5B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EF3811" w:rsidP="00EF3811">
            <w:pPr>
              <w:pStyle w:val="Textpoznpodarou"/>
              <w:jc w:val="both"/>
            </w:pPr>
            <w:r>
              <w:t xml:space="preserve">Rozdíl mezi domácnostmi v Rakousku oproti domácnostem v ČR a SR se tak dále prohloubil. </w:t>
            </w:r>
          </w:p>
        </w:tc>
      </w:tr>
    </w:tbl>
    <w:p w:rsidR="0008794F" w:rsidRPr="00EF3811" w:rsidRDefault="0008794F" w:rsidP="007039D1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827"/>
        <w:gridCol w:w="3963"/>
        <w:gridCol w:w="838"/>
        <w:gridCol w:w="4066"/>
      </w:tblGrid>
      <w:tr w:rsidR="0008794F" w:rsidRPr="00817C98" w:rsidTr="00155326">
        <w:tc>
          <w:tcPr>
            <w:tcW w:w="427" w:type="pct"/>
          </w:tcPr>
          <w:p w:rsidR="0008794F" w:rsidRDefault="0008794F" w:rsidP="004B4B5B">
            <w:pPr>
              <w:spacing w:line="240" w:lineRule="auto"/>
            </w:pPr>
            <w:r>
              <w:t>Graf 11</w:t>
            </w:r>
          </w:p>
        </w:tc>
        <w:tc>
          <w:tcPr>
            <w:tcW w:w="2044" w:type="pct"/>
          </w:tcPr>
          <w:p w:rsidR="0008794F" w:rsidRDefault="0008794F" w:rsidP="004B4B5B">
            <w:pPr>
              <w:pStyle w:val="Textpoznpodarou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Výdaje na konečnou spotřebu domácností vč. NISD v PPS </w:t>
            </w:r>
            <w:r w:rsidRPr="00BE1C59">
              <w:rPr>
                <w:rFonts w:cs="Arial"/>
                <w:bCs/>
              </w:rPr>
              <w:t>(EU 28=100)</w:t>
            </w:r>
          </w:p>
        </w:tc>
        <w:tc>
          <w:tcPr>
            <w:tcW w:w="432" w:type="pct"/>
          </w:tcPr>
          <w:p w:rsidR="0008794F" w:rsidRDefault="0008794F" w:rsidP="004B4B5B">
            <w:pPr>
              <w:spacing w:line="240" w:lineRule="auto"/>
            </w:pPr>
            <w:r>
              <w:t>Graf 12</w:t>
            </w:r>
          </w:p>
        </w:tc>
        <w:tc>
          <w:tcPr>
            <w:tcW w:w="2097" w:type="pct"/>
          </w:tcPr>
          <w:p w:rsidR="0008794F" w:rsidRPr="00817C98" w:rsidRDefault="0008794F" w:rsidP="004B4B5B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HDP v paritě kupní síly (PPS) v roce 2014 </w:t>
            </w:r>
            <w:r>
              <w:rPr>
                <w:rFonts w:cs="Arial"/>
                <w:bCs/>
              </w:rPr>
              <w:t>(</w:t>
            </w:r>
            <w:r w:rsidRPr="00BE1C59">
              <w:rPr>
                <w:rFonts w:cs="Arial"/>
                <w:bCs/>
              </w:rPr>
              <w:t xml:space="preserve">EU 28=100) </w:t>
            </w:r>
          </w:p>
        </w:tc>
      </w:tr>
      <w:tr w:rsidR="0008794F" w:rsidRPr="00C81DE5" w:rsidTr="004B4B5B">
        <w:tc>
          <w:tcPr>
            <w:tcW w:w="2471" w:type="pct"/>
            <w:gridSpan w:val="2"/>
          </w:tcPr>
          <w:p w:rsidR="0008794F" w:rsidRPr="00DA43AC" w:rsidRDefault="00440BBA" w:rsidP="004B4B5B">
            <w:pPr>
              <w:pStyle w:val="Textpoznpodarou"/>
              <w:jc w:val="both"/>
              <w:rPr>
                <w:noProof/>
              </w:rPr>
            </w:pPr>
            <w:r>
              <w:rPr>
                <w:noProof/>
              </w:rPr>
              <w:pict>
                <v:shape id="Graf 1" o:spid="_x0000_i1035" type="#_x0000_t75" style="width:231pt;height:20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">
                  <v:imagedata r:id="rId18" o:title=""/>
                  <o:lock v:ext="edit" aspectratio="f"/>
                </v:shape>
              </w:pict>
            </w:r>
          </w:p>
        </w:tc>
        <w:tc>
          <w:tcPr>
            <w:tcW w:w="2529" w:type="pct"/>
            <w:gridSpan w:val="2"/>
          </w:tcPr>
          <w:p w:rsidR="0008794F" w:rsidRPr="00C81DE5" w:rsidRDefault="00440BBA" w:rsidP="004B4B5B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36" type="#_x0000_t75" style="width:242.25pt;height:20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">
                  <v:imagedata r:id="rId19" o:title="" cropbottom="-15f"/>
                  <o:lock v:ext="edit" aspectratio="f"/>
                </v:shape>
              </w:pict>
            </w:r>
          </w:p>
        </w:tc>
      </w:tr>
    </w:tbl>
    <w:p w:rsidR="0008794F" w:rsidRDefault="0008794F" w:rsidP="007039D1">
      <w:pPr>
        <w:jc w:val="right"/>
      </w:pPr>
      <w:r w:rsidRPr="00DA43AC">
        <w:rPr>
          <w:sz w:val="18"/>
          <w:szCs w:val="18"/>
        </w:rPr>
        <w:t>Pramen: Eurostat</w:t>
      </w:r>
    </w:p>
    <w:p w:rsidR="0008794F" w:rsidRPr="00EF3811" w:rsidRDefault="0008794F" w:rsidP="007039D1">
      <w:pPr>
        <w:rPr>
          <w:sz w:val="12"/>
          <w:szCs w:val="12"/>
        </w:rPr>
      </w:pPr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08794F" w:rsidRPr="00A557BF" w:rsidTr="004B4B5B">
        <w:tc>
          <w:tcPr>
            <w:tcW w:w="1055" w:type="pct"/>
          </w:tcPr>
          <w:p w:rsidR="0008794F" w:rsidRPr="00A557B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Posun v pozici ČR i SR v úrovni materiální kvality života podle relativních výdajů domácností na konečnou spotřebu byl větší než v Rakousku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4B4B5B">
            <w:pPr>
              <w:pStyle w:val="Textpoznpodarou"/>
              <w:jc w:val="both"/>
            </w:pPr>
            <w:r>
              <w:t xml:space="preserve">Vztáhneme-li k sobě posuny ve spotřebě a posuny v HDP u sledovaných zemí za desetiletí ohraničené roky 2005-2014, vidíme nejen výrazně větší zlepšení Slovenska proti ČR, jak je již uvedeno výše (výdaje na konečnou spotřebu domácností vč. NISD v přepočtu na obyvatele v PPS byly v roce 2014 o 17 pb. výš, zatímco v ČR jen o 4,2 pb. výš, což lze ve značné míře připsat právě nízké slovenské základně). Pokud se jedná o HDP na obyvatele v PPS, byly proporce obdobné - na Slovensku byl posun za roky 2005-2014 o 16,9 pb., v ČR jen o 3,7 pb. (zde byla logika rozdílů již několikrát zmíněna). </w:t>
            </w:r>
          </w:p>
          <w:p w:rsidR="0008794F" w:rsidRPr="00A557BF" w:rsidRDefault="0008794F" w:rsidP="004B4B5B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08794F" w:rsidRPr="004F11DB" w:rsidTr="00422CBD">
        <w:tc>
          <w:tcPr>
            <w:tcW w:w="1055" w:type="pct"/>
          </w:tcPr>
          <w:p w:rsidR="0008794F" w:rsidRPr="00514E78" w:rsidRDefault="0008794F" w:rsidP="00302F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Posun v relaci spotřeby rakouských domácností v pb. je sice menší než v ČR nebo SR, ale při její  úrovni - vysoko nad unijním průměrem -  je toto zlepšení oproti ČR a SR</w:t>
            </w:r>
            <w:r w:rsidRPr="00514E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výrazné a ukazuje, jak obtížný je pro tyto země posun k rakouské materiální kvalitě života</w:t>
            </w:r>
          </w:p>
        </w:tc>
        <w:tc>
          <w:tcPr>
            <w:tcW w:w="145" w:type="pct"/>
          </w:tcPr>
          <w:p w:rsidR="0008794F" w:rsidRPr="004F11DB" w:rsidRDefault="0008794F" w:rsidP="00302F1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302F1B">
            <w:pPr>
              <w:pStyle w:val="Textpoznpodarou"/>
              <w:jc w:val="both"/>
            </w:pPr>
            <w:r>
              <w:t>Podíváme-li se však na Rakousko, je rozdíl mezi zlepšením pozice u spotřeby a zlepšením pozice v HDP jiný</w:t>
            </w:r>
            <w:r w:rsidR="00B83E78">
              <w:t>. R</w:t>
            </w:r>
            <w:r>
              <w:t xml:space="preserve">elace spotřeby se zlepšila o 2,5 pb. a relace v HDP o 2,8 pb. Znamená to, že nárůst zlepšení u výdajů na konečnou spotřebu rakouských domácností v přepočtu na obyvatele vč. NISD je sice menší, než u ČR a SR. Ale vzhledem k vysoké úrovni relace spotřeby v Rakousku - výrazně vyšší než kolik činí unijní průměr (!) podle grafu 11 – je toto zlepšení ve srovnání s ČR a SR velmi významné. Dokazuje, jak velmi obtížné by bylo se k rakouské materiální kvalitě života v čase posunovat. </w:t>
            </w:r>
          </w:p>
          <w:p w:rsidR="0008794F" w:rsidRPr="00EF6654" w:rsidRDefault="0008794F" w:rsidP="00302F1B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302F1B">
            <w:pPr>
              <w:pStyle w:val="Textpoznpodarou"/>
              <w:jc w:val="both"/>
            </w:pPr>
            <w:r>
              <w:t xml:space="preserve">Jestliže ale zlepšení relativní pozice Rakouska v HDP na obyvatele v PPS představovalo za roky 2005-2014 jen +2,8 pb. (což je i tak velmi dobrý výsledek, neboť skupina nejvyspělejších zemí v té době naopak v uvedené relaci ztrácela) lze do jisté míry dedukovat, že právě spotřeba domácností měla v Rakousku na toto zlepšení významný vliv.    </w:t>
            </w:r>
          </w:p>
          <w:p w:rsidR="0008794F" w:rsidRPr="004F11DB" w:rsidRDefault="0008794F" w:rsidP="00302F1B">
            <w:pPr>
              <w:pStyle w:val="Textpoznpodarou"/>
              <w:jc w:val="both"/>
            </w:pPr>
          </w:p>
        </w:tc>
      </w:tr>
      <w:tr w:rsidR="0008794F" w:rsidRPr="004F11DB" w:rsidTr="00422CBD">
        <w:tc>
          <w:tcPr>
            <w:tcW w:w="1055" w:type="pct"/>
          </w:tcPr>
          <w:p w:rsidR="0008794F" w:rsidRPr="00514E78" w:rsidRDefault="0008794F" w:rsidP="00302F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Spotřeba domácností v Rakousku měla významný vliv na vývoj HDP v přepočtu na obyvatele v PPS</w:t>
            </w:r>
            <w:r w:rsidRPr="00514E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" w:type="pct"/>
          </w:tcPr>
          <w:p w:rsidR="0008794F" w:rsidRPr="004F11DB" w:rsidRDefault="0008794F" w:rsidP="00302F1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Pr="004F11DB" w:rsidRDefault="0008794F" w:rsidP="00302F1B">
            <w:pPr>
              <w:pStyle w:val="Textpoznpodarou"/>
              <w:jc w:val="both"/>
            </w:pPr>
            <w:r>
              <w:t xml:space="preserve">Vždy je nutné brát v úvahu faktor podstatně vyšší výchozí pozice v případě Rakouska oproti ČR a SR týkající se zejména úrovně spojené s materiální kvalitou života. Zároveň je však pravděpodobné, že vývoj HDP v přepočtu na obyvatele byl v Rakousku posilován – oproti ČR a SR - méně významně jinými složkami HDP, než jsou jen výdaje na konečnou spotřebu domácností (vč. NISD). </w:t>
            </w:r>
          </w:p>
        </w:tc>
      </w:tr>
    </w:tbl>
    <w:p w:rsidR="0008794F" w:rsidRDefault="0008794F" w:rsidP="007039D1"/>
    <w:p w:rsidR="0008794F" w:rsidRDefault="0008794F" w:rsidP="007039D1"/>
    <w:p w:rsidR="0008794F" w:rsidRDefault="0008794F" w:rsidP="007039D1"/>
    <w:p w:rsidR="0008794F" w:rsidRDefault="0008794F" w:rsidP="007039D1"/>
    <w:p w:rsidR="0008794F" w:rsidRDefault="0008794F" w:rsidP="007039D1"/>
    <w:p w:rsidR="0008794F" w:rsidRDefault="0008794F" w:rsidP="007039D1"/>
    <w:p w:rsidR="0008794F" w:rsidRDefault="0008794F" w:rsidP="007039D1"/>
    <w:p w:rsidR="0008794F" w:rsidRDefault="0008794F" w:rsidP="007039D1"/>
    <w:p w:rsidR="0008794F" w:rsidRDefault="0008794F" w:rsidP="007039D1"/>
    <w:p w:rsidR="004C5160" w:rsidRPr="004C5160" w:rsidRDefault="004C5160" w:rsidP="007039D1">
      <w:pPr>
        <w:rPr>
          <w:sz w:val="4"/>
          <w:szCs w:val="4"/>
        </w:rPr>
      </w:pPr>
    </w:p>
    <w:sectPr w:rsidR="004C5160" w:rsidRPr="004C5160" w:rsidSect="00D43998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F2" w:rsidRDefault="004D08F2" w:rsidP="00E71A58">
      <w:r>
        <w:separator/>
      </w:r>
    </w:p>
  </w:endnote>
  <w:endnote w:type="continuationSeparator" w:id="0">
    <w:p w:rsidR="004D08F2" w:rsidRDefault="004D08F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Default="007A6E58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1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06E68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40BBA">
      <w:rPr>
        <w:rFonts w:ascii="Arial" w:hAnsi="Arial" w:cs="Arial"/>
        <w:noProof/>
        <w:sz w:val="16"/>
        <w:szCs w:val="16"/>
      </w:rPr>
      <w:t>8</w:t>
    </w:r>
    <w:r w:rsidRPr="005A21E0">
      <w:rPr>
        <w:rFonts w:ascii="Arial" w:hAnsi="Arial" w:cs="Arial"/>
        <w:sz w:val="16"/>
        <w:szCs w:val="16"/>
      </w:rPr>
      <w:fldChar w:fldCharType="end"/>
    </w:r>
    <w:r w:rsidR="00D06E68">
      <w:rPr>
        <w:rFonts w:ascii="Arial" w:hAnsi="Arial" w:cs="Arial"/>
        <w:sz w:val="16"/>
        <w:szCs w:val="16"/>
      </w:rPr>
      <w:tab/>
      <w:t>2014</w:t>
    </w:r>
    <w:r w:rsidR="00D06E68">
      <w:tab/>
    </w:r>
    <w:r w:rsidR="00D06E68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Default="007A6E58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Description: 3" style="position:absolute;margin-left:.3pt;margin-top:7.1pt;width:39pt;height:21pt;z-index:2;visibility:visible">
          <v:imagedata r:id="rId1" o:title=""/>
        </v:shape>
      </w:pict>
    </w:r>
    <w:r w:rsidR="00D06E68">
      <w:tab/>
    </w:r>
    <w:r w:rsidR="00D06E68">
      <w:tab/>
    </w:r>
    <w:r w:rsidR="00D06E68" w:rsidRPr="00DC5B3B">
      <w:t xml:space="preserve">                              </w:t>
    </w:r>
  </w:p>
  <w:p w:rsidR="00D06E68" w:rsidRPr="00223E00" w:rsidRDefault="00D06E68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7A6E58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7A6E58" w:rsidRPr="00223E00">
      <w:rPr>
        <w:rFonts w:ascii="Arial" w:hAnsi="Arial" w:cs="Arial"/>
        <w:sz w:val="16"/>
        <w:szCs w:val="16"/>
      </w:rPr>
      <w:fldChar w:fldCharType="separate"/>
    </w:r>
    <w:r w:rsidR="00440BBA">
      <w:rPr>
        <w:rFonts w:ascii="Arial" w:hAnsi="Arial" w:cs="Arial"/>
        <w:noProof/>
        <w:sz w:val="16"/>
        <w:szCs w:val="16"/>
      </w:rPr>
      <w:t>9</w:t>
    </w:r>
    <w:r w:rsidR="007A6E58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F2" w:rsidRDefault="004D08F2" w:rsidP="00E71A58">
      <w:r>
        <w:separator/>
      </w:r>
    </w:p>
  </w:footnote>
  <w:footnote w:type="continuationSeparator" w:id="0">
    <w:p w:rsidR="004D08F2" w:rsidRDefault="004D08F2" w:rsidP="00E71A58">
      <w:r>
        <w:continuationSeparator/>
      </w:r>
    </w:p>
  </w:footnote>
  <w:footnote w:id="1">
    <w:p w:rsidR="00D06E68" w:rsidRPr="00382D10" w:rsidRDefault="00D06E68" w:rsidP="00382D10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382D10">
        <w:rPr>
          <w:sz w:val="16"/>
          <w:szCs w:val="16"/>
        </w:rPr>
        <w:t xml:space="preserve">Jestliže rakouský HDP na obyvatele v PPS jako měřítko ekonomické vyspělosti za roky 1995-2014 klesl jen velmi málo, o 4,4 </w:t>
      </w:r>
      <w:proofErr w:type="spellStart"/>
      <w:r w:rsidRPr="00382D10">
        <w:rPr>
          <w:sz w:val="16"/>
          <w:szCs w:val="16"/>
        </w:rPr>
        <w:t>pb</w:t>
      </w:r>
      <w:proofErr w:type="spellEnd"/>
      <w:r w:rsidRPr="00382D10">
        <w:rPr>
          <w:sz w:val="16"/>
          <w:szCs w:val="16"/>
        </w:rPr>
        <w:t xml:space="preserve">., vyspělé „staré země“ Unie (EU 15) „oslabily“ o 7,1 </w:t>
      </w:r>
      <w:proofErr w:type="spellStart"/>
      <w:r w:rsidRPr="00382D10">
        <w:rPr>
          <w:sz w:val="16"/>
          <w:szCs w:val="16"/>
        </w:rPr>
        <w:t>pb</w:t>
      </w:r>
      <w:proofErr w:type="spellEnd"/>
      <w:r w:rsidRPr="00382D10">
        <w:rPr>
          <w:sz w:val="16"/>
          <w:szCs w:val="16"/>
        </w:rPr>
        <w:t xml:space="preserve">. Nejvíce ztratila v přepočtu na obyvatele Itálie, kde se za poslední dvě desetiletí snížil HDP na hlavu v PPS o 25,5 </w:t>
      </w:r>
      <w:proofErr w:type="spellStart"/>
      <w:r w:rsidRPr="00382D10">
        <w:rPr>
          <w:sz w:val="16"/>
          <w:szCs w:val="16"/>
        </w:rPr>
        <w:t>pb</w:t>
      </w:r>
      <w:proofErr w:type="spellEnd"/>
      <w:r w:rsidRPr="00382D10">
        <w:rPr>
          <w:sz w:val="16"/>
          <w:szCs w:val="16"/>
        </w:rPr>
        <w:t xml:space="preserve">., čímž země klesla s 96,4 % pod průměr EU 28. Ztratilo i Řecko, kde je však s ohledem na negativní vývoj ekonomiky posledních pěti let vyvolaný krizí jeho veřejných rozpočtů pokles pochopitelný (-13,2 </w:t>
      </w:r>
      <w:proofErr w:type="spellStart"/>
      <w:r w:rsidRPr="00382D10">
        <w:rPr>
          <w:sz w:val="16"/>
          <w:szCs w:val="16"/>
        </w:rPr>
        <w:t>pb</w:t>
      </w:r>
      <w:proofErr w:type="spellEnd"/>
      <w:r w:rsidRPr="00382D10">
        <w:rPr>
          <w:sz w:val="16"/>
          <w:szCs w:val="16"/>
        </w:rPr>
        <w:t>.). Snížením HDP na obyvatele v PPS na 71,5 % průměru EU se helénská země dostala na nižší ekonomickou úroveň než Česká republika, Kypr, Litva, Estonsko, Malta, Slovinsko a Slovensko, tedy většina „nových zemí“ Unie a kromě nich i Portugalsko.</w:t>
      </w:r>
    </w:p>
    <w:tbl>
      <w:tblPr>
        <w:tblW w:w="5000" w:type="pct"/>
        <w:tblLook w:val="00A0"/>
      </w:tblPr>
      <w:tblGrid>
        <w:gridCol w:w="9854"/>
      </w:tblGrid>
      <w:tr w:rsidR="00D06E68" w:rsidRPr="00B752FD" w:rsidTr="00D06E68">
        <w:tc>
          <w:tcPr>
            <w:tcW w:w="3800" w:type="pct"/>
          </w:tcPr>
          <w:p w:rsidR="00D06E68" w:rsidRPr="00B752FD" w:rsidRDefault="00D06E68" w:rsidP="00D06E68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</w:tbl>
    <w:p w:rsidR="00D06E68" w:rsidRDefault="00D06E68">
      <w:pPr>
        <w:pStyle w:val="Textpoznpodarou"/>
      </w:pPr>
    </w:p>
  </w:footnote>
  <w:footnote w:id="2">
    <w:p w:rsidR="00D06E68" w:rsidRDefault="00D06E68" w:rsidP="00B83E7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83E78">
        <w:rPr>
          <w:sz w:val="16"/>
          <w:szCs w:val="16"/>
        </w:rPr>
        <w:t>Je zde uvažována spotřeba ve smyslu výdajů vynaložených na výrobky a služby, které jsou určeny pro přímé uspokojení individuálních potřeb nebo přání.</w:t>
      </w:r>
      <w:r>
        <w:t xml:space="preserve"> </w:t>
      </w:r>
    </w:p>
  </w:footnote>
  <w:footnote w:id="3">
    <w:p w:rsidR="00D06E68" w:rsidRDefault="00D06E68" w:rsidP="007039D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740ED">
        <w:rPr>
          <w:sz w:val="16"/>
          <w:szCs w:val="16"/>
        </w:rPr>
        <w:t xml:space="preserve">Pokud nebude uvedeno jinak, v dalším textu této </w:t>
      </w:r>
      <w:proofErr w:type="spellStart"/>
      <w:r w:rsidRPr="00F740ED">
        <w:rPr>
          <w:sz w:val="16"/>
          <w:szCs w:val="16"/>
        </w:rPr>
        <w:t>subkapitoly</w:t>
      </w:r>
      <w:proofErr w:type="spellEnd"/>
      <w:r w:rsidRPr="00F740ED">
        <w:rPr>
          <w:sz w:val="16"/>
          <w:szCs w:val="16"/>
        </w:rPr>
        <w:t xml:space="preserve"> bude termín „výdaje na konečnou spotřebu domácností“ zahrnovat i výdaje neziskových institucí sloužících domácnostem (NISD).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Pr="007A2959" w:rsidRDefault="00D06E68" w:rsidP="007A295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Pr="00F5435A" w:rsidRDefault="00D06E68" w:rsidP="00873DE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2C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5A4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E25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C1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AC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B24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3C5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A7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44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41472"/>
    <w:multiLevelType w:val="hybridMultilevel"/>
    <w:tmpl w:val="AA367E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F96BEF"/>
    <w:multiLevelType w:val="hybridMultilevel"/>
    <w:tmpl w:val="3B36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A62B8"/>
    <w:multiLevelType w:val="multilevel"/>
    <w:tmpl w:val="DBE6868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5BD2BBD"/>
    <w:multiLevelType w:val="hybridMultilevel"/>
    <w:tmpl w:val="CDFCC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7172B"/>
    <w:multiLevelType w:val="multilevel"/>
    <w:tmpl w:val="DE863A6A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BB57F8"/>
    <w:multiLevelType w:val="multilevel"/>
    <w:tmpl w:val="2074470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5954F6D"/>
    <w:multiLevelType w:val="hybridMultilevel"/>
    <w:tmpl w:val="8E84F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026AB4"/>
    <w:multiLevelType w:val="hybridMultilevel"/>
    <w:tmpl w:val="A296FA20"/>
    <w:lvl w:ilvl="0" w:tplc="2AAEA5FA">
      <w:start w:val="20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7A3AA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2BDF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3069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A44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2C53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1A07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84FE6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783E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B95ADF"/>
    <w:multiLevelType w:val="hybridMultilevel"/>
    <w:tmpl w:val="B35AFB4E"/>
    <w:lvl w:ilvl="0" w:tplc="A1664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0B8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A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9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A0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AD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A4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8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679BF"/>
    <w:multiLevelType w:val="hybridMultilevel"/>
    <w:tmpl w:val="DE223DFC"/>
    <w:lvl w:ilvl="0" w:tplc="63982124">
      <w:start w:val="20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48EE8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08503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F0ACD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0215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A7B2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421AB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4CDF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F600C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AF1193"/>
    <w:multiLevelType w:val="multilevel"/>
    <w:tmpl w:val="AA2CE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04F7F4D"/>
    <w:multiLevelType w:val="hybridMultilevel"/>
    <w:tmpl w:val="06BA7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86350F"/>
    <w:multiLevelType w:val="hybridMultilevel"/>
    <w:tmpl w:val="80DE618A"/>
    <w:lvl w:ilvl="0" w:tplc="525263D6">
      <w:start w:val="20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AE79A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10A35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DC617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D62BF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90D0D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743AA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8AE57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8A609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BF3EA5"/>
    <w:multiLevelType w:val="multilevel"/>
    <w:tmpl w:val="ED94EFE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42A32BF"/>
    <w:multiLevelType w:val="multilevel"/>
    <w:tmpl w:val="2C7C09C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14"/>
  </w:num>
  <w:num w:numId="5">
    <w:abstractNumId w:val="25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17"/>
  </w:num>
  <w:num w:numId="20">
    <w:abstractNumId w:val="22"/>
  </w:num>
  <w:num w:numId="21">
    <w:abstractNumId w:val="20"/>
  </w:num>
  <w:num w:numId="22">
    <w:abstractNumId w:val="18"/>
  </w:num>
  <w:num w:numId="23">
    <w:abstractNumId w:val="10"/>
  </w:num>
  <w:num w:numId="24">
    <w:abstractNumId w:val="24"/>
  </w:num>
  <w:num w:numId="25">
    <w:abstractNumId w:val="21"/>
  </w:num>
  <w:num w:numId="26">
    <w:abstractNumId w:val="16"/>
  </w:num>
  <w:num w:numId="27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E94"/>
    <w:rsid w:val="00001411"/>
    <w:rsid w:val="00003687"/>
    <w:rsid w:val="00003A9E"/>
    <w:rsid w:val="00003C43"/>
    <w:rsid w:val="000047B7"/>
    <w:rsid w:val="00004BDD"/>
    <w:rsid w:val="00006CF8"/>
    <w:rsid w:val="00007498"/>
    <w:rsid w:val="0000767A"/>
    <w:rsid w:val="000104B9"/>
    <w:rsid w:val="00010702"/>
    <w:rsid w:val="0001159B"/>
    <w:rsid w:val="000118F0"/>
    <w:rsid w:val="00011ABE"/>
    <w:rsid w:val="00014DB4"/>
    <w:rsid w:val="00014F30"/>
    <w:rsid w:val="0001573E"/>
    <w:rsid w:val="0001593A"/>
    <w:rsid w:val="00017315"/>
    <w:rsid w:val="000173CC"/>
    <w:rsid w:val="000178A6"/>
    <w:rsid w:val="00017F05"/>
    <w:rsid w:val="0002016D"/>
    <w:rsid w:val="000202B9"/>
    <w:rsid w:val="000202C6"/>
    <w:rsid w:val="0002083E"/>
    <w:rsid w:val="00020946"/>
    <w:rsid w:val="000217F1"/>
    <w:rsid w:val="000226D1"/>
    <w:rsid w:val="000228E2"/>
    <w:rsid w:val="0002366A"/>
    <w:rsid w:val="00023777"/>
    <w:rsid w:val="00024887"/>
    <w:rsid w:val="00024B3C"/>
    <w:rsid w:val="00024CBA"/>
    <w:rsid w:val="000262EF"/>
    <w:rsid w:val="0002636A"/>
    <w:rsid w:val="00026396"/>
    <w:rsid w:val="000264DE"/>
    <w:rsid w:val="000266D2"/>
    <w:rsid w:val="00026998"/>
    <w:rsid w:val="0003066A"/>
    <w:rsid w:val="00030C7C"/>
    <w:rsid w:val="00031AEE"/>
    <w:rsid w:val="00032838"/>
    <w:rsid w:val="00032879"/>
    <w:rsid w:val="00032C12"/>
    <w:rsid w:val="00034B90"/>
    <w:rsid w:val="000353D4"/>
    <w:rsid w:val="000356F6"/>
    <w:rsid w:val="0003575B"/>
    <w:rsid w:val="00035FC6"/>
    <w:rsid w:val="00036889"/>
    <w:rsid w:val="00037667"/>
    <w:rsid w:val="000411E1"/>
    <w:rsid w:val="000434EF"/>
    <w:rsid w:val="00044171"/>
    <w:rsid w:val="000441DE"/>
    <w:rsid w:val="00045541"/>
    <w:rsid w:val="000458C6"/>
    <w:rsid w:val="0004694F"/>
    <w:rsid w:val="0004735A"/>
    <w:rsid w:val="0005077D"/>
    <w:rsid w:val="00050C11"/>
    <w:rsid w:val="00051D54"/>
    <w:rsid w:val="00052172"/>
    <w:rsid w:val="000548AB"/>
    <w:rsid w:val="00054B1C"/>
    <w:rsid w:val="00055059"/>
    <w:rsid w:val="000553E4"/>
    <w:rsid w:val="00056451"/>
    <w:rsid w:val="00060A26"/>
    <w:rsid w:val="00061443"/>
    <w:rsid w:val="00062922"/>
    <w:rsid w:val="00062EC5"/>
    <w:rsid w:val="00063BCF"/>
    <w:rsid w:val="00064256"/>
    <w:rsid w:val="00064D80"/>
    <w:rsid w:val="0006500C"/>
    <w:rsid w:val="00065809"/>
    <w:rsid w:val="000666E0"/>
    <w:rsid w:val="00067478"/>
    <w:rsid w:val="00067835"/>
    <w:rsid w:val="0006797C"/>
    <w:rsid w:val="000706A4"/>
    <w:rsid w:val="000708EE"/>
    <w:rsid w:val="00072118"/>
    <w:rsid w:val="000727C7"/>
    <w:rsid w:val="00072F46"/>
    <w:rsid w:val="00073039"/>
    <w:rsid w:val="00073173"/>
    <w:rsid w:val="00073AD9"/>
    <w:rsid w:val="0007406D"/>
    <w:rsid w:val="00075423"/>
    <w:rsid w:val="0007602A"/>
    <w:rsid w:val="00076196"/>
    <w:rsid w:val="00076210"/>
    <w:rsid w:val="00076B48"/>
    <w:rsid w:val="000774C1"/>
    <w:rsid w:val="000779AC"/>
    <w:rsid w:val="00077E6A"/>
    <w:rsid w:val="00080D93"/>
    <w:rsid w:val="0008193E"/>
    <w:rsid w:val="000821A7"/>
    <w:rsid w:val="00083803"/>
    <w:rsid w:val="000848F4"/>
    <w:rsid w:val="00085D2D"/>
    <w:rsid w:val="0008716A"/>
    <w:rsid w:val="00087634"/>
    <w:rsid w:val="0008794F"/>
    <w:rsid w:val="0008799E"/>
    <w:rsid w:val="000901CC"/>
    <w:rsid w:val="00090F47"/>
    <w:rsid w:val="00091237"/>
    <w:rsid w:val="000920EC"/>
    <w:rsid w:val="00092505"/>
    <w:rsid w:val="000927BC"/>
    <w:rsid w:val="00095ACB"/>
    <w:rsid w:val="00096B97"/>
    <w:rsid w:val="00096E46"/>
    <w:rsid w:val="000A00C9"/>
    <w:rsid w:val="000A0810"/>
    <w:rsid w:val="000A0CB7"/>
    <w:rsid w:val="000A0F46"/>
    <w:rsid w:val="000A1183"/>
    <w:rsid w:val="000A13D1"/>
    <w:rsid w:val="000A2121"/>
    <w:rsid w:val="000A2C3C"/>
    <w:rsid w:val="000A2EEB"/>
    <w:rsid w:val="000A3171"/>
    <w:rsid w:val="000A4B3E"/>
    <w:rsid w:val="000A55AA"/>
    <w:rsid w:val="000B1398"/>
    <w:rsid w:val="000B1CFE"/>
    <w:rsid w:val="000B210A"/>
    <w:rsid w:val="000B249B"/>
    <w:rsid w:val="000B3DB9"/>
    <w:rsid w:val="000B3F02"/>
    <w:rsid w:val="000B48E7"/>
    <w:rsid w:val="000B6162"/>
    <w:rsid w:val="000B7663"/>
    <w:rsid w:val="000C05C4"/>
    <w:rsid w:val="000C0E2B"/>
    <w:rsid w:val="000C11D3"/>
    <w:rsid w:val="000C12F5"/>
    <w:rsid w:val="000C152B"/>
    <w:rsid w:val="000C3408"/>
    <w:rsid w:val="000C776C"/>
    <w:rsid w:val="000C7825"/>
    <w:rsid w:val="000C783E"/>
    <w:rsid w:val="000D2E41"/>
    <w:rsid w:val="000D3F80"/>
    <w:rsid w:val="000D5D85"/>
    <w:rsid w:val="000D5E7A"/>
    <w:rsid w:val="000D5FAA"/>
    <w:rsid w:val="000D65A4"/>
    <w:rsid w:val="000D66B7"/>
    <w:rsid w:val="000D6AEF"/>
    <w:rsid w:val="000D7537"/>
    <w:rsid w:val="000E0EDF"/>
    <w:rsid w:val="000E0F3D"/>
    <w:rsid w:val="000E0FA4"/>
    <w:rsid w:val="000E19A8"/>
    <w:rsid w:val="000E2776"/>
    <w:rsid w:val="000E2A8A"/>
    <w:rsid w:val="000E3023"/>
    <w:rsid w:val="000E4C83"/>
    <w:rsid w:val="000E51B0"/>
    <w:rsid w:val="000E78D2"/>
    <w:rsid w:val="000F0029"/>
    <w:rsid w:val="000F195C"/>
    <w:rsid w:val="000F2D72"/>
    <w:rsid w:val="000F3332"/>
    <w:rsid w:val="000F33EE"/>
    <w:rsid w:val="000F401E"/>
    <w:rsid w:val="000F5445"/>
    <w:rsid w:val="000F5E7A"/>
    <w:rsid w:val="000F5FD3"/>
    <w:rsid w:val="000F67B2"/>
    <w:rsid w:val="000F7C11"/>
    <w:rsid w:val="00100014"/>
    <w:rsid w:val="001005B2"/>
    <w:rsid w:val="00100DAF"/>
    <w:rsid w:val="00102756"/>
    <w:rsid w:val="00102D79"/>
    <w:rsid w:val="00102E39"/>
    <w:rsid w:val="00102F02"/>
    <w:rsid w:val="0010333B"/>
    <w:rsid w:val="00103834"/>
    <w:rsid w:val="001041B6"/>
    <w:rsid w:val="001045E3"/>
    <w:rsid w:val="0010520A"/>
    <w:rsid w:val="001070EA"/>
    <w:rsid w:val="0011002A"/>
    <w:rsid w:val="0011026B"/>
    <w:rsid w:val="0011110A"/>
    <w:rsid w:val="001118AF"/>
    <w:rsid w:val="00111C6C"/>
    <w:rsid w:val="0011256E"/>
    <w:rsid w:val="001126BF"/>
    <w:rsid w:val="001157D5"/>
    <w:rsid w:val="00116DB9"/>
    <w:rsid w:val="00116FB3"/>
    <w:rsid w:val="00121167"/>
    <w:rsid w:val="001214CE"/>
    <w:rsid w:val="00121C39"/>
    <w:rsid w:val="00123255"/>
    <w:rsid w:val="001242CF"/>
    <w:rsid w:val="001247F5"/>
    <w:rsid w:val="00124ABC"/>
    <w:rsid w:val="00124D2D"/>
    <w:rsid w:val="001252F3"/>
    <w:rsid w:val="00126F9E"/>
    <w:rsid w:val="001306B1"/>
    <w:rsid w:val="001307BE"/>
    <w:rsid w:val="00130C8F"/>
    <w:rsid w:val="001314F2"/>
    <w:rsid w:val="001317DA"/>
    <w:rsid w:val="00131B66"/>
    <w:rsid w:val="001320DB"/>
    <w:rsid w:val="0013254D"/>
    <w:rsid w:val="00132665"/>
    <w:rsid w:val="00132CF6"/>
    <w:rsid w:val="00133A3B"/>
    <w:rsid w:val="00133AAC"/>
    <w:rsid w:val="00136561"/>
    <w:rsid w:val="00136CE4"/>
    <w:rsid w:val="001400E1"/>
    <w:rsid w:val="001405FA"/>
    <w:rsid w:val="001410A1"/>
    <w:rsid w:val="001422E9"/>
    <w:rsid w:val="001425C3"/>
    <w:rsid w:val="00142A26"/>
    <w:rsid w:val="00142F16"/>
    <w:rsid w:val="00143B81"/>
    <w:rsid w:val="00143E03"/>
    <w:rsid w:val="00143E93"/>
    <w:rsid w:val="00150943"/>
    <w:rsid w:val="00151AC0"/>
    <w:rsid w:val="00152046"/>
    <w:rsid w:val="0015232F"/>
    <w:rsid w:val="00154059"/>
    <w:rsid w:val="00155326"/>
    <w:rsid w:val="00156318"/>
    <w:rsid w:val="0015639A"/>
    <w:rsid w:val="00157931"/>
    <w:rsid w:val="00157990"/>
    <w:rsid w:val="0016081D"/>
    <w:rsid w:val="00160E53"/>
    <w:rsid w:val="00161312"/>
    <w:rsid w:val="00161EDA"/>
    <w:rsid w:val="001620D2"/>
    <w:rsid w:val="001620FA"/>
    <w:rsid w:val="00162853"/>
    <w:rsid w:val="00162EB2"/>
    <w:rsid w:val="00163793"/>
    <w:rsid w:val="001641E8"/>
    <w:rsid w:val="0016545C"/>
    <w:rsid w:val="00165598"/>
    <w:rsid w:val="00165A85"/>
    <w:rsid w:val="00167AC1"/>
    <w:rsid w:val="001707DE"/>
    <w:rsid w:val="00170B04"/>
    <w:rsid w:val="00170F47"/>
    <w:rsid w:val="001714F2"/>
    <w:rsid w:val="00171672"/>
    <w:rsid w:val="00171D29"/>
    <w:rsid w:val="00173485"/>
    <w:rsid w:val="00173642"/>
    <w:rsid w:val="00174CE8"/>
    <w:rsid w:val="00174FFB"/>
    <w:rsid w:val="0017635A"/>
    <w:rsid w:val="001764D8"/>
    <w:rsid w:val="00176A8F"/>
    <w:rsid w:val="0017789F"/>
    <w:rsid w:val="001779F0"/>
    <w:rsid w:val="001804ED"/>
    <w:rsid w:val="00181338"/>
    <w:rsid w:val="00181893"/>
    <w:rsid w:val="00181C9A"/>
    <w:rsid w:val="0018225A"/>
    <w:rsid w:val="00182981"/>
    <w:rsid w:val="00183760"/>
    <w:rsid w:val="00184CF9"/>
    <w:rsid w:val="00185010"/>
    <w:rsid w:val="00186164"/>
    <w:rsid w:val="00186915"/>
    <w:rsid w:val="0018724F"/>
    <w:rsid w:val="001873E2"/>
    <w:rsid w:val="001874CF"/>
    <w:rsid w:val="00187735"/>
    <w:rsid w:val="00187C76"/>
    <w:rsid w:val="00190381"/>
    <w:rsid w:val="0019073D"/>
    <w:rsid w:val="00190D9B"/>
    <w:rsid w:val="001918D3"/>
    <w:rsid w:val="00192CA8"/>
    <w:rsid w:val="001942A8"/>
    <w:rsid w:val="00194331"/>
    <w:rsid w:val="0019433E"/>
    <w:rsid w:val="0019492D"/>
    <w:rsid w:val="0019505A"/>
    <w:rsid w:val="00195444"/>
    <w:rsid w:val="001962A3"/>
    <w:rsid w:val="001964BC"/>
    <w:rsid w:val="001971D0"/>
    <w:rsid w:val="0019731C"/>
    <w:rsid w:val="001A0075"/>
    <w:rsid w:val="001A250D"/>
    <w:rsid w:val="001A2A44"/>
    <w:rsid w:val="001A2BDB"/>
    <w:rsid w:val="001A2D19"/>
    <w:rsid w:val="001A3CE2"/>
    <w:rsid w:val="001A443A"/>
    <w:rsid w:val="001A511C"/>
    <w:rsid w:val="001A552F"/>
    <w:rsid w:val="001A5DA4"/>
    <w:rsid w:val="001A7C15"/>
    <w:rsid w:val="001A7CD1"/>
    <w:rsid w:val="001B0AF0"/>
    <w:rsid w:val="001B1742"/>
    <w:rsid w:val="001B1D89"/>
    <w:rsid w:val="001B2964"/>
    <w:rsid w:val="001B3110"/>
    <w:rsid w:val="001B44BC"/>
    <w:rsid w:val="001B4721"/>
    <w:rsid w:val="001B50A0"/>
    <w:rsid w:val="001B51F8"/>
    <w:rsid w:val="001B6545"/>
    <w:rsid w:val="001B666A"/>
    <w:rsid w:val="001B681B"/>
    <w:rsid w:val="001B74FB"/>
    <w:rsid w:val="001B77A1"/>
    <w:rsid w:val="001C0422"/>
    <w:rsid w:val="001C0E0E"/>
    <w:rsid w:val="001C1219"/>
    <w:rsid w:val="001C3178"/>
    <w:rsid w:val="001C357A"/>
    <w:rsid w:val="001C38BC"/>
    <w:rsid w:val="001C3A37"/>
    <w:rsid w:val="001C3BAE"/>
    <w:rsid w:val="001C4384"/>
    <w:rsid w:val="001C44D4"/>
    <w:rsid w:val="001C4934"/>
    <w:rsid w:val="001C573E"/>
    <w:rsid w:val="001C65FF"/>
    <w:rsid w:val="001C6B05"/>
    <w:rsid w:val="001C6E5E"/>
    <w:rsid w:val="001C70BF"/>
    <w:rsid w:val="001D234F"/>
    <w:rsid w:val="001D408D"/>
    <w:rsid w:val="001D47E5"/>
    <w:rsid w:val="001D5088"/>
    <w:rsid w:val="001D54E7"/>
    <w:rsid w:val="001D584C"/>
    <w:rsid w:val="001D66C1"/>
    <w:rsid w:val="001D77D5"/>
    <w:rsid w:val="001E03A3"/>
    <w:rsid w:val="001E0533"/>
    <w:rsid w:val="001E0BE1"/>
    <w:rsid w:val="001E0C65"/>
    <w:rsid w:val="001E23E3"/>
    <w:rsid w:val="001E33B9"/>
    <w:rsid w:val="001E387A"/>
    <w:rsid w:val="001E3DA4"/>
    <w:rsid w:val="001E48E5"/>
    <w:rsid w:val="001E4A25"/>
    <w:rsid w:val="001E55E7"/>
    <w:rsid w:val="001E561F"/>
    <w:rsid w:val="001E5C6D"/>
    <w:rsid w:val="001E684C"/>
    <w:rsid w:val="001E701C"/>
    <w:rsid w:val="001E7969"/>
    <w:rsid w:val="001E7C03"/>
    <w:rsid w:val="001F02AF"/>
    <w:rsid w:val="001F037F"/>
    <w:rsid w:val="001F0406"/>
    <w:rsid w:val="001F0EC9"/>
    <w:rsid w:val="001F1756"/>
    <w:rsid w:val="001F274B"/>
    <w:rsid w:val="001F28F4"/>
    <w:rsid w:val="001F3C55"/>
    <w:rsid w:val="001F3C79"/>
    <w:rsid w:val="001F3E68"/>
    <w:rsid w:val="001F3E96"/>
    <w:rsid w:val="001F4597"/>
    <w:rsid w:val="001F55D7"/>
    <w:rsid w:val="001F5FA8"/>
    <w:rsid w:val="001F6451"/>
    <w:rsid w:val="001F66C3"/>
    <w:rsid w:val="001F7A31"/>
    <w:rsid w:val="002007DF"/>
    <w:rsid w:val="00200D15"/>
    <w:rsid w:val="00201F7D"/>
    <w:rsid w:val="002029EF"/>
    <w:rsid w:val="00203074"/>
    <w:rsid w:val="00205103"/>
    <w:rsid w:val="0020663B"/>
    <w:rsid w:val="00207730"/>
    <w:rsid w:val="00210400"/>
    <w:rsid w:val="00210CC2"/>
    <w:rsid w:val="00210F5B"/>
    <w:rsid w:val="00211036"/>
    <w:rsid w:val="00211262"/>
    <w:rsid w:val="002113A7"/>
    <w:rsid w:val="00211636"/>
    <w:rsid w:val="00211AC9"/>
    <w:rsid w:val="00212A98"/>
    <w:rsid w:val="00212CF4"/>
    <w:rsid w:val="0021355B"/>
    <w:rsid w:val="0021492B"/>
    <w:rsid w:val="00214C37"/>
    <w:rsid w:val="00214ED2"/>
    <w:rsid w:val="002155A9"/>
    <w:rsid w:val="002156B9"/>
    <w:rsid w:val="002200D8"/>
    <w:rsid w:val="002204A1"/>
    <w:rsid w:val="002205F2"/>
    <w:rsid w:val="0022080E"/>
    <w:rsid w:val="0022139E"/>
    <w:rsid w:val="0022160A"/>
    <w:rsid w:val="0022272B"/>
    <w:rsid w:val="00222A99"/>
    <w:rsid w:val="00223667"/>
    <w:rsid w:val="00223678"/>
    <w:rsid w:val="00223E00"/>
    <w:rsid w:val="00223F33"/>
    <w:rsid w:val="00224911"/>
    <w:rsid w:val="00224FEF"/>
    <w:rsid w:val="002252E0"/>
    <w:rsid w:val="002255F6"/>
    <w:rsid w:val="00226466"/>
    <w:rsid w:val="00227993"/>
    <w:rsid w:val="0023229C"/>
    <w:rsid w:val="00232351"/>
    <w:rsid w:val="00233472"/>
    <w:rsid w:val="0023392C"/>
    <w:rsid w:val="00234111"/>
    <w:rsid w:val="00234280"/>
    <w:rsid w:val="002350E3"/>
    <w:rsid w:val="00235AFB"/>
    <w:rsid w:val="00236443"/>
    <w:rsid w:val="00237819"/>
    <w:rsid w:val="00240654"/>
    <w:rsid w:val="00240A5B"/>
    <w:rsid w:val="00240B9D"/>
    <w:rsid w:val="00241B34"/>
    <w:rsid w:val="00241C02"/>
    <w:rsid w:val="0024261F"/>
    <w:rsid w:val="00243295"/>
    <w:rsid w:val="002436BA"/>
    <w:rsid w:val="00243BAE"/>
    <w:rsid w:val="00243E3B"/>
    <w:rsid w:val="002441B6"/>
    <w:rsid w:val="00244458"/>
    <w:rsid w:val="002444ED"/>
    <w:rsid w:val="00244A15"/>
    <w:rsid w:val="00244D40"/>
    <w:rsid w:val="002457A5"/>
    <w:rsid w:val="0024620F"/>
    <w:rsid w:val="002463D8"/>
    <w:rsid w:val="00246AE9"/>
    <w:rsid w:val="0024799E"/>
    <w:rsid w:val="00251716"/>
    <w:rsid w:val="00251879"/>
    <w:rsid w:val="00251D59"/>
    <w:rsid w:val="00252588"/>
    <w:rsid w:val="00252FDC"/>
    <w:rsid w:val="00253719"/>
    <w:rsid w:val="00254196"/>
    <w:rsid w:val="002544F5"/>
    <w:rsid w:val="002547A6"/>
    <w:rsid w:val="002550D9"/>
    <w:rsid w:val="0025540B"/>
    <w:rsid w:val="002555ED"/>
    <w:rsid w:val="002576B7"/>
    <w:rsid w:val="002601FC"/>
    <w:rsid w:val="00260FA6"/>
    <w:rsid w:val="00261E29"/>
    <w:rsid w:val="00261E5B"/>
    <w:rsid w:val="00261F81"/>
    <w:rsid w:val="0026335E"/>
    <w:rsid w:val="00263470"/>
    <w:rsid w:val="00263733"/>
    <w:rsid w:val="0026412D"/>
    <w:rsid w:val="002641A7"/>
    <w:rsid w:val="0026491E"/>
    <w:rsid w:val="00264F61"/>
    <w:rsid w:val="002650C1"/>
    <w:rsid w:val="00265536"/>
    <w:rsid w:val="00266591"/>
    <w:rsid w:val="00266F3E"/>
    <w:rsid w:val="002674F6"/>
    <w:rsid w:val="002705E8"/>
    <w:rsid w:val="0027227B"/>
    <w:rsid w:val="00272464"/>
    <w:rsid w:val="002727EA"/>
    <w:rsid w:val="00272F8B"/>
    <w:rsid w:val="00273DCD"/>
    <w:rsid w:val="002740B6"/>
    <w:rsid w:val="00274291"/>
    <w:rsid w:val="00276136"/>
    <w:rsid w:val="00276CFE"/>
    <w:rsid w:val="00276E12"/>
    <w:rsid w:val="00277071"/>
    <w:rsid w:val="0027786C"/>
    <w:rsid w:val="0028081E"/>
    <w:rsid w:val="00281416"/>
    <w:rsid w:val="00283D2E"/>
    <w:rsid w:val="00284270"/>
    <w:rsid w:val="002844CC"/>
    <w:rsid w:val="00284F79"/>
    <w:rsid w:val="002852C6"/>
    <w:rsid w:val="00285CD3"/>
    <w:rsid w:val="0028686A"/>
    <w:rsid w:val="00286E66"/>
    <w:rsid w:val="00290562"/>
    <w:rsid w:val="002907C3"/>
    <w:rsid w:val="00290910"/>
    <w:rsid w:val="002911C8"/>
    <w:rsid w:val="002919B5"/>
    <w:rsid w:val="00292C6D"/>
    <w:rsid w:val="00293441"/>
    <w:rsid w:val="00293FEA"/>
    <w:rsid w:val="002941D9"/>
    <w:rsid w:val="0029493E"/>
    <w:rsid w:val="00296C2E"/>
    <w:rsid w:val="002A1B05"/>
    <w:rsid w:val="002A216F"/>
    <w:rsid w:val="002A3BD5"/>
    <w:rsid w:val="002A4277"/>
    <w:rsid w:val="002A4360"/>
    <w:rsid w:val="002A43A2"/>
    <w:rsid w:val="002A4612"/>
    <w:rsid w:val="002A4FBE"/>
    <w:rsid w:val="002A5263"/>
    <w:rsid w:val="002A659A"/>
    <w:rsid w:val="002A6821"/>
    <w:rsid w:val="002A6841"/>
    <w:rsid w:val="002A74D2"/>
    <w:rsid w:val="002A7732"/>
    <w:rsid w:val="002B28A4"/>
    <w:rsid w:val="002B342C"/>
    <w:rsid w:val="002B36C8"/>
    <w:rsid w:val="002B3DAF"/>
    <w:rsid w:val="002B494C"/>
    <w:rsid w:val="002B58E0"/>
    <w:rsid w:val="002B7240"/>
    <w:rsid w:val="002B798E"/>
    <w:rsid w:val="002B79A0"/>
    <w:rsid w:val="002B7DDF"/>
    <w:rsid w:val="002B7EC1"/>
    <w:rsid w:val="002C055E"/>
    <w:rsid w:val="002C1F9D"/>
    <w:rsid w:val="002C43BD"/>
    <w:rsid w:val="002C5261"/>
    <w:rsid w:val="002C6091"/>
    <w:rsid w:val="002C69FA"/>
    <w:rsid w:val="002C6AE7"/>
    <w:rsid w:val="002D0562"/>
    <w:rsid w:val="002D1B5A"/>
    <w:rsid w:val="002D22B5"/>
    <w:rsid w:val="002D3EE3"/>
    <w:rsid w:val="002D5E94"/>
    <w:rsid w:val="002D61B1"/>
    <w:rsid w:val="002D632D"/>
    <w:rsid w:val="002D6473"/>
    <w:rsid w:val="002D7CA9"/>
    <w:rsid w:val="002E02A1"/>
    <w:rsid w:val="002E1C6A"/>
    <w:rsid w:val="002E1DE4"/>
    <w:rsid w:val="002E2CE4"/>
    <w:rsid w:val="002E518B"/>
    <w:rsid w:val="002E7C20"/>
    <w:rsid w:val="002F0609"/>
    <w:rsid w:val="002F1DB9"/>
    <w:rsid w:val="002F33F7"/>
    <w:rsid w:val="002F33FB"/>
    <w:rsid w:val="002F3C26"/>
    <w:rsid w:val="002F46A9"/>
    <w:rsid w:val="002F47F3"/>
    <w:rsid w:val="002F7C73"/>
    <w:rsid w:val="003009FC"/>
    <w:rsid w:val="00300B28"/>
    <w:rsid w:val="00300E9F"/>
    <w:rsid w:val="00301357"/>
    <w:rsid w:val="003016B0"/>
    <w:rsid w:val="00301D04"/>
    <w:rsid w:val="00302F1B"/>
    <w:rsid w:val="00303FCA"/>
    <w:rsid w:val="00304076"/>
    <w:rsid w:val="00304237"/>
    <w:rsid w:val="003046B3"/>
    <w:rsid w:val="00304771"/>
    <w:rsid w:val="003048B8"/>
    <w:rsid w:val="00305736"/>
    <w:rsid w:val="00306C5B"/>
    <w:rsid w:val="0030780B"/>
    <w:rsid w:val="003078E0"/>
    <w:rsid w:val="00307A3D"/>
    <w:rsid w:val="003103DA"/>
    <w:rsid w:val="003117E0"/>
    <w:rsid w:val="0031223A"/>
    <w:rsid w:val="00312C3D"/>
    <w:rsid w:val="00313320"/>
    <w:rsid w:val="00313694"/>
    <w:rsid w:val="00314331"/>
    <w:rsid w:val="00316344"/>
    <w:rsid w:val="003166E8"/>
    <w:rsid w:val="00316C55"/>
    <w:rsid w:val="00317C76"/>
    <w:rsid w:val="00320214"/>
    <w:rsid w:val="003209D6"/>
    <w:rsid w:val="0032109A"/>
    <w:rsid w:val="0032214F"/>
    <w:rsid w:val="00322164"/>
    <w:rsid w:val="003229E0"/>
    <w:rsid w:val="00322B77"/>
    <w:rsid w:val="00323C30"/>
    <w:rsid w:val="003247BB"/>
    <w:rsid w:val="00324F61"/>
    <w:rsid w:val="0032513D"/>
    <w:rsid w:val="00325ED2"/>
    <w:rsid w:val="00326251"/>
    <w:rsid w:val="0032697E"/>
    <w:rsid w:val="00327290"/>
    <w:rsid w:val="00327DEE"/>
    <w:rsid w:val="00331BAC"/>
    <w:rsid w:val="003329CF"/>
    <w:rsid w:val="003329F3"/>
    <w:rsid w:val="00332E05"/>
    <w:rsid w:val="0033352E"/>
    <w:rsid w:val="00333690"/>
    <w:rsid w:val="00333D20"/>
    <w:rsid w:val="003340EF"/>
    <w:rsid w:val="0033446A"/>
    <w:rsid w:val="00334A49"/>
    <w:rsid w:val="00334C45"/>
    <w:rsid w:val="0033585F"/>
    <w:rsid w:val="00335BB0"/>
    <w:rsid w:val="0033627B"/>
    <w:rsid w:val="00336EAA"/>
    <w:rsid w:val="003406BD"/>
    <w:rsid w:val="003409C9"/>
    <w:rsid w:val="00343D5B"/>
    <w:rsid w:val="00343F84"/>
    <w:rsid w:val="00344135"/>
    <w:rsid w:val="00347DF6"/>
    <w:rsid w:val="00350B0A"/>
    <w:rsid w:val="00350D01"/>
    <w:rsid w:val="00350DED"/>
    <w:rsid w:val="00351A67"/>
    <w:rsid w:val="00351B63"/>
    <w:rsid w:val="00352B72"/>
    <w:rsid w:val="00352D04"/>
    <w:rsid w:val="00352E57"/>
    <w:rsid w:val="00353160"/>
    <w:rsid w:val="00353A57"/>
    <w:rsid w:val="00353B70"/>
    <w:rsid w:val="00353E12"/>
    <w:rsid w:val="003541B0"/>
    <w:rsid w:val="00354366"/>
    <w:rsid w:val="0035453D"/>
    <w:rsid w:val="00355885"/>
    <w:rsid w:val="00356033"/>
    <w:rsid w:val="0035605E"/>
    <w:rsid w:val="00357449"/>
    <w:rsid w:val="00360712"/>
    <w:rsid w:val="00361918"/>
    <w:rsid w:val="0036238B"/>
    <w:rsid w:val="0036243E"/>
    <w:rsid w:val="0036282B"/>
    <w:rsid w:val="00364943"/>
    <w:rsid w:val="003653B8"/>
    <w:rsid w:val="00365680"/>
    <w:rsid w:val="003657F3"/>
    <w:rsid w:val="00365A32"/>
    <w:rsid w:val="00366F12"/>
    <w:rsid w:val="003701F7"/>
    <w:rsid w:val="00370362"/>
    <w:rsid w:val="00370C57"/>
    <w:rsid w:val="003723F7"/>
    <w:rsid w:val="0037397C"/>
    <w:rsid w:val="0037462E"/>
    <w:rsid w:val="00374B10"/>
    <w:rsid w:val="00374F1E"/>
    <w:rsid w:val="00375F77"/>
    <w:rsid w:val="00376DEC"/>
    <w:rsid w:val="003771E5"/>
    <w:rsid w:val="00377A5A"/>
    <w:rsid w:val="0038075E"/>
    <w:rsid w:val="00380E04"/>
    <w:rsid w:val="00382658"/>
    <w:rsid w:val="00382D10"/>
    <w:rsid w:val="00384D8F"/>
    <w:rsid w:val="00385839"/>
    <w:rsid w:val="00385D98"/>
    <w:rsid w:val="00385EC5"/>
    <w:rsid w:val="00386029"/>
    <w:rsid w:val="0038634F"/>
    <w:rsid w:val="00386BD0"/>
    <w:rsid w:val="0039066E"/>
    <w:rsid w:val="0039073D"/>
    <w:rsid w:val="00391689"/>
    <w:rsid w:val="0039184B"/>
    <w:rsid w:val="00391C95"/>
    <w:rsid w:val="0039268B"/>
    <w:rsid w:val="00393241"/>
    <w:rsid w:val="00394261"/>
    <w:rsid w:val="00394448"/>
    <w:rsid w:val="00394659"/>
    <w:rsid w:val="00394AB2"/>
    <w:rsid w:val="00395378"/>
    <w:rsid w:val="00395B68"/>
    <w:rsid w:val="00396593"/>
    <w:rsid w:val="00396DAC"/>
    <w:rsid w:val="00397B3E"/>
    <w:rsid w:val="003A0214"/>
    <w:rsid w:val="003A0D5B"/>
    <w:rsid w:val="003A180C"/>
    <w:rsid w:val="003A1D17"/>
    <w:rsid w:val="003A1D74"/>
    <w:rsid w:val="003A2708"/>
    <w:rsid w:val="003A2B4D"/>
    <w:rsid w:val="003A2D2B"/>
    <w:rsid w:val="003A30EF"/>
    <w:rsid w:val="003A3B1C"/>
    <w:rsid w:val="003A478C"/>
    <w:rsid w:val="003A49F1"/>
    <w:rsid w:val="003A4F82"/>
    <w:rsid w:val="003A52B4"/>
    <w:rsid w:val="003A5525"/>
    <w:rsid w:val="003A6209"/>
    <w:rsid w:val="003A6B38"/>
    <w:rsid w:val="003B0002"/>
    <w:rsid w:val="003B1109"/>
    <w:rsid w:val="003B125D"/>
    <w:rsid w:val="003B1454"/>
    <w:rsid w:val="003B2E63"/>
    <w:rsid w:val="003B3189"/>
    <w:rsid w:val="003B3932"/>
    <w:rsid w:val="003B39C4"/>
    <w:rsid w:val="003B3A9D"/>
    <w:rsid w:val="003B4102"/>
    <w:rsid w:val="003B4442"/>
    <w:rsid w:val="003B5031"/>
    <w:rsid w:val="003B50F0"/>
    <w:rsid w:val="003B5A32"/>
    <w:rsid w:val="003B5E1D"/>
    <w:rsid w:val="003B6105"/>
    <w:rsid w:val="003B6C43"/>
    <w:rsid w:val="003B7F51"/>
    <w:rsid w:val="003C03C7"/>
    <w:rsid w:val="003C04C4"/>
    <w:rsid w:val="003C0CB8"/>
    <w:rsid w:val="003C26F4"/>
    <w:rsid w:val="003C2D85"/>
    <w:rsid w:val="003C383F"/>
    <w:rsid w:val="003C4852"/>
    <w:rsid w:val="003C6715"/>
    <w:rsid w:val="003C6F0F"/>
    <w:rsid w:val="003C7D80"/>
    <w:rsid w:val="003D0125"/>
    <w:rsid w:val="003D10C7"/>
    <w:rsid w:val="003D34B4"/>
    <w:rsid w:val="003D3600"/>
    <w:rsid w:val="003D3825"/>
    <w:rsid w:val="003D4760"/>
    <w:rsid w:val="003D717B"/>
    <w:rsid w:val="003D78A5"/>
    <w:rsid w:val="003E0663"/>
    <w:rsid w:val="003E133F"/>
    <w:rsid w:val="003E193E"/>
    <w:rsid w:val="003E31B2"/>
    <w:rsid w:val="003E41E3"/>
    <w:rsid w:val="003E59FD"/>
    <w:rsid w:val="003E68BC"/>
    <w:rsid w:val="003E696D"/>
    <w:rsid w:val="003E699C"/>
    <w:rsid w:val="003E69F3"/>
    <w:rsid w:val="003E7136"/>
    <w:rsid w:val="003E7419"/>
    <w:rsid w:val="003E782E"/>
    <w:rsid w:val="003E7A0B"/>
    <w:rsid w:val="003E7B05"/>
    <w:rsid w:val="003F0686"/>
    <w:rsid w:val="003F0E4E"/>
    <w:rsid w:val="003F2B0A"/>
    <w:rsid w:val="003F313C"/>
    <w:rsid w:val="003F37FC"/>
    <w:rsid w:val="003F3FC2"/>
    <w:rsid w:val="003F49A6"/>
    <w:rsid w:val="003F4E1F"/>
    <w:rsid w:val="003F5098"/>
    <w:rsid w:val="003F5568"/>
    <w:rsid w:val="003F5A95"/>
    <w:rsid w:val="003F6D19"/>
    <w:rsid w:val="003F76D5"/>
    <w:rsid w:val="004000D5"/>
    <w:rsid w:val="00400571"/>
    <w:rsid w:val="00401716"/>
    <w:rsid w:val="00401B7F"/>
    <w:rsid w:val="00401CA8"/>
    <w:rsid w:val="00402C25"/>
    <w:rsid w:val="00403598"/>
    <w:rsid w:val="004050D7"/>
    <w:rsid w:val="00405E1A"/>
    <w:rsid w:val="00407373"/>
    <w:rsid w:val="004078BD"/>
    <w:rsid w:val="00410132"/>
    <w:rsid w:val="004109BF"/>
    <w:rsid w:val="0041187E"/>
    <w:rsid w:val="004123BE"/>
    <w:rsid w:val="004131C3"/>
    <w:rsid w:val="004138DE"/>
    <w:rsid w:val="00414CE5"/>
    <w:rsid w:val="00416673"/>
    <w:rsid w:val="004168FC"/>
    <w:rsid w:val="004170FE"/>
    <w:rsid w:val="00417C5B"/>
    <w:rsid w:val="00420A35"/>
    <w:rsid w:val="0042160D"/>
    <w:rsid w:val="00422179"/>
    <w:rsid w:val="004223D7"/>
    <w:rsid w:val="00422776"/>
    <w:rsid w:val="00422CBD"/>
    <w:rsid w:val="00426775"/>
    <w:rsid w:val="0042681B"/>
    <w:rsid w:val="00426CEE"/>
    <w:rsid w:val="004274DD"/>
    <w:rsid w:val="0043068A"/>
    <w:rsid w:val="004306E0"/>
    <w:rsid w:val="00431862"/>
    <w:rsid w:val="004329BE"/>
    <w:rsid w:val="00432BEA"/>
    <w:rsid w:val="00432C5E"/>
    <w:rsid w:val="00434FA3"/>
    <w:rsid w:val="00435D30"/>
    <w:rsid w:val="004360E1"/>
    <w:rsid w:val="00436125"/>
    <w:rsid w:val="00436694"/>
    <w:rsid w:val="0043752B"/>
    <w:rsid w:val="00437C76"/>
    <w:rsid w:val="00440BBA"/>
    <w:rsid w:val="00442AAC"/>
    <w:rsid w:val="004441A0"/>
    <w:rsid w:val="004443BF"/>
    <w:rsid w:val="004444CA"/>
    <w:rsid w:val="004463F7"/>
    <w:rsid w:val="00446892"/>
    <w:rsid w:val="00446EE5"/>
    <w:rsid w:val="00450C30"/>
    <w:rsid w:val="00451A03"/>
    <w:rsid w:val="00454492"/>
    <w:rsid w:val="004546B2"/>
    <w:rsid w:val="00455E15"/>
    <w:rsid w:val="00455ECA"/>
    <w:rsid w:val="00460164"/>
    <w:rsid w:val="004601C1"/>
    <w:rsid w:val="0046039A"/>
    <w:rsid w:val="00461977"/>
    <w:rsid w:val="00461A44"/>
    <w:rsid w:val="004629FD"/>
    <w:rsid w:val="00463F4D"/>
    <w:rsid w:val="004643C6"/>
    <w:rsid w:val="00465019"/>
    <w:rsid w:val="0046613F"/>
    <w:rsid w:val="0046655D"/>
    <w:rsid w:val="00466B34"/>
    <w:rsid w:val="004672DC"/>
    <w:rsid w:val="00467606"/>
    <w:rsid w:val="0046765E"/>
    <w:rsid w:val="004676E2"/>
    <w:rsid w:val="00467F47"/>
    <w:rsid w:val="004701B6"/>
    <w:rsid w:val="00470CC7"/>
    <w:rsid w:val="00470CCA"/>
    <w:rsid w:val="00470F69"/>
    <w:rsid w:val="00471EDD"/>
    <w:rsid w:val="0047400C"/>
    <w:rsid w:val="004749D9"/>
    <w:rsid w:val="0047575B"/>
    <w:rsid w:val="00476D29"/>
    <w:rsid w:val="00477A06"/>
    <w:rsid w:val="00477EAF"/>
    <w:rsid w:val="00477EE0"/>
    <w:rsid w:val="004801DD"/>
    <w:rsid w:val="00480FAB"/>
    <w:rsid w:val="0048139F"/>
    <w:rsid w:val="004827FE"/>
    <w:rsid w:val="00483ABA"/>
    <w:rsid w:val="00484118"/>
    <w:rsid w:val="00486283"/>
    <w:rsid w:val="0048697B"/>
    <w:rsid w:val="004879E9"/>
    <w:rsid w:val="004902E2"/>
    <w:rsid w:val="00490988"/>
    <w:rsid w:val="00491218"/>
    <w:rsid w:val="00493362"/>
    <w:rsid w:val="00493907"/>
    <w:rsid w:val="00494583"/>
    <w:rsid w:val="00494D91"/>
    <w:rsid w:val="00494FA0"/>
    <w:rsid w:val="00495C38"/>
    <w:rsid w:val="00495D8B"/>
    <w:rsid w:val="00495EF3"/>
    <w:rsid w:val="00496C2F"/>
    <w:rsid w:val="0049740D"/>
    <w:rsid w:val="004A269A"/>
    <w:rsid w:val="004A29F2"/>
    <w:rsid w:val="004A30FB"/>
    <w:rsid w:val="004A332A"/>
    <w:rsid w:val="004A35DD"/>
    <w:rsid w:val="004A37D3"/>
    <w:rsid w:val="004A3E0F"/>
    <w:rsid w:val="004A48EE"/>
    <w:rsid w:val="004A5864"/>
    <w:rsid w:val="004A5865"/>
    <w:rsid w:val="004A5972"/>
    <w:rsid w:val="004A604A"/>
    <w:rsid w:val="004A6C74"/>
    <w:rsid w:val="004A77DF"/>
    <w:rsid w:val="004B0295"/>
    <w:rsid w:val="004B040D"/>
    <w:rsid w:val="004B097B"/>
    <w:rsid w:val="004B29CD"/>
    <w:rsid w:val="004B3555"/>
    <w:rsid w:val="004B3CB7"/>
    <w:rsid w:val="004B3D55"/>
    <w:rsid w:val="004B4B15"/>
    <w:rsid w:val="004B4B5B"/>
    <w:rsid w:val="004B55B7"/>
    <w:rsid w:val="004B5763"/>
    <w:rsid w:val="004B6337"/>
    <w:rsid w:val="004B7046"/>
    <w:rsid w:val="004B78E8"/>
    <w:rsid w:val="004C00A6"/>
    <w:rsid w:val="004C0BBB"/>
    <w:rsid w:val="004C3867"/>
    <w:rsid w:val="004C3A73"/>
    <w:rsid w:val="004C4CD0"/>
    <w:rsid w:val="004C4D26"/>
    <w:rsid w:val="004C5160"/>
    <w:rsid w:val="004C5568"/>
    <w:rsid w:val="004C557A"/>
    <w:rsid w:val="004C57B5"/>
    <w:rsid w:val="004C5C25"/>
    <w:rsid w:val="004C5EFF"/>
    <w:rsid w:val="004C6CFF"/>
    <w:rsid w:val="004C6ED6"/>
    <w:rsid w:val="004C70DC"/>
    <w:rsid w:val="004C7268"/>
    <w:rsid w:val="004C7326"/>
    <w:rsid w:val="004C7337"/>
    <w:rsid w:val="004D0211"/>
    <w:rsid w:val="004D04C0"/>
    <w:rsid w:val="004D08F2"/>
    <w:rsid w:val="004D1AEF"/>
    <w:rsid w:val="004D1C9C"/>
    <w:rsid w:val="004D504B"/>
    <w:rsid w:val="004D536E"/>
    <w:rsid w:val="004D5A97"/>
    <w:rsid w:val="004D726E"/>
    <w:rsid w:val="004D7B6B"/>
    <w:rsid w:val="004E0040"/>
    <w:rsid w:val="004E1494"/>
    <w:rsid w:val="004E18BB"/>
    <w:rsid w:val="004E2868"/>
    <w:rsid w:val="004E317A"/>
    <w:rsid w:val="004E4116"/>
    <w:rsid w:val="004E4A75"/>
    <w:rsid w:val="004E4AC0"/>
    <w:rsid w:val="004E541A"/>
    <w:rsid w:val="004E5A5C"/>
    <w:rsid w:val="004E5B4E"/>
    <w:rsid w:val="004E5FE8"/>
    <w:rsid w:val="004E762E"/>
    <w:rsid w:val="004E76D6"/>
    <w:rsid w:val="004E7AF6"/>
    <w:rsid w:val="004F03A7"/>
    <w:rsid w:val="004F06F5"/>
    <w:rsid w:val="004F0E46"/>
    <w:rsid w:val="004F11DB"/>
    <w:rsid w:val="004F146A"/>
    <w:rsid w:val="004F191F"/>
    <w:rsid w:val="004F2A73"/>
    <w:rsid w:val="004F33A0"/>
    <w:rsid w:val="004F447D"/>
    <w:rsid w:val="004F4853"/>
    <w:rsid w:val="004F4C28"/>
    <w:rsid w:val="004F5CC5"/>
    <w:rsid w:val="004F7D36"/>
    <w:rsid w:val="005016AC"/>
    <w:rsid w:val="00501ABE"/>
    <w:rsid w:val="0050286E"/>
    <w:rsid w:val="00504FF6"/>
    <w:rsid w:val="005058A8"/>
    <w:rsid w:val="00505923"/>
    <w:rsid w:val="00510189"/>
    <w:rsid w:val="0051032E"/>
    <w:rsid w:val="005108C0"/>
    <w:rsid w:val="00511873"/>
    <w:rsid w:val="0051266C"/>
    <w:rsid w:val="00512F27"/>
    <w:rsid w:val="00513818"/>
    <w:rsid w:val="00513B7E"/>
    <w:rsid w:val="00514474"/>
    <w:rsid w:val="00514E78"/>
    <w:rsid w:val="005172F4"/>
    <w:rsid w:val="005202E0"/>
    <w:rsid w:val="005215EF"/>
    <w:rsid w:val="00522CB5"/>
    <w:rsid w:val="00522FDA"/>
    <w:rsid w:val="005231C6"/>
    <w:rsid w:val="00523C8D"/>
    <w:rsid w:val="00525137"/>
    <w:rsid w:val="005251DD"/>
    <w:rsid w:val="005277C5"/>
    <w:rsid w:val="0053017A"/>
    <w:rsid w:val="00530492"/>
    <w:rsid w:val="00530D8D"/>
    <w:rsid w:val="00530FEF"/>
    <w:rsid w:val="005311D6"/>
    <w:rsid w:val="00531F2C"/>
    <w:rsid w:val="00532AB1"/>
    <w:rsid w:val="00532C18"/>
    <w:rsid w:val="00533796"/>
    <w:rsid w:val="005339BC"/>
    <w:rsid w:val="00533C24"/>
    <w:rsid w:val="0053448E"/>
    <w:rsid w:val="00534675"/>
    <w:rsid w:val="00535359"/>
    <w:rsid w:val="005357A2"/>
    <w:rsid w:val="00535A51"/>
    <w:rsid w:val="00535BCB"/>
    <w:rsid w:val="00535EF0"/>
    <w:rsid w:val="00537171"/>
    <w:rsid w:val="0053734B"/>
    <w:rsid w:val="00537AFD"/>
    <w:rsid w:val="00537CB4"/>
    <w:rsid w:val="00540A0C"/>
    <w:rsid w:val="00540BBC"/>
    <w:rsid w:val="00542686"/>
    <w:rsid w:val="0054268D"/>
    <w:rsid w:val="005426C1"/>
    <w:rsid w:val="005431DC"/>
    <w:rsid w:val="00544EA1"/>
    <w:rsid w:val="00550B47"/>
    <w:rsid w:val="005513D5"/>
    <w:rsid w:val="005523B9"/>
    <w:rsid w:val="00552887"/>
    <w:rsid w:val="00553225"/>
    <w:rsid w:val="00553D09"/>
    <w:rsid w:val="005545E0"/>
    <w:rsid w:val="00554865"/>
    <w:rsid w:val="00554E57"/>
    <w:rsid w:val="00555182"/>
    <w:rsid w:val="00555944"/>
    <w:rsid w:val="00557D10"/>
    <w:rsid w:val="0056048E"/>
    <w:rsid w:val="0056105B"/>
    <w:rsid w:val="00561CBF"/>
    <w:rsid w:val="00562749"/>
    <w:rsid w:val="00562DE9"/>
    <w:rsid w:val="005638A5"/>
    <w:rsid w:val="00564286"/>
    <w:rsid w:val="00566381"/>
    <w:rsid w:val="0056667C"/>
    <w:rsid w:val="00566A03"/>
    <w:rsid w:val="00566C62"/>
    <w:rsid w:val="005718E3"/>
    <w:rsid w:val="00571AD1"/>
    <w:rsid w:val="00572DA2"/>
    <w:rsid w:val="00574240"/>
    <w:rsid w:val="0057459E"/>
    <w:rsid w:val="00574F14"/>
    <w:rsid w:val="00575BE3"/>
    <w:rsid w:val="00575CDC"/>
    <w:rsid w:val="0058053D"/>
    <w:rsid w:val="00580E2E"/>
    <w:rsid w:val="00582178"/>
    <w:rsid w:val="00582677"/>
    <w:rsid w:val="00583078"/>
    <w:rsid w:val="00583D5B"/>
    <w:rsid w:val="00583FFD"/>
    <w:rsid w:val="00587B35"/>
    <w:rsid w:val="00587CCD"/>
    <w:rsid w:val="00590528"/>
    <w:rsid w:val="005908AE"/>
    <w:rsid w:val="0059176E"/>
    <w:rsid w:val="00591A22"/>
    <w:rsid w:val="005925A8"/>
    <w:rsid w:val="00593152"/>
    <w:rsid w:val="00593CA3"/>
    <w:rsid w:val="00594161"/>
    <w:rsid w:val="005947A6"/>
    <w:rsid w:val="00594969"/>
    <w:rsid w:val="00594EAA"/>
    <w:rsid w:val="00595A95"/>
    <w:rsid w:val="00596C5E"/>
    <w:rsid w:val="00596F4F"/>
    <w:rsid w:val="005974BB"/>
    <w:rsid w:val="005977BA"/>
    <w:rsid w:val="00597827"/>
    <w:rsid w:val="0059787F"/>
    <w:rsid w:val="00597C5E"/>
    <w:rsid w:val="005A08BD"/>
    <w:rsid w:val="005A1C19"/>
    <w:rsid w:val="005A1CEC"/>
    <w:rsid w:val="005A21E0"/>
    <w:rsid w:val="005A23B5"/>
    <w:rsid w:val="005A33A1"/>
    <w:rsid w:val="005A5497"/>
    <w:rsid w:val="005A54EE"/>
    <w:rsid w:val="005A5884"/>
    <w:rsid w:val="005A6E4A"/>
    <w:rsid w:val="005A7500"/>
    <w:rsid w:val="005A785E"/>
    <w:rsid w:val="005B1BDB"/>
    <w:rsid w:val="005B310D"/>
    <w:rsid w:val="005B3247"/>
    <w:rsid w:val="005B3409"/>
    <w:rsid w:val="005B34D1"/>
    <w:rsid w:val="005B366C"/>
    <w:rsid w:val="005B3B37"/>
    <w:rsid w:val="005B4A14"/>
    <w:rsid w:val="005B55C6"/>
    <w:rsid w:val="005B6AFE"/>
    <w:rsid w:val="005B7B12"/>
    <w:rsid w:val="005C1495"/>
    <w:rsid w:val="005C1D5E"/>
    <w:rsid w:val="005C2412"/>
    <w:rsid w:val="005C3084"/>
    <w:rsid w:val="005C3588"/>
    <w:rsid w:val="005C3F9F"/>
    <w:rsid w:val="005C4A94"/>
    <w:rsid w:val="005C4B5D"/>
    <w:rsid w:val="005C53CB"/>
    <w:rsid w:val="005C59F6"/>
    <w:rsid w:val="005C760A"/>
    <w:rsid w:val="005C7F1E"/>
    <w:rsid w:val="005D1508"/>
    <w:rsid w:val="005D1AF2"/>
    <w:rsid w:val="005D3B5E"/>
    <w:rsid w:val="005D4067"/>
    <w:rsid w:val="005D5802"/>
    <w:rsid w:val="005D5A35"/>
    <w:rsid w:val="005D5B8F"/>
    <w:rsid w:val="005D5D32"/>
    <w:rsid w:val="005D5F92"/>
    <w:rsid w:val="005D6CFC"/>
    <w:rsid w:val="005D71E0"/>
    <w:rsid w:val="005D73E2"/>
    <w:rsid w:val="005E04A2"/>
    <w:rsid w:val="005E0D10"/>
    <w:rsid w:val="005E0F80"/>
    <w:rsid w:val="005E1641"/>
    <w:rsid w:val="005E1E4B"/>
    <w:rsid w:val="005E24EF"/>
    <w:rsid w:val="005E362D"/>
    <w:rsid w:val="005E492C"/>
    <w:rsid w:val="005E4BAA"/>
    <w:rsid w:val="005E5724"/>
    <w:rsid w:val="005E5B56"/>
    <w:rsid w:val="005E5E2D"/>
    <w:rsid w:val="005E6B78"/>
    <w:rsid w:val="005E74B2"/>
    <w:rsid w:val="005F03D8"/>
    <w:rsid w:val="005F0BB0"/>
    <w:rsid w:val="005F2F28"/>
    <w:rsid w:val="005F358F"/>
    <w:rsid w:val="005F4057"/>
    <w:rsid w:val="005F4088"/>
    <w:rsid w:val="005F6119"/>
    <w:rsid w:val="00600A3D"/>
    <w:rsid w:val="0060107A"/>
    <w:rsid w:val="0060154D"/>
    <w:rsid w:val="006016B1"/>
    <w:rsid w:val="00601AFF"/>
    <w:rsid w:val="00602D1D"/>
    <w:rsid w:val="006031A6"/>
    <w:rsid w:val="006038F7"/>
    <w:rsid w:val="00604307"/>
    <w:rsid w:val="0060487F"/>
    <w:rsid w:val="006059EB"/>
    <w:rsid w:val="0060616C"/>
    <w:rsid w:val="00606B93"/>
    <w:rsid w:val="006118AA"/>
    <w:rsid w:val="006125CA"/>
    <w:rsid w:val="00612CCA"/>
    <w:rsid w:val="00613EF5"/>
    <w:rsid w:val="006143E7"/>
    <w:rsid w:val="00614460"/>
    <w:rsid w:val="006153E3"/>
    <w:rsid w:val="006158DF"/>
    <w:rsid w:val="00616CD8"/>
    <w:rsid w:val="00617557"/>
    <w:rsid w:val="00617D2D"/>
    <w:rsid w:val="00617D83"/>
    <w:rsid w:val="00617F45"/>
    <w:rsid w:val="00620AC5"/>
    <w:rsid w:val="00621575"/>
    <w:rsid w:val="006215FC"/>
    <w:rsid w:val="006216A3"/>
    <w:rsid w:val="00622166"/>
    <w:rsid w:val="0062290D"/>
    <w:rsid w:val="00623800"/>
    <w:rsid w:val="00624093"/>
    <w:rsid w:val="00626328"/>
    <w:rsid w:val="00626CE6"/>
    <w:rsid w:val="00627CE0"/>
    <w:rsid w:val="00627F84"/>
    <w:rsid w:val="00630F66"/>
    <w:rsid w:val="006311EF"/>
    <w:rsid w:val="0063332A"/>
    <w:rsid w:val="006347F9"/>
    <w:rsid w:val="00634C90"/>
    <w:rsid w:val="006350ED"/>
    <w:rsid w:val="00635E79"/>
    <w:rsid w:val="00637306"/>
    <w:rsid w:val="0063756F"/>
    <w:rsid w:val="006404A7"/>
    <w:rsid w:val="006407F3"/>
    <w:rsid w:val="00640C2B"/>
    <w:rsid w:val="00642977"/>
    <w:rsid w:val="00643175"/>
    <w:rsid w:val="006444E7"/>
    <w:rsid w:val="00644C5B"/>
    <w:rsid w:val="00644E74"/>
    <w:rsid w:val="006451E4"/>
    <w:rsid w:val="006460B8"/>
    <w:rsid w:val="00651D5D"/>
    <w:rsid w:val="006520C7"/>
    <w:rsid w:val="00652C32"/>
    <w:rsid w:val="006530B8"/>
    <w:rsid w:val="006535D6"/>
    <w:rsid w:val="00655F7D"/>
    <w:rsid w:val="006573BB"/>
    <w:rsid w:val="006578B8"/>
    <w:rsid w:val="00657E87"/>
    <w:rsid w:val="00660206"/>
    <w:rsid w:val="00660265"/>
    <w:rsid w:val="00660457"/>
    <w:rsid w:val="00660E1E"/>
    <w:rsid w:val="006625BA"/>
    <w:rsid w:val="00663662"/>
    <w:rsid w:val="006637B1"/>
    <w:rsid w:val="00663BFD"/>
    <w:rsid w:val="00664C40"/>
    <w:rsid w:val="00665D67"/>
    <w:rsid w:val="00665D77"/>
    <w:rsid w:val="006660CD"/>
    <w:rsid w:val="00667556"/>
    <w:rsid w:val="006676D0"/>
    <w:rsid w:val="00667C83"/>
    <w:rsid w:val="00670300"/>
    <w:rsid w:val="00670CA8"/>
    <w:rsid w:val="006710C9"/>
    <w:rsid w:val="00671437"/>
    <w:rsid w:val="006741D9"/>
    <w:rsid w:val="00674FAC"/>
    <w:rsid w:val="00675120"/>
    <w:rsid w:val="00675D35"/>
    <w:rsid w:val="00675E37"/>
    <w:rsid w:val="006762AC"/>
    <w:rsid w:val="00676531"/>
    <w:rsid w:val="00676E82"/>
    <w:rsid w:val="00680292"/>
    <w:rsid w:val="0068260E"/>
    <w:rsid w:val="006836E2"/>
    <w:rsid w:val="0068373D"/>
    <w:rsid w:val="00683BFE"/>
    <w:rsid w:val="0068416C"/>
    <w:rsid w:val="00685E66"/>
    <w:rsid w:val="0068672C"/>
    <w:rsid w:val="00686B72"/>
    <w:rsid w:val="00686D87"/>
    <w:rsid w:val="00690A09"/>
    <w:rsid w:val="00692418"/>
    <w:rsid w:val="00692D61"/>
    <w:rsid w:val="00693FEA"/>
    <w:rsid w:val="006945AA"/>
    <w:rsid w:val="006945DF"/>
    <w:rsid w:val="00694B93"/>
    <w:rsid w:val="00695170"/>
    <w:rsid w:val="00695BEF"/>
    <w:rsid w:val="006960D6"/>
    <w:rsid w:val="00696AA5"/>
    <w:rsid w:val="006977F6"/>
    <w:rsid w:val="00697A13"/>
    <w:rsid w:val="006A0A8D"/>
    <w:rsid w:val="006A109C"/>
    <w:rsid w:val="006A1A80"/>
    <w:rsid w:val="006A3B4D"/>
    <w:rsid w:val="006A456E"/>
    <w:rsid w:val="006A672B"/>
    <w:rsid w:val="006B05C6"/>
    <w:rsid w:val="006B0978"/>
    <w:rsid w:val="006B2EE3"/>
    <w:rsid w:val="006B38E0"/>
    <w:rsid w:val="006B3F8A"/>
    <w:rsid w:val="006B5CA3"/>
    <w:rsid w:val="006B6A7E"/>
    <w:rsid w:val="006B6CEE"/>
    <w:rsid w:val="006B78D8"/>
    <w:rsid w:val="006C090F"/>
    <w:rsid w:val="006C113F"/>
    <w:rsid w:val="006C23CB"/>
    <w:rsid w:val="006C2A26"/>
    <w:rsid w:val="006C38DD"/>
    <w:rsid w:val="006C437B"/>
    <w:rsid w:val="006C4BB5"/>
    <w:rsid w:val="006C5561"/>
    <w:rsid w:val="006C5577"/>
    <w:rsid w:val="006C559A"/>
    <w:rsid w:val="006C58FA"/>
    <w:rsid w:val="006D042D"/>
    <w:rsid w:val="006D06EF"/>
    <w:rsid w:val="006D07DB"/>
    <w:rsid w:val="006D090F"/>
    <w:rsid w:val="006D15EB"/>
    <w:rsid w:val="006D1D8E"/>
    <w:rsid w:val="006D41A6"/>
    <w:rsid w:val="006D4FC9"/>
    <w:rsid w:val="006D61F6"/>
    <w:rsid w:val="006D6AF7"/>
    <w:rsid w:val="006D704E"/>
    <w:rsid w:val="006E157B"/>
    <w:rsid w:val="006E15C0"/>
    <w:rsid w:val="006E15CB"/>
    <w:rsid w:val="006E1F4C"/>
    <w:rsid w:val="006E279A"/>
    <w:rsid w:val="006E2964"/>
    <w:rsid w:val="006E2F3F"/>
    <w:rsid w:val="006E313B"/>
    <w:rsid w:val="006E32B9"/>
    <w:rsid w:val="006E442A"/>
    <w:rsid w:val="006E5875"/>
    <w:rsid w:val="006E5CFD"/>
    <w:rsid w:val="006E5F51"/>
    <w:rsid w:val="006E62CA"/>
    <w:rsid w:val="006E6701"/>
    <w:rsid w:val="006E73B9"/>
    <w:rsid w:val="006F1411"/>
    <w:rsid w:val="006F1640"/>
    <w:rsid w:val="006F2BEE"/>
    <w:rsid w:val="006F3708"/>
    <w:rsid w:val="006F38BB"/>
    <w:rsid w:val="006F38C7"/>
    <w:rsid w:val="006F3E6B"/>
    <w:rsid w:val="006F4A59"/>
    <w:rsid w:val="006F4A60"/>
    <w:rsid w:val="006F4D1E"/>
    <w:rsid w:val="006F756C"/>
    <w:rsid w:val="006F75D2"/>
    <w:rsid w:val="00700B14"/>
    <w:rsid w:val="00700C69"/>
    <w:rsid w:val="00700F9B"/>
    <w:rsid w:val="007014C7"/>
    <w:rsid w:val="00701F7D"/>
    <w:rsid w:val="00702304"/>
    <w:rsid w:val="00702926"/>
    <w:rsid w:val="00702D6F"/>
    <w:rsid w:val="007039D1"/>
    <w:rsid w:val="007054B9"/>
    <w:rsid w:val="007058F0"/>
    <w:rsid w:val="00705D98"/>
    <w:rsid w:val="00706E5E"/>
    <w:rsid w:val="00707891"/>
    <w:rsid w:val="00707D58"/>
    <w:rsid w:val="007115E4"/>
    <w:rsid w:val="00711EF1"/>
    <w:rsid w:val="0071229A"/>
    <w:rsid w:val="007146CC"/>
    <w:rsid w:val="00714815"/>
    <w:rsid w:val="007168D3"/>
    <w:rsid w:val="007177F5"/>
    <w:rsid w:val="00717F72"/>
    <w:rsid w:val="00720FA2"/>
    <w:rsid w:val="007211F5"/>
    <w:rsid w:val="00721268"/>
    <w:rsid w:val="0072169E"/>
    <w:rsid w:val="00723C09"/>
    <w:rsid w:val="00723F20"/>
    <w:rsid w:val="0072459F"/>
    <w:rsid w:val="00724666"/>
    <w:rsid w:val="0072472C"/>
    <w:rsid w:val="007253C1"/>
    <w:rsid w:val="00725409"/>
    <w:rsid w:val="00725534"/>
    <w:rsid w:val="00726043"/>
    <w:rsid w:val="0072704A"/>
    <w:rsid w:val="00730AE8"/>
    <w:rsid w:val="00732475"/>
    <w:rsid w:val="00733482"/>
    <w:rsid w:val="00733D4F"/>
    <w:rsid w:val="00734321"/>
    <w:rsid w:val="00734D71"/>
    <w:rsid w:val="007351BA"/>
    <w:rsid w:val="0073572E"/>
    <w:rsid w:val="007363A9"/>
    <w:rsid w:val="00736EB6"/>
    <w:rsid w:val="00740652"/>
    <w:rsid w:val="00740F02"/>
    <w:rsid w:val="00740FEC"/>
    <w:rsid w:val="00741493"/>
    <w:rsid w:val="007422AE"/>
    <w:rsid w:val="007426B3"/>
    <w:rsid w:val="007426FD"/>
    <w:rsid w:val="00742D7C"/>
    <w:rsid w:val="00743AE1"/>
    <w:rsid w:val="00744376"/>
    <w:rsid w:val="007449EA"/>
    <w:rsid w:val="007457CF"/>
    <w:rsid w:val="00746426"/>
    <w:rsid w:val="00746DD9"/>
    <w:rsid w:val="00747567"/>
    <w:rsid w:val="0075023D"/>
    <w:rsid w:val="00750310"/>
    <w:rsid w:val="0075057A"/>
    <w:rsid w:val="00751771"/>
    <w:rsid w:val="00751BFF"/>
    <w:rsid w:val="00751D88"/>
    <w:rsid w:val="00751EA2"/>
    <w:rsid w:val="00752180"/>
    <w:rsid w:val="007521A1"/>
    <w:rsid w:val="0075245C"/>
    <w:rsid w:val="0075315D"/>
    <w:rsid w:val="00754253"/>
    <w:rsid w:val="00754A13"/>
    <w:rsid w:val="007558D3"/>
    <w:rsid w:val="00755D3A"/>
    <w:rsid w:val="00755E71"/>
    <w:rsid w:val="007563E7"/>
    <w:rsid w:val="00756B64"/>
    <w:rsid w:val="00760141"/>
    <w:rsid w:val="007609C6"/>
    <w:rsid w:val="007610A0"/>
    <w:rsid w:val="007620F2"/>
    <w:rsid w:val="00764561"/>
    <w:rsid w:val="00764664"/>
    <w:rsid w:val="007655B1"/>
    <w:rsid w:val="007657B9"/>
    <w:rsid w:val="00765CCE"/>
    <w:rsid w:val="00766FF7"/>
    <w:rsid w:val="007673B7"/>
    <w:rsid w:val="007674C6"/>
    <w:rsid w:val="00767EBF"/>
    <w:rsid w:val="00771236"/>
    <w:rsid w:val="00772F26"/>
    <w:rsid w:val="00774665"/>
    <w:rsid w:val="00774782"/>
    <w:rsid w:val="007751CB"/>
    <w:rsid w:val="00776527"/>
    <w:rsid w:val="007768E3"/>
    <w:rsid w:val="00777765"/>
    <w:rsid w:val="00780B8F"/>
    <w:rsid w:val="00781249"/>
    <w:rsid w:val="0078134E"/>
    <w:rsid w:val="00781834"/>
    <w:rsid w:val="00781FA0"/>
    <w:rsid w:val="007821DB"/>
    <w:rsid w:val="007824A8"/>
    <w:rsid w:val="007825C5"/>
    <w:rsid w:val="00782818"/>
    <w:rsid w:val="007835F2"/>
    <w:rsid w:val="0078406B"/>
    <w:rsid w:val="00784C4A"/>
    <w:rsid w:val="0078561F"/>
    <w:rsid w:val="00785CFB"/>
    <w:rsid w:val="00786DA5"/>
    <w:rsid w:val="00787432"/>
    <w:rsid w:val="007879F2"/>
    <w:rsid w:val="0079033C"/>
    <w:rsid w:val="007910AE"/>
    <w:rsid w:val="00791CF8"/>
    <w:rsid w:val="00793BAE"/>
    <w:rsid w:val="00794E0A"/>
    <w:rsid w:val="007958EA"/>
    <w:rsid w:val="00796187"/>
    <w:rsid w:val="00796642"/>
    <w:rsid w:val="00796BC7"/>
    <w:rsid w:val="007977D7"/>
    <w:rsid w:val="00797802"/>
    <w:rsid w:val="00797AD0"/>
    <w:rsid w:val="007A07C6"/>
    <w:rsid w:val="007A0F38"/>
    <w:rsid w:val="007A155D"/>
    <w:rsid w:val="007A28DB"/>
    <w:rsid w:val="007A2959"/>
    <w:rsid w:val="007A2C57"/>
    <w:rsid w:val="007A327B"/>
    <w:rsid w:val="007A4606"/>
    <w:rsid w:val="007A69E3"/>
    <w:rsid w:val="007A6E58"/>
    <w:rsid w:val="007A7353"/>
    <w:rsid w:val="007B3DCC"/>
    <w:rsid w:val="007B4518"/>
    <w:rsid w:val="007B5031"/>
    <w:rsid w:val="007B5182"/>
    <w:rsid w:val="007B573F"/>
    <w:rsid w:val="007B6FDA"/>
    <w:rsid w:val="007B7A79"/>
    <w:rsid w:val="007C2CBA"/>
    <w:rsid w:val="007C4691"/>
    <w:rsid w:val="007C471B"/>
    <w:rsid w:val="007C55AE"/>
    <w:rsid w:val="007C6743"/>
    <w:rsid w:val="007C6BAA"/>
    <w:rsid w:val="007C7BEA"/>
    <w:rsid w:val="007D2051"/>
    <w:rsid w:val="007D2AD8"/>
    <w:rsid w:val="007D2C47"/>
    <w:rsid w:val="007D2E0E"/>
    <w:rsid w:val="007D44C3"/>
    <w:rsid w:val="007D7588"/>
    <w:rsid w:val="007D7DD8"/>
    <w:rsid w:val="007E07B7"/>
    <w:rsid w:val="007E0F4B"/>
    <w:rsid w:val="007E1E50"/>
    <w:rsid w:val="007E386C"/>
    <w:rsid w:val="007E6455"/>
    <w:rsid w:val="007E67F8"/>
    <w:rsid w:val="007E770F"/>
    <w:rsid w:val="007E7E61"/>
    <w:rsid w:val="007F0845"/>
    <w:rsid w:val="007F141A"/>
    <w:rsid w:val="007F14BC"/>
    <w:rsid w:val="007F16F9"/>
    <w:rsid w:val="007F5F14"/>
    <w:rsid w:val="007F61B3"/>
    <w:rsid w:val="007F7B54"/>
    <w:rsid w:val="007F7B6A"/>
    <w:rsid w:val="00800200"/>
    <w:rsid w:val="008004B5"/>
    <w:rsid w:val="008005D7"/>
    <w:rsid w:val="00801FDD"/>
    <w:rsid w:val="0080255C"/>
    <w:rsid w:val="00803424"/>
    <w:rsid w:val="00804DDA"/>
    <w:rsid w:val="00805541"/>
    <w:rsid w:val="008056F7"/>
    <w:rsid w:val="008059A4"/>
    <w:rsid w:val="008064E9"/>
    <w:rsid w:val="0080673A"/>
    <w:rsid w:val="0080798B"/>
    <w:rsid w:val="00807A2C"/>
    <w:rsid w:val="008103D8"/>
    <w:rsid w:val="008109E4"/>
    <w:rsid w:val="00810A52"/>
    <w:rsid w:val="00811257"/>
    <w:rsid w:val="0081187C"/>
    <w:rsid w:val="00811E24"/>
    <w:rsid w:val="0081248B"/>
    <w:rsid w:val="008129BC"/>
    <w:rsid w:val="00812ACA"/>
    <w:rsid w:val="00812C6D"/>
    <w:rsid w:val="00812E2B"/>
    <w:rsid w:val="00813158"/>
    <w:rsid w:val="0081330F"/>
    <w:rsid w:val="00813A70"/>
    <w:rsid w:val="00813EB9"/>
    <w:rsid w:val="008155EA"/>
    <w:rsid w:val="00816259"/>
    <w:rsid w:val="0081645F"/>
    <w:rsid w:val="008178C2"/>
    <w:rsid w:val="008178CF"/>
    <w:rsid w:val="00817AE0"/>
    <w:rsid w:val="00817C98"/>
    <w:rsid w:val="00820C9F"/>
    <w:rsid w:val="00821FF6"/>
    <w:rsid w:val="00822495"/>
    <w:rsid w:val="0082409A"/>
    <w:rsid w:val="008241C2"/>
    <w:rsid w:val="008253B3"/>
    <w:rsid w:val="008254BD"/>
    <w:rsid w:val="008263CD"/>
    <w:rsid w:val="00826C6A"/>
    <w:rsid w:val="00826D34"/>
    <w:rsid w:val="00827181"/>
    <w:rsid w:val="00827746"/>
    <w:rsid w:val="0083143E"/>
    <w:rsid w:val="0083159D"/>
    <w:rsid w:val="008334C5"/>
    <w:rsid w:val="008336D8"/>
    <w:rsid w:val="008339C4"/>
    <w:rsid w:val="008341A6"/>
    <w:rsid w:val="00834996"/>
    <w:rsid w:val="00834F0A"/>
    <w:rsid w:val="00834FAA"/>
    <w:rsid w:val="00835172"/>
    <w:rsid w:val="008355C7"/>
    <w:rsid w:val="00835E23"/>
    <w:rsid w:val="00836086"/>
    <w:rsid w:val="008362FF"/>
    <w:rsid w:val="00837AE3"/>
    <w:rsid w:val="00841D9F"/>
    <w:rsid w:val="00842604"/>
    <w:rsid w:val="00843B81"/>
    <w:rsid w:val="00843D95"/>
    <w:rsid w:val="00843ECF"/>
    <w:rsid w:val="00846673"/>
    <w:rsid w:val="00846BD7"/>
    <w:rsid w:val="00847007"/>
    <w:rsid w:val="00850AC0"/>
    <w:rsid w:val="008518B7"/>
    <w:rsid w:val="008525DA"/>
    <w:rsid w:val="0085281A"/>
    <w:rsid w:val="0085317A"/>
    <w:rsid w:val="00853794"/>
    <w:rsid w:val="00853B1C"/>
    <w:rsid w:val="00853DA2"/>
    <w:rsid w:val="00853EAB"/>
    <w:rsid w:val="00853F4C"/>
    <w:rsid w:val="00853FFE"/>
    <w:rsid w:val="00854536"/>
    <w:rsid w:val="008545A1"/>
    <w:rsid w:val="00854865"/>
    <w:rsid w:val="008559FE"/>
    <w:rsid w:val="00855A99"/>
    <w:rsid w:val="00855C0D"/>
    <w:rsid w:val="0085695F"/>
    <w:rsid w:val="00857339"/>
    <w:rsid w:val="00860288"/>
    <w:rsid w:val="0086078C"/>
    <w:rsid w:val="008615C3"/>
    <w:rsid w:val="00862A7A"/>
    <w:rsid w:val="00863374"/>
    <w:rsid w:val="00863D9E"/>
    <w:rsid w:val="008645E0"/>
    <w:rsid w:val="008665C1"/>
    <w:rsid w:val="008666C3"/>
    <w:rsid w:val="0086759F"/>
    <w:rsid w:val="00867C4F"/>
    <w:rsid w:val="00867E29"/>
    <w:rsid w:val="00867FCE"/>
    <w:rsid w:val="008705E3"/>
    <w:rsid w:val="00870F2B"/>
    <w:rsid w:val="00871002"/>
    <w:rsid w:val="0087129A"/>
    <w:rsid w:val="008715FE"/>
    <w:rsid w:val="00873DE7"/>
    <w:rsid w:val="008746E6"/>
    <w:rsid w:val="008752D2"/>
    <w:rsid w:val="00876086"/>
    <w:rsid w:val="008768D6"/>
    <w:rsid w:val="00876C5B"/>
    <w:rsid w:val="00877329"/>
    <w:rsid w:val="008775D1"/>
    <w:rsid w:val="008777BB"/>
    <w:rsid w:val="00877A49"/>
    <w:rsid w:val="008806AE"/>
    <w:rsid w:val="00880D25"/>
    <w:rsid w:val="008828CE"/>
    <w:rsid w:val="008852B1"/>
    <w:rsid w:val="0088555A"/>
    <w:rsid w:val="008866C2"/>
    <w:rsid w:val="0088733A"/>
    <w:rsid w:val="00887AEB"/>
    <w:rsid w:val="00891BE0"/>
    <w:rsid w:val="008945A1"/>
    <w:rsid w:val="00894A63"/>
    <w:rsid w:val="008950AF"/>
    <w:rsid w:val="008954FA"/>
    <w:rsid w:val="0089588C"/>
    <w:rsid w:val="00895F20"/>
    <w:rsid w:val="0089668D"/>
    <w:rsid w:val="00896BDE"/>
    <w:rsid w:val="0089783D"/>
    <w:rsid w:val="00897C0E"/>
    <w:rsid w:val="008A03E6"/>
    <w:rsid w:val="008A0861"/>
    <w:rsid w:val="008A0BB2"/>
    <w:rsid w:val="008A133B"/>
    <w:rsid w:val="008A1A90"/>
    <w:rsid w:val="008A1AB3"/>
    <w:rsid w:val="008A1D5C"/>
    <w:rsid w:val="008A27A7"/>
    <w:rsid w:val="008A3292"/>
    <w:rsid w:val="008A3A85"/>
    <w:rsid w:val="008A43E9"/>
    <w:rsid w:val="008A48AC"/>
    <w:rsid w:val="008A4CB1"/>
    <w:rsid w:val="008A4EAC"/>
    <w:rsid w:val="008A57BD"/>
    <w:rsid w:val="008A5942"/>
    <w:rsid w:val="008A60BD"/>
    <w:rsid w:val="008A615E"/>
    <w:rsid w:val="008A632B"/>
    <w:rsid w:val="008A6BFE"/>
    <w:rsid w:val="008A6C36"/>
    <w:rsid w:val="008A6DFF"/>
    <w:rsid w:val="008A7CE6"/>
    <w:rsid w:val="008B0683"/>
    <w:rsid w:val="008B06EF"/>
    <w:rsid w:val="008B0C8B"/>
    <w:rsid w:val="008B190E"/>
    <w:rsid w:val="008B1A8A"/>
    <w:rsid w:val="008B2CB6"/>
    <w:rsid w:val="008B568A"/>
    <w:rsid w:val="008B7306"/>
    <w:rsid w:val="008B775F"/>
    <w:rsid w:val="008B7C02"/>
    <w:rsid w:val="008B7EF5"/>
    <w:rsid w:val="008B7F9E"/>
    <w:rsid w:val="008C0368"/>
    <w:rsid w:val="008C07A9"/>
    <w:rsid w:val="008C0E88"/>
    <w:rsid w:val="008C0FE8"/>
    <w:rsid w:val="008C1AA8"/>
    <w:rsid w:val="008C2717"/>
    <w:rsid w:val="008C2E5B"/>
    <w:rsid w:val="008C41F7"/>
    <w:rsid w:val="008C5FBF"/>
    <w:rsid w:val="008C6CB8"/>
    <w:rsid w:val="008C6DE8"/>
    <w:rsid w:val="008C7593"/>
    <w:rsid w:val="008C7815"/>
    <w:rsid w:val="008D0171"/>
    <w:rsid w:val="008D0FEC"/>
    <w:rsid w:val="008D0FF8"/>
    <w:rsid w:val="008D2811"/>
    <w:rsid w:val="008D2A16"/>
    <w:rsid w:val="008D2ECF"/>
    <w:rsid w:val="008D39A6"/>
    <w:rsid w:val="008D3F3D"/>
    <w:rsid w:val="008D53E3"/>
    <w:rsid w:val="008E1A5A"/>
    <w:rsid w:val="008E30AD"/>
    <w:rsid w:val="008E31FF"/>
    <w:rsid w:val="008E33DD"/>
    <w:rsid w:val="008E4413"/>
    <w:rsid w:val="008E517B"/>
    <w:rsid w:val="008E6113"/>
    <w:rsid w:val="008E6AB3"/>
    <w:rsid w:val="008E6AD3"/>
    <w:rsid w:val="008E71A6"/>
    <w:rsid w:val="008E77B6"/>
    <w:rsid w:val="008F032E"/>
    <w:rsid w:val="008F0F14"/>
    <w:rsid w:val="008F2B5D"/>
    <w:rsid w:val="008F371B"/>
    <w:rsid w:val="008F3A22"/>
    <w:rsid w:val="008F3CAE"/>
    <w:rsid w:val="008F41F7"/>
    <w:rsid w:val="008F471F"/>
    <w:rsid w:val="008F4FCE"/>
    <w:rsid w:val="008F79E1"/>
    <w:rsid w:val="008F7D28"/>
    <w:rsid w:val="009003A8"/>
    <w:rsid w:val="00900873"/>
    <w:rsid w:val="00901236"/>
    <w:rsid w:val="009015BD"/>
    <w:rsid w:val="00901D1E"/>
    <w:rsid w:val="00902C13"/>
    <w:rsid w:val="00902CBE"/>
    <w:rsid w:val="00902EFF"/>
    <w:rsid w:val="00903E06"/>
    <w:rsid w:val="00904D96"/>
    <w:rsid w:val="00905425"/>
    <w:rsid w:val="009065B1"/>
    <w:rsid w:val="00910824"/>
    <w:rsid w:val="00910F93"/>
    <w:rsid w:val="00911F2B"/>
    <w:rsid w:val="00912324"/>
    <w:rsid w:val="00914426"/>
    <w:rsid w:val="00914EE3"/>
    <w:rsid w:val="0091580C"/>
    <w:rsid w:val="00915DFE"/>
    <w:rsid w:val="00915F5B"/>
    <w:rsid w:val="0091675F"/>
    <w:rsid w:val="00917709"/>
    <w:rsid w:val="00917918"/>
    <w:rsid w:val="00917FD4"/>
    <w:rsid w:val="00920D03"/>
    <w:rsid w:val="00921F14"/>
    <w:rsid w:val="00922562"/>
    <w:rsid w:val="009233EB"/>
    <w:rsid w:val="00923BAB"/>
    <w:rsid w:val="00923F10"/>
    <w:rsid w:val="009243A5"/>
    <w:rsid w:val="009251EE"/>
    <w:rsid w:val="00925217"/>
    <w:rsid w:val="00925FDB"/>
    <w:rsid w:val="00926283"/>
    <w:rsid w:val="00926E77"/>
    <w:rsid w:val="00931183"/>
    <w:rsid w:val="0093181C"/>
    <w:rsid w:val="009329C5"/>
    <w:rsid w:val="00932A93"/>
    <w:rsid w:val="00932B15"/>
    <w:rsid w:val="009348E3"/>
    <w:rsid w:val="00934AE3"/>
    <w:rsid w:val="00935835"/>
    <w:rsid w:val="00935B60"/>
    <w:rsid w:val="009362AF"/>
    <w:rsid w:val="0093781F"/>
    <w:rsid w:val="00937B11"/>
    <w:rsid w:val="00940F1F"/>
    <w:rsid w:val="00941250"/>
    <w:rsid w:val="0094143D"/>
    <w:rsid w:val="009417A2"/>
    <w:rsid w:val="00942629"/>
    <w:rsid w:val="00942A89"/>
    <w:rsid w:val="0094427A"/>
    <w:rsid w:val="00945578"/>
    <w:rsid w:val="009459C5"/>
    <w:rsid w:val="00945AA0"/>
    <w:rsid w:val="00946D52"/>
    <w:rsid w:val="0094750F"/>
    <w:rsid w:val="0094760E"/>
    <w:rsid w:val="0095013A"/>
    <w:rsid w:val="00953AEF"/>
    <w:rsid w:val="009540D9"/>
    <w:rsid w:val="009551E2"/>
    <w:rsid w:val="00955783"/>
    <w:rsid w:val="00955EA3"/>
    <w:rsid w:val="00955F37"/>
    <w:rsid w:val="009560B0"/>
    <w:rsid w:val="00957164"/>
    <w:rsid w:val="00957871"/>
    <w:rsid w:val="00960239"/>
    <w:rsid w:val="00960BD9"/>
    <w:rsid w:val="009631E0"/>
    <w:rsid w:val="00964498"/>
    <w:rsid w:val="0096650F"/>
    <w:rsid w:val="00967184"/>
    <w:rsid w:val="00967820"/>
    <w:rsid w:val="009700DB"/>
    <w:rsid w:val="009704BD"/>
    <w:rsid w:val="0097074C"/>
    <w:rsid w:val="009712F3"/>
    <w:rsid w:val="00971C65"/>
    <w:rsid w:val="00972263"/>
    <w:rsid w:val="00972D8D"/>
    <w:rsid w:val="00972E12"/>
    <w:rsid w:val="00972EB7"/>
    <w:rsid w:val="00973AAE"/>
    <w:rsid w:val="00974923"/>
    <w:rsid w:val="00974D48"/>
    <w:rsid w:val="00975655"/>
    <w:rsid w:val="009759B5"/>
    <w:rsid w:val="009773AE"/>
    <w:rsid w:val="00980621"/>
    <w:rsid w:val="00981EC7"/>
    <w:rsid w:val="00982072"/>
    <w:rsid w:val="00982718"/>
    <w:rsid w:val="009828EC"/>
    <w:rsid w:val="0098358E"/>
    <w:rsid w:val="00983CBF"/>
    <w:rsid w:val="00983ECF"/>
    <w:rsid w:val="009846A8"/>
    <w:rsid w:val="00984A20"/>
    <w:rsid w:val="00986485"/>
    <w:rsid w:val="00986745"/>
    <w:rsid w:val="00986971"/>
    <w:rsid w:val="00987109"/>
    <w:rsid w:val="0099012D"/>
    <w:rsid w:val="00991899"/>
    <w:rsid w:val="009919CF"/>
    <w:rsid w:val="009949FE"/>
    <w:rsid w:val="00996355"/>
    <w:rsid w:val="00996B72"/>
    <w:rsid w:val="00996E07"/>
    <w:rsid w:val="00997EEB"/>
    <w:rsid w:val="009A14F0"/>
    <w:rsid w:val="009A2390"/>
    <w:rsid w:val="009A2AB3"/>
    <w:rsid w:val="009A3909"/>
    <w:rsid w:val="009A4E12"/>
    <w:rsid w:val="009A4E89"/>
    <w:rsid w:val="009B052C"/>
    <w:rsid w:val="009B06E8"/>
    <w:rsid w:val="009B0AAA"/>
    <w:rsid w:val="009B0EF2"/>
    <w:rsid w:val="009B1FDF"/>
    <w:rsid w:val="009B23A3"/>
    <w:rsid w:val="009B521D"/>
    <w:rsid w:val="009B529C"/>
    <w:rsid w:val="009B61D0"/>
    <w:rsid w:val="009B6CCD"/>
    <w:rsid w:val="009B6FD3"/>
    <w:rsid w:val="009B70BD"/>
    <w:rsid w:val="009C2524"/>
    <w:rsid w:val="009C3690"/>
    <w:rsid w:val="009C42CD"/>
    <w:rsid w:val="009C4DA1"/>
    <w:rsid w:val="009C59D8"/>
    <w:rsid w:val="009C7388"/>
    <w:rsid w:val="009C764D"/>
    <w:rsid w:val="009C7AE1"/>
    <w:rsid w:val="009D0355"/>
    <w:rsid w:val="009D0F98"/>
    <w:rsid w:val="009D1551"/>
    <w:rsid w:val="009D2859"/>
    <w:rsid w:val="009D37B4"/>
    <w:rsid w:val="009D3B5E"/>
    <w:rsid w:val="009D4173"/>
    <w:rsid w:val="009D4F8A"/>
    <w:rsid w:val="009D5354"/>
    <w:rsid w:val="009D6095"/>
    <w:rsid w:val="009D6306"/>
    <w:rsid w:val="009D7385"/>
    <w:rsid w:val="009E0015"/>
    <w:rsid w:val="009E048A"/>
    <w:rsid w:val="009E16D0"/>
    <w:rsid w:val="009E1FBA"/>
    <w:rsid w:val="009E2C54"/>
    <w:rsid w:val="009E3710"/>
    <w:rsid w:val="009E3EB9"/>
    <w:rsid w:val="009E577B"/>
    <w:rsid w:val="009E7A19"/>
    <w:rsid w:val="009E7B1F"/>
    <w:rsid w:val="009F0A61"/>
    <w:rsid w:val="009F0A68"/>
    <w:rsid w:val="009F10EF"/>
    <w:rsid w:val="009F1131"/>
    <w:rsid w:val="009F18F2"/>
    <w:rsid w:val="009F19BA"/>
    <w:rsid w:val="009F3FD0"/>
    <w:rsid w:val="009F408C"/>
    <w:rsid w:val="009F41C4"/>
    <w:rsid w:val="009F4792"/>
    <w:rsid w:val="009F4F77"/>
    <w:rsid w:val="009F5846"/>
    <w:rsid w:val="009F7D77"/>
    <w:rsid w:val="00A01900"/>
    <w:rsid w:val="00A0259C"/>
    <w:rsid w:val="00A030BD"/>
    <w:rsid w:val="00A0348B"/>
    <w:rsid w:val="00A10927"/>
    <w:rsid w:val="00A10D66"/>
    <w:rsid w:val="00A117C1"/>
    <w:rsid w:val="00A11838"/>
    <w:rsid w:val="00A11C9D"/>
    <w:rsid w:val="00A12361"/>
    <w:rsid w:val="00A127F7"/>
    <w:rsid w:val="00A13714"/>
    <w:rsid w:val="00A1420C"/>
    <w:rsid w:val="00A14EDC"/>
    <w:rsid w:val="00A1582B"/>
    <w:rsid w:val="00A15AB6"/>
    <w:rsid w:val="00A2055B"/>
    <w:rsid w:val="00A219F3"/>
    <w:rsid w:val="00A2253C"/>
    <w:rsid w:val="00A23545"/>
    <w:rsid w:val="00A236D8"/>
    <w:rsid w:val="00A23A55"/>
    <w:rsid w:val="00A23E43"/>
    <w:rsid w:val="00A24F8C"/>
    <w:rsid w:val="00A255F7"/>
    <w:rsid w:val="00A25E57"/>
    <w:rsid w:val="00A262BF"/>
    <w:rsid w:val="00A271AD"/>
    <w:rsid w:val="00A276D5"/>
    <w:rsid w:val="00A30336"/>
    <w:rsid w:val="00A30529"/>
    <w:rsid w:val="00A305BD"/>
    <w:rsid w:val="00A30BB5"/>
    <w:rsid w:val="00A30E88"/>
    <w:rsid w:val="00A3128F"/>
    <w:rsid w:val="00A326D0"/>
    <w:rsid w:val="00A34BBF"/>
    <w:rsid w:val="00A35287"/>
    <w:rsid w:val="00A35CB9"/>
    <w:rsid w:val="00A36CDA"/>
    <w:rsid w:val="00A37441"/>
    <w:rsid w:val="00A378F8"/>
    <w:rsid w:val="00A40530"/>
    <w:rsid w:val="00A40B19"/>
    <w:rsid w:val="00A418B6"/>
    <w:rsid w:val="00A41F2C"/>
    <w:rsid w:val="00A424F8"/>
    <w:rsid w:val="00A440F9"/>
    <w:rsid w:val="00A44B0D"/>
    <w:rsid w:val="00A45899"/>
    <w:rsid w:val="00A46826"/>
    <w:rsid w:val="00A46DE0"/>
    <w:rsid w:val="00A4778A"/>
    <w:rsid w:val="00A47B64"/>
    <w:rsid w:val="00A5067F"/>
    <w:rsid w:val="00A5104A"/>
    <w:rsid w:val="00A538DC"/>
    <w:rsid w:val="00A53936"/>
    <w:rsid w:val="00A55301"/>
    <w:rsid w:val="00A557BF"/>
    <w:rsid w:val="00A57B3C"/>
    <w:rsid w:val="00A602D9"/>
    <w:rsid w:val="00A6128E"/>
    <w:rsid w:val="00A61850"/>
    <w:rsid w:val="00A62CE1"/>
    <w:rsid w:val="00A631FA"/>
    <w:rsid w:val="00A63E47"/>
    <w:rsid w:val="00A64143"/>
    <w:rsid w:val="00A64203"/>
    <w:rsid w:val="00A64348"/>
    <w:rsid w:val="00A650F4"/>
    <w:rsid w:val="00A651DB"/>
    <w:rsid w:val="00A653AB"/>
    <w:rsid w:val="00A667A3"/>
    <w:rsid w:val="00A66976"/>
    <w:rsid w:val="00A675C3"/>
    <w:rsid w:val="00A70FBC"/>
    <w:rsid w:val="00A7103D"/>
    <w:rsid w:val="00A721FB"/>
    <w:rsid w:val="00A72671"/>
    <w:rsid w:val="00A727BA"/>
    <w:rsid w:val="00A72D4B"/>
    <w:rsid w:val="00A732AE"/>
    <w:rsid w:val="00A74C7F"/>
    <w:rsid w:val="00A75744"/>
    <w:rsid w:val="00A75E40"/>
    <w:rsid w:val="00A77EB2"/>
    <w:rsid w:val="00A823B7"/>
    <w:rsid w:val="00A82A03"/>
    <w:rsid w:val="00A82B66"/>
    <w:rsid w:val="00A83934"/>
    <w:rsid w:val="00A83B58"/>
    <w:rsid w:val="00A841AC"/>
    <w:rsid w:val="00A851B6"/>
    <w:rsid w:val="00A85332"/>
    <w:rsid w:val="00A85729"/>
    <w:rsid w:val="00A8574B"/>
    <w:rsid w:val="00A857C0"/>
    <w:rsid w:val="00A86068"/>
    <w:rsid w:val="00A872CE"/>
    <w:rsid w:val="00A87DA4"/>
    <w:rsid w:val="00A90368"/>
    <w:rsid w:val="00A906AC"/>
    <w:rsid w:val="00A90A66"/>
    <w:rsid w:val="00A91893"/>
    <w:rsid w:val="00A92D0B"/>
    <w:rsid w:val="00A95A3A"/>
    <w:rsid w:val="00A96463"/>
    <w:rsid w:val="00A97E3F"/>
    <w:rsid w:val="00A97F75"/>
    <w:rsid w:val="00AA0A14"/>
    <w:rsid w:val="00AA23FB"/>
    <w:rsid w:val="00AA2632"/>
    <w:rsid w:val="00AA2B03"/>
    <w:rsid w:val="00AA42AB"/>
    <w:rsid w:val="00AA534F"/>
    <w:rsid w:val="00AA559A"/>
    <w:rsid w:val="00AA7738"/>
    <w:rsid w:val="00AA7B05"/>
    <w:rsid w:val="00AB02AE"/>
    <w:rsid w:val="00AB11AB"/>
    <w:rsid w:val="00AB2AF1"/>
    <w:rsid w:val="00AB440B"/>
    <w:rsid w:val="00AB454F"/>
    <w:rsid w:val="00AB5082"/>
    <w:rsid w:val="00AB50D4"/>
    <w:rsid w:val="00AB7037"/>
    <w:rsid w:val="00AB74C5"/>
    <w:rsid w:val="00AB76C0"/>
    <w:rsid w:val="00AB7BF4"/>
    <w:rsid w:val="00AB7DF2"/>
    <w:rsid w:val="00AC144D"/>
    <w:rsid w:val="00AC1DB7"/>
    <w:rsid w:val="00AC1E3F"/>
    <w:rsid w:val="00AC2F7B"/>
    <w:rsid w:val="00AC352D"/>
    <w:rsid w:val="00AC44CA"/>
    <w:rsid w:val="00AC4F18"/>
    <w:rsid w:val="00AC5926"/>
    <w:rsid w:val="00AC6A22"/>
    <w:rsid w:val="00AC6F62"/>
    <w:rsid w:val="00AD072E"/>
    <w:rsid w:val="00AD0B46"/>
    <w:rsid w:val="00AD11EF"/>
    <w:rsid w:val="00AD186B"/>
    <w:rsid w:val="00AD22B4"/>
    <w:rsid w:val="00AD2565"/>
    <w:rsid w:val="00AD27F2"/>
    <w:rsid w:val="00AD306C"/>
    <w:rsid w:val="00AD3424"/>
    <w:rsid w:val="00AD460D"/>
    <w:rsid w:val="00AD4F85"/>
    <w:rsid w:val="00AD59BB"/>
    <w:rsid w:val="00AD5D3A"/>
    <w:rsid w:val="00AD5D68"/>
    <w:rsid w:val="00AD6C73"/>
    <w:rsid w:val="00AD6D14"/>
    <w:rsid w:val="00AD7314"/>
    <w:rsid w:val="00AD799D"/>
    <w:rsid w:val="00AE06D0"/>
    <w:rsid w:val="00AE1A78"/>
    <w:rsid w:val="00AE1E4A"/>
    <w:rsid w:val="00AE39DC"/>
    <w:rsid w:val="00AE3EC2"/>
    <w:rsid w:val="00AE642B"/>
    <w:rsid w:val="00AE6D73"/>
    <w:rsid w:val="00AE721E"/>
    <w:rsid w:val="00AE7968"/>
    <w:rsid w:val="00AF128B"/>
    <w:rsid w:val="00AF14DC"/>
    <w:rsid w:val="00AF2632"/>
    <w:rsid w:val="00AF2852"/>
    <w:rsid w:val="00AF2E94"/>
    <w:rsid w:val="00AF3225"/>
    <w:rsid w:val="00AF5175"/>
    <w:rsid w:val="00AF518B"/>
    <w:rsid w:val="00AF5275"/>
    <w:rsid w:val="00AF55D3"/>
    <w:rsid w:val="00AF5878"/>
    <w:rsid w:val="00AF5F15"/>
    <w:rsid w:val="00AF5FC0"/>
    <w:rsid w:val="00AF6367"/>
    <w:rsid w:val="00AF648D"/>
    <w:rsid w:val="00AF659A"/>
    <w:rsid w:val="00AF6A79"/>
    <w:rsid w:val="00AF6F70"/>
    <w:rsid w:val="00AF724E"/>
    <w:rsid w:val="00AF73A9"/>
    <w:rsid w:val="00AF74FD"/>
    <w:rsid w:val="00AF7C2D"/>
    <w:rsid w:val="00AF7CD0"/>
    <w:rsid w:val="00B01C2C"/>
    <w:rsid w:val="00B01E8E"/>
    <w:rsid w:val="00B0231C"/>
    <w:rsid w:val="00B0247B"/>
    <w:rsid w:val="00B04828"/>
    <w:rsid w:val="00B05DF2"/>
    <w:rsid w:val="00B06DC2"/>
    <w:rsid w:val="00B06EE6"/>
    <w:rsid w:val="00B07952"/>
    <w:rsid w:val="00B07F24"/>
    <w:rsid w:val="00B106D8"/>
    <w:rsid w:val="00B12609"/>
    <w:rsid w:val="00B12998"/>
    <w:rsid w:val="00B13134"/>
    <w:rsid w:val="00B133F1"/>
    <w:rsid w:val="00B13619"/>
    <w:rsid w:val="00B149D8"/>
    <w:rsid w:val="00B155A3"/>
    <w:rsid w:val="00B15DCD"/>
    <w:rsid w:val="00B16102"/>
    <w:rsid w:val="00B16FDA"/>
    <w:rsid w:val="00B174DD"/>
    <w:rsid w:val="00B17567"/>
    <w:rsid w:val="00B17E71"/>
    <w:rsid w:val="00B17FCE"/>
    <w:rsid w:val="00B17FDE"/>
    <w:rsid w:val="00B208FC"/>
    <w:rsid w:val="00B20C65"/>
    <w:rsid w:val="00B23632"/>
    <w:rsid w:val="00B23CF0"/>
    <w:rsid w:val="00B2424E"/>
    <w:rsid w:val="00B24545"/>
    <w:rsid w:val="00B24707"/>
    <w:rsid w:val="00B24B73"/>
    <w:rsid w:val="00B24E42"/>
    <w:rsid w:val="00B24EA2"/>
    <w:rsid w:val="00B27293"/>
    <w:rsid w:val="00B274E0"/>
    <w:rsid w:val="00B27737"/>
    <w:rsid w:val="00B309F6"/>
    <w:rsid w:val="00B3117D"/>
    <w:rsid w:val="00B31336"/>
    <w:rsid w:val="00B3229E"/>
    <w:rsid w:val="00B326B3"/>
    <w:rsid w:val="00B32DDB"/>
    <w:rsid w:val="00B35BEA"/>
    <w:rsid w:val="00B35F07"/>
    <w:rsid w:val="00B3641E"/>
    <w:rsid w:val="00B37A71"/>
    <w:rsid w:val="00B40B04"/>
    <w:rsid w:val="00B41BE6"/>
    <w:rsid w:val="00B41D75"/>
    <w:rsid w:val="00B435EF"/>
    <w:rsid w:val="00B43871"/>
    <w:rsid w:val="00B450A5"/>
    <w:rsid w:val="00B457E7"/>
    <w:rsid w:val="00B47430"/>
    <w:rsid w:val="00B47436"/>
    <w:rsid w:val="00B4769E"/>
    <w:rsid w:val="00B47FCC"/>
    <w:rsid w:val="00B50F22"/>
    <w:rsid w:val="00B51604"/>
    <w:rsid w:val="00B52D2D"/>
    <w:rsid w:val="00B53BC1"/>
    <w:rsid w:val="00B56082"/>
    <w:rsid w:val="00B561A6"/>
    <w:rsid w:val="00B60AAB"/>
    <w:rsid w:val="00B60C8D"/>
    <w:rsid w:val="00B60DCD"/>
    <w:rsid w:val="00B61046"/>
    <w:rsid w:val="00B61F2D"/>
    <w:rsid w:val="00B62960"/>
    <w:rsid w:val="00B63A11"/>
    <w:rsid w:val="00B63FD0"/>
    <w:rsid w:val="00B64D5A"/>
    <w:rsid w:val="00B65845"/>
    <w:rsid w:val="00B658EA"/>
    <w:rsid w:val="00B65C84"/>
    <w:rsid w:val="00B6608F"/>
    <w:rsid w:val="00B662E3"/>
    <w:rsid w:val="00B66C89"/>
    <w:rsid w:val="00B71161"/>
    <w:rsid w:val="00B71C2D"/>
    <w:rsid w:val="00B71E5E"/>
    <w:rsid w:val="00B72B1E"/>
    <w:rsid w:val="00B737C7"/>
    <w:rsid w:val="00B74317"/>
    <w:rsid w:val="00B752FD"/>
    <w:rsid w:val="00B75A87"/>
    <w:rsid w:val="00B7638C"/>
    <w:rsid w:val="00B765F3"/>
    <w:rsid w:val="00B76D1E"/>
    <w:rsid w:val="00B812F0"/>
    <w:rsid w:val="00B822D2"/>
    <w:rsid w:val="00B832DF"/>
    <w:rsid w:val="00B83324"/>
    <w:rsid w:val="00B83D55"/>
    <w:rsid w:val="00B83DDF"/>
    <w:rsid w:val="00B83E78"/>
    <w:rsid w:val="00B848B8"/>
    <w:rsid w:val="00B84A41"/>
    <w:rsid w:val="00B84D57"/>
    <w:rsid w:val="00B84D64"/>
    <w:rsid w:val="00B856A2"/>
    <w:rsid w:val="00B86748"/>
    <w:rsid w:val="00B87EDC"/>
    <w:rsid w:val="00B90784"/>
    <w:rsid w:val="00B90BAA"/>
    <w:rsid w:val="00B91EC9"/>
    <w:rsid w:val="00B924CA"/>
    <w:rsid w:val="00B93384"/>
    <w:rsid w:val="00B9381E"/>
    <w:rsid w:val="00B93A86"/>
    <w:rsid w:val="00B94417"/>
    <w:rsid w:val="00B95940"/>
    <w:rsid w:val="00B95EF8"/>
    <w:rsid w:val="00B95F50"/>
    <w:rsid w:val="00B96BD9"/>
    <w:rsid w:val="00B978CD"/>
    <w:rsid w:val="00BA00BE"/>
    <w:rsid w:val="00BA06CA"/>
    <w:rsid w:val="00BA2538"/>
    <w:rsid w:val="00BA452B"/>
    <w:rsid w:val="00BA4B2A"/>
    <w:rsid w:val="00BB04AD"/>
    <w:rsid w:val="00BB19EC"/>
    <w:rsid w:val="00BB1C96"/>
    <w:rsid w:val="00BB2116"/>
    <w:rsid w:val="00BB2C53"/>
    <w:rsid w:val="00BB32DA"/>
    <w:rsid w:val="00BB3972"/>
    <w:rsid w:val="00BB3A54"/>
    <w:rsid w:val="00BB40FD"/>
    <w:rsid w:val="00BB43F4"/>
    <w:rsid w:val="00BB4E21"/>
    <w:rsid w:val="00BB502A"/>
    <w:rsid w:val="00BB5CEB"/>
    <w:rsid w:val="00BB5E42"/>
    <w:rsid w:val="00BB7761"/>
    <w:rsid w:val="00BC1728"/>
    <w:rsid w:val="00BC2D43"/>
    <w:rsid w:val="00BC4CE0"/>
    <w:rsid w:val="00BC5111"/>
    <w:rsid w:val="00BC54E1"/>
    <w:rsid w:val="00BC682B"/>
    <w:rsid w:val="00BC6A12"/>
    <w:rsid w:val="00BC6B04"/>
    <w:rsid w:val="00BC706F"/>
    <w:rsid w:val="00BD053B"/>
    <w:rsid w:val="00BD0B9B"/>
    <w:rsid w:val="00BD0D8B"/>
    <w:rsid w:val="00BD0ED0"/>
    <w:rsid w:val="00BD1F94"/>
    <w:rsid w:val="00BD23CB"/>
    <w:rsid w:val="00BD3428"/>
    <w:rsid w:val="00BD366B"/>
    <w:rsid w:val="00BD3915"/>
    <w:rsid w:val="00BD4110"/>
    <w:rsid w:val="00BD5017"/>
    <w:rsid w:val="00BD56BC"/>
    <w:rsid w:val="00BD5832"/>
    <w:rsid w:val="00BD59D1"/>
    <w:rsid w:val="00BD5D91"/>
    <w:rsid w:val="00BD64E1"/>
    <w:rsid w:val="00BD6615"/>
    <w:rsid w:val="00BD6D50"/>
    <w:rsid w:val="00BD7413"/>
    <w:rsid w:val="00BE0261"/>
    <w:rsid w:val="00BE09E4"/>
    <w:rsid w:val="00BE0DB0"/>
    <w:rsid w:val="00BE1C59"/>
    <w:rsid w:val="00BE3F09"/>
    <w:rsid w:val="00BE572B"/>
    <w:rsid w:val="00BE5986"/>
    <w:rsid w:val="00BE670A"/>
    <w:rsid w:val="00BE6898"/>
    <w:rsid w:val="00BE6906"/>
    <w:rsid w:val="00BE6AAB"/>
    <w:rsid w:val="00BE795E"/>
    <w:rsid w:val="00BF18F4"/>
    <w:rsid w:val="00BF1A69"/>
    <w:rsid w:val="00BF1B37"/>
    <w:rsid w:val="00BF1C8D"/>
    <w:rsid w:val="00BF1D58"/>
    <w:rsid w:val="00BF36F6"/>
    <w:rsid w:val="00BF3BC8"/>
    <w:rsid w:val="00BF3DF1"/>
    <w:rsid w:val="00BF4C31"/>
    <w:rsid w:val="00BF59A0"/>
    <w:rsid w:val="00BF6C56"/>
    <w:rsid w:val="00BF6DE7"/>
    <w:rsid w:val="00BF7844"/>
    <w:rsid w:val="00BF7A9A"/>
    <w:rsid w:val="00C00F20"/>
    <w:rsid w:val="00C0118D"/>
    <w:rsid w:val="00C0165A"/>
    <w:rsid w:val="00C020FE"/>
    <w:rsid w:val="00C03388"/>
    <w:rsid w:val="00C034E6"/>
    <w:rsid w:val="00C0353A"/>
    <w:rsid w:val="00C06047"/>
    <w:rsid w:val="00C074F9"/>
    <w:rsid w:val="00C0784A"/>
    <w:rsid w:val="00C104F3"/>
    <w:rsid w:val="00C10982"/>
    <w:rsid w:val="00C10FAE"/>
    <w:rsid w:val="00C12A69"/>
    <w:rsid w:val="00C12B35"/>
    <w:rsid w:val="00C150BE"/>
    <w:rsid w:val="00C15336"/>
    <w:rsid w:val="00C15A0C"/>
    <w:rsid w:val="00C15B71"/>
    <w:rsid w:val="00C15DCB"/>
    <w:rsid w:val="00C17DDE"/>
    <w:rsid w:val="00C20744"/>
    <w:rsid w:val="00C20B74"/>
    <w:rsid w:val="00C20C4D"/>
    <w:rsid w:val="00C21937"/>
    <w:rsid w:val="00C21D46"/>
    <w:rsid w:val="00C21F94"/>
    <w:rsid w:val="00C222A1"/>
    <w:rsid w:val="00C2250A"/>
    <w:rsid w:val="00C239E5"/>
    <w:rsid w:val="00C23D22"/>
    <w:rsid w:val="00C243B5"/>
    <w:rsid w:val="00C24E77"/>
    <w:rsid w:val="00C25608"/>
    <w:rsid w:val="00C26324"/>
    <w:rsid w:val="00C2696A"/>
    <w:rsid w:val="00C26F4C"/>
    <w:rsid w:val="00C2732D"/>
    <w:rsid w:val="00C273C6"/>
    <w:rsid w:val="00C27913"/>
    <w:rsid w:val="00C300C6"/>
    <w:rsid w:val="00C30530"/>
    <w:rsid w:val="00C3252C"/>
    <w:rsid w:val="00C32552"/>
    <w:rsid w:val="00C336F4"/>
    <w:rsid w:val="00C3432C"/>
    <w:rsid w:val="00C3462A"/>
    <w:rsid w:val="00C34D86"/>
    <w:rsid w:val="00C34FDE"/>
    <w:rsid w:val="00C35C16"/>
    <w:rsid w:val="00C363B2"/>
    <w:rsid w:val="00C373AC"/>
    <w:rsid w:val="00C4053A"/>
    <w:rsid w:val="00C408C3"/>
    <w:rsid w:val="00C41233"/>
    <w:rsid w:val="00C41463"/>
    <w:rsid w:val="00C417ED"/>
    <w:rsid w:val="00C41A72"/>
    <w:rsid w:val="00C42294"/>
    <w:rsid w:val="00C42E09"/>
    <w:rsid w:val="00C4365E"/>
    <w:rsid w:val="00C43DCA"/>
    <w:rsid w:val="00C4537B"/>
    <w:rsid w:val="00C4549D"/>
    <w:rsid w:val="00C45C2B"/>
    <w:rsid w:val="00C476C5"/>
    <w:rsid w:val="00C503B0"/>
    <w:rsid w:val="00C50863"/>
    <w:rsid w:val="00C511C2"/>
    <w:rsid w:val="00C51DA5"/>
    <w:rsid w:val="00C52D50"/>
    <w:rsid w:val="00C53D82"/>
    <w:rsid w:val="00C53F31"/>
    <w:rsid w:val="00C540C9"/>
    <w:rsid w:val="00C553F5"/>
    <w:rsid w:val="00C5552E"/>
    <w:rsid w:val="00C559DD"/>
    <w:rsid w:val="00C57FA7"/>
    <w:rsid w:val="00C60696"/>
    <w:rsid w:val="00C615F1"/>
    <w:rsid w:val="00C61627"/>
    <w:rsid w:val="00C626F2"/>
    <w:rsid w:val="00C62A6E"/>
    <w:rsid w:val="00C640C6"/>
    <w:rsid w:val="00C64E60"/>
    <w:rsid w:val="00C657A4"/>
    <w:rsid w:val="00C662C1"/>
    <w:rsid w:val="00C6736C"/>
    <w:rsid w:val="00C67B02"/>
    <w:rsid w:val="00C708C0"/>
    <w:rsid w:val="00C71247"/>
    <w:rsid w:val="00C72266"/>
    <w:rsid w:val="00C72CFC"/>
    <w:rsid w:val="00C7315B"/>
    <w:rsid w:val="00C732D0"/>
    <w:rsid w:val="00C74002"/>
    <w:rsid w:val="00C7548A"/>
    <w:rsid w:val="00C757AE"/>
    <w:rsid w:val="00C75C7E"/>
    <w:rsid w:val="00C7667A"/>
    <w:rsid w:val="00C76D8E"/>
    <w:rsid w:val="00C77833"/>
    <w:rsid w:val="00C80C9B"/>
    <w:rsid w:val="00C81DE5"/>
    <w:rsid w:val="00C82F0A"/>
    <w:rsid w:val="00C83333"/>
    <w:rsid w:val="00C8335E"/>
    <w:rsid w:val="00C839D7"/>
    <w:rsid w:val="00C84605"/>
    <w:rsid w:val="00C84CE3"/>
    <w:rsid w:val="00C84FE8"/>
    <w:rsid w:val="00C85705"/>
    <w:rsid w:val="00C860F2"/>
    <w:rsid w:val="00C86F05"/>
    <w:rsid w:val="00C87626"/>
    <w:rsid w:val="00C87D46"/>
    <w:rsid w:val="00C90CF4"/>
    <w:rsid w:val="00C91C19"/>
    <w:rsid w:val="00C91DC6"/>
    <w:rsid w:val="00C926BE"/>
    <w:rsid w:val="00C929A0"/>
    <w:rsid w:val="00C92F27"/>
    <w:rsid w:val="00C93389"/>
    <w:rsid w:val="00C93679"/>
    <w:rsid w:val="00C937DB"/>
    <w:rsid w:val="00C93823"/>
    <w:rsid w:val="00C93A94"/>
    <w:rsid w:val="00C94519"/>
    <w:rsid w:val="00C94E83"/>
    <w:rsid w:val="00C9531C"/>
    <w:rsid w:val="00C97768"/>
    <w:rsid w:val="00CA0CDD"/>
    <w:rsid w:val="00CA140F"/>
    <w:rsid w:val="00CA14AD"/>
    <w:rsid w:val="00CA37CA"/>
    <w:rsid w:val="00CA3CB2"/>
    <w:rsid w:val="00CA3D39"/>
    <w:rsid w:val="00CA4232"/>
    <w:rsid w:val="00CA48FB"/>
    <w:rsid w:val="00CA6BA1"/>
    <w:rsid w:val="00CA6CD5"/>
    <w:rsid w:val="00CA7734"/>
    <w:rsid w:val="00CB02DF"/>
    <w:rsid w:val="00CB0360"/>
    <w:rsid w:val="00CB0414"/>
    <w:rsid w:val="00CB0C6E"/>
    <w:rsid w:val="00CB154F"/>
    <w:rsid w:val="00CB2150"/>
    <w:rsid w:val="00CB28EE"/>
    <w:rsid w:val="00CB3ACB"/>
    <w:rsid w:val="00CB43A7"/>
    <w:rsid w:val="00CB43BC"/>
    <w:rsid w:val="00CB5996"/>
    <w:rsid w:val="00CB5B25"/>
    <w:rsid w:val="00CB7452"/>
    <w:rsid w:val="00CB7A5E"/>
    <w:rsid w:val="00CB7D09"/>
    <w:rsid w:val="00CC0922"/>
    <w:rsid w:val="00CC2642"/>
    <w:rsid w:val="00CC2E15"/>
    <w:rsid w:val="00CC2EB5"/>
    <w:rsid w:val="00CC30FE"/>
    <w:rsid w:val="00CC3908"/>
    <w:rsid w:val="00CC3C77"/>
    <w:rsid w:val="00CC42E7"/>
    <w:rsid w:val="00CC4DDF"/>
    <w:rsid w:val="00CC52A7"/>
    <w:rsid w:val="00CC5F24"/>
    <w:rsid w:val="00CC62AD"/>
    <w:rsid w:val="00CD00B4"/>
    <w:rsid w:val="00CD1484"/>
    <w:rsid w:val="00CD227A"/>
    <w:rsid w:val="00CD2B3C"/>
    <w:rsid w:val="00CD2F9E"/>
    <w:rsid w:val="00CD30F6"/>
    <w:rsid w:val="00CD4AD9"/>
    <w:rsid w:val="00CD4B29"/>
    <w:rsid w:val="00CD5242"/>
    <w:rsid w:val="00CD5912"/>
    <w:rsid w:val="00CD5BB2"/>
    <w:rsid w:val="00CD6EF1"/>
    <w:rsid w:val="00CD6F99"/>
    <w:rsid w:val="00CD6FC4"/>
    <w:rsid w:val="00CD70C9"/>
    <w:rsid w:val="00CE090E"/>
    <w:rsid w:val="00CE11A9"/>
    <w:rsid w:val="00CE21C7"/>
    <w:rsid w:val="00CE57D8"/>
    <w:rsid w:val="00CE617A"/>
    <w:rsid w:val="00CE77AA"/>
    <w:rsid w:val="00CE7AED"/>
    <w:rsid w:val="00CE7E17"/>
    <w:rsid w:val="00CF1152"/>
    <w:rsid w:val="00CF1A0A"/>
    <w:rsid w:val="00CF27AC"/>
    <w:rsid w:val="00CF289F"/>
    <w:rsid w:val="00CF28C2"/>
    <w:rsid w:val="00CF316F"/>
    <w:rsid w:val="00CF3E37"/>
    <w:rsid w:val="00CF42BD"/>
    <w:rsid w:val="00CF50FC"/>
    <w:rsid w:val="00CF51EC"/>
    <w:rsid w:val="00CF6CD7"/>
    <w:rsid w:val="00CF6ECE"/>
    <w:rsid w:val="00D0037A"/>
    <w:rsid w:val="00D0077F"/>
    <w:rsid w:val="00D00DAF"/>
    <w:rsid w:val="00D00F76"/>
    <w:rsid w:val="00D017EC"/>
    <w:rsid w:val="00D01CDA"/>
    <w:rsid w:val="00D02200"/>
    <w:rsid w:val="00D02924"/>
    <w:rsid w:val="00D036AB"/>
    <w:rsid w:val="00D03EC0"/>
    <w:rsid w:val="00D040DD"/>
    <w:rsid w:val="00D04A11"/>
    <w:rsid w:val="00D04E1B"/>
    <w:rsid w:val="00D04E99"/>
    <w:rsid w:val="00D05207"/>
    <w:rsid w:val="00D0533F"/>
    <w:rsid w:val="00D05407"/>
    <w:rsid w:val="00D05AB7"/>
    <w:rsid w:val="00D06281"/>
    <w:rsid w:val="00D06438"/>
    <w:rsid w:val="00D06E68"/>
    <w:rsid w:val="00D06FB4"/>
    <w:rsid w:val="00D0743A"/>
    <w:rsid w:val="00D1067C"/>
    <w:rsid w:val="00D124CF"/>
    <w:rsid w:val="00D128C8"/>
    <w:rsid w:val="00D136D4"/>
    <w:rsid w:val="00D1391B"/>
    <w:rsid w:val="00D13ECF"/>
    <w:rsid w:val="00D14148"/>
    <w:rsid w:val="00D142E5"/>
    <w:rsid w:val="00D1611E"/>
    <w:rsid w:val="00D1638D"/>
    <w:rsid w:val="00D16E69"/>
    <w:rsid w:val="00D17F4F"/>
    <w:rsid w:val="00D2002A"/>
    <w:rsid w:val="00D205A9"/>
    <w:rsid w:val="00D20710"/>
    <w:rsid w:val="00D20DE6"/>
    <w:rsid w:val="00D217EE"/>
    <w:rsid w:val="00D22468"/>
    <w:rsid w:val="00D2282B"/>
    <w:rsid w:val="00D245F0"/>
    <w:rsid w:val="00D24DA0"/>
    <w:rsid w:val="00D25220"/>
    <w:rsid w:val="00D2620E"/>
    <w:rsid w:val="00D26579"/>
    <w:rsid w:val="00D26923"/>
    <w:rsid w:val="00D26B20"/>
    <w:rsid w:val="00D27856"/>
    <w:rsid w:val="00D279D3"/>
    <w:rsid w:val="00D30740"/>
    <w:rsid w:val="00D30788"/>
    <w:rsid w:val="00D309A7"/>
    <w:rsid w:val="00D309E7"/>
    <w:rsid w:val="00D31075"/>
    <w:rsid w:val="00D31311"/>
    <w:rsid w:val="00D31445"/>
    <w:rsid w:val="00D31866"/>
    <w:rsid w:val="00D31932"/>
    <w:rsid w:val="00D32D31"/>
    <w:rsid w:val="00D34225"/>
    <w:rsid w:val="00D35A48"/>
    <w:rsid w:val="00D366D9"/>
    <w:rsid w:val="00D373D9"/>
    <w:rsid w:val="00D377ED"/>
    <w:rsid w:val="00D378CC"/>
    <w:rsid w:val="00D4042C"/>
    <w:rsid w:val="00D4171A"/>
    <w:rsid w:val="00D42312"/>
    <w:rsid w:val="00D429AE"/>
    <w:rsid w:val="00D4327D"/>
    <w:rsid w:val="00D43998"/>
    <w:rsid w:val="00D43C1F"/>
    <w:rsid w:val="00D45046"/>
    <w:rsid w:val="00D45EEE"/>
    <w:rsid w:val="00D4615E"/>
    <w:rsid w:val="00D478E2"/>
    <w:rsid w:val="00D47948"/>
    <w:rsid w:val="00D52401"/>
    <w:rsid w:val="00D5264C"/>
    <w:rsid w:val="00D52EC9"/>
    <w:rsid w:val="00D53362"/>
    <w:rsid w:val="00D547BA"/>
    <w:rsid w:val="00D54BC4"/>
    <w:rsid w:val="00D5561E"/>
    <w:rsid w:val="00D55626"/>
    <w:rsid w:val="00D556BC"/>
    <w:rsid w:val="00D5626D"/>
    <w:rsid w:val="00D56C22"/>
    <w:rsid w:val="00D5718D"/>
    <w:rsid w:val="00D57C38"/>
    <w:rsid w:val="00D57D60"/>
    <w:rsid w:val="00D60277"/>
    <w:rsid w:val="00D6083C"/>
    <w:rsid w:val="00D60E2D"/>
    <w:rsid w:val="00D60F44"/>
    <w:rsid w:val="00D611D3"/>
    <w:rsid w:val="00D62536"/>
    <w:rsid w:val="00D62901"/>
    <w:rsid w:val="00D6470C"/>
    <w:rsid w:val="00D64853"/>
    <w:rsid w:val="00D64B04"/>
    <w:rsid w:val="00D64CB5"/>
    <w:rsid w:val="00D64E9A"/>
    <w:rsid w:val="00D6524A"/>
    <w:rsid w:val="00D65B29"/>
    <w:rsid w:val="00D65C09"/>
    <w:rsid w:val="00D66CBA"/>
    <w:rsid w:val="00D66D48"/>
    <w:rsid w:val="00D70E41"/>
    <w:rsid w:val="00D712E0"/>
    <w:rsid w:val="00D71930"/>
    <w:rsid w:val="00D72379"/>
    <w:rsid w:val="00D73256"/>
    <w:rsid w:val="00D73A30"/>
    <w:rsid w:val="00D74941"/>
    <w:rsid w:val="00D74A6A"/>
    <w:rsid w:val="00D74C65"/>
    <w:rsid w:val="00D74E76"/>
    <w:rsid w:val="00D75DC2"/>
    <w:rsid w:val="00D76F27"/>
    <w:rsid w:val="00D8062F"/>
    <w:rsid w:val="00D82462"/>
    <w:rsid w:val="00D824CE"/>
    <w:rsid w:val="00D8422D"/>
    <w:rsid w:val="00D857AA"/>
    <w:rsid w:val="00D85A88"/>
    <w:rsid w:val="00D85A8C"/>
    <w:rsid w:val="00D868CE"/>
    <w:rsid w:val="00D86B73"/>
    <w:rsid w:val="00D87D8D"/>
    <w:rsid w:val="00D90C1E"/>
    <w:rsid w:val="00D91D7F"/>
    <w:rsid w:val="00D922B8"/>
    <w:rsid w:val="00D93A51"/>
    <w:rsid w:val="00D93F09"/>
    <w:rsid w:val="00D96473"/>
    <w:rsid w:val="00D97BB8"/>
    <w:rsid w:val="00DA0C01"/>
    <w:rsid w:val="00DA24BD"/>
    <w:rsid w:val="00DA2CE4"/>
    <w:rsid w:val="00DA39DC"/>
    <w:rsid w:val="00DA3FF9"/>
    <w:rsid w:val="00DA43AC"/>
    <w:rsid w:val="00DA43C2"/>
    <w:rsid w:val="00DA4AF6"/>
    <w:rsid w:val="00DA560B"/>
    <w:rsid w:val="00DA5CAB"/>
    <w:rsid w:val="00DA7613"/>
    <w:rsid w:val="00DB016E"/>
    <w:rsid w:val="00DB01A2"/>
    <w:rsid w:val="00DB06E9"/>
    <w:rsid w:val="00DB1710"/>
    <w:rsid w:val="00DB31DE"/>
    <w:rsid w:val="00DB378E"/>
    <w:rsid w:val="00DB3CFB"/>
    <w:rsid w:val="00DB3DD4"/>
    <w:rsid w:val="00DB3E9D"/>
    <w:rsid w:val="00DB47B9"/>
    <w:rsid w:val="00DB4FB8"/>
    <w:rsid w:val="00DB4FEB"/>
    <w:rsid w:val="00DB5104"/>
    <w:rsid w:val="00DB53CE"/>
    <w:rsid w:val="00DB549D"/>
    <w:rsid w:val="00DB6361"/>
    <w:rsid w:val="00DB7969"/>
    <w:rsid w:val="00DC00D7"/>
    <w:rsid w:val="00DC0B1C"/>
    <w:rsid w:val="00DC0BB4"/>
    <w:rsid w:val="00DC257F"/>
    <w:rsid w:val="00DC344C"/>
    <w:rsid w:val="00DC3624"/>
    <w:rsid w:val="00DC408A"/>
    <w:rsid w:val="00DC472A"/>
    <w:rsid w:val="00DC4CBF"/>
    <w:rsid w:val="00DC53F9"/>
    <w:rsid w:val="00DC5B3B"/>
    <w:rsid w:val="00DC5B54"/>
    <w:rsid w:val="00DC65FC"/>
    <w:rsid w:val="00DC6796"/>
    <w:rsid w:val="00DC78DF"/>
    <w:rsid w:val="00DC7A73"/>
    <w:rsid w:val="00DD0821"/>
    <w:rsid w:val="00DD0E32"/>
    <w:rsid w:val="00DD1278"/>
    <w:rsid w:val="00DD1A36"/>
    <w:rsid w:val="00DD1BD3"/>
    <w:rsid w:val="00DD2130"/>
    <w:rsid w:val="00DD28A1"/>
    <w:rsid w:val="00DD3532"/>
    <w:rsid w:val="00DD373E"/>
    <w:rsid w:val="00DD57AD"/>
    <w:rsid w:val="00DE009B"/>
    <w:rsid w:val="00DE200E"/>
    <w:rsid w:val="00DE2ED9"/>
    <w:rsid w:val="00DE319A"/>
    <w:rsid w:val="00DE44F1"/>
    <w:rsid w:val="00DE4D6E"/>
    <w:rsid w:val="00DE5CC4"/>
    <w:rsid w:val="00DF053A"/>
    <w:rsid w:val="00DF0DC3"/>
    <w:rsid w:val="00DF0F9D"/>
    <w:rsid w:val="00DF4A7C"/>
    <w:rsid w:val="00DF4F01"/>
    <w:rsid w:val="00DF5343"/>
    <w:rsid w:val="00DF5578"/>
    <w:rsid w:val="00DF6134"/>
    <w:rsid w:val="00DF6619"/>
    <w:rsid w:val="00DF7FEC"/>
    <w:rsid w:val="00E00A57"/>
    <w:rsid w:val="00E01149"/>
    <w:rsid w:val="00E01C0E"/>
    <w:rsid w:val="00E021AF"/>
    <w:rsid w:val="00E026C3"/>
    <w:rsid w:val="00E03B27"/>
    <w:rsid w:val="00E03BFF"/>
    <w:rsid w:val="00E03E80"/>
    <w:rsid w:val="00E04694"/>
    <w:rsid w:val="00E04A40"/>
    <w:rsid w:val="00E05778"/>
    <w:rsid w:val="00E05B2B"/>
    <w:rsid w:val="00E05DDE"/>
    <w:rsid w:val="00E06773"/>
    <w:rsid w:val="00E07309"/>
    <w:rsid w:val="00E07F05"/>
    <w:rsid w:val="00E10497"/>
    <w:rsid w:val="00E12567"/>
    <w:rsid w:val="00E127E1"/>
    <w:rsid w:val="00E13411"/>
    <w:rsid w:val="00E13688"/>
    <w:rsid w:val="00E144D2"/>
    <w:rsid w:val="00E15346"/>
    <w:rsid w:val="00E1629D"/>
    <w:rsid w:val="00E20525"/>
    <w:rsid w:val="00E21367"/>
    <w:rsid w:val="00E215EA"/>
    <w:rsid w:val="00E227EC"/>
    <w:rsid w:val="00E22B14"/>
    <w:rsid w:val="00E22DF1"/>
    <w:rsid w:val="00E23239"/>
    <w:rsid w:val="00E244A4"/>
    <w:rsid w:val="00E24619"/>
    <w:rsid w:val="00E249D7"/>
    <w:rsid w:val="00E25223"/>
    <w:rsid w:val="00E2562A"/>
    <w:rsid w:val="00E2575A"/>
    <w:rsid w:val="00E2612E"/>
    <w:rsid w:val="00E268AC"/>
    <w:rsid w:val="00E27D52"/>
    <w:rsid w:val="00E30BEA"/>
    <w:rsid w:val="00E31764"/>
    <w:rsid w:val="00E31EDE"/>
    <w:rsid w:val="00E337D9"/>
    <w:rsid w:val="00E34E4A"/>
    <w:rsid w:val="00E3501D"/>
    <w:rsid w:val="00E365B3"/>
    <w:rsid w:val="00E37188"/>
    <w:rsid w:val="00E37C45"/>
    <w:rsid w:val="00E40AAA"/>
    <w:rsid w:val="00E40D33"/>
    <w:rsid w:val="00E40FF2"/>
    <w:rsid w:val="00E416D9"/>
    <w:rsid w:val="00E41D90"/>
    <w:rsid w:val="00E41F2B"/>
    <w:rsid w:val="00E430DC"/>
    <w:rsid w:val="00E438CF"/>
    <w:rsid w:val="00E43C41"/>
    <w:rsid w:val="00E43F41"/>
    <w:rsid w:val="00E44EFF"/>
    <w:rsid w:val="00E450CE"/>
    <w:rsid w:val="00E459D3"/>
    <w:rsid w:val="00E45A00"/>
    <w:rsid w:val="00E45CE7"/>
    <w:rsid w:val="00E4631F"/>
    <w:rsid w:val="00E47D22"/>
    <w:rsid w:val="00E50030"/>
    <w:rsid w:val="00E513F8"/>
    <w:rsid w:val="00E522BB"/>
    <w:rsid w:val="00E5293D"/>
    <w:rsid w:val="00E52CE8"/>
    <w:rsid w:val="00E53695"/>
    <w:rsid w:val="00E55BA4"/>
    <w:rsid w:val="00E571F2"/>
    <w:rsid w:val="00E57429"/>
    <w:rsid w:val="00E577FC"/>
    <w:rsid w:val="00E57D11"/>
    <w:rsid w:val="00E6020A"/>
    <w:rsid w:val="00E603A8"/>
    <w:rsid w:val="00E607E4"/>
    <w:rsid w:val="00E60B29"/>
    <w:rsid w:val="00E62585"/>
    <w:rsid w:val="00E62F7C"/>
    <w:rsid w:val="00E635DD"/>
    <w:rsid w:val="00E648B9"/>
    <w:rsid w:val="00E65FE2"/>
    <w:rsid w:val="00E66A76"/>
    <w:rsid w:val="00E6711F"/>
    <w:rsid w:val="00E6715B"/>
    <w:rsid w:val="00E67DD2"/>
    <w:rsid w:val="00E7056D"/>
    <w:rsid w:val="00E70960"/>
    <w:rsid w:val="00E71983"/>
    <w:rsid w:val="00E71A58"/>
    <w:rsid w:val="00E73018"/>
    <w:rsid w:val="00E736F5"/>
    <w:rsid w:val="00E73C92"/>
    <w:rsid w:val="00E744C3"/>
    <w:rsid w:val="00E75E97"/>
    <w:rsid w:val="00E760AD"/>
    <w:rsid w:val="00E767BA"/>
    <w:rsid w:val="00E7724B"/>
    <w:rsid w:val="00E77B8A"/>
    <w:rsid w:val="00E809D6"/>
    <w:rsid w:val="00E80FFE"/>
    <w:rsid w:val="00E8216E"/>
    <w:rsid w:val="00E82428"/>
    <w:rsid w:val="00E836A0"/>
    <w:rsid w:val="00E84F21"/>
    <w:rsid w:val="00E86860"/>
    <w:rsid w:val="00E874D3"/>
    <w:rsid w:val="00E87A29"/>
    <w:rsid w:val="00E900D3"/>
    <w:rsid w:val="00E9077B"/>
    <w:rsid w:val="00E90AD8"/>
    <w:rsid w:val="00E910FB"/>
    <w:rsid w:val="00E912C2"/>
    <w:rsid w:val="00E921C7"/>
    <w:rsid w:val="00E928ED"/>
    <w:rsid w:val="00E92995"/>
    <w:rsid w:val="00E94612"/>
    <w:rsid w:val="00E94870"/>
    <w:rsid w:val="00E94BE9"/>
    <w:rsid w:val="00E94C1F"/>
    <w:rsid w:val="00E94C99"/>
    <w:rsid w:val="00E94D06"/>
    <w:rsid w:val="00E9545D"/>
    <w:rsid w:val="00E95594"/>
    <w:rsid w:val="00E95797"/>
    <w:rsid w:val="00E9682F"/>
    <w:rsid w:val="00E96A8D"/>
    <w:rsid w:val="00E972BA"/>
    <w:rsid w:val="00E97535"/>
    <w:rsid w:val="00EA06CB"/>
    <w:rsid w:val="00EA0C68"/>
    <w:rsid w:val="00EA3EBE"/>
    <w:rsid w:val="00EA3FAC"/>
    <w:rsid w:val="00EA4153"/>
    <w:rsid w:val="00EA4370"/>
    <w:rsid w:val="00EA5CD6"/>
    <w:rsid w:val="00EA6DFB"/>
    <w:rsid w:val="00EA7135"/>
    <w:rsid w:val="00EB02BB"/>
    <w:rsid w:val="00EB0A71"/>
    <w:rsid w:val="00EB0BFB"/>
    <w:rsid w:val="00EB1B8D"/>
    <w:rsid w:val="00EB1C78"/>
    <w:rsid w:val="00EB20A0"/>
    <w:rsid w:val="00EB30B6"/>
    <w:rsid w:val="00EB4EDD"/>
    <w:rsid w:val="00EB4FA4"/>
    <w:rsid w:val="00EB5146"/>
    <w:rsid w:val="00EB5466"/>
    <w:rsid w:val="00EB55E9"/>
    <w:rsid w:val="00EB5641"/>
    <w:rsid w:val="00EB5846"/>
    <w:rsid w:val="00EB5CA9"/>
    <w:rsid w:val="00EB5ED4"/>
    <w:rsid w:val="00EB6406"/>
    <w:rsid w:val="00EB6537"/>
    <w:rsid w:val="00EB6A63"/>
    <w:rsid w:val="00EB6EF5"/>
    <w:rsid w:val="00EB70E1"/>
    <w:rsid w:val="00EB7EB5"/>
    <w:rsid w:val="00EC02CF"/>
    <w:rsid w:val="00EC1F4E"/>
    <w:rsid w:val="00EC454B"/>
    <w:rsid w:val="00EC5F73"/>
    <w:rsid w:val="00EC6153"/>
    <w:rsid w:val="00EC6972"/>
    <w:rsid w:val="00EC7F92"/>
    <w:rsid w:val="00ED0504"/>
    <w:rsid w:val="00ED0A79"/>
    <w:rsid w:val="00ED118D"/>
    <w:rsid w:val="00ED2915"/>
    <w:rsid w:val="00ED2CA5"/>
    <w:rsid w:val="00ED336F"/>
    <w:rsid w:val="00ED54D6"/>
    <w:rsid w:val="00ED5726"/>
    <w:rsid w:val="00ED64C6"/>
    <w:rsid w:val="00ED723D"/>
    <w:rsid w:val="00ED7EC3"/>
    <w:rsid w:val="00EE0384"/>
    <w:rsid w:val="00EE09C3"/>
    <w:rsid w:val="00EE10AA"/>
    <w:rsid w:val="00EE1637"/>
    <w:rsid w:val="00EE3358"/>
    <w:rsid w:val="00EE3E78"/>
    <w:rsid w:val="00EE4318"/>
    <w:rsid w:val="00EE58BF"/>
    <w:rsid w:val="00EE5E02"/>
    <w:rsid w:val="00EE617D"/>
    <w:rsid w:val="00EE61BF"/>
    <w:rsid w:val="00EE6563"/>
    <w:rsid w:val="00EE6748"/>
    <w:rsid w:val="00EE747C"/>
    <w:rsid w:val="00EF0E75"/>
    <w:rsid w:val="00EF10E5"/>
    <w:rsid w:val="00EF17BF"/>
    <w:rsid w:val="00EF1F5A"/>
    <w:rsid w:val="00EF3811"/>
    <w:rsid w:val="00EF385C"/>
    <w:rsid w:val="00EF466D"/>
    <w:rsid w:val="00EF4685"/>
    <w:rsid w:val="00EF48E7"/>
    <w:rsid w:val="00EF4AB0"/>
    <w:rsid w:val="00EF5397"/>
    <w:rsid w:val="00EF5B51"/>
    <w:rsid w:val="00EF623C"/>
    <w:rsid w:val="00EF6654"/>
    <w:rsid w:val="00EF7EB7"/>
    <w:rsid w:val="00F0129D"/>
    <w:rsid w:val="00F02E63"/>
    <w:rsid w:val="00F04811"/>
    <w:rsid w:val="00F0488C"/>
    <w:rsid w:val="00F0496E"/>
    <w:rsid w:val="00F04D10"/>
    <w:rsid w:val="00F05CBA"/>
    <w:rsid w:val="00F061D4"/>
    <w:rsid w:val="00F0625B"/>
    <w:rsid w:val="00F06769"/>
    <w:rsid w:val="00F078CB"/>
    <w:rsid w:val="00F07939"/>
    <w:rsid w:val="00F101FF"/>
    <w:rsid w:val="00F106E2"/>
    <w:rsid w:val="00F10A33"/>
    <w:rsid w:val="00F130A1"/>
    <w:rsid w:val="00F13374"/>
    <w:rsid w:val="00F1520B"/>
    <w:rsid w:val="00F15BEF"/>
    <w:rsid w:val="00F15F3F"/>
    <w:rsid w:val="00F165D7"/>
    <w:rsid w:val="00F16C0C"/>
    <w:rsid w:val="00F172BE"/>
    <w:rsid w:val="00F1776C"/>
    <w:rsid w:val="00F2037E"/>
    <w:rsid w:val="00F20586"/>
    <w:rsid w:val="00F20EF6"/>
    <w:rsid w:val="00F2103E"/>
    <w:rsid w:val="00F214FC"/>
    <w:rsid w:val="00F23FFF"/>
    <w:rsid w:val="00F2441D"/>
    <w:rsid w:val="00F24D2C"/>
    <w:rsid w:val="00F24F20"/>
    <w:rsid w:val="00F24FAA"/>
    <w:rsid w:val="00F25456"/>
    <w:rsid w:val="00F25568"/>
    <w:rsid w:val="00F256F6"/>
    <w:rsid w:val="00F26197"/>
    <w:rsid w:val="00F26426"/>
    <w:rsid w:val="00F26B9E"/>
    <w:rsid w:val="00F26CF5"/>
    <w:rsid w:val="00F3150F"/>
    <w:rsid w:val="00F31F76"/>
    <w:rsid w:val="00F3364D"/>
    <w:rsid w:val="00F34509"/>
    <w:rsid w:val="00F34B6F"/>
    <w:rsid w:val="00F35395"/>
    <w:rsid w:val="00F35ACD"/>
    <w:rsid w:val="00F36BF8"/>
    <w:rsid w:val="00F36F92"/>
    <w:rsid w:val="00F37760"/>
    <w:rsid w:val="00F378D9"/>
    <w:rsid w:val="00F37CC8"/>
    <w:rsid w:val="00F40185"/>
    <w:rsid w:val="00F403D1"/>
    <w:rsid w:val="00F4046E"/>
    <w:rsid w:val="00F40600"/>
    <w:rsid w:val="00F407AD"/>
    <w:rsid w:val="00F41C50"/>
    <w:rsid w:val="00F42AF8"/>
    <w:rsid w:val="00F43921"/>
    <w:rsid w:val="00F44C5D"/>
    <w:rsid w:val="00F4591F"/>
    <w:rsid w:val="00F45CB3"/>
    <w:rsid w:val="00F46FD1"/>
    <w:rsid w:val="00F4736B"/>
    <w:rsid w:val="00F47D05"/>
    <w:rsid w:val="00F50030"/>
    <w:rsid w:val="00F506B2"/>
    <w:rsid w:val="00F50854"/>
    <w:rsid w:val="00F51FC9"/>
    <w:rsid w:val="00F52B67"/>
    <w:rsid w:val="00F53631"/>
    <w:rsid w:val="00F5435A"/>
    <w:rsid w:val="00F54B31"/>
    <w:rsid w:val="00F54FD3"/>
    <w:rsid w:val="00F55CC2"/>
    <w:rsid w:val="00F56CF5"/>
    <w:rsid w:val="00F56D14"/>
    <w:rsid w:val="00F61083"/>
    <w:rsid w:val="00F62807"/>
    <w:rsid w:val="00F631EA"/>
    <w:rsid w:val="00F636E3"/>
    <w:rsid w:val="00F63855"/>
    <w:rsid w:val="00F63DDE"/>
    <w:rsid w:val="00F63FB7"/>
    <w:rsid w:val="00F6441A"/>
    <w:rsid w:val="00F64726"/>
    <w:rsid w:val="00F6519F"/>
    <w:rsid w:val="00F6561A"/>
    <w:rsid w:val="00F700C5"/>
    <w:rsid w:val="00F707FB"/>
    <w:rsid w:val="00F71BF5"/>
    <w:rsid w:val="00F727D5"/>
    <w:rsid w:val="00F7293D"/>
    <w:rsid w:val="00F72F44"/>
    <w:rsid w:val="00F739B6"/>
    <w:rsid w:val="00F73A0C"/>
    <w:rsid w:val="00F73C9E"/>
    <w:rsid w:val="00F740ED"/>
    <w:rsid w:val="00F76C87"/>
    <w:rsid w:val="00F771A5"/>
    <w:rsid w:val="00F80280"/>
    <w:rsid w:val="00F80EB9"/>
    <w:rsid w:val="00F81C3A"/>
    <w:rsid w:val="00F822CE"/>
    <w:rsid w:val="00F82F33"/>
    <w:rsid w:val="00F835FC"/>
    <w:rsid w:val="00F83E21"/>
    <w:rsid w:val="00F844AF"/>
    <w:rsid w:val="00F84E18"/>
    <w:rsid w:val="00F852E5"/>
    <w:rsid w:val="00F86C84"/>
    <w:rsid w:val="00F86CBF"/>
    <w:rsid w:val="00F90487"/>
    <w:rsid w:val="00F90D12"/>
    <w:rsid w:val="00F90FA0"/>
    <w:rsid w:val="00F9250A"/>
    <w:rsid w:val="00F92B4F"/>
    <w:rsid w:val="00F94123"/>
    <w:rsid w:val="00F95117"/>
    <w:rsid w:val="00F9668E"/>
    <w:rsid w:val="00FA05D7"/>
    <w:rsid w:val="00FA1C6C"/>
    <w:rsid w:val="00FA1C73"/>
    <w:rsid w:val="00FA3023"/>
    <w:rsid w:val="00FA309A"/>
    <w:rsid w:val="00FA51AB"/>
    <w:rsid w:val="00FA5557"/>
    <w:rsid w:val="00FA57FD"/>
    <w:rsid w:val="00FA5D63"/>
    <w:rsid w:val="00FA5FB4"/>
    <w:rsid w:val="00FA634D"/>
    <w:rsid w:val="00FA7644"/>
    <w:rsid w:val="00FA7871"/>
    <w:rsid w:val="00FB1324"/>
    <w:rsid w:val="00FB242B"/>
    <w:rsid w:val="00FB262B"/>
    <w:rsid w:val="00FB280C"/>
    <w:rsid w:val="00FB3C00"/>
    <w:rsid w:val="00FB3D7D"/>
    <w:rsid w:val="00FB48BD"/>
    <w:rsid w:val="00FB56F1"/>
    <w:rsid w:val="00FB5FD4"/>
    <w:rsid w:val="00FB67DD"/>
    <w:rsid w:val="00FB67F3"/>
    <w:rsid w:val="00FB6D5D"/>
    <w:rsid w:val="00FB7929"/>
    <w:rsid w:val="00FC09F4"/>
    <w:rsid w:val="00FC0AF4"/>
    <w:rsid w:val="00FC0D8A"/>
    <w:rsid w:val="00FC0E5F"/>
    <w:rsid w:val="00FC26DB"/>
    <w:rsid w:val="00FC3316"/>
    <w:rsid w:val="00FC35B9"/>
    <w:rsid w:val="00FC4660"/>
    <w:rsid w:val="00FC5454"/>
    <w:rsid w:val="00FC56DE"/>
    <w:rsid w:val="00FD04D7"/>
    <w:rsid w:val="00FD1627"/>
    <w:rsid w:val="00FD1FB0"/>
    <w:rsid w:val="00FD271B"/>
    <w:rsid w:val="00FD38B4"/>
    <w:rsid w:val="00FD473D"/>
    <w:rsid w:val="00FD49EB"/>
    <w:rsid w:val="00FD4B88"/>
    <w:rsid w:val="00FD4BAA"/>
    <w:rsid w:val="00FD57DE"/>
    <w:rsid w:val="00FD61C8"/>
    <w:rsid w:val="00FD63CE"/>
    <w:rsid w:val="00FD7D49"/>
    <w:rsid w:val="00FE0BA6"/>
    <w:rsid w:val="00FE11B6"/>
    <w:rsid w:val="00FE1251"/>
    <w:rsid w:val="00FE2A4F"/>
    <w:rsid w:val="00FE2F78"/>
    <w:rsid w:val="00FE375F"/>
    <w:rsid w:val="00FE44B3"/>
    <w:rsid w:val="00FE4FCB"/>
    <w:rsid w:val="00FE5A8A"/>
    <w:rsid w:val="00FE694F"/>
    <w:rsid w:val="00FF0B85"/>
    <w:rsid w:val="00FF1044"/>
    <w:rsid w:val="00FF21B9"/>
    <w:rsid w:val="00FF28E0"/>
    <w:rsid w:val="00FF2FB4"/>
    <w:rsid w:val="00FF30B3"/>
    <w:rsid w:val="00FF34FE"/>
    <w:rsid w:val="00FF35E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eastAsia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9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46039A"/>
    <w:pPr>
      <w:ind w:left="708"/>
    </w:pPr>
  </w:style>
  <w:style w:type="table" w:styleId="Mkatabulky">
    <w:name w:val="Table Grid"/>
    <w:basedOn w:val="Normlntabulka"/>
    <w:uiPriority w:val="9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locked/>
    <w:rsid w:val="00B31336"/>
    <w:rPr>
      <w:rFonts w:cs="Times New Roman"/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8103D8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03D8"/>
  </w:style>
  <w:style w:type="character" w:styleId="Odkaznavysvtlivky">
    <w:name w:val="endnote reference"/>
    <w:basedOn w:val="Standardnpsmoodstavce"/>
    <w:uiPriority w:val="99"/>
    <w:semiHidden/>
    <w:unhideWhenUsed/>
    <w:locked/>
    <w:rsid w:val="00810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2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3281-B020-4DCC-928C-5BB4B0C0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5</TotalTime>
  <Pages>9</Pages>
  <Words>4208</Words>
  <Characters>24834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3</cp:revision>
  <cp:lastPrinted>2016-01-15T07:22:00Z</cp:lastPrinted>
  <dcterms:created xsi:type="dcterms:W3CDTF">2016-01-25T12:20:00Z</dcterms:created>
  <dcterms:modified xsi:type="dcterms:W3CDTF">2016-01-25T12:55:00Z</dcterms:modified>
</cp:coreProperties>
</file>